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116BB8" w14:textId="77777777" w:rsidR="004518C1" w:rsidRPr="003F0CC9" w:rsidRDefault="004518C1">
      <w:pPr>
        <w:adjustRightInd w:val="0"/>
        <w:contextualSpacing/>
        <w:rPr>
          <w:b/>
          <w:sz w:val="32"/>
        </w:rPr>
      </w:pPr>
      <w:bookmarkStart w:id="0" w:name="_Toc48703888"/>
      <w:bookmarkStart w:id="1" w:name="_Toc22454436"/>
      <w:bookmarkStart w:id="2" w:name="_Toc466788853"/>
      <w:bookmarkStart w:id="3" w:name="_Toc523829994"/>
      <w:bookmarkStart w:id="4" w:name="_Toc523829996"/>
      <w:bookmarkStart w:id="5" w:name="_Toc48703898"/>
      <w:bookmarkStart w:id="6" w:name="_Toc466788855"/>
      <w:bookmarkStart w:id="7" w:name="_Toc466788858"/>
      <w:bookmarkStart w:id="8" w:name="_Toc48703908"/>
      <w:bookmarkStart w:id="9" w:name="_Toc523829999"/>
      <w:bookmarkStart w:id="10" w:name="_Toc88373425"/>
      <w:bookmarkStart w:id="11" w:name="_GoBack"/>
    </w:p>
    <w:p w14:paraId="5B5E551F" w14:textId="77777777" w:rsidR="004518C1" w:rsidRPr="003F0CC9" w:rsidRDefault="004518C1">
      <w:pPr>
        <w:adjustRightInd w:val="0"/>
        <w:contextualSpacing/>
        <w:jc w:val="center"/>
        <w:rPr>
          <w:b/>
          <w:sz w:val="32"/>
        </w:rPr>
      </w:pPr>
    </w:p>
    <w:p w14:paraId="4CF47A07" w14:textId="77777777" w:rsidR="004518C1" w:rsidRPr="003F0CC9" w:rsidRDefault="004518C1">
      <w:pPr>
        <w:adjustRightInd w:val="0"/>
        <w:contextualSpacing/>
        <w:jc w:val="center"/>
        <w:rPr>
          <w:b/>
          <w:sz w:val="32"/>
        </w:rPr>
      </w:pPr>
    </w:p>
    <w:p w14:paraId="59FA2A5F" w14:textId="77777777" w:rsidR="004518C1" w:rsidRPr="003F0CC9" w:rsidRDefault="004518C1">
      <w:pPr>
        <w:adjustRightInd w:val="0"/>
        <w:contextualSpacing/>
        <w:jc w:val="center"/>
        <w:rPr>
          <w:b/>
          <w:sz w:val="32"/>
        </w:rPr>
      </w:pPr>
    </w:p>
    <w:p w14:paraId="6D385174" w14:textId="77777777" w:rsidR="004518C1" w:rsidRPr="003F0CC9" w:rsidRDefault="004518C1">
      <w:pPr>
        <w:adjustRightInd w:val="0"/>
        <w:contextualSpacing/>
        <w:jc w:val="center"/>
        <w:rPr>
          <w:b/>
          <w:sz w:val="32"/>
        </w:rPr>
      </w:pPr>
    </w:p>
    <w:p w14:paraId="3C244FBF" w14:textId="309FFC07" w:rsidR="004518C1" w:rsidRPr="003F0CC9" w:rsidRDefault="008D33B8">
      <w:pPr>
        <w:adjustRightInd w:val="0"/>
        <w:contextualSpacing/>
        <w:jc w:val="center"/>
        <w:rPr>
          <w:rFonts w:ascii="黑体" w:eastAsia="黑体"/>
          <w:b/>
          <w:sz w:val="36"/>
          <w:szCs w:val="36"/>
        </w:rPr>
      </w:pPr>
      <w:r w:rsidRPr="003F0CC9">
        <w:rPr>
          <w:rFonts w:ascii="黑体" w:eastAsia="黑体" w:hint="eastAsia"/>
          <w:b/>
          <w:sz w:val="36"/>
          <w:szCs w:val="36"/>
        </w:rPr>
        <w:t>国泰瑞悦3个月持有期债券型基金中基金（FOF）</w:t>
      </w:r>
    </w:p>
    <w:p w14:paraId="58143272" w14:textId="77777777" w:rsidR="004518C1" w:rsidRPr="003F0CC9" w:rsidRDefault="004518C1">
      <w:pPr>
        <w:adjustRightInd w:val="0"/>
        <w:contextualSpacing/>
        <w:jc w:val="center"/>
        <w:rPr>
          <w:rFonts w:ascii="黑体" w:eastAsia="黑体"/>
          <w:b/>
          <w:sz w:val="36"/>
          <w:szCs w:val="36"/>
        </w:rPr>
      </w:pPr>
    </w:p>
    <w:p w14:paraId="19E01403" w14:textId="150EF83F" w:rsidR="004518C1" w:rsidRPr="003F0CC9" w:rsidRDefault="008D33B8">
      <w:pPr>
        <w:adjustRightInd w:val="0"/>
        <w:contextualSpacing/>
        <w:jc w:val="center"/>
        <w:rPr>
          <w:rFonts w:ascii="黑体" w:eastAsia="黑体"/>
          <w:b/>
          <w:sz w:val="36"/>
          <w:szCs w:val="36"/>
        </w:rPr>
      </w:pPr>
      <w:r w:rsidRPr="003F0CC9">
        <w:rPr>
          <w:rFonts w:ascii="黑体" w:eastAsia="黑体" w:hint="eastAsia"/>
          <w:b/>
          <w:sz w:val="36"/>
          <w:szCs w:val="36"/>
        </w:rPr>
        <w:t>托管协议</w:t>
      </w:r>
    </w:p>
    <w:p w14:paraId="446C6D57" w14:textId="77777777" w:rsidR="004518C1" w:rsidRPr="003F0CC9" w:rsidRDefault="004518C1">
      <w:pPr>
        <w:adjustRightInd w:val="0"/>
        <w:contextualSpacing/>
        <w:jc w:val="center"/>
        <w:rPr>
          <w:rFonts w:ascii="黑体" w:eastAsia="黑体"/>
          <w:b/>
          <w:sz w:val="36"/>
          <w:szCs w:val="36"/>
        </w:rPr>
      </w:pPr>
    </w:p>
    <w:p w14:paraId="0EAB6991" w14:textId="77777777" w:rsidR="004518C1" w:rsidRPr="003F0CC9" w:rsidRDefault="004518C1">
      <w:pPr>
        <w:adjustRightInd w:val="0"/>
        <w:contextualSpacing/>
        <w:jc w:val="center"/>
        <w:rPr>
          <w:b/>
          <w:sz w:val="32"/>
        </w:rPr>
      </w:pPr>
    </w:p>
    <w:p w14:paraId="60FD93AD" w14:textId="77777777" w:rsidR="004518C1" w:rsidRPr="003F0CC9" w:rsidRDefault="004518C1">
      <w:pPr>
        <w:adjustRightInd w:val="0"/>
        <w:contextualSpacing/>
        <w:rPr>
          <w:rFonts w:ascii="宋体"/>
          <w:sz w:val="30"/>
        </w:rPr>
      </w:pPr>
    </w:p>
    <w:p w14:paraId="7B172FEE" w14:textId="77777777" w:rsidR="004518C1" w:rsidRPr="003F0CC9" w:rsidRDefault="004518C1">
      <w:pPr>
        <w:adjustRightInd w:val="0"/>
        <w:contextualSpacing/>
        <w:rPr>
          <w:rFonts w:ascii="宋体"/>
          <w:sz w:val="30"/>
        </w:rPr>
      </w:pPr>
    </w:p>
    <w:p w14:paraId="4396C6BB" w14:textId="77777777" w:rsidR="004518C1" w:rsidRPr="003F0CC9" w:rsidRDefault="004518C1">
      <w:pPr>
        <w:adjustRightInd w:val="0"/>
        <w:contextualSpacing/>
        <w:rPr>
          <w:rFonts w:ascii="宋体"/>
          <w:sz w:val="30"/>
        </w:rPr>
      </w:pPr>
    </w:p>
    <w:p w14:paraId="0A52C4C9" w14:textId="77777777" w:rsidR="004518C1" w:rsidRPr="003F0CC9" w:rsidRDefault="004518C1">
      <w:pPr>
        <w:adjustRightInd w:val="0"/>
        <w:contextualSpacing/>
        <w:rPr>
          <w:rFonts w:ascii="宋体"/>
          <w:sz w:val="30"/>
        </w:rPr>
      </w:pPr>
    </w:p>
    <w:p w14:paraId="2454061F" w14:textId="77777777" w:rsidR="004518C1" w:rsidRPr="003F0CC9" w:rsidRDefault="004518C1">
      <w:pPr>
        <w:adjustRightInd w:val="0"/>
        <w:contextualSpacing/>
        <w:rPr>
          <w:rFonts w:ascii="宋体"/>
          <w:sz w:val="30"/>
        </w:rPr>
      </w:pPr>
    </w:p>
    <w:p w14:paraId="467BA875" w14:textId="77777777" w:rsidR="004518C1" w:rsidRPr="003F0CC9" w:rsidRDefault="004518C1">
      <w:pPr>
        <w:adjustRightInd w:val="0"/>
        <w:contextualSpacing/>
        <w:rPr>
          <w:rFonts w:ascii="宋体"/>
          <w:sz w:val="30"/>
        </w:rPr>
      </w:pPr>
    </w:p>
    <w:p w14:paraId="10FA5823" w14:textId="77777777" w:rsidR="004518C1" w:rsidRPr="003F0CC9" w:rsidRDefault="004518C1">
      <w:pPr>
        <w:adjustRightInd w:val="0"/>
        <w:contextualSpacing/>
        <w:rPr>
          <w:rFonts w:ascii="宋体"/>
          <w:sz w:val="30"/>
        </w:rPr>
      </w:pPr>
    </w:p>
    <w:p w14:paraId="6F140310" w14:textId="049469D8" w:rsidR="004518C1" w:rsidRPr="003F0CC9" w:rsidRDefault="008D33B8">
      <w:pPr>
        <w:adjustRightInd w:val="0"/>
        <w:spacing w:line="360" w:lineRule="auto"/>
        <w:contextualSpacing/>
        <w:jc w:val="center"/>
        <w:outlineLvl w:val="0"/>
        <w:rPr>
          <w:rFonts w:ascii="宋体" w:hAnsi="宋体"/>
          <w:b/>
          <w:sz w:val="28"/>
          <w:szCs w:val="28"/>
        </w:rPr>
      </w:pPr>
      <w:bookmarkStart w:id="12" w:name="_Toc140002332"/>
      <w:bookmarkStart w:id="13" w:name="_Toc125361069"/>
      <w:bookmarkStart w:id="14" w:name="_Toc465408399"/>
      <w:bookmarkStart w:id="15" w:name="_Toc1564308"/>
      <w:bookmarkStart w:id="16" w:name="_Toc375230473"/>
      <w:bookmarkStart w:id="17" w:name="_Toc375229542"/>
      <w:bookmarkStart w:id="18" w:name="_Toc296428028"/>
      <w:bookmarkStart w:id="19" w:name="_Toc296429141"/>
      <w:r w:rsidRPr="003F0CC9">
        <w:rPr>
          <w:rFonts w:ascii="宋体" w:hAnsi="宋体" w:hint="eastAsia"/>
          <w:b/>
          <w:sz w:val="28"/>
          <w:szCs w:val="28"/>
        </w:rPr>
        <w:t>基金管理人：国泰基金管理有限公司</w:t>
      </w:r>
      <w:bookmarkStart w:id="20" w:name="_Toc125361070"/>
      <w:bookmarkStart w:id="21" w:name="_Toc296428029"/>
      <w:bookmarkStart w:id="22" w:name="_Toc140002333"/>
      <w:bookmarkEnd w:id="12"/>
      <w:bookmarkEnd w:id="13"/>
      <w:bookmarkEnd w:id="14"/>
      <w:bookmarkEnd w:id="15"/>
      <w:bookmarkEnd w:id="16"/>
      <w:bookmarkEnd w:id="17"/>
      <w:bookmarkEnd w:id="18"/>
    </w:p>
    <w:p w14:paraId="6DC68089" w14:textId="77777777" w:rsidR="004518C1" w:rsidRPr="003F0CC9" w:rsidRDefault="008D33B8">
      <w:pPr>
        <w:adjustRightInd w:val="0"/>
        <w:spacing w:line="360" w:lineRule="auto"/>
        <w:contextualSpacing/>
        <w:jc w:val="center"/>
        <w:outlineLvl w:val="0"/>
        <w:rPr>
          <w:rFonts w:ascii="宋体" w:hAnsi="宋体"/>
          <w:b/>
          <w:sz w:val="28"/>
          <w:szCs w:val="28"/>
        </w:rPr>
      </w:pPr>
      <w:bookmarkStart w:id="23" w:name="_Toc375230474"/>
      <w:bookmarkStart w:id="24" w:name="_Toc375229543"/>
      <w:bookmarkStart w:id="25" w:name="_Toc1564309"/>
      <w:bookmarkStart w:id="26" w:name="_Toc465408400"/>
      <w:r w:rsidRPr="003F0CC9">
        <w:rPr>
          <w:rFonts w:ascii="宋体" w:hAnsi="宋体" w:hint="eastAsia"/>
          <w:b/>
          <w:sz w:val="28"/>
          <w:szCs w:val="28"/>
        </w:rPr>
        <w:t>基金托管人：北京银行股份有限公司</w:t>
      </w:r>
      <w:bookmarkEnd w:id="19"/>
      <w:bookmarkEnd w:id="20"/>
      <w:bookmarkEnd w:id="21"/>
      <w:bookmarkEnd w:id="22"/>
      <w:bookmarkEnd w:id="23"/>
      <w:bookmarkEnd w:id="24"/>
      <w:bookmarkEnd w:id="25"/>
      <w:bookmarkEnd w:id="26"/>
    </w:p>
    <w:p w14:paraId="733DEE32" w14:textId="77777777" w:rsidR="004518C1" w:rsidRPr="003F0CC9" w:rsidRDefault="004518C1">
      <w:pPr>
        <w:adjustRightInd w:val="0"/>
        <w:spacing w:line="500" w:lineRule="atLeast"/>
        <w:ind w:left="2519" w:hangingChars="896" w:hanging="2519"/>
        <w:contextualSpacing/>
        <w:jc w:val="center"/>
        <w:outlineLvl w:val="0"/>
        <w:rPr>
          <w:rFonts w:ascii="黑体" w:eastAsia="黑体" w:hAnsi="宋体"/>
          <w:b/>
          <w:sz w:val="28"/>
          <w:szCs w:val="28"/>
        </w:rPr>
      </w:pPr>
    </w:p>
    <w:p w14:paraId="29E7D9B2" w14:textId="77777777" w:rsidR="004518C1" w:rsidRPr="003F0CC9" w:rsidRDefault="008D33B8">
      <w:pPr>
        <w:pStyle w:val="10"/>
        <w:tabs>
          <w:tab w:val="right" w:leader="dot" w:pos="8296"/>
        </w:tabs>
        <w:spacing w:before="120"/>
        <w:jc w:val="center"/>
        <w:rPr>
          <w:rFonts w:ascii="Calibri" w:hAnsi="Calibri" w:cs="Times New Roman"/>
          <w:b w:val="0"/>
          <w:bCs w:val="0"/>
          <w:caps w:val="0"/>
          <w:noProof/>
          <w:sz w:val="21"/>
          <w:szCs w:val="22"/>
        </w:rPr>
      </w:pPr>
      <w:r w:rsidRPr="003F0CC9">
        <w:rPr>
          <w:rFonts w:ascii="黑体" w:eastAsia="黑体" w:hAnsi="宋体"/>
          <w:b w:val="0"/>
          <w:sz w:val="28"/>
          <w:szCs w:val="28"/>
        </w:rPr>
        <w:br w:type="page"/>
      </w:r>
      <w:bookmarkStart w:id="27" w:name="_Toc1564310"/>
      <w:bookmarkStart w:id="28" w:name="_Toc465408401"/>
      <w:bookmarkStart w:id="29" w:name="_Toc375230475"/>
      <w:bookmarkStart w:id="30" w:name="_Toc140002335"/>
      <w:bookmarkStart w:id="31" w:name="_Toc125361072"/>
      <w:bookmarkStart w:id="32" w:name="_Toc375229544"/>
      <w:bookmarkStart w:id="33" w:name="_Toc296429142"/>
      <w:bookmarkStart w:id="34" w:name="_Toc296428030"/>
      <w:r w:rsidRPr="003F0CC9">
        <w:rPr>
          <w:rFonts w:ascii="黑体" w:eastAsia="黑体" w:hAnsi="宋体" w:hint="eastAsia"/>
          <w:b w:val="0"/>
          <w:sz w:val="30"/>
          <w:szCs w:val="30"/>
        </w:rPr>
        <w:lastRenderedPageBreak/>
        <w:t>目  录</w:t>
      </w:r>
      <w:bookmarkEnd w:id="27"/>
      <w:bookmarkEnd w:id="28"/>
      <w:bookmarkEnd w:id="29"/>
      <w:bookmarkEnd w:id="30"/>
      <w:bookmarkEnd w:id="31"/>
      <w:bookmarkEnd w:id="32"/>
      <w:bookmarkEnd w:id="33"/>
      <w:bookmarkEnd w:id="34"/>
      <w:r w:rsidR="00AC00ED" w:rsidRPr="003F0CC9">
        <w:rPr>
          <w:b w:val="0"/>
          <w:bCs w:val="0"/>
          <w:caps w:val="0"/>
          <w:szCs w:val="21"/>
        </w:rPr>
        <w:fldChar w:fldCharType="begin"/>
      </w:r>
      <w:r w:rsidRPr="003F0CC9">
        <w:rPr>
          <w:b w:val="0"/>
          <w:bCs w:val="0"/>
          <w:caps w:val="0"/>
          <w:szCs w:val="21"/>
        </w:rPr>
        <w:instrText xml:space="preserve"> TOC \o "1-1" \h \z \u </w:instrText>
      </w:r>
      <w:r w:rsidR="00AC00ED" w:rsidRPr="003F0CC9">
        <w:rPr>
          <w:b w:val="0"/>
          <w:bCs w:val="0"/>
          <w:caps w:val="0"/>
          <w:szCs w:val="21"/>
        </w:rPr>
        <w:fldChar w:fldCharType="separate"/>
      </w:r>
    </w:p>
    <w:p w14:paraId="3E9739F0" w14:textId="2153BEDD"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11" w:history="1">
        <w:r w:rsidR="008D33B8" w:rsidRPr="003F0CC9">
          <w:rPr>
            <w:rStyle w:val="af3"/>
            <w:rFonts w:ascii="宋体" w:hAnsi="宋体" w:hint="eastAsia"/>
            <w:noProof/>
            <w:color w:val="auto"/>
            <w:u w:val="none"/>
          </w:rPr>
          <w:t>一、基金托管协议当事人</w:t>
        </w:r>
        <w:r w:rsidR="008D33B8" w:rsidRPr="003F0CC9">
          <w:rPr>
            <w:noProof/>
          </w:rPr>
          <w:tab/>
        </w:r>
        <w:r w:rsidR="00AC00ED" w:rsidRPr="003F0CC9">
          <w:rPr>
            <w:noProof/>
          </w:rPr>
          <w:fldChar w:fldCharType="begin"/>
        </w:r>
        <w:r w:rsidR="008D33B8" w:rsidRPr="003F0CC9">
          <w:rPr>
            <w:noProof/>
          </w:rPr>
          <w:instrText xml:space="preserve"> PAGEREF _Toc1564311 \h </w:instrText>
        </w:r>
        <w:r w:rsidR="00AC00ED" w:rsidRPr="003F0CC9">
          <w:rPr>
            <w:noProof/>
          </w:rPr>
        </w:r>
        <w:r w:rsidR="00AC00ED" w:rsidRPr="003F0CC9">
          <w:rPr>
            <w:noProof/>
          </w:rPr>
          <w:fldChar w:fldCharType="separate"/>
        </w:r>
        <w:r w:rsidR="004F509E" w:rsidRPr="003F0CC9">
          <w:rPr>
            <w:noProof/>
          </w:rPr>
          <w:t>1</w:t>
        </w:r>
        <w:r w:rsidR="00AC00ED" w:rsidRPr="003F0CC9">
          <w:rPr>
            <w:noProof/>
          </w:rPr>
          <w:fldChar w:fldCharType="end"/>
        </w:r>
      </w:hyperlink>
    </w:p>
    <w:p w14:paraId="4A966F79" w14:textId="357D686B"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12" w:history="1">
        <w:r w:rsidR="008D33B8" w:rsidRPr="003F0CC9">
          <w:rPr>
            <w:rStyle w:val="af3"/>
            <w:rFonts w:hint="eastAsia"/>
            <w:noProof/>
            <w:color w:val="auto"/>
            <w:u w:val="none"/>
          </w:rPr>
          <w:t>二、基金托管协议的依据、目的和原则</w:t>
        </w:r>
        <w:r w:rsidR="008D33B8" w:rsidRPr="003F0CC9">
          <w:rPr>
            <w:noProof/>
          </w:rPr>
          <w:tab/>
        </w:r>
        <w:r w:rsidR="00AC00ED" w:rsidRPr="003F0CC9">
          <w:rPr>
            <w:noProof/>
          </w:rPr>
          <w:fldChar w:fldCharType="begin"/>
        </w:r>
        <w:r w:rsidR="008D33B8" w:rsidRPr="003F0CC9">
          <w:rPr>
            <w:noProof/>
          </w:rPr>
          <w:instrText xml:space="preserve"> PAGEREF _Toc1564312 \h </w:instrText>
        </w:r>
        <w:r w:rsidR="00AC00ED" w:rsidRPr="003F0CC9">
          <w:rPr>
            <w:noProof/>
          </w:rPr>
        </w:r>
        <w:r w:rsidR="00AC00ED" w:rsidRPr="003F0CC9">
          <w:rPr>
            <w:noProof/>
          </w:rPr>
          <w:fldChar w:fldCharType="separate"/>
        </w:r>
        <w:r w:rsidR="004F509E" w:rsidRPr="003F0CC9">
          <w:rPr>
            <w:noProof/>
          </w:rPr>
          <w:t>3</w:t>
        </w:r>
        <w:r w:rsidR="00AC00ED" w:rsidRPr="003F0CC9">
          <w:rPr>
            <w:noProof/>
          </w:rPr>
          <w:fldChar w:fldCharType="end"/>
        </w:r>
      </w:hyperlink>
    </w:p>
    <w:p w14:paraId="083F5325" w14:textId="6799C604"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13" w:history="1">
        <w:r w:rsidR="008D33B8" w:rsidRPr="003F0CC9">
          <w:rPr>
            <w:rStyle w:val="af3"/>
            <w:rFonts w:ascii="宋体" w:hAnsi="宋体" w:hint="eastAsia"/>
            <w:noProof/>
            <w:color w:val="auto"/>
            <w:u w:val="none"/>
          </w:rPr>
          <w:t>三、基金托管人对基金</w:t>
        </w:r>
        <w:bookmarkStart w:id="35" w:name="_Hlt28008934"/>
        <w:r w:rsidR="008D33B8" w:rsidRPr="003F0CC9">
          <w:rPr>
            <w:rStyle w:val="af3"/>
            <w:rFonts w:ascii="宋体" w:hAnsi="宋体" w:hint="eastAsia"/>
            <w:noProof/>
            <w:color w:val="auto"/>
            <w:u w:val="none"/>
          </w:rPr>
          <w:t>管</w:t>
        </w:r>
        <w:bookmarkStart w:id="36" w:name="_Hlt3986468"/>
        <w:bookmarkEnd w:id="35"/>
        <w:r w:rsidR="008D33B8" w:rsidRPr="003F0CC9">
          <w:rPr>
            <w:rStyle w:val="af3"/>
            <w:rFonts w:ascii="宋体" w:hAnsi="宋体" w:hint="eastAsia"/>
            <w:noProof/>
            <w:color w:val="auto"/>
            <w:u w:val="none"/>
          </w:rPr>
          <w:t>理</w:t>
        </w:r>
        <w:bookmarkEnd w:id="36"/>
        <w:r w:rsidR="008D33B8" w:rsidRPr="003F0CC9">
          <w:rPr>
            <w:rStyle w:val="af3"/>
            <w:rFonts w:ascii="宋体" w:hAnsi="宋体" w:hint="eastAsia"/>
            <w:noProof/>
            <w:color w:val="auto"/>
            <w:u w:val="none"/>
          </w:rPr>
          <w:t>人的业</w:t>
        </w:r>
        <w:bookmarkStart w:id="37" w:name="_Hlt12521109"/>
        <w:bookmarkStart w:id="38" w:name="_Hlt12521110"/>
        <w:r w:rsidR="008D33B8" w:rsidRPr="003F0CC9">
          <w:rPr>
            <w:rStyle w:val="af3"/>
            <w:rFonts w:ascii="宋体" w:hAnsi="宋体" w:hint="eastAsia"/>
            <w:noProof/>
            <w:color w:val="auto"/>
            <w:u w:val="none"/>
          </w:rPr>
          <w:t>务</w:t>
        </w:r>
        <w:bookmarkEnd w:id="37"/>
        <w:bookmarkEnd w:id="38"/>
        <w:r w:rsidR="008D33B8" w:rsidRPr="003F0CC9">
          <w:rPr>
            <w:rStyle w:val="af3"/>
            <w:rFonts w:ascii="宋体" w:hAnsi="宋体" w:hint="eastAsia"/>
            <w:noProof/>
            <w:color w:val="auto"/>
            <w:u w:val="none"/>
          </w:rPr>
          <w:t>监督和核查</w:t>
        </w:r>
        <w:r w:rsidR="008D33B8" w:rsidRPr="003F0CC9">
          <w:rPr>
            <w:noProof/>
          </w:rPr>
          <w:tab/>
        </w:r>
        <w:r w:rsidR="00AC00ED" w:rsidRPr="003F0CC9">
          <w:rPr>
            <w:noProof/>
          </w:rPr>
          <w:fldChar w:fldCharType="begin"/>
        </w:r>
        <w:r w:rsidR="008D33B8" w:rsidRPr="003F0CC9">
          <w:rPr>
            <w:noProof/>
          </w:rPr>
          <w:instrText xml:space="preserve"> PAGEREF _Toc1564313 \h </w:instrText>
        </w:r>
        <w:r w:rsidR="00AC00ED" w:rsidRPr="003F0CC9">
          <w:rPr>
            <w:noProof/>
          </w:rPr>
        </w:r>
        <w:r w:rsidR="00AC00ED" w:rsidRPr="003F0CC9">
          <w:rPr>
            <w:noProof/>
          </w:rPr>
          <w:fldChar w:fldCharType="separate"/>
        </w:r>
        <w:r w:rsidR="004F509E" w:rsidRPr="003F0CC9">
          <w:rPr>
            <w:noProof/>
          </w:rPr>
          <w:t>4</w:t>
        </w:r>
        <w:r w:rsidR="00AC00ED" w:rsidRPr="003F0CC9">
          <w:rPr>
            <w:noProof/>
          </w:rPr>
          <w:fldChar w:fldCharType="end"/>
        </w:r>
      </w:hyperlink>
    </w:p>
    <w:p w14:paraId="00657249" w14:textId="0B249BD0"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14" w:history="1">
        <w:r w:rsidR="008D33B8" w:rsidRPr="003F0CC9">
          <w:rPr>
            <w:rStyle w:val="af3"/>
            <w:rFonts w:ascii="宋体" w:hAnsi="宋体" w:hint="eastAsia"/>
            <w:noProof/>
            <w:color w:val="auto"/>
            <w:u w:val="none"/>
          </w:rPr>
          <w:t>四、</w:t>
        </w:r>
        <w:r w:rsidR="008D33B8" w:rsidRPr="003F0CC9">
          <w:rPr>
            <w:rStyle w:val="af3"/>
            <w:rFonts w:hint="eastAsia"/>
            <w:noProof/>
            <w:color w:val="auto"/>
            <w:u w:val="none"/>
          </w:rPr>
          <w:t>基金管理人对基金托管人的业务核查</w:t>
        </w:r>
        <w:r w:rsidR="008D33B8" w:rsidRPr="003F0CC9">
          <w:rPr>
            <w:noProof/>
          </w:rPr>
          <w:tab/>
        </w:r>
        <w:r w:rsidR="00AC00ED" w:rsidRPr="003F0CC9">
          <w:rPr>
            <w:noProof/>
          </w:rPr>
          <w:fldChar w:fldCharType="begin"/>
        </w:r>
        <w:r w:rsidR="008D33B8" w:rsidRPr="003F0CC9">
          <w:rPr>
            <w:noProof/>
          </w:rPr>
          <w:instrText xml:space="preserve"> PAGEREF _Toc1564314 \h </w:instrText>
        </w:r>
        <w:r w:rsidR="00AC00ED" w:rsidRPr="003F0CC9">
          <w:rPr>
            <w:noProof/>
          </w:rPr>
        </w:r>
        <w:r w:rsidR="00AC00ED" w:rsidRPr="003F0CC9">
          <w:rPr>
            <w:noProof/>
          </w:rPr>
          <w:fldChar w:fldCharType="separate"/>
        </w:r>
        <w:r w:rsidR="004F509E" w:rsidRPr="003F0CC9">
          <w:rPr>
            <w:noProof/>
          </w:rPr>
          <w:t>10</w:t>
        </w:r>
        <w:r w:rsidR="00AC00ED" w:rsidRPr="003F0CC9">
          <w:rPr>
            <w:noProof/>
          </w:rPr>
          <w:fldChar w:fldCharType="end"/>
        </w:r>
      </w:hyperlink>
    </w:p>
    <w:p w14:paraId="4EDE04B4" w14:textId="686D457E"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15" w:history="1">
        <w:r w:rsidR="008D33B8" w:rsidRPr="003F0CC9">
          <w:rPr>
            <w:rStyle w:val="af3"/>
            <w:rFonts w:hint="eastAsia"/>
            <w:noProof/>
            <w:color w:val="auto"/>
            <w:u w:val="none"/>
          </w:rPr>
          <w:t>五、基金财产保管</w:t>
        </w:r>
        <w:r w:rsidR="008D33B8" w:rsidRPr="003F0CC9">
          <w:rPr>
            <w:noProof/>
          </w:rPr>
          <w:tab/>
        </w:r>
        <w:r w:rsidR="00AC00ED" w:rsidRPr="003F0CC9">
          <w:rPr>
            <w:noProof/>
          </w:rPr>
          <w:fldChar w:fldCharType="begin"/>
        </w:r>
        <w:r w:rsidR="008D33B8" w:rsidRPr="003F0CC9">
          <w:rPr>
            <w:noProof/>
          </w:rPr>
          <w:instrText xml:space="preserve"> PAGEREF _Toc1564315 \h </w:instrText>
        </w:r>
        <w:r w:rsidR="00AC00ED" w:rsidRPr="003F0CC9">
          <w:rPr>
            <w:noProof/>
          </w:rPr>
        </w:r>
        <w:r w:rsidR="00AC00ED" w:rsidRPr="003F0CC9">
          <w:rPr>
            <w:noProof/>
          </w:rPr>
          <w:fldChar w:fldCharType="separate"/>
        </w:r>
        <w:r w:rsidR="004F509E" w:rsidRPr="003F0CC9">
          <w:rPr>
            <w:noProof/>
          </w:rPr>
          <w:t>11</w:t>
        </w:r>
        <w:r w:rsidR="00AC00ED" w:rsidRPr="003F0CC9">
          <w:rPr>
            <w:noProof/>
          </w:rPr>
          <w:fldChar w:fldCharType="end"/>
        </w:r>
      </w:hyperlink>
    </w:p>
    <w:p w14:paraId="36675159" w14:textId="52F254A2"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16" w:history="1">
        <w:r w:rsidR="008D33B8" w:rsidRPr="003F0CC9">
          <w:rPr>
            <w:rStyle w:val="af3"/>
            <w:rFonts w:hint="eastAsia"/>
            <w:noProof/>
            <w:color w:val="auto"/>
            <w:u w:val="none"/>
          </w:rPr>
          <w:t>六、指令的发送、确认和执行</w:t>
        </w:r>
        <w:r w:rsidR="008D33B8" w:rsidRPr="003F0CC9">
          <w:rPr>
            <w:noProof/>
          </w:rPr>
          <w:tab/>
        </w:r>
        <w:r w:rsidR="00AC00ED" w:rsidRPr="003F0CC9">
          <w:rPr>
            <w:noProof/>
          </w:rPr>
          <w:fldChar w:fldCharType="begin"/>
        </w:r>
        <w:r w:rsidR="008D33B8" w:rsidRPr="003F0CC9">
          <w:rPr>
            <w:noProof/>
          </w:rPr>
          <w:instrText xml:space="preserve"> PAGEREF _Toc1564316 \h </w:instrText>
        </w:r>
        <w:r w:rsidR="00AC00ED" w:rsidRPr="003F0CC9">
          <w:rPr>
            <w:noProof/>
          </w:rPr>
        </w:r>
        <w:r w:rsidR="00AC00ED" w:rsidRPr="003F0CC9">
          <w:rPr>
            <w:noProof/>
          </w:rPr>
          <w:fldChar w:fldCharType="separate"/>
        </w:r>
        <w:r w:rsidR="004F509E" w:rsidRPr="003F0CC9">
          <w:rPr>
            <w:noProof/>
          </w:rPr>
          <w:t>14</w:t>
        </w:r>
        <w:r w:rsidR="00AC00ED" w:rsidRPr="003F0CC9">
          <w:rPr>
            <w:noProof/>
          </w:rPr>
          <w:fldChar w:fldCharType="end"/>
        </w:r>
      </w:hyperlink>
    </w:p>
    <w:p w14:paraId="34A89109" w14:textId="30AB94F4"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17" w:history="1">
        <w:r w:rsidR="008D33B8" w:rsidRPr="003F0CC9">
          <w:rPr>
            <w:rStyle w:val="af3"/>
            <w:rFonts w:ascii="宋体" w:hAnsi="宋体" w:hint="eastAsia"/>
            <w:noProof/>
            <w:color w:val="auto"/>
            <w:u w:val="none"/>
          </w:rPr>
          <w:t>七、</w:t>
        </w:r>
        <w:r w:rsidR="008D33B8" w:rsidRPr="003F0CC9">
          <w:rPr>
            <w:rStyle w:val="af3"/>
            <w:rFonts w:hint="eastAsia"/>
            <w:noProof/>
            <w:color w:val="auto"/>
            <w:u w:val="none"/>
          </w:rPr>
          <w:t>交易及清算交收安排</w:t>
        </w:r>
        <w:r w:rsidR="008D33B8" w:rsidRPr="003F0CC9">
          <w:rPr>
            <w:noProof/>
          </w:rPr>
          <w:tab/>
        </w:r>
        <w:r w:rsidR="00AC00ED" w:rsidRPr="003F0CC9">
          <w:rPr>
            <w:noProof/>
          </w:rPr>
          <w:fldChar w:fldCharType="begin"/>
        </w:r>
        <w:r w:rsidR="008D33B8" w:rsidRPr="003F0CC9">
          <w:rPr>
            <w:noProof/>
          </w:rPr>
          <w:instrText xml:space="preserve"> PAGEREF _Toc1564317 \h </w:instrText>
        </w:r>
        <w:r w:rsidR="00AC00ED" w:rsidRPr="003F0CC9">
          <w:rPr>
            <w:noProof/>
          </w:rPr>
        </w:r>
        <w:r w:rsidR="00AC00ED" w:rsidRPr="003F0CC9">
          <w:rPr>
            <w:noProof/>
          </w:rPr>
          <w:fldChar w:fldCharType="separate"/>
        </w:r>
        <w:r w:rsidR="004F509E" w:rsidRPr="003F0CC9">
          <w:rPr>
            <w:noProof/>
          </w:rPr>
          <w:t>17</w:t>
        </w:r>
        <w:r w:rsidR="00AC00ED" w:rsidRPr="003F0CC9">
          <w:rPr>
            <w:noProof/>
          </w:rPr>
          <w:fldChar w:fldCharType="end"/>
        </w:r>
      </w:hyperlink>
    </w:p>
    <w:p w14:paraId="41D0C79B" w14:textId="20067F27"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18" w:history="1">
        <w:r w:rsidR="008D33B8" w:rsidRPr="003F0CC9">
          <w:rPr>
            <w:rStyle w:val="af3"/>
            <w:rFonts w:hint="eastAsia"/>
            <w:noProof/>
            <w:color w:val="auto"/>
            <w:u w:val="none"/>
          </w:rPr>
          <w:t>八、基金资产净值计算和会计核算</w:t>
        </w:r>
        <w:r w:rsidR="008D33B8" w:rsidRPr="003F0CC9">
          <w:rPr>
            <w:noProof/>
          </w:rPr>
          <w:tab/>
        </w:r>
        <w:r w:rsidR="00AC00ED" w:rsidRPr="003F0CC9">
          <w:rPr>
            <w:noProof/>
          </w:rPr>
          <w:fldChar w:fldCharType="begin"/>
        </w:r>
        <w:r w:rsidR="008D33B8" w:rsidRPr="003F0CC9">
          <w:rPr>
            <w:noProof/>
          </w:rPr>
          <w:instrText xml:space="preserve"> PAGEREF _Toc1564318 \h </w:instrText>
        </w:r>
        <w:r w:rsidR="00AC00ED" w:rsidRPr="003F0CC9">
          <w:rPr>
            <w:noProof/>
          </w:rPr>
        </w:r>
        <w:r w:rsidR="00AC00ED" w:rsidRPr="003F0CC9">
          <w:rPr>
            <w:noProof/>
          </w:rPr>
          <w:fldChar w:fldCharType="separate"/>
        </w:r>
        <w:r w:rsidR="004F509E" w:rsidRPr="003F0CC9">
          <w:rPr>
            <w:noProof/>
          </w:rPr>
          <w:t>20</w:t>
        </w:r>
        <w:r w:rsidR="00AC00ED" w:rsidRPr="003F0CC9">
          <w:rPr>
            <w:noProof/>
          </w:rPr>
          <w:fldChar w:fldCharType="end"/>
        </w:r>
      </w:hyperlink>
    </w:p>
    <w:p w14:paraId="01866E23" w14:textId="650FEE36"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19" w:history="1">
        <w:r w:rsidR="008D33B8" w:rsidRPr="003F0CC9">
          <w:rPr>
            <w:rStyle w:val="af3"/>
            <w:rFonts w:ascii="宋体" w:hAnsi="宋体" w:hint="eastAsia"/>
            <w:noProof/>
            <w:color w:val="auto"/>
            <w:u w:val="none"/>
          </w:rPr>
          <w:t>九、基金收益分配</w:t>
        </w:r>
        <w:r w:rsidR="008D33B8" w:rsidRPr="003F0CC9">
          <w:rPr>
            <w:noProof/>
          </w:rPr>
          <w:tab/>
        </w:r>
        <w:r w:rsidR="00AC00ED" w:rsidRPr="003F0CC9">
          <w:rPr>
            <w:noProof/>
          </w:rPr>
          <w:fldChar w:fldCharType="begin"/>
        </w:r>
        <w:r w:rsidR="008D33B8" w:rsidRPr="003F0CC9">
          <w:rPr>
            <w:noProof/>
          </w:rPr>
          <w:instrText xml:space="preserve"> PAGEREF _Toc1564319 \h </w:instrText>
        </w:r>
        <w:r w:rsidR="00AC00ED" w:rsidRPr="003F0CC9">
          <w:rPr>
            <w:noProof/>
          </w:rPr>
        </w:r>
        <w:r w:rsidR="00AC00ED" w:rsidRPr="003F0CC9">
          <w:rPr>
            <w:noProof/>
          </w:rPr>
          <w:fldChar w:fldCharType="separate"/>
        </w:r>
        <w:r w:rsidR="004F509E" w:rsidRPr="003F0CC9">
          <w:rPr>
            <w:noProof/>
          </w:rPr>
          <w:t>28</w:t>
        </w:r>
        <w:r w:rsidR="00AC00ED" w:rsidRPr="003F0CC9">
          <w:rPr>
            <w:noProof/>
          </w:rPr>
          <w:fldChar w:fldCharType="end"/>
        </w:r>
      </w:hyperlink>
    </w:p>
    <w:p w14:paraId="1D3BEC9D" w14:textId="40BF8B3D"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20" w:history="1">
        <w:r w:rsidR="008D33B8" w:rsidRPr="003F0CC9">
          <w:rPr>
            <w:rStyle w:val="af3"/>
            <w:rFonts w:hint="eastAsia"/>
            <w:noProof/>
            <w:color w:val="auto"/>
            <w:u w:val="none"/>
          </w:rPr>
          <w:t>十、信息</w:t>
        </w:r>
        <w:bookmarkStart w:id="39" w:name="_Hlt27984610"/>
        <w:bookmarkStart w:id="40" w:name="_Hlt27984611"/>
        <w:r w:rsidR="008D33B8" w:rsidRPr="003F0CC9">
          <w:rPr>
            <w:rStyle w:val="af3"/>
            <w:rFonts w:hint="eastAsia"/>
            <w:noProof/>
            <w:color w:val="auto"/>
            <w:u w:val="none"/>
          </w:rPr>
          <w:t>披</w:t>
        </w:r>
        <w:bookmarkEnd w:id="39"/>
        <w:bookmarkEnd w:id="40"/>
        <w:r w:rsidR="008D33B8" w:rsidRPr="003F0CC9">
          <w:rPr>
            <w:rStyle w:val="af3"/>
            <w:rFonts w:hint="eastAsia"/>
            <w:noProof/>
            <w:color w:val="auto"/>
            <w:u w:val="none"/>
          </w:rPr>
          <w:t>露</w:t>
        </w:r>
        <w:r w:rsidR="008D33B8" w:rsidRPr="003F0CC9">
          <w:rPr>
            <w:noProof/>
          </w:rPr>
          <w:tab/>
        </w:r>
        <w:r w:rsidR="00AC00ED" w:rsidRPr="003F0CC9">
          <w:rPr>
            <w:noProof/>
          </w:rPr>
          <w:fldChar w:fldCharType="begin"/>
        </w:r>
        <w:r w:rsidR="008D33B8" w:rsidRPr="003F0CC9">
          <w:rPr>
            <w:noProof/>
          </w:rPr>
          <w:instrText xml:space="preserve"> PAGEREF _Toc1564320 \h </w:instrText>
        </w:r>
        <w:r w:rsidR="00AC00ED" w:rsidRPr="003F0CC9">
          <w:rPr>
            <w:noProof/>
          </w:rPr>
        </w:r>
        <w:r w:rsidR="00AC00ED" w:rsidRPr="003F0CC9">
          <w:rPr>
            <w:noProof/>
          </w:rPr>
          <w:fldChar w:fldCharType="separate"/>
        </w:r>
        <w:r w:rsidR="004F509E" w:rsidRPr="003F0CC9">
          <w:rPr>
            <w:noProof/>
          </w:rPr>
          <w:t>29</w:t>
        </w:r>
        <w:r w:rsidR="00AC00ED" w:rsidRPr="003F0CC9">
          <w:rPr>
            <w:noProof/>
          </w:rPr>
          <w:fldChar w:fldCharType="end"/>
        </w:r>
      </w:hyperlink>
    </w:p>
    <w:p w14:paraId="1EF109D9" w14:textId="29F803BA"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21" w:history="1">
        <w:r w:rsidR="008D33B8" w:rsidRPr="003F0CC9">
          <w:rPr>
            <w:rStyle w:val="af3"/>
            <w:rFonts w:hint="eastAsia"/>
            <w:noProof/>
            <w:color w:val="auto"/>
            <w:u w:val="none"/>
          </w:rPr>
          <w:t>十一、基金费用</w:t>
        </w:r>
        <w:r w:rsidR="008D33B8" w:rsidRPr="003F0CC9">
          <w:rPr>
            <w:noProof/>
          </w:rPr>
          <w:tab/>
        </w:r>
        <w:r w:rsidR="00AC00ED" w:rsidRPr="003F0CC9">
          <w:rPr>
            <w:noProof/>
          </w:rPr>
          <w:fldChar w:fldCharType="begin"/>
        </w:r>
        <w:r w:rsidR="008D33B8" w:rsidRPr="003F0CC9">
          <w:rPr>
            <w:noProof/>
          </w:rPr>
          <w:instrText xml:space="preserve"> PAGEREF _Toc1564321 \h </w:instrText>
        </w:r>
        <w:r w:rsidR="00AC00ED" w:rsidRPr="003F0CC9">
          <w:rPr>
            <w:noProof/>
          </w:rPr>
        </w:r>
        <w:r w:rsidR="00AC00ED" w:rsidRPr="003F0CC9">
          <w:rPr>
            <w:noProof/>
          </w:rPr>
          <w:fldChar w:fldCharType="separate"/>
        </w:r>
        <w:r w:rsidR="004F509E" w:rsidRPr="003F0CC9">
          <w:rPr>
            <w:noProof/>
          </w:rPr>
          <w:t>31</w:t>
        </w:r>
        <w:r w:rsidR="00AC00ED" w:rsidRPr="003F0CC9">
          <w:rPr>
            <w:noProof/>
          </w:rPr>
          <w:fldChar w:fldCharType="end"/>
        </w:r>
      </w:hyperlink>
    </w:p>
    <w:p w14:paraId="20137B66" w14:textId="4C7ABE68"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22" w:history="1">
        <w:r w:rsidR="008D33B8" w:rsidRPr="003F0CC9">
          <w:rPr>
            <w:rStyle w:val="af3"/>
            <w:rFonts w:hint="eastAsia"/>
            <w:noProof/>
            <w:color w:val="auto"/>
            <w:u w:val="none"/>
          </w:rPr>
          <w:t>十二、基金份额持有人名册的保管</w:t>
        </w:r>
        <w:r w:rsidR="008D33B8" w:rsidRPr="003F0CC9">
          <w:rPr>
            <w:noProof/>
          </w:rPr>
          <w:tab/>
        </w:r>
        <w:r w:rsidR="00AC00ED" w:rsidRPr="003F0CC9">
          <w:rPr>
            <w:noProof/>
          </w:rPr>
          <w:fldChar w:fldCharType="begin"/>
        </w:r>
        <w:r w:rsidR="008D33B8" w:rsidRPr="003F0CC9">
          <w:rPr>
            <w:noProof/>
          </w:rPr>
          <w:instrText xml:space="preserve"> PAGEREF _Toc1564322 \h </w:instrText>
        </w:r>
        <w:r w:rsidR="00AC00ED" w:rsidRPr="003F0CC9">
          <w:rPr>
            <w:noProof/>
          </w:rPr>
        </w:r>
        <w:r w:rsidR="00AC00ED" w:rsidRPr="003F0CC9">
          <w:rPr>
            <w:noProof/>
          </w:rPr>
          <w:fldChar w:fldCharType="separate"/>
        </w:r>
        <w:r w:rsidR="004F509E" w:rsidRPr="003F0CC9">
          <w:rPr>
            <w:noProof/>
          </w:rPr>
          <w:t>33</w:t>
        </w:r>
        <w:r w:rsidR="00AC00ED" w:rsidRPr="003F0CC9">
          <w:rPr>
            <w:noProof/>
          </w:rPr>
          <w:fldChar w:fldCharType="end"/>
        </w:r>
      </w:hyperlink>
    </w:p>
    <w:p w14:paraId="2671C4AC" w14:textId="19EE628E"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23" w:history="1">
        <w:r w:rsidR="008D33B8" w:rsidRPr="003F0CC9">
          <w:rPr>
            <w:rStyle w:val="af3"/>
            <w:rFonts w:hint="eastAsia"/>
            <w:noProof/>
            <w:color w:val="auto"/>
            <w:u w:val="none"/>
          </w:rPr>
          <w:t>十三、基金有关文件和档案的保存</w:t>
        </w:r>
        <w:r w:rsidR="008D33B8" w:rsidRPr="003F0CC9">
          <w:rPr>
            <w:noProof/>
          </w:rPr>
          <w:tab/>
        </w:r>
        <w:r w:rsidR="00AC00ED" w:rsidRPr="003F0CC9">
          <w:rPr>
            <w:noProof/>
          </w:rPr>
          <w:fldChar w:fldCharType="begin"/>
        </w:r>
        <w:r w:rsidR="008D33B8" w:rsidRPr="003F0CC9">
          <w:rPr>
            <w:noProof/>
          </w:rPr>
          <w:instrText xml:space="preserve"> PAGEREF _Toc1564323 \h </w:instrText>
        </w:r>
        <w:r w:rsidR="00AC00ED" w:rsidRPr="003F0CC9">
          <w:rPr>
            <w:noProof/>
          </w:rPr>
        </w:r>
        <w:r w:rsidR="00AC00ED" w:rsidRPr="003F0CC9">
          <w:rPr>
            <w:noProof/>
          </w:rPr>
          <w:fldChar w:fldCharType="separate"/>
        </w:r>
        <w:r w:rsidR="004F509E" w:rsidRPr="003F0CC9">
          <w:rPr>
            <w:noProof/>
          </w:rPr>
          <w:t>34</w:t>
        </w:r>
        <w:r w:rsidR="00AC00ED" w:rsidRPr="003F0CC9">
          <w:rPr>
            <w:noProof/>
          </w:rPr>
          <w:fldChar w:fldCharType="end"/>
        </w:r>
      </w:hyperlink>
    </w:p>
    <w:p w14:paraId="7592B6B0" w14:textId="7E9525C9"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24" w:history="1">
        <w:r w:rsidR="008D33B8" w:rsidRPr="003F0CC9">
          <w:rPr>
            <w:rStyle w:val="af3"/>
            <w:rFonts w:hint="eastAsia"/>
            <w:noProof/>
            <w:color w:val="auto"/>
            <w:u w:val="none"/>
          </w:rPr>
          <w:t>十四、基金管理人和基</w:t>
        </w:r>
        <w:bookmarkStart w:id="41" w:name="_Hlt28015753"/>
        <w:bookmarkStart w:id="42" w:name="_Hlt28014547"/>
        <w:r w:rsidR="008D33B8" w:rsidRPr="003F0CC9">
          <w:rPr>
            <w:rStyle w:val="af3"/>
            <w:rFonts w:hint="eastAsia"/>
            <w:noProof/>
            <w:color w:val="auto"/>
            <w:u w:val="none"/>
          </w:rPr>
          <w:t>金</w:t>
        </w:r>
        <w:bookmarkEnd w:id="41"/>
        <w:bookmarkEnd w:id="42"/>
        <w:r w:rsidR="008D33B8" w:rsidRPr="003F0CC9">
          <w:rPr>
            <w:rStyle w:val="af3"/>
            <w:rFonts w:hint="eastAsia"/>
            <w:noProof/>
            <w:color w:val="auto"/>
            <w:u w:val="none"/>
          </w:rPr>
          <w:t>托</w:t>
        </w:r>
        <w:bookmarkStart w:id="43" w:name="_Hlt28015517"/>
        <w:r w:rsidR="008D33B8" w:rsidRPr="003F0CC9">
          <w:rPr>
            <w:rStyle w:val="af3"/>
            <w:rFonts w:hint="eastAsia"/>
            <w:noProof/>
            <w:color w:val="auto"/>
            <w:u w:val="none"/>
          </w:rPr>
          <w:t>管</w:t>
        </w:r>
        <w:bookmarkEnd w:id="43"/>
        <w:r w:rsidR="008D33B8" w:rsidRPr="003F0CC9">
          <w:rPr>
            <w:rStyle w:val="af3"/>
            <w:rFonts w:hint="eastAsia"/>
            <w:noProof/>
            <w:color w:val="auto"/>
            <w:u w:val="none"/>
          </w:rPr>
          <w:t>人的更换</w:t>
        </w:r>
        <w:r w:rsidR="008D33B8" w:rsidRPr="003F0CC9">
          <w:rPr>
            <w:noProof/>
          </w:rPr>
          <w:tab/>
        </w:r>
        <w:r w:rsidR="00AC00ED" w:rsidRPr="003F0CC9">
          <w:rPr>
            <w:noProof/>
          </w:rPr>
          <w:fldChar w:fldCharType="begin"/>
        </w:r>
        <w:r w:rsidR="008D33B8" w:rsidRPr="003F0CC9">
          <w:rPr>
            <w:noProof/>
          </w:rPr>
          <w:instrText xml:space="preserve"> PAGEREF _Toc1564324 \h </w:instrText>
        </w:r>
        <w:r w:rsidR="00AC00ED" w:rsidRPr="003F0CC9">
          <w:rPr>
            <w:noProof/>
          </w:rPr>
        </w:r>
        <w:r w:rsidR="00AC00ED" w:rsidRPr="003F0CC9">
          <w:rPr>
            <w:noProof/>
          </w:rPr>
          <w:fldChar w:fldCharType="separate"/>
        </w:r>
        <w:r w:rsidR="004F509E" w:rsidRPr="003F0CC9">
          <w:rPr>
            <w:noProof/>
          </w:rPr>
          <w:t>35</w:t>
        </w:r>
        <w:r w:rsidR="00AC00ED" w:rsidRPr="003F0CC9">
          <w:rPr>
            <w:noProof/>
          </w:rPr>
          <w:fldChar w:fldCharType="end"/>
        </w:r>
      </w:hyperlink>
    </w:p>
    <w:p w14:paraId="187768FA" w14:textId="7A127478"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25" w:history="1">
        <w:r w:rsidR="008D33B8" w:rsidRPr="003F0CC9">
          <w:rPr>
            <w:rStyle w:val="af3"/>
            <w:rFonts w:hint="eastAsia"/>
            <w:noProof/>
            <w:color w:val="auto"/>
            <w:u w:val="none"/>
          </w:rPr>
          <w:t>十五、禁止行为</w:t>
        </w:r>
        <w:r w:rsidR="008D33B8" w:rsidRPr="003F0CC9">
          <w:rPr>
            <w:noProof/>
          </w:rPr>
          <w:tab/>
        </w:r>
        <w:r w:rsidR="00AC00ED" w:rsidRPr="003F0CC9">
          <w:rPr>
            <w:noProof/>
          </w:rPr>
          <w:fldChar w:fldCharType="begin"/>
        </w:r>
        <w:r w:rsidR="008D33B8" w:rsidRPr="003F0CC9">
          <w:rPr>
            <w:noProof/>
          </w:rPr>
          <w:instrText xml:space="preserve"> PAGEREF _Toc1564325 \h </w:instrText>
        </w:r>
        <w:r w:rsidR="00AC00ED" w:rsidRPr="003F0CC9">
          <w:rPr>
            <w:noProof/>
          </w:rPr>
        </w:r>
        <w:r w:rsidR="00AC00ED" w:rsidRPr="003F0CC9">
          <w:rPr>
            <w:noProof/>
          </w:rPr>
          <w:fldChar w:fldCharType="separate"/>
        </w:r>
        <w:r w:rsidR="004F509E" w:rsidRPr="003F0CC9">
          <w:rPr>
            <w:noProof/>
          </w:rPr>
          <w:t>38</w:t>
        </w:r>
        <w:r w:rsidR="00AC00ED" w:rsidRPr="003F0CC9">
          <w:rPr>
            <w:noProof/>
          </w:rPr>
          <w:fldChar w:fldCharType="end"/>
        </w:r>
      </w:hyperlink>
    </w:p>
    <w:p w14:paraId="3802F166" w14:textId="11D59209"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26" w:history="1">
        <w:r w:rsidR="008D33B8" w:rsidRPr="003F0CC9">
          <w:rPr>
            <w:rStyle w:val="af3"/>
            <w:rFonts w:hint="eastAsia"/>
            <w:noProof/>
            <w:color w:val="auto"/>
            <w:u w:val="none"/>
          </w:rPr>
          <w:t>十六、基金托管协议的</w:t>
        </w:r>
        <w:bookmarkStart w:id="44" w:name="_Hlt28014748"/>
        <w:r w:rsidR="008D33B8" w:rsidRPr="003F0CC9">
          <w:rPr>
            <w:rStyle w:val="af3"/>
            <w:rFonts w:hint="eastAsia"/>
            <w:noProof/>
            <w:color w:val="auto"/>
            <w:u w:val="none"/>
          </w:rPr>
          <w:t>变</w:t>
        </w:r>
        <w:bookmarkStart w:id="45" w:name="_Hlt28015595"/>
        <w:bookmarkStart w:id="46" w:name="_Hlt28015485"/>
        <w:bookmarkEnd w:id="44"/>
        <w:r w:rsidR="008D33B8" w:rsidRPr="003F0CC9">
          <w:rPr>
            <w:rStyle w:val="af3"/>
            <w:rFonts w:hint="eastAsia"/>
            <w:noProof/>
            <w:color w:val="auto"/>
            <w:u w:val="none"/>
          </w:rPr>
          <w:t>更</w:t>
        </w:r>
        <w:bookmarkEnd w:id="45"/>
        <w:bookmarkEnd w:id="46"/>
        <w:r w:rsidR="008D33B8" w:rsidRPr="003F0CC9">
          <w:rPr>
            <w:rStyle w:val="af3"/>
            <w:rFonts w:hint="eastAsia"/>
            <w:noProof/>
            <w:color w:val="auto"/>
            <w:u w:val="none"/>
          </w:rPr>
          <w:t>、终止与基金财产的清算</w:t>
        </w:r>
        <w:r w:rsidR="008D33B8" w:rsidRPr="003F0CC9">
          <w:rPr>
            <w:noProof/>
          </w:rPr>
          <w:tab/>
        </w:r>
        <w:r w:rsidR="00AC00ED" w:rsidRPr="003F0CC9">
          <w:rPr>
            <w:noProof/>
          </w:rPr>
          <w:fldChar w:fldCharType="begin"/>
        </w:r>
        <w:r w:rsidR="008D33B8" w:rsidRPr="003F0CC9">
          <w:rPr>
            <w:noProof/>
          </w:rPr>
          <w:instrText xml:space="preserve"> PAGEREF _Toc1564326 \h </w:instrText>
        </w:r>
        <w:r w:rsidR="00AC00ED" w:rsidRPr="003F0CC9">
          <w:rPr>
            <w:noProof/>
          </w:rPr>
        </w:r>
        <w:r w:rsidR="00AC00ED" w:rsidRPr="003F0CC9">
          <w:rPr>
            <w:noProof/>
          </w:rPr>
          <w:fldChar w:fldCharType="separate"/>
        </w:r>
        <w:r w:rsidR="004F509E" w:rsidRPr="003F0CC9">
          <w:rPr>
            <w:noProof/>
          </w:rPr>
          <w:t>39</w:t>
        </w:r>
        <w:r w:rsidR="00AC00ED" w:rsidRPr="003F0CC9">
          <w:rPr>
            <w:noProof/>
          </w:rPr>
          <w:fldChar w:fldCharType="end"/>
        </w:r>
      </w:hyperlink>
    </w:p>
    <w:p w14:paraId="63F3A0D5" w14:textId="2270F8F2"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27" w:history="1">
        <w:r w:rsidR="008D33B8" w:rsidRPr="003F0CC9">
          <w:rPr>
            <w:rStyle w:val="af3"/>
            <w:rFonts w:hint="eastAsia"/>
            <w:noProof/>
            <w:color w:val="auto"/>
            <w:u w:val="none"/>
          </w:rPr>
          <w:t>十七、违约责</w:t>
        </w:r>
        <w:bookmarkStart w:id="47" w:name="_Hlt105511661"/>
        <w:bookmarkStart w:id="48" w:name="_Hlt105511660"/>
        <w:r w:rsidR="008D33B8" w:rsidRPr="003F0CC9">
          <w:rPr>
            <w:rStyle w:val="af3"/>
            <w:rFonts w:hint="eastAsia"/>
            <w:noProof/>
            <w:color w:val="auto"/>
            <w:u w:val="none"/>
          </w:rPr>
          <w:t>任</w:t>
        </w:r>
        <w:bookmarkEnd w:id="47"/>
        <w:bookmarkEnd w:id="48"/>
        <w:r w:rsidR="008D33B8" w:rsidRPr="003F0CC9">
          <w:rPr>
            <w:noProof/>
          </w:rPr>
          <w:tab/>
        </w:r>
        <w:r w:rsidR="00AC00ED" w:rsidRPr="003F0CC9">
          <w:rPr>
            <w:noProof/>
          </w:rPr>
          <w:fldChar w:fldCharType="begin"/>
        </w:r>
        <w:r w:rsidR="008D33B8" w:rsidRPr="003F0CC9">
          <w:rPr>
            <w:noProof/>
          </w:rPr>
          <w:instrText xml:space="preserve"> PAGEREF _Toc1564327 \h </w:instrText>
        </w:r>
        <w:r w:rsidR="00AC00ED" w:rsidRPr="003F0CC9">
          <w:rPr>
            <w:noProof/>
          </w:rPr>
        </w:r>
        <w:r w:rsidR="00AC00ED" w:rsidRPr="003F0CC9">
          <w:rPr>
            <w:noProof/>
          </w:rPr>
          <w:fldChar w:fldCharType="separate"/>
        </w:r>
        <w:r w:rsidR="004F509E" w:rsidRPr="003F0CC9">
          <w:rPr>
            <w:noProof/>
          </w:rPr>
          <w:t>41</w:t>
        </w:r>
        <w:r w:rsidR="00AC00ED" w:rsidRPr="003F0CC9">
          <w:rPr>
            <w:noProof/>
          </w:rPr>
          <w:fldChar w:fldCharType="end"/>
        </w:r>
      </w:hyperlink>
    </w:p>
    <w:p w14:paraId="146DEFDC" w14:textId="3DE97801"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28" w:history="1">
        <w:r w:rsidR="008D33B8" w:rsidRPr="003F0CC9">
          <w:rPr>
            <w:rStyle w:val="af3"/>
            <w:rFonts w:hint="eastAsia"/>
            <w:noProof/>
            <w:color w:val="auto"/>
            <w:u w:val="none"/>
          </w:rPr>
          <w:t>十八、争议解决方式</w:t>
        </w:r>
        <w:r w:rsidR="008D33B8" w:rsidRPr="003F0CC9">
          <w:rPr>
            <w:noProof/>
          </w:rPr>
          <w:tab/>
        </w:r>
        <w:r w:rsidR="00AC00ED" w:rsidRPr="003F0CC9">
          <w:rPr>
            <w:noProof/>
          </w:rPr>
          <w:fldChar w:fldCharType="begin"/>
        </w:r>
        <w:r w:rsidR="008D33B8" w:rsidRPr="003F0CC9">
          <w:rPr>
            <w:noProof/>
          </w:rPr>
          <w:instrText xml:space="preserve"> PAGEREF _Toc1564328 \h </w:instrText>
        </w:r>
        <w:r w:rsidR="00AC00ED" w:rsidRPr="003F0CC9">
          <w:rPr>
            <w:noProof/>
          </w:rPr>
        </w:r>
        <w:r w:rsidR="00AC00ED" w:rsidRPr="003F0CC9">
          <w:rPr>
            <w:noProof/>
          </w:rPr>
          <w:fldChar w:fldCharType="separate"/>
        </w:r>
        <w:r w:rsidR="004F509E" w:rsidRPr="003F0CC9">
          <w:rPr>
            <w:noProof/>
          </w:rPr>
          <w:t>42</w:t>
        </w:r>
        <w:r w:rsidR="00AC00ED" w:rsidRPr="003F0CC9">
          <w:rPr>
            <w:noProof/>
          </w:rPr>
          <w:fldChar w:fldCharType="end"/>
        </w:r>
      </w:hyperlink>
    </w:p>
    <w:p w14:paraId="589794A6" w14:textId="5E55F8D4"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29" w:history="1">
        <w:r w:rsidR="008D33B8" w:rsidRPr="003F0CC9">
          <w:rPr>
            <w:rStyle w:val="af3"/>
            <w:rFonts w:ascii="宋体" w:hAnsi="宋体" w:hint="eastAsia"/>
            <w:noProof/>
            <w:color w:val="auto"/>
            <w:u w:val="none"/>
          </w:rPr>
          <w:t>十九、基金托管协议的效力</w:t>
        </w:r>
        <w:r w:rsidR="008D33B8" w:rsidRPr="003F0CC9">
          <w:rPr>
            <w:noProof/>
          </w:rPr>
          <w:tab/>
        </w:r>
        <w:r w:rsidR="00AC00ED" w:rsidRPr="003F0CC9">
          <w:rPr>
            <w:noProof/>
          </w:rPr>
          <w:fldChar w:fldCharType="begin"/>
        </w:r>
        <w:r w:rsidR="008D33B8" w:rsidRPr="003F0CC9">
          <w:rPr>
            <w:noProof/>
          </w:rPr>
          <w:instrText xml:space="preserve"> PAGEREF _Toc1564329 \h </w:instrText>
        </w:r>
        <w:r w:rsidR="00AC00ED" w:rsidRPr="003F0CC9">
          <w:rPr>
            <w:noProof/>
          </w:rPr>
        </w:r>
        <w:r w:rsidR="00AC00ED" w:rsidRPr="003F0CC9">
          <w:rPr>
            <w:noProof/>
          </w:rPr>
          <w:fldChar w:fldCharType="separate"/>
        </w:r>
        <w:r w:rsidR="004F509E" w:rsidRPr="003F0CC9">
          <w:rPr>
            <w:noProof/>
          </w:rPr>
          <w:t>43</w:t>
        </w:r>
        <w:r w:rsidR="00AC00ED" w:rsidRPr="003F0CC9">
          <w:rPr>
            <w:noProof/>
          </w:rPr>
          <w:fldChar w:fldCharType="end"/>
        </w:r>
      </w:hyperlink>
    </w:p>
    <w:p w14:paraId="4A2E9A51" w14:textId="2E7F7DED"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30" w:history="1">
        <w:r w:rsidR="008D33B8" w:rsidRPr="003F0CC9">
          <w:rPr>
            <w:rStyle w:val="af3"/>
            <w:rFonts w:hint="eastAsia"/>
            <w:noProof/>
            <w:color w:val="auto"/>
            <w:u w:val="none"/>
          </w:rPr>
          <w:t>二十、其他事项</w:t>
        </w:r>
        <w:r w:rsidR="008D33B8" w:rsidRPr="003F0CC9">
          <w:rPr>
            <w:noProof/>
          </w:rPr>
          <w:tab/>
        </w:r>
        <w:r w:rsidR="00AC00ED" w:rsidRPr="003F0CC9">
          <w:rPr>
            <w:noProof/>
          </w:rPr>
          <w:fldChar w:fldCharType="begin"/>
        </w:r>
        <w:r w:rsidR="008D33B8" w:rsidRPr="003F0CC9">
          <w:rPr>
            <w:noProof/>
          </w:rPr>
          <w:instrText xml:space="preserve"> PAGEREF _Toc1564330 \h </w:instrText>
        </w:r>
        <w:r w:rsidR="00AC00ED" w:rsidRPr="003F0CC9">
          <w:rPr>
            <w:noProof/>
          </w:rPr>
        </w:r>
        <w:r w:rsidR="00AC00ED" w:rsidRPr="003F0CC9">
          <w:rPr>
            <w:noProof/>
          </w:rPr>
          <w:fldChar w:fldCharType="separate"/>
        </w:r>
        <w:r w:rsidR="004F509E" w:rsidRPr="003F0CC9">
          <w:rPr>
            <w:noProof/>
          </w:rPr>
          <w:t>44</w:t>
        </w:r>
        <w:r w:rsidR="00AC00ED" w:rsidRPr="003F0CC9">
          <w:rPr>
            <w:noProof/>
          </w:rPr>
          <w:fldChar w:fldCharType="end"/>
        </w:r>
      </w:hyperlink>
    </w:p>
    <w:p w14:paraId="78E2F27C" w14:textId="0C016D3C" w:rsidR="004518C1" w:rsidRPr="003F0CC9" w:rsidRDefault="00AE7868">
      <w:pPr>
        <w:pStyle w:val="10"/>
        <w:tabs>
          <w:tab w:val="right" w:leader="dot" w:pos="8296"/>
        </w:tabs>
        <w:spacing w:before="120"/>
        <w:rPr>
          <w:rFonts w:ascii="Calibri" w:hAnsi="Calibri" w:cs="Times New Roman"/>
          <w:b w:val="0"/>
          <w:bCs w:val="0"/>
          <w:caps w:val="0"/>
          <w:noProof/>
          <w:sz w:val="21"/>
          <w:szCs w:val="22"/>
        </w:rPr>
      </w:pPr>
      <w:hyperlink w:anchor="_Toc1564331" w:history="1">
        <w:r w:rsidR="008D33B8" w:rsidRPr="003F0CC9">
          <w:rPr>
            <w:rStyle w:val="af3"/>
            <w:rFonts w:ascii="宋体" w:hAnsi="宋体" w:hint="eastAsia"/>
            <w:noProof/>
            <w:color w:val="auto"/>
            <w:u w:val="none"/>
          </w:rPr>
          <w:t>二十一、基金托管协议的签订</w:t>
        </w:r>
        <w:r w:rsidR="008D33B8" w:rsidRPr="003F0CC9">
          <w:rPr>
            <w:noProof/>
          </w:rPr>
          <w:tab/>
        </w:r>
        <w:r w:rsidR="00AC00ED" w:rsidRPr="003F0CC9">
          <w:rPr>
            <w:noProof/>
          </w:rPr>
          <w:fldChar w:fldCharType="begin"/>
        </w:r>
        <w:r w:rsidR="008D33B8" w:rsidRPr="003F0CC9">
          <w:rPr>
            <w:noProof/>
          </w:rPr>
          <w:instrText xml:space="preserve"> PAGEREF _Toc1564331 \h </w:instrText>
        </w:r>
        <w:r w:rsidR="00AC00ED" w:rsidRPr="003F0CC9">
          <w:rPr>
            <w:noProof/>
          </w:rPr>
        </w:r>
        <w:r w:rsidR="00AC00ED" w:rsidRPr="003F0CC9">
          <w:rPr>
            <w:noProof/>
          </w:rPr>
          <w:fldChar w:fldCharType="separate"/>
        </w:r>
        <w:r w:rsidR="004F509E" w:rsidRPr="003F0CC9">
          <w:rPr>
            <w:noProof/>
          </w:rPr>
          <w:t>45</w:t>
        </w:r>
        <w:r w:rsidR="00AC00ED" w:rsidRPr="003F0CC9">
          <w:rPr>
            <w:noProof/>
          </w:rPr>
          <w:fldChar w:fldCharType="end"/>
        </w:r>
      </w:hyperlink>
    </w:p>
    <w:p w14:paraId="357D6FD1" w14:textId="77777777" w:rsidR="004518C1" w:rsidRPr="003F0CC9" w:rsidRDefault="00AC00ED">
      <w:pPr>
        <w:adjustRightInd w:val="0"/>
        <w:contextualSpacing/>
        <w:rPr>
          <w:szCs w:val="21"/>
        </w:rPr>
      </w:pPr>
      <w:r w:rsidRPr="003F0CC9">
        <w:rPr>
          <w:rFonts w:ascii="Arial" w:hAnsi="Arial" w:cs="Arial"/>
          <w:b/>
          <w:bCs/>
          <w:caps/>
          <w:szCs w:val="21"/>
        </w:rPr>
        <w:fldChar w:fldCharType="end"/>
      </w:r>
    </w:p>
    <w:p w14:paraId="283766A4" w14:textId="77777777" w:rsidR="004518C1" w:rsidRPr="003F0CC9" w:rsidRDefault="004518C1">
      <w:pPr>
        <w:adjustRightInd w:val="0"/>
        <w:contextualSpacing/>
      </w:pPr>
    </w:p>
    <w:p w14:paraId="70696084" w14:textId="77777777" w:rsidR="004518C1" w:rsidRPr="003F0CC9" w:rsidRDefault="004518C1">
      <w:pPr>
        <w:adjustRightInd w:val="0"/>
        <w:contextualSpacing/>
        <w:sectPr w:rsidR="004518C1" w:rsidRPr="003F0CC9">
          <w:headerReference w:type="default" r:id="rId7"/>
          <w:footerReference w:type="even" r:id="rId8"/>
          <w:footerReference w:type="default" r:id="rId9"/>
          <w:pgSz w:w="11906" w:h="16838"/>
          <w:pgMar w:top="1440" w:right="1800" w:bottom="1440" w:left="1800" w:header="851" w:footer="992" w:gutter="0"/>
          <w:pgNumType w:start="0"/>
          <w:cols w:space="720"/>
          <w:titlePg/>
          <w:docGrid w:type="lines" w:linePitch="312"/>
        </w:sectPr>
      </w:pPr>
    </w:p>
    <w:p w14:paraId="15A897F9" w14:textId="77777777" w:rsidR="004518C1" w:rsidRPr="003F0CC9" w:rsidRDefault="008D33B8">
      <w:pPr>
        <w:pStyle w:val="1"/>
        <w:adjustRightInd w:val="0"/>
        <w:spacing w:line="360" w:lineRule="auto"/>
        <w:contextualSpacing/>
        <w:jc w:val="center"/>
        <w:rPr>
          <w:rFonts w:ascii="宋体" w:hAnsi="宋体"/>
          <w:sz w:val="30"/>
          <w:szCs w:val="30"/>
        </w:rPr>
      </w:pPr>
      <w:bookmarkStart w:id="49" w:name="_Toc22454432"/>
      <w:bookmarkStart w:id="50" w:name="_Toc1564311"/>
      <w:bookmarkStart w:id="51" w:name="_Toc125361073"/>
      <w:bookmarkStart w:id="52" w:name="_Toc523829992"/>
      <w:bookmarkStart w:id="53" w:name="_Toc123626167"/>
      <w:bookmarkStart w:id="54" w:name="_Toc124749225"/>
      <w:bookmarkStart w:id="55" w:name="_Toc124749936"/>
      <w:bookmarkStart w:id="56" w:name="_Toc48703884"/>
      <w:r w:rsidRPr="003F0CC9">
        <w:rPr>
          <w:rFonts w:ascii="宋体" w:hAnsi="宋体" w:hint="eastAsia"/>
          <w:sz w:val="30"/>
          <w:szCs w:val="30"/>
        </w:rPr>
        <w:lastRenderedPageBreak/>
        <w:t>一、基金托管协议当事人</w:t>
      </w:r>
      <w:bookmarkEnd w:id="49"/>
      <w:bookmarkEnd w:id="50"/>
      <w:bookmarkEnd w:id="51"/>
      <w:bookmarkEnd w:id="52"/>
      <w:bookmarkEnd w:id="53"/>
      <w:bookmarkEnd w:id="54"/>
      <w:bookmarkEnd w:id="55"/>
      <w:bookmarkEnd w:id="56"/>
    </w:p>
    <w:p w14:paraId="7FDAF435" w14:textId="77777777" w:rsidR="004518C1" w:rsidRPr="003F0CC9" w:rsidRDefault="008D33B8">
      <w:pPr>
        <w:pStyle w:val="2"/>
        <w:keepNext w:val="0"/>
        <w:keepLines w:val="0"/>
        <w:autoSpaceDE w:val="0"/>
        <w:autoSpaceDN w:val="0"/>
        <w:adjustRightInd w:val="0"/>
        <w:spacing w:before="0" w:after="0" w:line="360" w:lineRule="auto"/>
        <w:ind w:firstLineChars="196" w:firstLine="413"/>
        <w:contextualSpacing/>
        <w:textAlignment w:val="baseline"/>
        <w:rPr>
          <w:rFonts w:ascii="宋体" w:eastAsia="宋体" w:hAnsi="宋体" w:cs="Arial"/>
          <w:kern w:val="0"/>
          <w:sz w:val="21"/>
          <w:szCs w:val="21"/>
        </w:rPr>
      </w:pPr>
      <w:bookmarkStart w:id="57" w:name="_Toc22454433"/>
      <w:bookmarkStart w:id="58" w:name="_Toc48703885"/>
      <w:r w:rsidRPr="003F0CC9">
        <w:rPr>
          <w:rFonts w:ascii="宋体" w:eastAsia="宋体" w:hAnsi="宋体" w:cs="Arial" w:hint="eastAsia"/>
          <w:kern w:val="0"/>
          <w:sz w:val="21"/>
          <w:szCs w:val="21"/>
        </w:rPr>
        <w:t>（一）基金管理人</w:t>
      </w:r>
      <w:bookmarkEnd w:id="57"/>
      <w:bookmarkEnd w:id="58"/>
    </w:p>
    <w:p w14:paraId="0DD7A3C5" w14:textId="77777777" w:rsidR="004518C1" w:rsidRPr="003F0CC9" w:rsidRDefault="008D33B8">
      <w:pPr>
        <w:spacing w:line="360" w:lineRule="auto"/>
        <w:ind w:firstLineChars="200" w:firstLine="420"/>
        <w:rPr>
          <w:rFonts w:ascii="宋体" w:hAnsi="宋体"/>
          <w:szCs w:val="21"/>
        </w:rPr>
      </w:pPr>
      <w:bookmarkStart w:id="59" w:name="_Toc15118236"/>
      <w:r w:rsidRPr="003F0CC9">
        <w:rPr>
          <w:rFonts w:ascii="宋体" w:hAnsi="宋体" w:hint="eastAsia"/>
          <w:szCs w:val="21"/>
        </w:rPr>
        <w:t>名称：国泰基金管理有限公司</w:t>
      </w:r>
    </w:p>
    <w:p w14:paraId="24B282A0"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住所：中国（上海）自由贸易试验区浦东大道1200号2层225室</w:t>
      </w:r>
    </w:p>
    <w:p w14:paraId="6F4A0798"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办公地址：上海市虹口区公平路18号8号楼嘉昱大厦16层-19层</w:t>
      </w:r>
    </w:p>
    <w:p w14:paraId="06123966"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邮政编码：</w:t>
      </w:r>
      <w:r w:rsidRPr="003F0CC9">
        <w:rPr>
          <w:rFonts w:ascii="宋体" w:hAnsi="宋体"/>
          <w:szCs w:val="21"/>
        </w:rPr>
        <w:t>200082</w:t>
      </w:r>
    </w:p>
    <w:p w14:paraId="0430B62E"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法定代表人：邱军</w:t>
      </w:r>
    </w:p>
    <w:p w14:paraId="5BC9B80F"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成立时间：1998年3月5日</w:t>
      </w:r>
    </w:p>
    <w:p w14:paraId="64A6FDE0"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批准设立机关及批准设立文号：中国证监会证监基字【1998】5号</w:t>
      </w:r>
    </w:p>
    <w:p w14:paraId="75665FD3"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组织形式：有限责任公司</w:t>
      </w:r>
    </w:p>
    <w:p w14:paraId="73771F9B"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注册资本：壹亿壹仟万元人民币</w:t>
      </w:r>
    </w:p>
    <w:p w14:paraId="3C046430" w14:textId="77777777" w:rsidR="004518C1" w:rsidRPr="003F0CC9" w:rsidRDefault="008D33B8">
      <w:pPr>
        <w:spacing w:line="360" w:lineRule="auto"/>
        <w:ind w:firstLineChars="200" w:firstLine="420"/>
        <w:outlineLvl w:val="2"/>
        <w:rPr>
          <w:rFonts w:ascii="宋体" w:hAnsi="宋体"/>
          <w:szCs w:val="21"/>
        </w:rPr>
      </w:pPr>
      <w:r w:rsidRPr="003F0CC9">
        <w:rPr>
          <w:rFonts w:ascii="宋体" w:hAnsi="宋体" w:hint="eastAsia"/>
          <w:szCs w:val="21"/>
        </w:rPr>
        <w:t>存续期间：持续经营</w:t>
      </w:r>
    </w:p>
    <w:p w14:paraId="0F84480D" w14:textId="77777777" w:rsidR="004518C1" w:rsidRPr="003F0CC9" w:rsidRDefault="008D33B8">
      <w:pPr>
        <w:spacing w:line="360" w:lineRule="auto"/>
        <w:ind w:firstLineChars="200" w:firstLine="420"/>
        <w:rPr>
          <w:rFonts w:ascii="宋体" w:hAnsi="宋体" w:cs="Arial"/>
          <w:szCs w:val="21"/>
        </w:rPr>
      </w:pPr>
      <w:r w:rsidRPr="003F0CC9">
        <w:rPr>
          <w:rFonts w:ascii="宋体" w:hAnsi="宋体" w:hint="eastAsia"/>
          <w:szCs w:val="21"/>
        </w:rPr>
        <w:t>经营范围：基金设立、基金业务管理，及中国证监会批准的其他业务</w:t>
      </w:r>
    </w:p>
    <w:p w14:paraId="4010F960" w14:textId="77777777" w:rsidR="004518C1" w:rsidRPr="003F0CC9" w:rsidRDefault="008D33B8">
      <w:pPr>
        <w:pStyle w:val="2"/>
        <w:keepNext w:val="0"/>
        <w:keepLines w:val="0"/>
        <w:autoSpaceDE w:val="0"/>
        <w:autoSpaceDN w:val="0"/>
        <w:adjustRightInd w:val="0"/>
        <w:spacing w:before="0" w:after="0" w:line="360" w:lineRule="auto"/>
        <w:ind w:firstLineChars="196" w:firstLine="413"/>
        <w:contextualSpacing/>
        <w:textAlignment w:val="baseline"/>
        <w:rPr>
          <w:rFonts w:ascii="宋体" w:eastAsia="宋体" w:hAnsi="宋体" w:cs="Arial"/>
          <w:kern w:val="0"/>
          <w:sz w:val="21"/>
          <w:szCs w:val="21"/>
        </w:rPr>
      </w:pPr>
      <w:bookmarkStart w:id="60" w:name="_Toc22454434"/>
      <w:bookmarkStart w:id="61" w:name="_Toc48703886"/>
      <w:bookmarkEnd w:id="59"/>
      <w:r w:rsidRPr="003F0CC9">
        <w:rPr>
          <w:rFonts w:ascii="宋体" w:eastAsia="宋体" w:hAnsi="宋体" w:cs="Arial" w:hint="eastAsia"/>
          <w:kern w:val="0"/>
          <w:sz w:val="21"/>
          <w:szCs w:val="21"/>
        </w:rPr>
        <w:t>（二）基金托管人</w:t>
      </w:r>
      <w:bookmarkEnd w:id="60"/>
      <w:bookmarkEnd w:id="61"/>
    </w:p>
    <w:p w14:paraId="663BB7DB"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名称：北京银行股份有限公司</w:t>
      </w:r>
    </w:p>
    <w:p w14:paraId="1C09408D"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住所：北京市西城区金融大街甲17号首层</w:t>
      </w:r>
    </w:p>
    <w:p w14:paraId="29FE1B98" w14:textId="07C09D88"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法定代表人：霍学文</w:t>
      </w:r>
    </w:p>
    <w:p w14:paraId="14755CCE"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传真：（</w:t>
      </w:r>
      <w:r w:rsidRPr="003F0CC9">
        <w:rPr>
          <w:rFonts w:ascii="宋体" w:hAnsi="宋体"/>
          <w:szCs w:val="21"/>
        </w:rPr>
        <w:t>010</w:t>
      </w:r>
      <w:r w:rsidRPr="003F0CC9">
        <w:rPr>
          <w:rFonts w:ascii="宋体" w:hAnsi="宋体" w:hint="eastAsia"/>
          <w:szCs w:val="21"/>
        </w:rPr>
        <w:t>）</w:t>
      </w:r>
      <w:r w:rsidRPr="003F0CC9">
        <w:rPr>
          <w:rFonts w:ascii="宋体" w:hAnsi="宋体"/>
          <w:szCs w:val="21"/>
        </w:rPr>
        <w:t>66</w:t>
      </w:r>
      <w:r w:rsidRPr="003F0CC9">
        <w:rPr>
          <w:rFonts w:ascii="宋体" w:hAnsi="宋体" w:hint="eastAsia"/>
          <w:szCs w:val="21"/>
        </w:rPr>
        <w:t>226045</w:t>
      </w:r>
    </w:p>
    <w:p w14:paraId="7576025B"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成立时间：</w:t>
      </w:r>
      <w:r w:rsidRPr="003F0CC9">
        <w:rPr>
          <w:rFonts w:ascii="宋体" w:hAnsi="宋体"/>
          <w:szCs w:val="21"/>
        </w:rPr>
        <w:t>19</w:t>
      </w:r>
      <w:r w:rsidRPr="003F0CC9">
        <w:rPr>
          <w:rFonts w:ascii="宋体" w:hAnsi="宋体" w:hint="eastAsia"/>
          <w:szCs w:val="21"/>
        </w:rPr>
        <w:t>96年</w:t>
      </w:r>
      <w:r w:rsidRPr="003F0CC9">
        <w:rPr>
          <w:rFonts w:ascii="宋体" w:hAnsi="宋体"/>
          <w:szCs w:val="21"/>
        </w:rPr>
        <w:t>1</w:t>
      </w:r>
      <w:r w:rsidRPr="003F0CC9">
        <w:rPr>
          <w:rFonts w:ascii="宋体" w:hAnsi="宋体" w:hint="eastAsia"/>
          <w:szCs w:val="21"/>
        </w:rPr>
        <w:t>月29日</w:t>
      </w:r>
    </w:p>
    <w:p w14:paraId="4B454DC0"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组织形式：股份有限公司（上市）</w:t>
      </w:r>
    </w:p>
    <w:p w14:paraId="3CC49FC8"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注册资本：</w:t>
      </w:r>
      <w:r w:rsidRPr="003F0CC9">
        <w:rPr>
          <w:rFonts w:ascii="宋体" w:hAnsi="宋体" w:hint="eastAsia"/>
          <w:bCs/>
          <w:szCs w:val="21"/>
        </w:rPr>
        <w:t>2114298.4272</w:t>
      </w:r>
      <w:r w:rsidRPr="003F0CC9">
        <w:rPr>
          <w:rFonts w:ascii="宋体" w:hAnsi="宋体" w:hint="eastAsia"/>
          <w:szCs w:val="21"/>
        </w:rPr>
        <w:t>万元人民币</w:t>
      </w:r>
    </w:p>
    <w:p w14:paraId="5E329E1C"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批准设立机关和设立文号：中国人民银行1995年12月28日《关于北京城市合作银行开业的批复》（银复[1995]470号）</w:t>
      </w:r>
    </w:p>
    <w:p w14:paraId="56E88BEF"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szCs w:val="21"/>
        </w:rPr>
        <w:t>基金托管资格批准文号：</w:t>
      </w:r>
      <w:r w:rsidRPr="003F0CC9">
        <w:rPr>
          <w:rFonts w:ascii="宋体" w:hAnsi="宋体" w:hint="eastAsia"/>
          <w:szCs w:val="21"/>
        </w:rPr>
        <w:t>中国证监会证监许可 [2008]776号</w:t>
      </w:r>
    </w:p>
    <w:p w14:paraId="324D4204"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存续期间：持续经营</w:t>
      </w:r>
    </w:p>
    <w:p w14:paraId="58EA6666"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经营范围：吸收公众存款；发放短期、中期和长期贷款；办理国内结算；办理票据贴现；发行金融债券；代理发行、代理兑付、承销政府债券；买卖政府债券；从事同业拆借；提供担保；代理收付款项及代理保险业务；提供保管箱业务；办理地方财政信用周转使用资金的委托贷款业务；外汇存款；外汇贷款；外汇汇款；外币兑换；同业外汇拆借；国际结算；结</w:t>
      </w:r>
      <w:r w:rsidRPr="003F0CC9">
        <w:rPr>
          <w:rFonts w:ascii="宋体" w:hAnsi="宋体" w:hint="eastAsia"/>
          <w:szCs w:val="21"/>
        </w:rPr>
        <w:lastRenderedPageBreak/>
        <w:t>汇、售汇；外汇票据的承兑和贴现；外汇担保；资信调查、咨询、见证业务；买卖和代理买卖股票以外的外币有价证券；自营和代客外汇买卖；证券结算业务；开放式证券投资基金代销业务；债券结算代理业务；短期融资券主承销业务；经中国银行业监督管理委员会批准的其它业务。</w:t>
      </w:r>
    </w:p>
    <w:p w14:paraId="336733D1" w14:textId="77777777" w:rsidR="004518C1" w:rsidRPr="003F0CC9" w:rsidRDefault="004518C1">
      <w:pPr>
        <w:adjustRightInd w:val="0"/>
        <w:spacing w:line="360" w:lineRule="auto"/>
        <w:ind w:firstLineChars="200" w:firstLine="480"/>
        <w:contextualSpacing/>
        <w:rPr>
          <w:rFonts w:ascii="宋体" w:hAnsi="宋体"/>
          <w:sz w:val="24"/>
        </w:rPr>
      </w:pPr>
    </w:p>
    <w:p w14:paraId="193BADD2" w14:textId="77777777" w:rsidR="004518C1" w:rsidRPr="003F0CC9" w:rsidRDefault="004518C1">
      <w:pPr>
        <w:adjustRightInd w:val="0"/>
        <w:spacing w:line="360" w:lineRule="auto"/>
        <w:ind w:firstLineChars="200" w:firstLine="480"/>
        <w:contextualSpacing/>
        <w:rPr>
          <w:rFonts w:ascii="宋体" w:hAnsi="宋体"/>
          <w:sz w:val="24"/>
        </w:rPr>
      </w:pPr>
    </w:p>
    <w:p w14:paraId="2188236A" w14:textId="77777777" w:rsidR="004518C1" w:rsidRPr="003F0CC9" w:rsidRDefault="004518C1">
      <w:pPr>
        <w:adjustRightInd w:val="0"/>
        <w:spacing w:line="360" w:lineRule="auto"/>
        <w:ind w:firstLineChars="200" w:firstLine="480"/>
        <w:contextualSpacing/>
        <w:rPr>
          <w:rFonts w:ascii="宋体" w:hAnsi="宋体"/>
          <w:sz w:val="24"/>
        </w:rPr>
      </w:pPr>
    </w:p>
    <w:p w14:paraId="7EC34FFA" w14:textId="77777777" w:rsidR="004518C1" w:rsidRPr="003F0CC9" w:rsidRDefault="004518C1">
      <w:pPr>
        <w:adjustRightInd w:val="0"/>
        <w:spacing w:line="360" w:lineRule="auto"/>
        <w:ind w:firstLineChars="200" w:firstLine="480"/>
        <w:contextualSpacing/>
        <w:rPr>
          <w:rFonts w:ascii="宋体" w:hAnsi="宋体"/>
          <w:sz w:val="24"/>
        </w:rPr>
      </w:pPr>
    </w:p>
    <w:p w14:paraId="25E02C0C" w14:textId="77777777" w:rsidR="004518C1" w:rsidRPr="003F0CC9" w:rsidRDefault="004518C1">
      <w:pPr>
        <w:adjustRightInd w:val="0"/>
        <w:spacing w:line="360" w:lineRule="auto"/>
        <w:ind w:firstLineChars="200" w:firstLine="480"/>
        <w:contextualSpacing/>
        <w:rPr>
          <w:rFonts w:ascii="宋体" w:hAnsi="宋体"/>
          <w:sz w:val="24"/>
        </w:rPr>
      </w:pPr>
    </w:p>
    <w:p w14:paraId="24069683" w14:textId="77777777" w:rsidR="004518C1" w:rsidRPr="003F0CC9" w:rsidRDefault="004518C1">
      <w:pPr>
        <w:adjustRightInd w:val="0"/>
        <w:spacing w:line="360" w:lineRule="auto"/>
        <w:ind w:firstLineChars="200" w:firstLine="480"/>
        <w:contextualSpacing/>
        <w:rPr>
          <w:rFonts w:ascii="宋体" w:hAnsi="宋体"/>
          <w:sz w:val="24"/>
        </w:rPr>
      </w:pPr>
    </w:p>
    <w:p w14:paraId="2BC8E460" w14:textId="77777777" w:rsidR="004518C1" w:rsidRPr="003F0CC9" w:rsidRDefault="004518C1">
      <w:pPr>
        <w:adjustRightInd w:val="0"/>
        <w:spacing w:line="360" w:lineRule="auto"/>
        <w:ind w:firstLineChars="200" w:firstLine="480"/>
        <w:contextualSpacing/>
        <w:rPr>
          <w:rFonts w:ascii="宋体" w:hAnsi="宋体"/>
          <w:sz w:val="24"/>
        </w:rPr>
      </w:pPr>
    </w:p>
    <w:p w14:paraId="54EE06F9" w14:textId="77777777" w:rsidR="004518C1" w:rsidRPr="003F0CC9" w:rsidRDefault="004518C1">
      <w:pPr>
        <w:adjustRightInd w:val="0"/>
        <w:spacing w:line="360" w:lineRule="auto"/>
        <w:ind w:firstLineChars="200" w:firstLine="480"/>
        <w:contextualSpacing/>
        <w:rPr>
          <w:rFonts w:ascii="宋体" w:hAnsi="宋体"/>
          <w:sz w:val="24"/>
        </w:rPr>
      </w:pPr>
    </w:p>
    <w:p w14:paraId="4A8E5EF7" w14:textId="77777777" w:rsidR="004518C1" w:rsidRPr="003F0CC9" w:rsidRDefault="004518C1">
      <w:pPr>
        <w:adjustRightInd w:val="0"/>
        <w:spacing w:line="360" w:lineRule="auto"/>
        <w:ind w:firstLineChars="200" w:firstLine="480"/>
        <w:contextualSpacing/>
        <w:rPr>
          <w:rFonts w:ascii="宋体" w:hAnsi="宋体"/>
          <w:sz w:val="24"/>
        </w:rPr>
      </w:pPr>
    </w:p>
    <w:p w14:paraId="52DE01C5" w14:textId="77777777" w:rsidR="004518C1" w:rsidRPr="003F0CC9" w:rsidRDefault="004518C1">
      <w:pPr>
        <w:adjustRightInd w:val="0"/>
        <w:spacing w:line="360" w:lineRule="auto"/>
        <w:ind w:firstLineChars="200" w:firstLine="480"/>
        <w:contextualSpacing/>
        <w:rPr>
          <w:rFonts w:ascii="宋体" w:hAnsi="宋体"/>
          <w:sz w:val="24"/>
        </w:rPr>
      </w:pPr>
    </w:p>
    <w:p w14:paraId="29F6CCD1" w14:textId="77777777" w:rsidR="004518C1" w:rsidRPr="003F0CC9" w:rsidRDefault="004518C1">
      <w:pPr>
        <w:adjustRightInd w:val="0"/>
        <w:spacing w:line="360" w:lineRule="auto"/>
        <w:ind w:firstLineChars="200" w:firstLine="480"/>
        <w:contextualSpacing/>
        <w:rPr>
          <w:rFonts w:ascii="宋体" w:hAnsi="宋体"/>
          <w:sz w:val="24"/>
        </w:rPr>
      </w:pPr>
    </w:p>
    <w:p w14:paraId="7C1C3721" w14:textId="77777777" w:rsidR="004518C1" w:rsidRPr="003F0CC9" w:rsidRDefault="004518C1">
      <w:pPr>
        <w:adjustRightInd w:val="0"/>
        <w:spacing w:line="360" w:lineRule="auto"/>
        <w:ind w:firstLineChars="200" w:firstLine="480"/>
        <w:contextualSpacing/>
        <w:rPr>
          <w:rFonts w:ascii="宋体" w:hAnsi="宋体"/>
          <w:sz w:val="24"/>
        </w:rPr>
      </w:pPr>
    </w:p>
    <w:p w14:paraId="617BD895" w14:textId="77777777" w:rsidR="004518C1" w:rsidRPr="003F0CC9" w:rsidRDefault="004518C1">
      <w:pPr>
        <w:adjustRightInd w:val="0"/>
        <w:spacing w:line="360" w:lineRule="auto"/>
        <w:ind w:firstLineChars="200" w:firstLine="480"/>
        <w:contextualSpacing/>
        <w:rPr>
          <w:rFonts w:ascii="宋体" w:hAnsi="宋体"/>
          <w:sz w:val="24"/>
        </w:rPr>
      </w:pPr>
    </w:p>
    <w:p w14:paraId="6730C609" w14:textId="77777777" w:rsidR="004518C1" w:rsidRPr="003F0CC9" w:rsidRDefault="004518C1">
      <w:pPr>
        <w:adjustRightInd w:val="0"/>
        <w:spacing w:line="360" w:lineRule="auto"/>
        <w:ind w:firstLineChars="200" w:firstLine="480"/>
        <w:contextualSpacing/>
        <w:rPr>
          <w:rFonts w:ascii="宋体" w:hAnsi="宋体"/>
          <w:sz w:val="24"/>
        </w:rPr>
      </w:pPr>
    </w:p>
    <w:p w14:paraId="552A356A" w14:textId="77777777" w:rsidR="004518C1" w:rsidRPr="003F0CC9" w:rsidRDefault="004518C1">
      <w:pPr>
        <w:adjustRightInd w:val="0"/>
        <w:spacing w:line="360" w:lineRule="auto"/>
        <w:ind w:firstLineChars="200" w:firstLine="480"/>
        <w:contextualSpacing/>
        <w:rPr>
          <w:rFonts w:ascii="宋体" w:hAnsi="宋体"/>
          <w:sz w:val="24"/>
        </w:rPr>
      </w:pPr>
    </w:p>
    <w:p w14:paraId="4F4FFDCC" w14:textId="77777777" w:rsidR="004518C1" w:rsidRPr="003F0CC9" w:rsidRDefault="004518C1">
      <w:pPr>
        <w:adjustRightInd w:val="0"/>
        <w:spacing w:line="360" w:lineRule="auto"/>
        <w:ind w:firstLineChars="200" w:firstLine="480"/>
        <w:contextualSpacing/>
        <w:rPr>
          <w:rFonts w:ascii="宋体" w:hAnsi="宋体"/>
          <w:sz w:val="24"/>
        </w:rPr>
      </w:pPr>
    </w:p>
    <w:p w14:paraId="4AC8503A" w14:textId="77777777" w:rsidR="004518C1" w:rsidRPr="003F0CC9" w:rsidRDefault="004518C1">
      <w:pPr>
        <w:adjustRightInd w:val="0"/>
        <w:spacing w:line="360" w:lineRule="auto"/>
        <w:ind w:firstLineChars="200" w:firstLine="480"/>
        <w:contextualSpacing/>
        <w:rPr>
          <w:rFonts w:ascii="宋体" w:hAnsi="宋体"/>
          <w:sz w:val="24"/>
        </w:rPr>
      </w:pPr>
    </w:p>
    <w:p w14:paraId="01BAA81A" w14:textId="77777777" w:rsidR="004518C1" w:rsidRPr="003F0CC9" w:rsidRDefault="004518C1">
      <w:pPr>
        <w:adjustRightInd w:val="0"/>
        <w:spacing w:line="360" w:lineRule="auto"/>
        <w:ind w:firstLineChars="200" w:firstLine="480"/>
        <w:contextualSpacing/>
        <w:rPr>
          <w:rFonts w:ascii="宋体" w:hAnsi="宋体"/>
          <w:sz w:val="24"/>
        </w:rPr>
      </w:pPr>
    </w:p>
    <w:p w14:paraId="70CF978D" w14:textId="77777777" w:rsidR="004518C1" w:rsidRPr="003F0CC9" w:rsidRDefault="004518C1">
      <w:pPr>
        <w:adjustRightInd w:val="0"/>
        <w:spacing w:line="360" w:lineRule="auto"/>
        <w:ind w:firstLineChars="200" w:firstLine="480"/>
        <w:contextualSpacing/>
        <w:rPr>
          <w:rFonts w:ascii="宋体" w:hAnsi="宋体"/>
          <w:sz w:val="24"/>
        </w:rPr>
      </w:pPr>
    </w:p>
    <w:p w14:paraId="66F5FF92" w14:textId="77777777" w:rsidR="004518C1" w:rsidRPr="003F0CC9" w:rsidRDefault="004518C1">
      <w:pPr>
        <w:adjustRightInd w:val="0"/>
        <w:spacing w:line="360" w:lineRule="auto"/>
        <w:ind w:firstLineChars="200" w:firstLine="480"/>
        <w:contextualSpacing/>
        <w:rPr>
          <w:rFonts w:ascii="宋体" w:hAnsi="宋体"/>
          <w:sz w:val="24"/>
        </w:rPr>
      </w:pPr>
    </w:p>
    <w:p w14:paraId="065A84D8" w14:textId="77777777" w:rsidR="004518C1" w:rsidRPr="003F0CC9" w:rsidRDefault="004518C1">
      <w:pPr>
        <w:adjustRightInd w:val="0"/>
        <w:spacing w:line="360" w:lineRule="auto"/>
        <w:ind w:firstLineChars="200" w:firstLine="480"/>
        <w:contextualSpacing/>
        <w:rPr>
          <w:rFonts w:ascii="宋体" w:hAnsi="宋体"/>
          <w:sz w:val="24"/>
        </w:rPr>
      </w:pPr>
    </w:p>
    <w:p w14:paraId="59A70F29" w14:textId="77777777" w:rsidR="004518C1" w:rsidRPr="003F0CC9" w:rsidRDefault="008D33B8">
      <w:pPr>
        <w:pStyle w:val="1"/>
        <w:adjustRightInd w:val="0"/>
        <w:spacing w:line="360" w:lineRule="auto"/>
        <w:contextualSpacing/>
        <w:jc w:val="center"/>
        <w:rPr>
          <w:sz w:val="30"/>
          <w:szCs w:val="30"/>
        </w:rPr>
      </w:pPr>
      <w:bookmarkStart w:id="62" w:name="_Toc124749937"/>
      <w:bookmarkStart w:id="63" w:name="_Toc22454435"/>
      <w:bookmarkStart w:id="64" w:name="_Toc123626168"/>
      <w:bookmarkStart w:id="65" w:name="_Toc124749226"/>
      <w:bookmarkStart w:id="66" w:name="_Toc523829993"/>
      <w:bookmarkStart w:id="67" w:name="_Toc466788852"/>
      <w:bookmarkStart w:id="68" w:name="_Toc125361074"/>
      <w:bookmarkStart w:id="69" w:name="_Toc48703887"/>
      <w:r w:rsidRPr="003F0CC9">
        <w:rPr>
          <w:sz w:val="30"/>
          <w:szCs w:val="30"/>
        </w:rPr>
        <w:br w:type="page"/>
      </w:r>
      <w:bookmarkStart w:id="70" w:name="_Toc1564312"/>
      <w:r w:rsidRPr="003F0CC9">
        <w:rPr>
          <w:rFonts w:hint="eastAsia"/>
          <w:sz w:val="30"/>
          <w:szCs w:val="30"/>
        </w:rPr>
        <w:lastRenderedPageBreak/>
        <w:t>二、基金托管协议的依据、目的和原则</w:t>
      </w:r>
      <w:bookmarkEnd w:id="62"/>
      <w:bookmarkEnd w:id="63"/>
      <w:bookmarkEnd w:id="64"/>
      <w:bookmarkEnd w:id="65"/>
      <w:bookmarkEnd w:id="66"/>
      <w:bookmarkEnd w:id="67"/>
      <w:bookmarkEnd w:id="68"/>
      <w:bookmarkEnd w:id="69"/>
      <w:bookmarkEnd w:id="70"/>
    </w:p>
    <w:p w14:paraId="78FD76AD" w14:textId="7B66A949"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订立本协议的依据是《中华人民共和国证券投资基金法》（以下简称《基金法》）、《中华人民共和国证券法》(以下简称《证券法》)、《中华人民共和国反洗钱法》（以下简称《反洗钱法》）、《公开募集证券投资基金运作管理办法》（以下简称《运作办法》）、《公开募集证券投资基金销售机构监督管理办法》、《公开募集证券投资基金信息披露管理办法》（以下简称《信息披露办法》）、《公开募集开放式证券投资基金流动性风险管理规定》（以下</w:t>
      </w:r>
      <w:r w:rsidRPr="003F0CC9">
        <w:rPr>
          <w:rFonts w:ascii="宋体" w:hAnsi="宋体"/>
          <w:szCs w:val="21"/>
        </w:rPr>
        <w:t>简称《</w:t>
      </w:r>
      <w:r w:rsidRPr="003F0CC9">
        <w:rPr>
          <w:rFonts w:ascii="宋体" w:hAnsi="宋体" w:hint="eastAsia"/>
          <w:szCs w:val="21"/>
        </w:rPr>
        <w:t>流动性</w:t>
      </w:r>
      <w:r w:rsidRPr="003F0CC9">
        <w:rPr>
          <w:rFonts w:ascii="宋体" w:hAnsi="宋体"/>
          <w:szCs w:val="21"/>
        </w:rPr>
        <w:t>风险管理规定》</w:t>
      </w:r>
      <w:r w:rsidRPr="003F0CC9">
        <w:rPr>
          <w:rFonts w:ascii="宋体" w:hAnsi="宋体" w:hint="eastAsia"/>
          <w:szCs w:val="21"/>
        </w:rPr>
        <w:t>）、《公开募集证券投资基金运作指引第2号——基金中基金指引》、《证券投资基金信息披露内容与格式准则第7号〈托管协议的内容与格式〉》、</w:t>
      </w:r>
      <w:r w:rsidRPr="003F0CC9">
        <w:rPr>
          <w:rFonts w:ascii="宋体" w:hAnsi="宋体" w:hint="eastAsia"/>
          <w:bCs/>
          <w:szCs w:val="21"/>
        </w:rPr>
        <w:t>《金融机构客户身份识别和客户身份资料及交易记录保存管理办法》、</w:t>
      </w:r>
      <w:r w:rsidRPr="003F0CC9">
        <w:rPr>
          <w:rFonts w:ascii="宋体" w:hAnsi="宋体" w:hint="eastAsia"/>
          <w:szCs w:val="21"/>
        </w:rPr>
        <w:t>《国泰瑞悦3个月持有期债券型基金中基金（FOF）基金合同》（以下简称《基金合同》）及其他有关规定。</w:t>
      </w:r>
    </w:p>
    <w:p w14:paraId="2EBEC26F"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订立本协议的目的是明确基金托管人与基金管理人之间在基金财产的保管、投资运作、净值计算、收益分配、信息披露及相互监督等有关事宜中的权利、义务及职责，保护基金份额持有人的合法权益。</w:t>
      </w:r>
    </w:p>
    <w:p w14:paraId="6735F244"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基金管理人和基金托管人本着平等自愿、诚实信用、充分保护基金份额持有人合法权益的原则，经协商一致，签订本协议。</w:t>
      </w:r>
    </w:p>
    <w:p w14:paraId="1B9C01A8"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除非本协议另有约定，本协议所使用的词语或简称与其在《基金合同》的释义部分具有相同含义；若有抵触，应以《基金合同》为准，并依其条款为准。</w:t>
      </w:r>
    </w:p>
    <w:p w14:paraId="4AF85389"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若本基金实施侧袋机制的，侧袋机制实施期间的相关安排见基金合同和招募说明书的规定。</w:t>
      </w:r>
    </w:p>
    <w:p w14:paraId="33A98FE1" w14:textId="77777777" w:rsidR="004518C1" w:rsidRPr="003F0CC9" w:rsidRDefault="004518C1">
      <w:pPr>
        <w:adjustRightInd w:val="0"/>
        <w:spacing w:after="120" w:line="360" w:lineRule="auto"/>
        <w:ind w:firstLineChars="200" w:firstLine="480"/>
        <w:contextualSpacing/>
        <w:rPr>
          <w:rFonts w:ascii="宋体" w:hAnsi="宋体"/>
          <w:sz w:val="24"/>
        </w:rPr>
      </w:pPr>
    </w:p>
    <w:p w14:paraId="73B52A50" w14:textId="77777777" w:rsidR="00AC00ED" w:rsidRPr="003F0CC9" w:rsidRDefault="00AC00ED" w:rsidP="00D96935">
      <w:pPr>
        <w:adjustRightInd w:val="0"/>
        <w:spacing w:after="120" w:line="360" w:lineRule="auto"/>
        <w:contextualSpacing/>
        <w:rPr>
          <w:rFonts w:ascii="宋体" w:hAnsi="宋体"/>
          <w:sz w:val="24"/>
        </w:rPr>
      </w:pPr>
    </w:p>
    <w:p w14:paraId="082534DA" w14:textId="77777777" w:rsidR="004518C1" w:rsidRPr="003F0CC9" w:rsidRDefault="004518C1">
      <w:pPr>
        <w:adjustRightInd w:val="0"/>
        <w:spacing w:after="120" w:line="360" w:lineRule="auto"/>
        <w:ind w:firstLineChars="200" w:firstLine="480"/>
        <w:contextualSpacing/>
        <w:rPr>
          <w:rFonts w:ascii="宋体" w:hAnsi="宋体"/>
          <w:sz w:val="24"/>
        </w:rPr>
      </w:pPr>
    </w:p>
    <w:p w14:paraId="1669575B" w14:textId="77777777" w:rsidR="004518C1" w:rsidRPr="003F0CC9" w:rsidRDefault="004518C1">
      <w:pPr>
        <w:adjustRightInd w:val="0"/>
        <w:spacing w:after="120" w:line="360" w:lineRule="auto"/>
        <w:ind w:firstLineChars="200" w:firstLine="480"/>
        <w:contextualSpacing/>
        <w:rPr>
          <w:rFonts w:ascii="宋体" w:hAnsi="宋体"/>
          <w:sz w:val="24"/>
        </w:rPr>
      </w:pPr>
    </w:p>
    <w:p w14:paraId="6248EE76" w14:textId="77777777" w:rsidR="004518C1" w:rsidRPr="003F0CC9" w:rsidRDefault="004518C1">
      <w:pPr>
        <w:adjustRightInd w:val="0"/>
        <w:spacing w:after="120" w:line="360" w:lineRule="auto"/>
        <w:ind w:firstLineChars="200" w:firstLine="480"/>
        <w:contextualSpacing/>
        <w:rPr>
          <w:rFonts w:ascii="宋体" w:hAnsi="宋体"/>
          <w:sz w:val="24"/>
        </w:rPr>
      </w:pPr>
    </w:p>
    <w:p w14:paraId="22F10BBF" w14:textId="77777777" w:rsidR="004518C1" w:rsidRPr="003F0CC9" w:rsidRDefault="004518C1">
      <w:pPr>
        <w:adjustRightInd w:val="0"/>
        <w:spacing w:after="120" w:line="360" w:lineRule="auto"/>
        <w:ind w:firstLineChars="200" w:firstLine="480"/>
        <w:contextualSpacing/>
        <w:rPr>
          <w:rFonts w:ascii="宋体" w:hAnsi="宋体"/>
          <w:sz w:val="24"/>
        </w:rPr>
      </w:pPr>
    </w:p>
    <w:p w14:paraId="145C60ED" w14:textId="77777777" w:rsidR="004518C1" w:rsidRPr="003F0CC9" w:rsidRDefault="004518C1">
      <w:pPr>
        <w:adjustRightInd w:val="0"/>
        <w:spacing w:after="120" w:line="360" w:lineRule="auto"/>
        <w:ind w:firstLineChars="200" w:firstLine="480"/>
        <w:contextualSpacing/>
        <w:rPr>
          <w:rFonts w:ascii="宋体" w:hAnsi="宋体"/>
          <w:sz w:val="24"/>
        </w:rPr>
      </w:pPr>
    </w:p>
    <w:p w14:paraId="36FF22F7" w14:textId="77777777" w:rsidR="004518C1" w:rsidRPr="003F0CC9" w:rsidRDefault="004518C1">
      <w:pPr>
        <w:adjustRightInd w:val="0"/>
        <w:spacing w:after="120" w:line="360" w:lineRule="auto"/>
        <w:ind w:firstLineChars="200" w:firstLine="480"/>
        <w:contextualSpacing/>
        <w:rPr>
          <w:rFonts w:ascii="宋体" w:hAnsi="宋体"/>
          <w:sz w:val="24"/>
        </w:rPr>
      </w:pPr>
    </w:p>
    <w:p w14:paraId="74ED206A" w14:textId="77777777" w:rsidR="004518C1" w:rsidRPr="003F0CC9" w:rsidRDefault="008D33B8">
      <w:pPr>
        <w:pStyle w:val="1"/>
        <w:keepNext w:val="0"/>
        <w:keepLines w:val="0"/>
        <w:autoSpaceDE w:val="0"/>
        <w:autoSpaceDN w:val="0"/>
        <w:adjustRightInd w:val="0"/>
        <w:spacing w:before="360" w:after="360" w:line="360" w:lineRule="auto"/>
        <w:ind w:left="288"/>
        <w:contextualSpacing/>
        <w:jc w:val="center"/>
        <w:textAlignment w:val="baseline"/>
        <w:rPr>
          <w:rFonts w:ascii="宋体" w:hAnsi="宋体" w:cs="Arial"/>
          <w:sz w:val="30"/>
        </w:rPr>
      </w:pPr>
      <w:bookmarkStart w:id="71" w:name="_Toc124749938"/>
      <w:bookmarkStart w:id="72" w:name="_Toc125361075"/>
      <w:bookmarkStart w:id="73" w:name="_Toc124749227"/>
      <w:bookmarkEnd w:id="0"/>
      <w:bookmarkEnd w:id="1"/>
      <w:bookmarkEnd w:id="2"/>
      <w:bookmarkEnd w:id="3"/>
      <w:r w:rsidRPr="003F0CC9">
        <w:rPr>
          <w:rFonts w:ascii="宋体" w:hAnsi="宋体" w:cs="Arial"/>
          <w:sz w:val="30"/>
        </w:rPr>
        <w:br w:type="page"/>
      </w:r>
      <w:bookmarkStart w:id="74" w:name="_Toc1564313"/>
      <w:r w:rsidRPr="003F0CC9">
        <w:rPr>
          <w:rFonts w:ascii="宋体" w:hAnsi="宋体" w:cs="Arial" w:hint="eastAsia"/>
          <w:sz w:val="30"/>
        </w:rPr>
        <w:lastRenderedPageBreak/>
        <w:t>三、基金托管人对基金管理人的业务监督和核查</w:t>
      </w:r>
      <w:bookmarkEnd w:id="71"/>
      <w:bookmarkEnd w:id="72"/>
      <w:bookmarkEnd w:id="73"/>
      <w:bookmarkEnd w:id="74"/>
    </w:p>
    <w:p w14:paraId="480175AC" w14:textId="77777777" w:rsidR="004518C1" w:rsidRPr="003F0CC9" w:rsidRDefault="008D33B8" w:rsidP="00826130">
      <w:pPr>
        <w:pStyle w:val="2"/>
        <w:keepNext w:val="0"/>
        <w:keepLines w:val="0"/>
        <w:autoSpaceDE w:val="0"/>
        <w:autoSpaceDN w:val="0"/>
        <w:adjustRightInd w:val="0"/>
        <w:spacing w:beforeLines="50" w:before="156" w:afterLines="50" w:after="156" w:line="360" w:lineRule="auto"/>
        <w:ind w:firstLineChars="150" w:firstLine="316"/>
        <w:contextualSpacing/>
        <w:textAlignment w:val="baseline"/>
        <w:rPr>
          <w:rFonts w:ascii="宋体" w:eastAsia="宋体" w:hAnsi="宋体"/>
          <w:sz w:val="21"/>
          <w:szCs w:val="21"/>
        </w:rPr>
      </w:pPr>
      <w:r w:rsidRPr="003F0CC9">
        <w:rPr>
          <w:rFonts w:ascii="宋体" w:eastAsia="宋体" w:hAnsi="宋体" w:hint="eastAsia"/>
          <w:sz w:val="21"/>
          <w:szCs w:val="21"/>
        </w:rPr>
        <w:t>（一）基金托管人对基金管理人的投资行为行使监督权</w:t>
      </w:r>
    </w:p>
    <w:p w14:paraId="7B0C285D" w14:textId="77777777" w:rsidR="004518C1" w:rsidRPr="003F0CC9" w:rsidRDefault="008D33B8">
      <w:pPr>
        <w:widowControl/>
        <w:adjustRightInd w:val="0"/>
        <w:spacing w:line="360" w:lineRule="auto"/>
        <w:ind w:firstLineChars="200" w:firstLine="420"/>
        <w:contextualSpacing/>
        <w:jc w:val="left"/>
        <w:rPr>
          <w:rFonts w:ascii="宋体" w:hAnsi="宋体"/>
          <w:szCs w:val="21"/>
        </w:rPr>
      </w:pPr>
      <w:r w:rsidRPr="003F0CC9">
        <w:rPr>
          <w:rFonts w:ascii="宋体" w:hAnsi="宋体" w:hint="eastAsia"/>
          <w:szCs w:val="21"/>
        </w:rPr>
        <w:t>1、基金托管人根据有关法律法规的规定和《基金合同》的约定，对下述基金投资范围、投资对象进行监督。</w:t>
      </w:r>
    </w:p>
    <w:p w14:paraId="1C7572AC" w14:textId="50218733" w:rsidR="004518C1" w:rsidRPr="003F0CC9" w:rsidRDefault="008D33B8">
      <w:pPr>
        <w:widowControl/>
        <w:adjustRightInd w:val="0"/>
        <w:spacing w:line="360" w:lineRule="auto"/>
        <w:ind w:firstLineChars="200" w:firstLine="420"/>
        <w:contextualSpacing/>
        <w:jc w:val="left"/>
        <w:rPr>
          <w:rFonts w:ascii="宋体" w:hAnsi="宋体"/>
          <w:szCs w:val="21"/>
        </w:rPr>
      </w:pPr>
      <w:r w:rsidRPr="003F0CC9">
        <w:rPr>
          <w:rFonts w:ascii="宋体" w:hAnsi="宋体" w:hint="eastAsia"/>
          <w:szCs w:val="21"/>
        </w:rPr>
        <w:t>本基金的投资范围为具有良好流动性的金融工具，包括经中国证监会依法核准或注册的公开募集的基金份额（包括香港互认基金、QDII基金、商品基金等公募基金份额）、国内依法公开发行上市交易的股票（包括主板、创业板及其他中国证监会允许基金投资的股票、存托凭证）、港股通标的股票、债券（包括国债、政府支持债券、政府支持机构债券、地方政府债、金融债、企业债、公司债、次级债、可转换债券（含可分离交易可转债）、可交换债券、央行票据、中期票据、短期融资券、超短期融资券）、资产支持证券、债券回购、银行存款（协议存款、通知存款以及定期存款等）、同业存单、货币市场工具以及法律法规或中国证监会允许基金投资的其他金融工具（但须符合中国证监会相关规定）。</w:t>
      </w:r>
    </w:p>
    <w:p w14:paraId="60BCDFC3" w14:textId="7AE1F5F6" w:rsidR="004518C1" w:rsidRPr="003F0CC9" w:rsidRDefault="008D33B8">
      <w:pPr>
        <w:widowControl/>
        <w:adjustRightInd w:val="0"/>
        <w:spacing w:line="360" w:lineRule="auto"/>
        <w:ind w:firstLineChars="200" w:firstLine="420"/>
        <w:contextualSpacing/>
        <w:jc w:val="left"/>
        <w:rPr>
          <w:rFonts w:ascii="宋体" w:hAnsi="宋体"/>
          <w:szCs w:val="21"/>
        </w:rPr>
      </w:pPr>
      <w:r w:rsidRPr="003F0CC9">
        <w:rPr>
          <w:rFonts w:ascii="宋体" w:hAnsi="宋体" w:hint="eastAsia"/>
          <w:szCs w:val="21"/>
        </w:rPr>
        <w:t>基金的投资组合比例为：本基金投资于中国证监会依法核准或注册的公开募集证券投资基金占基金资产的比例不低于80%，其中投资于债券型证券投资基金的比例不低于本基金资产的80%；</w:t>
      </w:r>
      <w:r w:rsidR="006D17D0" w:rsidRPr="003F0CC9">
        <w:rPr>
          <w:rFonts w:ascii="宋体" w:hAnsi="宋体" w:hint="eastAsia"/>
          <w:szCs w:val="21"/>
        </w:rPr>
        <w:t>本基金投资于香港互认基金和QDII基金的合计比例不高于基金资产的20%，投资于商品基金的比例不高于基金资产的15%；</w:t>
      </w:r>
      <w:r w:rsidR="00114CF9" w:rsidRPr="003F0CC9">
        <w:rPr>
          <w:rFonts w:ascii="宋体" w:hAnsi="宋体" w:hint="eastAsia"/>
          <w:szCs w:val="21"/>
        </w:rPr>
        <w:t>投资于港股通标的股票的资产不超过股票资产的50%。</w:t>
      </w:r>
      <w:r w:rsidRPr="003F0CC9">
        <w:rPr>
          <w:rFonts w:ascii="宋体" w:hAnsi="宋体" w:hint="eastAsia"/>
          <w:szCs w:val="21"/>
        </w:rPr>
        <w:t>本基金保持现金或者到期日在一年以内的政府债券不低于基金资产净值的5%。其中，现金不包括结算备付金、存出保证金、应收申购款等。</w:t>
      </w:r>
    </w:p>
    <w:p w14:paraId="48E12D48"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如法律法规或监管机构以后允许基金投资其他品种或变更投资比例限制，基金管理人在履行适当程序后，可以相应调整本基金的投资范围和投资比例规定。</w:t>
      </w:r>
    </w:p>
    <w:p w14:paraId="237EAE93"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2、基金托管人根据有关法律法规的规定及《基金合同》的约定对下述基金投资比例进行监督：</w:t>
      </w:r>
    </w:p>
    <w:p w14:paraId="4DFC13F2"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基金的投资组合应遵循以下限制：</w:t>
      </w:r>
    </w:p>
    <w:p w14:paraId="5A95FCE2" w14:textId="322916E7" w:rsidR="004518C1" w:rsidRPr="003F0CC9" w:rsidRDefault="008D33B8">
      <w:pPr>
        <w:adjustRightInd w:val="0"/>
        <w:spacing w:after="120" w:line="360" w:lineRule="auto"/>
        <w:ind w:firstLineChars="200" w:firstLine="420"/>
        <w:contextualSpacing/>
        <w:rPr>
          <w:rFonts w:ascii="宋体" w:hAnsi="宋体"/>
          <w:szCs w:val="21"/>
        </w:rPr>
      </w:pPr>
      <w:bookmarkStart w:id="75" w:name="_Hlk22677739"/>
      <w:r w:rsidRPr="003F0CC9">
        <w:rPr>
          <w:rFonts w:ascii="宋体" w:hAnsi="宋体" w:hint="eastAsia"/>
          <w:szCs w:val="21"/>
        </w:rPr>
        <w:t>（1）本基金投资于中国证监会依法核准或注册的公开募集证券投资基金占基金资产的比例不低于80%，其中投资于债券型证券投资基金的比例不低于本基金资产的80%；</w:t>
      </w:r>
      <w:r w:rsidR="006D17D0" w:rsidRPr="003F0CC9">
        <w:rPr>
          <w:rFonts w:ascii="宋体" w:hAnsi="宋体" w:hint="eastAsia"/>
          <w:szCs w:val="21"/>
        </w:rPr>
        <w:t>本基金投资于香港互认基金和QDII基金的合计比例不高于基金资产的20%，投资于商品基金的比例不高于基金资产的15%；</w:t>
      </w:r>
      <w:r w:rsidRPr="003F0CC9">
        <w:rPr>
          <w:rFonts w:ascii="宋体" w:hAnsi="宋体" w:hint="eastAsia"/>
          <w:szCs w:val="21"/>
        </w:rPr>
        <w:t>投资于港股通标的股票的资产不超过股票资产的50%；</w:t>
      </w:r>
    </w:p>
    <w:p w14:paraId="47135F5D"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（2）本基金保持现金或者到期日在一年以内的政府债券不低于基金资产净值的5%。其</w:t>
      </w:r>
      <w:r w:rsidRPr="003F0CC9">
        <w:rPr>
          <w:rFonts w:ascii="宋体" w:hAnsi="宋体" w:hint="eastAsia"/>
          <w:szCs w:val="21"/>
        </w:rPr>
        <w:lastRenderedPageBreak/>
        <w:t>中，现金不包括结算备付金、存出保证金、应收申购款等；</w:t>
      </w:r>
    </w:p>
    <w:p w14:paraId="4D3E56E4"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（3）本基金持有单只基金的市值，不高于本基金资产净值的20%，且不得持有其他基金中基金；</w:t>
      </w:r>
    </w:p>
    <w:p w14:paraId="6B983614"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（4）本基金管理人管理的全部基金中基金（ETF联接基金除外）持有单只基金不得超过被投资基金净资产的20%，被投资基金净资产规模以最近定期报告披露的规模为准；</w:t>
      </w:r>
    </w:p>
    <w:p w14:paraId="495F8185"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（5）本基金投资于货币市场基金的比例不高于基金资产的15%；</w:t>
      </w:r>
    </w:p>
    <w:p w14:paraId="6FF8A6A7"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（6）本基金所投资基金的运作期限不得少于1年，最近定期报告披露的基金净资产应当不低于1亿元；</w:t>
      </w:r>
    </w:p>
    <w:p w14:paraId="311E3E9E"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（7）本基金投资于封闭运作基金、定期开放基金等由基金合同规定明确在一定期限锁定期内不可赎回的基金不高于本基金资产净值的10%，但不包括ETF、LOF等可上市交易的基金；</w:t>
      </w:r>
    </w:p>
    <w:p w14:paraId="7055073E"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（8）本基金持有一家公司发行的证券（同一家公司在境内和香港同时上市的A+H股合计计算，不含本基金所投资的基金份额），其市值不超过基金资产净值的10%；</w:t>
      </w:r>
    </w:p>
    <w:p w14:paraId="0903B92F"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9）本基金管理人管理的全部基金持有一家公司发行的证券（同一家公司在境内和香港同时上市的A+H股合计计算，不含本基金所投资的基金份额），不超过该证券的10%，完全按照有关指数的构成比例进行证券投资的基金品种可以不受此条款规定的比例限制；</w:t>
      </w:r>
    </w:p>
    <w:p w14:paraId="6EE3E3AA"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（10）本基金投资于资产支持证券的投资限制如下：</w:t>
      </w:r>
    </w:p>
    <w:p w14:paraId="37A1D550"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1）本基金投资于同一原始权益人的各类资产支持证券的比例，不得超过基金资产净值的10%；</w:t>
      </w:r>
    </w:p>
    <w:p w14:paraId="56812EE9"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2）本基金持有的全部资产支持证券，其市值不得超过基金资产净值的20%；</w:t>
      </w:r>
    </w:p>
    <w:p w14:paraId="34F17A1C"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3）本基金持有的同一（指同一信用级别）资产支持证券的比例，不得超过该资产支持证券规模的10%；</w:t>
      </w:r>
    </w:p>
    <w:p w14:paraId="2EE6595E"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4）本基金管理人管理的全部基金投资于同一原始权益人的各类资产支持证券，不得超过其各类资产支持证券合计规模的10%；</w:t>
      </w:r>
    </w:p>
    <w:p w14:paraId="55FF32C7"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5）本基金应投资于信用级别评级为BBB以上（含BBB）的资产支持证券。基金持有资产支持证券期间，如果其信用等级下降、不再符合投资标准，应在评级报告发布之日起3个月内予以全部卖出；</w:t>
      </w:r>
    </w:p>
    <w:p w14:paraId="3A4BEF02"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（11）基金财产参与股票发行申购，本基金所申报的金额不超过本基金的总资产，本基金所申报的股票数量不超过拟发行股票公司本次发行股票的总量；</w:t>
      </w:r>
    </w:p>
    <w:p w14:paraId="0E1CFD17"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（12）本基金进入全国银行间同业市场进行债券回购的最长期限为1年，债券回购到期</w:t>
      </w:r>
      <w:r w:rsidRPr="003F0CC9">
        <w:rPr>
          <w:rFonts w:ascii="宋体" w:hAnsi="宋体" w:hint="eastAsia"/>
          <w:szCs w:val="21"/>
        </w:rPr>
        <w:lastRenderedPageBreak/>
        <w:t>后不得展期；</w:t>
      </w:r>
    </w:p>
    <w:p w14:paraId="09261B46"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15F0FD96"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14）本基金主动投资于流动性受限资产的市值合计不得超过本基金资产净值的15%；因证券市场波动、上市公司股票停牌、所投资基金暂停或延期办理赎回申请、基金规模变动等基金管理人之外的因素致使基金不符合该比例限制的，基金管理人不得主动新增流动性受限资产的投资；</w:t>
      </w:r>
    </w:p>
    <w:p w14:paraId="593D1CF6" w14:textId="14BC0782"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（15）</w:t>
      </w:r>
      <w:r w:rsidR="00826130" w:rsidRPr="003F0CC9">
        <w:rPr>
          <w:rFonts w:ascii="宋体" w:hAnsi="宋体" w:hint="eastAsia"/>
          <w:szCs w:val="21"/>
        </w:rPr>
        <w:t>基金管理人承诺</w:t>
      </w:r>
      <w:r w:rsidRPr="003F0CC9">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188CEF6C"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（16）本基金资产总值不超过基金资产净值的140%；</w:t>
      </w:r>
    </w:p>
    <w:p w14:paraId="71C9C4D8"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（17）本基金投资存托凭证的比例限制依照境内上市交易的股票执行，与境内上市交易的股票合并计算；</w:t>
      </w:r>
    </w:p>
    <w:p w14:paraId="64917EAA"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（18）法律法规及中国证监会规定的和《基金合同》约定的其他投资限制。</w:t>
      </w:r>
    </w:p>
    <w:p w14:paraId="3CB524B0"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因证券市场波动、基金规模变动、本基金所投资的基金发生流动性限制、暂停申购/赎回或二级市场交易停牌等基金管理人之外的因素致使基金投资比例不符合上述第（3）、（4）项规定投资比例的，基金管理人应当在20个交易日内进行调整，但中国证监会规定的特殊情形除外。</w:t>
      </w:r>
    </w:p>
    <w:p w14:paraId="0C4D411E"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除上述第（2）、（3）、（4）、（14）、（15）项和第（10）项第5）目情形之外，因证券市场波动、证券发行人合并、基金规模变动等基金管理人之外的因素致使基金投资比例不符合上述规定投资比例的，基金管理人应当在相关证券可交易（或相关非上市交易基金份额可申赎）的10个交易日内进行调整，但中国证监会规定的特殊情形除外。法律法规另有规定的从其规定。</w:t>
      </w:r>
    </w:p>
    <w:p w14:paraId="0AC7D2D3" w14:textId="56D19212"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EEFA199" w14:textId="40DD9508"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法律法规或监管部门取消或变更上述限制，如适用于本基金，基金管理人在履行适当程序后，则本基金投资不再受相关限制或以变更后的规定为准。</w:t>
      </w:r>
    </w:p>
    <w:bookmarkEnd w:id="75"/>
    <w:p w14:paraId="53C57369"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lastRenderedPageBreak/>
        <w:t xml:space="preserve">3、基金托管人根据有关法律法规的规定及《基金合同》的约定对下述基金投资禁止行为进行监督： </w:t>
      </w:r>
    </w:p>
    <w:p w14:paraId="58E956C3"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根据法律法规的规定及《基金合同》的约定，本基金禁止从事下列行为：</w:t>
      </w:r>
    </w:p>
    <w:p w14:paraId="0AB26BF5"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（1）承销证券；</w:t>
      </w:r>
    </w:p>
    <w:p w14:paraId="79E445CE"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（2）违反规定向他人贷款或者提供担保；</w:t>
      </w:r>
    </w:p>
    <w:p w14:paraId="4556EBB1"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（3）从事承担无限责任的投资；</w:t>
      </w:r>
    </w:p>
    <w:p w14:paraId="329CC8E2"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（4）向其基金管理人、基金托管人出资；</w:t>
      </w:r>
    </w:p>
    <w:p w14:paraId="43D348F0"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（5）从事内幕交易、操纵证券交易价格及其他不正当的证券交易活动；</w:t>
      </w:r>
    </w:p>
    <w:p w14:paraId="1BA1F9EE"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（6）投资具有复杂、衍生品性质的基金份额，中国证监会认可或批准的特殊基金中基金除外；</w:t>
      </w:r>
    </w:p>
    <w:p w14:paraId="2FFDD1AA"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（7）法律、行政法规和中国证监会规定禁止的其他活动。</w:t>
      </w:r>
    </w:p>
    <w:p w14:paraId="3761350F" w14:textId="77777777" w:rsidR="004518C1" w:rsidRPr="003F0CC9" w:rsidRDefault="008D33B8">
      <w:pPr>
        <w:adjustRightInd w:val="0"/>
        <w:spacing w:line="360" w:lineRule="auto"/>
        <w:ind w:left="1" w:firstLineChars="225" w:firstLine="473"/>
        <w:contextualSpacing/>
        <w:rPr>
          <w:rFonts w:ascii="宋体" w:hAnsi="宋体"/>
          <w:szCs w:val="21"/>
        </w:rPr>
      </w:pPr>
      <w:r w:rsidRPr="003F0CC9">
        <w:rPr>
          <w:rFonts w:ascii="宋体" w:hAnsi="宋体" w:hint="eastAsia"/>
          <w:szCs w:val="21"/>
        </w:rPr>
        <w:t>法律法规或监管部门取消或变更上述限制，如适用于本基金，基金管理人在履行适当程序后，则本基金投资不再受相关限制或以变更后的限制为准。</w:t>
      </w:r>
    </w:p>
    <w:p w14:paraId="273D532C" w14:textId="77777777" w:rsidR="004518C1" w:rsidRPr="003F0CC9" w:rsidRDefault="008D33B8">
      <w:pPr>
        <w:adjustRightInd w:val="0"/>
        <w:spacing w:after="120" w:line="360" w:lineRule="auto"/>
        <w:ind w:firstLineChars="200" w:firstLine="420"/>
        <w:contextualSpacing/>
        <w:rPr>
          <w:rFonts w:ascii="宋体" w:hAnsi="宋体"/>
          <w:bCs/>
          <w:szCs w:val="21"/>
        </w:rPr>
      </w:pPr>
      <w:r w:rsidRPr="003F0CC9">
        <w:rPr>
          <w:rFonts w:ascii="宋体" w:hAnsi="宋体" w:hint="eastAsia"/>
          <w:bCs/>
          <w:szCs w:val="21"/>
        </w:rPr>
        <w:t>4、关联交易</w:t>
      </w:r>
    </w:p>
    <w:p w14:paraId="3FDC3BFC" w14:textId="748A72BD" w:rsidR="004518C1" w:rsidRPr="003F0CC9" w:rsidRDefault="008D33B8">
      <w:pPr>
        <w:adjustRightInd w:val="0"/>
        <w:spacing w:line="360" w:lineRule="auto"/>
        <w:ind w:left="1" w:firstLineChars="225" w:firstLine="473"/>
        <w:contextualSpacing/>
        <w:rPr>
          <w:rFonts w:ascii="宋体" w:hAnsi="宋体"/>
          <w:bCs/>
          <w:szCs w:val="21"/>
        </w:rPr>
      </w:pPr>
      <w:r w:rsidRPr="003F0CC9">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w:t>
      </w:r>
      <w:r w:rsidRPr="003F0CC9">
        <w:rPr>
          <w:rFonts w:ascii="宋体" w:hAnsi="宋体" w:hint="eastAsia"/>
          <w:bCs/>
          <w:szCs w:val="21"/>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D82E374" w14:textId="3DE62415" w:rsidR="004518C1" w:rsidRPr="003F0CC9" w:rsidRDefault="008D33B8">
      <w:pPr>
        <w:adjustRightInd w:val="0"/>
        <w:spacing w:line="360" w:lineRule="auto"/>
        <w:ind w:left="1" w:firstLineChars="225" w:firstLine="473"/>
        <w:contextualSpacing/>
        <w:rPr>
          <w:rFonts w:ascii="宋体" w:hAnsi="宋体"/>
          <w:bCs/>
          <w:szCs w:val="21"/>
        </w:rPr>
      </w:pPr>
      <w:r w:rsidRPr="003F0CC9">
        <w:rPr>
          <w:rFonts w:ascii="宋体" w:hAnsi="宋体" w:hint="eastAsia"/>
          <w:bCs/>
          <w:szCs w:val="21"/>
        </w:rPr>
        <w:t>基金管理人应在基金投资运作之前以书面形式向基金托管人提供关联方名单，并在基金存续期内及时更新关联方名单，基金管理人有责任确保及时将关联方名单发送给基金托管人，否则由此造成的损失应由基金管理人承担。如基金管理人未在基金投资运作之前以书面形式向基金托管人提供关联方名单，基金托管人有权不对关联交易进行监督。在基金存续期间基金托管人按照基金年报披露的关联方名单进行监督。</w:t>
      </w:r>
    </w:p>
    <w:p w14:paraId="38ECBFA7" w14:textId="2E6AB021"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5</w:t>
      </w:r>
      <w:r w:rsidRPr="003F0CC9">
        <w:rPr>
          <w:rFonts w:ascii="宋体" w:hAnsi="宋体" w:cs="宋体" w:hint="eastAsia"/>
          <w:kern w:val="0"/>
          <w:szCs w:val="21"/>
        </w:rPr>
        <w:t>、</w:t>
      </w:r>
      <w:r w:rsidRPr="003F0CC9">
        <w:rPr>
          <w:rFonts w:ascii="宋体" w:hAnsi="宋体" w:hint="eastAsia"/>
          <w:szCs w:val="21"/>
        </w:rPr>
        <w:t>基金托管人</w:t>
      </w:r>
      <w:r w:rsidRPr="003F0CC9">
        <w:rPr>
          <w:rFonts w:ascii="宋体" w:hAnsi="宋体" w:cs="宋体" w:hint="eastAsia"/>
          <w:kern w:val="0"/>
          <w:szCs w:val="21"/>
        </w:rPr>
        <w:t>依据有关法律法规的规定和《基金合同》的约定</w:t>
      </w:r>
      <w:r w:rsidRPr="003F0CC9">
        <w:rPr>
          <w:rFonts w:ascii="宋体" w:hAnsi="宋体" w:hint="eastAsia"/>
          <w:szCs w:val="21"/>
        </w:rPr>
        <w:t>对基金管理人参与银行间债券市场进行监督。</w:t>
      </w:r>
    </w:p>
    <w:p w14:paraId="6D814BBF" w14:textId="77777777" w:rsidR="004518C1" w:rsidRPr="003F0CC9" w:rsidRDefault="008D33B8">
      <w:pPr>
        <w:adjustRightInd w:val="0"/>
        <w:spacing w:line="360" w:lineRule="auto"/>
        <w:ind w:left="1" w:firstLineChars="225" w:firstLine="473"/>
        <w:contextualSpacing/>
        <w:rPr>
          <w:rFonts w:ascii="宋体" w:hAnsi="宋体"/>
          <w:szCs w:val="21"/>
        </w:rPr>
      </w:pPr>
      <w:r w:rsidRPr="003F0CC9">
        <w:rPr>
          <w:rFonts w:ascii="宋体" w:hAnsi="宋体" w:hint="eastAsia"/>
          <w:szCs w:val="21"/>
        </w:rPr>
        <w:t>基金管理人应在基金投资运作之前向基金托管人提供符合法律法规及行业标准的、经慎重选择的、本基金适用的银行间债券市场交易对手名单。基金管理人有责任确保及时将更</w:t>
      </w:r>
      <w:r w:rsidRPr="003F0CC9">
        <w:rPr>
          <w:rFonts w:ascii="宋体" w:hAnsi="宋体" w:hint="eastAsia"/>
          <w:szCs w:val="21"/>
        </w:rPr>
        <w:lastRenderedPageBreak/>
        <w:t>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如基金管理人未向基金托管人提供交易对手书面名单，基金托管人有权不对交易对手是否在名单内进行监督。在基金存续期间基金管理人可以调整交易对手名单，但应将调整结果至少提前一个工作日书面通知基金托管人。新名单确定前已与本次剔除的交易对手所进行但尚未结算的交易，仍应按照协议进行结算。如基金管理人根据市场需要临时调整银行间债券交易对手名单的，应向基金托管人说明理由，并在与交易对手发生交易前3个交易日内与基金托管人协商解决。</w:t>
      </w:r>
    </w:p>
    <w:p w14:paraId="1443D5AD" w14:textId="17E4636F" w:rsidR="004518C1" w:rsidRPr="003F0CC9" w:rsidRDefault="008D33B8">
      <w:pPr>
        <w:adjustRightInd w:val="0"/>
        <w:spacing w:line="360" w:lineRule="auto"/>
        <w:ind w:left="1" w:firstLineChars="200" w:firstLine="420"/>
        <w:contextualSpacing/>
        <w:rPr>
          <w:rFonts w:ascii="宋体" w:hAnsi="宋体"/>
          <w:szCs w:val="21"/>
        </w:rPr>
      </w:pPr>
      <w:r w:rsidRPr="003F0CC9">
        <w:rPr>
          <w:rFonts w:ascii="宋体" w:hAnsi="宋体" w:hint="eastAsia"/>
          <w:szCs w:val="21"/>
        </w:rPr>
        <w:t>基金管理人负责对交易对手的资信控制，按银行间债券市场的交易规则进行交易，并负责解决因交易对手不履行合同而造成的纠纷及损失，</w:t>
      </w:r>
      <w:r w:rsidRPr="003F0CC9">
        <w:rPr>
          <w:rFonts w:ascii="宋体" w:hAnsi="宋体"/>
          <w:szCs w:val="21"/>
        </w:rPr>
        <w:t>基金托管人不承担由此造成的法律责任及损失。若未履约的交易对手在基金托管人与基金管理人确定的时间前仍未承担违约责任及其他相关法律责任的，基金管理人可以对相应损失先行予以承担，然后再向相关交易对手追偿。</w:t>
      </w:r>
      <w:r w:rsidRPr="003F0CC9">
        <w:rPr>
          <w:rFonts w:ascii="宋体" w:hAnsi="宋体" w:hint="eastAsia"/>
          <w:szCs w:val="21"/>
        </w:rPr>
        <w:t>如基金托管人事后发现基金管理人没有按照事先约定的交易对手进行交易时，基金托管人应及时提醒基金管理人，基金托管人不承担由此造成的损失和责任。</w:t>
      </w:r>
    </w:p>
    <w:p w14:paraId="096907EC" w14:textId="2FC7677A" w:rsidR="004518C1" w:rsidRPr="003F0CC9" w:rsidRDefault="008D33B8">
      <w:pPr>
        <w:adjustRightInd w:val="0"/>
        <w:spacing w:line="360" w:lineRule="auto"/>
        <w:ind w:firstLineChars="215" w:firstLine="451"/>
        <w:contextualSpacing/>
        <w:rPr>
          <w:rFonts w:ascii="宋体" w:hAnsi="宋体"/>
          <w:szCs w:val="21"/>
        </w:rPr>
      </w:pPr>
      <w:r w:rsidRPr="003F0CC9">
        <w:rPr>
          <w:rFonts w:ascii="宋体" w:hAnsi="宋体"/>
          <w:szCs w:val="21"/>
        </w:rPr>
        <w:t>6</w:t>
      </w:r>
      <w:r w:rsidRPr="003F0CC9">
        <w:rPr>
          <w:rFonts w:ascii="宋体" w:hAnsi="宋体" w:hint="eastAsia"/>
          <w:szCs w:val="21"/>
        </w:rPr>
        <w:t>、基金托管人对基金管理人选择存款银行进行监督。</w:t>
      </w:r>
    </w:p>
    <w:p w14:paraId="1D619372" w14:textId="77777777" w:rsidR="004518C1" w:rsidRPr="003F0CC9" w:rsidRDefault="008D33B8">
      <w:pPr>
        <w:widowControl/>
        <w:adjustRightInd w:val="0"/>
        <w:spacing w:line="360" w:lineRule="auto"/>
        <w:ind w:left="1" w:firstLineChars="200" w:firstLine="420"/>
        <w:contextualSpacing/>
        <w:jc w:val="left"/>
        <w:rPr>
          <w:rFonts w:ascii="宋体" w:hAnsi="宋体" w:cs="宋体"/>
          <w:kern w:val="0"/>
          <w:szCs w:val="21"/>
        </w:rPr>
      </w:pPr>
      <w:r w:rsidRPr="003F0CC9">
        <w:rPr>
          <w:rFonts w:ascii="宋体" w:hAnsi="宋体" w:cs="宋体" w:hint="eastAsia"/>
          <w:kern w:val="0"/>
          <w:szCs w:val="21"/>
        </w:rPr>
        <w:t>基金投资银行定期存款的，基金管理人应根据法律法规的规定及基金合同的约定，确定符合条件的所有存款银行的名单，并及时提供给基金托管人，基金托管人应据以对基金投资银行存款的交易对手是否按存款银行名单交易进行监督。如基金管理人未向基金托管人提供符合条件的存款银行名单，基金托管人有权不对基金投资银行存款的交易对手进行监督。</w:t>
      </w:r>
    </w:p>
    <w:p w14:paraId="4362446C"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（二）基金托管人应根据有关法律法规的规定及《基金合同》的约定，对基金资产净值计算、基金份额净值计算、应收资金到账、基金费用开支及收入确定、基金收益分配、相关信息披露等进行监督和核查。</w:t>
      </w:r>
    </w:p>
    <w:p w14:paraId="2BE7AC11" w14:textId="77777777" w:rsidR="004518C1" w:rsidRPr="003F0CC9" w:rsidRDefault="008D33B8">
      <w:pPr>
        <w:adjustRightInd w:val="0"/>
        <w:spacing w:line="360" w:lineRule="auto"/>
        <w:ind w:firstLineChars="200" w:firstLine="420"/>
        <w:contextualSpacing/>
        <w:rPr>
          <w:rFonts w:ascii="宋体" w:hAnsi="宋体"/>
          <w:b/>
          <w:szCs w:val="21"/>
        </w:rPr>
      </w:pPr>
      <w:r w:rsidRPr="003F0CC9">
        <w:rPr>
          <w:rFonts w:ascii="宋体" w:hAnsi="宋体" w:hint="eastAsia"/>
          <w:szCs w:val="21"/>
        </w:rPr>
        <w:t>（三）基金托管人发现基金管理人的投资运作及其他运作违反《基金法》、《基金合同》、基金托管协议及其他有关规定时，有权及时以书面形式通知基金管理人限期纠正，基金管理人收到通知后应在当日及时核对，并以书面形式向基金托管人发出回函，进行解释或举证。</w:t>
      </w:r>
    </w:p>
    <w:p w14:paraId="71C0D0EE" w14:textId="0FD9781C"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在限期内，基金托管人有权随时对书面通知事项进行复查，督促基金管理人改正。基金管理人对基金托管人通知的违规事项未能在限期内纠正的，基金托管人有权报告中国证监会。基金管理人有义务赔偿因其违反《基金合同》而致使投资者遭受的损失。</w:t>
      </w:r>
    </w:p>
    <w:p w14:paraId="0D1C229D" w14:textId="24E173E9" w:rsidR="004518C1" w:rsidRPr="003F0CC9" w:rsidRDefault="008D33B8">
      <w:pPr>
        <w:pStyle w:val="aa"/>
        <w:spacing w:line="360" w:lineRule="auto"/>
        <w:ind w:firstLineChars="200" w:firstLine="420"/>
        <w:contextualSpacing/>
        <w:rPr>
          <w:szCs w:val="21"/>
        </w:rPr>
      </w:pPr>
      <w:r w:rsidRPr="003F0CC9">
        <w:rPr>
          <w:rFonts w:hint="eastAsia"/>
          <w:szCs w:val="21"/>
        </w:rPr>
        <w:t>基金托管人发现基金管理人的投资指令违反有关法律法规规定或者违反《基金合同》约定的，有权拒绝执行，及时书面通知基金管理人，并向中国证监会报告。</w:t>
      </w:r>
    </w:p>
    <w:p w14:paraId="0B68A719" w14:textId="78286BC9" w:rsidR="004518C1" w:rsidRPr="003F0CC9" w:rsidRDefault="008D33B8">
      <w:pPr>
        <w:adjustRightInd w:val="0"/>
        <w:spacing w:line="360" w:lineRule="auto"/>
        <w:ind w:firstLineChars="200" w:firstLine="420"/>
        <w:contextualSpacing/>
        <w:rPr>
          <w:rFonts w:ascii="宋体" w:hAnsi="宋体"/>
          <w:szCs w:val="21"/>
        </w:rPr>
      </w:pPr>
      <w:r w:rsidRPr="003F0CC9">
        <w:rPr>
          <w:rFonts w:hint="eastAsia"/>
          <w:szCs w:val="21"/>
        </w:rPr>
        <w:lastRenderedPageBreak/>
        <w:t>基金托管人发现基金管理人依据交易程序已经生效的投资指令违反法律、行政法规和其他有关规定，或者违反《基金合同》约定的，有权及时书面通知基金管理人，并报告中国证监会。</w:t>
      </w:r>
    </w:p>
    <w:p w14:paraId="48DF1730"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应积极配合和协助基金托管人的监督和核查，必须在规定时间内答复基金托管人并改正，就基金托管人的疑义进行解释或举证，对基金托管人按照法律法规要求需向中国证监会报送基金监督报告的，基金管理人应积极配合提供相关数据资料和制度等。</w:t>
      </w:r>
    </w:p>
    <w:p w14:paraId="3189739D" w14:textId="41BBFC6C"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承诺其按照《反洗钱法》等反洗钱相关法律法规及监管规定的要求履行反洗钱义务，不会实施任何违反前述规定的违法行为。基金管理人或其委托的销售机构应当开展客户身份识别及交易记录保存工作，在基金存续期间及时更新基金份额持有人信息，基金托管人根据相关法律法规及中国人民银行反洗钱监管规定，有权要求基金管理人向基金托管人提供基金份额持有人的身份证明文件和其他相关资料的复印件或影印件，基金托管人具备合理理由怀疑基金管理人或本基金涉嫌洗钱、恐怖融资的，基金托管人有权按照相关法律法规及中国人民银行反洗钱监管规定采取必要管控措施，并有权向反洗钱监管部门报告。</w:t>
      </w:r>
    </w:p>
    <w:p w14:paraId="01252C73"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基金托管人发现基金管理人有重大违规行为，有权及时报告中国证监会，同时有权书面通知基金管理人限期纠正。</w:t>
      </w:r>
    </w:p>
    <w:p w14:paraId="0A26E629" w14:textId="63CFA58E"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无正当理由，拒绝、阻挠基金托管人根据本协议规定行使监督权，或采取拖延、欺诈等手段妨碍基金托管人进行有效监督，情节严重或经基金托管人提出书面警告仍不改正的，基金托管人有权报告中国证监会。基金托管人不因提供监督而对基金管理人违法违规投资等承担责任。</w:t>
      </w:r>
    </w:p>
    <w:p w14:paraId="11587715" w14:textId="77777777" w:rsidR="004518C1" w:rsidRPr="003F0CC9" w:rsidRDefault="004518C1">
      <w:pPr>
        <w:adjustRightInd w:val="0"/>
        <w:spacing w:line="360" w:lineRule="auto"/>
        <w:ind w:firstLineChars="200" w:firstLine="420"/>
        <w:contextualSpacing/>
        <w:rPr>
          <w:rFonts w:ascii="宋体" w:hAnsi="宋体"/>
          <w:szCs w:val="21"/>
        </w:rPr>
      </w:pPr>
    </w:p>
    <w:p w14:paraId="09DD2AD9" w14:textId="77777777" w:rsidR="004518C1" w:rsidRPr="003F0CC9" w:rsidRDefault="008D33B8">
      <w:pPr>
        <w:pStyle w:val="1"/>
        <w:adjustRightInd w:val="0"/>
        <w:spacing w:line="360" w:lineRule="auto"/>
        <w:contextualSpacing/>
        <w:jc w:val="center"/>
        <w:rPr>
          <w:sz w:val="30"/>
          <w:szCs w:val="30"/>
        </w:rPr>
      </w:pPr>
      <w:r w:rsidRPr="003F0CC9">
        <w:rPr>
          <w:rFonts w:ascii="宋体" w:hAnsi="宋体"/>
          <w:sz w:val="30"/>
          <w:szCs w:val="30"/>
        </w:rPr>
        <w:br w:type="page"/>
      </w:r>
      <w:bookmarkStart w:id="76" w:name="_Toc1564314"/>
      <w:r w:rsidRPr="003F0CC9">
        <w:rPr>
          <w:rFonts w:ascii="宋体" w:hAnsi="宋体" w:hint="eastAsia"/>
          <w:sz w:val="30"/>
          <w:szCs w:val="30"/>
        </w:rPr>
        <w:lastRenderedPageBreak/>
        <w:t>四、</w:t>
      </w:r>
      <w:bookmarkStart w:id="77" w:name="_Toc123705448"/>
      <w:bookmarkStart w:id="78" w:name="_Toc124749939"/>
      <w:bookmarkStart w:id="79" w:name="_Toc125361076"/>
      <w:bookmarkStart w:id="80" w:name="_Toc124749228"/>
      <w:r w:rsidRPr="003F0CC9">
        <w:rPr>
          <w:rFonts w:hint="eastAsia"/>
          <w:sz w:val="30"/>
          <w:szCs w:val="30"/>
        </w:rPr>
        <w:t>基金管理人对基金托管人的业务核查</w:t>
      </w:r>
      <w:bookmarkEnd w:id="76"/>
      <w:bookmarkEnd w:id="77"/>
      <w:bookmarkEnd w:id="78"/>
      <w:bookmarkEnd w:id="79"/>
      <w:bookmarkEnd w:id="80"/>
    </w:p>
    <w:p w14:paraId="04C18A3C"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根据有关法律法规、《基金合同》及本协议规定，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0FE0CEE4" w14:textId="0DEFE995"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发现基金托管人擅自挪用基金财产、未对基金财产实行分账管理、未执行或无故延迟执行基金管理人的有效资金划拨指令、违反约定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对通知事项进行复查，督促基金托管人改正，并予协助配合。基金托管人对基金管理人通知的违规事项未能在限期内纠正的，基金管理人应报告中国证监会，</w:t>
      </w:r>
      <w:r w:rsidRPr="003F0CC9">
        <w:rPr>
          <w:rFonts w:ascii="宋体" w:hAnsi="宋体" w:hint="eastAsia"/>
          <w:kern w:val="0"/>
          <w:szCs w:val="21"/>
        </w:rPr>
        <w:t>基金管理人有权利要求基金托管人赔偿基金因基金托管人过错违反本协议约定所遭受的直接经济损失。</w:t>
      </w:r>
    </w:p>
    <w:p w14:paraId="3E6DCDAB"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基金管理人发现基金托管人有重大违规行为，应立即报告中国证监会和银行业监督管理机构，同时通知基金托管人限期纠正。</w:t>
      </w:r>
    </w:p>
    <w:p w14:paraId="1577EA3C"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14:paraId="3461B825" w14:textId="77777777" w:rsidR="004518C1" w:rsidRPr="003F0CC9" w:rsidRDefault="008D33B8">
      <w:pPr>
        <w:pStyle w:val="20"/>
        <w:adjustRightInd w:val="0"/>
        <w:spacing w:after="0"/>
        <w:ind w:firstLine="420"/>
        <w:contextualSpacing/>
        <w:rPr>
          <w:color w:val="auto"/>
          <w:sz w:val="21"/>
          <w:szCs w:val="21"/>
        </w:rPr>
      </w:pPr>
      <w:r w:rsidRPr="003F0CC9">
        <w:rPr>
          <w:rFonts w:hint="eastAsia"/>
          <w:color w:val="auto"/>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23E22DB3" w14:textId="77777777" w:rsidR="004518C1" w:rsidRPr="003F0CC9" w:rsidRDefault="004518C1">
      <w:pPr>
        <w:pStyle w:val="20"/>
        <w:adjustRightInd w:val="0"/>
        <w:spacing w:after="0"/>
        <w:contextualSpacing/>
        <w:rPr>
          <w:color w:val="auto"/>
          <w:szCs w:val="21"/>
        </w:rPr>
      </w:pPr>
    </w:p>
    <w:p w14:paraId="36FFDFBB" w14:textId="77777777" w:rsidR="004518C1" w:rsidRPr="003F0CC9" w:rsidRDefault="004518C1">
      <w:pPr>
        <w:pStyle w:val="20"/>
        <w:adjustRightInd w:val="0"/>
        <w:spacing w:after="0"/>
        <w:contextualSpacing/>
        <w:rPr>
          <w:color w:val="auto"/>
          <w:szCs w:val="21"/>
        </w:rPr>
      </w:pPr>
    </w:p>
    <w:p w14:paraId="1136C926" w14:textId="77777777" w:rsidR="004518C1" w:rsidRPr="003F0CC9" w:rsidRDefault="004518C1">
      <w:pPr>
        <w:pStyle w:val="20"/>
        <w:adjustRightInd w:val="0"/>
        <w:spacing w:after="0"/>
        <w:contextualSpacing/>
        <w:rPr>
          <w:color w:val="auto"/>
          <w:szCs w:val="21"/>
        </w:rPr>
      </w:pPr>
    </w:p>
    <w:p w14:paraId="7DCF83D4" w14:textId="77777777" w:rsidR="004518C1" w:rsidRPr="003F0CC9" w:rsidRDefault="008D33B8">
      <w:pPr>
        <w:pStyle w:val="20"/>
        <w:adjustRightInd w:val="0"/>
        <w:spacing w:after="0"/>
        <w:contextualSpacing/>
        <w:rPr>
          <w:color w:val="auto"/>
          <w:szCs w:val="21"/>
        </w:rPr>
      </w:pPr>
      <w:r w:rsidRPr="003F0CC9">
        <w:rPr>
          <w:color w:val="auto"/>
          <w:szCs w:val="21"/>
        </w:rPr>
        <w:br w:type="page"/>
      </w:r>
    </w:p>
    <w:p w14:paraId="1D0151BB" w14:textId="77777777" w:rsidR="004518C1" w:rsidRPr="003F0CC9" w:rsidRDefault="008D33B8">
      <w:pPr>
        <w:pStyle w:val="1"/>
        <w:adjustRightInd w:val="0"/>
        <w:spacing w:line="360" w:lineRule="auto"/>
        <w:contextualSpacing/>
        <w:jc w:val="center"/>
        <w:rPr>
          <w:sz w:val="30"/>
          <w:szCs w:val="30"/>
        </w:rPr>
      </w:pPr>
      <w:bookmarkStart w:id="81" w:name="_Hlt88903324"/>
      <w:bookmarkStart w:id="82" w:name="_Toc125361077"/>
      <w:bookmarkStart w:id="83" w:name="_Toc22454437"/>
      <w:bookmarkStart w:id="84" w:name="_Toc48703889"/>
      <w:bookmarkStart w:id="85" w:name="_Toc466788854"/>
      <w:bookmarkStart w:id="86" w:name="_Toc123626171"/>
      <w:bookmarkStart w:id="87" w:name="_Toc1564315"/>
      <w:bookmarkStart w:id="88" w:name="_Toc124749229"/>
      <w:bookmarkStart w:id="89" w:name="_Toc523829995"/>
      <w:bookmarkStart w:id="90" w:name="_Toc124749940"/>
      <w:bookmarkEnd w:id="81"/>
      <w:r w:rsidRPr="003F0CC9">
        <w:rPr>
          <w:rFonts w:hint="eastAsia"/>
          <w:sz w:val="30"/>
          <w:szCs w:val="30"/>
        </w:rPr>
        <w:lastRenderedPageBreak/>
        <w:t>五、基金财产保管</w:t>
      </w:r>
      <w:bookmarkEnd w:id="82"/>
      <w:bookmarkEnd w:id="83"/>
      <w:bookmarkEnd w:id="84"/>
      <w:bookmarkEnd w:id="85"/>
      <w:bookmarkEnd w:id="86"/>
      <w:bookmarkEnd w:id="87"/>
      <w:bookmarkEnd w:id="88"/>
      <w:bookmarkEnd w:id="89"/>
      <w:bookmarkEnd w:id="90"/>
    </w:p>
    <w:p w14:paraId="56A93432" w14:textId="77777777" w:rsidR="004518C1" w:rsidRPr="003F0CC9" w:rsidRDefault="008D33B8">
      <w:pPr>
        <w:pStyle w:val="2"/>
        <w:keepNext w:val="0"/>
        <w:keepLines w:val="0"/>
        <w:autoSpaceDE w:val="0"/>
        <w:autoSpaceDN w:val="0"/>
        <w:adjustRightInd w:val="0"/>
        <w:spacing w:before="0" w:after="0" w:line="360" w:lineRule="auto"/>
        <w:ind w:firstLineChars="150" w:firstLine="316"/>
        <w:contextualSpacing/>
        <w:textAlignment w:val="baseline"/>
        <w:rPr>
          <w:rFonts w:ascii="宋体" w:eastAsia="宋体" w:hAnsi="宋体"/>
          <w:bCs w:val="0"/>
          <w:sz w:val="21"/>
          <w:szCs w:val="21"/>
        </w:rPr>
      </w:pPr>
      <w:bookmarkStart w:id="91" w:name="_Toc37159173"/>
      <w:r w:rsidRPr="003F0CC9">
        <w:rPr>
          <w:rFonts w:ascii="宋体" w:eastAsia="宋体" w:hAnsi="宋体" w:hint="eastAsia"/>
          <w:bCs w:val="0"/>
          <w:sz w:val="21"/>
          <w:szCs w:val="21"/>
        </w:rPr>
        <w:t>（一）基金财产保管的原则</w:t>
      </w:r>
      <w:bookmarkStart w:id="92" w:name="_Hlt88903033"/>
      <w:bookmarkEnd w:id="91"/>
      <w:bookmarkEnd w:id="92"/>
    </w:p>
    <w:p w14:paraId="34444405"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1、基金财产应独立于基金管理人、基金托管人的固有财产。</w:t>
      </w:r>
    </w:p>
    <w:p w14:paraId="39F25633"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2、基金托管人应按照本协议约定安全保管基金财产。未经基金管理人的正当指令，不得自行运用、处分、分配基金的任何财产。</w:t>
      </w:r>
    </w:p>
    <w:p w14:paraId="20E1A8F6" w14:textId="13CE6B04"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3、基金托管人按照规定开设基金财产的资金账户和证券账户等投资所需账户。</w:t>
      </w:r>
    </w:p>
    <w:p w14:paraId="0C1BB552"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1E07B700" w14:textId="77777777" w:rsidR="004518C1" w:rsidRPr="003F0CC9" w:rsidRDefault="008D33B8">
      <w:pPr>
        <w:adjustRightInd w:val="0"/>
        <w:spacing w:line="360" w:lineRule="auto"/>
        <w:ind w:firstLineChars="200" w:firstLine="420"/>
        <w:contextualSpacing/>
        <w:rPr>
          <w:rFonts w:ascii="宋体" w:hAnsi="宋体"/>
          <w:szCs w:val="21"/>
        </w:rPr>
      </w:pPr>
      <w:r w:rsidRPr="003F0CC9">
        <w:rPr>
          <w:szCs w:val="21"/>
        </w:rPr>
        <w:t>5</w:t>
      </w:r>
      <w:r w:rsidRPr="003F0CC9">
        <w:rPr>
          <w:szCs w:val="21"/>
        </w:rPr>
        <w:t>、</w:t>
      </w:r>
      <w:r w:rsidRPr="003F0CC9">
        <w:rPr>
          <w:rFonts w:hAnsi="宋体"/>
          <w:szCs w:val="21"/>
        </w:rPr>
        <w:t>基金托管人根据基金管理人的指令，按照</w:t>
      </w:r>
      <w:r w:rsidR="00AC00ED" w:rsidRPr="003F0CC9">
        <w:rPr>
          <w:rFonts w:hAnsi="宋体" w:hint="eastAsia"/>
          <w:szCs w:val="21"/>
        </w:rPr>
        <w:t>法律法规的规定、</w:t>
      </w:r>
      <w:r w:rsidRPr="003F0CC9">
        <w:rPr>
          <w:rFonts w:hAnsi="宋体"/>
          <w:szCs w:val="21"/>
        </w:rPr>
        <w:t>基金合同和本协议的约定保管基金财产。</w:t>
      </w:r>
    </w:p>
    <w:p w14:paraId="290434EC"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6、对于因基金认（申）购、基金投资过程中产生的应收财产，应由基金管理人负责与有关当事人确定到账日期并通知基金托管人。由此给基金造成损失的，基金管理人应负责向有关当事人追偿基金的损失</w:t>
      </w:r>
      <w:bookmarkStart w:id="93" w:name="_Hlt88902859"/>
      <w:bookmarkEnd w:id="93"/>
      <w:r w:rsidRPr="003F0CC9">
        <w:rPr>
          <w:rFonts w:ascii="宋体" w:hAnsi="宋体" w:hint="eastAsia"/>
          <w:szCs w:val="21"/>
        </w:rPr>
        <w:t>，基金托管人应予以必要的协助和配合，但对此不承担责任。</w:t>
      </w:r>
    </w:p>
    <w:p w14:paraId="216F04DF" w14:textId="77777777" w:rsidR="004518C1" w:rsidRPr="003F0CC9" w:rsidRDefault="008D33B8">
      <w:pPr>
        <w:adjustRightInd w:val="0"/>
        <w:spacing w:line="360" w:lineRule="auto"/>
        <w:ind w:firstLineChars="200" w:firstLine="420"/>
        <w:contextualSpacing/>
        <w:rPr>
          <w:rFonts w:ascii="宋体" w:hAnsi="宋体"/>
          <w:szCs w:val="21"/>
        </w:rPr>
      </w:pPr>
      <w:r w:rsidRPr="003F0CC9">
        <w:rPr>
          <w:szCs w:val="21"/>
        </w:rPr>
        <w:t>7</w:t>
      </w:r>
      <w:r w:rsidRPr="003F0CC9">
        <w:rPr>
          <w:szCs w:val="21"/>
        </w:rPr>
        <w:t>、</w:t>
      </w:r>
      <w:r w:rsidRPr="003F0CC9">
        <w:rPr>
          <w:rFonts w:hAnsi="宋体"/>
          <w:szCs w:val="21"/>
        </w:rPr>
        <w:t>除依据法律法规和基金合同的规定外，基金托管人不得委托第三人托管基金财产。</w:t>
      </w:r>
    </w:p>
    <w:p w14:paraId="3B1AAF43"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94" w:name="_Toc37159174"/>
      <w:r w:rsidRPr="003F0CC9">
        <w:rPr>
          <w:rFonts w:ascii="宋体" w:eastAsia="宋体" w:hAnsi="宋体" w:hint="eastAsia"/>
          <w:bCs w:val="0"/>
          <w:sz w:val="21"/>
          <w:szCs w:val="21"/>
        </w:rPr>
        <w:t>（二）募集资金的验证</w:t>
      </w:r>
      <w:bookmarkEnd w:id="94"/>
    </w:p>
    <w:p w14:paraId="09C2656D" w14:textId="70EC2914"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募集期内销售机构按销售与服务代理协议的约定，将认购资金划入基金管理人在具有托管资格的商业银行开设的国泰基金管理有限公司基金认购专户。该账户由基金管理人开立并管理。</w:t>
      </w:r>
    </w:p>
    <w:p w14:paraId="01B9B00A" w14:textId="69D008E5"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募集期满，募集的基金份额总额、基金募集金额、基金份额持有人人数符合《基金法》、《运作办法》等有关规定后，由基金管理人聘请符合《证券法》规定的会计师事务所进行验资，出具验资报告，出具的验资报告应由参加验资的</w:t>
      </w:r>
      <w:r w:rsidRPr="003F0CC9">
        <w:rPr>
          <w:rFonts w:ascii="宋体" w:hAnsi="宋体"/>
          <w:szCs w:val="21"/>
        </w:rPr>
        <w:t>2</w:t>
      </w:r>
      <w:r w:rsidRPr="003F0CC9">
        <w:rPr>
          <w:rFonts w:ascii="宋体" w:hAnsi="宋体" w:hint="eastAsia"/>
          <w:szCs w:val="21"/>
        </w:rPr>
        <w:t>名以上（含</w:t>
      </w:r>
      <w:r w:rsidRPr="003F0CC9">
        <w:rPr>
          <w:rFonts w:ascii="宋体" w:hAnsi="宋体"/>
          <w:szCs w:val="21"/>
        </w:rPr>
        <w:t>2</w:t>
      </w:r>
      <w:r w:rsidRPr="003F0CC9">
        <w:rPr>
          <w:rFonts w:ascii="宋体" w:hAnsi="宋体" w:hint="eastAsia"/>
          <w:szCs w:val="21"/>
        </w:rPr>
        <w:t>名）中国注册会计师签字有效。验资完成，基金管理人应将募集的属于本基金财产的全部资金划入基金托管人为基金开立的资产托管专户中，基金托管人在收到资金当日出具确认文件。</w:t>
      </w:r>
    </w:p>
    <w:p w14:paraId="4BA30DE7" w14:textId="77777777" w:rsidR="004518C1" w:rsidRPr="003F0CC9" w:rsidRDefault="008D33B8">
      <w:pPr>
        <w:pStyle w:val="a9"/>
        <w:adjustRightInd w:val="0"/>
        <w:spacing w:after="0" w:line="360" w:lineRule="auto"/>
        <w:ind w:leftChars="6" w:left="13" w:firstLineChars="200" w:firstLine="420"/>
        <w:contextualSpacing/>
        <w:rPr>
          <w:rFonts w:ascii="宋体" w:hAnsi="宋体" w:cs="Arial"/>
          <w:szCs w:val="21"/>
        </w:rPr>
      </w:pPr>
      <w:r w:rsidRPr="003F0CC9">
        <w:rPr>
          <w:rFonts w:ascii="宋体" w:hAnsi="宋体" w:cs="Arial" w:hint="eastAsia"/>
          <w:szCs w:val="21"/>
        </w:rPr>
        <w:t>若基金募集期限届满，未能达到《基金合同》生效的条件，由基金管理人按规定办理退款事宜，</w:t>
      </w:r>
      <w:r w:rsidRPr="003F0CC9">
        <w:rPr>
          <w:rFonts w:ascii="宋体" w:hAnsi="宋体" w:cs="Arial"/>
          <w:szCs w:val="21"/>
        </w:rPr>
        <w:t>基金托管人应当予以必要的协助和配合</w:t>
      </w:r>
      <w:r w:rsidRPr="003F0CC9">
        <w:rPr>
          <w:rFonts w:ascii="宋体" w:hAnsi="宋体" w:cs="Arial" w:hint="eastAsia"/>
          <w:szCs w:val="21"/>
        </w:rPr>
        <w:t>。</w:t>
      </w:r>
    </w:p>
    <w:p w14:paraId="49593F72" w14:textId="77777777" w:rsidR="004518C1" w:rsidRPr="003F0CC9" w:rsidRDefault="008D33B8">
      <w:pPr>
        <w:adjustRightInd w:val="0"/>
        <w:spacing w:line="360" w:lineRule="auto"/>
        <w:ind w:firstLineChars="200" w:firstLine="422"/>
        <w:contextualSpacing/>
        <w:rPr>
          <w:rFonts w:ascii="宋体" w:hAnsi="宋体"/>
          <w:b/>
          <w:bCs/>
          <w:szCs w:val="21"/>
        </w:rPr>
      </w:pPr>
      <w:r w:rsidRPr="003F0CC9">
        <w:rPr>
          <w:rFonts w:ascii="宋体" w:hAnsi="宋体" w:hint="eastAsia"/>
          <w:b/>
          <w:bCs/>
          <w:szCs w:val="21"/>
        </w:rPr>
        <w:t>（三）基金的资产托管专户（银行账户）的开立和管理</w:t>
      </w:r>
    </w:p>
    <w:p w14:paraId="7FE3D1CD" w14:textId="1FB0F5FC" w:rsidR="004518C1" w:rsidRPr="003F0CC9" w:rsidRDefault="008D33B8">
      <w:pPr>
        <w:adjustRightInd w:val="0"/>
        <w:spacing w:line="360" w:lineRule="auto"/>
        <w:ind w:firstLineChars="200" w:firstLine="420"/>
        <w:contextualSpacing/>
        <w:rPr>
          <w:rFonts w:ascii="宋体" w:hAnsi="宋体"/>
          <w:b/>
          <w:szCs w:val="21"/>
        </w:rPr>
      </w:pPr>
      <w:r w:rsidRPr="003F0CC9">
        <w:rPr>
          <w:rFonts w:ascii="宋体" w:hAnsi="宋体" w:hint="eastAsia"/>
          <w:szCs w:val="21"/>
        </w:rPr>
        <w:t>基金托管人负责协助基金管理人开立和管理本基金银行账户。基金托管人以</w:t>
      </w:r>
      <w:r w:rsidRPr="003F0CC9">
        <w:rPr>
          <w:rFonts w:hint="eastAsia"/>
          <w:bCs/>
          <w:szCs w:val="21"/>
        </w:rPr>
        <w:t>本基金</w:t>
      </w:r>
      <w:r w:rsidRPr="003F0CC9">
        <w:rPr>
          <w:rFonts w:ascii="宋体" w:hAnsi="宋体" w:hint="eastAsia"/>
          <w:szCs w:val="21"/>
        </w:rPr>
        <w:t>的名义在其营业机构开设基金资金账户（托管专户）（以实际开立户名为准），</w:t>
      </w:r>
      <w:r w:rsidRPr="003F0CC9">
        <w:rPr>
          <w:rFonts w:ascii="宋体" w:hAnsi="宋体"/>
          <w:szCs w:val="21"/>
        </w:rPr>
        <w:t>并根据基金管理人合法合规的指令办理资金收付</w:t>
      </w:r>
      <w:r w:rsidRPr="003F0CC9">
        <w:rPr>
          <w:rFonts w:ascii="宋体" w:hAnsi="宋体" w:hint="eastAsia"/>
          <w:szCs w:val="21"/>
        </w:rPr>
        <w:t>，本基金的银行预留印鉴由基金托管人保管和使用，因基金托</w:t>
      </w:r>
      <w:r w:rsidRPr="003F0CC9">
        <w:rPr>
          <w:rFonts w:ascii="宋体" w:hAnsi="宋体" w:hint="eastAsia"/>
          <w:szCs w:val="21"/>
        </w:rPr>
        <w:lastRenderedPageBreak/>
        <w:t>管人原因预留印鉴变更时，基金管理人应配合提供相关资料。基金管理人保证本基金的一切货币收支活动，包括但不限于投资、支付赎回金额、支付基金收益、收取申购款，均需通过本基金资金账户进行。</w:t>
      </w:r>
    </w:p>
    <w:p w14:paraId="61F49A0F"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该资产托管专户是指基金托管人在集中托管模式下，代表所托管的基金与中国证券登记结算有限责任公司进行托管人集中清算模式下资金结算的专用账户。</w:t>
      </w:r>
    </w:p>
    <w:p w14:paraId="7FC72390"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基金托管人和基金管理人不得假借本基金的名义开立其他任何银行账户；亦不得使用基金的任何银行账户进行本基金业务以外的活动。</w:t>
      </w:r>
    </w:p>
    <w:p w14:paraId="15AC3DA8"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hint="eastAsia"/>
          <w:bCs/>
          <w:szCs w:val="21"/>
        </w:rPr>
        <w:t>资产托管专户</w:t>
      </w:r>
      <w:r w:rsidRPr="003F0CC9">
        <w:rPr>
          <w:rFonts w:ascii="宋体" w:hAnsi="宋体" w:hint="eastAsia"/>
          <w:szCs w:val="21"/>
        </w:rPr>
        <w:t>的管理应符合</w:t>
      </w:r>
      <w:r w:rsidRPr="003F0CC9">
        <w:rPr>
          <w:rFonts w:ascii="宋体" w:hAnsi="宋体"/>
          <w:szCs w:val="21"/>
        </w:rPr>
        <w:t>《人民币银行结算账户管理办法》</w:t>
      </w:r>
      <w:r w:rsidRPr="003F0CC9">
        <w:rPr>
          <w:rFonts w:ascii="宋体" w:hAnsi="宋体" w:hint="eastAsia"/>
          <w:szCs w:val="21"/>
        </w:rPr>
        <w:t>、《现金管理暂行条例》、《人民币利率管理规定》、《利率管理暂行规定》、《支付结算办法》以及银行业监督管理机构的其他规定。</w:t>
      </w:r>
    </w:p>
    <w:p w14:paraId="0BC610B4" w14:textId="62D979F8" w:rsidR="004518C1" w:rsidRPr="003F0CC9" w:rsidRDefault="008D33B8">
      <w:pPr>
        <w:adjustRightInd w:val="0"/>
        <w:spacing w:line="360" w:lineRule="auto"/>
        <w:ind w:firstLineChars="200" w:firstLine="420"/>
        <w:contextualSpacing/>
        <w:rPr>
          <w:rFonts w:ascii="宋体" w:hAnsi="宋体"/>
          <w:kern w:val="0"/>
          <w:szCs w:val="21"/>
        </w:rPr>
      </w:pPr>
      <w:r w:rsidRPr="003F0CC9">
        <w:rPr>
          <w:rFonts w:ascii="宋体" w:hAnsi="宋体" w:hint="eastAsia"/>
          <w:kern w:val="0"/>
          <w:szCs w:val="21"/>
        </w:rPr>
        <w:t>基金托管人应严格管理基金在基金托管人处开立的资产托管专户、协助基金管理人查询资产托管专户余额。基金托管人对由于基金管理人违反本协议导致账户信息变更不及时而引发的合规风险，不承担责任。</w:t>
      </w:r>
    </w:p>
    <w:p w14:paraId="487B857C" w14:textId="4C290C7D"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3F0CC9">
        <w:rPr>
          <w:rFonts w:ascii="宋体" w:eastAsia="宋体" w:hAnsi="宋体" w:hint="eastAsia"/>
          <w:bCs w:val="0"/>
          <w:sz w:val="21"/>
          <w:szCs w:val="21"/>
        </w:rPr>
        <w:t>（四）基金证券账户、证券交易资金账户的开设和管理</w:t>
      </w:r>
    </w:p>
    <w:p w14:paraId="45BCB373"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基金托管人以基金托管人和本基金联名的方式在中国证券登记结算有限责任公司上海分公司/深圳分公司/北京分公司开设证券账户。</w:t>
      </w:r>
    </w:p>
    <w:p w14:paraId="733D0E9A"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基金托管人</w:t>
      </w:r>
      <w:r w:rsidRPr="003F0CC9">
        <w:rPr>
          <w:rFonts w:ascii="宋体" w:hAnsi="宋体"/>
          <w:szCs w:val="21"/>
        </w:rPr>
        <w:t>以</w:t>
      </w:r>
      <w:r w:rsidRPr="003F0CC9">
        <w:rPr>
          <w:rFonts w:ascii="宋体" w:hAnsi="宋体" w:hint="eastAsia"/>
          <w:szCs w:val="21"/>
        </w:rPr>
        <w:t>基金托管人的名义在中国证券登记结算有限责任公司上海分公司/深圳分公司/北京分公司开立基金证券交易资金账户，用于证券清算。</w:t>
      </w:r>
    </w:p>
    <w:p w14:paraId="08662342"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基金证券账户的开立和使用，限于满足开展本基金业务的需要。基金托管人和基金管理人不得出借和未经对方书面同意擅自转让基金的任何证券账户；亦不得使用基金的任何证券账户进行本基金业务以外的活动。</w:t>
      </w:r>
    </w:p>
    <w:p w14:paraId="6A3884A3"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3F0CC9">
        <w:rPr>
          <w:rFonts w:ascii="宋体" w:eastAsia="宋体" w:hAnsi="宋体" w:hint="eastAsia"/>
          <w:bCs w:val="0"/>
          <w:sz w:val="21"/>
          <w:szCs w:val="21"/>
        </w:rPr>
        <w:t>（五）债券托管账户的开立和管理</w:t>
      </w:r>
    </w:p>
    <w:p w14:paraId="15455595" w14:textId="34E368FE"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基金合同》生效后，基金管理人负责以基金的名义申请并取得进入全国银行间同业拆借市场的交易资格，并代表基金进行交易；基金托管人负责根据中国人民银行、银行间市场登记结算机构的有关规定，在银行间市场登记结算机构开立债券托管账户、持有人账户和资金结算账户，并由基金托管人负责基金的债券交易的后台确认及资金的清算。</w:t>
      </w:r>
    </w:p>
    <w:p w14:paraId="1FF0EBFB"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w:t>
      </w:r>
      <w:r w:rsidRPr="003F0CC9">
        <w:rPr>
          <w:rFonts w:ascii="宋体" w:hAnsi="宋体" w:cs="宋体" w:hint="eastAsia"/>
          <w:szCs w:val="21"/>
        </w:rPr>
        <w:t>基金管理人代表基金对外签订中国银行间市场债券回购交易主协议。</w:t>
      </w:r>
    </w:p>
    <w:p w14:paraId="7899AE28" w14:textId="77777777" w:rsidR="004518C1" w:rsidRPr="003F0CC9" w:rsidRDefault="008D33B8">
      <w:pPr>
        <w:adjustRightInd w:val="0"/>
        <w:spacing w:line="360" w:lineRule="auto"/>
        <w:ind w:firstLineChars="200" w:firstLine="422"/>
        <w:contextualSpacing/>
        <w:rPr>
          <w:rFonts w:ascii="宋体" w:hAnsi="宋体"/>
          <w:b/>
          <w:szCs w:val="21"/>
        </w:rPr>
      </w:pPr>
      <w:r w:rsidRPr="003F0CC9">
        <w:rPr>
          <w:rFonts w:ascii="宋体" w:hAnsi="宋体" w:hint="eastAsia"/>
          <w:b/>
          <w:szCs w:val="21"/>
        </w:rPr>
        <w:t>（六）其他账户的开设和管理</w:t>
      </w:r>
    </w:p>
    <w:p w14:paraId="3ABB3AA7"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在本托管协议订立日之后，本基金被允许从事符合法律法规规定和《基金合同》约定的其他投资品种的投资业务时，如果涉及相关账户的开设和使用，由基金管理人或基金管理人</w:t>
      </w:r>
      <w:r w:rsidRPr="003F0CC9">
        <w:rPr>
          <w:rFonts w:ascii="宋体" w:hAnsi="宋体" w:hint="eastAsia"/>
          <w:szCs w:val="21"/>
        </w:rPr>
        <w:lastRenderedPageBreak/>
        <w:t>协助托管人根据有关法律法规的规定和《基金合同》的约定，开立有关账户。该账户按有关规则使用并管理。</w:t>
      </w:r>
    </w:p>
    <w:p w14:paraId="3BC5F7E7"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3F0CC9">
        <w:rPr>
          <w:rFonts w:ascii="宋体" w:eastAsia="宋体" w:hAnsi="宋体" w:hint="eastAsia"/>
          <w:bCs w:val="0"/>
          <w:sz w:val="21"/>
          <w:szCs w:val="21"/>
        </w:rPr>
        <w:t>（七）基金财产投资的有关实物证券、银行定期存款存单等有价凭证的保管</w:t>
      </w:r>
    </w:p>
    <w:p w14:paraId="34C42D97" w14:textId="77777777" w:rsidR="004518C1" w:rsidRPr="003F0CC9" w:rsidRDefault="00AC00ED">
      <w:pPr>
        <w:adjustRightInd w:val="0"/>
        <w:spacing w:line="360" w:lineRule="auto"/>
        <w:ind w:firstLineChars="200" w:firstLine="420"/>
        <w:contextualSpacing/>
        <w:rPr>
          <w:rFonts w:ascii="宋体" w:hAnsi="宋体"/>
          <w:szCs w:val="21"/>
        </w:rPr>
      </w:pPr>
      <w:r w:rsidRPr="003F0CC9">
        <w:rPr>
          <w:rFonts w:ascii="宋体" w:hAnsi="宋体" w:hint="eastAsia"/>
          <w:szCs w:val="21"/>
        </w:rPr>
        <w:t>实物证券、银</w:t>
      </w:r>
      <w:r w:rsidR="008D33B8" w:rsidRPr="003F0CC9">
        <w:rPr>
          <w:rFonts w:ascii="宋体" w:hAnsi="宋体" w:hint="eastAsia"/>
          <w:szCs w:val="21"/>
        </w:rPr>
        <w:t>行定期存款存单等有价凭证应由基金托管人保管的，由基金托管人存放于其档案库或保险柜。保管凭证由基金托管人持有，基金托管人承担保管职责。基金托管人对由基金托管人实际有效控制以外的证券不承担保管责任。</w:t>
      </w:r>
    </w:p>
    <w:p w14:paraId="6515B712"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95" w:name="_Toc37159180"/>
      <w:r w:rsidRPr="003F0CC9">
        <w:rPr>
          <w:rFonts w:ascii="宋体" w:eastAsia="宋体" w:hAnsi="宋体" w:hint="eastAsia"/>
          <w:bCs w:val="0"/>
          <w:sz w:val="21"/>
          <w:szCs w:val="21"/>
        </w:rPr>
        <w:t>（八）与基金财产有关的重大合同的保管</w:t>
      </w:r>
      <w:bookmarkEnd w:id="95"/>
    </w:p>
    <w:p w14:paraId="0D1D16BE"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由基金管理人代表基金签署的与基金有关的重大合同的原件分别应由基金托管人、基金管理人保管。除本协议另有约定外，基金管理人在代表基金签署与基金有关的重大合同时应保证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存期限按照法律法规的规定执行。</w:t>
      </w:r>
    </w:p>
    <w:p w14:paraId="2FFE2B66" w14:textId="77777777" w:rsidR="004518C1" w:rsidRPr="003F0CC9" w:rsidRDefault="008D33B8">
      <w:pPr>
        <w:adjustRightInd w:val="0"/>
        <w:spacing w:line="360" w:lineRule="auto"/>
        <w:ind w:firstLineChars="200" w:firstLine="420"/>
        <w:contextualSpacing/>
        <w:rPr>
          <w:rFonts w:ascii="宋体" w:hAnsi="宋体"/>
          <w:sz w:val="24"/>
          <w:szCs w:val="21"/>
        </w:rPr>
      </w:pPr>
      <w:r w:rsidRPr="003F0CC9">
        <w:rPr>
          <w:rFonts w:ascii="宋体" w:hAnsi="宋体" w:hint="eastAsia"/>
          <w:kern w:val="0"/>
          <w:szCs w:val="21"/>
        </w:rPr>
        <w:t>对于无法取得二份以上的正本的，基金管理人应向基金托管人提供加盖授权业务章的合同传真件</w:t>
      </w:r>
      <w:r w:rsidRPr="003F0CC9">
        <w:rPr>
          <w:rFonts w:hAnsi="宋体" w:hint="eastAsia"/>
          <w:kern w:val="0"/>
          <w:szCs w:val="21"/>
        </w:rPr>
        <w:t>并保证其真实性及其与原件的完全一致性</w:t>
      </w:r>
      <w:r w:rsidRPr="003F0CC9">
        <w:rPr>
          <w:rFonts w:ascii="宋体" w:hAnsi="宋体" w:hint="eastAsia"/>
          <w:kern w:val="0"/>
          <w:szCs w:val="21"/>
        </w:rPr>
        <w:t>，未经双方协商或未在合同约定范围内，合同原件不得转移。</w:t>
      </w:r>
    </w:p>
    <w:p w14:paraId="44D3C09F" w14:textId="77777777" w:rsidR="004518C1" w:rsidRPr="003F0CC9" w:rsidRDefault="008D33B8">
      <w:pPr>
        <w:pStyle w:val="1"/>
        <w:adjustRightInd w:val="0"/>
        <w:spacing w:line="360" w:lineRule="auto"/>
        <w:contextualSpacing/>
        <w:jc w:val="center"/>
        <w:rPr>
          <w:sz w:val="30"/>
          <w:szCs w:val="30"/>
        </w:rPr>
      </w:pPr>
      <w:bookmarkStart w:id="96" w:name="_Toc124749230"/>
      <w:bookmarkStart w:id="97" w:name="_Toc124749941"/>
      <w:bookmarkStart w:id="98" w:name="_Toc125361078"/>
      <w:bookmarkStart w:id="99" w:name="_Toc123626172"/>
      <w:r w:rsidRPr="003F0CC9">
        <w:br w:type="page"/>
      </w:r>
      <w:bookmarkStart w:id="100" w:name="_Toc1564316"/>
      <w:r w:rsidRPr="003F0CC9">
        <w:rPr>
          <w:rFonts w:hint="eastAsia"/>
          <w:sz w:val="30"/>
          <w:szCs w:val="30"/>
        </w:rPr>
        <w:lastRenderedPageBreak/>
        <w:t>六、指令的发送、确认和执行</w:t>
      </w:r>
      <w:bookmarkEnd w:id="4"/>
      <w:bookmarkEnd w:id="5"/>
      <w:bookmarkEnd w:id="6"/>
      <w:bookmarkEnd w:id="96"/>
      <w:bookmarkEnd w:id="97"/>
      <w:bookmarkEnd w:id="98"/>
      <w:bookmarkEnd w:id="99"/>
      <w:bookmarkEnd w:id="100"/>
    </w:p>
    <w:p w14:paraId="0A916211" w14:textId="77777777" w:rsidR="004518C1" w:rsidRPr="003F0CC9" w:rsidRDefault="008D33B8">
      <w:pPr>
        <w:pStyle w:val="2"/>
        <w:keepNext w:val="0"/>
        <w:keepLines w:val="0"/>
        <w:autoSpaceDE w:val="0"/>
        <w:autoSpaceDN w:val="0"/>
        <w:adjustRightInd w:val="0"/>
        <w:spacing w:before="0" w:after="0" w:line="360" w:lineRule="auto"/>
        <w:ind w:firstLineChars="200" w:firstLine="420"/>
        <w:contextualSpacing/>
        <w:textAlignment w:val="baseline"/>
        <w:rPr>
          <w:rFonts w:ascii="宋体" w:eastAsia="宋体" w:hAnsi="宋体"/>
          <w:b w:val="0"/>
          <w:bCs w:val="0"/>
          <w:sz w:val="21"/>
          <w:szCs w:val="21"/>
        </w:rPr>
      </w:pPr>
      <w:bookmarkStart w:id="101" w:name="_Toc48703899"/>
      <w:r w:rsidRPr="003F0CC9">
        <w:rPr>
          <w:rFonts w:ascii="宋体" w:eastAsia="宋体" w:hAnsi="宋体" w:hint="eastAsia"/>
          <w:b w:val="0"/>
          <w:bCs w:val="0"/>
          <w:sz w:val="21"/>
          <w:szCs w:val="21"/>
        </w:rPr>
        <w:t>对发送指令人员的授权方式、指令内容、指令发送和确认方式及其他相关事项应当按照本协议约定或基金管理人和基金托管人双方书面共同确认的方式执行。</w:t>
      </w:r>
    </w:p>
    <w:p w14:paraId="066BD28A"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3F0CC9">
        <w:rPr>
          <w:rFonts w:ascii="宋体" w:eastAsia="宋体" w:hAnsi="宋体" w:hint="eastAsia"/>
          <w:bCs w:val="0"/>
          <w:sz w:val="21"/>
          <w:szCs w:val="21"/>
        </w:rPr>
        <w:t>（一）基金管理人对发送指令人员的书面授权</w:t>
      </w:r>
      <w:bookmarkEnd w:id="101"/>
    </w:p>
    <w:p w14:paraId="717899A0" w14:textId="5D8A4175" w:rsidR="004518C1" w:rsidRPr="003F0CC9" w:rsidRDefault="008D33B8">
      <w:pPr>
        <w:pStyle w:val="20"/>
        <w:adjustRightInd w:val="0"/>
        <w:spacing w:after="0"/>
        <w:ind w:firstLine="420"/>
        <w:contextualSpacing/>
        <w:rPr>
          <w:color w:val="auto"/>
          <w:sz w:val="21"/>
          <w:szCs w:val="21"/>
        </w:rPr>
      </w:pPr>
      <w:r w:rsidRPr="003F0CC9">
        <w:rPr>
          <w:rFonts w:hint="eastAsia"/>
          <w:color w:val="auto"/>
          <w:sz w:val="21"/>
          <w:szCs w:val="21"/>
        </w:rPr>
        <w:t>基金管理人应向基金托管人提供预留印鉴和被授权人签章样本，事先书面通知（以下称“授权通知”）基金托管人有权发送指令的人员名单，注明相应的交易权限，并规定基金管理人向基金托管人发送指令时基金托管人确认有权发送人员身份的方法。基金管理人在发送授权通知当日与基金托管人通过电话或其他双方认可的方式进行确认，授权文件于载明的生效日期生效。授权文件中载明的具体生效时间不得早于基金托管人收到授权文件并经双方确认的时点。如早于，则以基金托管人与基金管理人完成授权文件确认的时间为生效时间。基金管理人和基金托管人对授权文件负有保密义务，其内容不得向被授权人及相关操作人员以外的任何人泄露，但法律法规规定或有权机关、监管机构、一方上市的证券交易所要求的除外。</w:t>
      </w:r>
    </w:p>
    <w:p w14:paraId="3AAA7062"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102" w:name="_Toc48703900"/>
      <w:r w:rsidRPr="003F0CC9">
        <w:rPr>
          <w:rFonts w:ascii="宋体" w:eastAsia="宋体" w:hAnsi="宋体" w:hint="eastAsia"/>
          <w:bCs w:val="0"/>
          <w:sz w:val="21"/>
          <w:szCs w:val="21"/>
        </w:rPr>
        <w:t>（二）指令的内容</w:t>
      </w:r>
      <w:bookmarkEnd w:id="102"/>
    </w:p>
    <w:p w14:paraId="37A630C0" w14:textId="1BFE0078"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指令是基金管理人在运用基金财产时，向基金托管人发出的资金划拨及其他款项支付的指令。基金管理人发给基金托管人的指令应写明款项事由、支付时间、到账时间、金额、账户等，加盖预留印鉴并有被授权人签章。</w:t>
      </w:r>
    </w:p>
    <w:p w14:paraId="7DA904B9"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103" w:name="_Toc48703901"/>
      <w:r w:rsidRPr="003F0CC9">
        <w:rPr>
          <w:rFonts w:ascii="宋体" w:eastAsia="宋体" w:hAnsi="宋体" w:hint="eastAsia"/>
          <w:bCs w:val="0"/>
          <w:sz w:val="21"/>
          <w:szCs w:val="21"/>
        </w:rPr>
        <w:t>（三）指令的发送、确认和执行</w:t>
      </w:r>
      <w:bookmarkEnd w:id="103"/>
      <w:r w:rsidRPr="003F0CC9">
        <w:rPr>
          <w:rFonts w:ascii="宋体" w:eastAsia="宋体" w:hAnsi="宋体" w:hint="eastAsia"/>
          <w:bCs w:val="0"/>
          <w:sz w:val="21"/>
          <w:szCs w:val="21"/>
        </w:rPr>
        <w:t>的时间和程序</w:t>
      </w:r>
    </w:p>
    <w:p w14:paraId="58271847" w14:textId="7A64C2B3"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指令由“授权通知”确定的有权发送人（下称“被授权人”）代表基金管理人用加密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基金管理人发送指令（包括原指令被撤销、变更后再次发送的新指令）的截止时间为当天的15:00，如基金管理人要求当天某一时点到账，则交易结算指令需提前2个工作小时发送，并及时与基金托管人进行电话确认。基金管理人在上述截止时间之后发送的划款指令，基金托管人尽合理努力</w:t>
      </w:r>
      <w:r w:rsidRPr="003F0CC9">
        <w:rPr>
          <w:rFonts w:ascii="宋体" w:hAnsi="宋体" w:hint="eastAsia"/>
          <w:szCs w:val="21"/>
        </w:rPr>
        <w:lastRenderedPageBreak/>
        <w:t>配合执行。由于基金管理人原因导致的指令传输不及时、未能留出足够的划款时间，致使资金未能及时到账所造成的损失不由基金托管人承担。基金托管人收到基金管理人发送的指令后，应立即审慎验证有关内容及印鉴和签名的表面一致性，复核无误后应在规定期限内执行，不得延误。</w:t>
      </w:r>
    </w:p>
    <w:p w14:paraId="6EDB4B5C"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向基金托管人下达指令时，应确保基金银行账户有足够的资金可用余额，对基金管理人在没有充足资金的情况下向基金托管人发出的指令，基金托管人有权不予执行，并通知基金管理人，基金托管人不承担因为不执行该指令而造成损失的责任。</w:t>
      </w:r>
    </w:p>
    <w:p w14:paraId="6DE6F404"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3F0CC9">
        <w:rPr>
          <w:rFonts w:ascii="宋体" w:eastAsia="宋体" w:hAnsi="宋体" w:hint="eastAsia"/>
          <w:bCs w:val="0"/>
          <w:sz w:val="21"/>
          <w:szCs w:val="21"/>
        </w:rPr>
        <w:t>（四）基金管理人发送错误指令的情形和处理程序</w:t>
      </w:r>
    </w:p>
    <w:p w14:paraId="502C375C" w14:textId="77777777" w:rsidR="004518C1" w:rsidRPr="003F0CC9" w:rsidRDefault="008D33B8">
      <w:pPr>
        <w:adjustRightInd w:val="0"/>
        <w:spacing w:after="120" w:line="360" w:lineRule="auto"/>
        <w:ind w:firstLineChars="200" w:firstLine="420"/>
        <w:contextualSpacing/>
        <w:rPr>
          <w:rFonts w:ascii="宋体" w:hAnsi="宋体"/>
          <w:szCs w:val="21"/>
        </w:rPr>
      </w:pPr>
      <w:r w:rsidRPr="003F0CC9">
        <w:rPr>
          <w:rFonts w:ascii="宋体" w:hAnsi="宋体" w:hint="eastAsia"/>
          <w:szCs w:val="21"/>
        </w:rPr>
        <w:t>基金管理人发送错误指令的情形包括指令发送人员无权或超越权限发送指令及交割信息错误，指令中重要信息模糊不清或不全等。</w:t>
      </w:r>
    </w:p>
    <w:p w14:paraId="4B54B2A4" w14:textId="068E3555"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基金托管人在履行监督职能时，发现基金管理人的指令错误时，有权拒绝执行，并通知基金管理人改正。</w:t>
      </w:r>
    </w:p>
    <w:p w14:paraId="0B561ED7"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3F0CC9">
        <w:rPr>
          <w:rFonts w:ascii="宋体" w:eastAsia="宋体" w:hAnsi="宋体" w:hint="eastAsia"/>
          <w:bCs w:val="0"/>
          <w:sz w:val="21"/>
          <w:szCs w:val="21"/>
        </w:rPr>
        <w:t>（五）基金托管人依照法律法规暂缓、拒绝执行指令的情形和处理程序</w:t>
      </w:r>
    </w:p>
    <w:p w14:paraId="01E9C8BE"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托管人发现基金管理人发送的指令违反《基金法》、《基金合同》、本协议或有关基金法规的有关规定，有权视情况暂缓或不予执行，并应及时通知基金管理人纠正，基金管理人收到通知后应及时核对，并以书面形式对基金托管人发出回函确认，由此造成基金财产或基金份额持有人的损失由基金管理人承担。</w:t>
      </w:r>
    </w:p>
    <w:p w14:paraId="00C6E211"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3F0CC9">
        <w:rPr>
          <w:rFonts w:ascii="宋体" w:eastAsia="宋体" w:hAnsi="宋体" w:hint="eastAsia"/>
          <w:bCs w:val="0"/>
          <w:sz w:val="21"/>
          <w:szCs w:val="21"/>
        </w:rPr>
        <w:t>（六）基金托管人未按照基金管理人指令执行的处理方法</w:t>
      </w:r>
    </w:p>
    <w:p w14:paraId="68DB4CC4"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基金托管人由于自身过错违反本协议的约定造成未按照或者未及时按照基金管理人发送的正常的有效资金划拨指令执行，</w:t>
      </w:r>
      <w:r w:rsidRPr="003F0CC9">
        <w:rPr>
          <w:rFonts w:ascii="宋体" w:hAnsi="宋体" w:hint="eastAsia"/>
          <w:kern w:val="0"/>
          <w:szCs w:val="21"/>
        </w:rPr>
        <w:t>应在发现后及时采取措施予以补救，</w:t>
      </w:r>
      <w:r w:rsidRPr="003F0CC9">
        <w:rPr>
          <w:rFonts w:ascii="宋体" w:hAnsi="宋体" w:hint="eastAsia"/>
          <w:szCs w:val="21"/>
        </w:rPr>
        <w:t>给基金财产或基金份额持有人造成损失的，应负赔偿责任，但仅限于赔偿直接经济损失。</w:t>
      </w:r>
    </w:p>
    <w:p w14:paraId="401CDA95"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104" w:name="_Toc48703902"/>
      <w:r w:rsidRPr="003F0CC9">
        <w:rPr>
          <w:rFonts w:ascii="宋体" w:eastAsia="宋体" w:hAnsi="宋体" w:hint="eastAsia"/>
          <w:bCs w:val="0"/>
          <w:sz w:val="21"/>
          <w:szCs w:val="21"/>
        </w:rPr>
        <w:t>（七）更换被授权人的</w:t>
      </w:r>
      <w:bookmarkEnd w:id="104"/>
      <w:r w:rsidRPr="003F0CC9">
        <w:rPr>
          <w:rFonts w:ascii="宋体" w:eastAsia="宋体" w:hAnsi="宋体" w:hint="eastAsia"/>
          <w:bCs w:val="0"/>
          <w:sz w:val="21"/>
          <w:szCs w:val="21"/>
        </w:rPr>
        <w:t>程序</w:t>
      </w:r>
    </w:p>
    <w:p w14:paraId="2DFA55A1" w14:textId="72D3E511"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撤换被授权人员或改变被授权人员的权限，必须提前至少一个交易日，使用加密传真或其他基金托管人和基金管理人书面确认过的方式向基金托管人发出由授权人签章和盖章的被授权人变更通知，并提供新的被授权人的签章样本，同时电话通知基金托管人，授权文件于载明的生效日期生效。授权文件中载明的具体生效时间不得早于基金托管人收到授权文件并经双方确认的时点。如早于，则以基金托管人与基金管理人完成授权文件确认的时间为生效时间。基金管理人在此后三日内将被授权人变更通知的正本送交基金托管人。变更通知正本与基金托管人收到的传真件或扫描件不一致，或逾期未交付正本，以基金托管人确认的传真件或扫描件为准。基金管理人更换被授权人通知生效后，对于已被撤换的人员无</w:t>
      </w:r>
      <w:r w:rsidRPr="003F0CC9">
        <w:rPr>
          <w:rFonts w:ascii="宋体" w:hAnsi="宋体" w:hint="eastAsia"/>
          <w:szCs w:val="21"/>
        </w:rPr>
        <w:lastRenderedPageBreak/>
        <w:t>权发送的指令，或被改变授权人员超权限发送的指令，基金托管人均有权视为无效指令并拒绝执行，但应及时通知基金管理人。</w:t>
      </w:r>
    </w:p>
    <w:p w14:paraId="4856E9AE" w14:textId="4607BA28" w:rsidR="004518C1" w:rsidRPr="003F0CC9" w:rsidRDefault="008D33B8">
      <w:pPr>
        <w:pStyle w:val="1"/>
        <w:adjustRightInd w:val="0"/>
        <w:spacing w:line="360" w:lineRule="auto"/>
        <w:contextualSpacing/>
        <w:jc w:val="center"/>
        <w:rPr>
          <w:sz w:val="30"/>
          <w:szCs w:val="30"/>
        </w:rPr>
      </w:pPr>
      <w:r w:rsidRPr="003F0CC9">
        <w:rPr>
          <w:rFonts w:ascii="宋体" w:hAnsi="宋体" w:hint="eastAsia"/>
          <w:szCs w:val="21"/>
        </w:rPr>
        <w:br w:type="page"/>
      </w:r>
      <w:bookmarkStart w:id="105" w:name="_Toc1564317"/>
      <w:r w:rsidRPr="003F0CC9">
        <w:rPr>
          <w:rFonts w:ascii="宋体" w:hAnsi="宋体" w:hint="eastAsia"/>
          <w:sz w:val="30"/>
          <w:szCs w:val="30"/>
        </w:rPr>
        <w:lastRenderedPageBreak/>
        <w:t>七、</w:t>
      </w:r>
      <w:bookmarkStart w:id="106" w:name="_Toc48703903"/>
      <w:bookmarkStart w:id="107" w:name="_Toc125361079"/>
      <w:bookmarkStart w:id="108" w:name="_Toc466788856"/>
      <w:bookmarkStart w:id="109" w:name="_Toc124749942"/>
      <w:bookmarkStart w:id="110" w:name="_Toc123626173"/>
      <w:bookmarkStart w:id="111" w:name="_Toc22454451"/>
      <w:bookmarkStart w:id="112" w:name="_Toc523829997"/>
      <w:bookmarkStart w:id="113" w:name="_Toc124749231"/>
      <w:r w:rsidRPr="003F0CC9">
        <w:rPr>
          <w:rFonts w:hint="eastAsia"/>
          <w:sz w:val="30"/>
          <w:szCs w:val="30"/>
        </w:rPr>
        <w:t>交易及清算交收安排</w:t>
      </w:r>
      <w:bookmarkEnd w:id="105"/>
      <w:bookmarkEnd w:id="106"/>
      <w:bookmarkEnd w:id="107"/>
      <w:bookmarkEnd w:id="108"/>
      <w:bookmarkEnd w:id="109"/>
      <w:bookmarkEnd w:id="110"/>
      <w:bookmarkEnd w:id="111"/>
      <w:bookmarkEnd w:id="112"/>
      <w:bookmarkEnd w:id="113"/>
    </w:p>
    <w:p w14:paraId="494F9F89" w14:textId="7ED11D1E"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114" w:name="_Toc22454452"/>
      <w:bookmarkStart w:id="115" w:name="_Toc48703904"/>
      <w:r w:rsidRPr="003F0CC9">
        <w:rPr>
          <w:rFonts w:ascii="宋体" w:eastAsia="宋体" w:hAnsi="宋体" w:hint="eastAsia"/>
          <w:bCs w:val="0"/>
          <w:sz w:val="21"/>
          <w:szCs w:val="21"/>
        </w:rPr>
        <w:t>（一）选择代理证券买卖的证券经营机构的标准和程序</w:t>
      </w:r>
    </w:p>
    <w:p w14:paraId="0EA8371F" w14:textId="218B176F" w:rsidR="004518C1" w:rsidRPr="003F0CC9" w:rsidRDefault="008D33B8">
      <w:pPr>
        <w:spacing w:line="360" w:lineRule="auto"/>
        <w:ind w:firstLineChars="200" w:firstLine="420"/>
        <w:contextualSpacing/>
        <w:rPr>
          <w:rFonts w:ascii="宋体" w:hAnsi="宋体"/>
          <w:szCs w:val="21"/>
        </w:rPr>
      </w:pPr>
      <w:r w:rsidRPr="003F0CC9">
        <w:rPr>
          <w:rFonts w:ascii="宋体" w:hAnsi="宋体" w:hint="eastAsia"/>
          <w:szCs w:val="21"/>
        </w:rPr>
        <w:t>基金管理人负责选择代理本基金证券买卖的证券经营机构。</w:t>
      </w:r>
    </w:p>
    <w:p w14:paraId="66574666" w14:textId="1D28F2B5" w:rsidR="004518C1" w:rsidRPr="003F0CC9" w:rsidRDefault="008D33B8">
      <w:pPr>
        <w:spacing w:line="360" w:lineRule="auto"/>
        <w:ind w:firstLineChars="200" w:firstLine="420"/>
        <w:contextualSpacing/>
        <w:rPr>
          <w:rFonts w:ascii="宋体" w:hAnsi="宋体"/>
          <w:szCs w:val="21"/>
        </w:rPr>
      </w:pPr>
      <w:r w:rsidRPr="003F0CC9">
        <w:rPr>
          <w:rFonts w:ascii="宋体" w:hAnsi="宋体" w:hint="eastAsia"/>
          <w:szCs w:val="21"/>
        </w:rPr>
        <w:t>基金管理人负责根据相关标准以及内部管理制度对有关证券经营机构进行考察后确定代理本基金证券买卖的证券经营机构，并承担相应责任。基金管理人和被选择的证券经营机构签订交易单元使用协议，由基金管理人通知基金托管人，并在法定信息披露公告中披露有关内容。</w:t>
      </w:r>
    </w:p>
    <w:p w14:paraId="3D34A25A" w14:textId="77777777" w:rsidR="004518C1" w:rsidRPr="003F0CC9" w:rsidRDefault="008D33B8">
      <w:pPr>
        <w:spacing w:line="360" w:lineRule="auto"/>
        <w:ind w:firstLineChars="200" w:firstLine="420"/>
        <w:contextualSpacing/>
        <w:rPr>
          <w:rFonts w:ascii="宋体" w:hAnsi="宋体"/>
          <w:szCs w:val="21"/>
        </w:rPr>
      </w:pPr>
      <w:r w:rsidRPr="003F0CC9">
        <w:rPr>
          <w:rFonts w:ascii="宋体" w:hAnsi="宋体" w:hint="eastAsia"/>
          <w:szCs w:val="21"/>
        </w:rPr>
        <w:t>基金管理人应及时将基金专用交易单元号、佣金费率等基本信息以及变更情况及时以书面形式通知基金托管人。</w:t>
      </w:r>
    </w:p>
    <w:p w14:paraId="274534BB"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3F0CC9">
        <w:rPr>
          <w:rFonts w:ascii="宋体" w:eastAsia="宋体" w:hAnsi="宋体" w:hint="eastAsia"/>
          <w:bCs w:val="0"/>
          <w:sz w:val="21"/>
          <w:szCs w:val="21"/>
        </w:rPr>
        <w:t>（二）基金投资证券后的清算交收安排</w:t>
      </w:r>
    </w:p>
    <w:p w14:paraId="2504C233" w14:textId="77777777" w:rsidR="004518C1" w:rsidRPr="003F0CC9" w:rsidRDefault="008D33B8">
      <w:pPr>
        <w:spacing w:line="360" w:lineRule="auto"/>
        <w:ind w:firstLineChars="200" w:firstLine="420"/>
        <w:contextualSpacing/>
        <w:rPr>
          <w:rFonts w:ascii="宋体" w:hAnsi="宋体"/>
          <w:szCs w:val="21"/>
        </w:rPr>
      </w:pPr>
      <w:r w:rsidRPr="003F0CC9">
        <w:rPr>
          <w:rFonts w:ascii="宋体" w:hAnsi="宋体"/>
          <w:szCs w:val="21"/>
        </w:rPr>
        <w:t>1、基金管理人和基金托管人在基金清算和交收中的责任</w:t>
      </w:r>
    </w:p>
    <w:p w14:paraId="429AF751" w14:textId="77777777" w:rsidR="004518C1" w:rsidRPr="003F0CC9" w:rsidRDefault="008D33B8">
      <w:pPr>
        <w:spacing w:line="360" w:lineRule="auto"/>
        <w:ind w:firstLineChars="200" w:firstLine="420"/>
        <w:contextualSpacing/>
        <w:rPr>
          <w:rFonts w:ascii="宋体" w:hAnsi="宋体"/>
          <w:szCs w:val="21"/>
        </w:rPr>
      </w:pPr>
      <w:r w:rsidRPr="003F0CC9">
        <w:rPr>
          <w:rFonts w:ascii="宋体" w:hAnsi="宋体" w:hint="eastAsia"/>
          <w:szCs w:val="21"/>
        </w:rPr>
        <w:t>基金管理人与基金托管人应根据有关法律法规及相关业务规则，签订《证券交易资金结算协议》，用以具体明确基金管理人与基金托管人在证券交易资金结算业务中的责任。</w:t>
      </w:r>
    </w:p>
    <w:p w14:paraId="4E0EC1A1" w14:textId="77777777" w:rsidR="004518C1" w:rsidRPr="003F0CC9" w:rsidRDefault="008D33B8">
      <w:pPr>
        <w:spacing w:line="360" w:lineRule="auto"/>
        <w:ind w:firstLineChars="200" w:firstLine="420"/>
        <w:contextualSpacing/>
        <w:rPr>
          <w:rFonts w:ascii="宋体" w:hAnsi="宋体"/>
          <w:szCs w:val="21"/>
        </w:rPr>
      </w:pPr>
      <w:r w:rsidRPr="003F0CC9">
        <w:rPr>
          <w:rFonts w:ascii="宋体" w:hAnsi="宋体" w:hint="eastAsia"/>
          <w:szCs w:val="21"/>
        </w:rPr>
        <w:t>对基金管理人的资金划拨指令，基金托管人在对印鉴和签名表面一致性复核无误后应在规定期限内执行，不得延误。</w:t>
      </w:r>
    </w:p>
    <w:p w14:paraId="27272A36" w14:textId="77777777" w:rsidR="004518C1" w:rsidRPr="003F0CC9" w:rsidRDefault="008D33B8">
      <w:pPr>
        <w:spacing w:line="360" w:lineRule="auto"/>
        <w:ind w:firstLineChars="200" w:firstLine="420"/>
        <w:contextualSpacing/>
        <w:rPr>
          <w:rFonts w:ascii="宋体" w:hAnsi="宋体"/>
          <w:szCs w:val="21"/>
        </w:rPr>
      </w:pPr>
      <w:r w:rsidRPr="003F0CC9">
        <w:rPr>
          <w:rFonts w:ascii="宋体" w:hAnsi="宋体" w:hint="eastAsia"/>
          <w:szCs w:val="21"/>
        </w:rPr>
        <w:t>本基金投资于证券发生的所有场内、场外交易的资金清算交割，全部由基金托管人负责办理。</w:t>
      </w:r>
    </w:p>
    <w:p w14:paraId="248B2299" w14:textId="77777777" w:rsidR="004518C1" w:rsidRPr="003F0CC9" w:rsidRDefault="008D33B8">
      <w:pPr>
        <w:spacing w:line="360" w:lineRule="auto"/>
        <w:ind w:firstLineChars="200" w:firstLine="420"/>
        <w:contextualSpacing/>
        <w:rPr>
          <w:rFonts w:ascii="宋体" w:hAnsi="宋体"/>
          <w:szCs w:val="21"/>
        </w:rPr>
      </w:pPr>
      <w:r w:rsidRPr="003F0CC9">
        <w:rPr>
          <w:rFonts w:ascii="宋体" w:hAnsi="宋体" w:hint="eastAsia"/>
          <w:szCs w:val="21"/>
        </w:rPr>
        <w:t>本基金证券投资的清算交割，由基金托管人通过中国证券登记结算有限责任公司上海分公司/深圳分公司、其他相关登记结算机构及清算代理银行办理。</w:t>
      </w:r>
    </w:p>
    <w:p w14:paraId="08BB1E47" w14:textId="46F3BFDA" w:rsidR="004518C1" w:rsidRPr="003F0CC9" w:rsidRDefault="008D33B8">
      <w:pPr>
        <w:spacing w:line="360" w:lineRule="auto"/>
        <w:ind w:firstLineChars="200" w:firstLine="420"/>
        <w:contextualSpacing/>
        <w:rPr>
          <w:rFonts w:ascii="宋体" w:hAnsi="宋体"/>
          <w:szCs w:val="21"/>
        </w:rPr>
      </w:pPr>
      <w:r w:rsidRPr="003F0CC9">
        <w:rPr>
          <w:rFonts w:ascii="宋体" w:hAnsi="宋体" w:hint="eastAsia"/>
          <w:szCs w:val="21"/>
        </w:rPr>
        <w:t>如果因基金托管人过错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有权立即通知基金管理人，由基金管理人负责解决，基金托管人应给予必要的配合，由此给基金造成的损失不由基金托管人承担。</w:t>
      </w:r>
    </w:p>
    <w:p w14:paraId="0D854357" w14:textId="77777777" w:rsidR="004518C1" w:rsidRPr="003F0CC9" w:rsidRDefault="008D33B8">
      <w:pPr>
        <w:spacing w:line="360" w:lineRule="auto"/>
        <w:ind w:firstLineChars="200" w:firstLine="420"/>
        <w:contextualSpacing/>
        <w:rPr>
          <w:rFonts w:ascii="宋体" w:hAnsi="宋体"/>
          <w:szCs w:val="21"/>
        </w:rPr>
      </w:pPr>
      <w:r w:rsidRPr="003F0CC9">
        <w:rPr>
          <w:rFonts w:ascii="宋体" w:hAnsi="宋体"/>
          <w:szCs w:val="21"/>
        </w:rPr>
        <w:t>2、基金出现超买或超卖的责任认定及处理程序</w:t>
      </w:r>
    </w:p>
    <w:p w14:paraId="4C752743" w14:textId="1013ED95" w:rsidR="004518C1" w:rsidRPr="003F0CC9" w:rsidRDefault="008D33B8">
      <w:pPr>
        <w:spacing w:line="360" w:lineRule="auto"/>
        <w:ind w:firstLineChars="200" w:firstLine="420"/>
        <w:contextualSpacing/>
        <w:rPr>
          <w:rFonts w:ascii="宋体" w:hAnsi="宋体"/>
          <w:szCs w:val="21"/>
        </w:rPr>
      </w:pPr>
      <w:r w:rsidRPr="003F0CC9">
        <w:rPr>
          <w:rFonts w:ascii="宋体" w:hAnsi="宋体" w:hint="eastAsia"/>
          <w:szCs w:val="21"/>
        </w:rPr>
        <w:t>基金托管人在履行监督职能时，如果发现基金投资证券过程中出现超买或超卖现象，有权立即书面提醒基金管理人，由基金管理人负责解决，由此给基金造成的损失不由基金托管人承担。如果因基金管理人原因发生超买行为，必须于</w:t>
      </w:r>
      <w:r w:rsidRPr="003F0CC9">
        <w:rPr>
          <w:rFonts w:ascii="宋体" w:hAnsi="宋体"/>
          <w:szCs w:val="21"/>
        </w:rPr>
        <w:t>T+1日上午</w:t>
      </w:r>
      <w:r w:rsidRPr="003F0CC9">
        <w:rPr>
          <w:rFonts w:ascii="宋体" w:hAnsi="宋体" w:hint="eastAsia"/>
          <w:szCs w:val="21"/>
        </w:rPr>
        <w:t>10:00</w:t>
      </w:r>
      <w:r w:rsidRPr="003F0CC9">
        <w:rPr>
          <w:rFonts w:ascii="宋体" w:hAnsi="宋体"/>
          <w:szCs w:val="21"/>
        </w:rPr>
        <w:t>时之前完成融资，用以完成清算交收。</w:t>
      </w:r>
    </w:p>
    <w:p w14:paraId="45701A31" w14:textId="77777777" w:rsidR="004518C1" w:rsidRPr="003F0CC9" w:rsidRDefault="008D33B8">
      <w:pPr>
        <w:spacing w:line="360" w:lineRule="auto"/>
        <w:ind w:firstLineChars="200" w:firstLine="420"/>
        <w:contextualSpacing/>
        <w:rPr>
          <w:rFonts w:ascii="宋体" w:hAnsi="宋体"/>
          <w:szCs w:val="21"/>
        </w:rPr>
      </w:pPr>
      <w:r w:rsidRPr="003F0CC9">
        <w:rPr>
          <w:rFonts w:ascii="宋体" w:hAnsi="宋体"/>
          <w:szCs w:val="21"/>
        </w:rPr>
        <w:lastRenderedPageBreak/>
        <w:t>3、基金无法按时支付证券清算款的责任认定及处理程序</w:t>
      </w:r>
    </w:p>
    <w:p w14:paraId="78A9B65E" w14:textId="53D5FCD9" w:rsidR="004518C1" w:rsidRPr="003F0CC9" w:rsidRDefault="008D33B8">
      <w:pPr>
        <w:spacing w:line="360" w:lineRule="auto"/>
        <w:ind w:firstLineChars="200" w:firstLine="420"/>
        <w:contextualSpacing/>
        <w:rPr>
          <w:rFonts w:ascii="宋体" w:hAnsi="宋体"/>
          <w:szCs w:val="21"/>
        </w:rPr>
      </w:pPr>
      <w:r w:rsidRPr="003F0CC9">
        <w:rPr>
          <w:rFonts w:ascii="宋体" w:hAnsi="宋体" w:hint="eastAsia"/>
          <w:szCs w:val="21"/>
        </w:rPr>
        <w:t>基金管理人应确保基金托管人在执行基金管理人发送的指令时，有足够的头寸进行交收。基金的资金头寸不足时，基金托管人有权拒绝执行基金管理人发送的划款指令并同时通知基金管理人。基金管理人在发送划款指令时应充分考虑基金托管人的划款处理所需的合理时间。如由于基金管理人的原因导致无法按时支付证券清算款，由此造成的</w:t>
      </w:r>
      <w:r w:rsidR="00AE4C95" w:rsidRPr="003F0CC9">
        <w:rPr>
          <w:rFonts w:hint="eastAsia"/>
        </w:rPr>
        <w:t>相应直接经济</w:t>
      </w:r>
      <w:r w:rsidRPr="003F0CC9">
        <w:rPr>
          <w:rFonts w:ascii="宋体" w:hAnsi="宋体" w:hint="eastAsia"/>
          <w:szCs w:val="21"/>
        </w:rPr>
        <w:t>损失由基金管理人承担。</w:t>
      </w:r>
    </w:p>
    <w:p w14:paraId="21C63BEC" w14:textId="77777777" w:rsidR="004518C1" w:rsidRPr="003F0CC9" w:rsidRDefault="008D33B8">
      <w:pPr>
        <w:spacing w:line="360" w:lineRule="auto"/>
        <w:ind w:firstLineChars="200" w:firstLine="420"/>
        <w:contextualSpacing/>
        <w:rPr>
          <w:rFonts w:ascii="宋体" w:hAnsi="宋体"/>
          <w:szCs w:val="21"/>
        </w:rPr>
      </w:pPr>
      <w:r w:rsidRPr="003F0CC9">
        <w:rPr>
          <w:rFonts w:ascii="宋体" w:hAnsi="宋体" w:hint="eastAsia"/>
          <w:szCs w:val="21"/>
        </w:rPr>
        <w:t>在基金资金头寸充足的情况下，基金托管人对基金管理人符合法律法规、《基金合同》、基金托管协议的指令不得拖延或拒绝执行。如由于基金托管人的过错导致基金无法按时支付证券清算款，由此给基金造成的直接经济损失由基金托管人承担。</w:t>
      </w:r>
    </w:p>
    <w:p w14:paraId="4CF5854E"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3F0CC9">
        <w:rPr>
          <w:rFonts w:ascii="宋体" w:eastAsia="宋体" w:hAnsi="宋体" w:hint="eastAsia"/>
          <w:bCs w:val="0"/>
          <w:sz w:val="21"/>
          <w:szCs w:val="21"/>
        </w:rPr>
        <w:t>（三）资金、证券账目及交易记录的核对</w:t>
      </w:r>
    </w:p>
    <w:p w14:paraId="0207E080" w14:textId="77777777" w:rsidR="004518C1" w:rsidRPr="003F0CC9" w:rsidRDefault="008D33B8">
      <w:pPr>
        <w:autoSpaceDE w:val="0"/>
        <w:autoSpaceDN w:val="0"/>
        <w:adjustRightInd w:val="0"/>
        <w:spacing w:line="360" w:lineRule="auto"/>
        <w:ind w:firstLineChars="200" w:firstLine="420"/>
        <w:contextualSpacing/>
        <w:jc w:val="left"/>
        <w:rPr>
          <w:rFonts w:ascii="宋体"/>
          <w:kern w:val="0"/>
          <w:szCs w:val="21"/>
        </w:rPr>
      </w:pPr>
      <w:r w:rsidRPr="003F0CC9">
        <w:rPr>
          <w:rFonts w:hint="eastAsia"/>
          <w:szCs w:val="21"/>
        </w:rPr>
        <w:t>对基金的交易记录，由基金管理人与基金托管人按日进行核对。</w:t>
      </w:r>
      <w:r w:rsidRPr="003F0CC9">
        <w:rPr>
          <w:rFonts w:ascii="宋体" w:hint="eastAsia"/>
          <w:kern w:val="0"/>
          <w:szCs w:val="21"/>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033C35D7" w14:textId="77777777" w:rsidR="004518C1" w:rsidRPr="003F0CC9" w:rsidRDefault="008D33B8">
      <w:pPr>
        <w:spacing w:line="360" w:lineRule="auto"/>
        <w:ind w:firstLineChars="200" w:firstLine="420"/>
        <w:contextualSpacing/>
        <w:rPr>
          <w:rFonts w:ascii="宋体"/>
          <w:kern w:val="0"/>
          <w:szCs w:val="21"/>
        </w:rPr>
      </w:pPr>
      <w:r w:rsidRPr="003F0CC9">
        <w:rPr>
          <w:rFonts w:ascii="宋体" w:hint="eastAsia"/>
          <w:kern w:val="0"/>
          <w:szCs w:val="21"/>
        </w:rPr>
        <w:t>对基金的资金账目，由双方每日对账一次，确保双方账账相符。</w:t>
      </w:r>
    </w:p>
    <w:p w14:paraId="37EA3A72" w14:textId="77777777" w:rsidR="004518C1" w:rsidRPr="003F0CC9" w:rsidRDefault="008D33B8">
      <w:pPr>
        <w:spacing w:line="360" w:lineRule="auto"/>
        <w:ind w:firstLineChars="200" w:firstLine="420"/>
        <w:contextualSpacing/>
        <w:rPr>
          <w:rFonts w:ascii="宋体"/>
          <w:kern w:val="0"/>
          <w:szCs w:val="21"/>
        </w:rPr>
      </w:pPr>
      <w:r w:rsidRPr="003F0CC9">
        <w:rPr>
          <w:rFonts w:ascii="宋体" w:hint="eastAsia"/>
          <w:kern w:val="0"/>
          <w:szCs w:val="21"/>
        </w:rPr>
        <w:t>对基金证券账目，由每周最后一个交易日终了时双方进行对账。</w:t>
      </w:r>
    </w:p>
    <w:p w14:paraId="2FD100E0" w14:textId="77777777" w:rsidR="004518C1" w:rsidRPr="003F0CC9" w:rsidRDefault="008D33B8">
      <w:pPr>
        <w:spacing w:line="360" w:lineRule="auto"/>
        <w:ind w:firstLineChars="200" w:firstLine="420"/>
        <w:contextualSpacing/>
        <w:rPr>
          <w:rFonts w:ascii="宋体"/>
          <w:kern w:val="0"/>
          <w:szCs w:val="21"/>
        </w:rPr>
      </w:pPr>
      <w:r w:rsidRPr="003F0CC9">
        <w:rPr>
          <w:rFonts w:ascii="宋体" w:hint="eastAsia"/>
          <w:kern w:val="0"/>
          <w:szCs w:val="21"/>
        </w:rPr>
        <w:t>对交易记录，由双方每日对账一次。</w:t>
      </w:r>
    </w:p>
    <w:p w14:paraId="001B5EEE"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sz w:val="21"/>
          <w:szCs w:val="21"/>
        </w:rPr>
      </w:pPr>
      <w:r w:rsidRPr="003F0CC9">
        <w:rPr>
          <w:rFonts w:ascii="宋体" w:eastAsia="宋体" w:hAnsi="宋体" w:hint="eastAsia"/>
          <w:sz w:val="21"/>
          <w:szCs w:val="21"/>
        </w:rPr>
        <w:t>（四）申购、赎回、转换开放式基金的资金清算、数据传递及托管协议当事人的责任</w:t>
      </w:r>
    </w:p>
    <w:p w14:paraId="351583DD" w14:textId="77777777" w:rsidR="004518C1" w:rsidRPr="003F0CC9" w:rsidRDefault="008D33B8">
      <w:pPr>
        <w:spacing w:line="360" w:lineRule="auto"/>
        <w:ind w:firstLineChars="200" w:firstLine="420"/>
        <w:contextualSpacing/>
        <w:rPr>
          <w:rFonts w:ascii="宋体" w:hAnsi="宋体"/>
          <w:szCs w:val="21"/>
        </w:rPr>
      </w:pPr>
      <w:r w:rsidRPr="003F0CC9">
        <w:rPr>
          <w:rFonts w:ascii="宋体" w:hAnsi="宋体"/>
          <w:szCs w:val="21"/>
        </w:rPr>
        <w:t>1、托管协议当事人在开放式基金的申购赎回、转换中的责任</w:t>
      </w:r>
    </w:p>
    <w:p w14:paraId="15707FFE" w14:textId="77777777" w:rsidR="004518C1" w:rsidRPr="003F0CC9" w:rsidRDefault="008D33B8">
      <w:pPr>
        <w:spacing w:line="360" w:lineRule="auto"/>
        <w:ind w:firstLineChars="200" w:firstLine="420"/>
        <w:contextualSpacing/>
        <w:rPr>
          <w:rFonts w:ascii="宋体" w:hAnsi="宋体"/>
          <w:szCs w:val="21"/>
        </w:rPr>
      </w:pPr>
      <w:r w:rsidRPr="003F0CC9">
        <w:rPr>
          <w:rFonts w:ascii="宋体" w:hAnsi="宋体" w:hint="eastAsia"/>
          <w:szCs w:val="21"/>
        </w:rPr>
        <w:t>基金的投资者可通过基金管理人的直销中心和基金销售机构的销售网点或其提供的其他方式进行申购和赎回申请，由基金登记机构办理基金份额的过户和登记，基金托管人负责接收并协助基金管理人确认资金的到账情况，以及依照基金管理人的投资指令来划付赎回款项。</w:t>
      </w:r>
    </w:p>
    <w:p w14:paraId="17EAF8CF" w14:textId="77777777" w:rsidR="004518C1" w:rsidRPr="003F0CC9" w:rsidRDefault="008D33B8">
      <w:pPr>
        <w:spacing w:line="360" w:lineRule="auto"/>
        <w:ind w:firstLineChars="200" w:firstLine="420"/>
        <w:contextualSpacing/>
        <w:rPr>
          <w:rFonts w:ascii="宋体" w:hAnsi="宋体"/>
          <w:szCs w:val="21"/>
        </w:rPr>
      </w:pPr>
      <w:r w:rsidRPr="003F0CC9">
        <w:rPr>
          <w:rFonts w:ascii="宋体" w:hAnsi="宋体"/>
          <w:szCs w:val="21"/>
        </w:rPr>
        <w:t>2、开放式基金的数据传递</w:t>
      </w:r>
    </w:p>
    <w:p w14:paraId="2C57E641" w14:textId="5351FAC8" w:rsidR="004518C1" w:rsidRPr="003F0CC9" w:rsidRDefault="008D33B8">
      <w:pPr>
        <w:spacing w:line="360" w:lineRule="auto"/>
        <w:ind w:firstLineChars="200" w:firstLine="420"/>
        <w:contextualSpacing/>
        <w:rPr>
          <w:rFonts w:ascii="宋体" w:hAnsi="宋体"/>
          <w:szCs w:val="21"/>
        </w:rPr>
      </w:pPr>
      <w:r w:rsidRPr="003F0CC9">
        <w:rPr>
          <w:rFonts w:ascii="宋体" w:hAnsi="宋体" w:hint="eastAsia"/>
          <w:szCs w:val="21"/>
        </w:rPr>
        <w:t>基金管理人应将每个开放日的申购、赎回、转换开放式基金的数据传送给基金托管人。基金管理人应于每个开放日</w:t>
      </w:r>
      <w:r w:rsidRPr="003F0CC9">
        <w:rPr>
          <w:rFonts w:ascii="宋体" w:hAnsi="宋体"/>
          <w:szCs w:val="21"/>
        </w:rPr>
        <w:t>14：00之前将经确认的基金申购金额和赎回份额以书面形式并加盖业务专用章通知基金托管人。</w:t>
      </w:r>
      <w:r w:rsidRPr="003F0CC9">
        <w:rPr>
          <w:rFonts w:ascii="宋体" w:hAnsi="宋体" w:hint="eastAsia"/>
          <w:szCs w:val="21"/>
        </w:rPr>
        <w:t>基金管理人应对传递的申购、赎回、转换开放式基金的数据的真实性、准确性和完整性负责。</w:t>
      </w:r>
    </w:p>
    <w:p w14:paraId="43292946" w14:textId="77777777" w:rsidR="004518C1" w:rsidRPr="003F0CC9" w:rsidRDefault="008D33B8">
      <w:pPr>
        <w:spacing w:line="360" w:lineRule="auto"/>
        <w:ind w:firstLineChars="200" w:firstLine="420"/>
        <w:contextualSpacing/>
        <w:rPr>
          <w:rFonts w:ascii="宋体" w:hAnsi="宋体"/>
          <w:szCs w:val="21"/>
        </w:rPr>
      </w:pPr>
      <w:r w:rsidRPr="003F0CC9">
        <w:rPr>
          <w:rFonts w:ascii="宋体" w:hAnsi="宋体"/>
          <w:szCs w:val="21"/>
        </w:rPr>
        <w:t>3、开放式基金的资金清算</w:t>
      </w:r>
    </w:p>
    <w:p w14:paraId="1D213E38" w14:textId="77777777" w:rsidR="004518C1" w:rsidRPr="003F0CC9" w:rsidRDefault="008D33B8">
      <w:pPr>
        <w:spacing w:line="360" w:lineRule="auto"/>
        <w:ind w:right="28" w:firstLineChars="200" w:firstLine="420"/>
        <w:contextualSpacing/>
        <w:rPr>
          <w:rFonts w:ascii="宋体" w:hAnsi="宋体"/>
          <w:szCs w:val="21"/>
        </w:rPr>
      </w:pPr>
      <w:r w:rsidRPr="003F0CC9">
        <w:rPr>
          <w:rFonts w:ascii="宋体" w:hAnsi="宋体" w:hint="eastAsia"/>
          <w:szCs w:val="21"/>
        </w:rPr>
        <w:t>基金托管账户与“基金清算账户”间的资金结算遵循“全额清算、净额交收”的原则，</w:t>
      </w:r>
      <w:r w:rsidRPr="003F0CC9">
        <w:rPr>
          <w:rFonts w:ascii="宋体" w:hAnsi="宋体" w:hint="eastAsia"/>
          <w:szCs w:val="21"/>
        </w:rPr>
        <w:lastRenderedPageBreak/>
        <w:t>每日按照托管账户应收资金与应付资金的差额来确定托管账户净应收额或净应付额，以此确定资金交收额。当存在托管账户净应收额时，基金管理人应在交收日</w:t>
      </w:r>
      <w:r w:rsidRPr="003F0CC9">
        <w:rPr>
          <w:rFonts w:ascii="宋体" w:hAnsi="宋体"/>
          <w:szCs w:val="21"/>
        </w:rPr>
        <w:t>15:00时之前从基金清算账户划往基金托管账户</w:t>
      </w:r>
      <w:r w:rsidRPr="003F0CC9">
        <w:rPr>
          <w:rFonts w:ascii="宋体" w:hAnsi="宋体" w:hint="eastAsia"/>
          <w:szCs w:val="21"/>
        </w:rPr>
        <w:t>；当存在托管账户净应付额时，基金托管人按照基金管理人的划款指令将托管账户净应付额在交收日</w:t>
      </w:r>
      <w:r w:rsidRPr="003F0CC9">
        <w:rPr>
          <w:rFonts w:ascii="宋体" w:hAnsi="宋体"/>
          <w:szCs w:val="21"/>
        </w:rPr>
        <w:t>12：00前划往基金清算账户</w:t>
      </w:r>
      <w:r w:rsidRPr="003F0CC9">
        <w:rPr>
          <w:rFonts w:ascii="宋体" w:hAnsi="宋体" w:hint="eastAsia"/>
          <w:szCs w:val="21"/>
        </w:rPr>
        <w:t>。</w:t>
      </w:r>
      <w:r w:rsidRPr="003F0CC9">
        <w:rPr>
          <w:rFonts w:hAnsi="宋体"/>
          <w:szCs w:val="21"/>
        </w:rPr>
        <w:t>发生巨额赎回</w:t>
      </w:r>
      <w:r w:rsidRPr="003F0CC9">
        <w:rPr>
          <w:rFonts w:hAnsi="宋体" w:hint="eastAsia"/>
          <w:szCs w:val="21"/>
        </w:rPr>
        <w:t>或基金合同载明的其他暂停赎回或延缓支付赎回款项</w:t>
      </w:r>
      <w:r w:rsidRPr="003F0CC9">
        <w:rPr>
          <w:rFonts w:hAnsi="宋体"/>
          <w:szCs w:val="21"/>
        </w:rPr>
        <w:t>的情形，款项的交收参照本基金基金合同有关条款处理。</w:t>
      </w:r>
    </w:p>
    <w:p w14:paraId="1F5CB161" w14:textId="77777777" w:rsidR="004518C1" w:rsidRPr="003F0CC9" w:rsidRDefault="008D33B8">
      <w:pPr>
        <w:spacing w:line="360" w:lineRule="auto"/>
        <w:ind w:right="28" w:firstLineChars="200" w:firstLine="420"/>
        <w:contextualSpacing/>
        <w:rPr>
          <w:rFonts w:ascii="宋体" w:hAnsi="宋体"/>
          <w:szCs w:val="21"/>
        </w:rPr>
      </w:pPr>
      <w:r w:rsidRPr="003F0CC9">
        <w:rPr>
          <w:rFonts w:ascii="宋体" w:hAnsi="宋体" w:hint="eastAsia"/>
          <w:szCs w:val="21"/>
        </w:rPr>
        <w:t>如果当日基金为净应收款，基金管理人有权自行或通过基金托管人及时查收资金是否到账。对于未准时划付的资金，基金管理人负责通知相关方及时完成划付，由此产生的责任应由基金管理人承担。后果严重的基金托管人有权向中国证监会报告。</w:t>
      </w:r>
    </w:p>
    <w:p w14:paraId="420D9135"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如果当日基金为净应付款，基金托管人应根据基金管理人的有效指令及时进行划付。对于已发送有效指令但因基金托管人过错未准时划付的资金，基金管理人应及时通知基金托管人划付，由此产生的直接经济责任应由基金托管人承担。后果严重的基金管理人有权向中国证监会报告。</w:t>
      </w:r>
      <w:bookmarkStart w:id="116" w:name="_Toc124749943"/>
      <w:bookmarkStart w:id="117" w:name="_Toc123626174"/>
      <w:bookmarkStart w:id="118" w:name="_Toc124749232"/>
      <w:bookmarkEnd w:id="114"/>
      <w:bookmarkEnd w:id="115"/>
    </w:p>
    <w:p w14:paraId="1D887639" w14:textId="77777777" w:rsidR="004518C1" w:rsidRPr="003F0CC9" w:rsidRDefault="008D33B8">
      <w:pPr>
        <w:pStyle w:val="1"/>
        <w:adjustRightInd w:val="0"/>
        <w:spacing w:line="360" w:lineRule="auto"/>
        <w:contextualSpacing/>
        <w:jc w:val="center"/>
        <w:rPr>
          <w:sz w:val="30"/>
          <w:szCs w:val="30"/>
        </w:rPr>
      </w:pPr>
      <w:bookmarkStart w:id="119" w:name="_Toc125361080"/>
      <w:r w:rsidRPr="003F0CC9">
        <w:rPr>
          <w:sz w:val="30"/>
          <w:szCs w:val="30"/>
        </w:rPr>
        <w:br w:type="page"/>
      </w:r>
      <w:bookmarkStart w:id="120" w:name="_Toc1564318"/>
      <w:r w:rsidRPr="003F0CC9">
        <w:rPr>
          <w:rFonts w:hint="eastAsia"/>
          <w:sz w:val="30"/>
          <w:szCs w:val="30"/>
        </w:rPr>
        <w:lastRenderedPageBreak/>
        <w:t>八、基金资产净值计算和会计核算</w:t>
      </w:r>
      <w:bookmarkStart w:id="121" w:name="_Toc48703909"/>
      <w:bookmarkEnd w:id="7"/>
      <w:bookmarkEnd w:id="8"/>
      <w:bookmarkEnd w:id="9"/>
      <w:bookmarkEnd w:id="116"/>
      <w:bookmarkEnd w:id="117"/>
      <w:bookmarkEnd w:id="118"/>
      <w:bookmarkEnd w:id="119"/>
      <w:bookmarkEnd w:id="120"/>
    </w:p>
    <w:p w14:paraId="172C25A0"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3F0CC9">
        <w:rPr>
          <w:rFonts w:ascii="宋体" w:eastAsia="宋体" w:hAnsi="宋体" w:hint="eastAsia"/>
          <w:bCs w:val="0"/>
          <w:sz w:val="21"/>
          <w:szCs w:val="21"/>
        </w:rPr>
        <w:t>（一）基金资产净值的计算、复核的时间和程序</w:t>
      </w:r>
    </w:p>
    <w:p w14:paraId="13AC3874" w14:textId="63409BDA" w:rsidR="004518C1" w:rsidRPr="003F0CC9" w:rsidRDefault="008D33B8">
      <w:pPr>
        <w:adjustRightInd w:val="0"/>
        <w:spacing w:line="360" w:lineRule="auto"/>
        <w:ind w:right="28" w:firstLineChars="200" w:firstLine="420"/>
        <w:contextualSpacing/>
        <w:rPr>
          <w:szCs w:val="21"/>
        </w:rPr>
      </w:pPr>
      <w:r w:rsidRPr="003F0CC9">
        <w:rPr>
          <w:rFonts w:ascii="宋体" w:hAnsi="宋体" w:hint="eastAsia"/>
          <w:szCs w:val="21"/>
        </w:rPr>
        <w:t>基金资产净值是指基金资产总值减去基金负债后的价值。基金份额净值是按照估值日基金资产净值除以估值日基金份额的余额数量计算，精确到0.0001元，小数点后第5位四舍五入，由此产生的误差计入基金财产</w:t>
      </w:r>
      <w:r w:rsidRPr="003F0CC9">
        <w:rPr>
          <w:rFonts w:hint="eastAsia"/>
          <w:szCs w:val="21"/>
        </w:rPr>
        <w:t>。</w:t>
      </w:r>
      <w:r w:rsidRPr="003F0CC9">
        <w:rPr>
          <w:szCs w:val="21"/>
        </w:rPr>
        <w:t>基金管理人可以设立大额赎回情形下的净值精度应急调整机制。国家另有规定的，从其规定。</w:t>
      </w:r>
    </w:p>
    <w:p w14:paraId="50FE7F00" w14:textId="77777777" w:rsidR="00337F7C" w:rsidRPr="003F0CC9" w:rsidRDefault="00337F7C" w:rsidP="00337F7C">
      <w:pPr>
        <w:adjustRightInd w:val="0"/>
        <w:snapToGrid w:val="0"/>
        <w:spacing w:line="360" w:lineRule="auto"/>
        <w:ind w:firstLineChars="200" w:firstLine="420"/>
        <w:rPr>
          <w:szCs w:val="21"/>
        </w:rPr>
      </w:pPr>
      <w:r w:rsidRPr="003F0CC9">
        <w:rPr>
          <w:rFonts w:hint="eastAsia"/>
          <w:szCs w:val="21"/>
        </w:rPr>
        <w:t>基金管理人于</w:t>
      </w:r>
      <w:r w:rsidRPr="003F0CC9">
        <w:rPr>
          <w:rFonts w:hint="eastAsia"/>
          <w:szCs w:val="21"/>
        </w:rPr>
        <w:t>T+</w:t>
      </w:r>
      <w:r w:rsidRPr="003F0CC9">
        <w:rPr>
          <w:szCs w:val="21"/>
        </w:rPr>
        <w:t>2</w:t>
      </w:r>
      <w:r w:rsidRPr="003F0CC9">
        <w:rPr>
          <w:rFonts w:hint="eastAsia"/>
          <w:szCs w:val="21"/>
        </w:rPr>
        <w:t>日内</w:t>
      </w:r>
      <w:r w:rsidRPr="003F0CC9">
        <w:rPr>
          <w:szCs w:val="21"/>
        </w:rPr>
        <w:t>计算</w:t>
      </w:r>
      <w:r w:rsidRPr="003F0CC9">
        <w:rPr>
          <w:rFonts w:hint="eastAsia"/>
          <w:szCs w:val="21"/>
        </w:rPr>
        <w:t>T</w:t>
      </w:r>
      <w:r w:rsidRPr="003F0CC9">
        <w:rPr>
          <w:rFonts w:hint="eastAsia"/>
          <w:szCs w:val="21"/>
        </w:rPr>
        <w:t>日基金资产净值及基金份额净值，并在</w:t>
      </w:r>
      <w:r w:rsidRPr="003F0CC9">
        <w:rPr>
          <w:rFonts w:hint="eastAsia"/>
          <w:szCs w:val="21"/>
        </w:rPr>
        <w:t>T+3</w:t>
      </w:r>
      <w:r w:rsidRPr="003F0CC9">
        <w:rPr>
          <w:rFonts w:hint="eastAsia"/>
          <w:szCs w:val="21"/>
        </w:rPr>
        <w:t>日内公告。遇特殊情况，经履行适当程序，可以适当延迟计算或公告。</w:t>
      </w:r>
    </w:p>
    <w:p w14:paraId="4E5AFA11" w14:textId="34B4F7BB" w:rsidR="004518C1" w:rsidRPr="003F0CC9" w:rsidRDefault="008D33B8">
      <w:pPr>
        <w:adjustRightInd w:val="0"/>
        <w:spacing w:line="360" w:lineRule="auto"/>
        <w:ind w:right="28" w:firstLineChars="200" w:firstLine="420"/>
        <w:contextualSpacing/>
        <w:rPr>
          <w:rFonts w:ascii="宋体" w:cs="宋体"/>
          <w:kern w:val="0"/>
          <w:szCs w:val="21"/>
        </w:rPr>
      </w:pPr>
      <w:r w:rsidRPr="003F0CC9">
        <w:rPr>
          <w:rFonts w:ascii="宋体" w:hAnsi="宋体" w:hint="eastAsia"/>
          <w:szCs w:val="21"/>
        </w:rPr>
        <w:t>基金管理人应每个工作日对基金资产估值。但基金管理人根据法律法规或基金合同的规定暂停估值时除外。估值原则应符合《基金合同》、《证券投资基金会计核算业务指引》及其他法律、法规的规定。基金资产净值和基金份额净值由基金管理人负责计算，基金托管人复核。</w:t>
      </w:r>
      <w:r w:rsidR="009731F8" w:rsidRPr="003F0CC9">
        <w:rPr>
          <w:rFonts w:ascii="宋体" w:hAnsi="宋体" w:hint="eastAsia"/>
          <w:szCs w:val="21"/>
        </w:rPr>
        <w:t>基金管理人将基金份额净值结果发送基金托管人，经基金托管人复核无误后，由基金管理人按约定对外公布。</w:t>
      </w:r>
    </w:p>
    <w:p w14:paraId="13383A91" w14:textId="77226469"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sidR="00AF7665" w:rsidRPr="003F0CC9">
        <w:rPr>
          <w:rFonts w:hint="eastAsia"/>
          <w:bCs/>
          <w:szCs w:val="21"/>
        </w:rPr>
        <w:t>由此造成的损失以及因该交易日基金资产净值计算顺延错误而引起的损失由基金管理人承担赔偿责任。</w:t>
      </w:r>
    </w:p>
    <w:p w14:paraId="6F2B7EBA" w14:textId="77777777" w:rsidR="004518C1" w:rsidRPr="003F0CC9" w:rsidRDefault="008D33B8">
      <w:pPr>
        <w:tabs>
          <w:tab w:val="left" w:pos="900"/>
        </w:tabs>
        <w:adjustRightInd w:val="0"/>
        <w:spacing w:line="360" w:lineRule="auto"/>
        <w:ind w:right="28" w:firstLineChars="200" w:firstLine="420"/>
        <w:contextualSpacing/>
        <w:rPr>
          <w:rFonts w:ascii="宋体" w:hAnsi="宋体"/>
          <w:szCs w:val="21"/>
        </w:rPr>
      </w:pPr>
      <w:r w:rsidRPr="003F0CC9">
        <w:rPr>
          <w:rFonts w:ascii="宋体" w:hAnsi="宋体" w:hint="eastAsia"/>
          <w:szCs w:val="21"/>
        </w:rPr>
        <w:t>法律法规以及监管部门有强制规定的，从其规定。如有新增事项，按国家最新规定估值。</w:t>
      </w:r>
    </w:p>
    <w:p w14:paraId="72A98C4B"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3F0CC9">
        <w:rPr>
          <w:rFonts w:ascii="宋体" w:eastAsia="宋体" w:hAnsi="宋体" w:hint="eastAsia"/>
          <w:bCs w:val="0"/>
          <w:sz w:val="21"/>
          <w:szCs w:val="21"/>
        </w:rPr>
        <w:t>（二）基金资产估值方法</w:t>
      </w:r>
    </w:p>
    <w:p w14:paraId="6D781AA5"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1、估值对象</w:t>
      </w:r>
    </w:p>
    <w:p w14:paraId="33A32075" w14:textId="09500C69"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基金所拥有的证券投资基金份额、股票、债券、资产支持证券、银行存款本息、应收款项、其他投资等资产及负债。</w:t>
      </w:r>
    </w:p>
    <w:p w14:paraId="1420ED5E"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2、估值方法</w:t>
      </w:r>
    </w:p>
    <w:p w14:paraId="4E3EDFDA"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（1）非上市基金的估值</w:t>
      </w:r>
    </w:p>
    <w:p w14:paraId="5D1E8A95"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1）本基金投资的非货币市场基金，按所投资基金估值日的份额净值估值。</w:t>
      </w:r>
    </w:p>
    <w:p w14:paraId="77B74E8B"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2）本基金投资的货币市场基金，按所投资基金前一估值日后至估值日期间（含节假日）的万份收益计提估值日基金收益；如所投资基金披露份额净值，则按所投资基金估值日的</w:t>
      </w:r>
      <w:r w:rsidRPr="003F0CC9">
        <w:rPr>
          <w:rFonts w:ascii="宋体" w:hAnsi="宋体" w:hint="eastAsia"/>
          <w:szCs w:val="21"/>
        </w:rPr>
        <w:lastRenderedPageBreak/>
        <w:t>份额净值估值。</w:t>
      </w:r>
    </w:p>
    <w:p w14:paraId="4E4D1139"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（2）证券交易所上市基金的估值</w:t>
      </w:r>
    </w:p>
    <w:p w14:paraId="7D9A92BE"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1）本基金投资的ETF基金（货币ETF除外），按所投资ETF基金估值日的收盘价估值。</w:t>
      </w:r>
    </w:p>
    <w:p w14:paraId="2DFC7777"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2）本基金投资的上市开放式基金（LOF），按所投资基金估值日的份额净值估值。</w:t>
      </w:r>
    </w:p>
    <w:p w14:paraId="497FCE32"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3）本基金投资的上市定期开放式基金、封闭式基金，按所投资基金估值日的收盘价估值。</w:t>
      </w:r>
    </w:p>
    <w:p w14:paraId="47163652"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4）本基金投资的上市交易型货币市场基金（即货币ETF），如所投资基金披露份额净值，则按所投资基金估值日的份额净值估值；如所投资基金披露万份（百份）收益，则按所投资基金前一估值日后至估值日期间（含节假日）的万份（百份）收益计提估值日基金收益。</w:t>
      </w:r>
    </w:p>
    <w:p w14:paraId="3A2EBFAE"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（3）如遇所投资基金不公布基金份额净值、进行折算或拆分、估值日无交易等特殊情况，则根据以下原则进行估值：</w:t>
      </w:r>
    </w:p>
    <w:p w14:paraId="2E7C5286"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1）以所投资基金的基金份额净值估值的，若所投资基金与本基金估值频率一致但未公布估值日基金份额净值，按其最近公布的基金份额净值为基础估值。</w:t>
      </w:r>
    </w:p>
    <w:p w14:paraId="7276B020"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2）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4E4FA679"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3）如果所投资基金前一估值日至估值日期间发生分红除权、折算或拆分，根据基金份额净值或收盘价、单位基金份额分红金额、折算拆分比例、持仓份额等因素合理确定公允价值。</w:t>
      </w:r>
    </w:p>
    <w:p w14:paraId="60B24AB2"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（4）当基金管理人认为所投资基金按上述第（1）条至第（3）条进行估值存在不公允时，应与基金托管人协商一致采用合理的估值技术或估值标准确定其公允价值。</w:t>
      </w:r>
    </w:p>
    <w:p w14:paraId="32E8673B"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（5）证券交易所上市的有价证券的估值</w:t>
      </w:r>
    </w:p>
    <w:p w14:paraId="18CD10BD"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E07CF05"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2）交易所上市交易或挂牌转让的不含权固定收益品种，选取估值日第三方估值机构提供的相应品种当日的估值净价进行估值；</w:t>
      </w:r>
    </w:p>
    <w:p w14:paraId="5C9DBAAC"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lastRenderedPageBreak/>
        <w:t>3）交易所上市交易或挂牌转让的含权固定收益品种，选取估值日第三方估值机构提供的相应品种当日的唯一估值净价或推荐估值净价进行估值；</w:t>
      </w:r>
    </w:p>
    <w:p w14:paraId="2A0F39BE"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4）交易所上市交易的可转换债券以每日收盘价作为估值全价；</w:t>
      </w:r>
    </w:p>
    <w:p w14:paraId="2526FF06"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5）交易所上市不存在活跃市场的有价证券，采用估值技术确定公允价值。交易所市场挂牌转让的资产支持证券，采用估值技术确定公允价值。在估值技术难以可靠计量公允价值的情况下，按成本估值；</w:t>
      </w:r>
    </w:p>
    <w:p w14:paraId="64124A37"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在估值技术难以可靠计量公允价值的情况下，按成本估值。</w:t>
      </w:r>
    </w:p>
    <w:p w14:paraId="2CB6134C"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（6）处于未上市期间的有价证券应区分如下情况处理：</w:t>
      </w:r>
    </w:p>
    <w:p w14:paraId="600F12FD"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1）送股、转增股、配股和公开增发的新股，按估值日在证券交易所挂牌的同一股票的估值方法估值；该日无交易的，以最近一日的市价（收盘价）估值；</w:t>
      </w:r>
    </w:p>
    <w:p w14:paraId="3D585F95"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2）首次公开发行未上市的股票、债券，采用估值技术确定公允价值，在估值技术难以可靠计量公允价值的情况下，按成本估值；</w:t>
      </w:r>
    </w:p>
    <w:p w14:paraId="0257B1A5"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946CA99"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7）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BD7509D"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（8）同一证券同时在两个或两个以上市场交易的，按证券所处的市场分别估值。</w:t>
      </w:r>
    </w:p>
    <w:p w14:paraId="7E3C5958"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（9）持有的银行定期存款或通知存款以本金列示，按协议或合同利率逐日确认利息收入。</w:t>
      </w:r>
    </w:p>
    <w:p w14:paraId="6760AB14" w14:textId="0C71445D"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（1</w:t>
      </w:r>
      <w:r w:rsidRPr="003F0CC9">
        <w:rPr>
          <w:rFonts w:ascii="宋体" w:hAnsi="宋体"/>
          <w:szCs w:val="21"/>
        </w:rPr>
        <w:t>0</w:t>
      </w:r>
      <w:r w:rsidRPr="003F0CC9">
        <w:rPr>
          <w:rFonts w:ascii="宋体" w:hAnsi="宋体" w:hint="eastAsia"/>
          <w:szCs w:val="21"/>
        </w:rPr>
        <w:t>）</w:t>
      </w:r>
      <w:r w:rsidRPr="003F0CC9">
        <w:rPr>
          <w:rFonts w:ascii="宋体" w:hAnsi="宋体" w:hint="eastAsia"/>
          <w:bCs/>
          <w:szCs w:val="21"/>
        </w:rPr>
        <w:t>本基金投资同业存单，采用估值日第三方估值机构提供的估值价格数据进行估</w:t>
      </w:r>
      <w:r w:rsidRPr="003F0CC9">
        <w:rPr>
          <w:rFonts w:ascii="宋体" w:hAnsi="宋体" w:hint="eastAsia"/>
          <w:bCs/>
          <w:szCs w:val="21"/>
        </w:rPr>
        <w:lastRenderedPageBreak/>
        <w:t>值；选定的第三方估值机构未提供估值价格的，应当采用估值技术确定公允价值，在估值技术难以可靠计量公允价值的情况下，按成本估值。</w:t>
      </w:r>
      <w:r w:rsidRPr="003F0CC9">
        <w:rPr>
          <w:rFonts w:ascii="宋体" w:hAnsi="宋体"/>
          <w:bCs/>
          <w:szCs w:val="21"/>
        </w:rPr>
        <w:cr/>
      </w:r>
      <w:r w:rsidR="00CD1160" w:rsidRPr="003F0CC9">
        <w:rPr>
          <w:rFonts w:ascii="宋体" w:hAnsi="宋体"/>
          <w:bCs/>
          <w:szCs w:val="21"/>
        </w:rPr>
        <w:t xml:space="preserve">    </w:t>
      </w:r>
      <w:r w:rsidRPr="003F0CC9">
        <w:rPr>
          <w:rFonts w:ascii="宋体" w:hAnsi="宋体" w:hint="eastAsia"/>
          <w:bCs/>
          <w:szCs w:val="21"/>
        </w:rPr>
        <w:t>（1</w:t>
      </w:r>
      <w:r w:rsidRPr="003F0CC9">
        <w:rPr>
          <w:rFonts w:ascii="宋体" w:hAnsi="宋体"/>
          <w:bCs/>
          <w:szCs w:val="21"/>
        </w:rPr>
        <w:t>1</w:t>
      </w:r>
      <w:r w:rsidRPr="003F0CC9">
        <w:rPr>
          <w:rFonts w:ascii="宋体" w:hAnsi="宋体" w:hint="eastAsia"/>
          <w:bCs/>
          <w:szCs w:val="21"/>
        </w:rPr>
        <w:t>）</w:t>
      </w:r>
      <w:r w:rsidRPr="003F0CC9">
        <w:rPr>
          <w:rFonts w:ascii="宋体" w:hAnsi="宋体" w:hint="eastAsia"/>
          <w:szCs w:val="21"/>
        </w:rPr>
        <w:t>因持有股票而享有的配股权，采用估值技术确定公允价值，在估值技术难以可靠计量公允价值的情况下，按成本估值。</w:t>
      </w:r>
    </w:p>
    <w:p w14:paraId="02901063" w14:textId="70586498"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（1</w:t>
      </w:r>
      <w:r w:rsidRPr="003F0CC9">
        <w:rPr>
          <w:rFonts w:ascii="宋体" w:hAnsi="宋体"/>
          <w:szCs w:val="21"/>
        </w:rPr>
        <w:t>2</w:t>
      </w:r>
      <w:r w:rsidRPr="003F0CC9">
        <w:rPr>
          <w:rFonts w:ascii="宋体" w:hAnsi="宋体" w:hint="eastAsia"/>
          <w:szCs w:val="21"/>
        </w:rPr>
        <w:t>）本基金投资存托凭证的估值核算依照境内上市交易的股票执行，国家有最新规定的，按其规定进行估值。</w:t>
      </w:r>
    </w:p>
    <w:p w14:paraId="6BD14B94" w14:textId="0A181FFF"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（1</w:t>
      </w:r>
      <w:r w:rsidRPr="003F0CC9">
        <w:rPr>
          <w:rFonts w:ascii="宋体" w:hAnsi="宋体"/>
          <w:szCs w:val="21"/>
        </w:rPr>
        <w:t>3</w:t>
      </w:r>
      <w:r w:rsidRPr="003F0CC9">
        <w:rPr>
          <w:rFonts w:ascii="宋体" w:hAnsi="宋体" w:hint="eastAsia"/>
          <w:szCs w:val="21"/>
        </w:rPr>
        <w:t>）当发生大额申购或赎回情形时，基金管理人可以采用摆动定价机制，以确保基金估值的公平性。具体处理原则与操作规范遵循相关法律法规以及监管部门、自律规则的规定。</w:t>
      </w:r>
    </w:p>
    <w:p w14:paraId="574D4DA6" w14:textId="5A902804"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（1</w:t>
      </w:r>
      <w:r w:rsidRPr="003F0CC9">
        <w:rPr>
          <w:rFonts w:ascii="宋体" w:hAnsi="宋体"/>
          <w:szCs w:val="21"/>
        </w:rPr>
        <w:t>4</w:t>
      </w:r>
      <w:r w:rsidRPr="003F0CC9">
        <w:rPr>
          <w:rFonts w:ascii="宋体" w:hAnsi="宋体" w:hint="eastAsia"/>
          <w:szCs w:val="21"/>
        </w:rPr>
        <w:t>）估值涉及到港币等主要货币对人民币汇率的，应当以基金估值日中国人民银行或其授权机构公布的人民币汇率中间价为准。</w:t>
      </w:r>
    </w:p>
    <w:p w14:paraId="4BA8C4D4" w14:textId="675C0C00"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（1</w:t>
      </w:r>
      <w:r w:rsidRPr="003F0CC9">
        <w:rPr>
          <w:rFonts w:ascii="宋体" w:hAnsi="宋体"/>
          <w:szCs w:val="21"/>
        </w:rPr>
        <w:t>5</w:t>
      </w:r>
      <w:r w:rsidRPr="003F0CC9">
        <w:rPr>
          <w:rFonts w:ascii="宋体" w:hAnsi="宋体" w:hint="eastAsia"/>
          <w:szCs w:val="21"/>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493C598" w14:textId="51454114"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（1</w:t>
      </w:r>
      <w:r w:rsidRPr="003F0CC9">
        <w:rPr>
          <w:rFonts w:ascii="宋体" w:hAnsi="宋体"/>
          <w:szCs w:val="21"/>
        </w:rPr>
        <w:t>6</w:t>
      </w:r>
      <w:r w:rsidRPr="003F0CC9">
        <w:rPr>
          <w:rFonts w:ascii="宋体" w:hAnsi="宋体" w:hint="eastAsia"/>
          <w:szCs w:val="21"/>
        </w:rPr>
        <w:t>）如有确凿证据表明按上述方法进行估值不能客观反映其公允价值的，基金管理人可根据具体情况与基金托管人商定后，按最能反映公允价值的价格估值。</w:t>
      </w:r>
    </w:p>
    <w:p w14:paraId="5410241F" w14:textId="68DE7760"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w:t>
      </w:r>
      <w:r w:rsidRPr="003F0CC9">
        <w:rPr>
          <w:rFonts w:ascii="宋体" w:hAnsi="宋体"/>
          <w:szCs w:val="21"/>
        </w:rPr>
        <w:t>7</w:t>
      </w:r>
      <w:r w:rsidRPr="003F0CC9">
        <w:rPr>
          <w:rFonts w:ascii="宋体" w:hAnsi="宋体" w:hint="eastAsia"/>
          <w:szCs w:val="21"/>
        </w:rPr>
        <w:t>）相关法律法规以及监管部门有强制规定的，从其规定。如有新增事项，按国家最新规定估值。</w:t>
      </w:r>
    </w:p>
    <w:p w14:paraId="6A410DBD"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bookmarkStart w:id="122" w:name="_Hlt88900318"/>
      <w:bookmarkStart w:id="123" w:name="_Hlt88821719"/>
      <w:bookmarkEnd w:id="122"/>
      <w:bookmarkEnd w:id="123"/>
    </w:p>
    <w:p w14:paraId="5CB8FD06" w14:textId="77777777" w:rsidR="004518C1" w:rsidRPr="003F0CC9" w:rsidRDefault="008D33B8">
      <w:pPr>
        <w:adjustRightInd w:val="0"/>
        <w:spacing w:line="360" w:lineRule="auto"/>
        <w:ind w:firstLineChars="200" w:firstLine="420"/>
        <w:contextualSpacing/>
        <w:rPr>
          <w:rStyle w:val="read"/>
          <w:rFonts w:ascii="宋体" w:hAnsi="宋体"/>
          <w:szCs w:val="21"/>
        </w:rPr>
      </w:pPr>
      <w:r w:rsidRPr="003F0CC9">
        <w:rPr>
          <w:rStyle w:val="read"/>
          <w:rFonts w:ascii="宋体" w:hAnsi="宋体"/>
          <w:szCs w:val="21"/>
        </w:rPr>
        <w:t>3</w:t>
      </w:r>
      <w:r w:rsidRPr="003F0CC9">
        <w:rPr>
          <w:szCs w:val="21"/>
        </w:rPr>
        <w:t>、</w:t>
      </w:r>
      <w:r w:rsidRPr="003F0CC9">
        <w:rPr>
          <w:rStyle w:val="read"/>
          <w:rFonts w:ascii="宋体" w:hAnsi="宋体" w:hint="eastAsia"/>
          <w:szCs w:val="21"/>
        </w:rPr>
        <w:t>特殊情况的处理</w:t>
      </w:r>
    </w:p>
    <w:p w14:paraId="3FCFC890" w14:textId="1600E7BC" w:rsidR="004518C1" w:rsidRPr="003F0CC9" w:rsidRDefault="008D33B8">
      <w:pPr>
        <w:adjustRightInd w:val="0"/>
        <w:spacing w:line="360" w:lineRule="auto"/>
        <w:ind w:firstLineChars="200" w:firstLine="420"/>
        <w:contextualSpacing/>
        <w:rPr>
          <w:rStyle w:val="read"/>
          <w:rFonts w:ascii="宋体" w:hAnsi="宋体"/>
          <w:szCs w:val="21"/>
        </w:rPr>
      </w:pPr>
      <w:r w:rsidRPr="003F0CC9">
        <w:rPr>
          <w:rStyle w:val="read"/>
          <w:rFonts w:ascii="宋体" w:hAnsi="宋体" w:hint="eastAsia"/>
          <w:szCs w:val="21"/>
        </w:rPr>
        <w:t>（1）基金管理人或基金托管人按上述“估值方法”的第（1</w:t>
      </w:r>
      <w:r w:rsidRPr="003F0CC9">
        <w:rPr>
          <w:rStyle w:val="read"/>
          <w:rFonts w:ascii="宋体" w:hAnsi="宋体"/>
          <w:szCs w:val="21"/>
        </w:rPr>
        <w:t>6</w:t>
      </w:r>
      <w:r w:rsidRPr="003F0CC9">
        <w:rPr>
          <w:rStyle w:val="read"/>
          <w:rFonts w:ascii="宋体" w:hAnsi="宋体" w:hint="eastAsia"/>
          <w:szCs w:val="21"/>
        </w:rPr>
        <w:t>）项进行估值时，所造成的误差不作为基金资产估值错误处理。</w:t>
      </w:r>
    </w:p>
    <w:p w14:paraId="48E65610" w14:textId="6AB7268B" w:rsidR="004518C1" w:rsidRPr="003F0CC9" w:rsidRDefault="008D33B8">
      <w:pPr>
        <w:adjustRightInd w:val="0"/>
        <w:spacing w:line="360" w:lineRule="auto"/>
        <w:ind w:firstLineChars="200" w:firstLine="420"/>
        <w:contextualSpacing/>
        <w:rPr>
          <w:szCs w:val="21"/>
        </w:rPr>
      </w:pPr>
      <w:r w:rsidRPr="003F0CC9">
        <w:rPr>
          <w:rStyle w:val="read"/>
          <w:rFonts w:ascii="宋体" w:hAnsi="宋体" w:hint="eastAsia"/>
          <w:szCs w:val="21"/>
        </w:rPr>
        <w:t>（2）由于证券交易所、登记结算公司及存款银行等第三方机构发送的数据错误或者由于其他不可抗力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47807D20"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124" w:name="_Toc22454458"/>
      <w:bookmarkEnd w:id="121"/>
      <w:r w:rsidRPr="003F0CC9">
        <w:rPr>
          <w:rFonts w:ascii="宋体" w:eastAsia="宋体" w:hAnsi="宋体" w:hint="eastAsia"/>
          <w:bCs w:val="0"/>
          <w:sz w:val="21"/>
          <w:szCs w:val="21"/>
        </w:rPr>
        <w:t>（三）估值差错处理</w:t>
      </w:r>
      <w:bookmarkEnd w:id="124"/>
    </w:p>
    <w:p w14:paraId="274D223F" w14:textId="0B7CD4D5"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bCs/>
          <w:szCs w:val="21"/>
        </w:rPr>
        <w:lastRenderedPageBreak/>
        <w:t>基金管理人和基金托管人将采取必要、适当、合理的措施确保基金资产估值的准确性、及时性。当基金份额净值小数点后4位以内(</w:t>
      </w:r>
      <w:r w:rsidRPr="003F0CC9">
        <w:rPr>
          <w:rFonts w:ascii="宋体" w:hAnsi="宋体" w:hint="eastAsia"/>
          <w:bCs/>
          <w:szCs w:val="21"/>
        </w:rPr>
        <w:t>含第</w:t>
      </w:r>
      <w:r w:rsidRPr="003F0CC9">
        <w:rPr>
          <w:rFonts w:ascii="宋体" w:hAnsi="宋体"/>
          <w:bCs/>
          <w:szCs w:val="21"/>
        </w:rPr>
        <w:t>4位)</w:t>
      </w:r>
      <w:r w:rsidRPr="003F0CC9">
        <w:rPr>
          <w:rFonts w:ascii="宋体" w:hAnsi="宋体" w:hint="eastAsia"/>
          <w:bCs/>
          <w:szCs w:val="21"/>
        </w:rPr>
        <w:t>发生估值错误时，视为基金份额净值错误。</w:t>
      </w:r>
    </w:p>
    <w:p w14:paraId="55279AC2" w14:textId="4EFDB763"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托管协议的当事人应按照以下约定处理：</w:t>
      </w:r>
    </w:p>
    <w:p w14:paraId="6B68F671"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bCs/>
          <w:szCs w:val="21"/>
        </w:rPr>
        <w:t>1</w:t>
      </w:r>
      <w:r w:rsidRPr="003F0CC9">
        <w:rPr>
          <w:rFonts w:ascii="宋体" w:hAnsi="宋体" w:hint="eastAsia"/>
          <w:bCs/>
          <w:szCs w:val="21"/>
        </w:rPr>
        <w:t>、估值错误类型</w:t>
      </w:r>
    </w:p>
    <w:p w14:paraId="34C33175"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3F0CC9">
        <w:rPr>
          <w:rFonts w:ascii="宋体" w:hAnsi="宋体"/>
          <w:bCs/>
          <w:szCs w:val="21"/>
        </w:rPr>
        <w:t>(“</w:t>
      </w:r>
      <w:r w:rsidRPr="003F0CC9">
        <w:rPr>
          <w:rFonts w:ascii="宋体" w:hAnsi="宋体" w:hint="eastAsia"/>
          <w:bCs/>
          <w:szCs w:val="21"/>
        </w:rPr>
        <w:t>受损方</w:t>
      </w:r>
      <w:r w:rsidRPr="003F0CC9">
        <w:rPr>
          <w:rFonts w:ascii="宋体" w:hAnsi="宋体"/>
          <w:bCs/>
          <w:szCs w:val="21"/>
        </w:rPr>
        <w:t>”)</w:t>
      </w:r>
      <w:r w:rsidRPr="003F0CC9">
        <w:rPr>
          <w:rFonts w:ascii="宋体" w:hAnsi="宋体" w:hint="eastAsia"/>
          <w:bCs/>
          <w:szCs w:val="21"/>
        </w:rPr>
        <w:t>的直接损失按下述</w:t>
      </w:r>
      <w:r w:rsidRPr="003F0CC9">
        <w:rPr>
          <w:rFonts w:ascii="宋体" w:hAnsi="宋体"/>
          <w:bCs/>
          <w:szCs w:val="21"/>
        </w:rPr>
        <w:t>“</w:t>
      </w:r>
      <w:r w:rsidRPr="003F0CC9">
        <w:rPr>
          <w:rFonts w:ascii="宋体" w:hAnsi="宋体" w:hint="eastAsia"/>
          <w:bCs/>
          <w:szCs w:val="21"/>
        </w:rPr>
        <w:t>估值错误处理原则</w:t>
      </w:r>
      <w:r w:rsidRPr="003F0CC9">
        <w:rPr>
          <w:rFonts w:ascii="宋体" w:hAnsi="宋体"/>
          <w:bCs/>
          <w:szCs w:val="21"/>
        </w:rPr>
        <w:t>”</w:t>
      </w:r>
      <w:r w:rsidRPr="003F0CC9">
        <w:rPr>
          <w:rFonts w:ascii="宋体" w:hAnsi="宋体" w:hint="eastAsia"/>
          <w:bCs/>
          <w:szCs w:val="21"/>
        </w:rPr>
        <w:t>给予赔偿，承担赔偿责任。</w:t>
      </w:r>
    </w:p>
    <w:p w14:paraId="3F4D1844"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上述估值错误的主要类型包括但不限于：资料申报差错、数据传输差错、数据计算差错、系统故障差错、下达指令差错等。</w:t>
      </w:r>
    </w:p>
    <w:p w14:paraId="0BA8BC7A"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bCs/>
          <w:szCs w:val="21"/>
        </w:rPr>
        <w:t>2</w:t>
      </w:r>
      <w:r w:rsidRPr="003F0CC9">
        <w:rPr>
          <w:rFonts w:ascii="宋体" w:hAnsi="宋体" w:hint="eastAsia"/>
          <w:bCs/>
          <w:szCs w:val="21"/>
        </w:rPr>
        <w:t>、估值错误处理原则</w:t>
      </w:r>
    </w:p>
    <w:p w14:paraId="63534AA4" w14:textId="6F698C26"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w:t>
      </w:r>
      <w:r w:rsidRPr="003F0CC9">
        <w:rPr>
          <w:rFonts w:ascii="宋体" w:hAnsi="宋体"/>
          <w:bCs/>
          <w:szCs w:val="21"/>
        </w:rPr>
        <w:t>1</w:t>
      </w:r>
      <w:r w:rsidRPr="003F0CC9">
        <w:rPr>
          <w:rFonts w:ascii="宋体" w:hAnsi="宋体" w:hint="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D6369DF" w14:textId="0DB8DFEE"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w:t>
      </w:r>
      <w:r w:rsidRPr="003F0CC9">
        <w:rPr>
          <w:rFonts w:ascii="宋体" w:hAnsi="宋体"/>
          <w:bCs/>
          <w:szCs w:val="21"/>
        </w:rPr>
        <w:t>2</w:t>
      </w:r>
      <w:r w:rsidRPr="003F0CC9">
        <w:rPr>
          <w:rFonts w:ascii="宋体" w:hAnsi="宋体" w:hint="eastAsia"/>
          <w:bCs/>
          <w:szCs w:val="21"/>
        </w:rPr>
        <w:t>）估值错误的责任方对有关当事人的直接损失负责，不对间接损失负责，并且仅对估值错误的有关直接当事人负责，不对第三方负责；</w:t>
      </w:r>
    </w:p>
    <w:p w14:paraId="39E13FE4" w14:textId="4EDEB766"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w:t>
      </w:r>
      <w:r w:rsidRPr="003F0CC9">
        <w:rPr>
          <w:rFonts w:ascii="宋体" w:hAnsi="宋体"/>
          <w:bCs/>
          <w:szCs w:val="21"/>
        </w:rPr>
        <w:t>3</w:t>
      </w:r>
      <w:r w:rsidRPr="003F0CC9">
        <w:rPr>
          <w:rFonts w:ascii="宋体" w:hAnsi="宋体" w:hint="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3F0CC9">
        <w:rPr>
          <w:rFonts w:ascii="宋体" w:hAnsi="宋体"/>
          <w:bCs/>
          <w:szCs w:val="21"/>
        </w:rPr>
        <w:t>(“</w:t>
      </w:r>
      <w:r w:rsidRPr="003F0CC9">
        <w:rPr>
          <w:rFonts w:ascii="宋体" w:hAnsi="宋体" w:hint="eastAsia"/>
          <w:bCs/>
          <w:szCs w:val="21"/>
        </w:rPr>
        <w:t>受损方</w:t>
      </w:r>
      <w:r w:rsidRPr="003F0CC9">
        <w:rPr>
          <w:rFonts w:ascii="宋体" w:hAnsi="宋体"/>
          <w:bCs/>
          <w:szCs w:val="21"/>
        </w:rPr>
        <w:t>”)</w:t>
      </w:r>
      <w:r w:rsidRPr="003F0CC9">
        <w:rPr>
          <w:rFonts w:ascii="宋体" w:hAnsi="宋体" w:hint="eastAsia"/>
          <w:bCs/>
          <w:szCs w:val="21"/>
        </w:rPr>
        <w:t>，则估值错误责任方应赔偿受损方的损失，并在其支付的赔偿金额的范围内对获得不当得利的当事人享</w:t>
      </w:r>
      <w:r w:rsidRPr="003F0CC9">
        <w:rPr>
          <w:rFonts w:ascii="宋体" w:hAnsi="宋体"/>
          <w:bCs/>
          <w:szCs w:val="21"/>
        </w:rPr>
        <w:t>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rsidRPr="003F0CC9">
        <w:rPr>
          <w:rFonts w:ascii="宋体" w:hAnsi="宋体" w:hint="eastAsia"/>
          <w:bCs/>
          <w:szCs w:val="21"/>
        </w:rPr>
        <w:t>；</w:t>
      </w:r>
    </w:p>
    <w:p w14:paraId="115CEA4B"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bCs/>
          <w:szCs w:val="21"/>
        </w:rPr>
        <w:t>（4</w:t>
      </w:r>
      <w:r w:rsidRPr="003F0CC9">
        <w:rPr>
          <w:rFonts w:ascii="宋体" w:hAnsi="宋体" w:hint="eastAsia"/>
          <w:bCs/>
          <w:szCs w:val="21"/>
        </w:rPr>
        <w:t>）估值错误调整采用尽量恢复至假设未发生估值错误的正确情形的方式。</w:t>
      </w:r>
    </w:p>
    <w:p w14:paraId="3494F844"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bCs/>
          <w:szCs w:val="21"/>
        </w:rPr>
        <w:t>3</w:t>
      </w:r>
      <w:r w:rsidRPr="003F0CC9">
        <w:rPr>
          <w:rFonts w:ascii="宋体" w:hAnsi="宋体" w:hint="eastAsia"/>
          <w:bCs/>
          <w:szCs w:val="21"/>
        </w:rPr>
        <w:t>、估值错误处理程序</w:t>
      </w:r>
    </w:p>
    <w:p w14:paraId="52052B4F"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估值错误被发现后，有关的当事人应当及时进行处理，处理的程序如下：</w:t>
      </w:r>
    </w:p>
    <w:p w14:paraId="2B5B510A"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lastRenderedPageBreak/>
        <w:t>（</w:t>
      </w:r>
      <w:r w:rsidRPr="003F0CC9">
        <w:rPr>
          <w:rFonts w:ascii="宋体" w:hAnsi="宋体"/>
          <w:bCs/>
          <w:szCs w:val="21"/>
        </w:rPr>
        <w:t>1</w:t>
      </w:r>
      <w:r w:rsidRPr="003F0CC9">
        <w:rPr>
          <w:rFonts w:ascii="宋体" w:hAnsi="宋体" w:hint="eastAsia"/>
          <w:bCs/>
          <w:szCs w:val="21"/>
        </w:rPr>
        <w:t>）查明估值错误发生的原因，列明所有的当事人，并根据估值错误发生的原因确定估值错误的责任方；</w:t>
      </w:r>
    </w:p>
    <w:p w14:paraId="6940B037"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w:t>
      </w:r>
      <w:r w:rsidRPr="003F0CC9">
        <w:rPr>
          <w:rFonts w:ascii="宋体" w:hAnsi="宋体"/>
          <w:bCs/>
          <w:szCs w:val="21"/>
        </w:rPr>
        <w:t>2</w:t>
      </w:r>
      <w:r w:rsidRPr="003F0CC9">
        <w:rPr>
          <w:rFonts w:ascii="宋体" w:hAnsi="宋体" w:hint="eastAsia"/>
          <w:bCs/>
          <w:szCs w:val="21"/>
        </w:rPr>
        <w:t>）根据估值错误处理原则或当事人协商的方法对因估值错误造成的损失进行评估；</w:t>
      </w:r>
    </w:p>
    <w:p w14:paraId="71B52809"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w:t>
      </w:r>
      <w:r w:rsidRPr="003F0CC9">
        <w:rPr>
          <w:rFonts w:ascii="宋体" w:hAnsi="宋体"/>
          <w:bCs/>
          <w:szCs w:val="21"/>
        </w:rPr>
        <w:t>3</w:t>
      </w:r>
      <w:r w:rsidRPr="003F0CC9">
        <w:rPr>
          <w:rFonts w:ascii="宋体" w:hAnsi="宋体" w:hint="eastAsia"/>
          <w:bCs/>
          <w:szCs w:val="21"/>
        </w:rPr>
        <w:t>）根据估值错误处理原则或当事人协商的方法由估值错误的责任方进行更正和赔偿损失；</w:t>
      </w:r>
    </w:p>
    <w:p w14:paraId="4DCDDD5A"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w:t>
      </w:r>
      <w:r w:rsidRPr="003F0CC9">
        <w:rPr>
          <w:rFonts w:ascii="宋体" w:hAnsi="宋体"/>
          <w:bCs/>
          <w:szCs w:val="21"/>
        </w:rPr>
        <w:t>4</w:t>
      </w:r>
      <w:r w:rsidRPr="003F0CC9">
        <w:rPr>
          <w:rFonts w:ascii="宋体" w:hAnsi="宋体" w:hint="eastAsia"/>
          <w:bCs/>
          <w:szCs w:val="21"/>
        </w:rPr>
        <w:t>）根据估值错误处理的方法，需要修改基金登记机构交易数据的，由基金登记机构进行更正，并就估值错误的更正向有关当事人进行确认。</w:t>
      </w:r>
    </w:p>
    <w:p w14:paraId="6DB197BD"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bCs/>
          <w:szCs w:val="21"/>
        </w:rPr>
        <w:t>4</w:t>
      </w:r>
      <w:r w:rsidRPr="003F0CC9">
        <w:rPr>
          <w:rFonts w:ascii="宋体" w:hAnsi="宋体" w:hint="eastAsia"/>
          <w:bCs/>
          <w:szCs w:val="21"/>
        </w:rPr>
        <w:t>、基金份额净值估值错误处理的方法如下：</w:t>
      </w:r>
    </w:p>
    <w:p w14:paraId="511729E4"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w:t>
      </w:r>
      <w:r w:rsidRPr="003F0CC9">
        <w:rPr>
          <w:rFonts w:ascii="宋体" w:hAnsi="宋体"/>
          <w:bCs/>
          <w:szCs w:val="21"/>
        </w:rPr>
        <w:t>1</w:t>
      </w:r>
      <w:r w:rsidRPr="003F0CC9">
        <w:rPr>
          <w:rFonts w:ascii="宋体" w:hAnsi="宋体" w:hint="eastAsia"/>
          <w:bCs/>
          <w:szCs w:val="21"/>
        </w:rPr>
        <w:t>）基金份额净值计算出现错误时，基金管理人应当立即予以纠正，通报基金托管人，并采取合理的措施防止损失进一步扩大。</w:t>
      </w:r>
    </w:p>
    <w:p w14:paraId="00AEEFF7" w14:textId="0737EBAA"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w:t>
      </w:r>
      <w:r w:rsidRPr="003F0CC9">
        <w:rPr>
          <w:rFonts w:ascii="宋体" w:hAnsi="宋体"/>
          <w:bCs/>
          <w:szCs w:val="21"/>
        </w:rPr>
        <w:t>2</w:t>
      </w:r>
      <w:r w:rsidRPr="003F0CC9">
        <w:rPr>
          <w:rFonts w:ascii="宋体" w:hAnsi="宋体" w:hint="eastAsia"/>
          <w:bCs/>
          <w:szCs w:val="21"/>
        </w:rPr>
        <w:t>）错误偏差达到基金份额净值的</w:t>
      </w:r>
      <w:r w:rsidRPr="003F0CC9">
        <w:rPr>
          <w:rFonts w:ascii="宋体" w:hAnsi="宋体"/>
          <w:bCs/>
          <w:szCs w:val="21"/>
        </w:rPr>
        <w:t>0.25%</w:t>
      </w:r>
      <w:r w:rsidRPr="003F0CC9">
        <w:rPr>
          <w:rFonts w:ascii="宋体" w:hAnsi="宋体" w:hint="eastAsia"/>
          <w:bCs/>
          <w:szCs w:val="21"/>
        </w:rPr>
        <w:t>时，基金管理人应当通报基金托管人并报中国证监会备案；错误偏差达到基金份额净值的</w:t>
      </w:r>
      <w:r w:rsidRPr="003F0CC9">
        <w:rPr>
          <w:rFonts w:ascii="宋体" w:hAnsi="宋体"/>
          <w:bCs/>
          <w:szCs w:val="21"/>
        </w:rPr>
        <w:t>0.5%</w:t>
      </w:r>
      <w:r w:rsidRPr="003F0CC9">
        <w:rPr>
          <w:rFonts w:ascii="宋体" w:hAnsi="宋体" w:hint="eastAsia"/>
          <w:bCs/>
          <w:szCs w:val="21"/>
        </w:rPr>
        <w:t>时，基金管理人应当公告，并报中国证监会备案。</w:t>
      </w:r>
    </w:p>
    <w:p w14:paraId="52388BEE"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（3）当基金份额净值计算差错给基金和基金份额持有人造成损失需要进行赔偿时，基金管理人和基金托管人应根据实际情况界定双方承担的责任，经确认后按以下条款进行赔偿：</w:t>
      </w:r>
    </w:p>
    <w:p w14:paraId="5E5D01F3"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120C070"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0835783"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9C119B9" w14:textId="77777777" w:rsidR="004518C1" w:rsidRPr="003F0CC9" w:rsidRDefault="008D33B8">
      <w:pPr>
        <w:adjustRightInd w:val="0"/>
        <w:spacing w:line="360" w:lineRule="auto"/>
        <w:ind w:right="28" w:firstLineChars="200" w:firstLine="420"/>
        <w:contextualSpacing/>
        <w:rPr>
          <w:rFonts w:ascii="宋体" w:hAnsi="宋体"/>
          <w:bCs/>
          <w:szCs w:val="21"/>
        </w:rPr>
      </w:pPr>
      <w:r w:rsidRPr="003F0CC9">
        <w:rPr>
          <w:rFonts w:ascii="宋体" w:hAnsi="宋体" w:hint="eastAsia"/>
          <w:bCs/>
          <w:szCs w:val="21"/>
        </w:rPr>
        <w:t xml:space="preserve">④由于基金管理人提供的信息错误（包括但不限于基金申购或赎回金额等），进而导致基金份额净值计算错误而引起的基金份额持有人和基金财产的损失，由基金管理人负责赔付。 </w:t>
      </w:r>
    </w:p>
    <w:p w14:paraId="6004C5F1" w14:textId="07589574" w:rsidR="00AC00ED" w:rsidRPr="003F0CC9" w:rsidRDefault="008D33B8" w:rsidP="00D96935">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w:t>
      </w:r>
      <w:r w:rsidRPr="003F0CC9">
        <w:rPr>
          <w:rFonts w:ascii="宋体" w:hAnsi="宋体"/>
          <w:szCs w:val="21"/>
        </w:rPr>
        <w:t>4</w:t>
      </w:r>
      <w:r w:rsidRPr="003F0CC9">
        <w:rPr>
          <w:rFonts w:ascii="宋体" w:hAnsi="宋体" w:hint="eastAsia"/>
          <w:szCs w:val="21"/>
        </w:rPr>
        <w:t>）前述内容如法律法规或监管机构另有规定的，从其规定处理。</w:t>
      </w:r>
    </w:p>
    <w:p w14:paraId="322A926E"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125" w:name="_Toc22454459"/>
      <w:bookmarkStart w:id="126" w:name="_Toc48703910"/>
      <w:r w:rsidRPr="003F0CC9">
        <w:rPr>
          <w:rFonts w:ascii="宋体" w:eastAsia="宋体" w:hAnsi="宋体" w:hint="eastAsia"/>
          <w:bCs w:val="0"/>
          <w:sz w:val="21"/>
          <w:szCs w:val="21"/>
        </w:rPr>
        <w:t>（四）基金账册的建立</w:t>
      </w:r>
      <w:bookmarkEnd w:id="125"/>
      <w:bookmarkEnd w:id="126"/>
    </w:p>
    <w:p w14:paraId="264064AC"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lastRenderedPageBreak/>
        <w:t>基金管理人和基金托管人在《基金合同》生效后，应按照双方约定的同一记账方法和会计处理原则，分别独立地设置、登录和保管本基金的全套账册，对双方各自的账册定期进行核对，互相监督，以保证基金资产的安全。若双方对会计处理方法存在分歧，应以基金管理人的处理方法为准。</w:t>
      </w:r>
    </w:p>
    <w:p w14:paraId="0F62E4BE"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经对账发现双方的账目存在不符的，基金管理人和基金托管人必须及时查明原因并纠正，保证双方平行登录的账册记录完全相符。若当日核对不符，暂时无法查找到错账的原因而影响到基金净值的计算和公告的，以基金管理人的账册为准。</w:t>
      </w:r>
    </w:p>
    <w:p w14:paraId="5FEE00B9"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127" w:name="_Toc48703911"/>
      <w:bookmarkStart w:id="128" w:name="_Toc22454460"/>
      <w:r w:rsidRPr="003F0CC9">
        <w:rPr>
          <w:rFonts w:ascii="宋体" w:eastAsia="宋体" w:hAnsi="宋体" w:hint="eastAsia"/>
          <w:bCs w:val="0"/>
          <w:sz w:val="21"/>
          <w:szCs w:val="21"/>
        </w:rPr>
        <w:t>（五）基金定期报告的编制和复核</w:t>
      </w:r>
      <w:bookmarkStart w:id="129" w:name="_Hlt89687912"/>
      <w:bookmarkEnd w:id="127"/>
      <w:bookmarkEnd w:id="128"/>
      <w:bookmarkEnd w:id="129"/>
    </w:p>
    <w:p w14:paraId="489E9FC9" w14:textId="120247DF"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cs="宋体" w:hint="eastAsia"/>
          <w:szCs w:val="21"/>
        </w:rPr>
        <w:t>基金管理人应当在每月结束后5个工作日内完成月度报表的编制；</w:t>
      </w:r>
      <w:r w:rsidRPr="003F0CC9">
        <w:rPr>
          <w:rFonts w:ascii="宋体" w:hAnsi="宋体" w:hint="eastAsia"/>
          <w:szCs w:val="21"/>
        </w:rPr>
        <w:t>基金管理人在季度结束之日起15个工作日内完成季度报告编制并公告；在</w:t>
      </w:r>
      <w:r w:rsidRPr="003F0CC9">
        <w:rPr>
          <w:rFonts w:ascii="宋体" w:hAnsi="宋体"/>
          <w:szCs w:val="21"/>
        </w:rPr>
        <w:t>上半年结束之日起两个月</w:t>
      </w:r>
      <w:r w:rsidRPr="003F0CC9">
        <w:rPr>
          <w:rFonts w:ascii="宋体" w:hAnsi="宋体" w:hint="eastAsia"/>
          <w:szCs w:val="21"/>
        </w:rPr>
        <w:t>内完成中期报告编制并公告；在</w:t>
      </w:r>
      <w:r w:rsidRPr="003F0CC9">
        <w:rPr>
          <w:rFonts w:ascii="宋体" w:hAnsi="宋体"/>
          <w:szCs w:val="21"/>
        </w:rPr>
        <w:t>每年结束之日起三个月</w:t>
      </w:r>
      <w:r w:rsidRPr="003F0CC9">
        <w:rPr>
          <w:rFonts w:ascii="宋体" w:hAnsi="宋体" w:hint="eastAsia"/>
          <w:szCs w:val="21"/>
        </w:rPr>
        <w:t>内完成年度报告编制并公告。</w:t>
      </w:r>
      <w:r w:rsidRPr="003F0CC9">
        <w:rPr>
          <w:rFonts w:ascii="宋体" w:hAnsi="宋体" w:cs="宋体" w:hint="eastAsia"/>
          <w:szCs w:val="21"/>
        </w:rPr>
        <w:t>基金年度报告的财务会计报告应当经过符合《证券法》规定的会计师事务所审计。基金合同生效不足两个月的，基金管理人可以不编制当期季度报告、中期报告或者年度报告。</w:t>
      </w:r>
    </w:p>
    <w:p w14:paraId="0864AF0D"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在季度报告完成当日，将有关报告提供基金托管人复核，基金托管人在收到后7个工作日内进行复核，并将复核结果以书面或电子方式通知基金管理人。基金管理人在中期报告完成当日，将有关报告提供基金托管人复核，基金托管人在收到后30日内进行复核，并将复核结果以书面或电子方式通知基金管理人。基金管理人在年度报告完成当日，将有关报告提供基金托管人复核，基金托管人在收到后45日内复核，并将复核结果以书面或电子方式通知基金管理人。</w:t>
      </w:r>
    </w:p>
    <w:p w14:paraId="199C2EB6"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托管人在复核过程中，发现双方的报表存在不符时，基金管理人和基金托管人应共同查明原因，进行调整，调整以双方认可的账务处理方式为准。核对无误后，基金托管人在基金管理人提供的报告上加盖业务印鉴或者出具加盖托管业务部门公章的复核意见书或以双方认可的方式进行书面或电子确认。</w:t>
      </w:r>
      <w:r w:rsidRPr="003F0CC9">
        <w:rPr>
          <w:rFonts w:ascii="宋体" w:hAnsi="宋体" w:hint="eastAsia"/>
          <w:kern w:val="44"/>
          <w:szCs w:val="21"/>
        </w:rPr>
        <w:t>如果基金管理人与基金托管人不能于应当发布公告之日之前就相关报表达成一致，基金管理人有权按照其编制的报表对外发布公告，</w:t>
      </w:r>
      <w:r w:rsidRPr="003F0CC9">
        <w:rPr>
          <w:rFonts w:ascii="宋体" w:hAnsi="宋体" w:hint="eastAsia"/>
          <w:szCs w:val="21"/>
        </w:rPr>
        <w:t>由此造成的损失由基金管理人承担赔偿责任，基金托管人不负赔偿责任，</w:t>
      </w:r>
      <w:r w:rsidRPr="003F0CC9">
        <w:rPr>
          <w:rFonts w:ascii="宋体" w:hAnsi="宋体" w:hint="eastAsia"/>
          <w:kern w:val="44"/>
          <w:szCs w:val="21"/>
        </w:rPr>
        <w:t>基金托管人有权就相关情况报证监会备案。</w:t>
      </w:r>
    </w:p>
    <w:p w14:paraId="17B8BD4F"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基金托管人在对财务会计报告、中期报告或年度报告复核完毕后，需盖章确认或出具相应的复核确认书或以双方认可的方式进行书面或电子确认，以备有权机构对相关文件审核时提示。</w:t>
      </w:r>
      <w:bookmarkStart w:id="130" w:name="_Hlt89689505"/>
      <w:bookmarkStart w:id="131" w:name="_Toc523830000"/>
      <w:bookmarkStart w:id="132" w:name="_Toc48703912"/>
      <w:bookmarkStart w:id="133" w:name="_Toc22454461"/>
      <w:bookmarkStart w:id="134" w:name="_Toc466788859"/>
      <w:bookmarkEnd w:id="130"/>
    </w:p>
    <w:p w14:paraId="2543343A" w14:textId="77777777" w:rsidR="004518C1" w:rsidRPr="003F0CC9" w:rsidRDefault="008D33B8">
      <w:pPr>
        <w:adjustRightInd w:val="0"/>
        <w:spacing w:line="360" w:lineRule="auto"/>
        <w:ind w:firstLineChars="200" w:firstLine="422"/>
        <w:contextualSpacing/>
        <w:rPr>
          <w:rFonts w:ascii="宋体" w:hAnsi="宋体"/>
          <w:b/>
          <w:szCs w:val="21"/>
        </w:rPr>
      </w:pPr>
      <w:r w:rsidRPr="003F0CC9">
        <w:rPr>
          <w:rFonts w:ascii="宋体" w:hAnsi="宋体" w:hint="eastAsia"/>
          <w:b/>
          <w:szCs w:val="21"/>
        </w:rPr>
        <w:t>（六）暂停估值的情形</w:t>
      </w:r>
    </w:p>
    <w:p w14:paraId="1E375536" w14:textId="21CDAC73"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lastRenderedPageBreak/>
        <w:t>1、基金投资所涉及的证券交易市场遇法定节假日或因其他原因暂停营业时；</w:t>
      </w:r>
    </w:p>
    <w:p w14:paraId="4BCCBEAD"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2、因不可抗力或其他情形致使基金管理人、基金托管人无法准确评估基金资产价值时；</w:t>
      </w:r>
    </w:p>
    <w:p w14:paraId="08BBC652" w14:textId="6A5D8746" w:rsidR="004518C1" w:rsidRPr="003F0CC9" w:rsidRDefault="008D33B8">
      <w:pPr>
        <w:adjustRightInd w:val="0"/>
        <w:spacing w:line="360" w:lineRule="auto"/>
        <w:ind w:firstLineChars="200" w:firstLine="420"/>
        <w:contextualSpacing/>
        <w:rPr>
          <w:bCs/>
          <w:szCs w:val="21"/>
        </w:rPr>
      </w:pPr>
      <w:r w:rsidRPr="003F0CC9">
        <w:rPr>
          <w:rFonts w:hint="eastAsia"/>
          <w:bCs/>
          <w:szCs w:val="21"/>
        </w:rPr>
        <w:t>3</w:t>
      </w:r>
      <w:r w:rsidRPr="003F0CC9">
        <w:rPr>
          <w:rFonts w:hint="eastAsia"/>
          <w:bCs/>
          <w:szCs w:val="21"/>
        </w:rPr>
        <w:t>、当特定资产占前一估值日基金资产净值</w:t>
      </w:r>
      <w:r w:rsidRPr="003F0CC9">
        <w:rPr>
          <w:rFonts w:hint="eastAsia"/>
          <w:bCs/>
          <w:szCs w:val="21"/>
        </w:rPr>
        <w:t>50%</w:t>
      </w:r>
      <w:r w:rsidRPr="003F0CC9">
        <w:rPr>
          <w:rFonts w:hint="eastAsia"/>
          <w:bCs/>
          <w:szCs w:val="21"/>
        </w:rPr>
        <w:t>以上的，经与基金托管人协商确认</w:t>
      </w:r>
      <w:r w:rsidRPr="003F0CC9">
        <w:rPr>
          <w:bCs/>
          <w:szCs w:val="21"/>
        </w:rPr>
        <w:t>后</w:t>
      </w:r>
      <w:r w:rsidRPr="003F0CC9">
        <w:rPr>
          <w:rFonts w:hint="eastAsia"/>
          <w:bCs/>
          <w:szCs w:val="21"/>
        </w:rPr>
        <w:t>，基金管理人应当暂停估值；</w:t>
      </w:r>
    </w:p>
    <w:p w14:paraId="26B3F89B" w14:textId="77777777" w:rsidR="004518C1" w:rsidRPr="003F0CC9" w:rsidRDefault="008D33B8">
      <w:pPr>
        <w:adjustRightInd w:val="0"/>
        <w:spacing w:line="360" w:lineRule="auto"/>
        <w:ind w:firstLineChars="200" w:firstLine="420"/>
        <w:contextualSpacing/>
        <w:rPr>
          <w:bCs/>
          <w:szCs w:val="21"/>
        </w:rPr>
      </w:pPr>
      <w:r w:rsidRPr="003F0CC9">
        <w:rPr>
          <w:rFonts w:hint="eastAsia"/>
          <w:bCs/>
          <w:szCs w:val="21"/>
        </w:rPr>
        <w:t>4</w:t>
      </w:r>
      <w:r w:rsidRPr="003F0CC9">
        <w:rPr>
          <w:rFonts w:hint="eastAsia"/>
          <w:bCs/>
          <w:szCs w:val="21"/>
        </w:rPr>
        <w:t>、占本基金相当比例的被投资基金暂停估值时；</w:t>
      </w:r>
    </w:p>
    <w:p w14:paraId="61550A5A" w14:textId="36BA7305" w:rsidR="004518C1" w:rsidRPr="003F0CC9" w:rsidRDefault="008D33B8">
      <w:pPr>
        <w:adjustRightInd w:val="0"/>
        <w:spacing w:line="360" w:lineRule="auto"/>
        <w:ind w:firstLineChars="200" w:firstLine="420"/>
        <w:contextualSpacing/>
        <w:rPr>
          <w:rFonts w:ascii="宋体" w:hAnsi="宋体"/>
          <w:szCs w:val="21"/>
        </w:rPr>
      </w:pPr>
      <w:r w:rsidRPr="003F0CC9">
        <w:rPr>
          <w:bCs/>
          <w:szCs w:val="21"/>
        </w:rPr>
        <w:t>5</w:t>
      </w:r>
      <w:r w:rsidRPr="003F0CC9">
        <w:rPr>
          <w:rFonts w:hint="eastAsia"/>
          <w:bCs/>
          <w:szCs w:val="21"/>
        </w:rPr>
        <w:t>、</w:t>
      </w:r>
      <w:r w:rsidRPr="003F0CC9">
        <w:rPr>
          <w:rFonts w:ascii="宋体" w:hAnsi="宋体" w:hint="eastAsia"/>
          <w:szCs w:val="21"/>
        </w:rPr>
        <w:t>法律法规、</w:t>
      </w:r>
      <w:r w:rsidRPr="003F0CC9">
        <w:rPr>
          <w:rFonts w:ascii="宋体" w:hAnsi="宋体"/>
          <w:szCs w:val="21"/>
        </w:rPr>
        <w:t>中国证监会和基金合同认定的其</w:t>
      </w:r>
      <w:r w:rsidRPr="003F0CC9">
        <w:rPr>
          <w:rFonts w:ascii="宋体" w:hAnsi="宋体" w:hint="eastAsia"/>
          <w:szCs w:val="21"/>
        </w:rPr>
        <w:t>他</w:t>
      </w:r>
      <w:r w:rsidRPr="003F0CC9">
        <w:rPr>
          <w:rFonts w:ascii="宋体" w:hAnsi="宋体"/>
          <w:szCs w:val="21"/>
        </w:rPr>
        <w:t>情形。</w:t>
      </w:r>
    </w:p>
    <w:p w14:paraId="167B19CE"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szCs w:val="21"/>
        </w:rPr>
        <w:br w:type="page"/>
      </w:r>
    </w:p>
    <w:p w14:paraId="0B99B806" w14:textId="77777777" w:rsidR="004518C1" w:rsidRPr="003F0CC9" w:rsidRDefault="008D33B8">
      <w:pPr>
        <w:pStyle w:val="1"/>
        <w:adjustRightInd w:val="0"/>
        <w:spacing w:line="360" w:lineRule="auto"/>
        <w:contextualSpacing/>
        <w:jc w:val="center"/>
        <w:rPr>
          <w:rFonts w:ascii="宋体" w:hAnsi="宋体"/>
          <w:sz w:val="30"/>
          <w:szCs w:val="30"/>
        </w:rPr>
      </w:pPr>
      <w:bookmarkStart w:id="135" w:name="_Toc125361081"/>
      <w:bookmarkStart w:id="136" w:name="_Toc124749233"/>
      <w:bookmarkStart w:id="137" w:name="_Toc1564319"/>
      <w:bookmarkStart w:id="138" w:name="_Toc124749944"/>
      <w:bookmarkStart w:id="139" w:name="_Toc123626175"/>
      <w:bookmarkEnd w:id="131"/>
      <w:bookmarkEnd w:id="132"/>
      <w:bookmarkEnd w:id="133"/>
      <w:bookmarkEnd w:id="134"/>
      <w:r w:rsidRPr="003F0CC9">
        <w:rPr>
          <w:rFonts w:ascii="宋体" w:hAnsi="宋体" w:hint="eastAsia"/>
          <w:sz w:val="30"/>
          <w:szCs w:val="30"/>
        </w:rPr>
        <w:lastRenderedPageBreak/>
        <w:t>九、基金收益分配</w:t>
      </w:r>
      <w:bookmarkEnd w:id="135"/>
      <w:bookmarkEnd w:id="136"/>
      <w:bookmarkEnd w:id="137"/>
      <w:bookmarkEnd w:id="138"/>
      <w:bookmarkEnd w:id="139"/>
    </w:p>
    <w:p w14:paraId="23357CE6"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cs="Arial"/>
          <w:kern w:val="0"/>
          <w:sz w:val="21"/>
          <w:szCs w:val="21"/>
        </w:rPr>
      </w:pPr>
      <w:bookmarkStart w:id="140" w:name="_Toc22454462"/>
      <w:bookmarkStart w:id="141" w:name="_Toc48703913"/>
      <w:r w:rsidRPr="003F0CC9">
        <w:rPr>
          <w:rFonts w:ascii="宋体" w:eastAsia="宋体" w:hAnsi="宋体" w:hint="eastAsia"/>
          <w:bCs w:val="0"/>
          <w:sz w:val="21"/>
          <w:szCs w:val="21"/>
        </w:rPr>
        <w:t>（一）基金收益分配</w:t>
      </w:r>
      <w:bookmarkEnd w:id="140"/>
      <w:bookmarkEnd w:id="141"/>
      <w:r w:rsidRPr="003F0CC9">
        <w:rPr>
          <w:rFonts w:ascii="宋体" w:eastAsia="宋体" w:hAnsi="宋体" w:hint="eastAsia"/>
          <w:bCs w:val="0"/>
          <w:sz w:val="21"/>
          <w:szCs w:val="21"/>
        </w:rPr>
        <w:t>的原则</w:t>
      </w:r>
    </w:p>
    <w:p w14:paraId="5605384E" w14:textId="77777777" w:rsidR="004518C1" w:rsidRPr="003F0CC9" w:rsidRDefault="008D33B8">
      <w:pPr>
        <w:adjustRightInd w:val="0"/>
        <w:spacing w:line="360" w:lineRule="auto"/>
        <w:ind w:firstLineChars="225" w:firstLine="473"/>
        <w:contextualSpacing/>
        <w:rPr>
          <w:rFonts w:ascii="宋体" w:hAnsi="宋体"/>
          <w:szCs w:val="21"/>
        </w:rPr>
      </w:pPr>
      <w:bookmarkStart w:id="142" w:name="_Hlt80958353"/>
      <w:bookmarkEnd w:id="142"/>
      <w:r w:rsidRPr="003F0CC9">
        <w:rPr>
          <w:rFonts w:ascii="宋体" w:hAnsi="宋体" w:hint="eastAsia"/>
          <w:szCs w:val="21"/>
        </w:rPr>
        <w:t>本基金的收益分配原则如下：</w:t>
      </w:r>
    </w:p>
    <w:p w14:paraId="214DDD62" w14:textId="77777777" w:rsidR="004518C1" w:rsidRPr="003F0CC9" w:rsidRDefault="008D33B8">
      <w:pPr>
        <w:adjustRightInd w:val="0"/>
        <w:spacing w:line="360" w:lineRule="auto"/>
        <w:ind w:firstLineChars="225" w:firstLine="473"/>
        <w:contextualSpacing/>
        <w:rPr>
          <w:rFonts w:ascii="宋体" w:hAnsi="宋体"/>
          <w:szCs w:val="21"/>
        </w:rPr>
      </w:pPr>
      <w:r w:rsidRPr="003F0CC9">
        <w:rPr>
          <w:rFonts w:ascii="宋体" w:hAnsi="宋体" w:hint="eastAsia"/>
          <w:szCs w:val="21"/>
        </w:rPr>
        <w:t>1、在符合有关基金分红条件的前提下，本基金基金管理人可以根据实际情况进行收益分配，具体分配方案以公告为准，若《基金合同》生效不满3个月可不进行收益分配；</w:t>
      </w:r>
    </w:p>
    <w:p w14:paraId="4332B24C" w14:textId="77777777" w:rsidR="004518C1" w:rsidRPr="003F0CC9" w:rsidRDefault="008D33B8">
      <w:pPr>
        <w:adjustRightInd w:val="0"/>
        <w:spacing w:line="360" w:lineRule="auto"/>
        <w:ind w:firstLineChars="225" w:firstLine="473"/>
        <w:contextualSpacing/>
        <w:rPr>
          <w:rFonts w:ascii="宋体" w:hAnsi="宋体"/>
          <w:szCs w:val="21"/>
        </w:rPr>
      </w:pPr>
      <w:r w:rsidRPr="003F0CC9">
        <w:rPr>
          <w:rFonts w:ascii="宋体" w:hAnsi="宋体" w:hint="eastAsia"/>
          <w:szCs w:val="21"/>
        </w:rPr>
        <w:t>2、本基金收益分配方式分两种：现金分红与红利再投资，基金份额持有人可选择现金红利或将现金红利自动转为基金份额进行再投资；若基金份额持有人不选择，本基金默认的收益分配方式是现金分红；</w:t>
      </w:r>
    </w:p>
    <w:p w14:paraId="0AEEE235" w14:textId="7E120537" w:rsidR="004518C1" w:rsidRPr="003F0CC9" w:rsidRDefault="008D33B8">
      <w:pPr>
        <w:adjustRightInd w:val="0"/>
        <w:spacing w:line="360" w:lineRule="auto"/>
        <w:ind w:firstLineChars="225" w:firstLine="473"/>
        <w:contextualSpacing/>
        <w:rPr>
          <w:rFonts w:ascii="宋体" w:hAnsi="宋体"/>
          <w:szCs w:val="21"/>
        </w:rPr>
      </w:pPr>
      <w:r w:rsidRPr="003F0CC9">
        <w:rPr>
          <w:rFonts w:ascii="宋体" w:hAnsi="宋体" w:hint="eastAsia"/>
          <w:szCs w:val="21"/>
        </w:rPr>
        <w:t>3、基金收益分配后基金份额净值不能低于面值，即基金收益分配基准日的基金份额净值减去每单位基金份额收益分配金额后不能低于面值；</w:t>
      </w:r>
    </w:p>
    <w:p w14:paraId="0968C181" w14:textId="77777777" w:rsidR="004518C1" w:rsidRPr="003F0CC9" w:rsidRDefault="008D33B8">
      <w:pPr>
        <w:adjustRightInd w:val="0"/>
        <w:spacing w:line="360" w:lineRule="auto"/>
        <w:ind w:firstLineChars="225" w:firstLine="473"/>
        <w:contextualSpacing/>
        <w:rPr>
          <w:rFonts w:ascii="宋体" w:hAnsi="宋体"/>
          <w:szCs w:val="21"/>
        </w:rPr>
      </w:pPr>
      <w:r w:rsidRPr="003F0CC9">
        <w:rPr>
          <w:rFonts w:ascii="宋体" w:hAnsi="宋体" w:hint="eastAsia"/>
          <w:szCs w:val="21"/>
        </w:rPr>
        <w:t>4、每一基金份额享有同等分配权；</w:t>
      </w:r>
    </w:p>
    <w:p w14:paraId="12D438D3" w14:textId="535EA51B" w:rsidR="004518C1" w:rsidRPr="003F0CC9" w:rsidRDefault="008D33B8">
      <w:pPr>
        <w:adjustRightInd w:val="0"/>
        <w:spacing w:line="360" w:lineRule="auto"/>
        <w:ind w:firstLineChars="225" w:firstLine="473"/>
        <w:contextualSpacing/>
        <w:rPr>
          <w:rFonts w:ascii="宋体" w:hAnsi="宋体"/>
          <w:szCs w:val="21"/>
        </w:rPr>
      </w:pPr>
      <w:r w:rsidRPr="003F0CC9">
        <w:rPr>
          <w:rFonts w:ascii="宋体" w:hAnsi="宋体" w:hint="eastAsia"/>
          <w:szCs w:val="21"/>
        </w:rPr>
        <w:t>5、基金份额持有人持有的基金份额（原份额）所获得的红利再投资份额的持有期，按原份额的持有期计算；</w:t>
      </w:r>
    </w:p>
    <w:p w14:paraId="7294AAA6" w14:textId="77777777" w:rsidR="004518C1" w:rsidRPr="003F0CC9" w:rsidRDefault="008D33B8">
      <w:pPr>
        <w:adjustRightInd w:val="0"/>
        <w:spacing w:line="360" w:lineRule="auto"/>
        <w:ind w:firstLineChars="225" w:firstLine="473"/>
        <w:contextualSpacing/>
        <w:rPr>
          <w:rFonts w:ascii="宋体" w:hAnsi="宋体"/>
          <w:szCs w:val="21"/>
        </w:rPr>
      </w:pPr>
      <w:r w:rsidRPr="003F0CC9">
        <w:rPr>
          <w:rFonts w:ascii="宋体" w:hAnsi="宋体" w:hint="eastAsia"/>
          <w:szCs w:val="21"/>
        </w:rPr>
        <w:t>6、法律法规或监管机构另有规定的，从其规定。</w:t>
      </w:r>
    </w:p>
    <w:p w14:paraId="4C63A4C1" w14:textId="77777777" w:rsidR="004518C1" w:rsidRPr="003F0CC9" w:rsidRDefault="008D33B8">
      <w:pPr>
        <w:pStyle w:val="2"/>
        <w:keepNext w:val="0"/>
        <w:keepLines w:val="0"/>
        <w:autoSpaceDE w:val="0"/>
        <w:autoSpaceDN w:val="0"/>
        <w:adjustRightInd w:val="0"/>
        <w:spacing w:before="0" w:after="0" w:line="360" w:lineRule="auto"/>
        <w:ind w:firstLineChars="200" w:firstLine="420"/>
        <w:contextualSpacing/>
        <w:textAlignment w:val="baseline"/>
        <w:rPr>
          <w:rFonts w:ascii="宋体" w:eastAsia="宋体" w:hAnsi="宋体"/>
          <w:b w:val="0"/>
          <w:bCs w:val="0"/>
          <w:sz w:val="21"/>
          <w:szCs w:val="21"/>
        </w:rPr>
      </w:pPr>
      <w:r w:rsidRPr="003F0CC9">
        <w:rPr>
          <w:rFonts w:ascii="宋体" w:eastAsia="宋体" w:hAnsi="宋体" w:hint="eastAsia"/>
          <w:b w:val="0"/>
          <w:bCs w:val="0"/>
          <w:sz w:val="21"/>
          <w:szCs w:val="21"/>
        </w:rPr>
        <w:t>在不违反法律法规、基金合同的约定以及对基金份额持有人利益无实质性不利影响的情况下，基金管理人可调整基金收益的分配原则和支付方式并通知基金托管人，不需召开基金份额持有人大会审议。</w:t>
      </w:r>
    </w:p>
    <w:p w14:paraId="372DA3EB"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3F0CC9">
        <w:rPr>
          <w:rFonts w:ascii="宋体" w:eastAsia="宋体" w:hAnsi="宋体" w:hint="eastAsia"/>
          <w:bCs w:val="0"/>
          <w:sz w:val="21"/>
          <w:szCs w:val="21"/>
        </w:rPr>
        <w:t>（二）基金收益分配方案的制定和实施程序</w:t>
      </w:r>
    </w:p>
    <w:p w14:paraId="6CF6430A"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1、基金收益分配方案由基金管理人拟定，并由基金托管人复核，在2日内在规定媒介公告。</w:t>
      </w:r>
    </w:p>
    <w:p w14:paraId="3E76BA37"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2、在收益分配方案公布后，基金管理人依据具体方案的规定就支付的现金红利向基金托管人发送划款指令，基金托管人按照基金管理人的正当指令及时进行分红资金的划付。</w:t>
      </w:r>
    </w:p>
    <w:p w14:paraId="6BD292E4" w14:textId="77777777" w:rsidR="004518C1" w:rsidRPr="003F0CC9" w:rsidRDefault="004518C1">
      <w:pPr>
        <w:adjustRightInd w:val="0"/>
        <w:spacing w:line="360" w:lineRule="auto"/>
        <w:ind w:firstLineChars="200" w:firstLine="480"/>
        <w:contextualSpacing/>
        <w:rPr>
          <w:rFonts w:ascii="宋体" w:hAnsi="宋体"/>
          <w:sz w:val="24"/>
          <w:szCs w:val="21"/>
        </w:rPr>
      </w:pPr>
    </w:p>
    <w:p w14:paraId="085A168A" w14:textId="77777777" w:rsidR="004518C1" w:rsidRPr="003F0CC9" w:rsidRDefault="004518C1">
      <w:pPr>
        <w:adjustRightInd w:val="0"/>
        <w:spacing w:line="360" w:lineRule="auto"/>
        <w:ind w:firstLineChars="200" w:firstLine="480"/>
        <w:contextualSpacing/>
        <w:rPr>
          <w:rFonts w:ascii="宋体" w:hAnsi="宋体"/>
          <w:sz w:val="24"/>
          <w:szCs w:val="21"/>
        </w:rPr>
      </w:pPr>
    </w:p>
    <w:p w14:paraId="031F5A38" w14:textId="77777777" w:rsidR="004518C1" w:rsidRPr="003F0CC9" w:rsidRDefault="004518C1">
      <w:pPr>
        <w:adjustRightInd w:val="0"/>
        <w:spacing w:line="360" w:lineRule="auto"/>
        <w:ind w:firstLineChars="200" w:firstLine="480"/>
        <w:contextualSpacing/>
        <w:rPr>
          <w:rFonts w:ascii="宋体" w:hAnsi="宋体"/>
          <w:sz w:val="24"/>
          <w:szCs w:val="21"/>
        </w:rPr>
      </w:pPr>
    </w:p>
    <w:p w14:paraId="64D4BEA7" w14:textId="77777777" w:rsidR="004518C1" w:rsidRPr="003F0CC9" w:rsidRDefault="008D33B8">
      <w:pPr>
        <w:pStyle w:val="1"/>
        <w:adjustRightInd w:val="0"/>
        <w:spacing w:line="360" w:lineRule="auto"/>
        <w:contextualSpacing/>
        <w:jc w:val="center"/>
        <w:rPr>
          <w:sz w:val="30"/>
          <w:szCs w:val="30"/>
        </w:rPr>
      </w:pPr>
      <w:r w:rsidRPr="003F0CC9">
        <w:br w:type="page"/>
      </w:r>
      <w:bookmarkStart w:id="143" w:name="_Toc1564320"/>
      <w:r w:rsidRPr="003F0CC9">
        <w:rPr>
          <w:rFonts w:hint="eastAsia"/>
          <w:sz w:val="30"/>
          <w:szCs w:val="30"/>
        </w:rPr>
        <w:lastRenderedPageBreak/>
        <w:t>十、</w:t>
      </w:r>
      <w:bookmarkStart w:id="144" w:name="_Toc523830002"/>
      <w:bookmarkStart w:id="145" w:name="_Toc124749945"/>
      <w:bookmarkStart w:id="146" w:name="_Toc466788861"/>
      <w:bookmarkStart w:id="147" w:name="_Toc124749234"/>
      <w:bookmarkStart w:id="148" w:name="_Toc48703916"/>
      <w:bookmarkStart w:id="149" w:name="_Toc125361082"/>
      <w:bookmarkStart w:id="150" w:name="_Toc123626176"/>
      <w:bookmarkStart w:id="151" w:name="_Toc22454465"/>
      <w:r w:rsidRPr="003F0CC9">
        <w:rPr>
          <w:rFonts w:hint="eastAsia"/>
          <w:sz w:val="30"/>
          <w:szCs w:val="30"/>
        </w:rPr>
        <w:t>信息披露</w:t>
      </w:r>
      <w:bookmarkStart w:id="152" w:name="_Hlt89687670"/>
      <w:bookmarkEnd w:id="143"/>
      <w:bookmarkEnd w:id="144"/>
      <w:bookmarkEnd w:id="145"/>
      <w:bookmarkEnd w:id="146"/>
      <w:bookmarkEnd w:id="147"/>
      <w:bookmarkEnd w:id="148"/>
      <w:bookmarkEnd w:id="149"/>
      <w:bookmarkEnd w:id="150"/>
      <w:bookmarkEnd w:id="151"/>
      <w:bookmarkEnd w:id="152"/>
    </w:p>
    <w:p w14:paraId="50A3023B" w14:textId="77777777" w:rsidR="004518C1" w:rsidRPr="003F0CC9" w:rsidRDefault="008D33B8">
      <w:pPr>
        <w:pStyle w:val="2"/>
        <w:keepNext w:val="0"/>
        <w:keepLines w:val="0"/>
        <w:tabs>
          <w:tab w:val="left" w:pos="1080"/>
        </w:tabs>
        <w:autoSpaceDE w:val="0"/>
        <w:autoSpaceDN w:val="0"/>
        <w:adjustRightInd w:val="0"/>
        <w:spacing w:before="0" w:after="0" w:line="360" w:lineRule="auto"/>
        <w:ind w:firstLineChars="196" w:firstLine="413"/>
        <w:contextualSpacing/>
        <w:textAlignment w:val="baseline"/>
        <w:rPr>
          <w:rFonts w:ascii="宋体" w:eastAsia="宋体" w:hAnsi="宋体" w:cs="Arial"/>
          <w:kern w:val="0"/>
          <w:sz w:val="21"/>
          <w:szCs w:val="21"/>
        </w:rPr>
      </w:pPr>
      <w:bookmarkStart w:id="153" w:name="_Toc48703917"/>
      <w:bookmarkStart w:id="154" w:name="_Toc22454466"/>
      <w:r w:rsidRPr="003F0CC9">
        <w:rPr>
          <w:rFonts w:ascii="宋体" w:eastAsia="宋体" w:hAnsi="宋体" w:hint="eastAsia"/>
          <w:sz w:val="21"/>
          <w:szCs w:val="21"/>
        </w:rPr>
        <w:t>（一）</w:t>
      </w:r>
      <w:r w:rsidRPr="003F0CC9">
        <w:rPr>
          <w:rFonts w:ascii="宋体" w:eastAsia="宋体" w:hAnsi="宋体" w:cs="Arial" w:hint="eastAsia"/>
          <w:kern w:val="0"/>
          <w:sz w:val="21"/>
          <w:szCs w:val="21"/>
        </w:rPr>
        <w:t>保密义务</w:t>
      </w:r>
      <w:bookmarkEnd w:id="153"/>
      <w:bookmarkEnd w:id="154"/>
    </w:p>
    <w:p w14:paraId="1899820E"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hAnsi="宋体"/>
          <w:szCs w:val="21"/>
        </w:rPr>
        <w:t>基金托管人和基金管理人应按法律法规、基金合同的有关规定进行信息披露，拟公开披露的信息在公开披露之前应予保密。</w:t>
      </w:r>
      <w:r w:rsidRPr="003F0CC9">
        <w:rPr>
          <w:rFonts w:ascii="宋体" w:hAnsi="宋体" w:hint="eastAsia"/>
          <w:szCs w:val="21"/>
        </w:rPr>
        <w:t>除按照《基金法》、《信息披露办法》、《流动性</w:t>
      </w:r>
      <w:r w:rsidRPr="003F0CC9">
        <w:rPr>
          <w:rFonts w:ascii="宋体" w:hAnsi="宋体"/>
          <w:szCs w:val="21"/>
        </w:rPr>
        <w:t>风险管理规定</w:t>
      </w:r>
      <w:r w:rsidRPr="003F0CC9">
        <w:rPr>
          <w:rFonts w:ascii="宋体" w:hAnsi="宋体" w:hint="eastAsia"/>
          <w:szCs w:val="21"/>
        </w:rPr>
        <w:t>》、《基金合同》及中国证监会关于基金信息披露的有关规定或者有权机关、监管机构、一方上市的证券交易所要求进行披露以外，基金管理人和基金托管人对基金运作中产生的未公开信息以及从对方获得的未公开业务信息应恪守保密的义务。基金管理人与基金托管人对基金的任何信息，除法律法规规定或者有权机关、一方上市的证券交易所要求之外，不得在其公开披露之前，先行对任何第三方披露。但是，如下情况不应视为基金管理人或基金托管人违反保密义务：</w:t>
      </w:r>
    </w:p>
    <w:p w14:paraId="541F06C9" w14:textId="77777777" w:rsidR="004518C1" w:rsidRPr="003F0CC9" w:rsidRDefault="008D33B8">
      <w:pPr>
        <w:pStyle w:val="a9"/>
        <w:adjustRightInd w:val="0"/>
        <w:spacing w:after="0" w:line="360" w:lineRule="auto"/>
        <w:contextualSpacing/>
        <w:rPr>
          <w:rFonts w:ascii="宋体" w:hAnsi="宋体"/>
          <w:szCs w:val="21"/>
        </w:rPr>
      </w:pPr>
      <w:r w:rsidRPr="003F0CC9">
        <w:rPr>
          <w:rFonts w:ascii="宋体" w:hAnsi="宋体" w:hint="eastAsia"/>
          <w:szCs w:val="21"/>
        </w:rPr>
        <w:t>1、非因基金管理人和基金托管人的原因导致保密信息被披露、泄露或公开；</w:t>
      </w:r>
    </w:p>
    <w:p w14:paraId="45543399"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2、基金管理人和基金托管人为遵守和服从法院判决、仲裁裁决或中国证监会、银行业监管机构等监管机构及其他有权机构的命令、决定所做出的信息披露或公开；</w:t>
      </w:r>
    </w:p>
    <w:p w14:paraId="4A4C419C"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3、基金管理人和基金托管人在要求保密的前提下对自身聘请的外部法律顾问、财务顾问、审计人员、技术顾问等做出的必要信息披露。</w:t>
      </w:r>
    </w:p>
    <w:p w14:paraId="6A7DCD05" w14:textId="77777777" w:rsidR="004518C1" w:rsidRPr="003F0CC9" w:rsidRDefault="008D33B8">
      <w:pPr>
        <w:pStyle w:val="2"/>
        <w:keepNext w:val="0"/>
        <w:keepLines w:val="0"/>
        <w:tabs>
          <w:tab w:val="left" w:pos="1080"/>
        </w:tabs>
        <w:autoSpaceDE w:val="0"/>
        <w:autoSpaceDN w:val="0"/>
        <w:adjustRightInd w:val="0"/>
        <w:spacing w:before="0" w:after="0" w:line="360" w:lineRule="auto"/>
        <w:ind w:firstLineChars="200" w:firstLine="422"/>
        <w:contextualSpacing/>
        <w:textAlignment w:val="baseline"/>
        <w:rPr>
          <w:rFonts w:ascii="宋体" w:eastAsia="宋体" w:hAnsi="宋体"/>
          <w:sz w:val="21"/>
          <w:szCs w:val="21"/>
        </w:rPr>
      </w:pPr>
      <w:bookmarkStart w:id="155" w:name="_Toc48703918"/>
      <w:bookmarkStart w:id="156" w:name="_Toc22454467"/>
      <w:r w:rsidRPr="003F0CC9">
        <w:rPr>
          <w:rFonts w:ascii="宋体" w:eastAsia="宋体" w:hAnsi="宋体" w:hint="eastAsia"/>
          <w:sz w:val="21"/>
          <w:szCs w:val="21"/>
        </w:rPr>
        <w:t>（二）基金管理人和基金托管人在信息披露中的职责和信息披露程序</w:t>
      </w:r>
      <w:bookmarkEnd w:id="155"/>
      <w:bookmarkEnd w:id="156"/>
    </w:p>
    <w:p w14:paraId="772F205D" w14:textId="77777777" w:rsidR="004518C1" w:rsidRPr="003F0CC9" w:rsidRDefault="008D33B8">
      <w:pPr>
        <w:adjustRightInd w:val="0"/>
        <w:spacing w:line="360" w:lineRule="auto"/>
        <w:ind w:right="28" w:firstLineChars="200" w:firstLine="420"/>
        <w:contextualSpacing/>
        <w:rPr>
          <w:rFonts w:ascii="宋体" w:hAnsi="宋体"/>
          <w:szCs w:val="21"/>
        </w:rPr>
      </w:pPr>
      <w:r w:rsidRPr="003F0CC9">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65F99109" w14:textId="3AD84110"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根据《信息披露办法》的要求，本基金信息披露的文件包括基金招募说明书、《基金合同》、基金托管协议</w:t>
      </w:r>
      <w:r w:rsidRPr="003F0CC9">
        <w:rPr>
          <w:rFonts w:hAnsi="宋体" w:hint="eastAsia"/>
          <w:szCs w:val="21"/>
        </w:rPr>
        <w:t>、</w:t>
      </w:r>
      <w:r w:rsidRPr="003F0CC9">
        <w:rPr>
          <w:rFonts w:ascii="宋体" w:hAnsi="宋体" w:hint="eastAsia"/>
          <w:szCs w:val="21"/>
        </w:rPr>
        <w:t>基金产品资料概要、基金份额发售公告、《基金合同》生效公告、定期报告、临时报告、基金份额申购、赎回价格、基金净值信息、澄清公告、基金份额持有人大会决议、清算报告、基金投资其他基金的信息披露、投资资产支持证券的相关公告、投资港股通标的股票的相关公告、实施侧袋机制期间的信息披露等其他必要的公告文件，由基金管理人拟定并负责公布。</w:t>
      </w:r>
    </w:p>
    <w:p w14:paraId="323DECD9" w14:textId="1544CB6C"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托管人应当按照相关法律、行政法规、中国证监会的规定和《基金合同》的约定，对基金管理人编制的基金资产净值、基金份额净值、基金业绩表现数据、基金定期报告、更新的招募说明书、基金产品资料概要、基金清算报告等相关基金信息进行复核、审查，并向基金管理人进行书面或电子确认。</w:t>
      </w:r>
    </w:p>
    <w:p w14:paraId="0CB40DDD"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lastRenderedPageBreak/>
        <w:t>基金年报中的财务报告部分，经</w:t>
      </w:r>
      <w:r w:rsidRPr="003F0CC9">
        <w:rPr>
          <w:rFonts w:ascii="宋体" w:hAnsi="宋体" w:cs="宋体" w:hint="eastAsia"/>
          <w:szCs w:val="21"/>
        </w:rPr>
        <w:t>符合《证券法》规定的</w:t>
      </w:r>
      <w:r w:rsidRPr="003F0CC9">
        <w:rPr>
          <w:rFonts w:ascii="宋体" w:hAnsi="宋体" w:hint="eastAsia"/>
          <w:szCs w:val="21"/>
        </w:rPr>
        <w:t>会计师事务所审计后，方可披露。</w:t>
      </w:r>
    </w:p>
    <w:p w14:paraId="72848045" w14:textId="77777777" w:rsidR="004518C1" w:rsidRPr="003F0CC9" w:rsidRDefault="008D33B8">
      <w:pPr>
        <w:adjustRightInd w:val="0"/>
        <w:spacing w:line="360" w:lineRule="auto"/>
        <w:ind w:firstLineChars="200" w:firstLine="420"/>
        <w:contextualSpacing/>
        <w:rPr>
          <w:rFonts w:ascii="宋体" w:hAnsi="宋体" w:cs="Arial"/>
          <w:szCs w:val="21"/>
        </w:rPr>
      </w:pPr>
      <w:r w:rsidRPr="003F0CC9">
        <w:rPr>
          <w:rFonts w:ascii="宋体" w:hAnsi="宋体" w:cs="Arial" w:hint="eastAsia"/>
          <w:szCs w:val="21"/>
        </w:rPr>
        <w:t>基金管理人应当在中国证监会规定的时间内，将应予披露的基金信息通过规定媒介披露。根据法律法规应由基金托管人公开披露的信息，基金托管人将通过规定媒介公开披露。</w:t>
      </w:r>
    </w:p>
    <w:p w14:paraId="6039BE9E" w14:textId="0B3CA217" w:rsidR="004518C1" w:rsidRPr="003F0CC9" w:rsidRDefault="008D33B8">
      <w:pPr>
        <w:adjustRightInd w:val="0"/>
        <w:spacing w:line="360" w:lineRule="auto"/>
        <w:ind w:firstLineChars="200" w:firstLine="420"/>
        <w:contextualSpacing/>
        <w:rPr>
          <w:rFonts w:ascii="宋体" w:hAnsi="宋体" w:cs="Arial"/>
          <w:szCs w:val="21"/>
        </w:rPr>
      </w:pPr>
      <w:r w:rsidRPr="003F0CC9">
        <w:rPr>
          <w:rFonts w:ascii="宋体" w:hAnsi="宋体" w:cs="Arial" w:hint="eastAsia"/>
          <w:szCs w:val="21"/>
        </w:rPr>
        <w:t>依法必须披露的信息发布后，基金管理人、基金托管人应当按照相关法律法规规定将信息置备于各自住所，以供社会公众查阅、复制。基金管理人和基金托管人应保证文本的内容与所公告的内容完全一致。</w:t>
      </w:r>
    </w:p>
    <w:p w14:paraId="22528E70"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基金管理人和基金托管人负责办理与基金有关的信息披露事宜时，对于根据本协议、《基金合同》规定或信息使用方要求的应由对方复核的事项，应经对方复核无误后，由基金管理人或基金托管人予以公布。</w:t>
      </w:r>
    </w:p>
    <w:p w14:paraId="542F2CC3" w14:textId="77777777" w:rsidR="004518C1" w:rsidRPr="003F0CC9" w:rsidRDefault="008D33B8">
      <w:pPr>
        <w:pStyle w:val="2"/>
        <w:keepNext w:val="0"/>
        <w:keepLines w:val="0"/>
        <w:tabs>
          <w:tab w:val="left" w:pos="1080"/>
        </w:tabs>
        <w:autoSpaceDE w:val="0"/>
        <w:autoSpaceDN w:val="0"/>
        <w:adjustRightInd w:val="0"/>
        <w:spacing w:before="0" w:after="0" w:line="360" w:lineRule="auto"/>
        <w:ind w:firstLineChars="200" w:firstLine="422"/>
        <w:contextualSpacing/>
        <w:textAlignment w:val="baseline"/>
        <w:rPr>
          <w:rFonts w:ascii="宋体" w:hAnsi="宋体"/>
          <w:b w:val="0"/>
          <w:sz w:val="21"/>
          <w:szCs w:val="21"/>
        </w:rPr>
      </w:pPr>
      <w:r w:rsidRPr="003F0CC9">
        <w:rPr>
          <w:rFonts w:ascii="宋体" w:eastAsia="宋体" w:hAnsi="宋体" w:hint="eastAsia"/>
          <w:sz w:val="21"/>
          <w:szCs w:val="21"/>
        </w:rPr>
        <w:t>（三）暂停或延迟信息披露的情形</w:t>
      </w:r>
    </w:p>
    <w:p w14:paraId="30D51905" w14:textId="77777777" w:rsidR="004518C1" w:rsidRPr="003F0CC9" w:rsidRDefault="008D33B8">
      <w:pPr>
        <w:tabs>
          <w:tab w:val="left" w:pos="2590"/>
        </w:tabs>
        <w:adjustRightInd w:val="0"/>
        <w:spacing w:line="360" w:lineRule="auto"/>
        <w:ind w:firstLineChars="200" w:firstLine="420"/>
        <w:contextualSpacing/>
        <w:rPr>
          <w:rFonts w:ascii="宋体" w:hAnsi="宋体"/>
          <w:szCs w:val="21"/>
        </w:rPr>
      </w:pPr>
      <w:r w:rsidRPr="003F0CC9">
        <w:rPr>
          <w:rFonts w:ascii="宋体" w:hAnsi="宋体" w:hint="eastAsia"/>
          <w:szCs w:val="21"/>
        </w:rPr>
        <w:t>当出现下述情况时，基金管理人和基金托管人可暂停或延迟披露基金相关信息：</w:t>
      </w:r>
    </w:p>
    <w:p w14:paraId="7A2DA908" w14:textId="77777777" w:rsidR="004518C1" w:rsidRPr="003F0CC9" w:rsidRDefault="008D33B8">
      <w:pPr>
        <w:tabs>
          <w:tab w:val="left" w:pos="2590"/>
        </w:tabs>
        <w:adjustRightInd w:val="0"/>
        <w:spacing w:line="360" w:lineRule="auto"/>
        <w:ind w:firstLineChars="200" w:firstLine="420"/>
        <w:contextualSpacing/>
        <w:rPr>
          <w:rFonts w:ascii="宋体" w:hAnsi="宋体"/>
          <w:szCs w:val="21"/>
        </w:rPr>
      </w:pPr>
      <w:r w:rsidRPr="003F0CC9">
        <w:rPr>
          <w:rFonts w:ascii="宋体" w:hAnsi="宋体" w:hint="eastAsia"/>
          <w:szCs w:val="21"/>
        </w:rPr>
        <w:t>1、不可抗力；</w:t>
      </w:r>
    </w:p>
    <w:p w14:paraId="44BA9E67" w14:textId="77777777" w:rsidR="004518C1" w:rsidRPr="003F0CC9" w:rsidRDefault="008D33B8">
      <w:pPr>
        <w:tabs>
          <w:tab w:val="left" w:pos="2590"/>
        </w:tabs>
        <w:adjustRightInd w:val="0"/>
        <w:spacing w:line="360" w:lineRule="auto"/>
        <w:ind w:firstLineChars="200" w:firstLine="420"/>
        <w:contextualSpacing/>
        <w:rPr>
          <w:rFonts w:ascii="宋体" w:hAnsi="宋体"/>
          <w:szCs w:val="21"/>
        </w:rPr>
      </w:pPr>
      <w:r w:rsidRPr="003F0CC9">
        <w:rPr>
          <w:rFonts w:ascii="宋体" w:hAnsi="宋体" w:hint="eastAsia"/>
          <w:szCs w:val="21"/>
        </w:rPr>
        <w:t>2、基金投资所涉及的证券交易市场遇法定节假日或因其他原因暂停营业时；</w:t>
      </w:r>
    </w:p>
    <w:p w14:paraId="4D062270" w14:textId="44598AD8" w:rsidR="004518C1" w:rsidRPr="003F0CC9" w:rsidRDefault="008D33B8">
      <w:pPr>
        <w:tabs>
          <w:tab w:val="left" w:pos="2590"/>
        </w:tabs>
        <w:adjustRightInd w:val="0"/>
        <w:spacing w:line="360" w:lineRule="auto"/>
        <w:ind w:firstLineChars="200" w:firstLine="420"/>
        <w:contextualSpacing/>
        <w:rPr>
          <w:rFonts w:ascii="宋体" w:hAnsi="宋体"/>
          <w:sz w:val="24"/>
        </w:rPr>
      </w:pPr>
      <w:r w:rsidRPr="003F0CC9">
        <w:rPr>
          <w:rFonts w:ascii="宋体" w:hAnsi="宋体" w:hint="eastAsia"/>
          <w:szCs w:val="21"/>
        </w:rPr>
        <w:t>3、法律法规、基金合同或中国证监会规定的其他情况。</w:t>
      </w:r>
    </w:p>
    <w:p w14:paraId="7F63F2DB" w14:textId="77777777" w:rsidR="004518C1" w:rsidRPr="003F0CC9" w:rsidRDefault="004518C1">
      <w:pPr>
        <w:adjustRightInd w:val="0"/>
        <w:spacing w:line="360" w:lineRule="auto"/>
        <w:ind w:firstLine="480"/>
        <w:contextualSpacing/>
        <w:rPr>
          <w:rFonts w:ascii="宋体" w:hAnsi="宋体"/>
          <w:sz w:val="24"/>
        </w:rPr>
      </w:pPr>
    </w:p>
    <w:p w14:paraId="3868C966" w14:textId="77777777" w:rsidR="004518C1" w:rsidRPr="003F0CC9" w:rsidRDefault="004518C1">
      <w:pPr>
        <w:adjustRightInd w:val="0"/>
        <w:spacing w:line="360" w:lineRule="auto"/>
        <w:ind w:firstLine="480"/>
        <w:contextualSpacing/>
        <w:rPr>
          <w:rFonts w:ascii="宋体" w:hAnsi="宋体"/>
          <w:sz w:val="24"/>
        </w:rPr>
      </w:pPr>
    </w:p>
    <w:p w14:paraId="2703220D" w14:textId="77777777" w:rsidR="004518C1" w:rsidRPr="003F0CC9" w:rsidRDefault="004518C1">
      <w:pPr>
        <w:adjustRightInd w:val="0"/>
        <w:spacing w:line="360" w:lineRule="auto"/>
        <w:ind w:firstLine="480"/>
        <w:contextualSpacing/>
        <w:rPr>
          <w:rFonts w:ascii="宋体" w:hAnsi="宋体"/>
          <w:sz w:val="24"/>
        </w:rPr>
      </w:pPr>
    </w:p>
    <w:p w14:paraId="3E3E17F3" w14:textId="77777777" w:rsidR="004518C1" w:rsidRPr="003F0CC9" w:rsidRDefault="004518C1">
      <w:pPr>
        <w:adjustRightInd w:val="0"/>
        <w:spacing w:line="360" w:lineRule="auto"/>
        <w:ind w:firstLine="480"/>
        <w:contextualSpacing/>
        <w:rPr>
          <w:rFonts w:ascii="宋体" w:hAnsi="宋体"/>
          <w:sz w:val="24"/>
        </w:rPr>
      </w:pPr>
    </w:p>
    <w:p w14:paraId="6F29AD33" w14:textId="77777777" w:rsidR="004518C1" w:rsidRPr="003F0CC9" w:rsidRDefault="008D33B8">
      <w:pPr>
        <w:pStyle w:val="1"/>
        <w:adjustRightInd w:val="0"/>
        <w:spacing w:line="360" w:lineRule="auto"/>
        <w:contextualSpacing/>
        <w:jc w:val="center"/>
        <w:rPr>
          <w:sz w:val="30"/>
          <w:szCs w:val="30"/>
        </w:rPr>
      </w:pPr>
      <w:bookmarkStart w:id="157" w:name="_Toc124749946"/>
      <w:bookmarkStart w:id="158" w:name="_Toc123626177"/>
      <w:bookmarkStart w:id="159" w:name="_Toc124749235"/>
      <w:bookmarkStart w:id="160" w:name="_Toc125361083"/>
      <w:r w:rsidRPr="003F0CC9">
        <w:rPr>
          <w:sz w:val="30"/>
          <w:szCs w:val="30"/>
        </w:rPr>
        <w:br w:type="page"/>
      </w:r>
      <w:bookmarkStart w:id="161" w:name="_Toc1564321"/>
      <w:r w:rsidRPr="003F0CC9">
        <w:rPr>
          <w:rFonts w:hint="eastAsia"/>
          <w:sz w:val="30"/>
          <w:szCs w:val="30"/>
        </w:rPr>
        <w:lastRenderedPageBreak/>
        <w:t>十一、基金费用</w:t>
      </w:r>
      <w:bookmarkEnd w:id="10"/>
      <w:bookmarkEnd w:id="157"/>
      <w:bookmarkEnd w:id="158"/>
      <w:bookmarkEnd w:id="159"/>
      <w:bookmarkEnd w:id="160"/>
      <w:bookmarkEnd w:id="161"/>
    </w:p>
    <w:p w14:paraId="2CE67B42" w14:textId="77777777" w:rsidR="004518C1" w:rsidRPr="003F0CC9" w:rsidRDefault="008D33B8">
      <w:pPr>
        <w:adjustRightInd w:val="0"/>
        <w:spacing w:line="360" w:lineRule="auto"/>
        <w:ind w:firstLineChars="200" w:firstLine="422"/>
        <w:contextualSpacing/>
        <w:rPr>
          <w:rFonts w:ascii="宋体" w:hAnsi="宋体"/>
          <w:b/>
          <w:szCs w:val="21"/>
        </w:rPr>
      </w:pPr>
      <w:r w:rsidRPr="003F0CC9">
        <w:rPr>
          <w:rFonts w:ascii="宋体" w:hAnsi="宋体" w:hint="eastAsia"/>
          <w:b/>
          <w:szCs w:val="21"/>
        </w:rPr>
        <w:t>（一）基金管理费的计提比例和计提方法</w:t>
      </w:r>
    </w:p>
    <w:p w14:paraId="21136506" w14:textId="5416AAD4" w:rsidR="004518C1" w:rsidRPr="003F0CC9" w:rsidRDefault="008D33B8">
      <w:pPr>
        <w:adjustRightInd w:val="0"/>
        <w:spacing w:line="360" w:lineRule="auto"/>
        <w:ind w:firstLineChars="200" w:firstLine="420"/>
        <w:contextualSpacing/>
        <w:rPr>
          <w:rFonts w:hAnsi="宋体"/>
          <w:szCs w:val="21"/>
        </w:rPr>
      </w:pPr>
      <w:r w:rsidRPr="003F0CC9">
        <w:rPr>
          <w:rFonts w:hAnsi="宋体" w:hint="eastAsia"/>
          <w:szCs w:val="21"/>
        </w:rPr>
        <w:t>本基金投资于本基金管理人所管理的基金的部分不收取管理费。本基金的管理费按前一日基金资产净值扣除基金财产中持有的基金管理人自身管理的其他基金部分所对应资产净值后剩余部分的</w:t>
      </w:r>
      <w:r w:rsidRPr="003F0CC9">
        <w:rPr>
          <w:rFonts w:hAnsi="宋体" w:hint="eastAsia"/>
          <w:szCs w:val="21"/>
        </w:rPr>
        <w:t>0.30%</w:t>
      </w:r>
      <w:r w:rsidRPr="003F0CC9">
        <w:rPr>
          <w:rFonts w:hAnsi="宋体" w:hint="eastAsia"/>
          <w:szCs w:val="21"/>
        </w:rPr>
        <w:t>年费率计提。管理费的计算方法如下：</w:t>
      </w:r>
    </w:p>
    <w:p w14:paraId="00176D0D" w14:textId="04A46A99" w:rsidR="004518C1" w:rsidRPr="003F0CC9" w:rsidRDefault="008D33B8">
      <w:pPr>
        <w:adjustRightInd w:val="0"/>
        <w:spacing w:line="360" w:lineRule="auto"/>
        <w:ind w:firstLineChars="200" w:firstLine="420"/>
        <w:contextualSpacing/>
        <w:rPr>
          <w:rFonts w:hAnsi="宋体"/>
          <w:szCs w:val="21"/>
        </w:rPr>
      </w:pPr>
      <w:r w:rsidRPr="003F0CC9">
        <w:rPr>
          <w:rFonts w:hAnsi="宋体" w:hint="eastAsia"/>
          <w:szCs w:val="21"/>
        </w:rPr>
        <w:t>H</w:t>
      </w:r>
      <w:r w:rsidRPr="003F0CC9">
        <w:rPr>
          <w:rFonts w:hAnsi="宋体" w:hint="eastAsia"/>
          <w:szCs w:val="21"/>
        </w:rPr>
        <w:t>＝</w:t>
      </w:r>
      <w:r w:rsidRPr="003F0CC9">
        <w:rPr>
          <w:rFonts w:hAnsi="宋体" w:hint="eastAsia"/>
          <w:szCs w:val="21"/>
        </w:rPr>
        <w:t>E</w:t>
      </w:r>
      <w:r w:rsidRPr="003F0CC9">
        <w:rPr>
          <w:rFonts w:hAnsi="宋体" w:hint="eastAsia"/>
          <w:szCs w:val="21"/>
        </w:rPr>
        <w:t>×</w:t>
      </w:r>
      <w:r w:rsidRPr="003F0CC9">
        <w:rPr>
          <w:rFonts w:hAnsi="宋体" w:hint="eastAsia"/>
          <w:szCs w:val="21"/>
        </w:rPr>
        <w:t>0.30%</w:t>
      </w:r>
      <w:r w:rsidRPr="003F0CC9">
        <w:rPr>
          <w:rFonts w:hAnsi="宋体" w:hint="eastAsia"/>
          <w:szCs w:val="21"/>
        </w:rPr>
        <w:t>÷当年天数</w:t>
      </w:r>
    </w:p>
    <w:p w14:paraId="1DBF4558" w14:textId="77777777" w:rsidR="004518C1" w:rsidRPr="003F0CC9" w:rsidRDefault="008D33B8">
      <w:pPr>
        <w:adjustRightInd w:val="0"/>
        <w:spacing w:line="360" w:lineRule="auto"/>
        <w:ind w:firstLineChars="200" w:firstLine="420"/>
        <w:contextualSpacing/>
        <w:rPr>
          <w:rFonts w:hAnsi="宋体"/>
          <w:szCs w:val="21"/>
        </w:rPr>
      </w:pPr>
      <w:r w:rsidRPr="003F0CC9">
        <w:rPr>
          <w:rFonts w:hAnsi="宋体" w:hint="eastAsia"/>
          <w:szCs w:val="21"/>
        </w:rPr>
        <w:t>H</w:t>
      </w:r>
      <w:r w:rsidRPr="003F0CC9">
        <w:rPr>
          <w:rFonts w:hAnsi="宋体" w:hint="eastAsia"/>
          <w:szCs w:val="21"/>
        </w:rPr>
        <w:t>为每日应计提的基金管理费</w:t>
      </w:r>
    </w:p>
    <w:p w14:paraId="4DD40E98" w14:textId="77777777" w:rsidR="004518C1" w:rsidRPr="003F0CC9" w:rsidRDefault="008D33B8">
      <w:pPr>
        <w:adjustRightInd w:val="0"/>
        <w:spacing w:line="360" w:lineRule="auto"/>
        <w:ind w:firstLineChars="200" w:firstLine="420"/>
        <w:contextualSpacing/>
        <w:rPr>
          <w:rFonts w:hAnsi="宋体"/>
          <w:szCs w:val="21"/>
        </w:rPr>
      </w:pPr>
      <w:r w:rsidRPr="003F0CC9">
        <w:rPr>
          <w:rFonts w:hAnsi="宋体" w:hint="eastAsia"/>
          <w:szCs w:val="21"/>
        </w:rPr>
        <w:t>E</w:t>
      </w:r>
      <w:r w:rsidRPr="003F0CC9">
        <w:rPr>
          <w:rFonts w:hAnsi="宋体" w:hint="eastAsia"/>
          <w:szCs w:val="21"/>
        </w:rPr>
        <w:t>为前一日的基金资产净值中扣除本基金持有的基金管理人自身管理的其他基金部分的基金资产净值，若为负数，则</w:t>
      </w:r>
      <w:r w:rsidRPr="003F0CC9">
        <w:rPr>
          <w:rFonts w:hAnsi="宋体" w:hint="eastAsia"/>
          <w:szCs w:val="21"/>
        </w:rPr>
        <w:t>E</w:t>
      </w:r>
      <w:r w:rsidRPr="003F0CC9">
        <w:rPr>
          <w:rFonts w:hAnsi="宋体" w:hint="eastAsia"/>
          <w:szCs w:val="21"/>
        </w:rPr>
        <w:t>取</w:t>
      </w:r>
      <w:r w:rsidRPr="003F0CC9">
        <w:rPr>
          <w:rFonts w:hAnsi="宋体" w:hint="eastAsia"/>
          <w:szCs w:val="21"/>
        </w:rPr>
        <w:t>0</w:t>
      </w:r>
    </w:p>
    <w:p w14:paraId="175A0E42" w14:textId="77777777" w:rsidR="004518C1" w:rsidRPr="003F0CC9" w:rsidRDefault="008D33B8">
      <w:pPr>
        <w:adjustRightInd w:val="0"/>
        <w:spacing w:line="360" w:lineRule="auto"/>
        <w:ind w:firstLineChars="200" w:firstLine="422"/>
        <w:contextualSpacing/>
        <w:rPr>
          <w:rFonts w:ascii="宋体" w:hAnsi="宋体"/>
          <w:b/>
          <w:szCs w:val="21"/>
        </w:rPr>
      </w:pPr>
      <w:r w:rsidRPr="003F0CC9">
        <w:rPr>
          <w:rFonts w:ascii="宋体" w:hAnsi="宋体" w:hint="eastAsia"/>
          <w:b/>
          <w:szCs w:val="21"/>
        </w:rPr>
        <w:t>（二）基金托管费的计提比例和计提方法</w:t>
      </w:r>
    </w:p>
    <w:p w14:paraId="74E1C307" w14:textId="4FF29B76" w:rsidR="004518C1" w:rsidRPr="003F0CC9" w:rsidRDefault="008D33B8">
      <w:pPr>
        <w:adjustRightInd w:val="0"/>
        <w:spacing w:line="360" w:lineRule="auto"/>
        <w:ind w:firstLineChars="200" w:firstLine="420"/>
        <w:contextualSpacing/>
        <w:rPr>
          <w:rFonts w:hAnsi="宋体"/>
          <w:szCs w:val="21"/>
        </w:rPr>
      </w:pPr>
      <w:r w:rsidRPr="003F0CC9">
        <w:rPr>
          <w:rFonts w:hAnsi="宋体" w:hint="eastAsia"/>
          <w:szCs w:val="21"/>
        </w:rPr>
        <w:t>本基金投资于本基金托管人所托管的基金的部分不收取托管费。本基金的托管费按前一日基金资产净值扣除基金财产中持有的基金托管人自身托管的其他基金部分所对应资产净值后剩余部分的</w:t>
      </w:r>
      <w:r w:rsidRPr="003F0CC9">
        <w:rPr>
          <w:rFonts w:hAnsi="宋体" w:hint="eastAsia"/>
          <w:szCs w:val="21"/>
        </w:rPr>
        <w:t>0.10%</w:t>
      </w:r>
      <w:r w:rsidRPr="003F0CC9">
        <w:rPr>
          <w:rFonts w:hAnsi="宋体" w:hint="eastAsia"/>
          <w:szCs w:val="21"/>
        </w:rPr>
        <w:t>的年费率计提。托管费的计算方法如下：</w:t>
      </w:r>
    </w:p>
    <w:p w14:paraId="1403E792" w14:textId="2942E7E4" w:rsidR="004518C1" w:rsidRPr="003F0CC9" w:rsidRDefault="008D33B8">
      <w:pPr>
        <w:adjustRightInd w:val="0"/>
        <w:spacing w:line="360" w:lineRule="auto"/>
        <w:ind w:firstLineChars="200" w:firstLine="420"/>
        <w:contextualSpacing/>
        <w:rPr>
          <w:rFonts w:hAnsi="宋体"/>
          <w:szCs w:val="21"/>
        </w:rPr>
      </w:pPr>
      <w:r w:rsidRPr="003F0CC9">
        <w:rPr>
          <w:rFonts w:hAnsi="宋体" w:hint="eastAsia"/>
          <w:szCs w:val="21"/>
        </w:rPr>
        <w:t>H</w:t>
      </w:r>
      <w:r w:rsidRPr="003F0CC9">
        <w:rPr>
          <w:rFonts w:hAnsi="宋体" w:hint="eastAsia"/>
          <w:szCs w:val="21"/>
        </w:rPr>
        <w:t>＝</w:t>
      </w:r>
      <w:r w:rsidRPr="003F0CC9">
        <w:rPr>
          <w:rFonts w:hAnsi="宋体" w:hint="eastAsia"/>
          <w:szCs w:val="21"/>
        </w:rPr>
        <w:t>E</w:t>
      </w:r>
      <w:r w:rsidRPr="003F0CC9">
        <w:rPr>
          <w:rFonts w:hAnsi="宋体" w:hint="eastAsia"/>
          <w:szCs w:val="21"/>
        </w:rPr>
        <w:t>×</w:t>
      </w:r>
      <w:r w:rsidRPr="003F0CC9">
        <w:rPr>
          <w:rFonts w:hAnsi="宋体" w:hint="eastAsia"/>
          <w:szCs w:val="21"/>
        </w:rPr>
        <w:t>0.10%</w:t>
      </w:r>
      <w:r w:rsidRPr="003F0CC9">
        <w:rPr>
          <w:rFonts w:hAnsi="宋体" w:hint="eastAsia"/>
          <w:szCs w:val="21"/>
        </w:rPr>
        <w:t>÷当年天数</w:t>
      </w:r>
    </w:p>
    <w:p w14:paraId="74D7819C" w14:textId="77777777" w:rsidR="004518C1" w:rsidRPr="003F0CC9" w:rsidRDefault="008D33B8">
      <w:pPr>
        <w:adjustRightInd w:val="0"/>
        <w:spacing w:line="360" w:lineRule="auto"/>
        <w:ind w:firstLineChars="200" w:firstLine="420"/>
        <w:contextualSpacing/>
        <w:rPr>
          <w:rFonts w:hAnsi="宋体"/>
          <w:szCs w:val="21"/>
        </w:rPr>
      </w:pPr>
      <w:r w:rsidRPr="003F0CC9">
        <w:rPr>
          <w:rFonts w:hAnsi="宋体" w:hint="eastAsia"/>
          <w:szCs w:val="21"/>
        </w:rPr>
        <w:t>H</w:t>
      </w:r>
      <w:r w:rsidRPr="003F0CC9">
        <w:rPr>
          <w:rFonts w:hAnsi="宋体" w:hint="eastAsia"/>
          <w:szCs w:val="21"/>
        </w:rPr>
        <w:t>为每日应计提的基金托管费</w:t>
      </w:r>
    </w:p>
    <w:p w14:paraId="0A943902" w14:textId="77777777" w:rsidR="004518C1" w:rsidRPr="003F0CC9" w:rsidRDefault="008D33B8">
      <w:pPr>
        <w:adjustRightInd w:val="0"/>
        <w:spacing w:line="360" w:lineRule="auto"/>
        <w:ind w:firstLineChars="200" w:firstLine="420"/>
        <w:contextualSpacing/>
        <w:rPr>
          <w:rFonts w:hAnsi="宋体"/>
          <w:szCs w:val="21"/>
        </w:rPr>
      </w:pPr>
      <w:r w:rsidRPr="003F0CC9">
        <w:rPr>
          <w:rFonts w:hAnsi="宋体" w:hint="eastAsia"/>
          <w:szCs w:val="21"/>
        </w:rPr>
        <w:t>E</w:t>
      </w:r>
      <w:r w:rsidRPr="003F0CC9">
        <w:rPr>
          <w:rFonts w:hAnsi="宋体" w:hint="eastAsia"/>
          <w:szCs w:val="21"/>
        </w:rPr>
        <w:t>为前一日的基金资产净值中扣除本基金持有的基金托管人自身托管的其他基金部分的基金资产净值，若为负数，则</w:t>
      </w:r>
      <w:r w:rsidRPr="003F0CC9">
        <w:rPr>
          <w:rFonts w:hAnsi="宋体" w:hint="eastAsia"/>
          <w:szCs w:val="21"/>
        </w:rPr>
        <w:t>E</w:t>
      </w:r>
      <w:r w:rsidRPr="003F0CC9">
        <w:rPr>
          <w:rFonts w:hAnsi="宋体" w:hint="eastAsia"/>
          <w:szCs w:val="21"/>
        </w:rPr>
        <w:t>取</w:t>
      </w:r>
      <w:r w:rsidRPr="003F0CC9">
        <w:rPr>
          <w:rFonts w:hAnsi="宋体" w:hint="eastAsia"/>
          <w:szCs w:val="21"/>
        </w:rPr>
        <w:t>0</w:t>
      </w:r>
    </w:p>
    <w:p w14:paraId="3B2530BF" w14:textId="5438B82C" w:rsidR="004518C1" w:rsidRPr="003F0CC9" w:rsidRDefault="008D33B8">
      <w:pPr>
        <w:adjustRightInd w:val="0"/>
        <w:spacing w:line="360" w:lineRule="auto"/>
        <w:ind w:firstLineChars="200" w:firstLine="422"/>
        <w:contextualSpacing/>
        <w:rPr>
          <w:rFonts w:ascii="宋体" w:hAnsi="宋体"/>
          <w:szCs w:val="21"/>
        </w:rPr>
      </w:pPr>
      <w:r w:rsidRPr="003F0CC9">
        <w:rPr>
          <w:rFonts w:ascii="宋体" w:hAnsi="宋体" w:hint="eastAsia"/>
          <w:b/>
          <w:szCs w:val="21"/>
        </w:rPr>
        <w:t>（三）</w:t>
      </w:r>
      <w:r w:rsidRPr="003F0CC9">
        <w:rPr>
          <w:rFonts w:ascii="宋体" w:hAnsi="宋体" w:hint="eastAsia"/>
          <w:szCs w:val="21"/>
        </w:rPr>
        <w:t>基金合同生效以后的与基金相关的信息披露费用（法律法规、中国证监会另有规定的</w:t>
      </w:r>
      <w:r w:rsidRPr="003F0CC9">
        <w:rPr>
          <w:rFonts w:ascii="宋体" w:hAnsi="宋体"/>
          <w:szCs w:val="21"/>
        </w:rPr>
        <w:t>除外</w:t>
      </w:r>
      <w:r w:rsidRPr="003F0CC9">
        <w:rPr>
          <w:rFonts w:ascii="宋体" w:hAnsi="宋体" w:hint="eastAsia"/>
          <w:szCs w:val="21"/>
        </w:rPr>
        <w:t>）、会计师费、律师费、诉讼费和仲裁费；基金份额持有人大会费用；基金的证券/基金交易费用（本基金投资其他基金产生的其他基金的</w:t>
      </w:r>
      <w:r w:rsidR="009E236D" w:rsidRPr="003F0CC9">
        <w:rPr>
          <w:rFonts w:ascii="宋体" w:hAnsi="宋体" w:hint="eastAsia"/>
          <w:szCs w:val="21"/>
        </w:rPr>
        <w:t>相关</w:t>
      </w:r>
      <w:r w:rsidRPr="003F0CC9">
        <w:rPr>
          <w:rFonts w:ascii="宋体" w:hAnsi="宋体" w:hint="eastAsia"/>
          <w:szCs w:val="21"/>
        </w:rPr>
        <w:t>费用（如申购费、赎回费、销售服务费等），但法律法规禁止从基金财产中列支的除外）、银行汇划费用、开户费用和账户维护费用、因投资港股通标的股票而产生的各项合理费用；按照国家有关规定和《基金合同》约定，可以在基金财产中列支的其他费用，根据有关法律法规及相应协议规定，按费用实际支出金额列入当期费用，由基金托管人从基金财产中支付。</w:t>
      </w:r>
    </w:p>
    <w:p w14:paraId="1CCBD692"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运用本基金的基金财产申购自身管理的基金的（ETF除外），应当通过直销渠道申购且不得收取申购费、赎回费（按照相关法规、基金招募说明书约定应当收取，并计入基金财产的赎回费用除外）、销售服务费（如有）等销售费用。</w:t>
      </w:r>
    </w:p>
    <w:p w14:paraId="52F367F2" w14:textId="1EFE6014" w:rsidR="004518C1" w:rsidRPr="003F0CC9" w:rsidRDefault="008D33B8">
      <w:pPr>
        <w:adjustRightInd w:val="0"/>
        <w:spacing w:line="360" w:lineRule="auto"/>
        <w:ind w:firstLineChars="200" w:firstLine="422"/>
        <w:contextualSpacing/>
        <w:rPr>
          <w:rFonts w:ascii="宋体" w:hAnsi="宋体"/>
          <w:b/>
          <w:szCs w:val="21"/>
        </w:rPr>
      </w:pPr>
      <w:r w:rsidRPr="003F0CC9">
        <w:rPr>
          <w:rFonts w:ascii="宋体" w:hAnsi="宋体" w:hint="eastAsia"/>
          <w:b/>
          <w:szCs w:val="21"/>
        </w:rPr>
        <w:t>（四）不列入基金费用的项目</w:t>
      </w:r>
    </w:p>
    <w:p w14:paraId="5EE77EA3"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下列费用不列入基金费用：</w:t>
      </w:r>
    </w:p>
    <w:p w14:paraId="71F2173E"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lastRenderedPageBreak/>
        <w:t>1、基金管理人和基金托管人因未履行或未完全履行义务导致的费用支出或基金财产的损失；</w:t>
      </w:r>
    </w:p>
    <w:p w14:paraId="6F72922B"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2、基金管理人和基金托管人处理与基金运作无关的事项发生的费用；</w:t>
      </w:r>
    </w:p>
    <w:p w14:paraId="195E6426"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3、《基金合同》生效前的相关费用；</w:t>
      </w:r>
    </w:p>
    <w:p w14:paraId="5534C844"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4、其他根据相关法律法规及中国证监会的有关规定不得列入基金费用的项目。</w:t>
      </w:r>
    </w:p>
    <w:p w14:paraId="64F3B6F6" w14:textId="1FB8AEEB" w:rsidR="004518C1" w:rsidRPr="003F0CC9" w:rsidRDefault="008D33B8">
      <w:pPr>
        <w:adjustRightInd w:val="0"/>
        <w:spacing w:line="360" w:lineRule="auto"/>
        <w:ind w:firstLineChars="200" w:firstLine="422"/>
        <w:contextualSpacing/>
        <w:rPr>
          <w:rFonts w:ascii="宋体" w:hAnsi="宋体"/>
          <w:b/>
          <w:szCs w:val="21"/>
        </w:rPr>
      </w:pPr>
      <w:r w:rsidRPr="003F0CC9">
        <w:rPr>
          <w:rFonts w:ascii="宋体" w:hAnsi="宋体" w:hint="eastAsia"/>
          <w:b/>
          <w:szCs w:val="21"/>
        </w:rPr>
        <w:t>（五）基金管理费、基金托管费的复核程序、支付方式和时间</w:t>
      </w:r>
    </w:p>
    <w:p w14:paraId="74BEE889"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基金托管人对基金管理人计提的基金管理费、基金托管费等，根据本托管协议和《基金合同》的有关规定进行复核。</w:t>
      </w:r>
    </w:p>
    <w:p w14:paraId="5AEBC28F" w14:textId="0B1B2413" w:rsidR="004518C1" w:rsidRPr="003F0CC9" w:rsidRDefault="008D33B8">
      <w:pPr>
        <w:adjustRightInd w:val="0"/>
        <w:spacing w:line="360" w:lineRule="auto"/>
        <w:ind w:firstLineChars="200" w:firstLine="420"/>
        <w:contextualSpacing/>
        <w:rPr>
          <w:rFonts w:ascii="宋体" w:hAnsi="宋体"/>
          <w:kern w:val="0"/>
          <w:szCs w:val="21"/>
        </w:rPr>
      </w:pPr>
      <w:r w:rsidRPr="003F0CC9">
        <w:rPr>
          <w:rFonts w:ascii="宋体" w:hAnsi="宋体" w:hint="eastAsia"/>
          <w:kern w:val="0"/>
          <w:szCs w:val="21"/>
        </w:rPr>
        <w:t>基金管理费每日计提，逐日累计至每月月末，按月支付，由基金管理人与基金托管人核对一致后，基金托管人按照与基金管理人协商一致的方式在次月前3个工作日内从基金财产中一次性支付给基金管理人。若遇法定节假日、公休假等，支付日期顺延至最近一个工作日。</w:t>
      </w:r>
    </w:p>
    <w:p w14:paraId="2193CC48" w14:textId="2B4390F2" w:rsidR="004518C1" w:rsidRPr="003F0CC9" w:rsidRDefault="008D33B8">
      <w:pPr>
        <w:adjustRightInd w:val="0"/>
        <w:spacing w:line="360" w:lineRule="auto"/>
        <w:ind w:firstLineChars="200" w:firstLine="420"/>
        <w:contextualSpacing/>
        <w:rPr>
          <w:rFonts w:ascii="宋体" w:hAnsi="宋体"/>
          <w:kern w:val="0"/>
          <w:szCs w:val="21"/>
        </w:rPr>
      </w:pPr>
      <w:r w:rsidRPr="003F0CC9">
        <w:rPr>
          <w:rFonts w:ascii="宋体" w:hAnsi="宋体" w:hint="eastAsia"/>
          <w:kern w:val="0"/>
          <w:szCs w:val="21"/>
        </w:rPr>
        <w:t>基金托管费每日计提，逐日累计至每月月末，按月支付，由基金管理人与基金托管人核对一致后，基金托管人按照与基金管理人协商一致的方式于次月前3个工作日内从基金财产中一次性支取。若遇法定节假日、公休假等，支付日期顺延至最近一个工作日。</w:t>
      </w:r>
    </w:p>
    <w:p w14:paraId="3E10A1F3" w14:textId="5A1C558D" w:rsidR="004518C1" w:rsidRPr="003F0CC9" w:rsidRDefault="008D33B8">
      <w:pPr>
        <w:adjustRightInd w:val="0"/>
        <w:spacing w:line="360" w:lineRule="auto"/>
        <w:ind w:firstLineChars="200" w:firstLine="422"/>
        <w:contextualSpacing/>
        <w:rPr>
          <w:rFonts w:ascii="宋体" w:hAnsi="宋体"/>
          <w:sz w:val="24"/>
        </w:rPr>
      </w:pPr>
      <w:r w:rsidRPr="003F0CC9">
        <w:rPr>
          <w:rFonts w:ascii="宋体" w:hAnsi="宋体" w:hint="eastAsia"/>
          <w:b/>
          <w:szCs w:val="21"/>
        </w:rPr>
        <w:t>（六）</w:t>
      </w:r>
      <w:r w:rsidRPr="003F0CC9">
        <w:rPr>
          <w:rFonts w:ascii="宋体" w:hAnsi="宋体" w:hint="eastAsia"/>
          <w:szCs w:val="21"/>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并及时告知基金管理人。</w:t>
      </w:r>
    </w:p>
    <w:p w14:paraId="1F21BF2C" w14:textId="77777777" w:rsidR="004518C1" w:rsidRPr="003F0CC9" w:rsidRDefault="008D33B8">
      <w:pPr>
        <w:pStyle w:val="1"/>
        <w:adjustRightInd w:val="0"/>
        <w:spacing w:line="360" w:lineRule="auto"/>
        <w:contextualSpacing/>
        <w:jc w:val="center"/>
        <w:rPr>
          <w:sz w:val="30"/>
          <w:szCs w:val="30"/>
        </w:rPr>
      </w:pPr>
      <w:bookmarkStart w:id="162" w:name="_Toc124749947"/>
      <w:bookmarkStart w:id="163" w:name="_Toc125361084"/>
      <w:r w:rsidRPr="003F0CC9">
        <w:rPr>
          <w:sz w:val="30"/>
          <w:szCs w:val="30"/>
        </w:rPr>
        <w:br w:type="page"/>
      </w:r>
      <w:bookmarkStart w:id="164" w:name="_Toc1564322"/>
      <w:r w:rsidRPr="003F0CC9">
        <w:rPr>
          <w:rFonts w:hint="eastAsia"/>
          <w:sz w:val="30"/>
          <w:szCs w:val="30"/>
        </w:rPr>
        <w:lastRenderedPageBreak/>
        <w:t>十二、基金份额持有人名册的保管</w:t>
      </w:r>
      <w:bookmarkEnd w:id="162"/>
      <w:bookmarkEnd w:id="163"/>
      <w:bookmarkEnd w:id="164"/>
    </w:p>
    <w:p w14:paraId="6CAFB0EE"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基金管理人和基金托管人须分别妥善保管的基金份额持有人名册，包括</w:t>
      </w:r>
      <w:r w:rsidRPr="003F0CC9">
        <w:rPr>
          <w:rFonts w:ascii="宋体" w:hAnsi="宋体" w:cs="Arial" w:hint="eastAsia"/>
          <w:szCs w:val="21"/>
        </w:rPr>
        <w:t>《基金合同》生效日、《基金合同》终止日、基金份额持有人大会权益登记日、每年6月30日、12月31日的基金份额持有人名册。</w:t>
      </w:r>
      <w:r w:rsidRPr="003F0CC9">
        <w:rPr>
          <w:rFonts w:ascii="宋体" w:hAnsi="宋体" w:hint="eastAsia"/>
          <w:szCs w:val="21"/>
        </w:rPr>
        <w:t>基金份额持有人名册的内容必须包括基金份额持有人的名称和持有的基金份额。</w:t>
      </w:r>
    </w:p>
    <w:p w14:paraId="2B239246" w14:textId="0C0AE090" w:rsidR="004518C1" w:rsidRPr="003F0CC9" w:rsidRDefault="008D33B8">
      <w:pPr>
        <w:adjustRightInd w:val="0"/>
        <w:spacing w:line="360" w:lineRule="auto"/>
        <w:ind w:firstLineChars="200" w:firstLine="420"/>
        <w:contextualSpacing/>
        <w:rPr>
          <w:rFonts w:ascii="宋体" w:hAnsi="宋体" w:cs="Arial"/>
          <w:szCs w:val="21"/>
        </w:rPr>
      </w:pPr>
      <w:r w:rsidRPr="003F0CC9">
        <w:rPr>
          <w:rFonts w:ascii="宋体" w:hAnsi="宋体" w:hint="eastAsia"/>
          <w:szCs w:val="21"/>
        </w:rPr>
        <w:t>基金份额持有人名册由基金的</w:t>
      </w:r>
      <w:r w:rsidRPr="003F0CC9">
        <w:rPr>
          <w:rFonts w:ascii="宋体" w:hAnsi="宋体" w:cs="Arial" w:hint="eastAsia"/>
          <w:szCs w:val="21"/>
        </w:rPr>
        <w:t>基金登记机构根据基金管理人的指令编制和保管</w:t>
      </w:r>
      <w:r w:rsidRPr="003F0CC9">
        <w:rPr>
          <w:rFonts w:hint="eastAsia"/>
          <w:szCs w:val="21"/>
        </w:rPr>
        <w:t>，基金管理人和基金托管人应按照目前相关规则分别保管基金份额持有人名册。保管方式可以采用电子或文档的形式，保存期限按照法律法规的规定执行。法律</w:t>
      </w:r>
      <w:r w:rsidRPr="003F0CC9">
        <w:rPr>
          <w:szCs w:val="21"/>
        </w:rPr>
        <w:t>法规</w:t>
      </w:r>
      <w:r w:rsidRPr="003F0CC9">
        <w:rPr>
          <w:rFonts w:hint="eastAsia"/>
          <w:szCs w:val="21"/>
        </w:rPr>
        <w:t>或</w:t>
      </w:r>
      <w:r w:rsidRPr="003F0CC9">
        <w:rPr>
          <w:szCs w:val="21"/>
        </w:rPr>
        <w:t>监管规则另有规定的，从其规定。</w:t>
      </w:r>
    </w:p>
    <w:p w14:paraId="0EAF4BFE"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cs="Arial" w:hint="eastAsia"/>
          <w:szCs w:val="21"/>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76030A77" w14:textId="77777777" w:rsidR="004518C1" w:rsidRPr="003F0CC9" w:rsidRDefault="008D33B8">
      <w:pPr>
        <w:adjustRightInd w:val="0"/>
        <w:spacing w:line="360" w:lineRule="auto"/>
        <w:ind w:firstLineChars="200" w:firstLine="420"/>
        <w:contextualSpacing/>
        <w:rPr>
          <w:rFonts w:ascii="宋体" w:hAnsi="宋体" w:cs="Arial"/>
          <w:szCs w:val="21"/>
        </w:rPr>
      </w:pPr>
      <w:r w:rsidRPr="003F0CC9">
        <w:rPr>
          <w:rFonts w:ascii="宋体" w:hAnsi="宋体" w:cs="Arial" w:hint="eastAsia"/>
          <w:szCs w:val="21"/>
        </w:rPr>
        <w:t>基金托管人以电子版形式妥善保管基金份额持有人名册，并定期备份，保存期限按照法律法规的规定执行。基金托管人不得将所保管的基金份额持有人名册用于基金托管业务以外的其他用途，并应遵守保密义务，法律法规另有规定或有权机关、监管机构、一方上市的证券交易所另有要求的除外。</w:t>
      </w:r>
    </w:p>
    <w:p w14:paraId="6DB56419" w14:textId="77777777" w:rsidR="004518C1" w:rsidRPr="003F0CC9" w:rsidRDefault="008D33B8">
      <w:pPr>
        <w:adjustRightInd w:val="0"/>
        <w:spacing w:line="360" w:lineRule="auto"/>
        <w:ind w:firstLineChars="200" w:firstLine="420"/>
        <w:contextualSpacing/>
        <w:rPr>
          <w:rFonts w:ascii="宋体" w:hAnsi="宋体" w:cs="Arial"/>
          <w:szCs w:val="21"/>
        </w:rPr>
      </w:pPr>
      <w:r w:rsidRPr="003F0CC9">
        <w:rPr>
          <w:rFonts w:ascii="宋体" w:hAnsi="宋体" w:cs="Arial" w:hint="eastAsia"/>
          <w:szCs w:val="21"/>
        </w:rPr>
        <w:t>若基金管理人或基金托管人由于自身原因无法妥善保管基金份额持有人名册，应按有关法规规定各自</w:t>
      </w:r>
      <w:r w:rsidRPr="003F0CC9">
        <w:rPr>
          <w:rFonts w:ascii="宋体" w:hAnsi="宋体" w:hint="eastAsia"/>
          <w:szCs w:val="21"/>
        </w:rPr>
        <w:t>承担相应的责任。</w:t>
      </w:r>
    </w:p>
    <w:p w14:paraId="62CE106F" w14:textId="77777777" w:rsidR="004518C1" w:rsidRPr="003F0CC9" w:rsidRDefault="008D33B8">
      <w:pPr>
        <w:pStyle w:val="1"/>
        <w:adjustRightInd w:val="0"/>
        <w:spacing w:line="360" w:lineRule="auto"/>
        <w:contextualSpacing/>
        <w:jc w:val="center"/>
        <w:rPr>
          <w:sz w:val="30"/>
          <w:szCs w:val="30"/>
        </w:rPr>
      </w:pPr>
      <w:bookmarkStart w:id="165" w:name="_Hlt112616834"/>
      <w:bookmarkEnd w:id="165"/>
      <w:r w:rsidRPr="003F0CC9">
        <w:rPr>
          <w:rFonts w:ascii="宋体" w:hAnsi="宋体"/>
          <w:sz w:val="30"/>
          <w:szCs w:val="30"/>
        </w:rPr>
        <w:br w:type="page"/>
      </w:r>
      <w:bookmarkStart w:id="166" w:name="_Toc125361085"/>
      <w:bookmarkStart w:id="167" w:name="_Toc124749948"/>
      <w:bookmarkStart w:id="168" w:name="_Toc1564323"/>
      <w:r w:rsidRPr="003F0CC9">
        <w:rPr>
          <w:rFonts w:hint="eastAsia"/>
          <w:sz w:val="30"/>
          <w:szCs w:val="30"/>
        </w:rPr>
        <w:lastRenderedPageBreak/>
        <w:t>十三、基金有关文件和档案的保存</w:t>
      </w:r>
      <w:bookmarkEnd w:id="166"/>
      <w:bookmarkEnd w:id="167"/>
      <w:bookmarkEnd w:id="168"/>
    </w:p>
    <w:p w14:paraId="16596E2F"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基金托管人按各自职责完整保存原始凭证、记账凭证、基金账册、交易记录和重要合同等，保存期限按照法律法规的规定执行，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7FE4BE36"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基金管理人签署重大合同文本后，应及时将合同文本正本送达基金托管人处。基金管理人应及时将与本基金账务处理、资金划拨等有关的合同、协议传真给基金托管人。</w:t>
      </w:r>
    </w:p>
    <w:p w14:paraId="05622637" w14:textId="18559BBA"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基金管理人或基金托管人变更后，未变更的一方有义务协助接任人接收基金的有关文件。</w:t>
      </w:r>
    </w:p>
    <w:p w14:paraId="2160C48E" w14:textId="77777777" w:rsidR="004518C1" w:rsidRPr="003F0CC9" w:rsidRDefault="004518C1">
      <w:pPr>
        <w:adjustRightInd w:val="0"/>
        <w:spacing w:line="360" w:lineRule="auto"/>
        <w:ind w:firstLineChars="200" w:firstLine="480"/>
        <w:contextualSpacing/>
        <w:rPr>
          <w:rFonts w:ascii="宋体" w:hAnsi="宋体"/>
          <w:sz w:val="24"/>
          <w:szCs w:val="21"/>
        </w:rPr>
      </w:pPr>
    </w:p>
    <w:p w14:paraId="18613462" w14:textId="77777777" w:rsidR="004518C1" w:rsidRPr="003F0CC9" w:rsidRDefault="004518C1">
      <w:pPr>
        <w:adjustRightInd w:val="0"/>
        <w:spacing w:line="360" w:lineRule="auto"/>
        <w:ind w:firstLineChars="200" w:firstLine="480"/>
        <w:contextualSpacing/>
        <w:rPr>
          <w:rFonts w:ascii="宋体" w:hAnsi="宋体"/>
          <w:sz w:val="24"/>
          <w:szCs w:val="21"/>
        </w:rPr>
      </w:pPr>
    </w:p>
    <w:p w14:paraId="6423614D" w14:textId="77777777" w:rsidR="004518C1" w:rsidRPr="003F0CC9" w:rsidRDefault="008D33B8">
      <w:pPr>
        <w:pStyle w:val="1"/>
        <w:adjustRightInd w:val="0"/>
        <w:spacing w:line="360" w:lineRule="auto"/>
        <w:contextualSpacing/>
        <w:jc w:val="center"/>
        <w:rPr>
          <w:sz w:val="30"/>
          <w:szCs w:val="30"/>
        </w:rPr>
      </w:pPr>
      <w:r w:rsidRPr="003F0CC9">
        <w:rPr>
          <w:rFonts w:ascii="宋体" w:hAnsi="宋体"/>
          <w:sz w:val="30"/>
          <w:szCs w:val="30"/>
        </w:rPr>
        <w:br w:type="page"/>
      </w:r>
      <w:bookmarkStart w:id="169" w:name="_Toc123626180"/>
      <w:bookmarkStart w:id="170" w:name="_Toc1564324"/>
      <w:bookmarkStart w:id="171" w:name="_Toc125361086"/>
      <w:bookmarkStart w:id="172" w:name="_Toc124749236"/>
      <w:bookmarkStart w:id="173" w:name="_Toc124749949"/>
      <w:r w:rsidRPr="003F0CC9">
        <w:rPr>
          <w:rFonts w:hint="eastAsia"/>
          <w:sz w:val="30"/>
          <w:szCs w:val="30"/>
        </w:rPr>
        <w:lastRenderedPageBreak/>
        <w:t>十四、基金管理人和基金托管</w:t>
      </w:r>
      <w:bookmarkEnd w:id="169"/>
      <w:r w:rsidRPr="003F0CC9">
        <w:rPr>
          <w:rFonts w:hint="eastAsia"/>
          <w:sz w:val="30"/>
          <w:szCs w:val="30"/>
        </w:rPr>
        <w:t>人的更换</w:t>
      </w:r>
      <w:bookmarkEnd w:id="170"/>
      <w:bookmarkEnd w:id="171"/>
      <w:bookmarkEnd w:id="172"/>
      <w:bookmarkEnd w:id="173"/>
    </w:p>
    <w:p w14:paraId="3C58AEAD" w14:textId="77777777" w:rsidR="004518C1" w:rsidRPr="003F0CC9" w:rsidRDefault="008D33B8">
      <w:pPr>
        <w:pStyle w:val="2"/>
        <w:keepNext w:val="0"/>
        <w:keepLines w:val="0"/>
        <w:autoSpaceDE w:val="0"/>
        <w:autoSpaceDN w:val="0"/>
        <w:adjustRightInd w:val="0"/>
        <w:spacing w:before="0" w:after="0" w:line="360" w:lineRule="auto"/>
        <w:ind w:firstLineChars="147" w:firstLine="310"/>
        <w:contextualSpacing/>
        <w:textAlignment w:val="baseline"/>
        <w:rPr>
          <w:rFonts w:ascii="宋体" w:eastAsia="宋体" w:hAnsi="宋体" w:cs="Arial"/>
          <w:bCs w:val="0"/>
          <w:kern w:val="0"/>
          <w:sz w:val="21"/>
          <w:szCs w:val="21"/>
        </w:rPr>
      </w:pPr>
      <w:bookmarkStart w:id="174" w:name="_Toc48703925"/>
      <w:bookmarkStart w:id="175" w:name="_Toc22454474"/>
      <w:bookmarkStart w:id="176" w:name="_Toc123705485"/>
      <w:bookmarkStart w:id="177" w:name="_Toc57530253"/>
      <w:bookmarkStart w:id="178" w:name="_Toc79392594"/>
      <w:bookmarkStart w:id="179" w:name="_Toc15118246"/>
      <w:r w:rsidRPr="003F0CC9">
        <w:rPr>
          <w:rFonts w:ascii="宋体" w:eastAsia="宋体" w:hAnsi="宋体" w:cs="Arial" w:hint="eastAsia"/>
          <w:bCs w:val="0"/>
          <w:kern w:val="0"/>
          <w:sz w:val="21"/>
          <w:szCs w:val="21"/>
        </w:rPr>
        <w:t>（一）基金管理人的更换</w:t>
      </w:r>
      <w:bookmarkEnd w:id="174"/>
      <w:bookmarkEnd w:id="175"/>
      <w:bookmarkEnd w:id="176"/>
    </w:p>
    <w:p w14:paraId="3131E54F" w14:textId="77777777" w:rsidR="004518C1" w:rsidRPr="003F0CC9" w:rsidRDefault="008D33B8">
      <w:pPr>
        <w:adjustRightInd w:val="0"/>
        <w:spacing w:line="360" w:lineRule="auto"/>
        <w:ind w:firstLineChars="200" w:firstLine="420"/>
        <w:contextualSpacing/>
        <w:rPr>
          <w:rFonts w:ascii="宋体" w:hAnsi="宋体"/>
          <w:szCs w:val="21"/>
        </w:rPr>
      </w:pPr>
      <w:bookmarkStart w:id="180" w:name="_Toc48703926"/>
      <w:bookmarkStart w:id="181" w:name="_Toc22454475"/>
      <w:r w:rsidRPr="003F0CC9">
        <w:rPr>
          <w:rFonts w:ascii="宋体" w:hAnsi="宋体" w:hint="eastAsia"/>
          <w:szCs w:val="21"/>
        </w:rPr>
        <w:t>1、基金管理人的更换条件</w:t>
      </w:r>
      <w:bookmarkEnd w:id="180"/>
      <w:bookmarkEnd w:id="181"/>
    </w:p>
    <w:p w14:paraId="6236E5F5"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有下列情形之一的，</w:t>
      </w:r>
      <w:r w:rsidRPr="003F0CC9">
        <w:rPr>
          <w:rFonts w:hAnsi="宋体"/>
          <w:szCs w:val="21"/>
        </w:rPr>
        <w:t>基金管理人职责终止</w:t>
      </w:r>
      <w:r w:rsidRPr="003F0CC9">
        <w:rPr>
          <w:rFonts w:ascii="宋体" w:hAnsi="宋体" w:hint="eastAsia"/>
          <w:szCs w:val="21"/>
        </w:rPr>
        <w:t>：</w:t>
      </w:r>
    </w:p>
    <w:p w14:paraId="6F20D52C" w14:textId="2743F6E1"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 被依法取消基金管理资格；</w:t>
      </w:r>
      <w:bookmarkStart w:id="182" w:name="_Hlt80887029"/>
      <w:bookmarkEnd w:id="182"/>
    </w:p>
    <w:p w14:paraId="599EEBC6"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 被基金份额持有人大会解任</w:t>
      </w:r>
      <w:r w:rsidRPr="003F0CC9">
        <w:rPr>
          <w:rFonts w:ascii="宋体" w:hAnsi="宋体"/>
          <w:szCs w:val="21"/>
        </w:rPr>
        <w:t>；</w:t>
      </w:r>
    </w:p>
    <w:p w14:paraId="40C7EF42"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(3) 依法解散、被依法撤销或被依法宣告破产</w:t>
      </w:r>
      <w:r w:rsidRPr="003F0CC9">
        <w:rPr>
          <w:rFonts w:ascii="宋体" w:hAnsi="宋体"/>
          <w:szCs w:val="21"/>
        </w:rPr>
        <w:t>；</w:t>
      </w:r>
    </w:p>
    <w:p w14:paraId="51329922" w14:textId="7562D413"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(4) 法律法规</w:t>
      </w:r>
      <w:r w:rsidRPr="003F0CC9">
        <w:rPr>
          <w:bCs/>
          <w:szCs w:val="21"/>
        </w:rPr>
        <w:t>及中国证监会规定的</w:t>
      </w:r>
      <w:r w:rsidRPr="003F0CC9">
        <w:rPr>
          <w:rFonts w:ascii="宋体" w:hAnsi="宋体" w:hint="eastAsia"/>
          <w:szCs w:val="21"/>
        </w:rPr>
        <w:t>和《基金合同》约定的其他情形。</w:t>
      </w:r>
    </w:p>
    <w:p w14:paraId="5CE977D5" w14:textId="77777777" w:rsidR="004518C1" w:rsidRPr="003F0CC9" w:rsidRDefault="008D33B8">
      <w:pPr>
        <w:adjustRightInd w:val="0"/>
        <w:spacing w:line="360" w:lineRule="auto"/>
        <w:ind w:firstLineChars="200" w:firstLine="420"/>
        <w:contextualSpacing/>
        <w:rPr>
          <w:rFonts w:ascii="宋体" w:hAnsi="宋体"/>
          <w:szCs w:val="21"/>
        </w:rPr>
      </w:pPr>
      <w:bookmarkStart w:id="183" w:name="_Toc22454476"/>
      <w:bookmarkStart w:id="184" w:name="_Toc48703927"/>
      <w:r w:rsidRPr="003F0CC9">
        <w:rPr>
          <w:rFonts w:ascii="宋体" w:hAnsi="宋体" w:hint="eastAsia"/>
          <w:szCs w:val="21"/>
        </w:rPr>
        <w:t>2、更换基金管理人的程序</w:t>
      </w:r>
      <w:bookmarkEnd w:id="183"/>
      <w:bookmarkEnd w:id="184"/>
    </w:p>
    <w:p w14:paraId="03A71E31"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（1）提名：新任基金管理人由基金托管人或由单独或合计持有10%以上（含10%）基金份额的基金份额持有人提名；</w:t>
      </w:r>
    </w:p>
    <w:p w14:paraId="3D3E0249"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（2）决议：基金份额持有人大会在基金管理人职责终止后6个月内对被提名的基金管理人形成决议，该决议需经参加大会的基金份额持有人所持表决权的三分之二以上（含三分之二）表决通过，决议</w:t>
      </w:r>
      <w:r w:rsidRPr="003F0CC9">
        <w:rPr>
          <w:rFonts w:ascii="宋体" w:hAnsi="宋体"/>
          <w:szCs w:val="21"/>
        </w:rPr>
        <w:t>自表决通过之日起生效</w:t>
      </w:r>
      <w:r w:rsidRPr="003F0CC9">
        <w:rPr>
          <w:rFonts w:ascii="宋体" w:hAnsi="宋体" w:hint="eastAsia"/>
          <w:szCs w:val="21"/>
        </w:rPr>
        <w:t>；</w:t>
      </w:r>
    </w:p>
    <w:p w14:paraId="0EEA851C"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（3）临时基金管理人：新任基金管理人产生之前，由中国证监会指定临时基金管理人；</w:t>
      </w:r>
    </w:p>
    <w:p w14:paraId="56014DCD"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（4）</w:t>
      </w:r>
      <w:r w:rsidRPr="003F0CC9">
        <w:rPr>
          <w:rFonts w:hint="eastAsia"/>
          <w:bCs/>
          <w:szCs w:val="21"/>
        </w:rPr>
        <w:t>备案</w:t>
      </w:r>
      <w:r w:rsidRPr="003F0CC9">
        <w:rPr>
          <w:bCs/>
          <w:szCs w:val="21"/>
        </w:rPr>
        <w:t>：</w:t>
      </w:r>
      <w:r w:rsidRPr="003F0CC9">
        <w:rPr>
          <w:rFonts w:hint="eastAsia"/>
          <w:bCs/>
          <w:szCs w:val="21"/>
        </w:rPr>
        <w:t>基金份额持有人大会更换基金管理人的决议须报中国证监会备案</w:t>
      </w:r>
      <w:r w:rsidRPr="003F0CC9">
        <w:rPr>
          <w:bCs/>
          <w:szCs w:val="21"/>
        </w:rPr>
        <w:t>；</w:t>
      </w:r>
    </w:p>
    <w:p w14:paraId="0B128805"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（5）公告：基金管理人更换后，由基金托管人在更换基金管理人的基金份额持有人大会决议生效后2日内在规定媒介公告；</w:t>
      </w:r>
    </w:p>
    <w:p w14:paraId="60F8D36C" w14:textId="43754073" w:rsidR="004518C1" w:rsidRPr="003F0CC9" w:rsidRDefault="008D33B8">
      <w:pPr>
        <w:adjustRightInd w:val="0"/>
        <w:spacing w:line="360" w:lineRule="auto"/>
        <w:ind w:firstLineChars="200" w:firstLine="420"/>
        <w:contextualSpacing/>
        <w:rPr>
          <w:rFonts w:ascii="宋体" w:hAnsi="宋体"/>
          <w:szCs w:val="21"/>
        </w:rPr>
      </w:pPr>
      <w:r w:rsidRPr="003F0CC9">
        <w:rPr>
          <w:rFonts w:hint="eastAsia"/>
          <w:bCs/>
          <w:szCs w:val="21"/>
        </w:rPr>
        <w:t>（</w:t>
      </w:r>
      <w:r w:rsidRPr="003F0CC9">
        <w:rPr>
          <w:bCs/>
          <w:szCs w:val="21"/>
        </w:rPr>
        <w:t>6</w:t>
      </w:r>
      <w:r w:rsidRPr="003F0CC9">
        <w:rPr>
          <w:rFonts w:hint="eastAsia"/>
          <w:bCs/>
          <w:szCs w:val="21"/>
        </w:rPr>
        <w:t>）</w:t>
      </w:r>
      <w:r w:rsidRPr="003F0CC9">
        <w:rPr>
          <w:bCs/>
          <w:szCs w:val="21"/>
        </w:rPr>
        <w:t>交接：</w:t>
      </w:r>
      <w:r w:rsidRPr="003F0CC9">
        <w:rPr>
          <w:rFonts w:hint="eastAsia"/>
          <w:bCs/>
          <w:szCs w:val="21"/>
        </w:rPr>
        <w:t>原任基金管理人职责终止的，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基金资产净值</w:t>
      </w:r>
      <w:r w:rsidRPr="003F0CC9">
        <w:rPr>
          <w:rFonts w:ascii="宋体" w:hAnsi="宋体"/>
          <w:szCs w:val="21"/>
        </w:rPr>
        <w:t>；</w:t>
      </w:r>
    </w:p>
    <w:p w14:paraId="44D3CB7F" w14:textId="0A137A8C"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（7）审计：</w:t>
      </w:r>
      <w:r w:rsidRPr="003F0CC9">
        <w:rPr>
          <w:rFonts w:hint="eastAsia"/>
          <w:bCs/>
          <w:szCs w:val="21"/>
        </w:rPr>
        <w:t>原任基金管理人职责终止的，应当按照法律法规规定聘请会计师事务所对基金财产进行审计，并将审计结果予以公告，同时报中国证监会备案。审计费用在基金财产中列支</w:t>
      </w:r>
      <w:r w:rsidRPr="003F0CC9">
        <w:rPr>
          <w:rFonts w:ascii="宋体" w:hAnsi="宋体" w:hint="eastAsia"/>
          <w:szCs w:val="21"/>
        </w:rPr>
        <w:t>；</w:t>
      </w:r>
    </w:p>
    <w:p w14:paraId="0C32AB3F"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（8）基金名称变更：基金管理人更换后，如果原任或新任基金管理人要求，应按其要求替换或删除基金名称中与原任基金管理人有关的名称字样。</w:t>
      </w:r>
    </w:p>
    <w:p w14:paraId="0EE036C7" w14:textId="77777777" w:rsidR="004518C1" w:rsidRPr="003F0CC9" w:rsidRDefault="008D33B8">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cs="Arial"/>
          <w:bCs w:val="0"/>
          <w:kern w:val="0"/>
          <w:sz w:val="21"/>
          <w:szCs w:val="21"/>
        </w:rPr>
      </w:pPr>
      <w:bookmarkStart w:id="185" w:name="_Toc22454471"/>
      <w:bookmarkStart w:id="186" w:name="_Toc48703922"/>
      <w:bookmarkStart w:id="187" w:name="_Toc123705486"/>
      <w:r w:rsidRPr="003F0CC9">
        <w:rPr>
          <w:rFonts w:ascii="宋体" w:eastAsia="宋体" w:hAnsi="宋体" w:cs="Arial" w:hint="eastAsia"/>
          <w:bCs w:val="0"/>
          <w:kern w:val="0"/>
          <w:sz w:val="21"/>
          <w:szCs w:val="21"/>
        </w:rPr>
        <w:t>（二）基金托管人的更换</w:t>
      </w:r>
      <w:bookmarkEnd w:id="185"/>
      <w:bookmarkEnd w:id="186"/>
      <w:bookmarkEnd w:id="187"/>
    </w:p>
    <w:p w14:paraId="4AA22E2F" w14:textId="77777777" w:rsidR="004518C1" w:rsidRPr="003F0CC9" w:rsidRDefault="008D33B8">
      <w:pPr>
        <w:adjustRightInd w:val="0"/>
        <w:spacing w:line="360" w:lineRule="auto"/>
        <w:ind w:firstLineChars="200" w:firstLine="420"/>
        <w:contextualSpacing/>
        <w:rPr>
          <w:rFonts w:ascii="宋体" w:hAnsi="宋体"/>
          <w:szCs w:val="21"/>
        </w:rPr>
      </w:pPr>
      <w:bookmarkStart w:id="188" w:name="_Toc22454472"/>
      <w:bookmarkStart w:id="189" w:name="_Toc48703923"/>
      <w:r w:rsidRPr="003F0CC9">
        <w:rPr>
          <w:rFonts w:ascii="宋体" w:hAnsi="宋体" w:hint="eastAsia"/>
          <w:szCs w:val="21"/>
        </w:rPr>
        <w:t>1、基金托管人的更换条件</w:t>
      </w:r>
      <w:bookmarkEnd w:id="188"/>
      <w:bookmarkEnd w:id="189"/>
    </w:p>
    <w:p w14:paraId="4AD29C43"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lastRenderedPageBreak/>
        <w:t>有下列情形之一的，基金托管人职责终止：</w:t>
      </w:r>
    </w:p>
    <w:p w14:paraId="0CC1925B" w14:textId="28510402"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 被依法取消基金托管资格；</w:t>
      </w:r>
    </w:p>
    <w:p w14:paraId="791862A1"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 被基金份额持有人大会解任</w:t>
      </w:r>
      <w:r w:rsidRPr="003F0CC9">
        <w:rPr>
          <w:rFonts w:ascii="宋体" w:hAnsi="宋体"/>
          <w:szCs w:val="21"/>
        </w:rPr>
        <w:t>；</w:t>
      </w:r>
    </w:p>
    <w:p w14:paraId="378CB5D2"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(3) 依法解散、被依法撤销或被依法宣告破产</w:t>
      </w:r>
      <w:r w:rsidRPr="003F0CC9">
        <w:rPr>
          <w:rFonts w:ascii="宋体" w:hAnsi="宋体"/>
          <w:szCs w:val="21"/>
        </w:rPr>
        <w:t>；</w:t>
      </w:r>
    </w:p>
    <w:p w14:paraId="2C281288" w14:textId="5451930A"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(4) 法律法规及中国证监会规定的和《基金合同》约定的其他情形。</w:t>
      </w:r>
    </w:p>
    <w:p w14:paraId="185BABB3" w14:textId="77777777" w:rsidR="004518C1" w:rsidRPr="003F0CC9" w:rsidRDefault="008D33B8">
      <w:pPr>
        <w:adjustRightInd w:val="0"/>
        <w:spacing w:line="360" w:lineRule="auto"/>
        <w:ind w:firstLineChars="200" w:firstLine="420"/>
        <w:contextualSpacing/>
        <w:rPr>
          <w:rFonts w:ascii="宋体" w:hAnsi="宋体"/>
          <w:szCs w:val="21"/>
        </w:rPr>
      </w:pPr>
      <w:bookmarkStart w:id="190" w:name="_Toc48703924"/>
      <w:bookmarkStart w:id="191" w:name="_Toc22454473"/>
      <w:r w:rsidRPr="003F0CC9">
        <w:rPr>
          <w:rFonts w:ascii="宋体" w:hAnsi="宋体" w:hint="eastAsia"/>
          <w:szCs w:val="21"/>
        </w:rPr>
        <w:t>2、更换基金托管人的程序</w:t>
      </w:r>
      <w:bookmarkEnd w:id="190"/>
      <w:bookmarkEnd w:id="191"/>
    </w:p>
    <w:p w14:paraId="0FD69FA9"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（1）提名：新任基金托管人由基金管理人或由单独或合计持有10%以上（含10%）基金份额的基金份额持有人提名；</w:t>
      </w:r>
    </w:p>
    <w:p w14:paraId="37B7E1A0"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（2）决议：基金份额持有人大会在基金托管人职责终止后6个月内对被提名的基金托管人形成决议，该决议需经参加大会的基金份额持有人所持表决权的三分之二以上（含三分之二）表决通过，决议</w:t>
      </w:r>
      <w:r w:rsidRPr="003F0CC9">
        <w:rPr>
          <w:rFonts w:ascii="宋体" w:hAnsi="宋体"/>
          <w:szCs w:val="21"/>
        </w:rPr>
        <w:t>自表决通过之日起</w:t>
      </w:r>
      <w:r w:rsidRPr="003F0CC9">
        <w:rPr>
          <w:rFonts w:ascii="宋体" w:hAnsi="宋体" w:hint="eastAsia"/>
          <w:szCs w:val="21"/>
        </w:rPr>
        <w:t>生效；</w:t>
      </w:r>
    </w:p>
    <w:p w14:paraId="245778B0"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（3）临时基金托管人：新任基金托管人产生之前，由中国证监会指定临时基金托管人；</w:t>
      </w:r>
    </w:p>
    <w:p w14:paraId="4ABDCF4E"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（4）</w:t>
      </w:r>
      <w:r w:rsidRPr="003F0CC9">
        <w:rPr>
          <w:rFonts w:hint="eastAsia"/>
          <w:bCs/>
          <w:szCs w:val="21"/>
        </w:rPr>
        <w:t>备案</w:t>
      </w:r>
      <w:r w:rsidRPr="003F0CC9">
        <w:rPr>
          <w:bCs/>
          <w:szCs w:val="21"/>
        </w:rPr>
        <w:t>：</w:t>
      </w:r>
      <w:r w:rsidRPr="003F0CC9">
        <w:rPr>
          <w:rFonts w:hint="eastAsia"/>
          <w:bCs/>
          <w:szCs w:val="21"/>
        </w:rPr>
        <w:t>基金份额持有人大会更换基金托管人的决议须报中国证监会备案</w:t>
      </w:r>
      <w:r w:rsidRPr="003F0CC9">
        <w:rPr>
          <w:bCs/>
          <w:szCs w:val="21"/>
        </w:rPr>
        <w:t>；</w:t>
      </w:r>
    </w:p>
    <w:p w14:paraId="6EC6B53B"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（5）公告：基金托管人更换后，由基金管理人在更换基金托管人的基金份额持有人大会决议生效后2日内在规定媒介公告；</w:t>
      </w:r>
    </w:p>
    <w:p w14:paraId="582386BA" w14:textId="52F2869A" w:rsidR="004518C1" w:rsidRPr="003F0CC9" w:rsidRDefault="008D33B8">
      <w:pPr>
        <w:adjustRightInd w:val="0"/>
        <w:spacing w:line="360" w:lineRule="auto"/>
        <w:ind w:firstLineChars="200" w:firstLine="420"/>
        <w:contextualSpacing/>
        <w:rPr>
          <w:rFonts w:ascii="宋体" w:hAnsi="宋体"/>
          <w:szCs w:val="21"/>
        </w:rPr>
      </w:pPr>
      <w:r w:rsidRPr="003F0CC9">
        <w:rPr>
          <w:rFonts w:hint="eastAsia"/>
          <w:bCs/>
          <w:szCs w:val="21"/>
        </w:rPr>
        <w:t>（</w:t>
      </w:r>
      <w:r w:rsidRPr="003F0CC9">
        <w:rPr>
          <w:rFonts w:hint="eastAsia"/>
          <w:bCs/>
          <w:szCs w:val="21"/>
        </w:rPr>
        <w:t>6</w:t>
      </w:r>
      <w:r w:rsidRPr="003F0CC9">
        <w:rPr>
          <w:rFonts w:hint="eastAsia"/>
          <w:bCs/>
          <w:szCs w:val="21"/>
        </w:rPr>
        <w:t>）</w:t>
      </w:r>
      <w:r w:rsidRPr="003F0CC9">
        <w:rPr>
          <w:bCs/>
          <w:szCs w:val="21"/>
        </w:rPr>
        <w:t>交接：</w:t>
      </w:r>
      <w:r w:rsidRPr="003F0CC9">
        <w:rPr>
          <w:rFonts w:ascii="宋体" w:hAnsi="宋体" w:hint="eastAsia"/>
          <w:szCs w:val="21"/>
        </w:rPr>
        <w:t>原任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基金资产净值；</w:t>
      </w:r>
    </w:p>
    <w:p w14:paraId="65F475CB" w14:textId="55DF41E3"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（7）审计：原任基金托管人职责终止的，应当按照法律法规规定聘请会计师事务所对基金财产进行审计，并将审计结果予以公告，同时报中国证监会备案。审计费用在基金财产中列支。</w:t>
      </w:r>
    </w:p>
    <w:p w14:paraId="6E57DFFC" w14:textId="70EF9048" w:rsidR="004518C1" w:rsidRPr="003F0CC9" w:rsidRDefault="008D33B8">
      <w:pPr>
        <w:adjustRightInd w:val="0"/>
        <w:spacing w:line="360" w:lineRule="auto"/>
        <w:ind w:firstLineChars="200" w:firstLine="422"/>
        <w:contextualSpacing/>
        <w:rPr>
          <w:rFonts w:ascii="宋体" w:hAnsi="宋体"/>
          <w:b/>
          <w:bCs/>
          <w:szCs w:val="21"/>
        </w:rPr>
      </w:pPr>
      <w:r w:rsidRPr="003F0CC9">
        <w:rPr>
          <w:rFonts w:ascii="宋体" w:hAnsi="宋体" w:hint="eastAsia"/>
          <w:b/>
          <w:bCs/>
          <w:szCs w:val="21"/>
        </w:rPr>
        <w:t>（三）基金管理人和基金托管人的同时更换程序</w:t>
      </w:r>
    </w:p>
    <w:p w14:paraId="3C38AE53"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（1）提名：如果基金管理人和基金托管人同时更换，由单独或合计持有基金总份额10%以上（含10%）的基金份额持有人提名新的基金管理人和基金托管人；</w:t>
      </w:r>
    </w:p>
    <w:p w14:paraId="65846FA8"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（2）基金管理人和基金托管人的更换分别按上述程序进行；</w:t>
      </w:r>
    </w:p>
    <w:p w14:paraId="24BC6124" w14:textId="77777777" w:rsidR="004518C1" w:rsidRPr="003F0CC9" w:rsidRDefault="008D33B8">
      <w:pPr>
        <w:spacing w:line="360" w:lineRule="auto"/>
        <w:ind w:firstLineChars="200" w:firstLine="420"/>
        <w:rPr>
          <w:rFonts w:ascii="宋体" w:hAnsi="宋体"/>
          <w:szCs w:val="21"/>
        </w:rPr>
      </w:pPr>
      <w:r w:rsidRPr="003F0CC9">
        <w:rPr>
          <w:rFonts w:ascii="宋体" w:hAnsi="宋体" w:hint="eastAsia"/>
          <w:szCs w:val="21"/>
        </w:rPr>
        <w:t>（3）公告：新任基金管理人和新任基金托管人应在更换基金管理人和基金托管人的基金份额持有人大会决议生效后2日内在规定媒介上联合公告。</w:t>
      </w:r>
    </w:p>
    <w:p w14:paraId="6D1FDF5B" w14:textId="5A2CA57E" w:rsidR="004518C1" w:rsidRPr="003F0CC9" w:rsidRDefault="008D33B8">
      <w:pPr>
        <w:spacing w:line="360" w:lineRule="auto"/>
        <w:ind w:firstLineChars="200" w:firstLine="420"/>
        <w:rPr>
          <w:bCs/>
          <w:szCs w:val="21"/>
        </w:rPr>
      </w:pPr>
      <w:r w:rsidRPr="003F0CC9">
        <w:rPr>
          <w:rFonts w:hint="eastAsia"/>
          <w:bCs/>
          <w:szCs w:val="21"/>
        </w:rPr>
        <w:t>（四）新任基金管理人或临时基金管理人接收基金管理业务，或新任基金托管人或临时基金托管人接收基金财产和基金托管业务前，原任基金管理人或原任基金托管人应继续履行</w:t>
      </w:r>
      <w:r w:rsidRPr="003F0CC9">
        <w:rPr>
          <w:rFonts w:hint="eastAsia"/>
          <w:bCs/>
          <w:szCs w:val="21"/>
        </w:rPr>
        <w:lastRenderedPageBreak/>
        <w:t>相关职责，并保证不做出对基金份额持有人的合法利益造成损害的行为。原任基金管理人或原任基金托管人在继续履行相关职责期间，仍有权按照基金合同的规定收取基金管理费或基金托管费。</w:t>
      </w:r>
    </w:p>
    <w:p w14:paraId="7AC8989F" w14:textId="00448D9B" w:rsidR="004518C1" w:rsidRPr="003F0CC9" w:rsidRDefault="008D33B8">
      <w:pPr>
        <w:adjustRightInd w:val="0"/>
        <w:spacing w:line="360" w:lineRule="auto"/>
        <w:ind w:firstLineChars="225" w:firstLine="473"/>
        <w:contextualSpacing/>
        <w:rPr>
          <w:rFonts w:ascii="宋体" w:hAnsi="宋体"/>
          <w:bCs/>
          <w:sz w:val="24"/>
          <w:szCs w:val="21"/>
        </w:rPr>
      </w:pPr>
      <w:r w:rsidRPr="003F0CC9">
        <w:rPr>
          <w:rFonts w:hint="eastAsia"/>
          <w:bCs/>
          <w:szCs w:val="21"/>
        </w:rPr>
        <w:t>（五）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C94019F" w14:textId="77777777" w:rsidR="004518C1" w:rsidRPr="003F0CC9" w:rsidRDefault="004518C1">
      <w:pPr>
        <w:adjustRightInd w:val="0"/>
        <w:spacing w:line="360" w:lineRule="auto"/>
        <w:ind w:firstLineChars="225" w:firstLine="540"/>
        <w:contextualSpacing/>
        <w:rPr>
          <w:rFonts w:ascii="宋体" w:hAnsi="宋体"/>
          <w:bCs/>
          <w:sz w:val="24"/>
          <w:szCs w:val="21"/>
        </w:rPr>
      </w:pPr>
    </w:p>
    <w:p w14:paraId="550F2653" w14:textId="77777777" w:rsidR="004518C1" w:rsidRPr="003F0CC9" w:rsidRDefault="004518C1">
      <w:pPr>
        <w:adjustRightInd w:val="0"/>
        <w:spacing w:line="360" w:lineRule="auto"/>
        <w:ind w:firstLineChars="225" w:firstLine="540"/>
        <w:contextualSpacing/>
        <w:rPr>
          <w:rFonts w:ascii="宋体" w:hAnsi="宋体"/>
          <w:sz w:val="24"/>
        </w:rPr>
      </w:pPr>
    </w:p>
    <w:p w14:paraId="413E17D7" w14:textId="77777777" w:rsidR="004518C1" w:rsidRPr="003F0CC9" w:rsidRDefault="008D33B8">
      <w:pPr>
        <w:pStyle w:val="1"/>
        <w:adjustRightInd w:val="0"/>
        <w:spacing w:line="360" w:lineRule="auto"/>
        <w:contextualSpacing/>
        <w:jc w:val="center"/>
        <w:rPr>
          <w:sz w:val="30"/>
          <w:szCs w:val="30"/>
        </w:rPr>
      </w:pPr>
      <w:bookmarkStart w:id="192" w:name="_Toc124749237"/>
      <w:bookmarkStart w:id="193" w:name="_Toc124749950"/>
      <w:bookmarkStart w:id="194" w:name="_Toc125361087"/>
      <w:bookmarkStart w:id="195" w:name="_Toc123626181"/>
      <w:bookmarkEnd w:id="177"/>
      <w:bookmarkEnd w:id="178"/>
      <w:bookmarkEnd w:id="179"/>
      <w:r w:rsidRPr="003F0CC9">
        <w:rPr>
          <w:sz w:val="30"/>
          <w:szCs w:val="30"/>
        </w:rPr>
        <w:br w:type="page"/>
      </w:r>
      <w:bookmarkStart w:id="196" w:name="_Toc1564325"/>
      <w:r w:rsidRPr="003F0CC9">
        <w:rPr>
          <w:rFonts w:hint="eastAsia"/>
          <w:sz w:val="30"/>
          <w:szCs w:val="30"/>
        </w:rPr>
        <w:lastRenderedPageBreak/>
        <w:t>十五、禁止行为</w:t>
      </w:r>
      <w:bookmarkEnd w:id="192"/>
      <w:bookmarkEnd w:id="193"/>
      <w:bookmarkEnd w:id="194"/>
      <w:bookmarkEnd w:id="195"/>
      <w:bookmarkEnd w:id="196"/>
    </w:p>
    <w:p w14:paraId="06257D35"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1、基金管理人不得从事《基金法》规定禁止的任一行为。</w:t>
      </w:r>
    </w:p>
    <w:p w14:paraId="67411585"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2、基金托管人不得从事《基金法》规定禁止的任一行为。</w:t>
      </w:r>
    </w:p>
    <w:p w14:paraId="46E38328"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3、除非法律法规及中国证监会另有规定，本协议当事人不得用基金财产从事《基金法》规定禁止的投资或活动。</w:t>
      </w:r>
    </w:p>
    <w:p w14:paraId="212B6854"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4、除《基金法》、《基金合同》及中国证监会另有规定，基金管理人、基金托管人不得利用基金财产为自身和任何第三人谋取非法利益。</w:t>
      </w:r>
    </w:p>
    <w:p w14:paraId="194E2D58"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5、基金管理人与基金托管人对基金经营过程中任何尚未按基金法规规定的方式公开披露的信息，不得违反本协议约定对他人泄露。</w:t>
      </w:r>
    </w:p>
    <w:p w14:paraId="672E3FBD"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6、基金托管人对基金管理人的正当指令不得拖延和拒绝执行。</w:t>
      </w:r>
    </w:p>
    <w:p w14:paraId="74502D65"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7、除根据基金管理人指令或《基金合同》另有规定的，基金托管人不得动用或处分基金财产。</w:t>
      </w:r>
    </w:p>
    <w:p w14:paraId="42EA5F92"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8、基金托管人、基金管理人的高级管理人员和其他从业人员不得相互兼职。</w:t>
      </w:r>
    </w:p>
    <w:p w14:paraId="346142D3"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9、基金管理人不得从事《基金合同》投资限制中禁止投资的行为。</w:t>
      </w:r>
    </w:p>
    <w:p w14:paraId="124D69E1"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10、本协议当事人不得从事法律法规、中国证监会、《基金合同》和本协议禁止的其他行为。</w:t>
      </w:r>
    </w:p>
    <w:p w14:paraId="3EE38C51"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法律、行政法规和监管部门取消或</w:t>
      </w:r>
      <w:r w:rsidRPr="003F0CC9">
        <w:rPr>
          <w:rFonts w:ascii="宋体" w:hAnsi="宋体"/>
          <w:szCs w:val="21"/>
        </w:rPr>
        <w:t>变更</w:t>
      </w:r>
      <w:r w:rsidRPr="003F0CC9">
        <w:rPr>
          <w:rFonts w:ascii="宋体" w:hAnsi="宋体" w:hint="eastAsia"/>
          <w:szCs w:val="21"/>
        </w:rPr>
        <w:t>上述禁止性规定的，在</w:t>
      </w:r>
      <w:r w:rsidRPr="003F0CC9">
        <w:rPr>
          <w:rFonts w:ascii="宋体" w:hAnsi="宋体"/>
          <w:szCs w:val="21"/>
        </w:rPr>
        <w:t>履行适当程序后，</w:t>
      </w:r>
      <w:r w:rsidRPr="003F0CC9">
        <w:rPr>
          <w:rFonts w:ascii="宋体" w:hAnsi="宋体" w:hint="eastAsia"/>
          <w:szCs w:val="21"/>
        </w:rPr>
        <w:t>则本基金不受上述相关限制或</w:t>
      </w:r>
      <w:r w:rsidRPr="003F0CC9">
        <w:rPr>
          <w:rFonts w:ascii="宋体" w:hAnsi="宋体"/>
          <w:szCs w:val="21"/>
        </w:rPr>
        <w:t>按变更后的规定执行</w:t>
      </w:r>
      <w:r w:rsidRPr="003F0CC9">
        <w:rPr>
          <w:rFonts w:ascii="宋体" w:hAnsi="宋体" w:hint="eastAsia"/>
          <w:szCs w:val="21"/>
        </w:rPr>
        <w:t>。</w:t>
      </w:r>
    </w:p>
    <w:p w14:paraId="3A8AE661" w14:textId="77777777" w:rsidR="004518C1" w:rsidRPr="003F0CC9" w:rsidRDefault="004518C1">
      <w:pPr>
        <w:adjustRightInd w:val="0"/>
        <w:spacing w:line="360" w:lineRule="auto"/>
        <w:ind w:firstLineChars="200" w:firstLine="480"/>
        <w:contextualSpacing/>
        <w:rPr>
          <w:rFonts w:ascii="宋体" w:hAnsi="宋体"/>
          <w:sz w:val="24"/>
        </w:rPr>
      </w:pPr>
    </w:p>
    <w:p w14:paraId="7DB4E0BD" w14:textId="77777777" w:rsidR="004518C1" w:rsidRPr="003F0CC9" w:rsidRDefault="004518C1">
      <w:pPr>
        <w:adjustRightInd w:val="0"/>
        <w:spacing w:line="360" w:lineRule="auto"/>
        <w:ind w:firstLineChars="200" w:firstLine="480"/>
        <w:contextualSpacing/>
        <w:rPr>
          <w:rFonts w:ascii="宋体" w:hAnsi="宋体"/>
          <w:sz w:val="24"/>
        </w:rPr>
      </w:pPr>
    </w:p>
    <w:p w14:paraId="1F1EBA22" w14:textId="77777777" w:rsidR="004518C1" w:rsidRPr="003F0CC9" w:rsidRDefault="004518C1">
      <w:pPr>
        <w:adjustRightInd w:val="0"/>
        <w:spacing w:line="360" w:lineRule="auto"/>
        <w:ind w:firstLineChars="200" w:firstLine="480"/>
        <w:contextualSpacing/>
        <w:rPr>
          <w:rFonts w:ascii="宋体" w:hAnsi="宋体"/>
          <w:sz w:val="24"/>
        </w:rPr>
      </w:pPr>
    </w:p>
    <w:p w14:paraId="78D76D69" w14:textId="77777777" w:rsidR="004518C1" w:rsidRPr="003F0CC9" w:rsidRDefault="004518C1">
      <w:pPr>
        <w:adjustRightInd w:val="0"/>
        <w:spacing w:line="360" w:lineRule="auto"/>
        <w:ind w:firstLineChars="200" w:firstLine="480"/>
        <w:contextualSpacing/>
        <w:rPr>
          <w:rFonts w:ascii="宋体" w:hAnsi="宋体"/>
          <w:sz w:val="24"/>
        </w:rPr>
      </w:pPr>
    </w:p>
    <w:p w14:paraId="7B8D44C9" w14:textId="77777777" w:rsidR="004518C1" w:rsidRPr="003F0CC9" w:rsidRDefault="008D33B8">
      <w:pPr>
        <w:pStyle w:val="1"/>
        <w:adjustRightInd w:val="0"/>
        <w:spacing w:line="360" w:lineRule="auto"/>
        <w:contextualSpacing/>
        <w:jc w:val="center"/>
        <w:rPr>
          <w:sz w:val="30"/>
          <w:szCs w:val="30"/>
        </w:rPr>
      </w:pPr>
      <w:r w:rsidRPr="003F0CC9">
        <w:rPr>
          <w:rFonts w:ascii="宋体" w:hAnsi="宋体"/>
          <w:sz w:val="30"/>
          <w:szCs w:val="30"/>
        </w:rPr>
        <w:br w:type="page"/>
      </w:r>
      <w:bookmarkStart w:id="197" w:name="_Toc125361088"/>
      <w:bookmarkStart w:id="198" w:name="_Toc1564326"/>
      <w:bookmarkStart w:id="199" w:name="_Toc124749238"/>
      <w:bookmarkStart w:id="200" w:name="_Toc124749951"/>
      <w:bookmarkStart w:id="201" w:name="_Toc123626182"/>
      <w:r w:rsidRPr="003F0CC9">
        <w:rPr>
          <w:rFonts w:hint="eastAsia"/>
          <w:sz w:val="30"/>
          <w:szCs w:val="30"/>
        </w:rPr>
        <w:lastRenderedPageBreak/>
        <w:t>十六、基金托管协议的变更、终止与基金财产的清算</w:t>
      </w:r>
      <w:bookmarkEnd w:id="197"/>
      <w:bookmarkEnd w:id="198"/>
      <w:bookmarkEnd w:id="199"/>
      <w:bookmarkEnd w:id="200"/>
      <w:bookmarkEnd w:id="201"/>
    </w:p>
    <w:p w14:paraId="7594C5BB" w14:textId="77777777" w:rsidR="004518C1" w:rsidRPr="003F0CC9" w:rsidRDefault="008D33B8">
      <w:pPr>
        <w:adjustRightInd w:val="0"/>
        <w:spacing w:line="360" w:lineRule="auto"/>
        <w:ind w:firstLineChars="200" w:firstLine="422"/>
        <w:contextualSpacing/>
        <w:rPr>
          <w:rFonts w:ascii="宋体" w:hAnsi="宋体"/>
          <w:b/>
          <w:szCs w:val="21"/>
        </w:rPr>
      </w:pPr>
      <w:r w:rsidRPr="003F0CC9">
        <w:rPr>
          <w:rFonts w:ascii="宋体" w:hAnsi="宋体" w:hint="eastAsia"/>
          <w:b/>
          <w:szCs w:val="21"/>
        </w:rPr>
        <w:t>（一）托管协议的变更与终止</w:t>
      </w:r>
    </w:p>
    <w:p w14:paraId="67729ABB"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1、托管协议的变更程序</w:t>
      </w:r>
    </w:p>
    <w:p w14:paraId="32A6E541" w14:textId="77777777" w:rsidR="004518C1" w:rsidRPr="003F0CC9" w:rsidRDefault="008D33B8">
      <w:pPr>
        <w:autoSpaceDE w:val="0"/>
        <w:autoSpaceDN w:val="0"/>
        <w:adjustRightInd w:val="0"/>
        <w:spacing w:line="360" w:lineRule="auto"/>
        <w:ind w:firstLineChars="200" w:firstLine="444"/>
        <w:contextualSpacing/>
        <w:jc w:val="left"/>
        <w:rPr>
          <w:rFonts w:ascii="宋体" w:hAnsi="宋体"/>
          <w:spacing w:val="6"/>
          <w:szCs w:val="21"/>
        </w:rPr>
      </w:pPr>
      <w:r w:rsidRPr="003F0CC9">
        <w:rPr>
          <w:rFonts w:ascii="宋体" w:hAnsi="宋体" w:hint="eastAsia"/>
          <w:spacing w:val="6"/>
          <w:szCs w:val="21"/>
        </w:rPr>
        <w:t>本协议双方当事人经协商一致，可以对协议的内容进行变更。变更后的托管协议，其内容不得与《基金合同》的规定有任何冲突。基金托管协议的变更应报中国证监会备案。</w:t>
      </w:r>
    </w:p>
    <w:p w14:paraId="47B5C8FA"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2、基金托管协议终止的情形</w:t>
      </w:r>
    </w:p>
    <w:p w14:paraId="23EBFAE9" w14:textId="77777777" w:rsidR="004518C1" w:rsidRPr="003F0CC9" w:rsidRDefault="008D33B8">
      <w:pPr>
        <w:autoSpaceDE w:val="0"/>
        <w:autoSpaceDN w:val="0"/>
        <w:adjustRightInd w:val="0"/>
        <w:spacing w:line="360" w:lineRule="auto"/>
        <w:ind w:firstLineChars="200" w:firstLine="444"/>
        <w:contextualSpacing/>
        <w:jc w:val="left"/>
        <w:rPr>
          <w:rFonts w:ascii="宋体" w:hAnsi="宋体"/>
          <w:spacing w:val="6"/>
          <w:szCs w:val="21"/>
        </w:rPr>
      </w:pPr>
      <w:r w:rsidRPr="003F0CC9">
        <w:rPr>
          <w:rFonts w:ascii="宋体" w:hAnsi="宋体" w:hint="eastAsia"/>
          <w:spacing w:val="6"/>
          <w:szCs w:val="21"/>
        </w:rPr>
        <w:t>发生以下情况，本托管协议在履行适当程序后终止：</w:t>
      </w:r>
    </w:p>
    <w:p w14:paraId="2F057930" w14:textId="77777777" w:rsidR="004518C1" w:rsidRPr="003F0CC9" w:rsidRDefault="008D33B8">
      <w:pPr>
        <w:autoSpaceDE w:val="0"/>
        <w:autoSpaceDN w:val="0"/>
        <w:adjustRightInd w:val="0"/>
        <w:spacing w:line="360" w:lineRule="auto"/>
        <w:ind w:firstLineChars="200" w:firstLine="444"/>
        <w:contextualSpacing/>
        <w:jc w:val="left"/>
        <w:rPr>
          <w:rFonts w:ascii="宋体" w:hAnsi="宋体"/>
          <w:spacing w:val="6"/>
          <w:szCs w:val="21"/>
        </w:rPr>
      </w:pPr>
      <w:r w:rsidRPr="003F0CC9">
        <w:rPr>
          <w:rFonts w:ascii="宋体" w:hAnsi="宋体" w:hint="eastAsia"/>
          <w:spacing w:val="6"/>
          <w:szCs w:val="21"/>
        </w:rPr>
        <w:t>（1）《基金合同》终止；</w:t>
      </w:r>
    </w:p>
    <w:p w14:paraId="0006F74A" w14:textId="77777777" w:rsidR="004518C1" w:rsidRPr="003F0CC9" w:rsidRDefault="008D33B8">
      <w:pPr>
        <w:autoSpaceDE w:val="0"/>
        <w:autoSpaceDN w:val="0"/>
        <w:adjustRightInd w:val="0"/>
        <w:spacing w:line="360" w:lineRule="auto"/>
        <w:ind w:firstLineChars="200" w:firstLine="444"/>
        <w:contextualSpacing/>
        <w:jc w:val="left"/>
        <w:rPr>
          <w:rFonts w:ascii="宋体" w:hAnsi="宋体"/>
          <w:spacing w:val="6"/>
          <w:szCs w:val="21"/>
        </w:rPr>
      </w:pPr>
      <w:r w:rsidRPr="003F0CC9">
        <w:rPr>
          <w:rFonts w:ascii="宋体" w:hAnsi="宋体" w:hint="eastAsia"/>
          <w:spacing w:val="6"/>
          <w:szCs w:val="21"/>
        </w:rPr>
        <w:t>（2）基金托管人解散、依法被撤销、破产或有其他基金托管人接管基金资产；</w:t>
      </w:r>
    </w:p>
    <w:p w14:paraId="264984FC" w14:textId="77777777" w:rsidR="004518C1" w:rsidRPr="003F0CC9" w:rsidRDefault="008D33B8">
      <w:pPr>
        <w:autoSpaceDE w:val="0"/>
        <w:autoSpaceDN w:val="0"/>
        <w:adjustRightInd w:val="0"/>
        <w:spacing w:line="360" w:lineRule="auto"/>
        <w:ind w:firstLineChars="200" w:firstLine="444"/>
        <w:contextualSpacing/>
        <w:jc w:val="left"/>
        <w:rPr>
          <w:rFonts w:ascii="宋体" w:hAnsi="宋体"/>
          <w:spacing w:val="6"/>
          <w:szCs w:val="21"/>
        </w:rPr>
      </w:pPr>
      <w:r w:rsidRPr="003F0CC9">
        <w:rPr>
          <w:rFonts w:ascii="宋体" w:hAnsi="宋体" w:hint="eastAsia"/>
          <w:spacing w:val="6"/>
          <w:szCs w:val="21"/>
        </w:rPr>
        <w:t>（3）基金管理人解散、依法被撤销、破产或有其他基金管理人接管基金管理权；</w:t>
      </w:r>
    </w:p>
    <w:p w14:paraId="6D7F8CBD" w14:textId="77777777" w:rsidR="004518C1" w:rsidRPr="003F0CC9" w:rsidRDefault="008D33B8">
      <w:pPr>
        <w:autoSpaceDE w:val="0"/>
        <w:autoSpaceDN w:val="0"/>
        <w:adjustRightInd w:val="0"/>
        <w:spacing w:line="360" w:lineRule="auto"/>
        <w:ind w:firstLineChars="200" w:firstLine="444"/>
        <w:contextualSpacing/>
        <w:jc w:val="left"/>
        <w:rPr>
          <w:rFonts w:ascii="宋体" w:hAnsi="宋体"/>
          <w:spacing w:val="6"/>
          <w:szCs w:val="21"/>
        </w:rPr>
      </w:pPr>
      <w:r w:rsidRPr="003F0CC9">
        <w:rPr>
          <w:rFonts w:ascii="宋体" w:hAnsi="宋体" w:hint="eastAsia"/>
          <w:spacing w:val="6"/>
          <w:szCs w:val="21"/>
        </w:rPr>
        <w:t>（4）发生法律法规、中国证监会或《基金合同》规定的终止事项。</w:t>
      </w:r>
    </w:p>
    <w:p w14:paraId="51472A4B" w14:textId="77777777" w:rsidR="004518C1" w:rsidRPr="003F0CC9" w:rsidRDefault="008D33B8">
      <w:pPr>
        <w:adjustRightInd w:val="0"/>
        <w:spacing w:line="360" w:lineRule="auto"/>
        <w:ind w:firstLineChars="200" w:firstLine="422"/>
        <w:contextualSpacing/>
        <w:rPr>
          <w:rFonts w:ascii="宋体" w:hAnsi="宋体"/>
          <w:b/>
          <w:szCs w:val="21"/>
        </w:rPr>
      </w:pPr>
      <w:r w:rsidRPr="003F0CC9">
        <w:rPr>
          <w:rFonts w:ascii="宋体" w:hAnsi="宋体" w:hint="eastAsia"/>
          <w:b/>
          <w:szCs w:val="21"/>
        </w:rPr>
        <w:t>（二）基金财产的清算</w:t>
      </w:r>
    </w:p>
    <w:p w14:paraId="322E4DFF"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1、基金财产清算小组：自出现《基金合同》终止事由之日起30个工作日内成立基金财产清算小组，基金管理人组织基金财产清算小组并在中国证监会的监督下进行基金清算。</w:t>
      </w:r>
    </w:p>
    <w:p w14:paraId="357305CE" w14:textId="2B366BCA"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2、基金财产清算小组组成：基金财产清算小组成员由基金管理人、基金托管人、符合《证券法》规定的注册会计师、律师以及中国证监会指定的人员组成。基金财产清算小组可以聘用必要的工作人员。</w:t>
      </w:r>
    </w:p>
    <w:p w14:paraId="18B28555"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3、基金财产清算小组职责：基金财产清算小组负责基金财产的保管、清理、估价、变现和分配。基金财产清算小组可以依法进行必要的民事活动。</w:t>
      </w:r>
    </w:p>
    <w:p w14:paraId="13B1CB06"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4、基金财产清算程序：</w:t>
      </w:r>
    </w:p>
    <w:p w14:paraId="26C6610D"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（1）《基金合同》终止情形出现时，由基金财产清算小组统一接管基金；</w:t>
      </w:r>
    </w:p>
    <w:p w14:paraId="2385E838"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（2）对基金财产和债权债务进行清理和确认；</w:t>
      </w:r>
    </w:p>
    <w:p w14:paraId="632A8488"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（3）对基金财产进行估值和变现；</w:t>
      </w:r>
    </w:p>
    <w:p w14:paraId="712B4D97"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（4）制作清算报告；</w:t>
      </w:r>
    </w:p>
    <w:p w14:paraId="254C812F"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（5）聘请会计师事务所对清算报告进行外部审计，聘请律师事务所对清算报告出具法律意见书；</w:t>
      </w:r>
    </w:p>
    <w:p w14:paraId="0304AE23"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（6）将清算报告报中国证监会备案并公告；</w:t>
      </w:r>
    </w:p>
    <w:p w14:paraId="659921D2"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（7）对基金剩余财产进行分配。</w:t>
      </w:r>
    </w:p>
    <w:p w14:paraId="13D718A4" w14:textId="6F7E3522"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lastRenderedPageBreak/>
        <w:t>5、基金财产清算的期限为6个月，但因本基金所持证券的流动性受到限制而不能及时变现的，清算期限相应顺延。</w:t>
      </w:r>
    </w:p>
    <w:p w14:paraId="3DD90FEA" w14:textId="77777777" w:rsidR="004518C1" w:rsidRPr="003F0CC9" w:rsidRDefault="008D33B8">
      <w:pPr>
        <w:adjustRightInd w:val="0"/>
        <w:spacing w:line="360" w:lineRule="auto"/>
        <w:ind w:firstLineChars="200" w:firstLine="420"/>
        <w:contextualSpacing/>
        <w:rPr>
          <w:rFonts w:ascii="宋体" w:hAnsi="宋体" w:cs="Arial"/>
          <w:szCs w:val="21"/>
        </w:rPr>
      </w:pPr>
      <w:r w:rsidRPr="003F0CC9">
        <w:rPr>
          <w:rFonts w:ascii="宋体" w:hAnsi="宋体" w:cs="Arial" w:hint="eastAsia"/>
          <w:szCs w:val="21"/>
        </w:rPr>
        <w:t>6、清算费用</w:t>
      </w:r>
    </w:p>
    <w:p w14:paraId="4B4450A9" w14:textId="77777777" w:rsidR="004518C1" w:rsidRPr="003F0CC9" w:rsidRDefault="008D33B8">
      <w:pPr>
        <w:adjustRightInd w:val="0"/>
        <w:spacing w:line="360" w:lineRule="auto"/>
        <w:ind w:firstLineChars="200" w:firstLine="420"/>
        <w:contextualSpacing/>
        <w:rPr>
          <w:rFonts w:ascii="宋体" w:hAnsi="宋体" w:cs="Arial"/>
          <w:szCs w:val="21"/>
        </w:rPr>
      </w:pPr>
      <w:r w:rsidRPr="003F0CC9">
        <w:rPr>
          <w:rFonts w:ascii="宋体" w:hAnsi="宋体" w:cs="Arial" w:hint="eastAsia"/>
          <w:szCs w:val="21"/>
        </w:rPr>
        <w:t>清算费用是指基金财产清算小组在进行基金清算过程中发生的所有合理费用，清算费用由基金财产清算小组优先从基金财产中支付。</w:t>
      </w:r>
    </w:p>
    <w:p w14:paraId="16D73645" w14:textId="77777777" w:rsidR="004518C1" w:rsidRPr="003F0CC9" w:rsidRDefault="008D33B8">
      <w:pPr>
        <w:adjustRightInd w:val="0"/>
        <w:spacing w:line="360" w:lineRule="auto"/>
        <w:ind w:firstLineChars="200" w:firstLine="420"/>
        <w:contextualSpacing/>
        <w:rPr>
          <w:rFonts w:ascii="宋体" w:hAnsi="宋体" w:cs="Arial"/>
          <w:szCs w:val="21"/>
        </w:rPr>
      </w:pPr>
      <w:r w:rsidRPr="003F0CC9">
        <w:rPr>
          <w:rFonts w:ascii="宋体" w:hAnsi="宋体" w:cs="Arial" w:hint="eastAsia"/>
          <w:szCs w:val="21"/>
        </w:rPr>
        <w:t>7、</w:t>
      </w:r>
      <w:r w:rsidRPr="003F0CC9">
        <w:rPr>
          <w:rFonts w:ascii="宋体" w:hAnsi="宋体" w:cs="Arial"/>
          <w:szCs w:val="21"/>
        </w:rPr>
        <w:t>基金财产清算剩余资产的分配</w:t>
      </w:r>
    </w:p>
    <w:p w14:paraId="5949A47F" w14:textId="77777777" w:rsidR="004518C1" w:rsidRPr="003F0CC9" w:rsidRDefault="008D33B8">
      <w:pPr>
        <w:adjustRightInd w:val="0"/>
        <w:spacing w:line="360" w:lineRule="auto"/>
        <w:ind w:firstLineChars="200" w:firstLine="420"/>
        <w:contextualSpacing/>
        <w:rPr>
          <w:rFonts w:ascii="宋体" w:hAnsi="宋体" w:cs="Arial"/>
          <w:szCs w:val="21"/>
        </w:rPr>
      </w:pPr>
      <w:r w:rsidRPr="003F0CC9">
        <w:rPr>
          <w:rFonts w:ascii="宋体" w:hAnsi="宋体" w:cs="Arial"/>
          <w:szCs w:val="21"/>
        </w:rPr>
        <w:t>依据基金财产清算的分配方案，将基金财产清算后的全部剩余资产扣除基金财产清算费用、交纳所欠税款并清偿基金债务后，按基金份额持有人持有的基金份额比例进行分配。</w:t>
      </w:r>
    </w:p>
    <w:p w14:paraId="79387526" w14:textId="77777777" w:rsidR="004518C1" w:rsidRPr="003F0CC9" w:rsidRDefault="008D33B8">
      <w:pPr>
        <w:adjustRightInd w:val="0"/>
        <w:spacing w:line="360" w:lineRule="auto"/>
        <w:ind w:firstLineChars="200" w:firstLine="422"/>
        <w:contextualSpacing/>
        <w:rPr>
          <w:rFonts w:ascii="宋体" w:hAnsi="宋体"/>
          <w:b/>
          <w:szCs w:val="21"/>
        </w:rPr>
      </w:pPr>
      <w:r w:rsidRPr="003F0CC9">
        <w:rPr>
          <w:rFonts w:ascii="宋体" w:hAnsi="宋体" w:hint="eastAsia"/>
          <w:b/>
          <w:szCs w:val="21"/>
        </w:rPr>
        <w:t>（三）基金财产清算的公告</w:t>
      </w:r>
    </w:p>
    <w:p w14:paraId="05F32AEB" w14:textId="57C95282" w:rsidR="004518C1" w:rsidRPr="003F0CC9" w:rsidRDefault="008D33B8">
      <w:pPr>
        <w:adjustRightInd w:val="0"/>
        <w:spacing w:line="360" w:lineRule="auto"/>
        <w:ind w:firstLineChars="200" w:firstLine="420"/>
        <w:contextualSpacing/>
        <w:rPr>
          <w:rFonts w:ascii="宋体" w:hAnsi="宋体"/>
          <w:bCs/>
          <w:szCs w:val="21"/>
        </w:rPr>
      </w:pPr>
      <w:r w:rsidRPr="003F0CC9">
        <w:rPr>
          <w:rFonts w:ascii="宋体" w:hAnsi="宋体" w:hint="eastAsia"/>
          <w:bCs/>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213C4720" w14:textId="77777777" w:rsidR="004518C1" w:rsidRPr="003F0CC9" w:rsidRDefault="008D33B8">
      <w:pPr>
        <w:adjustRightInd w:val="0"/>
        <w:spacing w:line="360" w:lineRule="auto"/>
        <w:ind w:firstLineChars="200" w:firstLine="422"/>
        <w:contextualSpacing/>
        <w:rPr>
          <w:rFonts w:ascii="宋体" w:hAnsi="宋体"/>
          <w:b/>
          <w:szCs w:val="21"/>
        </w:rPr>
      </w:pPr>
      <w:r w:rsidRPr="003F0CC9">
        <w:rPr>
          <w:rFonts w:ascii="宋体" w:hAnsi="宋体" w:hint="eastAsia"/>
          <w:b/>
          <w:szCs w:val="21"/>
        </w:rPr>
        <w:t>（四）基金财产清算账册及文件的保存</w:t>
      </w:r>
    </w:p>
    <w:p w14:paraId="20815EA2" w14:textId="203FF7D3" w:rsidR="004518C1" w:rsidRPr="003F0CC9" w:rsidRDefault="008D33B8">
      <w:pPr>
        <w:adjustRightInd w:val="0"/>
        <w:spacing w:line="360" w:lineRule="auto"/>
        <w:ind w:firstLineChars="200" w:firstLine="420"/>
        <w:contextualSpacing/>
        <w:rPr>
          <w:rFonts w:ascii="宋体" w:hAnsi="宋体"/>
          <w:sz w:val="24"/>
        </w:rPr>
      </w:pPr>
      <w:r w:rsidRPr="003F0CC9">
        <w:rPr>
          <w:rFonts w:ascii="宋体" w:hAnsi="宋体" w:hint="eastAsia"/>
          <w:bCs/>
          <w:szCs w:val="21"/>
        </w:rPr>
        <w:t>基金财产清算账册及有关文件由基金托管人保存不低于法律法规规定的最低期限。</w:t>
      </w:r>
    </w:p>
    <w:p w14:paraId="1E1835AF" w14:textId="77777777" w:rsidR="004518C1" w:rsidRPr="003F0CC9" w:rsidRDefault="008D33B8">
      <w:pPr>
        <w:pStyle w:val="1"/>
        <w:adjustRightInd w:val="0"/>
        <w:spacing w:line="360" w:lineRule="auto"/>
        <w:contextualSpacing/>
        <w:jc w:val="center"/>
        <w:rPr>
          <w:sz w:val="30"/>
          <w:szCs w:val="30"/>
        </w:rPr>
      </w:pPr>
      <w:r w:rsidRPr="003F0CC9">
        <w:rPr>
          <w:sz w:val="30"/>
          <w:szCs w:val="30"/>
        </w:rPr>
        <w:br w:type="page"/>
      </w:r>
      <w:bookmarkStart w:id="202" w:name="_Toc124749952"/>
      <w:bookmarkStart w:id="203" w:name="_Toc123626183"/>
      <w:bookmarkStart w:id="204" w:name="_Toc125361089"/>
      <w:bookmarkStart w:id="205" w:name="_Toc1564327"/>
      <w:bookmarkStart w:id="206" w:name="_Toc124749239"/>
      <w:r w:rsidRPr="003F0CC9">
        <w:rPr>
          <w:rFonts w:hint="eastAsia"/>
          <w:sz w:val="30"/>
          <w:szCs w:val="30"/>
        </w:rPr>
        <w:lastRenderedPageBreak/>
        <w:t>十七、违约责任</w:t>
      </w:r>
      <w:bookmarkEnd w:id="202"/>
      <w:bookmarkEnd w:id="203"/>
      <w:bookmarkEnd w:id="204"/>
      <w:bookmarkEnd w:id="205"/>
      <w:bookmarkEnd w:id="206"/>
    </w:p>
    <w:p w14:paraId="21D04355" w14:textId="51132494"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（一）如果基金管理人或基金托管人不履行本托管协议或者履行本托管协议不符合约定的，应当承担违约责任。</w:t>
      </w:r>
    </w:p>
    <w:p w14:paraId="4DB3D5AA" w14:textId="5331B090" w:rsidR="004518C1" w:rsidRPr="003F0CC9" w:rsidRDefault="008D33B8">
      <w:pPr>
        <w:adjustRightInd w:val="0"/>
        <w:spacing w:line="360" w:lineRule="auto"/>
        <w:ind w:firstLineChars="200" w:firstLine="420"/>
        <w:rPr>
          <w:rFonts w:ascii="宋体" w:hAnsi="宋体"/>
          <w:szCs w:val="21"/>
        </w:rPr>
      </w:pPr>
      <w:r w:rsidRPr="003F0CC9">
        <w:rPr>
          <w:rFonts w:ascii="宋体" w:hAnsi="宋体" w:hint="eastAsia"/>
          <w:szCs w:val="21"/>
        </w:rPr>
        <w:t>（二）因托管协议当事人违约给基金财产或者基金份额持有人造成损失的，应当分别对各自的行为依法承担赔偿责任，因共同行为给基金财产或者基金份额持有人造成损失的，应当承担连带赔偿责任，对损失的赔偿，仅限于直接经济损失，</w:t>
      </w:r>
      <w:r w:rsidRPr="003F0CC9">
        <w:rPr>
          <w:rFonts w:ascii="宋体" w:hAnsi="宋体" w:cs="宋体" w:hint="eastAsia"/>
          <w:bCs/>
          <w:szCs w:val="21"/>
        </w:rPr>
        <w:t>一方承担连带责任后有权根据另一方过错程度向另一方追偿。</w:t>
      </w:r>
      <w:r w:rsidRPr="003F0CC9">
        <w:rPr>
          <w:rFonts w:ascii="宋体" w:hAnsi="宋体" w:hint="eastAsia"/>
          <w:szCs w:val="21"/>
        </w:rPr>
        <w:t>但是发生下列情况的，当事人免责：</w:t>
      </w:r>
    </w:p>
    <w:p w14:paraId="0718C708" w14:textId="77777777" w:rsidR="004518C1" w:rsidRPr="003F0CC9" w:rsidRDefault="008D33B8">
      <w:pPr>
        <w:adjustRightInd w:val="0"/>
        <w:spacing w:line="360" w:lineRule="auto"/>
        <w:ind w:firstLineChars="200" w:firstLine="420"/>
        <w:rPr>
          <w:rFonts w:ascii="宋体" w:hAnsi="宋体"/>
          <w:bCs/>
          <w:szCs w:val="21"/>
        </w:rPr>
      </w:pPr>
      <w:r w:rsidRPr="003F0CC9">
        <w:rPr>
          <w:rFonts w:ascii="宋体" w:hAnsi="宋体" w:hint="eastAsia"/>
          <w:bCs/>
          <w:szCs w:val="21"/>
        </w:rPr>
        <w:t>1、不可抗力；</w:t>
      </w:r>
    </w:p>
    <w:p w14:paraId="5C984370" w14:textId="77777777" w:rsidR="004518C1" w:rsidRPr="003F0CC9" w:rsidRDefault="008D33B8">
      <w:pPr>
        <w:adjustRightInd w:val="0"/>
        <w:spacing w:line="360" w:lineRule="auto"/>
        <w:ind w:firstLineChars="200" w:firstLine="420"/>
        <w:rPr>
          <w:rFonts w:ascii="宋体" w:hAnsi="宋体"/>
          <w:bCs/>
          <w:szCs w:val="21"/>
        </w:rPr>
      </w:pPr>
      <w:r w:rsidRPr="003F0CC9">
        <w:rPr>
          <w:rFonts w:ascii="宋体" w:hAnsi="宋体" w:hint="eastAsia"/>
          <w:bCs/>
          <w:szCs w:val="21"/>
        </w:rPr>
        <w:t>2、基金管理人和/或基金托管人按照当时有效的法律法规、规章、市场交易规则或中国证监会、银行业监督管理机构等监管机构的规定作为或不作为而造成的损失等；</w:t>
      </w:r>
    </w:p>
    <w:p w14:paraId="58600F1B" w14:textId="344F54B6" w:rsidR="004518C1" w:rsidRPr="003F0CC9" w:rsidRDefault="008D33B8">
      <w:pPr>
        <w:tabs>
          <w:tab w:val="right" w:pos="8306"/>
        </w:tabs>
        <w:spacing w:line="360" w:lineRule="auto"/>
        <w:ind w:firstLineChars="200" w:firstLine="420"/>
        <w:rPr>
          <w:rFonts w:ascii="宋体" w:hAnsi="宋体"/>
          <w:sz w:val="24"/>
        </w:rPr>
      </w:pPr>
      <w:r w:rsidRPr="003F0CC9">
        <w:rPr>
          <w:rFonts w:ascii="宋体" w:hAnsi="宋体" w:hint="eastAsia"/>
          <w:bCs/>
          <w:szCs w:val="21"/>
        </w:rPr>
        <w:t>3、基金管理人由于按照《基金合同》规定的投资原则投资或不投资造成的损失等。</w:t>
      </w:r>
    </w:p>
    <w:p w14:paraId="78305C77"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三）如果由于本协议一方当事人（“违约方”）的违约行为给基金财产或基金投资者造成损失，另一方当事人（“守约方”）有权利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损失。</w:t>
      </w:r>
    </w:p>
    <w:p w14:paraId="72584361"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（四）托管协议当事人违反托管协议，给另一方当事人造成损失的，应承担赔偿责任。</w:t>
      </w:r>
    </w:p>
    <w:p w14:paraId="3F1DCDB5"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hint="eastAsia"/>
          <w:szCs w:val="21"/>
        </w:rPr>
        <w:t>（五）当</w:t>
      </w:r>
      <w:r w:rsidRPr="003F0CC9">
        <w:rPr>
          <w:rFonts w:ascii="宋体" w:hAnsi="宋体" w:hint="eastAsia"/>
          <w:szCs w:val="21"/>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5698120" w14:textId="77777777" w:rsidR="004518C1" w:rsidRPr="003F0CC9" w:rsidRDefault="008D33B8">
      <w:pPr>
        <w:adjustRightInd w:val="0"/>
        <w:spacing w:line="360" w:lineRule="auto"/>
        <w:ind w:firstLineChars="200" w:firstLine="420"/>
        <w:contextualSpacing/>
        <w:rPr>
          <w:szCs w:val="21"/>
        </w:rPr>
      </w:pPr>
      <w:r w:rsidRPr="003F0CC9">
        <w:rPr>
          <w:rFonts w:ascii="宋体" w:hAnsi="宋体" w:hint="eastAsia"/>
          <w:szCs w:val="21"/>
        </w:rPr>
        <w:t>（六）违约行为虽已发生，但本托管协议能够继续履行的，在最大限度地保护基</w:t>
      </w:r>
      <w:r w:rsidRPr="003F0CC9">
        <w:rPr>
          <w:rFonts w:hint="eastAsia"/>
          <w:szCs w:val="21"/>
        </w:rPr>
        <w:t>金份额持有人利益的前提下，基金管理人和基金托管人应当继续履行本协议。</w:t>
      </w:r>
    </w:p>
    <w:p w14:paraId="6B8BA9CD" w14:textId="77777777" w:rsidR="004518C1" w:rsidRPr="003F0CC9" w:rsidRDefault="008D33B8">
      <w:pPr>
        <w:adjustRightInd w:val="0"/>
        <w:spacing w:line="360" w:lineRule="auto"/>
        <w:ind w:firstLineChars="200" w:firstLine="420"/>
        <w:contextualSpacing/>
        <w:rPr>
          <w:szCs w:val="21"/>
        </w:rPr>
      </w:pPr>
      <w:r w:rsidRPr="003F0CC9">
        <w:rPr>
          <w:rFonts w:hint="eastAsia"/>
          <w:szCs w:val="21"/>
        </w:rPr>
        <w:t>（七）由于</w:t>
      </w:r>
      <w:r w:rsidRPr="003F0CC9">
        <w:rPr>
          <w:szCs w:val="21"/>
        </w:rPr>
        <w:t>基金管理人、基金托管人不可控制的因素导致业务出现差错，</w:t>
      </w:r>
      <w:r w:rsidRPr="003F0CC9">
        <w:rPr>
          <w:rFonts w:hint="eastAsia"/>
          <w:szCs w:val="21"/>
        </w:rPr>
        <w:t>基金管理人和基金托管人虽然已经采取必要、适当、合理的措施进行检查，但是未能发现该错误的，由此造成基金财产或基金投资者损失，基金管理人和基金托管人应免除赔偿责任。但基金管理人和基金托管人应当积极采取必要的措施减轻或消除由此造成的影响。</w:t>
      </w:r>
    </w:p>
    <w:p w14:paraId="67FDFD01" w14:textId="77777777" w:rsidR="004518C1" w:rsidRPr="003F0CC9" w:rsidRDefault="008D33B8">
      <w:pPr>
        <w:adjustRightInd w:val="0"/>
        <w:spacing w:line="360" w:lineRule="auto"/>
        <w:ind w:firstLineChars="200" w:firstLine="420"/>
        <w:contextualSpacing/>
        <w:rPr>
          <w:sz w:val="24"/>
        </w:rPr>
      </w:pPr>
      <w:r w:rsidRPr="003F0CC9">
        <w:rPr>
          <w:rFonts w:hint="eastAsia"/>
          <w:szCs w:val="21"/>
        </w:rPr>
        <w:t>（八）本协议所指损失均为直接经济损失。</w:t>
      </w:r>
    </w:p>
    <w:p w14:paraId="15DFFFFC" w14:textId="77777777" w:rsidR="004518C1" w:rsidRPr="003F0CC9" w:rsidRDefault="008D33B8">
      <w:pPr>
        <w:pStyle w:val="1"/>
        <w:adjustRightInd w:val="0"/>
        <w:spacing w:line="360" w:lineRule="auto"/>
        <w:contextualSpacing/>
        <w:jc w:val="center"/>
        <w:rPr>
          <w:sz w:val="30"/>
          <w:szCs w:val="30"/>
        </w:rPr>
      </w:pPr>
      <w:r w:rsidRPr="003F0CC9">
        <w:rPr>
          <w:sz w:val="30"/>
          <w:szCs w:val="30"/>
        </w:rPr>
        <w:br w:type="page"/>
      </w:r>
      <w:bookmarkStart w:id="207" w:name="_Toc1564328"/>
      <w:r w:rsidRPr="003F0CC9">
        <w:rPr>
          <w:rFonts w:hint="eastAsia"/>
          <w:sz w:val="30"/>
          <w:szCs w:val="30"/>
        </w:rPr>
        <w:lastRenderedPageBreak/>
        <w:t>十八、</w:t>
      </w:r>
      <w:bookmarkStart w:id="208" w:name="_Toc124749953"/>
      <w:bookmarkStart w:id="209" w:name="_Toc124749240"/>
      <w:bookmarkStart w:id="210" w:name="_Toc123626184"/>
      <w:bookmarkStart w:id="211" w:name="_Toc125361090"/>
      <w:r w:rsidRPr="003F0CC9">
        <w:rPr>
          <w:rFonts w:hint="eastAsia"/>
          <w:sz w:val="30"/>
          <w:szCs w:val="30"/>
        </w:rPr>
        <w:t>争议解决方式</w:t>
      </w:r>
      <w:bookmarkEnd w:id="207"/>
      <w:bookmarkEnd w:id="208"/>
      <w:bookmarkEnd w:id="209"/>
      <w:bookmarkEnd w:id="210"/>
      <w:bookmarkEnd w:id="211"/>
    </w:p>
    <w:p w14:paraId="4D6C1A3F" w14:textId="2BDE10D1"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双方当事人同意，因本协议而产生的或与本协议有关的一切争议，应经友好协商解决。如经友好协商未能解决的，任何一方均有权将争议提交中国国际经济贸易仲裁委员会，仲裁的地点在北京市，按照届时有效的仲裁规则进行仲裁。仲裁裁决是终局的，并对双方均有约束力。除非仲裁裁决另有决定，仲裁费用由败诉方承担。</w:t>
      </w:r>
    </w:p>
    <w:p w14:paraId="4737C977"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争议处理期间，双方当事人应恪守基金管理人和基金托管人职责，继续忠实、勤勉、尽责地履行《基金合同》和托管协议规定的义务，维护基金份额持有人的合法权益。</w:t>
      </w:r>
    </w:p>
    <w:p w14:paraId="4238A742" w14:textId="77777777" w:rsidR="004518C1" w:rsidRPr="003F0CC9" w:rsidRDefault="008D33B8">
      <w:pPr>
        <w:adjustRightInd w:val="0"/>
        <w:ind w:firstLineChars="200" w:firstLine="420"/>
        <w:contextualSpacing/>
        <w:rPr>
          <w:szCs w:val="21"/>
        </w:rPr>
      </w:pPr>
      <w:r w:rsidRPr="003F0CC9">
        <w:rPr>
          <w:rFonts w:ascii="宋体" w:hAnsi="宋体" w:hint="eastAsia"/>
          <w:szCs w:val="21"/>
        </w:rPr>
        <w:t>本协议受中国（为本协议之目的，不包括香港、澳门和台湾地区）法律管辖。</w:t>
      </w:r>
    </w:p>
    <w:p w14:paraId="12755E54" w14:textId="77777777" w:rsidR="004518C1" w:rsidRPr="003F0CC9" w:rsidRDefault="004518C1">
      <w:pPr>
        <w:adjustRightInd w:val="0"/>
        <w:spacing w:line="360" w:lineRule="auto"/>
        <w:ind w:firstLineChars="200" w:firstLine="480"/>
        <w:contextualSpacing/>
        <w:rPr>
          <w:rFonts w:ascii="宋体" w:hAnsi="宋体"/>
          <w:sz w:val="24"/>
          <w:szCs w:val="21"/>
        </w:rPr>
      </w:pPr>
    </w:p>
    <w:p w14:paraId="3BB07DB4" w14:textId="77777777" w:rsidR="004518C1" w:rsidRPr="003F0CC9" w:rsidRDefault="004518C1">
      <w:pPr>
        <w:adjustRightInd w:val="0"/>
        <w:spacing w:line="360" w:lineRule="auto"/>
        <w:ind w:firstLineChars="200" w:firstLine="480"/>
        <w:contextualSpacing/>
        <w:rPr>
          <w:rFonts w:ascii="宋体" w:hAnsi="宋体"/>
          <w:sz w:val="24"/>
          <w:szCs w:val="21"/>
        </w:rPr>
      </w:pPr>
    </w:p>
    <w:p w14:paraId="7CD33D46" w14:textId="77777777" w:rsidR="004518C1" w:rsidRPr="003F0CC9" w:rsidRDefault="004518C1">
      <w:pPr>
        <w:adjustRightInd w:val="0"/>
        <w:spacing w:line="360" w:lineRule="auto"/>
        <w:ind w:firstLineChars="200" w:firstLine="480"/>
        <w:contextualSpacing/>
        <w:rPr>
          <w:rFonts w:ascii="宋体" w:hAnsi="宋体"/>
          <w:sz w:val="24"/>
          <w:szCs w:val="21"/>
        </w:rPr>
      </w:pPr>
    </w:p>
    <w:p w14:paraId="4EE2B34B" w14:textId="77777777" w:rsidR="004518C1" w:rsidRPr="003F0CC9" w:rsidRDefault="004518C1">
      <w:pPr>
        <w:adjustRightInd w:val="0"/>
        <w:spacing w:line="360" w:lineRule="auto"/>
        <w:ind w:firstLineChars="200" w:firstLine="480"/>
        <w:contextualSpacing/>
        <w:rPr>
          <w:rFonts w:ascii="宋体" w:hAnsi="宋体"/>
          <w:sz w:val="24"/>
          <w:szCs w:val="21"/>
        </w:rPr>
      </w:pPr>
    </w:p>
    <w:p w14:paraId="6A0530AA" w14:textId="77777777" w:rsidR="004518C1" w:rsidRPr="003F0CC9" w:rsidRDefault="004518C1">
      <w:pPr>
        <w:adjustRightInd w:val="0"/>
        <w:spacing w:line="360" w:lineRule="auto"/>
        <w:ind w:firstLineChars="200" w:firstLine="480"/>
        <w:contextualSpacing/>
        <w:rPr>
          <w:rFonts w:ascii="宋体" w:hAnsi="宋体"/>
          <w:sz w:val="24"/>
          <w:szCs w:val="21"/>
        </w:rPr>
      </w:pPr>
    </w:p>
    <w:p w14:paraId="6428E397" w14:textId="77777777" w:rsidR="004518C1" w:rsidRPr="003F0CC9" w:rsidRDefault="004518C1">
      <w:pPr>
        <w:adjustRightInd w:val="0"/>
        <w:spacing w:line="360" w:lineRule="auto"/>
        <w:ind w:firstLineChars="200" w:firstLine="480"/>
        <w:contextualSpacing/>
        <w:rPr>
          <w:rFonts w:ascii="宋体" w:hAnsi="宋体"/>
          <w:sz w:val="24"/>
          <w:szCs w:val="21"/>
        </w:rPr>
      </w:pPr>
    </w:p>
    <w:p w14:paraId="0FAFFF09" w14:textId="77777777" w:rsidR="004518C1" w:rsidRPr="003F0CC9" w:rsidRDefault="004518C1">
      <w:pPr>
        <w:adjustRightInd w:val="0"/>
        <w:spacing w:line="360" w:lineRule="auto"/>
        <w:ind w:firstLineChars="200" w:firstLine="480"/>
        <w:contextualSpacing/>
        <w:rPr>
          <w:rFonts w:ascii="宋体" w:hAnsi="宋体"/>
          <w:sz w:val="24"/>
          <w:szCs w:val="21"/>
        </w:rPr>
      </w:pPr>
    </w:p>
    <w:p w14:paraId="6DD7B450" w14:textId="77777777" w:rsidR="004518C1" w:rsidRPr="003F0CC9" w:rsidRDefault="004518C1">
      <w:pPr>
        <w:adjustRightInd w:val="0"/>
        <w:spacing w:line="360" w:lineRule="auto"/>
        <w:ind w:firstLineChars="200" w:firstLine="480"/>
        <w:contextualSpacing/>
        <w:rPr>
          <w:rFonts w:ascii="宋体" w:hAnsi="宋体"/>
          <w:sz w:val="24"/>
          <w:szCs w:val="21"/>
        </w:rPr>
      </w:pPr>
    </w:p>
    <w:p w14:paraId="072D5C2C" w14:textId="77777777" w:rsidR="004518C1" w:rsidRPr="003F0CC9" w:rsidRDefault="004518C1">
      <w:pPr>
        <w:adjustRightInd w:val="0"/>
        <w:spacing w:line="360" w:lineRule="auto"/>
        <w:ind w:firstLineChars="200" w:firstLine="480"/>
        <w:contextualSpacing/>
        <w:rPr>
          <w:rFonts w:ascii="宋体" w:hAnsi="宋体"/>
          <w:sz w:val="24"/>
          <w:szCs w:val="21"/>
        </w:rPr>
      </w:pPr>
    </w:p>
    <w:p w14:paraId="7235C83E" w14:textId="77777777" w:rsidR="004518C1" w:rsidRPr="003F0CC9" w:rsidRDefault="004518C1">
      <w:pPr>
        <w:adjustRightInd w:val="0"/>
        <w:spacing w:line="360" w:lineRule="auto"/>
        <w:ind w:firstLineChars="200" w:firstLine="480"/>
        <w:contextualSpacing/>
        <w:rPr>
          <w:rFonts w:ascii="宋体" w:hAnsi="宋体"/>
          <w:sz w:val="24"/>
          <w:szCs w:val="21"/>
        </w:rPr>
      </w:pPr>
    </w:p>
    <w:p w14:paraId="144FDE93" w14:textId="77777777" w:rsidR="004518C1" w:rsidRPr="003F0CC9" w:rsidRDefault="004518C1">
      <w:pPr>
        <w:adjustRightInd w:val="0"/>
        <w:spacing w:line="360" w:lineRule="auto"/>
        <w:ind w:firstLineChars="200" w:firstLine="480"/>
        <w:contextualSpacing/>
        <w:rPr>
          <w:rFonts w:ascii="宋体" w:hAnsi="宋体"/>
          <w:sz w:val="24"/>
          <w:szCs w:val="21"/>
        </w:rPr>
      </w:pPr>
    </w:p>
    <w:p w14:paraId="571A5E2E" w14:textId="77777777" w:rsidR="004518C1" w:rsidRPr="003F0CC9" w:rsidRDefault="004518C1">
      <w:pPr>
        <w:adjustRightInd w:val="0"/>
        <w:spacing w:line="360" w:lineRule="auto"/>
        <w:ind w:firstLineChars="200" w:firstLine="480"/>
        <w:contextualSpacing/>
        <w:rPr>
          <w:rFonts w:ascii="宋体" w:hAnsi="宋体"/>
          <w:sz w:val="24"/>
          <w:szCs w:val="21"/>
        </w:rPr>
      </w:pPr>
    </w:p>
    <w:p w14:paraId="299BEE11" w14:textId="77777777" w:rsidR="004518C1" w:rsidRPr="003F0CC9" w:rsidRDefault="004518C1">
      <w:pPr>
        <w:adjustRightInd w:val="0"/>
        <w:spacing w:line="360" w:lineRule="auto"/>
        <w:ind w:firstLineChars="200" w:firstLine="480"/>
        <w:contextualSpacing/>
        <w:rPr>
          <w:rFonts w:ascii="宋体" w:hAnsi="宋体"/>
          <w:sz w:val="24"/>
          <w:szCs w:val="21"/>
        </w:rPr>
      </w:pPr>
    </w:p>
    <w:p w14:paraId="5E08D678" w14:textId="77777777" w:rsidR="004518C1" w:rsidRPr="003F0CC9" w:rsidRDefault="004518C1">
      <w:pPr>
        <w:adjustRightInd w:val="0"/>
        <w:spacing w:line="360" w:lineRule="auto"/>
        <w:ind w:firstLineChars="200" w:firstLine="480"/>
        <w:contextualSpacing/>
        <w:rPr>
          <w:rFonts w:ascii="宋体" w:hAnsi="宋体"/>
          <w:sz w:val="24"/>
          <w:szCs w:val="21"/>
        </w:rPr>
      </w:pPr>
    </w:p>
    <w:p w14:paraId="1418A0B3" w14:textId="77777777" w:rsidR="004518C1" w:rsidRPr="003F0CC9" w:rsidRDefault="004518C1">
      <w:pPr>
        <w:adjustRightInd w:val="0"/>
        <w:spacing w:line="360" w:lineRule="auto"/>
        <w:ind w:firstLineChars="200" w:firstLine="480"/>
        <w:contextualSpacing/>
        <w:rPr>
          <w:rFonts w:ascii="宋体" w:hAnsi="宋体"/>
          <w:sz w:val="24"/>
          <w:szCs w:val="21"/>
        </w:rPr>
      </w:pPr>
    </w:p>
    <w:p w14:paraId="0FD9A41C" w14:textId="77777777" w:rsidR="004518C1" w:rsidRPr="003F0CC9" w:rsidRDefault="004518C1">
      <w:pPr>
        <w:adjustRightInd w:val="0"/>
        <w:spacing w:line="360" w:lineRule="auto"/>
        <w:ind w:firstLineChars="200" w:firstLine="480"/>
        <w:contextualSpacing/>
        <w:rPr>
          <w:rFonts w:ascii="宋体" w:hAnsi="宋体"/>
          <w:sz w:val="24"/>
          <w:szCs w:val="21"/>
        </w:rPr>
      </w:pPr>
    </w:p>
    <w:p w14:paraId="2B7978AD" w14:textId="77777777" w:rsidR="004518C1" w:rsidRPr="003F0CC9" w:rsidRDefault="004518C1">
      <w:pPr>
        <w:adjustRightInd w:val="0"/>
        <w:spacing w:line="360" w:lineRule="auto"/>
        <w:ind w:firstLineChars="200" w:firstLine="480"/>
        <w:contextualSpacing/>
        <w:rPr>
          <w:rFonts w:ascii="宋体" w:hAnsi="宋体"/>
          <w:sz w:val="24"/>
          <w:szCs w:val="21"/>
        </w:rPr>
      </w:pPr>
    </w:p>
    <w:p w14:paraId="6E1748A8" w14:textId="77777777" w:rsidR="004518C1" w:rsidRPr="003F0CC9" w:rsidRDefault="004518C1">
      <w:pPr>
        <w:adjustRightInd w:val="0"/>
        <w:spacing w:line="360" w:lineRule="auto"/>
        <w:ind w:firstLineChars="200" w:firstLine="480"/>
        <w:contextualSpacing/>
        <w:rPr>
          <w:rFonts w:ascii="宋体" w:hAnsi="宋体"/>
          <w:sz w:val="24"/>
          <w:szCs w:val="21"/>
        </w:rPr>
      </w:pPr>
    </w:p>
    <w:p w14:paraId="0E4B3DA2" w14:textId="77777777" w:rsidR="004518C1" w:rsidRPr="003F0CC9" w:rsidRDefault="004518C1">
      <w:pPr>
        <w:adjustRightInd w:val="0"/>
        <w:spacing w:line="360" w:lineRule="auto"/>
        <w:ind w:firstLineChars="200" w:firstLine="480"/>
        <w:contextualSpacing/>
        <w:rPr>
          <w:rFonts w:ascii="宋体" w:hAnsi="宋体"/>
          <w:sz w:val="24"/>
          <w:szCs w:val="21"/>
        </w:rPr>
      </w:pPr>
    </w:p>
    <w:p w14:paraId="77883934" w14:textId="77777777" w:rsidR="004518C1" w:rsidRPr="003F0CC9" w:rsidRDefault="008D33B8">
      <w:pPr>
        <w:pStyle w:val="1"/>
        <w:keepNext w:val="0"/>
        <w:keepLines w:val="0"/>
        <w:autoSpaceDE w:val="0"/>
        <w:autoSpaceDN w:val="0"/>
        <w:adjustRightInd w:val="0"/>
        <w:spacing w:before="360" w:after="360" w:line="360" w:lineRule="auto"/>
        <w:ind w:left="288"/>
        <w:contextualSpacing/>
        <w:jc w:val="center"/>
        <w:textAlignment w:val="baseline"/>
        <w:rPr>
          <w:rFonts w:ascii="宋体" w:hAnsi="宋体" w:cs="Arial"/>
          <w:sz w:val="30"/>
        </w:rPr>
      </w:pPr>
      <w:bookmarkStart w:id="212" w:name="_Toc125361091"/>
      <w:bookmarkStart w:id="213" w:name="_Toc124749954"/>
      <w:bookmarkStart w:id="214" w:name="_Toc123626185"/>
      <w:bookmarkStart w:id="215" w:name="_Toc124749241"/>
      <w:r w:rsidRPr="003F0CC9">
        <w:rPr>
          <w:rFonts w:ascii="宋体" w:hAnsi="宋体" w:cs="Arial"/>
          <w:sz w:val="30"/>
        </w:rPr>
        <w:br w:type="page"/>
      </w:r>
      <w:bookmarkStart w:id="216" w:name="_Toc1564329"/>
      <w:r w:rsidRPr="003F0CC9">
        <w:rPr>
          <w:rFonts w:ascii="宋体" w:hAnsi="宋体" w:cs="Arial" w:hint="eastAsia"/>
          <w:sz w:val="30"/>
        </w:rPr>
        <w:lastRenderedPageBreak/>
        <w:t>十九、基金托管协议的效力</w:t>
      </w:r>
      <w:bookmarkEnd w:id="212"/>
      <w:bookmarkEnd w:id="213"/>
      <w:bookmarkEnd w:id="214"/>
      <w:bookmarkEnd w:id="215"/>
      <w:bookmarkEnd w:id="216"/>
    </w:p>
    <w:p w14:paraId="4007796D" w14:textId="0137DD0C"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一）基金管理人在向中国证监会申请本基金募集注册时提交的本基金托管协议草案，该等草案系经托管协议当事人双方盖章以及双方法定代表人或授权代表签署，协议当事人双方可能不时根据中国证监会的意见修改托管协议草案。托管协议以中国证监会注册的文本为正式文本。</w:t>
      </w:r>
    </w:p>
    <w:p w14:paraId="79CA160C"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（二）基金托管协议自《基金合同》成立之日起成立，自《基金合同》生效之日起生效。基金托管协议的有效期自其生效之日起至该基金财产清算结果报中国证监会备案并公告之日止。</w:t>
      </w:r>
    </w:p>
    <w:p w14:paraId="58BCC730"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（三）基金托管协议自生效之日对托管协议当事人具有同等的法律约束力。</w:t>
      </w:r>
    </w:p>
    <w:p w14:paraId="5D326DF4" w14:textId="5727D4E6"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（四）基金托管协议</w:t>
      </w:r>
      <w:r w:rsidRPr="003F0CC9">
        <w:rPr>
          <w:rFonts w:ascii="宋体" w:hAnsi="宋体"/>
          <w:bCs/>
          <w:szCs w:val="21"/>
        </w:rPr>
        <w:t>正本一式</w:t>
      </w:r>
      <w:r w:rsidRPr="003F0CC9">
        <w:rPr>
          <w:rFonts w:ascii="宋体" w:hAnsi="宋体" w:hint="eastAsia"/>
          <w:bCs/>
          <w:szCs w:val="21"/>
        </w:rPr>
        <w:t>三</w:t>
      </w:r>
      <w:r w:rsidRPr="003F0CC9">
        <w:rPr>
          <w:rFonts w:ascii="宋体" w:hAnsi="宋体"/>
          <w:bCs/>
          <w:szCs w:val="21"/>
        </w:rPr>
        <w:t>份，除上报有关监管机构</w:t>
      </w:r>
      <w:r w:rsidRPr="003F0CC9">
        <w:rPr>
          <w:rFonts w:ascii="宋体" w:hAnsi="宋体" w:hint="eastAsia"/>
          <w:bCs/>
          <w:szCs w:val="21"/>
        </w:rPr>
        <w:t>一</w:t>
      </w:r>
      <w:r w:rsidRPr="003F0CC9">
        <w:rPr>
          <w:rFonts w:ascii="宋体" w:hAnsi="宋体"/>
          <w:bCs/>
          <w:szCs w:val="21"/>
        </w:rPr>
        <w:t>份外，基金管理人、基金托管人各持有</w:t>
      </w:r>
      <w:r w:rsidRPr="003F0CC9">
        <w:rPr>
          <w:rFonts w:ascii="宋体" w:hAnsi="宋体" w:hint="eastAsia"/>
          <w:bCs/>
          <w:szCs w:val="21"/>
        </w:rPr>
        <w:t>一</w:t>
      </w:r>
      <w:r w:rsidRPr="003F0CC9">
        <w:rPr>
          <w:rFonts w:ascii="宋体" w:hAnsi="宋体"/>
          <w:bCs/>
          <w:szCs w:val="21"/>
        </w:rPr>
        <w:t>份，每份具有同等的法律效力。</w:t>
      </w:r>
    </w:p>
    <w:p w14:paraId="72B10A98" w14:textId="77777777" w:rsidR="004518C1" w:rsidRPr="003F0CC9" w:rsidRDefault="004518C1">
      <w:pPr>
        <w:adjustRightInd w:val="0"/>
        <w:spacing w:line="360" w:lineRule="auto"/>
        <w:ind w:firstLineChars="200" w:firstLine="420"/>
        <w:contextualSpacing/>
        <w:rPr>
          <w:rFonts w:ascii="宋体" w:hAnsi="宋体"/>
          <w:szCs w:val="21"/>
        </w:rPr>
      </w:pPr>
    </w:p>
    <w:p w14:paraId="0CF06B13" w14:textId="77777777" w:rsidR="004518C1" w:rsidRPr="003F0CC9" w:rsidRDefault="008D33B8">
      <w:pPr>
        <w:pStyle w:val="1"/>
        <w:adjustRightInd w:val="0"/>
        <w:spacing w:line="360" w:lineRule="auto"/>
        <w:ind w:firstLine="420"/>
        <w:contextualSpacing/>
        <w:jc w:val="center"/>
      </w:pPr>
      <w:r w:rsidRPr="003F0CC9">
        <w:br w:type="page"/>
      </w:r>
      <w:bookmarkStart w:id="217" w:name="_Toc1564330"/>
      <w:r w:rsidRPr="003F0CC9">
        <w:rPr>
          <w:rFonts w:hint="eastAsia"/>
        </w:rPr>
        <w:lastRenderedPageBreak/>
        <w:t>二十、其他事项</w:t>
      </w:r>
      <w:bookmarkEnd w:id="217"/>
    </w:p>
    <w:p w14:paraId="7E486322"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hAnsi="宋体"/>
          <w:szCs w:val="21"/>
        </w:rPr>
        <w:t>除本协议有明确定义外，本协议的用语定义适用基金合同的约定。</w:t>
      </w:r>
    </w:p>
    <w:p w14:paraId="3A100823" w14:textId="77777777" w:rsidR="004518C1" w:rsidRPr="003F0CC9" w:rsidRDefault="004518C1">
      <w:pPr>
        <w:adjustRightInd w:val="0"/>
        <w:contextualSpacing/>
      </w:pPr>
    </w:p>
    <w:p w14:paraId="1414F910" w14:textId="77777777" w:rsidR="004518C1" w:rsidRPr="003F0CC9" w:rsidRDefault="004518C1">
      <w:pPr>
        <w:adjustRightInd w:val="0"/>
        <w:contextualSpacing/>
      </w:pPr>
    </w:p>
    <w:p w14:paraId="03A3A632" w14:textId="77777777" w:rsidR="004518C1" w:rsidRPr="003F0CC9" w:rsidRDefault="008D33B8">
      <w:pPr>
        <w:pStyle w:val="1"/>
        <w:keepNext w:val="0"/>
        <w:keepLines w:val="0"/>
        <w:autoSpaceDE w:val="0"/>
        <w:autoSpaceDN w:val="0"/>
        <w:adjustRightInd w:val="0"/>
        <w:spacing w:before="360" w:after="360" w:line="360" w:lineRule="auto"/>
        <w:ind w:left="288"/>
        <w:contextualSpacing/>
        <w:jc w:val="center"/>
        <w:textAlignment w:val="baseline"/>
        <w:rPr>
          <w:rFonts w:ascii="宋体" w:hAnsi="宋体" w:cs="Arial"/>
          <w:sz w:val="30"/>
        </w:rPr>
      </w:pPr>
      <w:bookmarkStart w:id="218" w:name="_Toc375230505"/>
      <w:r w:rsidRPr="003F0CC9">
        <w:rPr>
          <w:rFonts w:ascii="宋体" w:hAnsi="宋体" w:cs="Arial"/>
          <w:sz w:val="30"/>
        </w:rPr>
        <w:br w:type="page"/>
      </w:r>
      <w:bookmarkStart w:id="219" w:name="_Toc1564331"/>
      <w:r w:rsidRPr="003F0CC9">
        <w:rPr>
          <w:rFonts w:ascii="宋体" w:hAnsi="宋体" w:cs="Arial" w:hint="eastAsia"/>
          <w:sz w:val="30"/>
        </w:rPr>
        <w:lastRenderedPageBreak/>
        <w:t>二十一、基金托管协议的签订</w:t>
      </w:r>
      <w:bookmarkEnd w:id="218"/>
      <w:bookmarkEnd w:id="219"/>
    </w:p>
    <w:p w14:paraId="382B754D" w14:textId="77777777" w:rsidR="004518C1" w:rsidRPr="003F0CC9" w:rsidRDefault="008D33B8">
      <w:pPr>
        <w:adjustRightInd w:val="0"/>
        <w:spacing w:line="360" w:lineRule="auto"/>
        <w:ind w:firstLineChars="200" w:firstLine="420"/>
        <w:contextualSpacing/>
        <w:rPr>
          <w:rFonts w:ascii="宋体" w:hAnsi="宋体"/>
          <w:szCs w:val="21"/>
        </w:rPr>
      </w:pPr>
      <w:r w:rsidRPr="003F0CC9">
        <w:rPr>
          <w:rFonts w:ascii="宋体" w:hAnsi="宋体" w:hint="eastAsia"/>
          <w:szCs w:val="21"/>
        </w:rPr>
        <w:t>本托管协议经基金管理人和基金托管人认可后，由该双方当事人在基金托管协议上盖章，并由各自的法定代表人或授权代表签署，并注明基金托管协议的签订地点和签订日期。</w:t>
      </w:r>
    </w:p>
    <w:p w14:paraId="763FDA18" w14:textId="77777777" w:rsidR="004518C1" w:rsidRPr="003F0CC9" w:rsidRDefault="004518C1">
      <w:pPr>
        <w:adjustRightInd w:val="0"/>
        <w:spacing w:line="360" w:lineRule="auto"/>
        <w:contextualSpacing/>
        <w:rPr>
          <w:rFonts w:ascii="宋体" w:hAnsi="宋体"/>
          <w:szCs w:val="21"/>
        </w:rPr>
        <w:sectPr w:rsidR="004518C1" w:rsidRPr="003F0CC9">
          <w:headerReference w:type="default" r:id="rId10"/>
          <w:footerReference w:type="even" r:id="rId11"/>
          <w:footerReference w:type="default" r:id="rId12"/>
          <w:headerReference w:type="first" r:id="rId13"/>
          <w:pgSz w:w="11906" w:h="16838"/>
          <w:pgMar w:top="1440" w:right="1800" w:bottom="1440" w:left="1800" w:header="851" w:footer="992" w:gutter="0"/>
          <w:pgNumType w:start="1"/>
          <w:cols w:space="720"/>
          <w:docGrid w:type="lines" w:linePitch="312"/>
        </w:sectPr>
      </w:pPr>
    </w:p>
    <w:p w14:paraId="0A9EC3BB" w14:textId="3C2E6710" w:rsidR="004518C1" w:rsidRPr="003F0CC9" w:rsidRDefault="008D33B8">
      <w:pPr>
        <w:spacing w:line="360" w:lineRule="auto"/>
        <w:rPr>
          <w:rFonts w:ascii="宋体" w:hAnsi="宋体" w:cs="宋体"/>
          <w:szCs w:val="21"/>
        </w:rPr>
      </w:pPr>
      <w:bookmarkStart w:id="220" w:name="_Toc523830014"/>
      <w:bookmarkStart w:id="221" w:name="_Toc22454484"/>
      <w:bookmarkStart w:id="222" w:name="_Toc48703935"/>
      <w:r w:rsidRPr="003F0CC9">
        <w:rPr>
          <w:rFonts w:ascii="宋体" w:hAnsi="宋体" w:cs="宋体" w:hint="eastAsia"/>
          <w:szCs w:val="21"/>
        </w:rPr>
        <w:lastRenderedPageBreak/>
        <w:t>（本页无正文，为《国泰瑞悦3个月持有期债券型基金中基金（FOF）托管协议》签署页。）</w:t>
      </w:r>
    </w:p>
    <w:p w14:paraId="07C79DE6" w14:textId="77777777" w:rsidR="004518C1" w:rsidRPr="003F0CC9" w:rsidRDefault="004518C1">
      <w:pPr>
        <w:spacing w:line="360" w:lineRule="auto"/>
        <w:rPr>
          <w:rFonts w:ascii="宋体" w:hAnsi="宋体" w:cs="宋体"/>
          <w:szCs w:val="21"/>
        </w:rPr>
      </w:pPr>
    </w:p>
    <w:p w14:paraId="1001468A" w14:textId="77777777" w:rsidR="004518C1" w:rsidRPr="003F0CC9" w:rsidRDefault="004518C1">
      <w:pPr>
        <w:spacing w:line="360" w:lineRule="auto"/>
        <w:rPr>
          <w:rFonts w:ascii="宋体" w:hAnsi="宋体" w:cs="宋体"/>
          <w:szCs w:val="21"/>
        </w:rPr>
      </w:pPr>
    </w:p>
    <w:p w14:paraId="1BFBE8A3" w14:textId="77777777" w:rsidR="004518C1" w:rsidRPr="003F0CC9" w:rsidRDefault="004518C1">
      <w:pPr>
        <w:spacing w:line="360" w:lineRule="auto"/>
        <w:rPr>
          <w:rFonts w:ascii="宋体" w:hAnsi="宋体" w:cs="宋体"/>
          <w:szCs w:val="21"/>
        </w:rPr>
      </w:pPr>
    </w:p>
    <w:p w14:paraId="2A187A27" w14:textId="43F394A3" w:rsidR="004518C1" w:rsidRPr="003F0CC9" w:rsidRDefault="008D33B8">
      <w:pPr>
        <w:spacing w:line="360" w:lineRule="auto"/>
        <w:rPr>
          <w:rFonts w:ascii="宋体" w:hAnsi="宋体" w:cs="宋体"/>
          <w:b/>
          <w:bCs/>
          <w:szCs w:val="21"/>
        </w:rPr>
      </w:pPr>
      <w:r w:rsidRPr="003F0CC9">
        <w:rPr>
          <w:rFonts w:ascii="宋体" w:hAnsi="宋体" w:cs="宋体" w:hint="eastAsia"/>
          <w:b/>
          <w:bCs/>
          <w:szCs w:val="21"/>
        </w:rPr>
        <w:t>基金管理人：国泰基金管理有限公司（盖章）</w:t>
      </w:r>
    </w:p>
    <w:p w14:paraId="0812E1D8" w14:textId="77777777" w:rsidR="004518C1" w:rsidRPr="003F0CC9" w:rsidRDefault="004518C1">
      <w:pPr>
        <w:spacing w:line="360" w:lineRule="auto"/>
        <w:rPr>
          <w:rFonts w:ascii="宋体" w:hAnsi="宋体" w:cs="宋体"/>
          <w:b/>
          <w:bCs/>
          <w:szCs w:val="21"/>
        </w:rPr>
      </w:pPr>
    </w:p>
    <w:p w14:paraId="576ECD5F" w14:textId="77777777" w:rsidR="004518C1" w:rsidRPr="003F0CC9" w:rsidRDefault="004518C1">
      <w:pPr>
        <w:spacing w:line="360" w:lineRule="auto"/>
        <w:rPr>
          <w:rFonts w:ascii="宋体" w:hAnsi="宋体" w:cs="宋体"/>
          <w:b/>
          <w:bCs/>
          <w:szCs w:val="21"/>
        </w:rPr>
      </w:pPr>
    </w:p>
    <w:p w14:paraId="50C98E4D" w14:textId="77777777" w:rsidR="004518C1" w:rsidRPr="003F0CC9" w:rsidRDefault="004518C1">
      <w:pPr>
        <w:spacing w:line="360" w:lineRule="auto"/>
        <w:rPr>
          <w:rFonts w:ascii="宋体" w:hAnsi="宋体" w:cs="宋体"/>
          <w:b/>
          <w:bCs/>
          <w:szCs w:val="21"/>
        </w:rPr>
      </w:pPr>
    </w:p>
    <w:p w14:paraId="5F65032D" w14:textId="77777777" w:rsidR="004518C1" w:rsidRPr="003F0CC9" w:rsidRDefault="008D33B8">
      <w:pPr>
        <w:spacing w:line="360" w:lineRule="auto"/>
        <w:rPr>
          <w:rFonts w:ascii="宋体" w:hAnsi="宋体" w:cs="宋体"/>
          <w:b/>
          <w:bCs/>
          <w:szCs w:val="21"/>
        </w:rPr>
      </w:pPr>
      <w:r w:rsidRPr="003F0CC9">
        <w:rPr>
          <w:rFonts w:ascii="宋体" w:hAnsi="宋体" w:cs="宋体" w:hint="eastAsia"/>
          <w:b/>
          <w:bCs/>
          <w:szCs w:val="21"/>
        </w:rPr>
        <w:t xml:space="preserve">法定代表人或授权代表（签字或盖章）：                   </w:t>
      </w:r>
    </w:p>
    <w:p w14:paraId="4137C212" w14:textId="77777777" w:rsidR="004518C1" w:rsidRPr="003F0CC9" w:rsidRDefault="004518C1">
      <w:pPr>
        <w:spacing w:line="360" w:lineRule="auto"/>
        <w:rPr>
          <w:rFonts w:ascii="宋体" w:hAnsi="宋体" w:cs="宋体"/>
          <w:b/>
          <w:bCs/>
          <w:szCs w:val="21"/>
        </w:rPr>
      </w:pPr>
    </w:p>
    <w:p w14:paraId="131CF586" w14:textId="77777777" w:rsidR="004518C1" w:rsidRPr="003F0CC9" w:rsidRDefault="004518C1">
      <w:pPr>
        <w:spacing w:line="360" w:lineRule="auto"/>
        <w:rPr>
          <w:rFonts w:ascii="宋体" w:hAnsi="宋体" w:cs="宋体"/>
          <w:b/>
          <w:bCs/>
          <w:szCs w:val="21"/>
        </w:rPr>
      </w:pPr>
    </w:p>
    <w:p w14:paraId="5903C602" w14:textId="77777777" w:rsidR="004518C1" w:rsidRPr="003F0CC9" w:rsidRDefault="004518C1">
      <w:pPr>
        <w:spacing w:line="360" w:lineRule="auto"/>
        <w:rPr>
          <w:rFonts w:ascii="宋体" w:hAnsi="宋体" w:cs="宋体"/>
          <w:b/>
          <w:bCs/>
          <w:szCs w:val="21"/>
        </w:rPr>
      </w:pPr>
    </w:p>
    <w:p w14:paraId="00D01AA4" w14:textId="77777777" w:rsidR="004518C1" w:rsidRPr="003F0CC9" w:rsidRDefault="008D33B8">
      <w:pPr>
        <w:spacing w:line="360" w:lineRule="auto"/>
        <w:rPr>
          <w:rFonts w:ascii="宋体" w:hAnsi="宋体" w:cs="宋体"/>
          <w:b/>
          <w:bCs/>
          <w:szCs w:val="21"/>
        </w:rPr>
      </w:pPr>
      <w:r w:rsidRPr="003F0CC9">
        <w:rPr>
          <w:rFonts w:ascii="宋体" w:hAnsi="宋体" w:cs="宋体" w:hint="eastAsia"/>
          <w:b/>
          <w:bCs/>
          <w:szCs w:val="21"/>
        </w:rPr>
        <w:t xml:space="preserve">签订地点：      </w:t>
      </w:r>
    </w:p>
    <w:p w14:paraId="4A9AA5DF" w14:textId="77777777" w:rsidR="004518C1" w:rsidRPr="003F0CC9" w:rsidRDefault="008D33B8">
      <w:pPr>
        <w:spacing w:line="360" w:lineRule="auto"/>
        <w:rPr>
          <w:rFonts w:ascii="宋体" w:hAnsi="宋体" w:cs="宋体"/>
          <w:b/>
          <w:bCs/>
          <w:szCs w:val="21"/>
        </w:rPr>
      </w:pPr>
      <w:r w:rsidRPr="003F0CC9">
        <w:rPr>
          <w:rFonts w:ascii="宋体" w:hAnsi="宋体" w:cs="宋体" w:hint="eastAsia"/>
          <w:b/>
          <w:bCs/>
          <w:szCs w:val="21"/>
        </w:rPr>
        <w:t>签 订 日：      年   月   日</w:t>
      </w:r>
    </w:p>
    <w:p w14:paraId="29DA40DE" w14:textId="77777777" w:rsidR="004518C1" w:rsidRPr="003F0CC9" w:rsidRDefault="004518C1">
      <w:pPr>
        <w:spacing w:line="360" w:lineRule="auto"/>
        <w:rPr>
          <w:rFonts w:ascii="宋体" w:hAnsi="宋体" w:cs="宋体"/>
          <w:b/>
          <w:bCs/>
          <w:szCs w:val="21"/>
        </w:rPr>
      </w:pPr>
    </w:p>
    <w:p w14:paraId="34F75652" w14:textId="77777777" w:rsidR="004518C1" w:rsidRPr="003F0CC9" w:rsidRDefault="004518C1">
      <w:pPr>
        <w:spacing w:line="360" w:lineRule="auto"/>
        <w:rPr>
          <w:rFonts w:ascii="宋体" w:hAnsi="宋体" w:cs="宋体"/>
          <w:b/>
          <w:bCs/>
          <w:szCs w:val="21"/>
        </w:rPr>
      </w:pPr>
    </w:p>
    <w:p w14:paraId="0FB7612F" w14:textId="77777777" w:rsidR="004518C1" w:rsidRPr="003F0CC9" w:rsidRDefault="004518C1">
      <w:pPr>
        <w:spacing w:line="360" w:lineRule="auto"/>
        <w:rPr>
          <w:rFonts w:ascii="宋体" w:hAnsi="宋体" w:cs="宋体"/>
          <w:b/>
          <w:bCs/>
          <w:szCs w:val="21"/>
        </w:rPr>
      </w:pPr>
    </w:p>
    <w:p w14:paraId="0917EFF1" w14:textId="77777777" w:rsidR="004518C1" w:rsidRPr="003F0CC9" w:rsidRDefault="008D33B8">
      <w:pPr>
        <w:spacing w:line="360" w:lineRule="auto"/>
        <w:rPr>
          <w:rFonts w:ascii="宋体" w:hAnsi="宋体" w:cs="宋体"/>
          <w:b/>
          <w:bCs/>
          <w:szCs w:val="21"/>
        </w:rPr>
      </w:pPr>
      <w:r w:rsidRPr="003F0CC9">
        <w:rPr>
          <w:rFonts w:ascii="宋体" w:hAnsi="宋体" w:cs="宋体" w:hint="eastAsia"/>
          <w:b/>
          <w:bCs/>
          <w:szCs w:val="21"/>
        </w:rPr>
        <w:t>基金托管人：北京银行股份有限公司（盖章）</w:t>
      </w:r>
    </w:p>
    <w:p w14:paraId="765C95F0" w14:textId="77777777" w:rsidR="004518C1" w:rsidRPr="003F0CC9" w:rsidRDefault="004518C1">
      <w:pPr>
        <w:spacing w:line="360" w:lineRule="auto"/>
        <w:rPr>
          <w:rFonts w:ascii="宋体" w:hAnsi="宋体" w:cs="宋体"/>
          <w:b/>
          <w:bCs/>
          <w:szCs w:val="21"/>
        </w:rPr>
      </w:pPr>
    </w:p>
    <w:p w14:paraId="58F10A87" w14:textId="77777777" w:rsidR="004518C1" w:rsidRPr="003F0CC9" w:rsidRDefault="004518C1">
      <w:pPr>
        <w:spacing w:line="360" w:lineRule="auto"/>
        <w:rPr>
          <w:rFonts w:ascii="宋体" w:hAnsi="宋体" w:cs="宋体"/>
          <w:b/>
          <w:bCs/>
          <w:szCs w:val="21"/>
        </w:rPr>
      </w:pPr>
    </w:p>
    <w:p w14:paraId="322DBE14" w14:textId="77777777" w:rsidR="004518C1" w:rsidRPr="003F0CC9" w:rsidRDefault="004518C1">
      <w:pPr>
        <w:spacing w:line="360" w:lineRule="auto"/>
        <w:rPr>
          <w:rFonts w:ascii="宋体" w:hAnsi="宋体" w:cs="宋体"/>
          <w:b/>
          <w:bCs/>
          <w:szCs w:val="21"/>
        </w:rPr>
      </w:pPr>
    </w:p>
    <w:p w14:paraId="1FE1C15C" w14:textId="77777777" w:rsidR="004518C1" w:rsidRPr="003F0CC9" w:rsidRDefault="008D33B8">
      <w:pPr>
        <w:spacing w:line="360" w:lineRule="auto"/>
        <w:rPr>
          <w:rFonts w:ascii="宋体" w:hAnsi="宋体" w:cs="宋体"/>
          <w:b/>
          <w:bCs/>
          <w:szCs w:val="21"/>
        </w:rPr>
      </w:pPr>
      <w:r w:rsidRPr="003F0CC9">
        <w:rPr>
          <w:rFonts w:ascii="宋体" w:hAnsi="宋体" w:cs="宋体" w:hint="eastAsia"/>
          <w:b/>
          <w:bCs/>
          <w:szCs w:val="21"/>
        </w:rPr>
        <w:t xml:space="preserve">法定代表人或授权代表（签字或盖章）：                  </w:t>
      </w:r>
    </w:p>
    <w:p w14:paraId="32C3B3D3" w14:textId="77777777" w:rsidR="004518C1" w:rsidRPr="003F0CC9" w:rsidRDefault="004518C1">
      <w:pPr>
        <w:spacing w:line="360" w:lineRule="auto"/>
        <w:rPr>
          <w:rFonts w:ascii="宋体" w:hAnsi="宋体" w:cs="宋体"/>
          <w:b/>
          <w:bCs/>
          <w:szCs w:val="21"/>
        </w:rPr>
      </w:pPr>
    </w:p>
    <w:p w14:paraId="18D6717C" w14:textId="77777777" w:rsidR="004518C1" w:rsidRPr="003F0CC9" w:rsidRDefault="004518C1">
      <w:pPr>
        <w:spacing w:line="360" w:lineRule="auto"/>
        <w:rPr>
          <w:rFonts w:ascii="宋体" w:hAnsi="宋体" w:cs="宋体"/>
          <w:b/>
          <w:bCs/>
          <w:szCs w:val="21"/>
        </w:rPr>
      </w:pPr>
    </w:p>
    <w:p w14:paraId="75CC4EA0" w14:textId="77777777" w:rsidR="004518C1" w:rsidRPr="003F0CC9" w:rsidRDefault="004518C1">
      <w:pPr>
        <w:spacing w:line="360" w:lineRule="auto"/>
        <w:rPr>
          <w:rFonts w:ascii="宋体" w:hAnsi="宋体" w:cs="宋体"/>
          <w:b/>
          <w:bCs/>
          <w:szCs w:val="21"/>
        </w:rPr>
      </w:pPr>
    </w:p>
    <w:p w14:paraId="39F15340" w14:textId="77777777" w:rsidR="004518C1" w:rsidRPr="003F0CC9" w:rsidRDefault="008D33B8">
      <w:pPr>
        <w:spacing w:line="360" w:lineRule="auto"/>
        <w:rPr>
          <w:rFonts w:ascii="宋体" w:hAnsi="宋体" w:cs="宋体"/>
          <w:b/>
          <w:bCs/>
          <w:szCs w:val="21"/>
        </w:rPr>
      </w:pPr>
      <w:r w:rsidRPr="003F0CC9">
        <w:rPr>
          <w:rFonts w:ascii="宋体" w:hAnsi="宋体" w:cs="宋体" w:hint="eastAsia"/>
          <w:b/>
          <w:bCs/>
          <w:szCs w:val="21"/>
        </w:rPr>
        <w:t xml:space="preserve">签订地点：      </w:t>
      </w:r>
    </w:p>
    <w:p w14:paraId="7A13934A" w14:textId="77777777" w:rsidR="004518C1" w:rsidRPr="003F0CC9" w:rsidRDefault="008D33B8">
      <w:pPr>
        <w:spacing w:line="360" w:lineRule="auto"/>
        <w:rPr>
          <w:rFonts w:ascii="宋体" w:hAnsi="宋体" w:cs="宋体"/>
          <w:b/>
          <w:bCs/>
          <w:szCs w:val="21"/>
        </w:rPr>
      </w:pPr>
      <w:r w:rsidRPr="003F0CC9">
        <w:rPr>
          <w:rFonts w:ascii="宋体" w:hAnsi="宋体" w:cs="宋体" w:hint="eastAsia"/>
          <w:b/>
          <w:bCs/>
          <w:szCs w:val="21"/>
        </w:rPr>
        <w:t>签 订 日：      年   月   日</w:t>
      </w:r>
    </w:p>
    <w:bookmarkEnd w:id="220"/>
    <w:bookmarkEnd w:id="221"/>
    <w:bookmarkEnd w:id="222"/>
    <w:bookmarkEnd w:id="11"/>
    <w:p w14:paraId="5C06844E" w14:textId="77777777" w:rsidR="004518C1" w:rsidRPr="003F0CC9" w:rsidRDefault="004518C1">
      <w:pPr>
        <w:adjustRightInd w:val="0"/>
        <w:contextualSpacing/>
      </w:pPr>
    </w:p>
    <w:sectPr w:rsidR="004518C1" w:rsidRPr="003F0CC9" w:rsidSect="00560426">
      <w:headerReference w:type="default" r:id="rId14"/>
      <w:footerReference w:type="default" r:id="rId15"/>
      <w:pgSz w:w="11906" w:h="16838"/>
      <w:pgMar w:top="1440" w:right="1797" w:bottom="1440" w:left="179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4EBE6" w14:textId="77777777" w:rsidR="00AE7868" w:rsidRDefault="00AE7868">
      <w:r>
        <w:separator/>
      </w:r>
    </w:p>
  </w:endnote>
  <w:endnote w:type="continuationSeparator" w:id="0">
    <w:p w14:paraId="48DE96BB" w14:textId="77777777" w:rsidR="00AE7868" w:rsidRDefault="00AE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1F9D" w14:textId="77777777" w:rsidR="00337F7C" w:rsidRDefault="00AC00ED">
    <w:pPr>
      <w:pStyle w:val="ad"/>
      <w:framePr w:wrap="around" w:vAnchor="text" w:hAnchor="margin" w:xAlign="center" w:y="1"/>
      <w:rPr>
        <w:rStyle w:val="af1"/>
      </w:rPr>
    </w:pPr>
    <w:r>
      <w:fldChar w:fldCharType="begin"/>
    </w:r>
    <w:r w:rsidR="00337F7C">
      <w:rPr>
        <w:rStyle w:val="af1"/>
      </w:rPr>
      <w:instrText xml:space="preserve">PAGE  </w:instrText>
    </w:r>
    <w:r>
      <w:fldChar w:fldCharType="end"/>
    </w:r>
  </w:p>
  <w:p w14:paraId="723285FA" w14:textId="77777777" w:rsidR="00337F7C" w:rsidRDefault="00337F7C">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8D73" w14:textId="77777777" w:rsidR="00337F7C" w:rsidRDefault="00337F7C">
    <w:pPr>
      <w:pStyle w:val="ad"/>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62DC" w14:textId="77777777" w:rsidR="00337F7C" w:rsidRDefault="00AC00ED">
    <w:pPr>
      <w:pStyle w:val="ad"/>
      <w:framePr w:wrap="around" w:vAnchor="text" w:hAnchor="margin" w:xAlign="center" w:y="1"/>
      <w:rPr>
        <w:rStyle w:val="af1"/>
      </w:rPr>
    </w:pPr>
    <w:r>
      <w:fldChar w:fldCharType="begin"/>
    </w:r>
    <w:r w:rsidR="00337F7C">
      <w:rPr>
        <w:rStyle w:val="af1"/>
      </w:rPr>
      <w:instrText xml:space="preserve">PAGE  </w:instrText>
    </w:r>
    <w:r>
      <w:fldChar w:fldCharType="end"/>
    </w:r>
  </w:p>
  <w:p w14:paraId="73A17D5E" w14:textId="77777777" w:rsidR="00337F7C" w:rsidRDefault="00337F7C">
    <w:pPr>
      <w:pStyle w:val="ad"/>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545C" w14:textId="381E5BF4" w:rsidR="00337F7C" w:rsidRDefault="00AC00ED">
    <w:pPr>
      <w:pStyle w:val="ad"/>
      <w:framePr w:wrap="around" w:vAnchor="text" w:hAnchor="margin" w:xAlign="center" w:y="1"/>
      <w:rPr>
        <w:rStyle w:val="af1"/>
      </w:rPr>
    </w:pPr>
    <w:r>
      <w:fldChar w:fldCharType="begin"/>
    </w:r>
    <w:r w:rsidR="00337F7C">
      <w:rPr>
        <w:rStyle w:val="af1"/>
      </w:rPr>
      <w:instrText xml:space="preserve">PAGE  </w:instrText>
    </w:r>
    <w:r>
      <w:fldChar w:fldCharType="separate"/>
    </w:r>
    <w:r w:rsidR="003F0CC9">
      <w:rPr>
        <w:rStyle w:val="af1"/>
        <w:noProof/>
      </w:rPr>
      <w:t>45</w:t>
    </w:r>
    <w:r>
      <w:fldChar w:fldCharType="end"/>
    </w:r>
  </w:p>
  <w:p w14:paraId="314E2DEE" w14:textId="77777777" w:rsidR="00337F7C" w:rsidRDefault="00337F7C">
    <w:pPr>
      <w:pStyle w:val="ad"/>
      <w:ind w:right="360"/>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2727" w14:textId="77777777" w:rsidR="00337F7C" w:rsidRDefault="00337F7C">
    <w:pPr>
      <w:pStyle w:val="ad"/>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22E49" w14:textId="77777777" w:rsidR="00AE7868" w:rsidRDefault="00AE7868">
      <w:r>
        <w:separator/>
      </w:r>
    </w:p>
  </w:footnote>
  <w:footnote w:type="continuationSeparator" w:id="0">
    <w:p w14:paraId="032F0698" w14:textId="77777777" w:rsidR="00AE7868" w:rsidRDefault="00AE78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C2A4" w14:textId="77777777" w:rsidR="00337F7C" w:rsidRDefault="00337F7C">
    <w:pPr>
      <w:pStyle w:val="ae"/>
      <w:jc w:val="right"/>
      <w:rPr>
        <w:rFonts w:ascii="华文行楷" w:eastAsia="华文行楷"/>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1F63C" w14:textId="5B34B630" w:rsidR="00337F7C" w:rsidRDefault="00337F7C">
    <w:pPr>
      <w:pStyle w:val="ae"/>
      <w:ind w:right="90"/>
      <w:jc w:val="right"/>
    </w:pPr>
    <w:r>
      <w:rPr>
        <w:rFonts w:ascii="宋体" w:hAnsi="宋体" w:hint="eastAsia"/>
      </w:rPr>
      <w:t>国泰瑞悦3个月持有期债券型基金中基金（FOF）托管协议</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A7C0" w14:textId="77777777" w:rsidR="00337F7C" w:rsidRDefault="00337F7C">
    <w:pPr>
      <w:pStyle w:val="a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9313C" w14:textId="103E466D" w:rsidR="00337F7C" w:rsidRDefault="00337F7C" w:rsidP="005B37EA">
    <w:pPr>
      <w:pStyle w:val="ae"/>
      <w:ind w:right="90"/>
      <w:jc w:val="right"/>
    </w:pPr>
    <w:r>
      <w:rPr>
        <w:rFonts w:ascii="宋体" w:hAnsi="宋体" w:hint="eastAsia"/>
      </w:rPr>
      <w:t>国泰瑞悦3个月持有期债券型基金中基金（FOF）托管协议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YmI4MGIzYjEzMWYxMDNhYWVkMzg4MzQ4OWJiYTUifQ=="/>
  </w:docVars>
  <w:rsids>
    <w:rsidRoot w:val="00172A27"/>
    <w:rsid w:val="0000291A"/>
    <w:rsid w:val="0000553E"/>
    <w:rsid w:val="000067F4"/>
    <w:rsid w:val="000076E1"/>
    <w:rsid w:val="000119CA"/>
    <w:rsid w:val="00012A74"/>
    <w:rsid w:val="00012F1F"/>
    <w:rsid w:val="00013DCF"/>
    <w:rsid w:val="0002064E"/>
    <w:rsid w:val="00044F34"/>
    <w:rsid w:val="00045A40"/>
    <w:rsid w:val="0004667F"/>
    <w:rsid w:val="00047136"/>
    <w:rsid w:val="00047F3D"/>
    <w:rsid w:val="00050829"/>
    <w:rsid w:val="00050D12"/>
    <w:rsid w:val="00051735"/>
    <w:rsid w:val="000520DB"/>
    <w:rsid w:val="00057046"/>
    <w:rsid w:val="00057779"/>
    <w:rsid w:val="00057A93"/>
    <w:rsid w:val="0006208A"/>
    <w:rsid w:val="00062FB9"/>
    <w:rsid w:val="00064E2B"/>
    <w:rsid w:val="000665DA"/>
    <w:rsid w:val="00066668"/>
    <w:rsid w:val="00071F45"/>
    <w:rsid w:val="00072603"/>
    <w:rsid w:val="00076F6A"/>
    <w:rsid w:val="0007764F"/>
    <w:rsid w:val="000803F0"/>
    <w:rsid w:val="00083076"/>
    <w:rsid w:val="00084666"/>
    <w:rsid w:val="00092FFB"/>
    <w:rsid w:val="00096F4A"/>
    <w:rsid w:val="00097DC7"/>
    <w:rsid w:val="000A0B3F"/>
    <w:rsid w:val="000A3253"/>
    <w:rsid w:val="000A41BA"/>
    <w:rsid w:val="000A5463"/>
    <w:rsid w:val="000B0106"/>
    <w:rsid w:val="000B2508"/>
    <w:rsid w:val="000B424B"/>
    <w:rsid w:val="000B51DB"/>
    <w:rsid w:val="000B748D"/>
    <w:rsid w:val="000B78E4"/>
    <w:rsid w:val="000C1D80"/>
    <w:rsid w:val="000C53AD"/>
    <w:rsid w:val="000C6963"/>
    <w:rsid w:val="000C7758"/>
    <w:rsid w:val="000D21F3"/>
    <w:rsid w:val="000D261E"/>
    <w:rsid w:val="000D53F1"/>
    <w:rsid w:val="000E2ACC"/>
    <w:rsid w:val="000E5429"/>
    <w:rsid w:val="000E5DAA"/>
    <w:rsid w:val="000E608C"/>
    <w:rsid w:val="000E6EC2"/>
    <w:rsid w:val="000E744A"/>
    <w:rsid w:val="000F069C"/>
    <w:rsid w:val="000F31AA"/>
    <w:rsid w:val="000F57E6"/>
    <w:rsid w:val="000F6113"/>
    <w:rsid w:val="00101F63"/>
    <w:rsid w:val="0010494F"/>
    <w:rsid w:val="00105C7F"/>
    <w:rsid w:val="00114CF9"/>
    <w:rsid w:val="00115339"/>
    <w:rsid w:val="001153BC"/>
    <w:rsid w:val="001153EF"/>
    <w:rsid w:val="00116C19"/>
    <w:rsid w:val="00117335"/>
    <w:rsid w:val="00117D32"/>
    <w:rsid w:val="00117F29"/>
    <w:rsid w:val="001213D0"/>
    <w:rsid w:val="00124C36"/>
    <w:rsid w:val="00124F8B"/>
    <w:rsid w:val="001312B2"/>
    <w:rsid w:val="001338A0"/>
    <w:rsid w:val="001343DF"/>
    <w:rsid w:val="00141638"/>
    <w:rsid w:val="0014171B"/>
    <w:rsid w:val="00141ED6"/>
    <w:rsid w:val="00142050"/>
    <w:rsid w:val="00143903"/>
    <w:rsid w:val="00143909"/>
    <w:rsid w:val="001444C0"/>
    <w:rsid w:val="00151B88"/>
    <w:rsid w:val="001526D1"/>
    <w:rsid w:val="00154F6D"/>
    <w:rsid w:val="00156D6A"/>
    <w:rsid w:val="00160302"/>
    <w:rsid w:val="001605E4"/>
    <w:rsid w:val="00162180"/>
    <w:rsid w:val="00164417"/>
    <w:rsid w:val="00164497"/>
    <w:rsid w:val="00166F6D"/>
    <w:rsid w:val="00167088"/>
    <w:rsid w:val="00172A27"/>
    <w:rsid w:val="001742A2"/>
    <w:rsid w:val="001752B3"/>
    <w:rsid w:val="001779F8"/>
    <w:rsid w:val="00186264"/>
    <w:rsid w:val="001A0096"/>
    <w:rsid w:val="001A4F9E"/>
    <w:rsid w:val="001A64DD"/>
    <w:rsid w:val="001A7819"/>
    <w:rsid w:val="001B10FF"/>
    <w:rsid w:val="001B11AE"/>
    <w:rsid w:val="001B1AE0"/>
    <w:rsid w:val="001B3514"/>
    <w:rsid w:val="001B3734"/>
    <w:rsid w:val="001B432E"/>
    <w:rsid w:val="001B4C08"/>
    <w:rsid w:val="001B7923"/>
    <w:rsid w:val="001C1768"/>
    <w:rsid w:val="001C330A"/>
    <w:rsid w:val="001C36ED"/>
    <w:rsid w:val="001C4E82"/>
    <w:rsid w:val="001D1F05"/>
    <w:rsid w:val="001D4FDA"/>
    <w:rsid w:val="001D704B"/>
    <w:rsid w:val="001E08C3"/>
    <w:rsid w:val="001E0A41"/>
    <w:rsid w:val="001E215E"/>
    <w:rsid w:val="001E502C"/>
    <w:rsid w:val="001E620D"/>
    <w:rsid w:val="001F1EB7"/>
    <w:rsid w:val="001F220E"/>
    <w:rsid w:val="001F2748"/>
    <w:rsid w:val="001F4C45"/>
    <w:rsid w:val="002001C5"/>
    <w:rsid w:val="002010F6"/>
    <w:rsid w:val="00203877"/>
    <w:rsid w:val="00204E63"/>
    <w:rsid w:val="002130F7"/>
    <w:rsid w:val="00213E5F"/>
    <w:rsid w:val="002140CB"/>
    <w:rsid w:val="00217C61"/>
    <w:rsid w:val="00220982"/>
    <w:rsid w:val="00220D89"/>
    <w:rsid w:val="002218B3"/>
    <w:rsid w:val="002227C4"/>
    <w:rsid w:val="00230270"/>
    <w:rsid w:val="00230876"/>
    <w:rsid w:val="00230A48"/>
    <w:rsid w:val="0023195D"/>
    <w:rsid w:val="00243696"/>
    <w:rsid w:val="002448FF"/>
    <w:rsid w:val="00246B0B"/>
    <w:rsid w:val="00250B38"/>
    <w:rsid w:val="002530D4"/>
    <w:rsid w:val="00256467"/>
    <w:rsid w:val="00257CC0"/>
    <w:rsid w:val="0026127F"/>
    <w:rsid w:val="00261C26"/>
    <w:rsid w:val="00262B78"/>
    <w:rsid w:val="00263A68"/>
    <w:rsid w:val="0027450E"/>
    <w:rsid w:val="00274A57"/>
    <w:rsid w:val="00275148"/>
    <w:rsid w:val="0027754F"/>
    <w:rsid w:val="00277AB5"/>
    <w:rsid w:val="00280122"/>
    <w:rsid w:val="00281DB3"/>
    <w:rsid w:val="00290107"/>
    <w:rsid w:val="00290A47"/>
    <w:rsid w:val="00292E6F"/>
    <w:rsid w:val="002A19F0"/>
    <w:rsid w:val="002A710C"/>
    <w:rsid w:val="002B2A32"/>
    <w:rsid w:val="002B5CF5"/>
    <w:rsid w:val="002B692B"/>
    <w:rsid w:val="002B6DE6"/>
    <w:rsid w:val="002C20DE"/>
    <w:rsid w:val="002C27C0"/>
    <w:rsid w:val="002C678E"/>
    <w:rsid w:val="002D0FA3"/>
    <w:rsid w:val="002D1642"/>
    <w:rsid w:val="002D3BFA"/>
    <w:rsid w:val="002D4F2B"/>
    <w:rsid w:val="002D5726"/>
    <w:rsid w:val="002E1883"/>
    <w:rsid w:val="002E77DC"/>
    <w:rsid w:val="002E7D8B"/>
    <w:rsid w:val="002F1FF8"/>
    <w:rsid w:val="002F60CF"/>
    <w:rsid w:val="002F7892"/>
    <w:rsid w:val="00300B65"/>
    <w:rsid w:val="00302153"/>
    <w:rsid w:val="003045C4"/>
    <w:rsid w:val="003115F5"/>
    <w:rsid w:val="00311693"/>
    <w:rsid w:val="00313A76"/>
    <w:rsid w:val="0032344A"/>
    <w:rsid w:val="0032432D"/>
    <w:rsid w:val="00325877"/>
    <w:rsid w:val="00327619"/>
    <w:rsid w:val="00332FC3"/>
    <w:rsid w:val="0033684F"/>
    <w:rsid w:val="003373C8"/>
    <w:rsid w:val="00337F7C"/>
    <w:rsid w:val="00341200"/>
    <w:rsid w:val="00342EA8"/>
    <w:rsid w:val="00347255"/>
    <w:rsid w:val="00347D96"/>
    <w:rsid w:val="003542C7"/>
    <w:rsid w:val="0035725D"/>
    <w:rsid w:val="00363881"/>
    <w:rsid w:val="00364257"/>
    <w:rsid w:val="00364ABA"/>
    <w:rsid w:val="00365BA6"/>
    <w:rsid w:val="00365BED"/>
    <w:rsid w:val="003667A7"/>
    <w:rsid w:val="00370F93"/>
    <w:rsid w:val="00372A59"/>
    <w:rsid w:val="00377B39"/>
    <w:rsid w:val="003809BB"/>
    <w:rsid w:val="003871D7"/>
    <w:rsid w:val="0039047C"/>
    <w:rsid w:val="003A17FA"/>
    <w:rsid w:val="003A4F5F"/>
    <w:rsid w:val="003B1367"/>
    <w:rsid w:val="003B6915"/>
    <w:rsid w:val="003B7A1C"/>
    <w:rsid w:val="003C12D6"/>
    <w:rsid w:val="003C2FD6"/>
    <w:rsid w:val="003C4275"/>
    <w:rsid w:val="003C543A"/>
    <w:rsid w:val="003C5A6B"/>
    <w:rsid w:val="003C60FD"/>
    <w:rsid w:val="003C6547"/>
    <w:rsid w:val="003D0588"/>
    <w:rsid w:val="003D24B6"/>
    <w:rsid w:val="003D3557"/>
    <w:rsid w:val="003D372A"/>
    <w:rsid w:val="003D6688"/>
    <w:rsid w:val="003E160C"/>
    <w:rsid w:val="003E198A"/>
    <w:rsid w:val="003E1EE9"/>
    <w:rsid w:val="003E3DA3"/>
    <w:rsid w:val="003F05D5"/>
    <w:rsid w:val="003F093D"/>
    <w:rsid w:val="003F0CC9"/>
    <w:rsid w:val="004052E4"/>
    <w:rsid w:val="0041014B"/>
    <w:rsid w:val="00410315"/>
    <w:rsid w:val="00410623"/>
    <w:rsid w:val="00411CC0"/>
    <w:rsid w:val="0042653D"/>
    <w:rsid w:val="004267BD"/>
    <w:rsid w:val="00426933"/>
    <w:rsid w:val="00430328"/>
    <w:rsid w:val="00430941"/>
    <w:rsid w:val="004313A9"/>
    <w:rsid w:val="00431C29"/>
    <w:rsid w:val="00433F63"/>
    <w:rsid w:val="00441143"/>
    <w:rsid w:val="00441CE9"/>
    <w:rsid w:val="00442B58"/>
    <w:rsid w:val="00445996"/>
    <w:rsid w:val="00445C30"/>
    <w:rsid w:val="004464B9"/>
    <w:rsid w:val="004466C5"/>
    <w:rsid w:val="0044714F"/>
    <w:rsid w:val="00447785"/>
    <w:rsid w:val="004518C1"/>
    <w:rsid w:val="00457331"/>
    <w:rsid w:val="004616A9"/>
    <w:rsid w:val="00464CFE"/>
    <w:rsid w:val="004658F8"/>
    <w:rsid w:val="0047066A"/>
    <w:rsid w:val="00473B85"/>
    <w:rsid w:val="00475B6C"/>
    <w:rsid w:val="00477009"/>
    <w:rsid w:val="00477E81"/>
    <w:rsid w:val="00482BF1"/>
    <w:rsid w:val="00482FEC"/>
    <w:rsid w:val="004837CC"/>
    <w:rsid w:val="00486653"/>
    <w:rsid w:val="004957B1"/>
    <w:rsid w:val="00495B1F"/>
    <w:rsid w:val="00495D40"/>
    <w:rsid w:val="00496FA5"/>
    <w:rsid w:val="004A255F"/>
    <w:rsid w:val="004B2C41"/>
    <w:rsid w:val="004B2DFC"/>
    <w:rsid w:val="004B44F5"/>
    <w:rsid w:val="004B6C92"/>
    <w:rsid w:val="004B7369"/>
    <w:rsid w:val="004C0BA1"/>
    <w:rsid w:val="004C1EA1"/>
    <w:rsid w:val="004C26A8"/>
    <w:rsid w:val="004C35DA"/>
    <w:rsid w:val="004D2614"/>
    <w:rsid w:val="004D3E17"/>
    <w:rsid w:val="004D4E12"/>
    <w:rsid w:val="004D5E59"/>
    <w:rsid w:val="004D6618"/>
    <w:rsid w:val="004E008A"/>
    <w:rsid w:val="004E0E4B"/>
    <w:rsid w:val="004E19D4"/>
    <w:rsid w:val="004E266C"/>
    <w:rsid w:val="004E27C2"/>
    <w:rsid w:val="004E3D15"/>
    <w:rsid w:val="004E55D5"/>
    <w:rsid w:val="004F0C98"/>
    <w:rsid w:val="004F1CBA"/>
    <w:rsid w:val="004F509E"/>
    <w:rsid w:val="00503234"/>
    <w:rsid w:val="00505751"/>
    <w:rsid w:val="005064D3"/>
    <w:rsid w:val="00506FA0"/>
    <w:rsid w:val="005072CF"/>
    <w:rsid w:val="0050756B"/>
    <w:rsid w:val="005131B7"/>
    <w:rsid w:val="00514484"/>
    <w:rsid w:val="005149B5"/>
    <w:rsid w:val="00517CA4"/>
    <w:rsid w:val="005201B5"/>
    <w:rsid w:val="005226D8"/>
    <w:rsid w:val="00523017"/>
    <w:rsid w:val="005266B9"/>
    <w:rsid w:val="00526FB2"/>
    <w:rsid w:val="005272BC"/>
    <w:rsid w:val="00531275"/>
    <w:rsid w:val="0053147A"/>
    <w:rsid w:val="00531CFD"/>
    <w:rsid w:val="005367E4"/>
    <w:rsid w:val="005440DE"/>
    <w:rsid w:val="00551E34"/>
    <w:rsid w:val="005545B8"/>
    <w:rsid w:val="00560426"/>
    <w:rsid w:val="00562704"/>
    <w:rsid w:val="00563745"/>
    <w:rsid w:val="00566EA2"/>
    <w:rsid w:val="00572BD7"/>
    <w:rsid w:val="00572F6A"/>
    <w:rsid w:val="005752FF"/>
    <w:rsid w:val="005763AD"/>
    <w:rsid w:val="00576AED"/>
    <w:rsid w:val="005920F7"/>
    <w:rsid w:val="00596AD2"/>
    <w:rsid w:val="005A2D28"/>
    <w:rsid w:val="005A5A4D"/>
    <w:rsid w:val="005A7702"/>
    <w:rsid w:val="005B37EA"/>
    <w:rsid w:val="005C0B51"/>
    <w:rsid w:val="005C4093"/>
    <w:rsid w:val="005C4E0C"/>
    <w:rsid w:val="005C5012"/>
    <w:rsid w:val="005C54F9"/>
    <w:rsid w:val="005C5AF7"/>
    <w:rsid w:val="005D101F"/>
    <w:rsid w:val="005D4E66"/>
    <w:rsid w:val="005E143A"/>
    <w:rsid w:val="005E1DBC"/>
    <w:rsid w:val="005E2029"/>
    <w:rsid w:val="005E20DD"/>
    <w:rsid w:val="005E30FA"/>
    <w:rsid w:val="005E5FA3"/>
    <w:rsid w:val="005F1A0C"/>
    <w:rsid w:val="005F2B16"/>
    <w:rsid w:val="005F3364"/>
    <w:rsid w:val="005F3F07"/>
    <w:rsid w:val="005F55BF"/>
    <w:rsid w:val="0060023D"/>
    <w:rsid w:val="00601780"/>
    <w:rsid w:val="006029C5"/>
    <w:rsid w:val="00602A23"/>
    <w:rsid w:val="00603692"/>
    <w:rsid w:val="00610F11"/>
    <w:rsid w:val="0061116C"/>
    <w:rsid w:val="00611E18"/>
    <w:rsid w:val="00612A43"/>
    <w:rsid w:val="00612CCD"/>
    <w:rsid w:val="006209BF"/>
    <w:rsid w:val="00622792"/>
    <w:rsid w:val="0062349E"/>
    <w:rsid w:val="00623FA2"/>
    <w:rsid w:val="00625643"/>
    <w:rsid w:val="00626E9A"/>
    <w:rsid w:val="00631A37"/>
    <w:rsid w:val="00632C20"/>
    <w:rsid w:val="00632EF2"/>
    <w:rsid w:val="0063451F"/>
    <w:rsid w:val="0063594D"/>
    <w:rsid w:val="00637C31"/>
    <w:rsid w:val="00641370"/>
    <w:rsid w:val="00641881"/>
    <w:rsid w:val="00641F0C"/>
    <w:rsid w:val="00646B51"/>
    <w:rsid w:val="00646E8D"/>
    <w:rsid w:val="006471DA"/>
    <w:rsid w:val="00647C3C"/>
    <w:rsid w:val="006513D4"/>
    <w:rsid w:val="0065147C"/>
    <w:rsid w:val="00654EBC"/>
    <w:rsid w:val="00660511"/>
    <w:rsid w:val="00665186"/>
    <w:rsid w:val="006651EC"/>
    <w:rsid w:val="00667F81"/>
    <w:rsid w:val="00672112"/>
    <w:rsid w:val="00672C59"/>
    <w:rsid w:val="006730B9"/>
    <w:rsid w:val="006740C2"/>
    <w:rsid w:val="00685FA3"/>
    <w:rsid w:val="00691F55"/>
    <w:rsid w:val="006923A6"/>
    <w:rsid w:val="0069586F"/>
    <w:rsid w:val="006A021D"/>
    <w:rsid w:val="006A0BD3"/>
    <w:rsid w:val="006A363B"/>
    <w:rsid w:val="006A462B"/>
    <w:rsid w:val="006A6C63"/>
    <w:rsid w:val="006A76E9"/>
    <w:rsid w:val="006A7D21"/>
    <w:rsid w:val="006B00FD"/>
    <w:rsid w:val="006B1F28"/>
    <w:rsid w:val="006B6A53"/>
    <w:rsid w:val="006C28A9"/>
    <w:rsid w:val="006C6A3D"/>
    <w:rsid w:val="006D17D0"/>
    <w:rsid w:val="006D17E3"/>
    <w:rsid w:val="006D3B6C"/>
    <w:rsid w:val="006D5D49"/>
    <w:rsid w:val="006E0269"/>
    <w:rsid w:val="006E1754"/>
    <w:rsid w:val="006E334C"/>
    <w:rsid w:val="006E3D64"/>
    <w:rsid w:val="006E684F"/>
    <w:rsid w:val="006E72E3"/>
    <w:rsid w:val="006E79D3"/>
    <w:rsid w:val="006F5CCD"/>
    <w:rsid w:val="0070759E"/>
    <w:rsid w:val="007079F6"/>
    <w:rsid w:val="007104F0"/>
    <w:rsid w:val="00711CA7"/>
    <w:rsid w:val="00712D4D"/>
    <w:rsid w:val="00727435"/>
    <w:rsid w:val="00730FC7"/>
    <w:rsid w:val="007315C5"/>
    <w:rsid w:val="00733007"/>
    <w:rsid w:val="007360EB"/>
    <w:rsid w:val="00736795"/>
    <w:rsid w:val="00737AF0"/>
    <w:rsid w:val="007408E8"/>
    <w:rsid w:val="00744356"/>
    <w:rsid w:val="00746985"/>
    <w:rsid w:val="007479D0"/>
    <w:rsid w:val="0075191E"/>
    <w:rsid w:val="00753374"/>
    <w:rsid w:val="007545DB"/>
    <w:rsid w:val="00754F48"/>
    <w:rsid w:val="007657EB"/>
    <w:rsid w:val="00766713"/>
    <w:rsid w:val="00767D1B"/>
    <w:rsid w:val="00771FC9"/>
    <w:rsid w:val="007736FF"/>
    <w:rsid w:val="007757FF"/>
    <w:rsid w:val="007767BE"/>
    <w:rsid w:val="007855CC"/>
    <w:rsid w:val="007940A9"/>
    <w:rsid w:val="00796D5C"/>
    <w:rsid w:val="007A026A"/>
    <w:rsid w:val="007A1180"/>
    <w:rsid w:val="007A15AE"/>
    <w:rsid w:val="007A1AA8"/>
    <w:rsid w:val="007A37C0"/>
    <w:rsid w:val="007A4395"/>
    <w:rsid w:val="007A541E"/>
    <w:rsid w:val="007A60E8"/>
    <w:rsid w:val="007A7752"/>
    <w:rsid w:val="007B03E0"/>
    <w:rsid w:val="007B0487"/>
    <w:rsid w:val="007B04CE"/>
    <w:rsid w:val="007B19A2"/>
    <w:rsid w:val="007B22CF"/>
    <w:rsid w:val="007B3DAB"/>
    <w:rsid w:val="007C23E1"/>
    <w:rsid w:val="007D3E13"/>
    <w:rsid w:val="007D7403"/>
    <w:rsid w:val="007E5390"/>
    <w:rsid w:val="007E542B"/>
    <w:rsid w:val="007E54E9"/>
    <w:rsid w:val="007E6117"/>
    <w:rsid w:val="007F0D04"/>
    <w:rsid w:val="007F498F"/>
    <w:rsid w:val="007F4D9B"/>
    <w:rsid w:val="007F5235"/>
    <w:rsid w:val="007F72D3"/>
    <w:rsid w:val="00801FE6"/>
    <w:rsid w:val="00802911"/>
    <w:rsid w:val="00805E98"/>
    <w:rsid w:val="008108F7"/>
    <w:rsid w:val="00814563"/>
    <w:rsid w:val="00814ED9"/>
    <w:rsid w:val="00822C6D"/>
    <w:rsid w:val="00824886"/>
    <w:rsid w:val="00824D2F"/>
    <w:rsid w:val="00825013"/>
    <w:rsid w:val="00826130"/>
    <w:rsid w:val="008264F6"/>
    <w:rsid w:val="00826BBD"/>
    <w:rsid w:val="00826F49"/>
    <w:rsid w:val="00831518"/>
    <w:rsid w:val="00832E3B"/>
    <w:rsid w:val="00834A9B"/>
    <w:rsid w:val="0084016E"/>
    <w:rsid w:val="00842752"/>
    <w:rsid w:val="00842790"/>
    <w:rsid w:val="00842ADD"/>
    <w:rsid w:val="00842BB5"/>
    <w:rsid w:val="00846520"/>
    <w:rsid w:val="00847B26"/>
    <w:rsid w:val="00847F92"/>
    <w:rsid w:val="008542CA"/>
    <w:rsid w:val="00857238"/>
    <w:rsid w:val="00857A9D"/>
    <w:rsid w:val="00857D31"/>
    <w:rsid w:val="008622D1"/>
    <w:rsid w:val="008638D7"/>
    <w:rsid w:val="00864867"/>
    <w:rsid w:val="00867796"/>
    <w:rsid w:val="00867D10"/>
    <w:rsid w:val="0088188D"/>
    <w:rsid w:val="00881CB6"/>
    <w:rsid w:val="00883810"/>
    <w:rsid w:val="0088577D"/>
    <w:rsid w:val="00891328"/>
    <w:rsid w:val="00895954"/>
    <w:rsid w:val="00895B37"/>
    <w:rsid w:val="00897C96"/>
    <w:rsid w:val="00897D77"/>
    <w:rsid w:val="008A17E1"/>
    <w:rsid w:val="008A67AD"/>
    <w:rsid w:val="008A6A7D"/>
    <w:rsid w:val="008A72F5"/>
    <w:rsid w:val="008B23D5"/>
    <w:rsid w:val="008B4EF1"/>
    <w:rsid w:val="008B7DCE"/>
    <w:rsid w:val="008C11D3"/>
    <w:rsid w:val="008C1FA6"/>
    <w:rsid w:val="008C5BFD"/>
    <w:rsid w:val="008C7F28"/>
    <w:rsid w:val="008D33B8"/>
    <w:rsid w:val="008D6DAE"/>
    <w:rsid w:val="008D7014"/>
    <w:rsid w:val="008E1777"/>
    <w:rsid w:val="008E1C1B"/>
    <w:rsid w:val="008E3BB2"/>
    <w:rsid w:val="008E47C9"/>
    <w:rsid w:val="008E621D"/>
    <w:rsid w:val="008E7DAC"/>
    <w:rsid w:val="008F235D"/>
    <w:rsid w:val="008F2FAC"/>
    <w:rsid w:val="008F36FA"/>
    <w:rsid w:val="008F655C"/>
    <w:rsid w:val="008F7633"/>
    <w:rsid w:val="0090127E"/>
    <w:rsid w:val="00901B23"/>
    <w:rsid w:val="009025FD"/>
    <w:rsid w:val="0090533B"/>
    <w:rsid w:val="009065CE"/>
    <w:rsid w:val="0090741A"/>
    <w:rsid w:val="00911367"/>
    <w:rsid w:val="00911A33"/>
    <w:rsid w:val="009138FF"/>
    <w:rsid w:val="00917522"/>
    <w:rsid w:val="00917AD0"/>
    <w:rsid w:val="00920BD7"/>
    <w:rsid w:val="00924355"/>
    <w:rsid w:val="009245A7"/>
    <w:rsid w:val="00926C17"/>
    <w:rsid w:val="0092769A"/>
    <w:rsid w:val="00932E2E"/>
    <w:rsid w:val="00932F15"/>
    <w:rsid w:val="0093336C"/>
    <w:rsid w:val="00940306"/>
    <w:rsid w:val="00940B44"/>
    <w:rsid w:val="009442B6"/>
    <w:rsid w:val="00947EE9"/>
    <w:rsid w:val="009505F9"/>
    <w:rsid w:val="009505FA"/>
    <w:rsid w:val="00950D52"/>
    <w:rsid w:val="00953F6C"/>
    <w:rsid w:val="00954072"/>
    <w:rsid w:val="0095605D"/>
    <w:rsid w:val="009579D3"/>
    <w:rsid w:val="00957DD9"/>
    <w:rsid w:val="00960A6B"/>
    <w:rsid w:val="0096285E"/>
    <w:rsid w:val="00963888"/>
    <w:rsid w:val="00963F07"/>
    <w:rsid w:val="00964173"/>
    <w:rsid w:val="009675CA"/>
    <w:rsid w:val="009703D8"/>
    <w:rsid w:val="00972E24"/>
    <w:rsid w:val="009731F8"/>
    <w:rsid w:val="00973430"/>
    <w:rsid w:val="00977890"/>
    <w:rsid w:val="00983591"/>
    <w:rsid w:val="009843AF"/>
    <w:rsid w:val="0098478F"/>
    <w:rsid w:val="009875CA"/>
    <w:rsid w:val="00992684"/>
    <w:rsid w:val="0099317E"/>
    <w:rsid w:val="009A1605"/>
    <w:rsid w:val="009A1662"/>
    <w:rsid w:val="009A44A9"/>
    <w:rsid w:val="009A5995"/>
    <w:rsid w:val="009A6BE5"/>
    <w:rsid w:val="009B7721"/>
    <w:rsid w:val="009B7BD0"/>
    <w:rsid w:val="009C12DA"/>
    <w:rsid w:val="009C5E05"/>
    <w:rsid w:val="009D07C7"/>
    <w:rsid w:val="009D4684"/>
    <w:rsid w:val="009D56F6"/>
    <w:rsid w:val="009D7205"/>
    <w:rsid w:val="009E1CC1"/>
    <w:rsid w:val="009E236D"/>
    <w:rsid w:val="009E4C48"/>
    <w:rsid w:val="009F1153"/>
    <w:rsid w:val="009F3F3A"/>
    <w:rsid w:val="009F7D91"/>
    <w:rsid w:val="00A008B2"/>
    <w:rsid w:val="00A00B0B"/>
    <w:rsid w:val="00A02AD8"/>
    <w:rsid w:val="00A110E0"/>
    <w:rsid w:val="00A121CC"/>
    <w:rsid w:val="00A147A3"/>
    <w:rsid w:val="00A245A9"/>
    <w:rsid w:val="00A27E3C"/>
    <w:rsid w:val="00A30500"/>
    <w:rsid w:val="00A37AB5"/>
    <w:rsid w:val="00A40853"/>
    <w:rsid w:val="00A41DAE"/>
    <w:rsid w:val="00A42122"/>
    <w:rsid w:val="00A52E4D"/>
    <w:rsid w:val="00A5506C"/>
    <w:rsid w:val="00A55DC9"/>
    <w:rsid w:val="00A60040"/>
    <w:rsid w:val="00A6416B"/>
    <w:rsid w:val="00A7368B"/>
    <w:rsid w:val="00A80BCF"/>
    <w:rsid w:val="00A84347"/>
    <w:rsid w:val="00A8476A"/>
    <w:rsid w:val="00A86071"/>
    <w:rsid w:val="00A92652"/>
    <w:rsid w:val="00A9704A"/>
    <w:rsid w:val="00AA142B"/>
    <w:rsid w:val="00AA6C78"/>
    <w:rsid w:val="00AB1748"/>
    <w:rsid w:val="00AB2DD7"/>
    <w:rsid w:val="00AB54D9"/>
    <w:rsid w:val="00AC00ED"/>
    <w:rsid w:val="00AC05EB"/>
    <w:rsid w:val="00AC0BF4"/>
    <w:rsid w:val="00AC523A"/>
    <w:rsid w:val="00AC5D5B"/>
    <w:rsid w:val="00AC5E80"/>
    <w:rsid w:val="00AC7319"/>
    <w:rsid w:val="00AD333C"/>
    <w:rsid w:val="00AD7141"/>
    <w:rsid w:val="00AD74E9"/>
    <w:rsid w:val="00AE1756"/>
    <w:rsid w:val="00AE2B43"/>
    <w:rsid w:val="00AE4C95"/>
    <w:rsid w:val="00AE6B43"/>
    <w:rsid w:val="00AE6B52"/>
    <w:rsid w:val="00AE7868"/>
    <w:rsid w:val="00AF365C"/>
    <w:rsid w:val="00AF5A71"/>
    <w:rsid w:val="00AF7665"/>
    <w:rsid w:val="00B03429"/>
    <w:rsid w:val="00B07ABF"/>
    <w:rsid w:val="00B138D4"/>
    <w:rsid w:val="00B17823"/>
    <w:rsid w:val="00B24BE8"/>
    <w:rsid w:val="00B257B7"/>
    <w:rsid w:val="00B30596"/>
    <w:rsid w:val="00B309B6"/>
    <w:rsid w:val="00B30DC8"/>
    <w:rsid w:val="00B31A9E"/>
    <w:rsid w:val="00B33714"/>
    <w:rsid w:val="00B352C1"/>
    <w:rsid w:val="00B44688"/>
    <w:rsid w:val="00B45DAC"/>
    <w:rsid w:val="00B50FA6"/>
    <w:rsid w:val="00B532E6"/>
    <w:rsid w:val="00B55CD5"/>
    <w:rsid w:val="00B5705B"/>
    <w:rsid w:val="00B6666B"/>
    <w:rsid w:val="00B67EC4"/>
    <w:rsid w:val="00B75C43"/>
    <w:rsid w:val="00B764F7"/>
    <w:rsid w:val="00B80223"/>
    <w:rsid w:val="00B85540"/>
    <w:rsid w:val="00B8653F"/>
    <w:rsid w:val="00B86C54"/>
    <w:rsid w:val="00B873F4"/>
    <w:rsid w:val="00B940B9"/>
    <w:rsid w:val="00B97034"/>
    <w:rsid w:val="00BA28DC"/>
    <w:rsid w:val="00BA706F"/>
    <w:rsid w:val="00BB2CC7"/>
    <w:rsid w:val="00BB3C96"/>
    <w:rsid w:val="00BB43E5"/>
    <w:rsid w:val="00BB4FD9"/>
    <w:rsid w:val="00BC057E"/>
    <w:rsid w:val="00BC40F8"/>
    <w:rsid w:val="00BC7BBD"/>
    <w:rsid w:val="00BC7FD4"/>
    <w:rsid w:val="00BD2A1A"/>
    <w:rsid w:val="00BD6850"/>
    <w:rsid w:val="00BE0D1C"/>
    <w:rsid w:val="00BE5485"/>
    <w:rsid w:val="00BE6B84"/>
    <w:rsid w:val="00BF2CE8"/>
    <w:rsid w:val="00BF3BF2"/>
    <w:rsid w:val="00BF4DF5"/>
    <w:rsid w:val="00C0496A"/>
    <w:rsid w:val="00C05926"/>
    <w:rsid w:val="00C1016C"/>
    <w:rsid w:val="00C102E3"/>
    <w:rsid w:val="00C116B2"/>
    <w:rsid w:val="00C26C4E"/>
    <w:rsid w:val="00C30335"/>
    <w:rsid w:val="00C305C5"/>
    <w:rsid w:val="00C3317E"/>
    <w:rsid w:val="00C404F6"/>
    <w:rsid w:val="00C4202D"/>
    <w:rsid w:val="00C44850"/>
    <w:rsid w:val="00C4625E"/>
    <w:rsid w:val="00C565AA"/>
    <w:rsid w:val="00C620D7"/>
    <w:rsid w:val="00C66A19"/>
    <w:rsid w:val="00C70D35"/>
    <w:rsid w:val="00C733D4"/>
    <w:rsid w:val="00C75D87"/>
    <w:rsid w:val="00C76C2F"/>
    <w:rsid w:val="00C80AA1"/>
    <w:rsid w:val="00C816E9"/>
    <w:rsid w:val="00C8428D"/>
    <w:rsid w:val="00C86AF7"/>
    <w:rsid w:val="00C90A7E"/>
    <w:rsid w:val="00C913B2"/>
    <w:rsid w:val="00C91839"/>
    <w:rsid w:val="00C95F77"/>
    <w:rsid w:val="00CA2BC9"/>
    <w:rsid w:val="00CA60B0"/>
    <w:rsid w:val="00CA633A"/>
    <w:rsid w:val="00CA6C20"/>
    <w:rsid w:val="00CA74FE"/>
    <w:rsid w:val="00CB058E"/>
    <w:rsid w:val="00CB2B00"/>
    <w:rsid w:val="00CB2C19"/>
    <w:rsid w:val="00CB5876"/>
    <w:rsid w:val="00CB5D02"/>
    <w:rsid w:val="00CB7533"/>
    <w:rsid w:val="00CC0374"/>
    <w:rsid w:val="00CC148C"/>
    <w:rsid w:val="00CC594C"/>
    <w:rsid w:val="00CD1160"/>
    <w:rsid w:val="00CD2E11"/>
    <w:rsid w:val="00CD3853"/>
    <w:rsid w:val="00CD5706"/>
    <w:rsid w:val="00CD6149"/>
    <w:rsid w:val="00CE1245"/>
    <w:rsid w:val="00CE23DE"/>
    <w:rsid w:val="00CE54A4"/>
    <w:rsid w:val="00CE6D85"/>
    <w:rsid w:val="00CE7ED5"/>
    <w:rsid w:val="00CF616B"/>
    <w:rsid w:val="00CF6AAC"/>
    <w:rsid w:val="00D064B1"/>
    <w:rsid w:val="00D0650B"/>
    <w:rsid w:val="00D07B86"/>
    <w:rsid w:val="00D118BD"/>
    <w:rsid w:val="00D143AE"/>
    <w:rsid w:val="00D14CCD"/>
    <w:rsid w:val="00D200EF"/>
    <w:rsid w:val="00D20EE4"/>
    <w:rsid w:val="00D21C2A"/>
    <w:rsid w:val="00D23FCE"/>
    <w:rsid w:val="00D31EB8"/>
    <w:rsid w:val="00D3312D"/>
    <w:rsid w:val="00D4042A"/>
    <w:rsid w:val="00D4654A"/>
    <w:rsid w:val="00D475DA"/>
    <w:rsid w:val="00D51941"/>
    <w:rsid w:val="00D70131"/>
    <w:rsid w:val="00D8035D"/>
    <w:rsid w:val="00D81F70"/>
    <w:rsid w:val="00D85064"/>
    <w:rsid w:val="00D850F6"/>
    <w:rsid w:val="00D9148C"/>
    <w:rsid w:val="00D929F5"/>
    <w:rsid w:val="00D9419E"/>
    <w:rsid w:val="00D96935"/>
    <w:rsid w:val="00D9766A"/>
    <w:rsid w:val="00DA49E8"/>
    <w:rsid w:val="00DA4F81"/>
    <w:rsid w:val="00DA5A0F"/>
    <w:rsid w:val="00DA6C70"/>
    <w:rsid w:val="00DA7D1E"/>
    <w:rsid w:val="00DA7F05"/>
    <w:rsid w:val="00DB0FA4"/>
    <w:rsid w:val="00DB32F8"/>
    <w:rsid w:val="00DB636D"/>
    <w:rsid w:val="00DC5EE6"/>
    <w:rsid w:val="00DC6077"/>
    <w:rsid w:val="00DC7165"/>
    <w:rsid w:val="00DC7863"/>
    <w:rsid w:val="00DD2735"/>
    <w:rsid w:val="00DE048B"/>
    <w:rsid w:val="00DE17AB"/>
    <w:rsid w:val="00DE3818"/>
    <w:rsid w:val="00DF0119"/>
    <w:rsid w:val="00DF0416"/>
    <w:rsid w:val="00DF0704"/>
    <w:rsid w:val="00DF5256"/>
    <w:rsid w:val="00E021FB"/>
    <w:rsid w:val="00E046BA"/>
    <w:rsid w:val="00E065D1"/>
    <w:rsid w:val="00E07A99"/>
    <w:rsid w:val="00E10046"/>
    <w:rsid w:val="00E11408"/>
    <w:rsid w:val="00E13B06"/>
    <w:rsid w:val="00E164C0"/>
    <w:rsid w:val="00E1765E"/>
    <w:rsid w:val="00E254DD"/>
    <w:rsid w:val="00E2682F"/>
    <w:rsid w:val="00E30FE5"/>
    <w:rsid w:val="00E34F33"/>
    <w:rsid w:val="00E40F0E"/>
    <w:rsid w:val="00E42C2B"/>
    <w:rsid w:val="00E433CF"/>
    <w:rsid w:val="00E464C4"/>
    <w:rsid w:val="00E46D5F"/>
    <w:rsid w:val="00E5177B"/>
    <w:rsid w:val="00E527B2"/>
    <w:rsid w:val="00E52B6E"/>
    <w:rsid w:val="00E612DB"/>
    <w:rsid w:val="00E65A8B"/>
    <w:rsid w:val="00E663A1"/>
    <w:rsid w:val="00E66EFA"/>
    <w:rsid w:val="00E674AC"/>
    <w:rsid w:val="00E6779C"/>
    <w:rsid w:val="00E70C00"/>
    <w:rsid w:val="00E75558"/>
    <w:rsid w:val="00E76275"/>
    <w:rsid w:val="00E76AD5"/>
    <w:rsid w:val="00E82DA2"/>
    <w:rsid w:val="00E83166"/>
    <w:rsid w:val="00E85298"/>
    <w:rsid w:val="00E907AC"/>
    <w:rsid w:val="00E93E1A"/>
    <w:rsid w:val="00E957FC"/>
    <w:rsid w:val="00E9697E"/>
    <w:rsid w:val="00EA1C86"/>
    <w:rsid w:val="00EA32DF"/>
    <w:rsid w:val="00EA4149"/>
    <w:rsid w:val="00EB11B3"/>
    <w:rsid w:val="00EB17AA"/>
    <w:rsid w:val="00EB510C"/>
    <w:rsid w:val="00EC078F"/>
    <w:rsid w:val="00EC134F"/>
    <w:rsid w:val="00EC2387"/>
    <w:rsid w:val="00EC7C49"/>
    <w:rsid w:val="00ED2021"/>
    <w:rsid w:val="00ED3061"/>
    <w:rsid w:val="00ED42B2"/>
    <w:rsid w:val="00ED6E29"/>
    <w:rsid w:val="00ED70E5"/>
    <w:rsid w:val="00EE44EE"/>
    <w:rsid w:val="00EE5F51"/>
    <w:rsid w:val="00EE6D13"/>
    <w:rsid w:val="00EF28FB"/>
    <w:rsid w:val="00EF3FEC"/>
    <w:rsid w:val="00EF4DA1"/>
    <w:rsid w:val="00EF63B3"/>
    <w:rsid w:val="00EF6CE2"/>
    <w:rsid w:val="00F05558"/>
    <w:rsid w:val="00F06BD7"/>
    <w:rsid w:val="00F119B0"/>
    <w:rsid w:val="00F1507B"/>
    <w:rsid w:val="00F177DD"/>
    <w:rsid w:val="00F17FEB"/>
    <w:rsid w:val="00F20BEA"/>
    <w:rsid w:val="00F22113"/>
    <w:rsid w:val="00F3149F"/>
    <w:rsid w:val="00F34782"/>
    <w:rsid w:val="00F41A85"/>
    <w:rsid w:val="00F41E47"/>
    <w:rsid w:val="00F4356D"/>
    <w:rsid w:val="00F43E3D"/>
    <w:rsid w:val="00F52998"/>
    <w:rsid w:val="00F54306"/>
    <w:rsid w:val="00F64494"/>
    <w:rsid w:val="00F701CF"/>
    <w:rsid w:val="00F70DEB"/>
    <w:rsid w:val="00F721D3"/>
    <w:rsid w:val="00F72BFE"/>
    <w:rsid w:val="00F72F61"/>
    <w:rsid w:val="00F761B3"/>
    <w:rsid w:val="00F821A9"/>
    <w:rsid w:val="00F86C02"/>
    <w:rsid w:val="00F90B90"/>
    <w:rsid w:val="00F930B6"/>
    <w:rsid w:val="00F95D95"/>
    <w:rsid w:val="00FA2102"/>
    <w:rsid w:val="00FA538E"/>
    <w:rsid w:val="00FA790C"/>
    <w:rsid w:val="00FB23DA"/>
    <w:rsid w:val="00FB3565"/>
    <w:rsid w:val="00FB650B"/>
    <w:rsid w:val="00FC1735"/>
    <w:rsid w:val="00FC2BC3"/>
    <w:rsid w:val="00FC7F67"/>
    <w:rsid w:val="00FE1980"/>
    <w:rsid w:val="00FE3946"/>
    <w:rsid w:val="00FE4366"/>
    <w:rsid w:val="00FE52DF"/>
    <w:rsid w:val="00FE6B27"/>
    <w:rsid w:val="00FE752A"/>
    <w:rsid w:val="00FF281A"/>
    <w:rsid w:val="00FF2D90"/>
    <w:rsid w:val="00FF2DEA"/>
    <w:rsid w:val="00FF336E"/>
    <w:rsid w:val="00FF63CF"/>
    <w:rsid w:val="00FF7D6F"/>
    <w:rsid w:val="0303627E"/>
    <w:rsid w:val="06943328"/>
    <w:rsid w:val="080E7DD5"/>
    <w:rsid w:val="0AF61BEC"/>
    <w:rsid w:val="0B2962EC"/>
    <w:rsid w:val="0C2812AD"/>
    <w:rsid w:val="129C321F"/>
    <w:rsid w:val="12A71727"/>
    <w:rsid w:val="1BFB1A4D"/>
    <w:rsid w:val="229A14FB"/>
    <w:rsid w:val="266D4655"/>
    <w:rsid w:val="2E030250"/>
    <w:rsid w:val="327D7785"/>
    <w:rsid w:val="3DB015E4"/>
    <w:rsid w:val="3FD47291"/>
    <w:rsid w:val="413B1D5E"/>
    <w:rsid w:val="41620E60"/>
    <w:rsid w:val="44E948EF"/>
    <w:rsid w:val="45DA192D"/>
    <w:rsid w:val="4CCE3BFC"/>
    <w:rsid w:val="4D9445C3"/>
    <w:rsid w:val="4EA42B79"/>
    <w:rsid w:val="4F974B6F"/>
    <w:rsid w:val="51020934"/>
    <w:rsid w:val="52F12172"/>
    <w:rsid w:val="554576C8"/>
    <w:rsid w:val="588A78A3"/>
    <w:rsid w:val="58E50A61"/>
    <w:rsid w:val="59034127"/>
    <w:rsid w:val="59A723F3"/>
    <w:rsid w:val="5D143C54"/>
    <w:rsid w:val="5E021DC1"/>
    <w:rsid w:val="67416792"/>
    <w:rsid w:val="6DB91082"/>
    <w:rsid w:val="6DBB29EB"/>
    <w:rsid w:val="78B876B7"/>
    <w:rsid w:val="7A2C0B15"/>
    <w:rsid w:val="7A7020FF"/>
    <w:rsid w:val="7B3C67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7BF03"/>
  <w15:docId w15:val="{9BB338F3-DA80-4807-B830-9AE7425A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426"/>
    <w:pPr>
      <w:widowControl w:val="0"/>
      <w:jc w:val="both"/>
    </w:pPr>
    <w:rPr>
      <w:kern w:val="2"/>
      <w:sz w:val="21"/>
      <w:szCs w:val="24"/>
    </w:rPr>
  </w:style>
  <w:style w:type="paragraph" w:styleId="1">
    <w:name w:val="heading 1"/>
    <w:basedOn w:val="a"/>
    <w:next w:val="a"/>
    <w:qFormat/>
    <w:rsid w:val="00560426"/>
    <w:pPr>
      <w:keepNext/>
      <w:keepLines/>
      <w:spacing w:before="120" w:after="120" w:line="576" w:lineRule="auto"/>
      <w:outlineLvl w:val="0"/>
    </w:pPr>
    <w:rPr>
      <w:b/>
      <w:bCs/>
      <w:kern w:val="44"/>
      <w:sz w:val="28"/>
      <w:szCs w:val="44"/>
    </w:rPr>
  </w:style>
  <w:style w:type="paragraph" w:styleId="2">
    <w:name w:val="heading 2"/>
    <w:basedOn w:val="a"/>
    <w:next w:val="a"/>
    <w:qFormat/>
    <w:rsid w:val="00560426"/>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sid w:val="00560426"/>
    <w:rPr>
      <w:rFonts w:ascii="宋体"/>
      <w:sz w:val="18"/>
      <w:szCs w:val="18"/>
    </w:rPr>
  </w:style>
  <w:style w:type="paragraph" w:styleId="a5">
    <w:name w:val="annotation text"/>
    <w:basedOn w:val="a"/>
    <w:link w:val="a6"/>
    <w:unhideWhenUsed/>
    <w:qFormat/>
    <w:rsid w:val="00560426"/>
    <w:pPr>
      <w:jc w:val="left"/>
    </w:pPr>
  </w:style>
  <w:style w:type="paragraph" w:styleId="a7">
    <w:name w:val="Body Text"/>
    <w:basedOn w:val="a"/>
    <w:link w:val="a8"/>
    <w:uiPriority w:val="99"/>
    <w:unhideWhenUsed/>
    <w:qFormat/>
    <w:rsid w:val="00560426"/>
    <w:pPr>
      <w:spacing w:after="120"/>
    </w:pPr>
  </w:style>
  <w:style w:type="paragraph" w:styleId="a9">
    <w:name w:val="Body Text Indent"/>
    <w:basedOn w:val="a"/>
    <w:qFormat/>
    <w:rsid w:val="00560426"/>
    <w:pPr>
      <w:spacing w:after="120"/>
      <w:ind w:leftChars="200" w:left="420"/>
    </w:pPr>
    <w:rPr>
      <w:szCs w:val="20"/>
    </w:rPr>
  </w:style>
  <w:style w:type="paragraph" w:styleId="3">
    <w:name w:val="toc 3"/>
    <w:basedOn w:val="a"/>
    <w:next w:val="a"/>
    <w:uiPriority w:val="39"/>
    <w:unhideWhenUsed/>
    <w:qFormat/>
    <w:rsid w:val="00560426"/>
    <w:pPr>
      <w:widowControl/>
      <w:spacing w:after="100" w:line="276" w:lineRule="auto"/>
      <w:ind w:left="440"/>
      <w:jc w:val="left"/>
    </w:pPr>
    <w:rPr>
      <w:rFonts w:ascii="Calibri" w:hAnsi="Calibri"/>
      <w:kern w:val="0"/>
      <w:sz w:val="22"/>
      <w:szCs w:val="22"/>
    </w:rPr>
  </w:style>
  <w:style w:type="paragraph" w:styleId="aa">
    <w:name w:val="Plain Text"/>
    <w:basedOn w:val="a"/>
    <w:link w:val="ab"/>
    <w:qFormat/>
    <w:rsid w:val="00560426"/>
    <w:pPr>
      <w:adjustRightInd w:val="0"/>
      <w:spacing w:line="360" w:lineRule="atLeast"/>
      <w:textAlignment w:val="baseline"/>
    </w:pPr>
    <w:rPr>
      <w:rFonts w:ascii="宋体" w:hAnsi="Courier New"/>
      <w:szCs w:val="20"/>
    </w:rPr>
  </w:style>
  <w:style w:type="paragraph" w:styleId="20">
    <w:name w:val="Body Text Indent 2"/>
    <w:basedOn w:val="a"/>
    <w:qFormat/>
    <w:rsid w:val="00560426"/>
    <w:pPr>
      <w:spacing w:after="120" w:line="360" w:lineRule="auto"/>
      <w:ind w:firstLineChars="200" w:firstLine="480"/>
    </w:pPr>
    <w:rPr>
      <w:rFonts w:ascii="宋体" w:hAnsi="宋体"/>
      <w:color w:val="FF0000"/>
      <w:sz w:val="24"/>
    </w:rPr>
  </w:style>
  <w:style w:type="paragraph" w:styleId="ac">
    <w:name w:val="Balloon Text"/>
    <w:basedOn w:val="a"/>
    <w:qFormat/>
    <w:rsid w:val="00560426"/>
    <w:rPr>
      <w:sz w:val="18"/>
      <w:szCs w:val="18"/>
    </w:rPr>
  </w:style>
  <w:style w:type="paragraph" w:styleId="ad">
    <w:name w:val="footer"/>
    <w:basedOn w:val="a"/>
    <w:qFormat/>
    <w:rsid w:val="00560426"/>
    <w:pPr>
      <w:tabs>
        <w:tab w:val="center" w:pos="4153"/>
        <w:tab w:val="right" w:pos="8306"/>
      </w:tabs>
      <w:snapToGrid w:val="0"/>
      <w:jc w:val="left"/>
    </w:pPr>
    <w:rPr>
      <w:sz w:val="18"/>
      <w:szCs w:val="18"/>
    </w:rPr>
  </w:style>
  <w:style w:type="paragraph" w:styleId="ae">
    <w:name w:val="header"/>
    <w:basedOn w:val="a"/>
    <w:qFormat/>
    <w:rsid w:val="0056042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60426"/>
    <w:pPr>
      <w:spacing w:before="360"/>
      <w:jc w:val="left"/>
    </w:pPr>
    <w:rPr>
      <w:rFonts w:ascii="Arial" w:hAnsi="Arial" w:cs="Arial"/>
      <w:b/>
      <w:bCs/>
      <w:caps/>
      <w:sz w:val="24"/>
    </w:rPr>
  </w:style>
  <w:style w:type="paragraph" w:styleId="21">
    <w:name w:val="toc 2"/>
    <w:basedOn w:val="a"/>
    <w:next w:val="a"/>
    <w:uiPriority w:val="39"/>
    <w:unhideWhenUsed/>
    <w:qFormat/>
    <w:rsid w:val="00560426"/>
    <w:pPr>
      <w:widowControl/>
      <w:spacing w:after="100" w:line="276" w:lineRule="auto"/>
      <w:ind w:left="220"/>
      <w:jc w:val="left"/>
    </w:pPr>
    <w:rPr>
      <w:rFonts w:ascii="Calibri" w:hAnsi="Calibri"/>
      <w:kern w:val="0"/>
      <w:sz w:val="22"/>
      <w:szCs w:val="22"/>
    </w:rPr>
  </w:style>
  <w:style w:type="paragraph" w:styleId="af">
    <w:name w:val="annotation subject"/>
    <w:basedOn w:val="a5"/>
    <w:next w:val="a5"/>
    <w:link w:val="af0"/>
    <w:uiPriority w:val="99"/>
    <w:unhideWhenUsed/>
    <w:qFormat/>
    <w:rsid w:val="00560426"/>
    <w:rPr>
      <w:b/>
      <w:bCs/>
    </w:rPr>
  </w:style>
  <w:style w:type="character" w:styleId="af1">
    <w:name w:val="page number"/>
    <w:qFormat/>
    <w:rsid w:val="00560426"/>
  </w:style>
  <w:style w:type="character" w:styleId="af2">
    <w:name w:val="FollowedHyperlink"/>
    <w:qFormat/>
    <w:rsid w:val="00560426"/>
    <w:rPr>
      <w:color w:val="800080"/>
      <w:u w:val="single"/>
    </w:rPr>
  </w:style>
  <w:style w:type="character" w:styleId="af3">
    <w:name w:val="Hyperlink"/>
    <w:uiPriority w:val="99"/>
    <w:qFormat/>
    <w:rsid w:val="00560426"/>
    <w:rPr>
      <w:color w:val="0000FF"/>
      <w:u w:val="single"/>
    </w:rPr>
  </w:style>
  <w:style w:type="character" w:styleId="af4">
    <w:name w:val="annotation reference"/>
    <w:unhideWhenUsed/>
    <w:qFormat/>
    <w:rsid w:val="00560426"/>
    <w:rPr>
      <w:sz w:val="21"/>
      <w:szCs w:val="21"/>
    </w:rPr>
  </w:style>
  <w:style w:type="character" w:customStyle="1" w:styleId="a4">
    <w:name w:val="文档结构图 字符"/>
    <w:link w:val="a3"/>
    <w:uiPriority w:val="99"/>
    <w:semiHidden/>
    <w:qFormat/>
    <w:rsid w:val="00560426"/>
    <w:rPr>
      <w:rFonts w:ascii="宋体"/>
      <w:kern w:val="2"/>
      <w:sz w:val="18"/>
      <w:szCs w:val="18"/>
    </w:rPr>
  </w:style>
  <w:style w:type="character" w:customStyle="1" w:styleId="a6">
    <w:name w:val="批注文字 字符"/>
    <w:link w:val="a5"/>
    <w:qFormat/>
    <w:rsid w:val="00560426"/>
    <w:rPr>
      <w:kern w:val="2"/>
      <w:sz w:val="21"/>
      <w:szCs w:val="24"/>
    </w:rPr>
  </w:style>
  <w:style w:type="character" w:customStyle="1" w:styleId="a8">
    <w:name w:val="正文文本 字符"/>
    <w:link w:val="a7"/>
    <w:uiPriority w:val="99"/>
    <w:semiHidden/>
    <w:qFormat/>
    <w:rsid w:val="00560426"/>
    <w:rPr>
      <w:kern w:val="2"/>
      <w:sz w:val="21"/>
      <w:szCs w:val="24"/>
    </w:rPr>
  </w:style>
  <w:style w:type="character" w:customStyle="1" w:styleId="ab">
    <w:name w:val="纯文本 字符"/>
    <w:link w:val="aa"/>
    <w:qFormat/>
    <w:rsid w:val="00560426"/>
    <w:rPr>
      <w:rFonts w:ascii="宋体" w:hAnsi="Courier New"/>
      <w:kern w:val="2"/>
      <w:sz w:val="21"/>
    </w:rPr>
  </w:style>
  <w:style w:type="character" w:customStyle="1" w:styleId="af0">
    <w:name w:val="批注主题 字符"/>
    <w:link w:val="af"/>
    <w:uiPriority w:val="99"/>
    <w:semiHidden/>
    <w:qFormat/>
    <w:rsid w:val="00560426"/>
    <w:rPr>
      <w:b/>
      <w:bCs/>
      <w:kern w:val="2"/>
      <w:sz w:val="21"/>
      <w:szCs w:val="24"/>
    </w:rPr>
  </w:style>
  <w:style w:type="character" w:customStyle="1" w:styleId="read">
    <w:name w:val="read"/>
    <w:qFormat/>
    <w:rsid w:val="00560426"/>
  </w:style>
  <w:style w:type="paragraph" w:customStyle="1" w:styleId="11">
    <w:name w:val="修订1"/>
    <w:uiPriority w:val="99"/>
    <w:semiHidden/>
    <w:qFormat/>
    <w:rsid w:val="00560426"/>
    <w:rPr>
      <w:kern w:val="2"/>
      <w:sz w:val="21"/>
      <w:szCs w:val="24"/>
    </w:rPr>
  </w:style>
  <w:style w:type="paragraph" w:customStyle="1" w:styleId="Default">
    <w:name w:val="Default"/>
    <w:qFormat/>
    <w:rsid w:val="00560426"/>
    <w:pPr>
      <w:widowControl w:val="0"/>
      <w:autoSpaceDE w:val="0"/>
      <w:autoSpaceDN w:val="0"/>
      <w:adjustRightInd w:val="0"/>
    </w:pPr>
    <w:rPr>
      <w:rFonts w:ascii="宋体" w:cs="宋体"/>
      <w:color w:val="000000"/>
      <w:sz w:val="24"/>
      <w:szCs w:val="24"/>
    </w:rPr>
  </w:style>
  <w:style w:type="paragraph" w:customStyle="1" w:styleId="CharChar">
    <w:name w:val="Char Char"/>
    <w:basedOn w:val="a"/>
    <w:qFormat/>
    <w:rsid w:val="00560426"/>
    <w:rPr>
      <w:szCs w:val="20"/>
    </w:rPr>
  </w:style>
  <w:style w:type="paragraph" w:customStyle="1" w:styleId="CharCharChar">
    <w:name w:val="Char Char Char"/>
    <w:basedOn w:val="a"/>
    <w:qFormat/>
    <w:rsid w:val="00560426"/>
  </w:style>
  <w:style w:type="paragraph" w:customStyle="1" w:styleId="TOC1">
    <w:name w:val="TOC 标题1"/>
    <w:basedOn w:val="1"/>
    <w:next w:val="a"/>
    <w:uiPriority w:val="39"/>
    <w:qFormat/>
    <w:rsid w:val="00560426"/>
    <w:pPr>
      <w:widowControl/>
      <w:spacing w:before="480" w:after="0" w:line="276" w:lineRule="auto"/>
      <w:jc w:val="left"/>
      <w:outlineLvl w:val="9"/>
    </w:pPr>
    <w:rPr>
      <w:rFonts w:ascii="Cambria" w:hAnsi="Cambria"/>
      <w:color w:val="365F91"/>
      <w:kern w:val="0"/>
      <w:szCs w:val="28"/>
    </w:rPr>
  </w:style>
  <w:style w:type="paragraph" w:customStyle="1" w:styleId="CM6">
    <w:name w:val="CM6"/>
    <w:basedOn w:val="a"/>
    <w:next w:val="a"/>
    <w:qFormat/>
    <w:rsid w:val="00560426"/>
    <w:pPr>
      <w:autoSpaceDE w:val="0"/>
      <w:autoSpaceDN w:val="0"/>
      <w:adjustRightInd w:val="0"/>
      <w:spacing w:line="468" w:lineRule="atLeast"/>
      <w:jc w:val="left"/>
    </w:pPr>
    <w:rPr>
      <w:rFonts w:ascii="宋体" w:hAnsi="Calibri"/>
      <w:kern w:val="0"/>
      <w:sz w:val="24"/>
    </w:rPr>
  </w:style>
  <w:style w:type="paragraph" w:customStyle="1" w:styleId="CM8">
    <w:name w:val="CM8"/>
    <w:basedOn w:val="a"/>
    <w:next w:val="a"/>
    <w:qFormat/>
    <w:rsid w:val="00560426"/>
    <w:pPr>
      <w:autoSpaceDE w:val="0"/>
      <w:autoSpaceDN w:val="0"/>
      <w:adjustRightInd w:val="0"/>
      <w:spacing w:line="468" w:lineRule="atLeast"/>
      <w:jc w:val="left"/>
    </w:pPr>
    <w:rPr>
      <w:rFonts w:ascii="宋体" w:hAnsi="Calibri"/>
      <w:kern w:val="0"/>
      <w:sz w:val="24"/>
    </w:rPr>
  </w:style>
  <w:style w:type="paragraph" w:customStyle="1" w:styleId="CharCharCharChar">
    <w:name w:val="Char Char Char Char"/>
    <w:basedOn w:val="a"/>
    <w:qFormat/>
    <w:rsid w:val="00560426"/>
    <w:pPr>
      <w:tabs>
        <w:tab w:val="left" w:pos="360"/>
      </w:tabs>
    </w:pPr>
    <w:rPr>
      <w:sz w:val="24"/>
    </w:rPr>
  </w:style>
  <w:style w:type="paragraph" w:customStyle="1" w:styleId="ParaCharCharCharCharCharCharCharCharCharCharCharChar">
    <w:name w:val="默认段落字体 Para Char Char Char Char Char Char Char Char Char Char Char Char"/>
    <w:basedOn w:val="a"/>
    <w:qFormat/>
    <w:rsid w:val="00560426"/>
    <w:pPr>
      <w:tabs>
        <w:tab w:val="left" w:pos="840"/>
      </w:tabs>
      <w:ind w:left="840" w:hanging="360"/>
    </w:pPr>
    <w:rPr>
      <w:sz w:val="24"/>
    </w:rPr>
  </w:style>
  <w:style w:type="paragraph" w:customStyle="1" w:styleId="22">
    <w:name w:val="修订2"/>
    <w:uiPriority w:val="99"/>
    <w:unhideWhenUsed/>
    <w:rsid w:val="005604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46435">
      <w:bodyDiv w:val="1"/>
      <w:marLeft w:val="0"/>
      <w:marRight w:val="0"/>
      <w:marTop w:val="0"/>
      <w:marBottom w:val="0"/>
      <w:divBdr>
        <w:top w:val="none" w:sz="0" w:space="0" w:color="auto"/>
        <w:left w:val="none" w:sz="0" w:space="0" w:color="auto"/>
        <w:bottom w:val="none" w:sz="0" w:space="0" w:color="auto"/>
        <w:right w:val="none" w:sz="0" w:space="0" w:color="auto"/>
      </w:divBdr>
    </w:div>
    <w:div w:id="1222054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4801</Words>
  <Characters>27366</Characters>
  <Application>Microsoft Office Word</Application>
  <DocSecurity>0</DocSecurity>
  <Lines>228</Lines>
  <Paragraphs>64</Paragraphs>
  <ScaleCrop>false</ScaleCrop>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银河基金管理有限公司</dc:title>
  <dc:creator>张庆</dc:creator>
  <cp:lastModifiedBy>rongshan</cp:lastModifiedBy>
  <cp:revision>21</cp:revision>
  <cp:lastPrinted>2022-06-17T06:05:00Z</cp:lastPrinted>
  <dcterms:created xsi:type="dcterms:W3CDTF">2022-06-16T08:39:00Z</dcterms:created>
  <dcterms:modified xsi:type="dcterms:W3CDTF">2022-09-09T02:01:00Z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805334EBCA094C72879F71FA7D7D08DE</vt:lpwstr>
  </property>
</Properties>
</file>