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19A12D86" w14:textId="77777777" w:rsidR="000612DA" w:rsidRDefault="00EE0C11">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国泰瑞悦3个月持有期债券型基金中基金（FOF）基金产品资料概要</w:t>
      </w:r>
    </w:p>
    <w:p w14:paraId="575C3B9B" w14:textId="77777777" w:rsidR="000612DA" w:rsidRDefault="00EE0C11">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2022年9月13日</w:t>
      </w:r>
    </w:p>
    <w:p w14:paraId="08677F8E" w14:textId="77777777" w:rsidR="000612DA" w:rsidRDefault="00EE0C11">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2022年9月14日</w:t>
      </w:r>
    </w:p>
    <w:p w14:paraId="059520B0" w14:textId="77777777" w:rsidR="000612DA" w:rsidRDefault="00EE0C11">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本概要提供本基金的重要信息，是招募说明书的一部分。</w:t>
      </w:r>
    </w:p>
    <w:p w14:paraId="4513B8F5" w14:textId="77777777" w:rsidR="000612DA" w:rsidRDefault="00EE0C11">
      <w:pPr>
        <w:autoSpaceDE w:val="0"/>
        <w:autoSpaceDN w:val="0"/>
        <w:adjustRightInd w:val="0"/>
        <w:spacing w:line="380" w:lineRule="exact"/>
        <w:jc w:val="left"/>
        <w:rPr>
          <w:rFonts w:ascii="方正黑体简体" w:eastAsia="方正黑体简体" w:cs="黑体"/>
          <w:kern w:val="0"/>
          <w:sz w:val="32"/>
          <w:szCs w:val="32"/>
        </w:rPr>
      </w:pPr>
      <w:proofErr w:type="gramStart"/>
      <w:r>
        <w:rPr>
          <w:rFonts w:ascii="方正黑体简体" w:eastAsia="方正黑体简体" w:cs="黑体" w:hint="eastAsia"/>
          <w:kern w:val="0"/>
          <w:sz w:val="32"/>
          <w:szCs w:val="32"/>
        </w:rPr>
        <w:t>作出</w:t>
      </w:r>
      <w:proofErr w:type="gramEnd"/>
      <w:r>
        <w:rPr>
          <w:rFonts w:ascii="方正黑体简体" w:eastAsia="方正黑体简体" w:cs="黑体" w:hint="eastAsia"/>
          <w:kern w:val="0"/>
          <w:sz w:val="32"/>
          <w:szCs w:val="32"/>
        </w:rPr>
        <w:t>投资决定前，请阅读完整的招募说明书等销售文件。</w:t>
      </w:r>
    </w:p>
    <w:p w14:paraId="20AB719D" w14:textId="77777777" w:rsidR="000612DA" w:rsidRDefault="00EE0C11">
      <w:pPr gbicc:listString="一、" gbicc:numText="%1、" gbicc:numFmt="C" gbicc:numVal="1"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1952"/>
        <w:gridCol w:w="2408"/>
        <w:gridCol w:w="1703"/>
        <w:gridCol w:w="2459"/>
      </w:tblGrid>
      <w:tr w:rsidR="000612DA" w14:paraId="0B240CF6" w14:textId="77777777" w:rsidTr="00584DC5">
        <w:trPr>
          <w:trHeight w:val="454"/>
        </w:trPr>
        <w:tc>
          <w:tcPr>
            <w:tcW w:w="1145" w:type="pct"/>
            <w:vMerge w:val="restart"/>
            <w:vAlign w:val="center"/>
          </w:tcPr>
          <w:p w14:paraId="6C324902" w14:textId="77777777" w:rsidR="000612DA" w:rsidRDefault="00EE0C11" w:rsidP="00584DC5">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6027BBAC" w14:textId="77777777" w:rsidR="000612DA" w:rsidRDefault="00EE0C11" w:rsidP="00584DC5">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国泰瑞悦3个月持有债券（FOF）</w:t>
            </w:r>
          </w:p>
        </w:tc>
        <w:tc>
          <w:tcPr>
            <w:tcW w:w="999" w:type="pct"/>
            <w:vMerge w:val="restart"/>
            <w:vAlign w:val="center"/>
          </w:tcPr>
          <w:p w14:paraId="6F57AFB1"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1FBFCF5"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016644</w:t>
            </w:r>
          </w:p>
        </w:tc>
      </w:tr>
      <w:tr w:rsidR="000612DA" w14:paraId="3B2CA307" w14:textId="77777777" w:rsidTr="005F360D">
        <w:trPr>
          <w:trHeight w:val="454"/>
        </w:trPr>
        <w:tc>
          <w:tcPr>
            <w:tcW w:w="1145" w:type="pct"/>
            <w:vAlign w:val="center"/>
          </w:tcPr>
          <w:p w14:paraId="4F6EC251"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67218A25"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国泰基金管理有限公司</w:t>
            </w:r>
          </w:p>
        </w:tc>
        <w:tc>
          <w:tcPr>
            <w:tcW w:w="999" w:type="pct"/>
            <w:vAlign w:val="center"/>
          </w:tcPr>
          <w:p w14:paraId="0CBD9CCA"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134A1B6"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北京银行股份有限公司</w:t>
            </w:r>
            <w:r w:rsidR="00EE0C11">
              <w:rPr>
                <w:rFonts w:ascii="方正仿宋简体" w:eastAsia="方正仿宋简体" w:hAnsiTheme="minorEastAsia" w:cs="方正仿宋简体" w:hint="eastAsia"/>
                <w:iCs/>
              </w:rPr>
              <w:t xml:space="preserve"> </w:t>
            </w:r>
          </w:p>
        </w:tc>
      </w:tr>
      <w:tr w:rsidR="000612DA" w14:paraId="7E8A0EDD" w14:textId="77777777" w:rsidTr="005F360D">
        <w:trPr>
          <w:trHeight w:val="454"/>
        </w:trPr>
        <w:tc>
          <w:tcPr>
            <w:tcW w:w="1145" w:type="pct"/>
            <w:vMerge w:val="restart"/>
            <w:vAlign w:val="center"/>
          </w:tcPr>
          <w:p w14:paraId="3B19E835"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6BEE02C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w:t>
            </w:r>
          </w:p>
        </w:tc>
        <w:tc>
          <w:tcPr>
            <w:tcW w:w="999" w:type="pct"/>
            <w:vMerge w:val="restart"/>
            <w:vAlign w:val="center"/>
          </w:tcPr>
          <w:p w14:paraId="24ECAD9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
            </w:r>
          </w:p>
        </w:tc>
        <w:tc>
          <w:tcPr>
            <w:tcW w:w="1443" w:type="pct"/>
            <w:tcBorders>
              <w:top w:val="dashSmallGap" w:sz="4" w:space="0" w:color="A6A6A6" w:themeColor="background1" w:themeShade="A6"/>
              <w:bottom w:val="nil"/>
            </w:tcBorders>
            <w:vAlign w:val="center"/>
          </w:tcPr>
          <w:p w14:paraId="26CC168E" w14:textId="77777777" w:rsidR="000612DA" w:rsidRDefault="00131C81" w:rsidP="00666EDA">
            <w:pPr>
              <w:spacing w:line="280" w:lineRule="exact"/>
              <w:jc w:val="left"/>
              <w:rPr>
                <w:rFonts w:ascii="方正仿宋简体" w:eastAsia="方正仿宋简体" w:hAnsiTheme="minorEastAsia" w:cs="方正仿宋简体"/>
                <w:iCs/>
              </w:rPr>
            </w:pPr>
            <w:r w:rsidR="00EE0C11">
              <w:rPr>
                <w:rFonts w:hint="eastAsia"/>
                <w:color w:val="333399"/>
              </w:rPr>
              <w:t/>
            </w:r>
            <w:r w:rsidR="00EE0C11">
              <w:rPr>
                <w:rFonts w:ascii="方正仿宋简体" w:eastAsia="方正仿宋简体" w:hAnsiTheme="minorEastAsia" w:cs="方正仿宋简体" w:hint="eastAsia"/>
                <w:iCs/>
              </w:rPr>
              <w:t xml:space="preserve"> </w:t>
            </w:r>
            <w:r w:rsidR="00EE0C11">
              <w:rPr>
                <w:rFonts w:hint="eastAsia"/>
                <w:color w:val="333399"/>
              </w:rPr>
              <w:t/>
            </w:r>
          </w:p>
        </w:tc>
      </w:tr>
      <w:tr w:rsidR="000612DA" w14:paraId="252877E3" w14:textId="77777777" w:rsidTr="005F360D">
        <w:trPr>
          <w:trHeight w:val="454"/>
        </w:trPr>
        <w:tc>
          <w:tcPr>
            <w:tcW w:w="1145" w:type="pct"/>
            <w:vAlign w:val="center"/>
          </w:tcPr>
          <w:p w14:paraId="42CCBFD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43E858B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基金中基金</w:t>
            </w:r>
          </w:p>
        </w:tc>
        <w:tc>
          <w:tcPr>
            <w:tcW w:w="999" w:type="pct"/>
            <w:vAlign w:val="center"/>
          </w:tcPr>
          <w:p w14:paraId="439F8A58"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5A8B181A"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人民币</w:t>
            </w:r>
            <w:r w:rsidR="00EE0C11">
              <w:rPr>
                <w:rFonts w:hint="eastAsia"/>
                <w:color w:val="333399"/>
              </w:rPr>
              <w:t/>
            </w:r>
            <w:r w:rsidR="00EE0C11">
              <w:rPr>
                <w:rFonts w:hint="eastAsia"/>
                <w:color w:val="333399"/>
              </w:rPr>
              <w:t/>
            </w:r>
            <w:r w:rsidR="00EE0C11">
              <w:rPr>
                <w:rFonts w:hint="eastAsia"/>
                <w:color w:val="333399"/>
              </w:rPr>
              <w:t/>
            </w:r>
            <w:r w:rsidR="00EE0C11">
              <w:rPr>
                <w:rFonts w:hint="eastAsia"/>
                <w:color w:val="333399"/>
              </w:rPr>
              <w:t/>
            </w:r>
          </w:p>
        </w:tc>
      </w:tr>
      <w:tr w:rsidR="000612DA" w14:paraId="5B3C16D6" w14:textId="77777777" w:rsidTr="005F360D">
        <w:trPr>
          <w:trHeight w:val="454"/>
        </w:trPr>
        <w:tc>
          <w:tcPr>
            <w:tcW w:w="1145" w:type="pct"/>
            <w:vAlign w:val="center"/>
          </w:tcPr>
          <w:p w14:paraId="1C8BFC29"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41556951"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其他开放式</w:t>
            </w:r>
          </w:p>
        </w:tc>
        <w:tc>
          <w:tcPr>
            <w:tcW w:w="999" w:type="pct"/>
            <w:vAlign w:val="center"/>
          </w:tcPr>
          <w:p w14:paraId="04B619A7"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5902CB3F"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基金份额持有人持有的每笔基金份额最短持有期限为3个月</w:t>
            </w:r>
          </w:p>
        </w:tc>
      </w:tr>
      <w:tr w:rsidR="000612DA" w14:paraId="3F694AD4" w14:textId="77777777" w:rsidTr="005F360D">
        <w:trPr>
          <w:trHeight w:val="454"/>
        </w:trPr>
        <w:tc>
          <w:tcPr>
            <w:tcW w:w="1145" w:type="pct"/>
            <w:vMerge w:val="restart"/>
            <w:vAlign w:val="center"/>
          </w:tcPr>
          <w:p w14:paraId="2B44FF9D"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110EE4C8"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周珞晏</w:t>
            </w:r>
          </w:p>
        </w:tc>
        <w:tc>
          <w:tcPr>
            <w:tcW w:w="999" w:type="pct"/>
            <w:vAlign w:val="center"/>
          </w:tcPr>
          <w:p w14:paraId="036B8FB9"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50754F1F"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w:t>
            </w:r>
          </w:p>
        </w:tc>
      </w:tr>
      <w:tr w:rsidR="000612DA" w14:paraId="4E08AE33" w14:textId="77777777" w:rsidTr="005F360D">
        <w:trPr>
          <w:trHeight w:val="454"/>
        </w:trPr>
        <w:tc>
          <w:tcPr>
            <w:tcW w:w="1145" w:type="pct"/>
            <w:vMerge/>
            <w:vAlign w:val="center"/>
          </w:tcPr>
          <w:p w14:paraId="45687671" w14:textId="77777777" w:rsidR="000612DA" w:rsidRDefault="000612DA">
            <w:pPr>
              <w:spacing w:line="280" w:lineRule="exact"/>
              <w:rPr>
                <w:rFonts w:ascii="方正仿宋简体" w:eastAsia="方正仿宋简体" w:hAnsiTheme="minorEastAsia" w:cs="方正仿宋简体"/>
                <w:b/>
                <w:iCs/>
              </w:rPr>
            </w:pPr>
          </w:p>
        </w:tc>
        <w:tc>
          <w:tcPr>
            <w:tcW w:w="1413" w:type="pct"/>
            <w:vMerge/>
            <w:vAlign w:val="center"/>
          </w:tcPr>
          <w:p w14:paraId="53949535" w14:textId="77777777" w:rsidR="000612DA" w:rsidRDefault="000612DA">
            <w:pPr>
              <w:spacing w:line="280" w:lineRule="exact"/>
              <w:rPr>
                <w:rFonts w:ascii="方正仿宋简体" w:eastAsia="方正仿宋简体" w:hAnsiTheme="minorEastAsia" w:cs="方正仿宋简体"/>
                <w:b/>
                <w:iCs/>
              </w:rPr>
            </w:pPr>
          </w:p>
        </w:tc>
        <w:tc>
          <w:tcPr>
            <w:tcW w:w="999" w:type="pct"/>
            <w:vAlign w:val="center"/>
          </w:tcPr>
          <w:p w14:paraId="062CE90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03F44BB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2010-02-01</w:t>
            </w:r>
          </w:p>
        </w:tc>
      </w:tr>
      <w:tr w:rsidR="000612DA" w14:paraId="0A437010" w14:textId="77777777" w:rsidTr="005F360D">
        <w:trPr>
          <w:trHeight w:val="454"/>
        </w:trPr>
        <w:tc>
          <w:tcPr>
            <w:tcW w:w="1145" w:type="pct"/>
            <w:vAlign w:val="center"/>
          </w:tcPr>
          <w:p w14:paraId="3E0FBFC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其他</w:t>
            </w:r>
          </w:p>
        </w:tc>
        <w:tc>
          <w:tcPr>
            <w:tcW w:w="3855" w:type="pct"/>
            <w:gridSpan w:val="3"/>
            <w:vAlign w:val="center"/>
          </w:tcPr>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w:t>
            </w:r>
          </w:p>
        </w:tc>
      </w:tr>
    </w:tbl>
    <w:p w14:paraId="16FB2167" w14:textId="77777777" w:rsidR="000612DA" w:rsidRDefault="000612DA">
      <w:pPr>
        <w:spacing w:line="280" w:lineRule="exact"/>
        <w:rPr>
          <w:rFonts w:ascii="方正仿宋简体" w:eastAsia="方正仿宋简体" w:hAnsiTheme="minorEastAsia" w:cs="仿宋_GB2312"/>
          <w:b/>
          <w:kern w:val="0"/>
          <w:szCs w:val="24"/>
        </w:rPr>
      </w:pPr>
    </w:p>
    <w:p w14:paraId="3B3D1BB3" w14:textId="77777777" w:rsidR="000612DA" w:rsidRDefault="00EE0C11" gbicc:emptyAbove="1">
      <w:pPr gbicc:listString="二、" gbicc:numText="%1、" gbicc:numFmt="C" gbicc:numVal="2"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325C6D1B" w14:textId="77777777" w:rsidR="000612DA" w:rsidRDefault="00EE0C11">
      <w:pPr gbicc:listString="(一)" gbicc:numText="(%1)" gbicc:numFmt="C" gbicc:numVal="1" gbicc:numId="15">
        <w:pStyle w:val="a8"/>
        <w:numPr>
          <w:ilvl w:val="0"/>
          <w:numId w:val="15"/>
        </w:numPr>
        <w:spacing w:line="28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1ED27ECD" w14:textId="77777777" w:rsidR="000612DA" w:rsidRDefault="00131C81">
      <w:pPr>
        <w:spacing w:line="280" w:lineRule="exact"/>
        <w:rPr>
          <w:rFonts w:ascii="方正仿宋简体" w:eastAsia="方正仿宋简体" w:hAnsiTheme="minorEastAsia" w:cs="方正仿宋简体"/>
          <w:bCs/>
          <w:iCs/>
        </w:rPr>
      </w:pPr>
      <w:r w:rsidR="00EE0C11">
        <w:rPr>
          <w:rFonts w:ascii="方正仿宋简体" w:eastAsia="方正仿宋简体" w:hAnsiTheme="minorEastAsia" w:cs="方正仿宋简体" w:hint="eastAsia"/>
          <w:bCs/>
          <w:iCs/>
        </w:rPr>
        <w:t>详见本基金招募说明书“第九部分 基金的投资”。</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093"/>
        <w:gridCol w:w="6429"/>
      </w:tblGrid>
      <w:tr w:rsidR="000612DA" w14:paraId="14A60540" w14:textId="77777777" w:rsidTr="0074096A">
        <w:trPr>
          <w:trHeight w:val="454"/>
        </w:trPr>
        <w:tc>
          <w:tcPr>
            <w:tcW w:w="1228" w:type="pct"/>
            <w:vAlign w:val="center"/>
          </w:tcPr>
          <w:p w14:paraId="0C5737B9"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09015EF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本基金主要采用优选基金策略，在控制风险水平的同时追求基金资产的稳健增值。</w:t>
            </w:r>
          </w:p>
        </w:tc>
      </w:tr>
      <w:tr w:rsidR="000612DA" w14:paraId="3FAFC6C4" w14:textId="77777777" w:rsidTr="0074096A">
        <w:trPr>
          <w:trHeight w:val="454"/>
        </w:trPr>
        <w:tc>
          <w:tcPr>
            <w:tcW w:w="1228" w:type="pct"/>
            <w:vAlign w:val="center"/>
          </w:tcPr>
          <w:p w14:paraId="40242CF6"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的投资范围为具有良好流动性的金融工具，包括经中国证监会依法核准或注册的公开募集的基金份额（包括香港互认基金、QDII基金、商品基金等公募基金份额）、国内依法公开发行上市交易的股票（包括主板、创业板及其他中国证监会允许基金投资的股票、存托凭证）、港股通标的股票、债券（包括国债、政府支持债券、政府支持机构债券、地方政府债、金融债、企业债、公司债、次级债、可转换债券（含可分离交易可转债）、可交换债券、央行票据、中期票据、短期融资券、超短期融资券）、资产支持证券、债券回购、银行存款（协议存款、通知存款以及定期存款等）、同业存单、货币市场工具以及法律法规或中国证监会允许基金投资的其他金融工具（但须符合中国证监会相关规定）。</w:t>
            </w:r>
          </w:p>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基金的投资组合比例为：本基金投资于中国证监会依法核准或注册的公开募集证券投资基金占基金资产的比例不低于80%，其中投资于债券型证券投资基金的比例不低于本基金资产的80%；本基金投资于香港互认基金和QDII基金的合计比例不高于基金资产的20%，投资于商品基金的比例不高于基金资产的15%；投资于港股通标的股票的资产不超过股票资产的50%。本基金保持现金或者到期日在一年以内的政府债券不低于基金资产净值的5%。其中，现金不包括结算备付金、存出保证金、应收申购款等。</w:t>
            </w:r>
          </w:p>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如法律法规或监管机构以后允许基金投资其他品种或变更投资比例限制，基金管理人在履行适当程序后，可以相应调整本基金的投资范围和投资比例规定。</w:t>
            </w:r>
          </w:p>
        </w:tc>
      </w:tr>
      <w:tr w:rsidR="000612DA" w14:paraId="617254AE" w14:textId="77777777" w:rsidTr="0074096A">
        <w:trPr>
          <w:trHeight w:val="454"/>
        </w:trPr>
        <w:tc>
          <w:tcPr>
            <w:tcW w:w="1228" w:type="pct"/>
            <w:vAlign w:val="center"/>
          </w:tcPr>
          <w:p w14:paraId="556924DE"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3DB8466B"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1、资产配置策略；2、基金投资策略；3、股票投资策略；4、存托凭证投资策略；5、债券投资策略；6、可转换债券和可交换债券投资策略；7、资产支持证券投资策略。</w:t>
            </w:r>
          </w:p>
        </w:tc>
      </w:tr>
      <w:tr w:rsidR="000612DA" w14:paraId="49459A0D" w14:textId="77777777" w:rsidTr="0074096A">
        <w:trPr>
          <w:trHeight w:val="454"/>
        </w:trPr>
        <w:tc>
          <w:tcPr>
            <w:tcW w:w="1228" w:type="pct"/>
            <w:vAlign w:val="center"/>
          </w:tcPr>
          <w:p w14:paraId="7A2780EE"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588A35FA"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中债综合全价（总值）指数收益率*95%+银行人民币一年期定期存款利率（税后）*5%</w:t>
            </w:r>
          </w:p>
        </w:tc>
      </w:tr>
      <w:tr w:rsidR="000612DA" w14:paraId="0A03329D" w14:textId="77777777" w:rsidTr="0074096A">
        <w:trPr>
          <w:trHeight w:val="454"/>
        </w:trPr>
        <w:tc>
          <w:tcPr>
            <w:tcW w:w="1228" w:type="pct"/>
            <w:vAlign w:val="center"/>
          </w:tcPr>
          <w:p w14:paraId="0E33C396"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72E30351"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本基金为债券型基金中基金（FOF），理论上其预期风险与预期收益水平高于货币市场基金、货币型基金中基金（FOF），低于混合型基金、混合型基金中基金（FOF）、股票型基金和股票型基金中基金（FOF）。</w:t>
            </w:r>
          </w:p>
          <w:p w14:paraId="72E30351"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本基金投资港股通标的股票时，会面临港股通机制下因投资环境、投资标的、市场制度以及交易规则等差异带来的特有风险。</w:t>
            </w:r>
          </w:p>
        </w:tc>
      </w:tr>
    </w:tbl>
    <w:p w14:paraId="60572FFB" w14:textId="77777777" w:rsidR="000612DA" w:rsidRDefault="00131C81">
      <w:pPr>
        <w:spacing w:line="280" w:lineRule="exact"/>
        <w:rPr>
          <w:rFonts w:ascii="方正仿宋简体" w:eastAsia="方正仿宋简体" w:hAnsiTheme="minorEastAsia" w:cs="仿宋_GB2312"/>
          <w:kern w:val="0"/>
          <w:szCs w:val="24"/>
        </w:rPr>
      </w:pPr>
    </w:p>
    <w:p w14:paraId="0BD8A30D" w14:textId="77777777" w:rsidR="000612DA" w:rsidRDefault="00EE0C11" gbicc:emptyAbove="1">
      <w:pPr gbicc:listString="(二)" gbicc:numText="(%1)" gbicc:numFmt="C" gbicc:numVal="2"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223A216A" w14:textId="77777777" w:rsidR="000612DA" w:rsidRDefault="00EE0C11">
      <w:pPr gbicc:listString="(三)" gbicc:numText="(%1)" gbicc:numFmt="C" gbicc:numVal="3"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3623F881" w14:textId="77777777" w:rsidR="000612DA" w:rsidRDefault="000612DA">
      <w:pPr>
        <w:spacing w:line="280" w:lineRule="exact"/>
        <w:ind w:firstLine="420"/>
        <w:rPr>
          <w:rFonts w:ascii="方正仿宋简体" w:eastAsia="方正仿宋简体" w:hAnsi="方正仿宋简体" w:cs="方正仿宋简体"/>
          <w:iCs/>
        </w:rPr>
      </w:pPr>
    </w:p>
    <w:p w14:paraId="1D014AE7" w14:textId="77777777" w:rsidR="000612DA" w:rsidRDefault="00EE0C11" gbicc:emptyAbove="1">
      <w:pPr gbicc:listString="三、" gbicc:numText="%1、" gbicc:numFmt="C" gbicc:numVal="3"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5A331D2" w14:textId="77777777" w:rsidR="000612DA" w:rsidRDefault="00EE0C11">
      <w:pPr gbicc:listString="（一）" gbicc:numText="（%1）" gbicc:numFmt="J" gbicc:numVal="1" gbicc:numId="25">
        <w:pStyle w:val="a8"/>
        <w:numPr>
          <w:ilvl w:val="0"/>
          <w:numId w:val="25"/>
        </w:numPr>
        <w:spacing w:line="34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70BB1E14" w14:textId="77777777" w:rsidR="000612DA" w:rsidRDefault="00EE0C11">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337"/>
        <w:gridCol w:w="3344"/>
        <w:gridCol w:w="1984"/>
        <w:gridCol w:w="857"/>
      </w:tblGrid>
      <w:tr w:rsidR="000612DA" w14:paraId="7466604E" w14:textId="77777777" w:rsidTr="0074096A">
        <w:trPr>
          <w:trHeight w:val="454"/>
        </w:trPr>
        <w:tc>
          <w:tcPr>
            <w:tcW w:w="1371" w:type="pct"/>
            <w:vAlign w:val="center"/>
          </w:tcPr>
          <w:p w14:paraId="557DC878"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55809050"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402D3C68"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2273387A"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394A59DE"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0612DA" w14:paraId="39506416" w14:textId="77777777" w:rsidTr="0074096A">
        <w:trPr>
          <w:trHeight w:val="454"/>
        </w:trPr>
        <w:tc>
          <w:tcPr>
            <w:tcW w:w="1371" w:type="pct"/>
            <w:vAlign w:val="center"/>
            <w:vMerge w:val="restart"/>
          </w:tcPr>
          <w:p w14:paraId="16897531"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认购费</w:t>
            </w:r>
          </w:p>
        </w:tc>
        <w:tc>
          <w:tcPr>
            <w:tcW w:w="1962" w:type="pct"/>
            <w:vAlign w:val="center"/>
          </w:tcPr>
          <w:p w14:paraId="32619F29" w14:textId="77777777" w:rsidR="000612DA" w:rsidRDefault="00131C81">
            <w:pPr>
              <w:spacing w:line="280" w:lineRule="exact"/>
              <w:jc w:val="center"/>
              <w:rPr>
                <w:rFonts w:ascii="方正仿宋简体" w:eastAsia="方正仿宋简体" w:hAnsi="方正仿宋简体" w:cs="方正仿宋简体"/>
                <w:bCs/>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M</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&lt;</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500万元</w:t>
            </w:r>
          </w:p>
        </w:tc>
        <w:tc>
          <w:tcPr>
            <w:tcW w:w="1164" w:type="pct"/>
            <w:vAlign w:val="center"/>
          </w:tcPr>
          <w:p w14:paraId="6623B0DF" w14:textId="77777777" w:rsidR="000612DA" w:rsidRDefault="00131C81">
            <w:pPr>
              <w:spacing w:line="280" w:lineRule="exact"/>
              <w:jc w:val="center"/>
              <w:rPr>
                <w:rFonts w:ascii="方正仿宋简体" w:eastAsia="方正仿宋简体" w:hAnsi="方正仿宋简体" w:cs="方正仿宋简体"/>
                <w:bCs/>
                <w:iCs/>
                <w:color w:val="000000" w:themeColor="text1"/>
              </w:rPr>
            </w:pPr>
            <w:r w:rsidR="00EE0C11">
              <w:rPr>
                <w:rFonts w:ascii="方正仿宋简体" w:eastAsia="方正仿宋简体" w:hAnsi="方正仿宋简体" w:cs="方正仿宋简体" w:hint="eastAsia"/>
                <w:bCs/>
                <w:iCs/>
                <w:color w:val="000000" w:themeColor="text1"/>
              </w:rPr>
              <w:t>0.60%</w:t>
            </w:r>
            <w:r w:rsidR="00EE0C11">
              <w:rPr>
                <w:rFonts w:ascii="方正仿宋简体" w:eastAsia="方正仿宋简体" w:hAnsi="方正仿宋简体" w:cs="方正仿宋简体" w:hint="eastAsia"/>
                <w:bCs/>
                <w:iCs/>
                <w:color w:val="000000" w:themeColor="text1"/>
              </w:rPr>
              <w:t xml:space="preserve"> </w:t>
            </w:r>
            <w:r w:rsidR="00EE0C11">
              <w:rPr>
                <w:rFonts w:ascii="方正仿宋简体" w:eastAsia="方正仿宋简体" w:hint="eastAsia"/>
                <w:color w:val="000000" w:themeColor="text1"/>
              </w:rPr>
              <w:t/>
            </w:r>
            <w:r w:rsidR="00EE0C11">
              <w:rPr>
                <w:rFonts w:ascii="方正仿宋简体" w:eastAsia="方正仿宋简体" w:hAnsi="方正仿宋简体" w:cs="方正仿宋简体" w:hint="eastAsia"/>
                <w:bCs/>
                <w:iCs/>
                <w:color w:val="000000" w:themeColor="text1"/>
              </w:rPr>
              <w:t xml:space="preserve"> </w:t>
            </w:r>
            <w:r w:rsidR="00EE0C11">
              <w:rPr>
                <w:rFonts w:ascii="方正仿宋简体" w:eastAsia="方正仿宋简体" w:hint="eastAsia"/>
                <w:color w:val="000000" w:themeColor="text1"/>
              </w:rPr>
              <w:t/>
            </w:r>
          </w:p>
        </w:tc>
        <w:tc>
          <w:tcPr>
            <w:tcW w:w="503" w:type="pct"/>
            <w:vAlign w:val="center"/>
          </w:tcPr>
          <w:p w14:paraId="02455812" w14:textId="77777777" w:rsidR="000612DA" w:rsidRDefault="00EE0C11">
            <w:pPr>
              <w:spacing w:line="280" w:lineRule="exact"/>
              <w:jc w:val="center"/>
              <w:rPr>
                <w:rFonts w:ascii="方正仿宋简体" w:eastAsia="方正仿宋简体" w:hAnsi="方正仿宋简体" w:cs="方正仿宋简体"/>
                <w:bCs/>
                <w:iCs/>
              </w:rPr>
            </w:pPr>
            <w:r>
              <w:rPr>
                <w:rFonts w:ascii="方正仿宋简体" w:eastAsia="方正仿宋简体" w:hint="eastAsia"/>
                <w:color w:val="333399"/>
              </w:rPr>
              <w:t/>
            </w:r>
          </w:p>
        </w:tc>
      </w:tr>
      <w:tr w:rsidR="000612DA" w14:paraId="39506416" w14:textId="77777777" w:rsidTr="0074096A">
        <w:trPr>
          <w:trHeight w:val="454"/>
        </w:trPr>
        <w:tc>
          <w:tcPr>
            <w:tcW w:w="1371" w:type="pct"/>
            <w:vAlign w:val="center"/>
            <w:vMerge/>
          </w:tcPr>
          <w:p w14:paraId="16897531"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认购费</w:t>
            </w:r>
          </w:p>
        </w:tc>
        <w:tc>
          <w:tcPr>
            <w:tcW w:w="1962" w:type="pct"/>
            <w:vAlign w:val="center"/>
          </w:tcPr>
          <w:p w14:paraId="32619F29" w14:textId="77777777" w:rsidR="000612DA" w:rsidRDefault="00131C81">
            <w:pPr>
              <w:spacing w:line="280" w:lineRule="exact"/>
              <w:jc w:val="center"/>
              <w:rPr>
                <w:rFonts w:ascii="方正仿宋简体" w:eastAsia="方正仿宋简体" w:hAnsi="方正仿宋简体" w:cs="方正仿宋简体"/>
                <w:bCs/>
                <w:iCs/>
              </w:rPr>
            </w:pP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M</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 xml:space="preserve">≥</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 xml:space="preserve">500万元</w:t>
            </w:r>
          </w:p>
        </w:tc>
        <w:tc>
          <w:tcPr>
            <w:tcW w:w="1164" w:type="pct"/>
            <w:vAlign w:val="center"/>
          </w:tcPr>
          <w:p w14:paraId="6623B0DF" w14:textId="77777777" w:rsidR="000612DA" w:rsidRDefault="00131C81">
            <w:pPr>
              <w:spacing w:line="280" w:lineRule="exact"/>
              <w:jc w:val="center"/>
              <w:rPr>
                <w:rFonts w:ascii="方正仿宋简体" w:eastAsia="方正仿宋简体" w:hAnsi="方正仿宋简体" w:cs="方正仿宋简体"/>
                <w:bCs/>
                <w:iCs/>
                <w:color w:val="000000" w:themeColor="text1"/>
              </w:rPr>
            </w:pPr>
            <w:r w:rsidR="00EE0C11">
              <w:rPr>
                <w:rFonts w:ascii="方正仿宋简体" w:eastAsia="方正仿宋简体" w:hAnsi="方正仿宋简体" w:cs="方正仿宋简体" w:hint="eastAsia"/>
                <w:bCs/>
                <w:iCs/>
                <w:color w:val="000000" w:themeColor="text1"/>
              </w:rPr>
              <w:t xml:space="preserve"/>
            </w:r>
            <w:r w:rsidR="00EE0C11">
              <w:rPr>
                <w:rFonts w:ascii="方正仿宋简体" w:eastAsia="方正仿宋简体" w:hAnsi="方正仿宋简体" w:cs="方正仿宋简体" w:hint="eastAsia"/>
                <w:bCs/>
                <w:iCs/>
                <w:color w:val="000000" w:themeColor="text1"/>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方正仿宋简体" w:cs="方正仿宋简体" w:hint="eastAsia"/>
                <w:bCs/>
                <w:iCs/>
                <w:color w:val="000000" w:themeColor="text1"/>
              </w:rPr>
              <w:t xml:space="preserve"> </w:t>
            </w:r>
            <w:r w:rsidR="00EE0C11">
              <w:rPr>
                <w:rFonts w:ascii="方正仿宋简体" w:eastAsia="方正仿宋简体" w:hAnsi="方正仿宋简体" w:cs="方正仿宋简体" w:hint="eastAsia"/>
                <w:bCs/>
                <w:iCs/>
                <w:color w:val="000000" w:themeColor="text1"/>
              </w:rPr>
              <w:t xml:space="preserve"> 100元/笔</w:t>
            </w:r>
          </w:p>
        </w:tc>
        <w:tc>
          <w:tcPr>
            <w:tcW w:w="503" w:type="pct"/>
            <w:vAlign w:val="center"/>
          </w:tcPr>
          <w:p w14:paraId="02455812" w14:textId="77777777" w:rsidR="000612DA" w:rsidRDefault="00EE0C11">
            <w:pPr>
              <w:spacing w:line="28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按笔收取</w:t>
            </w:r>
          </w:p>
        </w:tc>
      </w:tr>
      <w:tr w:rsidR="000612DA" w14:paraId="2B8B1C2C" w14:textId="77777777" w:rsidTr="0074096A">
        <w:trPr>
          <w:trHeight w:val="454"/>
        </w:trPr>
        <w:tc>
          <w:tcPr>
            <w:tcW w:w="1371" w:type="pct"/>
            <w:vAlign w:val="center"/>
            <w:vMerge w:val="restart"/>
          </w:tcPr>
          <w:p w14:paraId="7D99694C"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1697CAD"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M</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500万元</w:t>
            </w:r>
          </w:p>
        </w:tc>
        <w:tc>
          <w:tcPr>
            <w:tcW w:w="1164" w:type="pct"/>
            <w:vAlign w:val="center"/>
          </w:tcPr>
          <w:p w14:paraId="46E0BA43"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0.60%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p>
        </w:tc>
        <w:tc>
          <w:tcPr>
            <w:tcW w:w="503" w:type="pct"/>
            <w:vAlign w:val="center"/>
          </w:tcPr>
          <w:p w14:paraId="365665C6"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w:r>
          </w:p>
        </w:tc>
      </w:tr>
      <w:tr w:rsidR="000612DA" w14:paraId="2B8B1C2C" w14:textId="77777777" w:rsidTr="0074096A">
        <w:trPr>
          <w:trHeight w:val="454"/>
        </w:trPr>
        <w:tc>
          <w:tcPr>
            <w:tcW w:w="1371" w:type="pct"/>
            <w:vAlign w:val="center"/>
            <w:vMerge/>
          </w:tcPr>
          <w:p w14:paraId="7D99694C"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1697CAD"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M</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500万元</w:t>
            </w:r>
          </w:p>
        </w:tc>
        <w:tc>
          <w:tcPr>
            <w:tcW w:w="1164" w:type="pct"/>
            <w:vAlign w:val="center"/>
          </w:tcPr>
          <w:p w14:paraId="46E0BA43"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Ansi="宋体" w:hint="eastAsia"/>
                <w:color w:val="000000" w:themeColor="text1"/>
                <w:kern w:val="0"/>
              </w:rPr>
              <w:t xml:space="preserve">100元/笔</w:t>
            </w:r>
          </w:p>
        </w:tc>
        <w:tc>
          <w:tcPr>
            <w:tcW w:w="503" w:type="pct"/>
            <w:vAlign w:val="center"/>
          </w:tcPr>
          <w:p w14:paraId="365665C6" w14:textId="77777777" w:rsidR="000612DA" w:rsidRDefault="00EE0C11">
            <w:pPr>
              <w:spacing w:line="280" w:lineRule="exact"/>
              <w:jc w:val="center"/>
              <w:rPr>
                <w:rFonts w:ascii="方正仿宋简体" w:eastAsia="方正仿宋简体" w:hAnsi="宋体"/>
                <w:kern w:val="0"/>
              </w:rPr>
            </w:pPr>
            <w:r>
              <w:rPr>
                <w:rFonts w:ascii="方正仿宋简体" w:eastAsia="方正仿宋简体" w:hAnsi="宋体" w:hint="eastAsia"/>
                <w:kern w:val="0"/>
              </w:rPr>
              <w:t xml:space="preserve">按笔收取</w:t>
            </w:r>
          </w:p>
        </w:tc>
      </w:tr>
      <w:tr w:rsidR="000612DA" w14:paraId="736C28CD" w14:textId="77777777" w:rsidTr="0074096A">
        <w:trPr>
          <w:trHeight w:val="454"/>
        </w:trPr>
        <w:tc>
          <w:tcPr>
            <w:tcW w:w="1371" w:type="pct"/>
            <w:vAlign w:val="center"/>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w:t>
            </w:r>
            <w:r w:rsidR="00EE0C11">
              <w:rPr>
                <w:rFonts w:ascii="方正仿宋简体" w:eastAsia="方正仿宋简体" w:hAnsi="方正仿宋简体" w:cs="方正仿宋简体" w:hint="eastAsia"/>
                <w:iCs/>
              </w:rPr>
              <w:t xml:space="preserve"/>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r>
            <w:r w:rsidR="00EE0C11">
              <w:rPr>
                <w:rFonts w:ascii="方正仿宋简体" w:eastAsia="方正仿宋简体" w:hint="eastAsia"/>
                <w:color w:val="333399"/>
              </w:rPr>
              <w:t/>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0.00%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w:r>
          </w:p>
        </w:tc>
      </w:tr>
    </w:tbl>
    <w:p w14:paraId="580E7B6B" w14:textId="77777777" w:rsidR="000612DA" w:rsidRDefault="000612DA">
      <w:pPr>
        <w:spacing w:line="280" w:lineRule="exact"/>
        <w:rPr>
          <w:rFonts w:ascii="方正仿宋简体" w:eastAsia="方正仿宋简体" w:hAnsiTheme="minorEastAsia" w:cs="方正仿宋简体"/>
          <w:b/>
          <w:iCs/>
          <w:sz w:val="24"/>
          <w:szCs w:val="24"/>
        </w:rPr>
      </w:pPr>
    </w:p>
    <w:p w14:paraId="3EA199E1" w14:textId="77777777" w:rsidR="000612DA" w:rsidRDefault="00EE0C11" gbicc:emptyAbove="1">
      <w:pPr>
        <w:spacing w:line="28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589916B1" w14:textId="77777777" w:rsidR="000612DA" w:rsidRDefault="00EE0C11">
      <w:pPr>
        <w:autoSpaceDE w:val="0"/>
        <w:autoSpaceDN w:val="0"/>
        <w:adjustRightInd w:val="0"/>
        <w:spacing w:line="28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517"/>
        <w:gridCol w:w="6005"/>
      </w:tblGrid>
      <w:tr w:rsidR="000612DA" w14:paraId="38183181" w14:textId="77777777" w:rsidTr="00A1474F">
        <w:trPr>
          <w:trHeight w:val="454"/>
        </w:trPr>
        <w:tc>
          <w:tcPr>
            <w:tcW w:w="1477" w:type="pct"/>
            <w:vAlign w:val="center"/>
          </w:tcPr>
          <w:p w14:paraId="040868DC" w14:textId="77777777" w:rsidR="000612DA" w:rsidRDefault="00EE0C11">
            <w:pPr>
              <w:spacing w:line="28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51AB6A41"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0612DA" w14:paraId="4FD4EBF4" w14:textId="77777777" w:rsidTr="00A1474F">
        <w:trPr>
          <w:trHeight w:val="454"/>
        </w:trPr>
        <w:tc>
          <w:tcPr>
            <w:tcW w:w="1477" w:type="pct"/>
            <w:vAlign w:val="center"/>
          </w:tcPr>
          <w:p w14:paraId="132FFF4D" w14:textId="77777777" w:rsidR="000612DA" w:rsidRDefault="00EE0C11">
            <w:pPr>
              <w:spacing w:line="28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3361F3DB" w14:textId="77777777" w:rsidR="000612DA" w:rsidRDefault="00131C81">
            <w:pPr>
              <w:spacing w:line="280" w:lineRule="exact"/>
              <w:jc w:val="center"/>
              <w:rPr>
                <w:rFonts w:ascii="方正仿宋简体" w:eastAsia="方正仿宋简体" w:hAnsi="方正仿宋简体" w:cs="方正仿宋简体"/>
                <w:bCs/>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0.30%</w:t>
            </w:r>
          </w:p>
        </w:tc>
      </w:tr>
      <w:tr w:rsidR="000612DA" w14:paraId="5A9706EC" w14:textId="77777777" w:rsidTr="00A1474F">
        <w:trPr>
          <w:trHeight w:val="454"/>
        </w:trPr>
        <w:tc>
          <w:tcPr>
            <w:tcW w:w="1477" w:type="pct"/>
            <w:vAlign w:val="center"/>
          </w:tcPr>
          <w:p w14:paraId="506CE43D" w14:textId="77777777" w:rsidR="000612DA" w:rsidRDefault="00EE0C11">
            <w:pPr>
              <w:spacing w:line="28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7C7CCB7A" w14:textId="77777777" w:rsidR="000612DA" w:rsidRDefault="00131C81">
            <w:pPr>
              <w:spacing w:line="280" w:lineRule="exact"/>
              <w:jc w:val="center"/>
              <w:rPr>
                <w:rFonts w:ascii="方正仿宋简体" w:eastAsia="方正仿宋简体" w:hAnsiTheme="minorEastAsia" w:cs="方正仿宋简体"/>
                <w:bCs/>
                <w:iCs/>
              </w:rPr>
            </w:pPr>
            <w:r w:rsidR="00EE0C11">
              <w:rPr>
                <w:rFonts w:ascii="方正仿宋简体" w:eastAsia="方正仿宋简体" w:hint="eastAsia"/>
                <w:color w:val="333399"/>
              </w:rPr>
              <w:t/>
            </w:r>
            <w:r w:rsidR="00EE0C11">
              <w:rPr>
                <w:rFonts w:ascii="方正仿宋简体" w:eastAsia="方正仿宋简体" w:hAnsiTheme="minorEastAsia" w:cs="方正仿宋简体" w:hint="eastAsia"/>
                <w:bCs/>
                <w:iCs/>
              </w:rPr>
              <w:t xml:space="preserve"> </w:t>
            </w:r>
            <w:r w:rsidR="00EE0C11">
              <w:rPr>
                <w:rFonts w:ascii="方正仿宋简体" w:eastAsia="方正仿宋简体" w:hAnsiTheme="minorEastAsia" w:cs="方正仿宋简体" w:hint="eastAsia"/>
                <w:bCs/>
                <w:iCs/>
              </w:rPr>
              <w:t>0.10%</w:t>
            </w:r>
          </w:p>
        </w:tc>
      </w:tr>
      <w:tr w:rsidR="000612DA" w14:paraId="1E609DF3" w14:textId="77777777" w:rsidTr="00A1474F">
        <w:trPr>
          <w:trHeight w:val="454"/>
        </w:trPr>
        <w:tc>
          <w:tcPr>
            <w:tcW w:w="1477" w:type="pct"/>
            <w:vAlign w:val="center"/>
          </w:tcPr>
          <w:p w14:paraId="20357D4E" w14:textId="77777777" w:rsidR="000612DA" w:rsidRDefault="00EE0C11">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3F14DC9F" w14:textId="77777777" w:rsidR="000612DA" w:rsidRDefault="00131C81" w:rsidP="007F7C29">
            <w:pPr>
              <w:spacing w:line="280" w:lineRule="exact"/>
              <w:jc w:val="left"/>
              <w:rPr>
                <w:rFonts w:ascii="方正仿宋简体" w:eastAsia="方正仿宋简体" w:hAnsiTheme="minorEastAsia" w:cs="方正仿宋简体"/>
                <w:bCs/>
                <w:iCs/>
              </w:rPr>
            </w:pPr>
            <w:r w:rsidR="00EE0C11">
              <w:rPr>
                <w:rFonts w:ascii="方正仿宋简体" w:eastAsia="方正仿宋简体" w:hAnsiTheme="minorEastAsia" w:cs="方正仿宋简体" w:hint="eastAsia"/>
                <w:bCs/>
                <w:iCs/>
              </w:rPr>
              <w:t>《基金合同》生效后与基金相关的信息披露费用；《基金合同》生效后与基金相关的会计师费、律师费、仲裁费和诉讼费；基金份额持有人大会费用；基金的证券/基金交易费用，本基金投资其他基金产生的其他基金的相关费用（如申购费、赎回费、销售服务费等），但法律法规禁止从基金财产中列支的除外；基金的银行汇划费用；基金的开户费用、账户维护费用；因投资港股通标的股票而产生的各项合理费用；按照国家有关规定和《基金合同》约定，可以在基金财产中列支的其他费用。</w:t>
            </w:r>
            <w:r w:rsidR="00EE0C11">
              <w:rPr>
                <w:rFonts w:ascii="方正仿宋简体" w:eastAsia="方正仿宋简体" w:hAnsiTheme="minorEastAsia" w:cs="方正仿宋简体" w:hint="eastAsia"/>
                <w:bCs/>
                <w:iCs/>
              </w:rPr>
              <w:t xml:space="preserve"> </w:t>
            </w:r>
            <w:r w:rsidR="00EE0C11">
              <w:rPr>
                <w:rFonts w:ascii="方正仿宋简体" w:eastAsia="方正仿宋简体" w:hint="eastAsia"/>
                <w:color w:val="333399"/>
              </w:rPr>
              <w:t/>
            </w:r>
          </w:p>
        </w:tc>
      </w:tr>
    </w:tbl>
    <w:p w14:paraId="7B98331D" w14:textId="77777777" w:rsidR="000612DA" w:rsidRDefault="00131C81">
      <w:pPr>
        <w:autoSpaceDE w:val="0"/>
        <w:autoSpaceDN w:val="0"/>
        <w:adjustRightInd w:val="0"/>
        <w:spacing w:line="280" w:lineRule="exact"/>
        <w:jc w:val="left"/>
        <w:rPr>
          <w:rFonts w:ascii="方正仿宋简体" w:eastAsia="方正仿宋简体" w:hAnsi="方正仿宋简体" w:cs="方正仿宋简体"/>
          <w:bCs/>
          <w:iCs/>
        </w:rPr>
      </w:pPr>
      <w:r w:rsidR="00EE0C11">
        <w:rPr>
          <w:rFonts w:ascii="方正仿宋简体" w:eastAsia="方正仿宋简体" w:hAnsi="方正仿宋简体" w:cs="方正仿宋简体" w:hint="eastAsia"/>
          <w:bCs/>
          <w:iCs/>
        </w:rPr>
        <w:t>注：</w:t>
      </w:r>
      <w:r w:rsidR="00EE0C11">
        <w:rPr>
          <w:rFonts w:ascii="方正仿宋简体" w:eastAsia="方正仿宋简体" w:hAnsi="方正仿宋简体" w:cs="方正仿宋简体" w:hint="eastAsia"/>
          <w:bCs/>
          <w:iCs/>
        </w:rPr>
        <w:t xml:space="preserve">1、本基金投资于本基金管理人所管理的基金的部分不收取管理费。本基金投资于本基金托管人所托管的基金的部分不收取托管费。基金管理人运用本基金的基金财产申购自身管理的基金的（ETF除外），应当通过直销渠道申购且不得收取申购费、赎回费（按照相关法规、基金招募说明书约定应当收取，并计入基金财产的赎回费用除外）、销售服务费（如有）等销售费用。</w:t>
      </w:r>
    </w:p>
    <w:p w14:paraId="7B98331D" w14:textId="77777777" w:rsidR="000612DA" w:rsidRDefault="00131C81">
      <w:pPr>
        <w:autoSpaceDE w:val="0"/>
        <w:autoSpaceDN w:val="0"/>
        <w:adjustRightInd w:val="0"/>
        <w:spacing w:line="280" w:lineRule="exact"/>
        <w:jc w:val="left"/>
        <w:rPr>
          <w:rFonts w:ascii="方正仿宋简体" w:eastAsia="方正仿宋简体" w:hAnsi="方正仿宋简体" w:cs="方正仿宋简体"/>
          <w:bCs/>
          <w:iCs/>
        </w:rPr>
      </w:pPr>
      <w:r w:rsidR="00EE0C11">
        <w:rPr>
          <w:rFonts w:ascii="方正仿宋简体" w:eastAsia="方正仿宋简体" w:hAnsi="方正仿宋简体" w:cs="方正仿宋简体" w:hint="eastAsia"/>
          <w:bCs/>
          <w:iCs/>
        </w:rPr>
        <w:t xml:space="preserve">2、本基金交易证券、基金等产生的费用和税负，按实际发生额从基金资产扣除。</w:t>
      </w:r>
    </w:p>
    <w:p w14:paraId="18EDD673" w14:textId="77777777" w:rsidR="000612DA" w:rsidRDefault="000612DA">
      <w:pPr>
        <w:autoSpaceDE w:val="0"/>
        <w:autoSpaceDN w:val="0"/>
        <w:adjustRightInd w:val="0"/>
        <w:spacing w:line="280" w:lineRule="exact"/>
        <w:jc w:val="left"/>
        <w:rPr>
          <w:rFonts w:ascii="方正仿宋简体" w:eastAsia="方正仿宋简体" w:hAnsiTheme="minorEastAsia" w:cs="仿宋_GB2312"/>
          <w:kern w:val="0"/>
          <w:szCs w:val="24"/>
        </w:rPr>
      </w:pPr>
    </w:p>
    <w:p w14:paraId="7748B771" w14:textId="77777777" w:rsidR="000612DA" w:rsidRDefault="00EE0C11" gbicc:emptyAbove="1">
      <w:pPr gbicc:listString="四、" gbicc:numText="%1、" gbicc:numFmt="C" gbicc:numVal="4"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3BB256B3" w14:textId="77777777" w:rsidR="000612DA" w:rsidRDefault="00EE0C11">
      <w:pPr>
        <w:spacing w:line="280" w:lineRule="exact"/>
        <w:outlineLvl w:val="1"/>
        <w:rPr>
          <w:rFonts w:ascii="方正仿宋简体" w:eastAsia="方正仿宋简体" w:hAnsi="宋体"/>
          <w:color w:val="0000FF"/>
          <w:kern w:val="0"/>
          <w:sz w:val="18"/>
        </w:rPr>
      </w:pPr>
      <w:r>
        <w:rPr>
          <w:rFonts w:ascii="方正仿宋简体" w:eastAsia="方正仿宋简体" w:hAnsi="方正仿宋简体" w:cs="方正仿宋简体" w:hint="eastAsia"/>
          <w:b/>
          <w:bCs/>
          <w:iCs/>
          <w:sz w:val="24"/>
          <w:szCs w:val="24"/>
        </w:rPr>
        <w:t>（一）风险揭示</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本基金不提供任何保证。投资者可能损失投资本金。</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投资有风险，投资者购买基金时应认真阅读本基金的招募说明书等销售文件。</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本基金面临的主要风险有系统性风险、非系统性风险、运作管理风险、流动性风险、本基金特定风险、本基金法律文件中涉及基金风险特征的表述与销售机构对基金的风险评级可能不一致的风险和其他风险等。</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本基金特定风险：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1、本基金为债券型基金中基金（FOF），理论上其预期风险与预期收益水平高于货币市场基金、货币型基金中基金（FOF），低于混合型基金、混合型基金中基金（FOF）、股票型基金和股票型基金中基金（FOF）。</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2、投资标的风险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本基金主要投资于经中国证监会依法核准或注册的公开募集证券投资基金，基金份额净值会由于所持基金份额净值的波动而波动，所持基金面临的风险也将直接或间接成为本基金的风险。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3、港股通标的股票投资风险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本基金资产投资于港股时，会面临港股通机制下因投资环境、投资标的、市场制度以及交易规则等差异带来的特有风险。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（1）港股市场股价波动较大的风险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港股市场实行T+0回转交易，且对个股不设涨跌幅限制，港股股价可能表现出比A股更为剧烈的股价波动。</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（2）港股交易失败风险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港股通业务存在每日额度限制。在香港联合交易所有限公司开市前阶段，当日额度使用完毕的，新增的买单申报将面临失败的风险；在联交所持续交易时段，当日额度使用完毕的，当日本基金将面临不能通过港股通进行买入交易的风险。如果未来港股通相关业务规则发生变化，以新的业务规则为准。</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（3）汇率风险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以人民币计价，但本基金通过港股通投资香港证券市场。港币相对于人民币的汇率变化将会影响本基金以人民币计价的基金资产价值，从而导致基金资产面临潜在风险。汇率波动可能对基金的投资收益造成损失。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（4）港股通机制下交易日不连贯可能带来的风险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在内地开市香港休市的情形下，港股通不能正常交易，港股不能及时卖出，可能带来一定的流动性风险。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（5）境外市场的风险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投资内地与香港股票市场交易互联互通机制允许买卖的规定范围内的香港联合交易所有限公司上市的股票，投资将受到香港市场宏观经济运行情况、货币政策、财政政策、产业政策、交易规则、结算、托管以及其他运作风险等多种因素的影响，上述因素的波动和变化可能会使基金资产面临潜在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4、本基金可投资资产支持证券，主要存在以下风险：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（1）特定原始权益人破产风险、现金流预测风险等与基础资产相关的风险；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（2）资产支持证券信用增级措施相关风险、资产支持证券的利率风险、评级风险等与资产支持证券相关的风险；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（3）管理人违约违规风险、托管人违约违规风险、专项计划账户管理风险、资产服务机构违规风险等与专项计划管理相关的风险；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（4）政策风险、税收风险、发生不可抗力事件的风险、技术风险和操作风险等其他风险。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5、投资存托凭证的风险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本基金可投资存托凭证，基金净值可能受到存托凭证的境外基础证券价格波动影响，存托凭证的境外基础证券的相关风险可能直接或间接成为本基金的风险。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6、基金承担费用比其他普通开放式基金高的风险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为基金中基金，基金财产主要投资于其他公开募集证券投资基金，除投资于本基金管理人所管理的基金的部分不收取管理费、投资于本基金托管人所托管的基金的部分不收取托管费、申购本基金管理人所管理的基金的部分不收取申购费、赎回费（按照相关法规、基金招募说明书约定应当收取，并计入基金财产的赎回费用除外）、销售服务费（如有）外，基金中基金承担的相关基金费用可能比普通的开放式基金高。</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本基金设置基金份额持有人最短持有期限。基金份额持有人持有的每笔基金份额最短持有期限为3个月，在最短持有期限内该笔基金份额不可赎回或转换转出，自最短持有期限届满的下一工作日起（含该日）可赎回或转换转出。即投资者要考虑在最短持有期限届满前资金不能赎回及转换转出的风险。</w:t>
      </w:r>
    </w:p>
    <w:p w14:paraId="0B16C131" w14:textId="77777777" w:rsidR="000612DA" w:rsidRDefault="00EE0C11">
      <w:pPr>
        <w:spacing w:line="28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中国证监会对本基金募集的注册，并不表明其对本基金的价值和收益作出实质性判断或保证，也不表明投资于本基金没有风险。</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因《基金合同》而产生的或与《基金合同》有关的一切争议，应经友好协商解决，如经友好协商未能解决的，则任何一方有权按《基金合同》的约定提交仲裁，仲裁机构见《基金合同》。</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6AFA41DC" w14:textId="77777777" w:rsidR="000612DA" w:rsidRDefault="000612DA">
      <w:pPr>
        <w:autoSpaceDE w:val="0"/>
        <w:autoSpaceDN w:val="0"/>
        <w:adjustRightInd w:val="0"/>
        <w:spacing w:line="280" w:lineRule="exact"/>
        <w:jc w:val="left"/>
        <w:rPr>
          <w:rFonts w:ascii="方正仿宋简体" w:eastAsia="方正仿宋简体"/>
        </w:rPr>
      </w:pPr>
    </w:p>
    <w:p w14:paraId="1DBD8758" w14:textId="77777777" w:rsidR="000612DA" w:rsidRDefault="00EE0C11" gbicc:emptyAbove="1">
      <w:pPr gbicc:listString="五、" gbicc:numText="%1、" gbicc:numFmt="C" gbicc:numVal="5"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以下资料详见基金管理人网站www.gtfund.com或咨询客服电话：400-888-8688</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1、基金合同、托管协议、招募说明书及更新</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w:p w14:paraId="4A7D9F6A" w14:textId="77777777" w:rsidR="000612DA" w:rsidRDefault="000612DA">
      <w:pPr>
        <w:autoSpaceDE w:val="0"/>
        <w:autoSpaceDN w:val="0"/>
        <w:adjustRightInd w:val="0"/>
        <w:spacing w:line="280" w:lineRule="exact"/>
        <w:jc w:val="left"/>
        <w:rPr>
          <w:rFonts w:ascii="方正仿宋简体" w:eastAsia="方正仿宋简体"/>
        </w:rPr>
      </w:pPr>
    </w:p>
    <w:sectPr w:rsidR="000612DA">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01A00" w14:textId="77777777" w:rsidR="00131C81" w:rsidRDefault="00131C81" w:rsidP="0092395F">
      <w:r>
        <w:separator/>
      </w:r>
    </w:p>
  </w:endnote>
  <w:endnote w:type="continuationSeparator" w:id="0">
    <w:p w14:paraId="5A96AC45" w14:textId="77777777" w:rsidR="00131C81" w:rsidRDefault="00131C81"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581EBAD3" w14:textId="77777777" w:rsidR="00666EDA" w:rsidRDefault="00666EDA"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7CBF">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7CBF">
              <w:rPr>
                <w:b/>
                <w:bCs/>
                <w:noProof/>
              </w:rPr>
              <w:t>17</w:t>
            </w:r>
            <w:r>
              <w:rPr>
                <w:b/>
                <w:bCs/>
                <w:sz w:val="24"/>
                <w:szCs w:val="24"/>
              </w:rPr>
              <w:fldChar w:fldCharType="end"/>
            </w:r>
          </w:p>
        </w:sdtContent>
      </w:sdt>
    </w:sdtContent>
  </w:sdt>
  <w:p w14:paraId="2DF21D3A" w14:textId="77777777" w:rsidR="00666EDA" w:rsidRDefault="00666E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4CCB" w14:textId="77777777" w:rsidR="00131C81" w:rsidRDefault="00131C81" w:rsidP="0092395F">
      <w:r>
        <w:separator/>
      </w:r>
    </w:p>
  </w:footnote>
  <w:footnote w:type="continuationSeparator" w:id="0">
    <w:p w14:paraId="1145EF3F" w14:textId="77777777" w:rsidR="00131C81" w:rsidRDefault="00131C81"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3">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C21FE0E"/>
    <w:multiLevelType w:val="singleLevel"/>
    <w:tmpl w:val="5C21FE0E"/>
    <w:lvl w:ilvl="0">
      <w:start w:val="2"/>
      <w:numFmt w:val="chineseCounting"/>
      <w:suff w:val="nothing"/>
      <w:lvlText w:val="（%1）"/>
      <w:lvlJc w:val="left"/>
    </w:lvl>
  </w:abstractNum>
  <w:abstractNum w:abstractNumId="15">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7"/>
  </w:num>
  <w:num w:numId="7">
    <w:abstractNumId w:val="7"/>
  </w:num>
  <w:num w:numId="8">
    <w:abstractNumId w:val="13"/>
  </w:num>
  <w:num w:numId="9">
    <w:abstractNumId w:val="19"/>
  </w:num>
  <w:num w:numId="10">
    <w:abstractNumId w:val="12"/>
  </w:num>
  <w:num w:numId="11">
    <w:abstractNumId w:val="14"/>
  </w:num>
  <w:num w:numId="12">
    <w:abstractNumId w:val="0"/>
  </w:num>
  <w:num w:numId="13">
    <w:abstractNumId w:val="3"/>
  </w:num>
  <w:num w:numId="14">
    <w:abstractNumId w:val="4"/>
  </w:num>
  <w:num w:numId="15">
    <w:abstractNumId w:val="20"/>
  </w:num>
  <w:num w:numId="16">
    <w:abstractNumId w:val="6"/>
  </w:num>
  <w:num w:numId="17">
    <w:abstractNumId w:val="15"/>
  </w:num>
  <w:num w:numId="18">
    <w:abstractNumId w:val="8"/>
  </w:num>
  <w:num w:numId="19">
    <w:abstractNumId w:val="11"/>
  </w:num>
  <w:num w:numId="20">
    <w:abstractNumId w:val="1"/>
  </w:num>
  <w:num w:numId="21">
    <w:abstractNumId w:val="5"/>
  </w:num>
  <w:num w:numId="22">
    <w:abstractNumId w:val="10"/>
  </w:num>
  <w:num w:numId="23">
    <w:abstractNumId w:val="1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2A66"/>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1C81"/>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1A4C"/>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04C"/>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6EDA"/>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7F7C29"/>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9F7CBF"/>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676DB"/>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380B"/>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5F7"/>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B7DDE"/>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8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
<Relationships xmlns="http://schemas.openxmlformats.org/package/2006/relationships">
<Relationship Id="rId10" Target="endnotes.xml" Type="http://schemas.openxmlformats.org/officeDocument/2006/relationships/endnotes"/>
<Relationship Id="rId11" Target="media/image1.png" Type="http://schemas.openxmlformats.org/officeDocument/2006/relationships/image"/>
<Relationship Id="rId12" Target="charts/chart1.xml" Type="http://schemas.openxmlformats.org/officeDocument/2006/relationships/chart"/>
<Relationship Id="rId13" Target="charts/chart2.xml" Type="http://schemas.openxmlformats.org/officeDocument/2006/relationships/chart"/>
<Relationship Id="rId14" Target="charts/chart3.xml" Type="http://schemas.openxmlformats.org/officeDocument/2006/relationships/chart"/>
<Relationship Id="rId15" Target="charts/chart4.xml" Type="http://schemas.openxmlformats.org/officeDocument/2006/relationships/chart"/>
<Relationship Id="rId16" Target="charts/chart5.xml" Type="http://schemas.openxmlformats.org/officeDocument/2006/relationships/chart"/>
<Relationship Id="rId17" Target="charts/chart6.xml" Type="http://schemas.openxmlformats.org/officeDocument/2006/relationships/chart"/>
<Relationship Id="rId18" Target="charts/chart7.xml" Type="http://schemas.openxmlformats.org/officeDocument/2006/relationships/chart"/>
<Relationship Id="rId19" Target="charts/chart8.xml" Type="http://schemas.openxmlformats.org/officeDocument/2006/relationships/chart"/>
<Relationship Id="rId20" Target="charts/chart9.xml" Type="http://schemas.openxmlformats.org/officeDocument/2006/relationships/chart"/>
<Relationship Id="rId21" Target="charts/chart10.xml" Type="http://schemas.openxmlformats.org/officeDocument/2006/relationships/chart"/>
<Relationship Id="rId22" Target="charts/chart11.xml" Type="http://schemas.openxmlformats.org/officeDocument/2006/relationships/chart"/>
<Relationship Id="rId23" Target="charts/chart12.xml" Type="http://schemas.openxmlformats.org/officeDocument/2006/relationships/chart"/>
<Relationship Id="rId24" Target="footer1.xml" Type="http://schemas.openxmlformats.org/officeDocument/2006/relationships/footer"/>
<Relationship Id="rId25" Target="fontTable.xml" Type="http://schemas.openxmlformats.org/officeDocument/2006/relationships/fontTable"/>
<Relationship Id="rId26" Target="glossary/document.xml" Type="http://schemas.openxmlformats.org/officeDocument/2006/relationships/glossaryDocument"/>
<Relationship Id="rId27"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tylesWithEffects.xml" Type="http://schemas.microsoft.com/office/2007/relationships/stylesWithEffect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settings.xml.rels><?xml version="1.0" encoding="UTF-8" standalone="no"?>
<Relationships xmlns="http://schemas.openxmlformats.org/package/2006/relationships">
<Relationship Id="rId1" Target="file:///C:/Users/Administrator/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
      <w:docPartPr>
        <w:name w:val="DefaultPlaceholder_1082065158"/>
        <w:category>
          <w:name w:val="常规"/>
          <w:gallery w:val="placeholder"/>
        </w:category>
        <w:types>
          <w:type w:val="bbPlcHdr"/>
        </w:types>
        <w:behaviors>
          <w:behavior w:val="content"/>
        </w:behaviors>
        <w:guid w:val="{57CD086F-2F5C-4E66-8256-BB6100FD033D}"/>
      </w:docPartPr>
      <w:docPartBody>
        <w:p w:rsidR="00801DA5" w:rsidRDefault="009A3157">
          <w:r w:rsidRPr="00DA5A48">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0464"/>
    <w:rsid w:val="00586633"/>
    <w:rsid w:val="0058720C"/>
    <w:rsid w:val="005902FE"/>
    <w:rsid w:val="005915B9"/>
    <w:rsid w:val="00593FAA"/>
    <w:rsid w:val="005A1461"/>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27868"/>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1797"/>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A43ADF4A-9B80-425B-BC2F-A92EEBD1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619</Words>
  <Characters>3530</Characters>
  <Application>Microsoft Office Word</Application>
  <DocSecurity>0</DocSecurity>
  <Lines>29</Lines>
  <Paragraphs>8</Paragraphs>
  <ScaleCrop>false</ScaleCrop>
  <Company>shenduxitong</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2020-08-25T08:03:00Z</dcterms:created>
  <dc:creator>Donghm</dc:creator>
  <cp:lastModifiedBy>Administrator</cp:lastModifiedBy>
  <dcterms:modified xsi:type="dcterms:W3CDTF">2020-08-25T08:03:00Z</dcterms:modified>
  <cp:revision>2</cp:revision>
</cp:coreProperties>
</file>