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070317" w:rsidRPr="002A51E8"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易方达量化策略精选灵活配置混合型证券投资基金基金经理变更公告</w:t>
      </w:r>
    </w:p>
    <w:p w:rsidR="00070317" w:rsidRPr="00801D63" w:rsidP="00801D63">
      <w:pPr>
        <w:jc w:val="center"/>
        <w:rPr>
          <w:rFonts w:asciiTheme="minorEastAsia" w:eastAsiaTheme="minorEastAsia" w:hAnsiTheme="minorEastAsia"/>
          <w:b/>
          <w:color w:val="000000"/>
          <w:sz w:val="24"/>
          <w:szCs w:val="24"/>
        </w:rPr>
      </w:pPr>
      <w:r w:rsidRPr="00801D63">
        <w:rPr>
          <w:rFonts w:asciiTheme="minorEastAsia" w:eastAsiaTheme="minorEastAsia" w:hAnsiTheme="minorEastAsia"/>
          <w:b/>
          <w:color w:val="000000"/>
          <w:sz w:val="24"/>
          <w:szCs w:val="24"/>
        </w:rPr>
        <w:t>公告送出日期：2022年9月</w:t>
      </w:r>
      <w:r w:rsidR="005E1DC9">
        <w:rPr>
          <w:rFonts w:asciiTheme="minorEastAsia" w:eastAsiaTheme="minorEastAsia" w:hAnsiTheme="minorEastAsia"/>
          <w:b/>
          <w:color w:val="000000"/>
          <w:sz w:val="24"/>
          <w:szCs w:val="24"/>
        </w:rPr>
        <w:t>14</w:t>
      </w:r>
      <w:r w:rsidRPr="00801D63">
        <w:rPr>
          <w:rFonts w:asciiTheme="minorEastAsia" w:eastAsiaTheme="minorEastAsia" w:hAnsiTheme="minorEastAsia"/>
          <w:b/>
          <w:color w:val="000000"/>
          <w:sz w:val="24"/>
          <w:szCs w:val="24"/>
        </w:rPr>
        <w:t>日</w:t>
      </w:r>
    </w:p>
    <w:p w:rsidR="00070317" w:rsidRPr="0000418A" w:rsidP="00070317">
      <w:pPr>
        <w:spacing w:line="560" w:lineRule="exact"/>
        <w:jc w:val="center"/>
        <w:rPr>
          <w:rFonts w:asciiTheme="minorEastAsia" w:eastAsiaTheme="minorEastAsia" w:hAnsiTheme="minorEastAsia"/>
          <w:color w:val="000000"/>
          <w:sz w:val="24"/>
          <w:szCs w:val="24"/>
        </w:rPr>
      </w:pPr>
    </w:p>
    <w:p w:rsidR="00C6080C" w:rsidRPr="0000418A" w:rsidP="00C6080C">
      <w:pPr>
        <w:pStyle w:val="Heading2"/>
        <w:spacing w:line="560" w:lineRule="exact"/>
        <w:rPr>
          <w:rFonts w:asciiTheme="minorEastAsia" w:eastAsiaTheme="minorEastAsia" w:hAnsiTheme="minorEastAsia"/>
          <w:bCs w:val="0"/>
          <w:color w:val="000000"/>
          <w:sz w:val="24"/>
          <w:szCs w:val="24"/>
        </w:rPr>
      </w:pPr>
      <w:r w:rsidRPr="0000418A">
        <w:rPr>
          <w:rFonts w:asciiTheme="minorEastAsia" w:eastAsiaTheme="minorEastAsia" w:hAnsiTheme="minorEastAsia" w:hint="eastAsia"/>
          <w:bCs w:val="0"/>
          <w:color w:val="000000"/>
          <w:sz w:val="24"/>
          <w:szCs w:val="24"/>
        </w:rPr>
        <w:t>1</w:t>
      </w:r>
      <w:r w:rsidRPr="0000418A">
        <w:rPr>
          <w:rFonts w:asciiTheme="minorEastAsia" w:eastAsiaTheme="minorEastAsia" w:hAnsiTheme="minorEastAsia"/>
          <w:bCs w:val="0"/>
          <w:color w:val="000000"/>
          <w:sz w:val="24"/>
          <w:szCs w:val="24"/>
        </w:rPr>
        <w:t>公告基本信息</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Tr="004D1446">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4353" w:type="dxa"/>
          </w:tcPr>
          <w:p w:rsidR="00C6080C" w:rsidRPr="009E69A9" w:rsidP="009E69A9">
            <w:pPr>
              <w:rPr>
                <w:rFonts w:eastAsiaTheme="minorEastAsia" w:hAnsiTheme="minorEastAsia"/>
                <w:sz w:val="24"/>
                <w:szCs w:val="24"/>
              </w:rPr>
            </w:pPr>
            <w:r w:rsidRPr="009E69A9">
              <w:rPr>
                <w:rFonts w:eastAsiaTheme="minorEastAsia" w:hAnsiTheme="minorEastAsia"/>
                <w:sz w:val="24"/>
                <w:szCs w:val="24"/>
              </w:rPr>
              <w:t>基金名称</w:t>
            </w:r>
          </w:p>
        </w:tc>
        <w:tc>
          <w:tcPr>
            <w:tcW w:w="5286" w:type="dxa"/>
            <w:vAlign w:val="center"/>
          </w:tcPr>
          <w:p w:rsidR="00C6080C" w:rsidRPr="009E69A9" w:rsidP="009E69A9">
            <w:pPr>
              <w:rPr>
                <w:rFonts w:eastAsiaTheme="minorEastAsia" w:hAnsiTheme="minorEastAsia"/>
                <w:sz w:val="24"/>
                <w:szCs w:val="24"/>
              </w:rPr>
            </w:pPr>
            <w:r w:rsidRPr="009E69A9">
              <w:rPr>
                <w:rFonts w:eastAsiaTheme="minorEastAsia" w:hAnsiTheme="minorEastAsia"/>
                <w:sz w:val="24"/>
                <w:szCs w:val="24"/>
              </w:rPr>
              <w:t>易方达量化策略精选灵活配置混合型证券投资基金</w:t>
            </w:r>
          </w:p>
        </w:tc>
      </w:tr>
      <w:tr w:rsidTr="004D1446">
        <w:tblPrEx>
          <w:tblW w:w="9639" w:type="dxa"/>
          <w:jc w:val="center"/>
          <w:tblLayout w:type="fixed"/>
          <w:tblLook w:val="01E0"/>
        </w:tblPrEx>
        <w:trPr>
          <w:jc w:val="center"/>
        </w:trPr>
        <w:tc>
          <w:tcPr>
            <w:tcW w:w="4353" w:type="dxa"/>
          </w:tcPr>
          <w:p w:rsidR="00C6080C" w:rsidRPr="009E69A9" w:rsidP="009E69A9">
            <w:pPr>
              <w:rPr>
                <w:rFonts w:eastAsiaTheme="minorEastAsia" w:hAnsiTheme="minorEastAsia"/>
                <w:sz w:val="24"/>
                <w:szCs w:val="24"/>
              </w:rPr>
            </w:pPr>
            <w:r w:rsidRPr="009E69A9">
              <w:rPr>
                <w:rFonts w:eastAsiaTheme="minorEastAsia" w:hAnsiTheme="minorEastAsia"/>
                <w:sz w:val="24"/>
                <w:szCs w:val="24"/>
              </w:rPr>
              <w:t>基金简称</w:t>
            </w:r>
          </w:p>
        </w:tc>
        <w:tc>
          <w:tcPr>
            <w:tcW w:w="5286" w:type="dxa"/>
            <w:vAlign w:val="center"/>
          </w:tcPr>
          <w:p w:rsidR="00C6080C" w:rsidRPr="009E69A9" w:rsidP="009E69A9">
            <w:pPr>
              <w:rPr>
                <w:rFonts w:eastAsiaTheme="minorEastAsia" w:hAnsiTheme="minorEastAsia"/>
                <w:sz w:val="24"/>
                <w:szCs w:val="24"/>
              </w:rPr>
            </w:pPr>
            <w:r w:rsidRPr="009E69A9">
              <w:rPr>
                <w:rFonts w:eastAsiaTheme="minorEastAsia" w:hAnsiTheme="minorEastAsia"/>
                <w:sz w:val="24"/>
                <w:szCs w:val="24"/>
              </w:rPr>
              <w:t>易方达量化策略精选混合</w:t>
            </w:r>
          </w:p>
        </w:tc>
      </w:tr>
      <w:tr w:rsidTr="004D1446">
        <w:tblPrEx>
          <w:tblW w:w="9639" w:type="dxa"/>
          <w:jc w:val="center"/>
          <w:tblLayout w:type="fixed"/>
          <w:tblLook w:val="01E0"/>
        </w:tblPrEx>
        <w:trPr>
          <w:jc w:val="center"/>
        </w:trPr>
        <w:tc>
          <w:tcPr>
            <w:tcW w:w="4353" w:type="dxa"/>
            <w:vAlign w:val="center"/>
          </w:tcPr>
          <w:p w:rsidR="00C6080C" w:rsidRPr="009E69A9" w:rsidP="009E69A9">
            <w:pPr>
              <w:rPr>
                <w:rFonts w:eastAsiaTheme="minorEastAsia" w:hAnsiTheme="minorEastAsia"/>
                <w:sz w:val="24"/>
                <w:szCs w:val="24"/>
              </w:rPr>
            </w:pPr>
            <w:r w:rsidRPr="009E69A9">
              <w:rPr>
                <w:rFonts w:eastAsiaTheme="minorEastAsia" w:hAnsiTheme="minorEastAsia"/>
                <w:sz w:val="24"/>
                <w:szCs w:val="24"/>
              </w:rPr>
              <w:t>基金主代码</w:t>
            </w:r>
          </w:p>
        </w:tc>
        <w:tc>
          <w:tcPr>
            <w:tcW w:w="5286" w:type="dxa"/>
            <w:vAlign w:val="center"/>
          </w:tcPr>
          <w:p w:rsidR="00C6080C" w:rsidRPr="009E69A9" w:rsidP="009E69A9">
            <w:pPr>
              <w:rPr>
                <w:rFonts w:eastAsiaTheme="minorEastAsia" w:hAnsiTheme="minorEastAsia"/>
                <w:sz w:val="24"/>
                <w:szCs w:val="24"/>
              </w:rPr>
            </w:pPr>
            <w:r w:rsidRPr="009E69A9">
              <w:rPr>
                <w:rFonts w:eastAsiaTheme="minorEastAsia" w:hAnsiTheme="minorEastAsia"/>
                <w:sz w:val="24"/>
                <w:szCs w:val="24"/>
              </w:rPr>
              <w:t>002216</w:t>
            </w:r>
          </w:p>
        </w:tc>
      </w:tr>
      <w:tr w:rsidTr="004D1446">
        <w:tblPrEx>
          <w:tblW w:w="9639" w:type="dxa"/>
          <w:jc w:val="center"/>
          <w:tblLayout w:type="fixed"/>
          <w:tblLook w:val="01E0"/>
        </w:tblPrEx>
        <w:trPr>
          <w:jc w:val="center"/>
        </w:trPr>
        <w:tc>
          <w:tcPr>
            <w:tcW w:w="4353" w:type="dxa"/>
          </w:tcPr>
          <w:p w:rsidR="00C6080C" w:rsidRPr="009E69A9" w:rsidP="009E69A9">
            <w:pPr>
              <w:rPr>
                <w:rFonts w:eastAsiaTheme="minorEastAsia" w:hAnsiTheme="minorEastAsia"/>
                <w:sz w:val="24"/>
                <w:szCs w:val="24"/>
              </w:rPr>
            </w:pPr>
            <w:r w:rsidRPr="009E69A9">
              <w:rPr>
                <w:rFonts w:eastAsiaTheme="minorEastAsia" w:hAnsiTheme="minorEastAsia"/>
                <w:sz w:val="24"/>
                <w:szCs w:val="24"/>
              </w:rPr>
              <w:t>基金管理人名称</w:t>
            </w:r>
          </w:p>
        </w:tc>
        <w:tc>
          <w:tcPr>
            <w:tcW w:w="5286" w:type="dxa"/>
            <w:vAlign w:val="center"/>
          </w:tcPr>
          <w:p w:rsidR="00C6080C" w:rsidRPr="009E69A9" w:rsidP="009E69A9">
            <w:pPr>
              <w:rPr>
                <w:rFonts w:eastAsiaTheme="minorEastAsia" w:hAnsiTheme="minorEastAsia"/>
                <w:sz w:val="24"/>
                <w:szCs w:val="24"/>
              </w:rPr>
            </w:pPr>
            <w:r w:rsidRPr="009E69A9">
              <w:rPr>
                <w:rFonts w:eastAsiaTheme="minorEastAsia" w:hAnsiTheme="minorEastAsia"/>
                <w:sz w:val="24"/>
                <w:szCs w:val="24"/>
              </w:rPr>
              <w:t>易方达基金管理有限公司</w:t>
            </w:r>
          </w:p>
        </w:tc>
      </w:tr>
      <w:tr w:rsidTr="004D1446">
        <w:tblPrEx>
          <w:tblW w:w="9639" w:type="dxa"/>
          <w:jc w:val="center"/>
          <w:tblLayout w:type="fixed"/>
          <w:tblLook w:val="01E0"/>
        </w:tblPrEx>
        <w:trPr>
          <w:jc w:val="center"/>
        </w:trPr>
        <w:tc>
          <w:tcPr>
            <w:tcW w:w="4353" w:type="dxa"/>
          </w:tcPr>
          <w:p w:rsidR="00C6080C" w:rsidRPr="009E69A9" w:rsidP="009E69A9">
            <w:pPr>
              <w:rPr>
                <w:rFonts w:eastAsiaTheme="minorEastAsia" w:hAnsiTheme="minorEastAsia"/>
                <w:sz w:val="24"/>
                <w:szCs w:val="24"/>
              </w:rPr>
            </w:pPr>
            <w:r w:rsidRPr="009E69A9">
              <w:rPr>
                <w:rFonts w:eastAsiaTheme="minorEastAsia" w:hAnsiTheme="minorEastAsia"/>
                <w:sz w:val="24"/>
                <w:szCs w:val="24"/>
              </w:rPr>
              <w:t>公告依据</w:t>
            </w:r>
          </w:p>
        </w:tc>
        <w:tc>
          <w:tcPr>
            <w:tcW w:w="5286" w:type="dxa"/>
            <w:vAlign w:val="center"/>
          </w:tcPr>
          <w:p w:rsidR="00C6080C" w:rsidRPr="009E69A9" w:rsidP="009E69A9">
            <w:pPr>
              <w:rPr>
                <w:rFonts w:eastAsiaTheme="minorEastAsia" w:hAnsiTheme="minorEastAsia"/>
                <w:sz w:val="24"/>
                <w:szCs w:val="24"/>
              </w:rPr>
            </w:pPr>
            <w:r w:rsidRPr="009E69A9">
              <w:rPr>
                <w:rFonts w:eastAsiaTheme="minorEastAsia" w:hAnsiTheme="minorEastAsia"/>
                <w:sz w:val="24"/>
                <w:szCs w:val="24"/>
              </w:rPr>
              <w:t>《公开募集证券投资基金信息披露管理办法》《基金管理公司投资管理人员管理指导意见》《易方达量化策略精选灵活配置混合型证券投资基金基金合同》</w:t>
            </w:r>
          </w:p>
        </w:tc>
      </w:tr>
      <w:tr w:rsidTr="004D1446">
        <w:tblPrEx>
          <w:tblW w:w="9639" w:type="dxa"/>
          <w:jc w:val="center"/>
          <w:tblLayout w:type="fixed"/>
          <w:tblLook w:val="01E0"/>
        </w:tblPrEx>
        <w:trPr>
          <w:jc w:val="center"/>
        </w:trPr>
        <w:tc>
          <w:tcPr>
            <w:tcW w:w="4353" w:type="dxa"/>
          </w:tcPr>
          <w:p w:rsidR="00C6080C" w:rsidRPr="009E69A9" w:rsidP="009E69A9">
            <w:pPr>
              <w:rPr>
                <w:rFonts w:eastAsiaTheme="minorEastAsia" w:hAnsiTheme="minorEastAsia"/>
                <w:sz w:val="24"/>
                <w:szCs w:val="24"/>
              </w:rPr>
            </w:pPr>
            <w:r w:rsidRPr="009E69A9">
              <w:rPr>
                <w:rFonts w:eastAsiaTheme="minorEastAsia" w:hAnsiTheme="minorEastAsia"/>
                <w:sz w:val="24"/>
                <w:szCs w:val="24"/>
              </w:rPr>
              <w:t>基金经理变更类型</w:t>
            </w:r>
          </w:p>
        </w:tc>
        <w:tc>
          <w:tcPr>
            <w:tcW w:w="5286" w:type="dxa"/>
            <w:vAlign w:val="center"/>
          </w:tcPr>
          <w:p w:rsidR="00C6080C" w:rsidRPr="009E69A9" w:rsidP="009E69A9">
            <w:pPr>
              <w:rPr>
                <w:rFonts w:eastAsiaTheme="minorEastAsia" w:hAnsiTheme="minorEastAsia"/>
                <w:sz w:val="24"/>
                <w:szCs w:val="24"/>
              </w:rPr>
            </w:pPr>
            <w:r w:rsidRPr="009E69A9">
              <w:rPr>
                <w:rFonts w:eastAsiaTheme="minorEastAsia" w:hAnsiTheme="minorEastAsia"/>
                <w:sz w:val="24"/>
                <w:szCs w:val="24"/>
              </w:rPr>
              <w:t>增聘基金经理</w:t>
            </w:r>
          </w:p>
        </w:tc>
      </w:tr>
      <w:tr>
        <w:tblPrEx>
          <w:tblW w:w="9639" w:type="dxa"/>
          <w:jc w:val="center"/>
          <w:tblLayout w:type="fixed"/>
          <w:tblLook w:val="01E0"/>
        </w:tblPrEx>
        <w:trPr>
          <w:trHeight w:val="624"/>
          <w:jc w:val="center"/>
        </w:trPr>
        <w:tc>
          <w:tcPr>
            <w:tcW w:w="4353" w:type="dxa"/>
            <w:vAlign w:val="center"/>
          </w:tcPr>
          <w:p w:rsidR="00A359C6">
            <w:pPr>
              <w:jc w:val="left"/>
            </w:pPr>
            <w:r>
              <w:rPr>
                <w:rFonts w:eastAsiaTheme="minorEastAsia"/>
                <w:sz w:val="24"/>
                <w:szCs w:val="24"/>
              </w:rPr>
              <w:t>新任基金经理姓名</w:t>
            </w:r>
          </w:p>
        </w:tc>
        <w:tc>
          <w:tcPr>
            <w:tcW w:w="5286" w:type="dxa"/>
            <w:vAlign w:val="center"/>
          </w:tcPr>
          <w:p w:rsidR="00A359C6">
            <w:pPr>
              <w:jc w:val="left"/>
            </w:pPr>
            <w:r>
              <w:rPr>
                <w:rFonts w:eastAsiaTheme="minorEastAsia"/>
                <w:sz w:val="24"/>
                <w:szCs w:val="24"/>
              </w:rPr>
              <w:t>王建军</w:t>
            </w:r>
          </w:p>
        </w:tc>
      </w:tr>
      <w:tr>
        <w:tblPrEx>
          <w:tblW w:w="9639" w:type="dxa"/>
          <w:jc w:val="center"/>
          <w:tblLayout w:type="fixed"/>
          <w:tblLook w:val="01E0"/>
        </w:tblPrEx>
        <w:trPr>
          <w:jc w:val="center"/>
        </w:trPr>
        <w:tc>
          <w:tcPr>
            <w:tcW w:w="4353" w:type="dxa"/>
            <w:vAlign w:val="center"/>
          </w:tcPr>
          <w:p w:rsidR="00A359C6">
            <w:pPr>
              <w:jc w:val="left"/>
            </w:pPr>
            <w:r>
              <w:rPr>
                <w:rFonts w:eastAsiaTheme="minorEastAsia"/>
                <w:sz w:val="24"/>
                <w:szCs w:val="24"/>
              </w:rPr>
              <w:t>共同管理本基金的其他基金经理姓名</w:t>
            </w:r>
          </w:p>
        </w:tc>
        <w:tc>
          <w:tcPr>
            <w:tcW w:w="5286" w:type="dxa"/>
            <w:vAlign w:val="center"/>
          </w:tcPr>
          <w:p w:rsidR="00A359C6">
            <w:pPr>
              <w:jc w:val="left"/>
            </w:pPr>
            <w:r>
              <w:rPr>
                <w:rFonts w:eastAsiaTheme="minorEastAsia"/>
                <w:sz w:val="24"/>
                <w:szCs w:val="24"/>
              </w:rPr>
              <w:t>杜才鸣</w:t>
            </w:r>
          </w:p>
        </w:tc>
      </w:tr>
    </w:tbl>
    <w:p w:rsidR="00070317" w:rsidRPr="0000418A" w:rsidP="00070317">
      <w:pPr>
        <w:spacing w:line="560" w:lineRule="exact"/>
        <w:rPr>
          <w:rFonts w:asciiTheme="minorEastAsia" w:eastAsiaTheme="minorEastAsia" w:hAnsiTheme="minorEastAsia"/>
          <w:color w:val="000000"/>
          <w:sz w:val="24"/>
          <w:szCs w:val="24"/>
        </w:rPr>
      </w:pPr>
    </w:p>
    <w:p w:rsidR="00070317" w:rsidP="00070317">
      <w:pPr>
        <w:pStyle w:val="Heading2"/>
        <w:spacing w:line="560" w:lineRule="exact"/>
        <w:rPr>
          <w:rFonts w:asciiTheme="minorEastAsia" w:eastAsiaTheme="minorEastAsia" w:hAnsiTheme="minorEastAsia"/>
          <w:bCs w:val="0"/>
          <w:color w:val="000000"/>
          <w:sz w:val="24"/>
          <w:szCs w:val="24"/>
        </w:rPr>
      </w:pPr>
      <w:bookmarkStart w:id="0" w:name="_Toc275961409"/>
      <w:r w:rsidRPr="0000418A">
        <w:rPr>
          <w:rFonts w:asciiTheme="minorEastAsia" w:eastAsiaTheme="minorEastAsia" w:hAnsiTheme="minorEastAsia" w:hint="eastAsia"/>
          <w:bCs w:val="0"/>
          <w:color w:val="000000"/>
          <w:sz w:val="24"/>
          <w:szCs w:val="24"/>
        </w:rPr>
        <w:t>2</w:t>
      </w:r>
      <w:r w:rsidRPr="0000418A">
        <w:rPr>
          <w:rFonts w:asciiTheme="minorEastAsia" w:eastAsiaTheme="minorEastAsia" w:hAnsiTheme="minorEastAsia"/>
          <w:bCs w:val="0"/>
          <w:color w:val="000000"/>
          <w:sz w:val="24"/>
          <w:szCs w:val="24"/>
        </w:rPr>
        <w:t xml:space="preserve"> 新任基金经理的相关信息</w:t>
      </w:r>
      <w:bookmarkEnd w:id="0"/>
    </w:p>
    <w:tbl>
      <w:tblPr>
        <w:tblW w:w="9681"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34"/>
        <w:gridCol w:w="1294"/>
        <w:gridCol w:w="3820"/>
        <w:gridCol w:w="1308"/>
        <w:gridCol w:w="1425"/>
      </w:tblGrid>
      <w:tr w:rsidTr="000E6F9C">
        <w:tblPrEx>
          <w:tblW w:w="9681"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Ex>
        <w:trPr>
          <w:jc w:val="center"/>
        </w:trPr>
        <w:tc>
          <w:tcPr>
            <w:tcW w:w="2673" w:type="dxa"/>
          </w:tcPr>
          <w:p w:rsidR="000E6F9C" w:rsidRPr="00404B1E" w:rsidP="00BA1FDD">
            <w:pPr>
              <w:rPr>
                <w:rFonts w:eastAsiaTheme="minorEastAsia"/>
                <w:sz w:val="24"/>
                <w:szCs w:val="24"/>
              </w:rPr>
            </w:pPr>
            <w:r w:rsidRPr="002C06BE">
              <w:rPr>
                <w:rFonts w:eastAsiaTheme="minorEastAsia" w:hAnsiTheme="minorEastAsia"/>
                <w:sz w:val="24"/>
                <w:szCs w:val="24"/>
              </w:rPr>
              <w:t>新任基金经理姓名</w:t>
            </w:r>
          </w:p>
        </w:tc>
        <w:tc>
          <w:tcPr>
            <w:tcW w:w="7008" w:type="dxa"/>
            <w:gridSpan w:val="4"/>
            <w:vAlign w:val="center"/>
          </w:tcPr>
          <w:p w:rsidR="000E6F9C" w:rsidRPr="00404B1E" w:rsidP="00BA1FDD">
            <w:pPr>
              <w:rPr>
                <w:rFonts w:eastAsiaTheme="minorEastAsia"/>
                <w:sz w:val="24"/>
                <w:szCs w:val="24"/>
              </w:rPr>
            </w:pPr>
            <w:r w:rsidRPr="00404B1E">
              <w:rPr>
                <w:rFonts w:eastAsiaTheme="minorEastAsia" w:hAnsiTheme="minorEastAsia"/>
                <w:sz w:val="24"/>
                <w:szCs w:val="24"/>
              </w:rPr>
              <w:t>王建军</w:t>
            </w:r>
          </w:p>
        </w:tc>
      </w:tr>
      <w:tr w:rsidTr="000E6F9C">
        <w:tblPrEx>
          <w:tblW w:w="9681" w:type="dxa"/>
          <w:jc w:val="center"/>
          <w:tblLook w:val="04A0"/>
        </w:tblPrEx>
        <w:trPr>
          <w:jc w:val="center"/>
        </w:trPr>
        <w:tc>
          <w:tcPr>
            <w:tcW w:w="2673" w:type="dxa"/>
            <w:vAlign w:val="center"/>
          </w:tcPr>
          <w:p w:rsidR="000E6F9C" w:rsidRPr="00404B1E" w:rsidP="00BA1FDD">
            <w:pPr>
              <w:rPr>
                <w:rFonts w:eastAsiaTheme="minorEastAsia"/>
                <w:sz w:val="24"/>
                <w:szCs w:val="24"/>
              </w:rPr>
            </w:pPr>
            <w:r w:rsidRPr="002C06BE">
              <w:rPr>
                <w:rFonts w:eastAsiaTheme="minorEastAsia" w:hAnsiTheme="minorEastAsia"/>
                <w:sz w:val="24"/>
                <w:szCs w:val="24"/>
              </w:rPr>
              <w:t>任职日期</w:t>
            </w:r>
          </w:p>
        </w:tc>
        <w:tc>
          <w:tcPr>
            <w:tcW w:w="7008" w:type="dxa"/>
            <w:gridSpan w:val="4"/>
            <w:vAlign w:val="center"/>
          </w:tcPr>
          <w:p w:rsidR="000E6F9C" w:rsidRPr="00404B1E" w:rsidP="00BA1FDD">
            <w:pPr>
              <w:rPr>
                <w:rFonts w:eastAsiaTheme="minorEastAsia"/>
                <w:sz w:val="24"/>
                <w:szCs w:val="24"/>
              </w:rPr>
            </w:pPr>
            <w:r w:rsidRPr="00404B1E">
              <w:rPr>
                <w:rFonts w:eastAsiaTheme="minorEastAsia" w:hAnsiTheme="minorEastAsia"/>
                <w:sz w:val="24"/>
                <w:szCs w:val="24"/>
              </w:rPr>
              <w:t>2022</w:t>
            </w:r>
            <w:r w:rsidRPr="00404B1E">
              <w:rPr>
                <w:rFonts w:eastAsiaTheme="minorEastAsia" w:hAnsiTheme="minorEastAsia"/>
                <w:sz w:val="24"/>
                <w:szCs w:val="24"/>
              </w:rPr>
              <w:t>年</w:t>
            </w:r>
            <w:r w:rsidRPr="00404B1E">
              <w:rPr>
                <w:rFonts w:eastAsiaTheme="minorEastAsia" w:hAnsiTheme="minorEastAsia"/>
                <w:sz w:val="24"/>
                <w:szCs w:val="24"/>
              </w:rPr>
              <w:t>9</w:t>
            </w:r>
            <w:r w:rsidRPr="00404B1E">
              <w:rPr>
                <w:rFonts w:eastAsiaTheme="minorEastAsia" w:hAnsiTheme="minorEastAsia"/>
                <w:sz w:val="24"/>
                <w:szCs w:val="24"/>
              </w:rPr>
              <w:t>月</w:t>
            </w:r>
            <w:r w:rsidR="005E1DC9">
              <w:rPr>
                <w:rFonts w:eastAsiaTheme="minorEastAsia" w:hAnsiTheme="minorEastAsia"/>
                <w:sz w:val="24"/>
                <w:szCs w:val="24"/>
              </w:rPr>
              <w:t>14</w:t>
            </w:r>
            <w:r w:rsidRPr="00404B1E">
              <w:rPr>
                <w:rFonts w:eastAsiaTheme="minorEastAsia" w:hAnsiTheme="minorEastAsia"/>
                <w:sz w:val="24"/>
                <w:szCs w:val="24"/>
              </w:rPr>
              <w:t>日</w:t>
            </w:r>
          </w:p>
        </w:tc>
      </w:tr>
      <w:tr w:rsidTr="000E6F9C">
        <w:tblPrEx>
          <w:tblW w:w="9681" w:type="dxa"/>
          <w:jc w:val="center"/>
          <w:tblLook w:val="04A0"/>
        </w:tblPrEx>
        <w:trPr>
          <w:jc w:val="center"/>
        </w:trPr>
        <w:tc>
          <w:tcPr>
            <w:tcW w:w="2673" w:type="dxa"/>
            <w:vAlign w:val="center"/>
          </w:tcPr>
          <w:p w:rsidR="000E6F9C" w:rsidRPr="00404B1E" w:rsidP="00BA1FDD">
            <w:pPr>
              <w:rPr>
                <w:rFonts w:eastAsiaTheme="minorEastAsia"/>
                <w:sz w:val="24"/>
                <w:szCs w:val="24"/>
              </w:rPr>
            </w:pPr>
            <w:r w:rsidRPr="002C06BE">
              <w:rPr>
                <w:rFonts w:eastAsiaTheme="minorEastAsia" w:hAnsiTheme="minorEastAsia"/>
                <w:sz w:val="24"/>
                <w:szCs w:val="24"/>
              </w:rPr>
              <w:t>证券从业年限</w:t>
            </w:r>
          </w:p>
        </w:tc>
        <w:tc>
          <w:tcPr>
            <w:tcW w:w="7008" w:type="dxa"/>
            <w:gridSpan w:val="4"/>
            <w:vAlign w:val="center"/>
          </w:tcPr>
          <w:p w:rsidR="000E6F9C" w:rsidRPr="00404B1E" w:rsidP="00BA1FDD">
            <w:pPr>
              <w:rPr>
                <w:rFonts w:eastAsiaTheme="minorEastAsia"/>
                <w:sz w:val="24"/>
                <w:szCs w:val="24"/>
              </w:rPr>
            </w:pPr>
            <w:r w:rsidRPr="00404B1E">
              <w:rPr>
                <w:rFonts w:eastAsiaTheme="minorEastAsia" w:hAnsiTheme="minorEastAsia"/>
                <w:sz w:val="24"/>
                <w:szCs w:val="24"/>
              </w:rPr>
              <w:t>15</w:t>
            </w:r>
            <w:r w:rsidRPr="00404B1E">
              <w:rPr>
                <w:rFonts w:eastAsiaTheme="minorEastAsia" w:hAnsiTheme="minorEastAsia"/>
                <w:sz w:val="24"/>
                <w:szCs w:val="24"/>
              </w:rPr>
              <w:t>年</w:t>
            </w:r>
          </w:p>
        </w:tc>
      </w:tr>
      <w:tr w:rsidTr="000E6F9C">
        <w:tblPrEx>
          <w:tblW w:w="9681" w:type="dxa"/>
          <w:jc w:val="center"/>
          <w:tblLook w:val="04A0"/>
        </w:tblPrEx>
        <w:trPr>
          <w:jc w:val="center"/>
        </w:trPr>
        <w:tc>
          <w:tcPr>
            <w:tcW w:w="2673" w:type="dxa"/>
            <w:vAlign w:val="center"/>
          </w:tcPr>
          <w:p w:rsidR="000E6F9C" w:rsidRPr="00404B1E" w:rsidP="00BA1FDD">
            <w:pPr>
              <w:rPr>
                <w:rFonts w:eastAsiaTheme="minorEastAsia"/>
                <w:sz w:val="24"/>
                <w:szCs w:val="24"/>
              </w:rPr>
            </w:pPr>
            <w:r w:rsidRPr="002C06BE">
              <w:rPr>
                <w:rFonts w:eastAsiaTheme="minorEastAsia" w:hAnsiTheme="minorEastAsia"/>
                <w:sz w:val="24"/>
                <w:szCs w:val="24"/>
              </w:rPr>
              <w:t>证券投资管理从业年限</w:t>
            </w:r>
          </w:p>
        </w:tc>
        <w:tc>
          <w:tcPr>
            <w:tcW w:w="7008" w:type="dxa"/>
            <w:gridSpan w:val="4"/>
            <w:vAlign w:val="center"/>
          </w:tcPr>
          <w:p w:rsidR="000E6F9C" w:rsidRPr="00404B1E" w:rsidP="00BA1FDD">
            <w:pPr>
              <w:rPr>
                <w:rFonts w:eastAsiaTheme="minorEastAsia"/>
                <w:sz w:val="24"/>
                <w:szCs w:val="24"/>
              </w:rPr>
            </w:pPr>
            <w:r w:rsidRPr="00404B1E">
              <w:rPr>
                <w:rFonts w:eastAsiaTheme="minorEastAsia" w:hAnsiTheme="minorEastAsia"/>
                <w:sz w:val="24"/>
                <w:szCs w:val="24"/>
              </w:rPr>
              <w:t>15</w:t>
            </w:r>
            <w:r w:rsidRPr="00404B1E">
              <w:rPr>
                <w:rFonts w:eastAsiaTheme="minorEastAsia" w:hAnsiTheme="minorEastAsia"/>
                <w:sz w:val="24"/>
                <w:szCs w:val="24"/>
              </w:rPr>
              <w:t>年</w:t>
            </w:r>
          </w:p>
        </w:tc>
      </w:tr>
      <w:tr w:rsidTr="000E6F9C">
        <w:tblPrEx>
          <w:tblW w:w="9681" w:type="dxa"/>
          <w:jc w:val="center"/>
          <w:tblLook w:val="04A0"/>
        </w:tblPrEx>
        <w:trPr>
          <w:jc w:val="center"/>
        </w:trPr>
        <w:tc>
          <w:tcPr>
            <w:tcW w:w="2673" w:type="dxa"/>
          </w:tcPr>
          <w:p w:rsidR="000E6F9C" w:rsidRPr="00404B1E" w:rsidP="00BA1FDD">
            <w:pPr>
              <w:rPr>
                <w:rFonts w:eastAsiaTheme="minorEastAsia"/>
                <w:sz w:val="24"/>
                <w:szCs w:val="24"/>
              </w:rPr>
            </w:pPr>
            <w:r w:rsidRPr="002C06BE">
              <w:rPr>
                <w:rFonts w:eastAsiaTheme="minorEastAsia" w:hAnsiTheme="minorEastAsia"/>
                <w:sz w:val="24"/>
                <w:szCs w:val="24"/>
              </w:rPr>
              <w:t>过往从业经历</w:t>
            </w:r>
          </w:p>
        </w:tc>
        <w:tc>
          <w:tcPr>
            <w:tcW w:w="7008" w:type="dxa"/>
            <w:gridSpan w:val="4"/>
            <w:vAlign w:val="center"/>
          </w:tcPr>
          <w:p w:rsidR="000E6F9C" w:rsidRPr="00404B1E" w:rsidP="00BA1FDD">
            <w:pPr>
              <w:rPr>
                <w:rFonts w:eastAsiaTheme="minorEastAsia"/>
                <w:sz w:val="24"/>
                <w:szCs w:val="24"/>
              </w:rPr>
            </w:pPr>
            <w:r w:rsidRPr="00404B1E">
              <w:rPr>
                <w:rFonts w:eastAsiaTheme="minorEastAsia" w:hAnsiTheme="minorEastAsia"/>
                <w:sz w:val="24"/>
                <w:szCs w:val="24"/>
              </w:rPr>
              <w:t>2007</w:t>
            </w:r>
            <w:r w:rsidRPr="00404B1E">
              <w:rPr>
                <w:rFonts w:eastAsiaTheme="minorEastAsia" w:hAnsiTheme="minorEastAsia"/>
                <w:sz w:val="24"/>
                <w:szCs w:val="24"/>
              </w:rPr>
              <w:t>年</w:t>
            </w:r>
            <w:r w:rsidRPr="00404B1E">
              <w:rPr>
                <w:rFonts w:eastAsiaTheme="minorEastAsia" w:hAnsiTheme="minorEastAsia"/>
                <w:sz w:val="24"/>
                <w:szCs w:val="24"/>
              </w:rPr>
              <w:t>7</w:t>
            </w:r>
            <w:r w:rsidRPr="00404B1E">
              <w:rPr>
                <w:rFonts w:eastAsiaTheme="minorEastAsia" w:hAnsiTheme="minorEastAsia"/>
                <w:sz w:val="24"/>
                <w:szCs w:val="24"/>
              </w:rPr>
              <w:t>月至</w:t>
            </w:r>
            <w:r w:rsidRPr="00404B1E">
              <w:rPr>
                <w:rFonts w:eastAsiaTheme="minorEastAsia" w:hAnsiTheme="minorEastAsia"/>
                <w:sz w:val="24"/>
                <w:szCs w:val="24"/>
              </w:rPr>
              <w:t>2009</w:t>
            </w:r>
            <w:r w:rsidRPr="00404B1E">
              <w:rPr>
                <w:rFonts w:eastAsiaTheme="minorEastAsia" w:hAnsiTheme="minorEastAsia"/>
                <w:sz w:val="24"/>
                <w:szCs w:val="24"/>
              </w:rPr>
              <w:t>年</w:t>
            </w:r>
            <w:r w:rsidRPr="00404B1E">
              <w:rPr>
                <w:rFonts w:eastAsiaTheme="minorEastAsia" w:hAnsiTheme="minorEastAsia"/>
                <w:sz w:val="24"/>
                <w:szCs w:val="24"/>
              </w:rPr>
              <w:t>5</w:t>
            </w:r>
            <w:r w:rsidRPr="00404B1E">
              <w:rPr>
                <w:rFonts w:eastAsiaTheme="minorEastAsia" w:hAnsiTheme="minorEastAsia"/>
                <w:sz w:val="24"/>
                <w:szCs w:val="24"/>
              </w:rPr>
              <w:t>月任汇添富基金管理有限公司数量分析师。</w:t>
            </w:r>
            <w:r w:rsidRPr="00404B1E">
              <w:rPr>
                <w:rFonts w:eastAsiaTheme="minorEastAsia" w:hAnsiTheme="minorEastAsia"/>
                <w:sz w:val="24"/>
                <w:szCs w:val="24"/>
              </w:rPr>
              <w:t>2009</w:t>
            </w:r>
            <w:r w:rsidRPr="00404B1E">
              <w:rPr>
                <w:rFonts w:eastAsiaTheme="minorEastAsia" w:hAnsiTheme="minorEastAsia"/>
                <w:sz w:val="24"/>
                <w:szCs w:val="24"/>
              </w:rPr>
              <w:t>年</w:t>
            </w:r>
            <w:r w:rsidRPr="00404B1E">
              <w:rPr>
                <w:rFonts w:eastAsiaTheme="minorEastAsia" w:hAnsiTheme="minorEastAsia"/>
                <w:sz w:val="24"/>
                <w:szCs w:val="24"/>
              </w:rPr>
              <w:t>5</w:t>
            </w:r>
            <w:r w:rsidRPr="00404B1E">
              <w:rPr>
                <w:rFonts w:eastAsiaTheme="minorEastAsia" w:hAnsiTheme="minorEastAsia"/>
                <w:sz w:val="24"/>
                <w:szCs w:val="24"/>
              </w:rPr>
              <w:t>月加入易方达基金管理有限公司，曾任量化研究员、基金经理助理、指数与量化投资部总经理助理、指数与量化投资部副总经理、指数及增强投资部副总经理，现任量化投资部副总经理、量化投资决策委员会委员、投资经理、基金经理。</w:t>
            </w:r>
          </w:p>
        </w:tc>
      </w:tr>
      <w:tr w:rsidTr="000E6F9C">
        <w:tblPrEx>
          <w:tblW w:w="9681" w:type="dxa"/>
          <w:jc w:val="center"/>
          <w:tblLook w:val="04A0"/>
        </w:tblPrEx>
        <w:trPr>
          <w:jc w:val="center"/>
        </w:trPr>
        <w:tc>
          <w:tcPr>
            <w:tcW w:w="2673" w:type="dxa"/>
            <w:vMerge w:val="restart"/>
          </w:tcPr>
          <w:p w:rsidR="000E6F9C" w:rsidRPr="00404B1E" w:rsidP="00BA1FDD">
            <w:pPr>
              <w:rPr>
                <w:rFonts w:eastAsiaTheme="minorEastAsia"/>
                <w:sz w:val="24"/>
                <w:szCs w:val="24"/>
              </w:rPr>
            </w:pPr>
            <w:r w:rsidRPr="002C06BE">
              <w:rPr>
                <w:rFonts w:eastAsiaTheme="minorEastAsia" w:hAnsiTheme="minorEastAsia"/>
                <w:sz w:val="24"/>
                <w:szCs w:val="24"/>
              </w:rPr>
              <w:t>其中：管理过公募基金的名称及期间</w:t>
            </w:r>
          </w:p>
        </w:tc>
        <w:tc>
          <w:tcPr>
            <w:tcW w:w="1559" w:type="dxa"/>
            <w:vAlign w:val="center"/>
          </w:tcPr>
          <w:p w:rsidR="000E6F9C" w:rsidRPr="00404B1E" w:rsidP="000E6F9C">
            <w:pPr>
              <w:jc w:val="center"/>
              <w:rPr>
                <w:rFonts w:eastAsiaTheme="minorEastAsia" w:hAnsiTheme="minorEastAsia"/>
                <w:sz w:val="24"/>
                <w:szCs w:val="24"/>
              </w:rPr>
            </w:pPr>
            <w:r w:rsidRPr="002C06BE">
              <w:rPr>
                <w:rFonts w:eastAsiaTheme="minorEastAsia" w:hAnsiTheme="minorEastAsia"/>
                <w:sz w:val="24"/>
                <w:szCs w:val="24"/>
              </w:rPr>
              <w:t>基金</w:t>
            </w:r>
          </w:p>
          <w:p w:rsidR="000E6F9C" w:rsidRPr="00404B1E" w:rsidP="000E6F9C">
            <w:pPr>
              <w:ind w:firstLine="360" w:firstLineChars="150"/>
              <w:rPr>
                <w:rFonts w:eastAsiaTheme="minorEastAsia"/>
                <w:sz w:val="24"/>
                <w:szCs w:val="24"/>
              </w:rPr>
            </w:pPr>
            <w:r w:rsidRPr="002C06BE">
              <w:rPr>
                <w:rFonts w:eastAsiaTheme="minorEastAsia" w:hAnsiTheme="minorEastAsia"/>
                <w:sz w:val="24"/>
                <w:szCs w:val="24"/>
              </w:rPr>
              <w:t>主代码</w:t>
            </w:r>
          </w:p>
        </w:tc>
        <w:tc>
          <w:tcPr>
            <w:tcW w:w="1843" w:type="dxa"/>
            <w:vAlign w:val="center"/>
          </w:tcPr>
          <w:p w:rsidR="000E6F9C" w:rsidRPr="00404B1E" w:rsidP="00BA1FDD">
            <w:pPr>
              <w:rPr>
                <w:rFonts w:eastAsiaTheme="minorEastAsia"/>
                <w:sz w:val="24"/>
                <w:szCs w:val="24"/>
              </w:rPr>
            </w:pPr>
            <w:r w:rsidRPr="002C06BE">
              <w:rPr>
                <w:rFonts w:eastAsiaTheme="minorEastAsia" w:hAnsiTheme="minorEastAsia"/>
                <w:sz w:val="24"/>
                <w:szCs w:val="24"/>
              </w:rPr>
              <w:t>基金名称</w:t>
            </w:r>
          </w:p>
        </w:tc>
        <w:tc>
          <w:tcPr>
            <w:tcW w:w="1701" w:type="dxa"/>
            <w:vAlign w:val="center"/>
          </w:tcPr>
          <w:p w:rsidR="000E6F9C" w:rsidRPr="00404B1E" w:rsidP="00BA1FDD">
            <w:pPr>
              <w:rPr>
                <w:rFonts w:eastAsiaTheme="minorEastAsia"/>
                <w:sz w:val="24"/>
                <w:szCs w:val="24"/>
              </w:rPr>
            </w:pPr>
            <w:r w:rsidRPr="002C06BE">
              <w:rPr>
                <w:rFonts w:eastAsiaTheme="minorEastAsia" w:hAnsiTheme="minorEastAsia"/>
                <w:sz w:val="24"/>
                <w:szCs w:val="24"/>
              </w:rPr>
              <w:t>任职日期</w:t>
            </w:r>
          </w:p>
        </w:tc>
        <w:tc>
          <w:tcPr>
            <w:tcW w:w="1905" w:type="dxa"/>
            <w:vAlign w:val="center"/>
          </w:tcPr>
          <w:p w:rsidR="000E6F9C" w:rsidRPr="00404B1E" w:rsidP="00BA1FDD">
            <w:pPr>
              <w:rPr>
                <w:rFonts w:eastAsiaTheme="minorEastAsia"/>
                <w:sz w:val="24"/>
                <w:szCs w:val="24"/>
              </w:rPr>
            </w:pPr>
            <w:r w:rsidRPr="002C06BE">
              <w:rPr>
                <w:rFonts w:eastAsiaTheme="minorEastAsia" w:hAnsiTheme="minorEastAsia"/>
                <w:sz w:val="24"/>
                <w:szCs w:val="24"/>
              </w:rPr>
              <w:t>离任日期</w:t>
            </w:r>
          </w:p>
        </w:tc>
      </w:tr>
      <w:tr>
        <w:tblPrEx>
          <w:tblW w:w="9681" w:type="dxa"/>
          <w:jc w:val="center"/>
          <w:tblLook w:val="04A0"/>
        </w:tblPrEx>
        <w:trPr>
          <w:jc w:val="center"/>
        </w:trPr>
        <w:tc>
          <w:tcPr>
            <w:tcW w:w="0" w:type="auto"/>
            <w:vMerge/>
          </w:tcPr>
          <w:p w:rsidR="00A359C6"/>
        </w:tc>
        <w:tc>
          <w:tcPr>
            <w:tcW w:w="0" w:type="auto"/>
            <w:vAlign w:val="center"/>
          </w:tcPr>
          <w:p w:rsidR="00A359C6">
            <w:pPr>
              <w:jc w:val="center"/>
            </w:pPr>
            <w:r>
              <w:rPr>
                <w:rFonts w:eastAsiaTheme="minorEastAsia" w:hAnsiTheme="minorEastAsia"/>
                <w:sz w:val="24"/>
                <w:szCs w:val="24"/>
              </w:rPr>
              <w:t>110030</w:t>
            </w:r>
          </w:p>
        </w:tc>
        <w:tc>
          <w:tcPr>
            <w:tcW w:w="0" w:type="auto"/>
            <w:vAlign w:val="center"/>
          </w:tcPr>
          <w:p w:rsidR="00A359C6">
            <w:pPr>
              <w:jc w:val="center"/>
            </w:pPr>
            <w:r>
              <w:rPr>
                <w:rFonts w:eastAsiaTheme="minorEastAsia" w:hAnsiTheme="minorEastAsia"/>
                <w:sz w:val="24"/>
                <w:szCs w:val="24"/>
              </w:rPr>
              <w:t>易方达沪深</w:t>
            </w:r>
            <w:r>
              <w:rPr>
                <w:rFonts w:eastAsiaTheme="minorEastAsia" w:hAnsiTheme="minorEastAsia"/>
                <w:sz w:val="24"/>
                <w:szCs w:val="24"/>
              </w:rPr>
              <w:t>300</w:t>
            </w:r>
            <w:r>
              <w:rPr>
                <w:rFonts w:eastAsiaTheme="minorEastAsia" w:hAnsiTheme="minorEastAsia"/>
                <w:sz w:val="24"/>
                <w:szCs w:val="24"/>
              </w:rPr>
              <w:t>量化增强证券投资</w:t>
            </w:r>
            <w:r>
              <w:rPr>
                <w:rFonts w:eastAsiaTheme="minorEastAsia" w:hAnsiTheme="minorEastAsia"/>
                <w:sz w:val="24"/>
                <w:szCs w:val="24"/>
              </w:rPr>
              <w:t>基金</w:t>
            </w:r>
          </w:p>
        </w:tc>
        <w:tc>
          <w:tcPr>
            <w:tcW w:w="0" w:type="auto"/>
            <w:vAlign w:val="center"/>
          </w:tcPr>
          <w:p w:rsidR="00A359C6">
            <w:pPr>
              <w:jc w:val="center"/>
            </w:pPr>
            <w:r>
              <w:rPr>
                <w:rFonts w:eastAsiaTheme="minorEastAsia" w:hAnsiTheme="minorEastAsia"/>
                <w:sz w:val="24"/>
                <w:szCs w:val="24"/>
              </w:rPr>
              <w:t>2021-09-</w:t>
            </w:r>
            <w:r>
              <w:rPr>
                <w:rFonts w:eastAsiaTheme="minorEastAsia" w:hAnsiTheme="minorEastAsia"/>
                <w:sz w:val="24"/>
                <w:szCs w:val="24"/>
              </w:rPr>
              <w:t>04</w:t>
            </w:r>
          </w:p>
        </w:tc>
        <w:tc>
          <w:tcPr>
            <w:tcW w:w="0" w:type="auto"/>
            <w:vAlign w:val="center"/>
          </w:tcPr>
          <w:p w:rsidR="00A359C6">
            <w:pPr>
              <w:jc w:val="center"/>
            </w:pPr>
            <w:r>
              <w:rPr>
                <w:rFonts w:eastAsiaTheme="minorEastAsia" w:hAnsiTheme="minorEastAsia"/>
                <w:sz w:val="24"/>
                <w:szCs w:val="24"/>
              </w:rPr>
              <w:t>-</w:t>
            </w:r>
          </w:p>
        </w:tc>
      </w:tr>
      <w:tr>
        <w:tblPrEx>
          <w:tblW w:w="9681" w:type="dxa"/>
          <w:jc w:val="center"/>
          <w:tblLook w:val="04A0"/>
        </w:tblPrEx>
        <w:trPr>
          <w:jc w:val="center"/>
        </w:trPr>
        <w:tc>
          <w:tcPr>
            <w:tcW w:w="0" w:type="auto"/>
            <w:vMerge/>
          </w:tcPr>
          <w:p w:rsidR="00A359C6"/>
        </w:tc>
        <w:tc>
          <w:tcPr>
            <w:tcW w:w="0" w:type="auto"/>
            <w:vAlign w:val="center"/>
          </w:tcPr>
          <w:p w:rsidR="00A359C6">
            <w:pPr>
              <w:jc w:val="center"/>
            </w:pPr>
            <w:r>
              <w:rPr>
                <w:rFonts w:eastAsiaTheme="minorEastAsia" w:hAnsiTheme="minorEastAsia"/>
                <w:sz w:val="24"/>
                <w:szCs w:val="24"/>
              </w:rPr>
              <w:t>159901</w:t>
            </w:r>
          </w:p>
        </w:tc>
        <w:tc>
          <w:tcPr>
            <w:tcW w:w="0" w:type="auto"/>
            <w:vAlign w:val="center"/>
          </w:tcPr>
          <w:p w:rsidR="00A359C6">
            <w:pPr>
              <w:jc w:val="center"/>
            </w:pPr>
            <w:r>
              <w:rPr>
                <w:rFonts w:eastAsiaTheme="minorEastAsia" w:hAnsiTheme="minorEastAsia"/>
                <w:sz w:val="24"/>
                <w:szCs w:val="24"/>
              </w:rPr>
              <w:t>易方达深证</w:t>
            </w:r>
            <w:r>
              <w:rPr>
                <w:rFonts w:eastAsiaTheme="minorEastAsia" w:hAnsiTheme="minorEastAsia"/>
                <w:sz w:val="24"/>
                <w:szCs w:val="24"/>
              </w:rPr>
              <w:t>100</w:t>
            </w:r>
            <w:r>
              <w:rPr>
                <w:rFonts w:eastAsiaTheme="minorEastAsia" w:hAnsiTheme="minorEastAsia"/>
                <w:sz w:val="24"/>
                <w:szCs w:val="24"/>
              </w:rPr>
              <w:t>交易型开放式指数基金</w:t>
            </w:r>
          </w:p>
        </w:tc>
        <w:tc>
          <w:tcPr>
            <w:tcW w:w="0" w:type="auto"/>
            <w:vAlign w:val="center"/>
          </w:tcPr>
          <w:p w:rsidR="00A359C6">
            <w:pPr>
              <w:jc w:val="center"/>
            </w:pPr>
            <w:r>
              <w:rPr>
                <w:rFonts w:eastAsiaTheme="minorEastAsia" w:hAnsiTheme="minorEastAsia"/>
                <w:sz w:val="24"/>
                <w:szCs w:val="24"/>
              </w:rPr>
              <w:t>2010-09-27</w:t>
            </w:r>
          </w:p>
        </w:tc>
        <w:tc>
          <w:tcPr>
            <w:tcW w:w="0" w:type="auto"/>
            <w:vAlign w:val="center"/>
          </w:tcPr>
          <w:p w:rsidR="00A359C6">
            <w:pPr>
              <w:jc w:val="center"/>
            </w:pPr>
            <w:r>
              <w:rPr>
                <w:rFonts w:eastAsiaTheme="minorEastAsia" w:hAnsiTheme="minorEastAsia"/>
                <w:sz w:val="24"/>
                <w:szCs w:val="24"/>
              </w:rPr>
              <w:t>2016-07-06</w:t>
            </w:r>
          </w:p>
        </w:tc>
      </w:tr>
      <w:tr>
        <w:tblPrEx>
          <w:tblW w:w="9681" w:type="dxa"/>
          <w:jc w:val="center"/>
          <w:tblLook w:val="04A0"/>
        </w:tblPrEx>
        <w:trPr>
          <w:jc w:val="center"/>
        </w:trPr>
        <w:tc>
          <w:tcPr>
            <w:tcW w:w="0" w:type="auto"/>
            <w:vMerge/>
          </w:tcPr>
          <w:p w:rsidR="00A359C6"/>
        </w:tc>
        <w:tc>
          <w:tcPr>
            <w:tcW w:w="0" w:type="auto"/>
            <w:vAlign w:val="center"/>
          </w:tcPr>
          <w:p w:rsidR="00A359C6">
            <w:pPr>
              <w:jc w:val="center"/>
            </w:pPr>
            <w:r>
              <w:rPr>
                <w:rFonts w:eastAsiaTheme="minorEastAsia" w:hAnsiTheme="minorEastAsia"/>
                <w:sz w:val="24"/>
                <w:szCs w:val="24"/>
              </w:rPr>
              <w:t>110019</w:t>
            </w:r>
          </w:p>
        </w:tc>
        <w:tc>
          <w:tcPr>
            <w:tcW w:w="0" w:type="auto"/>
            <w:vAlign w:val="center"/>
          </w:tcPr>
          <w:p w:rsidR="00A359C6">
            <w:pPr>
              <w:jc w:val="center"/>
            </w:pPr>
            <w:r>
              <w:rPr>
                <w:rFonts w:eastAsiaTheme="minorEastAsia" w:hAnsiTheme="minorEastAsia"/>
                <w:sz w:val="24"/>
                <w:szCs w:val="24"/>
              </w:rPr>
              <w:t>易方达深证</w:t>
            </w:r>
            <w:r>
              <w:rPr>
                <w:rFonts w:eastAsiaTheme="minorEastAsia" w:hAnsiTheme="minorEastAsia"/>
                <w:sz w:val="24"/>
                <w:szCs w:val="24"/>
              </w:rPr>
              <w:t>100</w:t>
            </w:r>
            <w:r>
              <w:rPr>
                <w:rFonts w:eastAsiaTheme="minorEastAsia" w:hAnsiTheme="minorEastAsia"/>
                <w:sz w:val="24"/>
                <w:szCs w:val="24"/>
              </w:rPr>
              <w:t>交易型开放式指数证券投资基金联接基金</w:t>
            </w:r>
          </w:p>
        </w:tc>
        <w:tc>
          <w:tcPr>
            <w:tcW w:w="0" w:type="auto"/>
            <w:vAlign w:val="center"/>
          </w:tcPr>
          <w:p w:rsidR="00A359C6">
            <w:pPr>
              <w:jc w:val="center"/>
            </w:pPr>
            <w:r>
              <w:rPr>
                <w:rFonts w:eastAsiaTheme="minorEastAsia" w:hAnsiTheme="minorEastAsia"/>
                <w:sz w:val="24"/>
                <w:szCs w:val="24"/>
              </w:rPr>
              <w:t>2010-09-27</w:t>
            </w:r>
          </w:p>
        </w:tc>
        <w:tc>
          <w:tcPr>
            <w:tcW w:w="0" w:type="auto"/>
            <w:vAlign w:val="center"/>
          </w:tcPr>
          <w:p w:rsidR="00A359C6">
            <w:pPr>
              <w:jc w:val="center"/>
            </w:pPr>
            <w:r>
              <w:rPr>
                <w:rFonts w:eastAsiaTheme="minorEastAsia" w:hAnsiTheme="minorEastAsia"/>
                <w:sz w:val="24"/>
                <w:szCs w:val="24"/>
              </w:rPr>
              <w:t>2016-07-06</w:t>
            </w:r>
          </w:p>
        </w:tc>
      </w:tr>
      <w:tr>
        <w:tblPrEx>
          <w:tblW w:w="9681" w:type="dxa"/>
          <w:jc w:val="center"/>
          <w:tblLook w:val="04A0"/>
        </w:tblPrEx>
        <w:trPr>
          <w:jc w:val="center"/>
        </w:trPr>
        <w:tc>
          <w:tcPr>
            <w:tcW w:w="0" w:type="auto"/>
            <w:vMerge/>
          </w:tcPr>
          <w:p w:rsidR="00A359C6"/>
        </w:tc>
        <w:tc>
          <w:tcPr>
            <w:tcW w:w="0" w:type="auto"/>
            <w:vAlign w:val="center"/>
          </w:tcPr>
          <w:p w:rsidR="00A359C6">
            <w:pPr>
              <w:jc w:val="center"/>
            </w:pPr>
            <w:r>
              <w:rPr>
                <w:rFonts w:eastAsiaTheme="minorEastAsia" w:hAnsiTheme="minorEastAsia"/>
                <w:sz w:val="24"/>
                <w:szCs w:val="24"/>
              </w:rPr>
              <w:t>159915</w:t>
            </w:r>
          </w:p>
        </w:tc>
        <w:tc>
          <w:tcPr>
            <w:tcW w:w="0" w:type="auto"/>
            <w:vAlign w:val="center"/>
          </w:tcPr>
          <w:p w:rsidR="00A359C6">
            <w:pPr>
              <w:jc w:val="center"/>
            </w:pPr>
            <w:r>
              <w:rPr>
                <w:rFonts w:eastAsiaTheme="minorEastAsia" w:hAnsiTheme="minorEastAsia"/>
                <w:sz w:val="24"/>
                <w:szCs w:val="24"/>
              </w:rPr>
              <w:t>易方达创业板交易型开放式指数证券投资基金</w:t>
            </w:r>
          </w:p>
        </w:tc>
        <w:tc>
          <w:tcPr>
            <w:tcW w:w="0" w:type="auto"/>
            <w:vAlign w:val="center"/>
          </w:tcPr>
          <w:p w:rsidR="00A359C6">
            <w:pPr>
              <w:jc w:val="center"/>
            </w:pPr>
            <w:r>
              <w:rPr>
                <w:rFonts w:eastAsiaTheme="minorEastAsia" w:hAnsiTheme="minorEastAsia"/>
                <w:sz w:val="24"/>
                <w:szCs w:val="24"/>
              </w:rPr>
              <w:t>2011-09-20</w:t>
            </w:r>
          </w:p>
        </w:tc>
        <w:tc>
          <w:tcPr>
            <w:tcW w:w="0" w:type="auto"/>
            <w:vAlign w:val="center"/>
          </w:tcPr>
          <w:p w:rsidR="00A359C6">
            <w:pPr>
              <w:jc w:val="center"/>
            </w:pPr>
            <w:r>
              <w:rPr>
                <w:rFonts w:eastAsiaTheme="minorEastAsia" w:hAnsiTheme="minorEastAsia"/>
                <w:sz w:val="24"/>
                <w:szCs w:val="24"/>
              </w:rPr>
              <w:t>2016-07-06</w:t>
            </w:r>
          </w:p>
        </w:tc>
      </w:tr>
      <w:tr>
        <w:tblPrEx>
          <w:tblW w:w="9681" w:type="dxa"/>
          <w:jc w:val="center"/>
          <w:tblLook w:val="04A0"/>
        </w:tblPrEx>
        <w:trPr>
          <w:jc w:val="center"/>
        </w:trPr>
        <w:tc>
          <w:tcPr>
            <w:tcW w:w="0" w:type="auto"/>
            <w:vMerge/>
          </w:tcPr>
          <w:p w:rsidR="00A359C6"/>
        </w:tc>
        <w:tc>
          <w:tcPr>
            <w:tcW w:w="0" w:type="auto"/>
            <w:vAlign w:val="center"/>
          </w:tcPr>
          <w:p w:rsidR="00A359C6">
            <w:pPr>
              <w:jc w:val="center"/>
            </w:pPr>
            <w:r>
              <w:rPr>
                <w:rFonts w:eastAsiaTheme="minorEastAsia" w:hAnsiTheme="minorEastAsia"/>
                <w:sz w:val="24"/>
                <w:szCs w:val="24"/>
              </w:rPr>
              <w:t>110026</w:t>
            </w:r>
          </w:p>
        </w:tc>
        <w:tc>
          <w:tcPr>
            <w:tcW w:w="0" w:type="auto"/>
            <w:vAlign w:val="center"/>
          </w:tcPr>
          <w:p w:rsidR="00A359C6">
            <w:pPr>
              <w:jc w:val="center"/>
            </w:pPr>
            <w:r>
              <w:rPr>
                <w:rFonts w:eastAsiaTheme="minorEastAsia" w:hAnsiTheme="minorEastAsia"/>
                <w:sz w:val="24"/>
                <w:szCs w:val="24"/>
              </w:rPr>
              <w:t>易方达创业板交易型开放式指数证券投资基金联接基金</w:t>
            </w:r>
          </w:p>
        </w:tc>
        <w:tc>
          <w:tcPr>
            <w:tcW w:w="0" w:type="auto"/>
            <w:vAlign w:val="center"/>
          </w:tcPr>
          <w:p w:rsidR="00A359C6">
            <w:pPr>
              <w:jc w:val="center"/>
            </w:pPr>
            <w:r>
              <w:rPr>
                <w:rFonts w:eastAsiaTheme="minorEastAsia" w:hAnsiTheme="minorEastAsia"/>
                <w:sz w:val="24"/>
                <w:szCs w:val="24"/>
              </w:rPr>
              <w:t>2011-09-20</w:t>
            </w:r>
          </w:p>
        </w:tc>
        <w:tc>
          <w:tcPr>
            <w:tcW w:w="0" w:type="auto"/>
            <w:vAlign w:val="center"/>
          </w:tcPr>
          <w:p w:rsidR="00A359C6">
            <w:pPr>
              <w:jc w:val="center"/>
            </w:pPr>
            <w:r>
              <w:rPr>
                <w:rFonts w:eastAsiaTheme="minorEastAsia" w:hAnsiTheme="minorEastAsia"/>
                <w:sz w:val="24"/>
                <w:szCs w:val="24"/>
              </w:rPr>
              <w:t>2016-07-06</w:t>
            </w:r>
          </w:p>
        </w:tc>
      </w:tr>
      <w:tr>
        <w:tblPrEx>
          <w:tblW w:w="9681" w:type="dxa"/>
          <w:jc w:val="center"/>
          <w:tblLook w:val="04A0"/>
        </w:tblPrEx>
        <w:trPr>
          <w:jc w:val="center"/>
        </w:trPr>
        <w:tc>
          <w:tcPr>
            <w:tcW w:w="0" w:type="auto"/>
            <w:vMerge/>
          </w:tcPr>
          <w:p w:rsidR="00A359C6"/>
        </w:tc>
        <w:tc>
          <w:tcPr>
            <w:tcW w:w="0" w:type="auto"/>
            <w:vAlign w:val="center"/>
          </w:tcPr>
          <w:p w:rsidR="00A359C6">
            <w:pPr>
              <w:jc w:val="center"/>
            </w:pPr>
            <w:r>
              <w:rPr>
                <w:rFonts w:eastAsiaTheme="minorEastAsia" w:hAnsiTheme="minorEastAsia"/>
                <w:sz w:val="24"/>
                <w:szCs w:val="24"/>
              </w:rPr>
              <w:t>161118</w:t>
            </w:r>
          </w:p>
        </w:tc>
        <w:tc>
          <w:tcPr>
            <w:tcW w:w="0" w:type="auto"/>
            <w:vAlign w:val="center"/>
          </w:tcPr>
          <w:p w:rsidR="00A359C6">
            <w:pPr>
              <w:jc w:val="center"/>
            </w:pPr>
            <w:r>
              <w:rPr>
                <w:rFonts w:eastAsiaTheme="minorEastAsia" w:hAnsiTheme="minorEastAsia"/>
                <w:sz w:val="24"/>
                <w:szCs w:val="24"/>
              </w:rPr>
              <w:t>易方达中小板指数分级证券投资基金</w:t>
            </w:r>
          </w:p>
        </w:tc>
        <w:tc>
          <w:tcPr>
            <w:tcW w:w="0" w:type="auto"/>
            <w:vAlign w:val="center"/>
          </w:tcPr>
          <w:p w:rsidR="00A359C6">
            <w:pPr>
              <w:jc w:val="center"/>
            </w:pPr>
            <w:r>
              <w:rPr>
                <w:rFonts w:eastAsiaTheme="minorEastAsia" w:hAnsiTheme="minorEastAsia"/>
                <w:sz w:val="24"/>
                <w:szCs w:val="24"/>
              </w:rPr>
              <w:t>2012-09-20</w:t>
            </w:r>
          </w:p>
        </w:tc>
        <w:tc>
          <w:tcPr>
            <w:tcW w:w="0" w:type="auto"/>
            <w:vAlign w:val="center"/>
          </w:tcPr>
          <w:p w:rsidR="00A359C6">
            <w:pPr>
              <w:jc w:val="center"/>
            </w:pPr>
            <w:r>
              <w:rPr>
                <w:rFonts w:eastAsiaTheme="minorEastAsia" w:hAnsiTheme="minorEastAsia"/>
                <w:sz w:val="24"/>
                <w:szCs w:val="24"/>
              </w:rPr>
              <w:t>2016-07-06</w:t>
            </w:r>
          </w:p>
        </w:tc>
      </w:tr>
      <w:tr>
        <w:tblPrEx>
          <w:tblW w:w="9681" w:type="dxa"/>
          <w:jc w:val="center"/>
          <w:tblLook w:val="04A0"/>
        </w:tblPrEx>
        <w:trPr>
          <w:jc w:val="center"/>
        </w:trPr>
        <w:tc>
          <w:tcPr>
            <w:tcW w:w="0" w:type="auto"/>
            <w:vMerge/>
          </w:tcPr>
          <w:p w:rsidR="00A359C6"/>
        </w:tc>
        <w:tc>
          <w:tcPr>
            <w:tcW w:w="0" w:type="auto"/>
            <w:vAlign w:val="center"/>
          </w:tcPr>
          <w:p w:rsidR="00A359C6">
            <w:pPr>
              <w:jc w:val="center"/>
            </w:pPr>
            <w:r>
              <w:rPr>
                <w:rFonts w:eastAsiaTheme="minorEastAsia" w:hAnsiTheme="minorEastAsia"/>
                <w:sz w:val="24"/>
                <w:szCs w:val="24"/>
              </w:rPr>
              <w:t>161123</w:t>
            </w:r>
          </w:p>
        </w:tc>
        <w:tc>
          <w:tcPr>
            <w:tcW w:w="0" w:type="auto"/>
            <w:vAlign w:val="center"/>
          </w:tcPr>
          <w:p w:rsidR="00A359C6">
            <w:pPr>
              <w:jc w:val="center"/>
            </w:pPr>
            <w:r>
              <w:rPr>
                <w:rFonts w:eastAsiaTheme="minorEastAsia" w:hAnsiTheme="minorEastAsia"/>
                <w:sz w:val="24"/>
                <w:szCs w:val="24"/>
              </w:rPr>
              <w:t>易方达并购重组指数分级证券投资基金</w:t>
            </w:r>
          </w:p>
        </w:tc>
        <w:tc>
          <w:tcPr>
            <w:tcW w:w="0" w:type="auto"/>
            <w:vAlign w:val="center"/>
          </w:tcPr>
          <w:p w:rsidR="00A359C6">
            <w:pPr>
              <w:jc w:val="center"/>
            </w:pPr>
            <w:r>
              <w:rPr>
                <w:rFonts w:eastAsiaTheme="minorEastAsia" w:hAnsiTheme="minorEastAsia"/>
                <w:sz w:val="24"/>
                <w:szCs w:val="24"/>
              </w:rPr>
              <w:t>2015-06-03</w:t>
            </w:r>
          </w:p>
        </w:tc>
        <w:tc>
          <w:tcPr>
            <w:tcW w:w="0" w:type="auto"/>
            <w:vAlign w:val="center"/>
          </w:tcPr>
          <w:p w:rsidR="00A359C6">
            <w:pPr>
              <w:jc w:val="center"/>
            </w:pPr>
            <w:r>
              <w:rPr>
                <w:rFonts w:eastAsiaTheme="minorEastAsia" w:hAnsiTheme="minorEastAsia"/>
                <w:sz w:val="24"/>
                <w:szCs w:val="24"/>
              </w:rPr>
              <w:t>2016-07-06</w:t>
            </w:r>
          </w:p>
        </w:tc>
      </w:tr>
      <w:tr>
        <w:tblPrEx>
          <w:tblW w:w="9681" w:type="dxa"/>
          <w:jc w:val="center"/>
          <w:tblLook w:val="04A0"/>
        </w:tblPrEx>
        <w:trPr>
          <w:jc w:val="center"/>
        </w:trPr>
        <w:tc>
          <w:tcPr>
            <w:tcW w:w="0" w:type="auto"/>
            <w:vMerge/>
          </w:tcPr>
          <w:p w:rsidR="00A359C6"/>
        </w:tc>
        <w:tc>
          <w:tcPr>
            <w:tcW w:w="0" w:type="auto"/>
            <w:vAlign w:val="center"/>
          </w:tcPr>
          <w:p w:rsidR="00A359C6">
            <w:pPr>
              <w:jc w:val="center"/>
            </w:pPr>
            <w:r>
              <w:rPr>
                <w:rFonts w:eastAsiaTheme="minorEastAsia" w:hAnsiTheme="minorEastAsia"/>
                <w:sz w:val="24"/>
                <w:szCs w:val="24"/>
              </w:rPr>
              <w:t>161122</w:t>
            </w:r>
          </w:p>
        </w:tc>
        <w:tc>
          <w:tcPr>
            <w:tcW w:w="0" w:type="auto"/>
            <w:vAlign w:val="center"/>
          </w:tcPr>
          <w:p w:rsidR="00A359C6">
            <w:pPr>
              <w:jc w:val="center"/>
            </w:pPr>
            <w:r>
              <w:rPr>
                <w:rFonts w:eastAsiaTheme="minorEastAsia" w:hAnsiTheme="minorEastAsia"/>
                <w:sz w:val="24"/>
                <w:szCs w:val="24"/>
              </w:rPr>
              <w:t>易方达生物科技指数分级证券投资基金</w:t>
            </w:r>
          </w:p>
        </w:tc>
        <w:tc>
          <w:tcPr>
            <w:tcW w:w="0" w:type="auto"/>
            <w:vAlign w:val="center"/>
          </w:tcPr>
          <w:p w:rsidR="00A359C6">
            <w:pPr>
              <w:jc w:val="center"/>
            </w:pPr>
            <w:r>
              <w:rPr>
                <w:rFonts w:eastAsiaTheme="minorEastAsia" w:hAnsiTheme="minorEastAsia"/>
                <w:sz w:val="24"/>
                <w:szCs w:val="24"/>
              </w:rPr>
              <w:t>2015-06-03</w:t>
            </w:r>
          </w:p>
        </w:tc>
        <w:tc>
          <w:tcPr>
            <w:tcW w:w="0" w:type="auto"/>
            <w:vAlign w:val="center"/>
          </w:tcPr>
          <w:p w:rsidR="00A359C6">
            <w:pPr>
              <w:jc w:val="center"/>
            </w:pPr>
            <w:r>
              <w:rPr>
                <w:rFonts w:eastAsiaTheme="minorEastAsia" w:hAnsiTheme="minorEastAsia"/>
                <w:sz w:val="24"/>
                <w:szCs w:val="24"/>
              </w:rPr>
              <w:t>2016-07-06</w:t>
            </w:r>
          </w:p>
        </w:tc>
      </w:tr>
      <w:tr>
        <w:tblPrEx>
          <w:tblW w:w="9681" w:type="dxa"/>
          <w:jc w:val="center"/>
          <w:tblLook w:val="04A0"/>
        </w:tblPrEx>
        <w:trPr>
          <w:jc w:val="center"/>
        </w:trPr>
        <w:tc>
          <w:tcPr>
            <w:tcW w:w="0" w:type="auto"/>
            <w:vMerge/>
          </w:tcPr>
          <w:p w:rsidR="00A359C6"/>
        </w:tc>
        <w:tc>
          <w:tcPr>
            <w:tcW w:w="0" w:type="auto"/>
            <w:vAlign w:val="center"/>
          </w:tcPr>
          <w:p w:rsidR="00A359C6">
            <w:pPr>
              <w:jc w:val="center"/>
            </w:pPr>
            <w:r>
              <w:rPr>
                <w:rFonts w:eastAsiaTheme="minorEastAsia" w:hAnsiTheme="minorEastAsia"/>
                <w:sz w:val="24"/>
                <w:szCs w:val="24"/>
              </w:rPr>
              <w:t>161121</w:t>
            </w:r>
          </w:p>
        </w:tc>
        <w:tc>
          <w:tcPr>
            <w:tcW w:w="0" w:type="auto"/>
            <w:vAlign w:val="center"/>
          </w:tcPr>
          <w:p w:rsidR="00A359C6">
            <w:pPr>
              <w:jc w:val="center"/>
            </w:pPr>
            <w:r>
              <w:rPr>
                <w:rFonts w:eastAsiaTheme="minorEastAsia" w:hAnsiTheme="minorEastAsia"/>
                <w:sz w:val="24"/>
                <w:szCs w:val="24"/>
              </w:rPr>
              <w:t>易方达银行指数分级证券投资基金</w:t>
            </w:r>
          </w:p>
        </w:tc>
        <w:tc>
          <w:tcPr>
            <w:tcW w:w="0" w:type="auto"/>
            <w:vAlign w:val="center"/>
          </w:tcPr>
          <w:p w:rsidR="00A359C6">
            <w:pPr>
              <w:jc w:val="center"/>
            </w:pPr>
            <w:r>
              <w:rPr>
                <w:rFonts w:eastAsiaTheme="minorEastAsia" w:hAnsiTheme="minorEastAsia"/>
                <w:sz w:val="24"/>
                <w:szCs w:val="24"/>
              </w:rPr>
              <w:t>2015-06-03</w:t>
            </w:r>
          </w:p>
        </w:tc>
        <w:tc>
          <w:tcPr>
            <w:tcW w:w="0" w:type="auto"/>
            <w:vAlign w:val="center"/>
          </w:tcPr>
          <w:p w:rsidR="00A359C6">
            <w:pPr>
              <w:jc w:val="center"/>
            </w:pPr>
            <w:r>
              <w:rPr>
                <w:rFonts w:eastAsiaTheme="minorEastAsia" w:hAnsiTheme="minorEastAsia"/>
                <w:sz w:val="24"/>
                <w:szCs w:val="24"/>
              </w:rPr>
              <w:t>2016-07-06</w:t>
            </w:r>
          </w:p>
        </w:tc>
      </w:tr>
      <w:tr w:rsidTr="000E6F9C">
        <w:tblPrEx>
          <w:tblW w:w="9681" w:type="dxa"/>
          <w:jc w:val="center"/>
          <w:tblLook w:val="04A0"/>
        </w:tblPrEx>
        <w:trPr>
          <w:jc w:val="center"/>
        </w:trPr>
        <w:tc>
          <w:tcPr>
            <w:tcW w:w="2673" w:type="dxa"/>
          </w:tcPr>
          <w:p w:rsidR="000E6F9C" w:rsidRPr="00404B1E" w:rsidP="00BA1FDD">
            <w:pPr>
              <w:rPr>
                <w:rFonts w:eastAsiaTheme="minorEastAsia"/>
                <w:sz w:val="24"/>
                <w:szCs w:val="24"/>
              </w:rPr>
            </w:pPr>
            <w:r w:rsidRPr="002C06BE">
              <w:rPr>
                <w:rFonts w:eastAsiaTheme="minorEastAsia" w:hAnsiTheme="minorEastAsia"/>
                <w:sz w:val="24"/>
                <w:szCs w:val="24"/>
              </w:rPr>
              <w:t>是否曾被监管机构予以行政处罚或采取行政监管措施</w:t>
            </w:r>
          </w:p>
        </w:tc>
        <w:tc>
          <w:tcPr>
            <w:tcW w:w="7008" w:type="dxa"/>
            <w:gridSpan w:val="4"/>
            <w:vAlign w:val="center"/>
          </w:tcPr>
          <w:p w:rsidR="000E6F9C" w:rsidRPr="00404B1E" w:rsidP="00BA1FDD">
            <w:pPr>
              <w:rPr>
                <w:rFonts w:eastAsiaTheme="minorEastAsia"/>
                <w:sz w:val="24"/>
                <w:szCs w:val="24"/>
              </w:rPr>
            </w:pPr>
            <w:r w:rsidRPr="00404B1E">
              <w:rPr>
                <w:rFonts w:eastAsiaTheme="minorEastAsia" w:hAnsiTheme="minorEastAsia"/>
                <w:sz w:val="24"/>
                <w:szCs w:val="24"/>
              </w:rPr>
              <w:t>否</w:t>
            </w:r>
          </w:p>
        </w:tc>
      </w:tr>
      <w:tr w:rsidTr="000E6F9C">
        <w:tblPrEx>
          <w:tblW w:w="9681" w:type="dxa"/>
          <w:jc w:val="center"/>
          <w:tblLook w:val="04A0"/>
        </w:tblPrEx>
        <w:trPr>
          <w:jc w:val="center"/>
        </w:trPr>
        <w:tc>
          <w:tcPr>
            <w:tcW w:w="2673" w:type="dxa"/>
          </w:tcPr>
          <w:p w:rsidR="000E6F9C" w:rsidRPr="00404B1E" w:rsidP="00BA1FDD">
            <w:pPr>
              <w:rPr>
                <w:rFonts w:eastAsiaTheme="minorEastAsia"/>
                <w:sz w:val="24"/>
                <w:szCs w:val="24"/>
              </w:rPr>
            </w:pPr>
            <w:r w:rsidRPr="002C06BE">
              <w:rPr>
                <w:rFonts w:eastAsiaTheme="minorEastAsia" w:hAnsiTheme="minorEastAsia"/>
                <w:sz w:val="24"/>
                <w:szCs w:val="24"/>
              </w:rPr>
              <w:t>是否已取得基金从业资格</w:t>
            </w:r>
          </w:p>
        </w:tc>
        <w:tc>
          <w:tcPr>
            <w:tcW w:w="7008" w:type="dxa"/>
            <w:gridSpan w:val="4"/>
            <w:vAlign w:val="center"/>
          </w:tcPr>
          <w:p w:rsidR="000E6F9C" w:rsidRPr="00404B1E" w:rsidP="00BA1FDD">
            <w:pPr>
              <w:rPr>
                <w:rFonts w:eastAsiaTheme="minorEastAsia"/>
                <w:sz w:val="24"/>
                <w:szCs w:val="24"/>
              </w:rPr>
            </w:pPr>
            <w:r w:rsidRPr="00404B1E">
              <w:rPr>
                <w:rFonts w:eastAsiaTheme="minorEastAsia" w:hAnsiTheme="minorEastAsia"/>
                <w:sz w:val="24"/>
                <w:szCs w:val="24"/>
              </w:rPr>
              <w:t>是</w:t>
            </w:r>
          </w:p>
        </w:tc>
      </w:tr>
      <w:tr w:rsidTr="000E6F9C">
        <w:tblPrEx>
          <w:tblW w:w="9681" w:type="dxa"/>
          <w:jc w:val="center"/>
          <w:tblLook w:val="04A0"/>
        </w:tblPrEx>
        <w:trPr>
          <w:jc w:val="center"/>
        </w:trPr>
        <w:tc>
          <w:tcPr>
            <w:tcW w:w="2673" w:type="dxa"/>
          </w:tcPr>
          <w:p w:rsidR="000E6F9C" w:rsidRPr="00404B1E" w:rsidP="00BA1FDD">
            <w:pPr>
              <w:rPr>
                <w:rFonts w:eastAsiaTheme="minorEastAsia"/>
                <w:sz w:val="24"/>
                <w:szCs w:val="24"/>
              </w:rPr>
            </w:pPr>
            <w:r w:rsidRPr="002C06BE">
              <w:rPr>
                <w:rFonts w:eastAsiaTheme="minorEastAsia" w:hAnsiTheme="minorEastAsia"/>
                <w:sz w:val="24"/>
                <w:szCs w:val="24"/>
              </w:rPr>
              <w:t>取得的其他相关从业资格</w:t>
            </w:r>
          </w:p>
        </w:tc>
        <w:tc>
          <w:tcPr>
            <w:tcW w:w="7008" w:type="dxa"/>
            <w:gridSpan w:val="4"/>
            <w:vAlign w:val="center"/>
          </w:tcPr>
          <w:p w:rsidR="000E6F9C" w:rsidRPr="00404B1E" w:rsidP="00BA1FDD">
            <w:pPr>
              <w:rPr>
                <w:rFonts w:eastAsiaTheme="minorEastAsia"/>
                <w:sz w:val="24"/>
                <w:szCs w:val="24"/>
              </w:rPr>
            </w:pPr>
            <w:r w:rsidRPr="00404B1E">
              <w:rPr>
                <w:rFonts w:eastAsiaTheme="minorEastAsia" w:hAnsiTheme="minorEastAsia"/>
                <w:sz w:val="24"/>
                <w:szCs w:val="24"/>
              </w:rPr>
              <w:t>-</w:t>
            </w:r>
          </w:p>
        </w:tc>
      </w:tr>
      <w:tr w:rsidTr="000E6F9C">
        <w:tblPrEx>
          <w:tblW w:w="9681" w:type="dxa"/>
          <w:jc w:val="center"/>
          <w:tblLook w:val="04A0"/>
        </w:tblPrEx>
        <w:trPr>
          <w:jc w:val="center"/>
        </w:trPr>
        <w:tc>
          <w:tcPr>
            <w:tcW w:w="2673" w:type="dxa"/>
          </w:tcPr>
          <w:p w:rsidR="000E6F9C" w:rsidRPr="00404B1E" w:rsidP="00BA1FDD">
            <w:pPr>
              <w:rPr>
                <w:rFonts w:eastAsiaTheme="minorEastAsia"/>
                <w:sz w:val="24"/>
                <w:szCs w:val="24"/>
              </w:rPr>
            </w:pPr>
            <w:r w:rsidRPr="002C06BE">
              <w:rPr>
                <w:rFonts w:eastAsiaTheme="minorEastAsia" w:hAnsiTheme="minorEastAsia"/>
                <w:sz w:val="24"/>
                <w:szCs w:val="24"/>
              </w:rPr>
              <w:t>国籍</w:t>
            </w:r>
          </w:p>
        </w:tc>
        <w:tc>
          <w:tcPr>
            <w:tcW w:w="7008" w:type="dxa"/>
            <w:gridSpan w:val="4"/>
            <w:vAlign w:val="center"/>
          </w:tcPr>
          <w:p w:rsidR="000E6F9C" w:rsidRPr="00404B1E" w:rsidP="00BA1FDD">
            <w:pPr>
              <w:rPr>
                <w:rFonts w:eastAsiaTheme="minorEastAsia"/>
                <w:sz w:val="24"/>
                <w:szCs w:val="24"/>
              </w:rPr>
            </w:pPr>
            <w:r w:rsidRPr="00404B1E">
              <w:rPr>
                <w:rFonts w:eastAsiaTheme="minorEastAsia" w:hAnsiTheme="minorEastAsia"/>
                <w:sz w:val="24"/>
                <w:szCs w:val="24"/>
              </w:rPr>
              <w:t>中国</w:t>
            </w:r>
          </w:p>
        </w:tc>
      </w:tr>
      <w:tr w:rsidTr="000E6F9C">
        <w:tblPrEx>
          <w:tblW w:w="9681" w:type="dxa"/>
          <w:jc w:val="center"/>
          <w:tblLook w:val="04A0"/>
        </w:tblPrEx>
        <w:trPr>
          <w:jc w:val="center"/>
        </w:trPr>
        <w:tc>
          <w:tcPr>
            <w:tcW w:w="2673" w:type="dxa"/>
          </w:tcPr>
          <w:p w:rsidR="000E6F9C" w:rsidRPr="00404B1E" w:rsidP="00BA1FDD">
            <w:pPr>
              <w:rPr>
                <w:rFonts w:eastAsiaTheme="minorEastAsia"/>
                <w:sz w:val="24"/>
                <w:szCs w:val="24"/>
              </w:rPr>
            </w:pPr>
            <w:r w:rsidRPr="002C06BE">
              <w:rPr>
                <w:rFonts w:eastAsiaTheme="minorEastAsia" w:hAnsiTheme="minorEastAsia"/>
                <w:sz w:val="24"/>
                <w:szCs w:val="24"/>
              </w:rPr>
              <w:t>学历、学位</w:t>
            </w:r>
          </w:p>
        </w:tc>
        <w:tc>
          <w:tcPr>
            <w:tcW w:w="7008" w:type="dxa"/>
            <w:gridSpan w:val="4"/>
            <w:vAlign w:val="center"/>
          </w:tcPr>
          <w:p w:rsidR="000E6F9C" w:rsidRPr="00404B1E" w:rsidP="00BA1FDD">
            <w:pPr>
              <w:rPr>
                <w:rFonts w:eastAsiaTheme="minorEastAsia"/>
                <w:sz w:val="24"/>
                <w:szCs w:val="24"/>
              </w:rPr>
            </w:pPr>
            <w:r w:rsidRPr="00404B1E">
              <w:rPr>
                <w:rFonts w:eastAsiaTheme="minorEastAsia" w:hAnsiTheme="minorEastAsia"/>
                <w:sz w:val="24"/>
                <w:szCs w:val="24"/>
              </w:rPr>
              <w:t>博士研究生、博士</w:t>
            </w:r>
          </w:p>
        </w:tc>
      </w:tr>
      <w:tr w:rsidTr="000E6F9C">
        <w:tblPrEx>
          <w:tblW w:w="9681" w:type="dxa"/>
          <w:jc w:val="center"/>
          <w:tblLook w:val="04A0"/>
        </w:tblPrEx>
        <w:trPr>
          <w:jc w:val="center"/>
        </w:trPr>
        <w:tc>
          <w:tcPr>
            <w:tcW w:w="2673" w:type="dxa"/>
          </w:tcPr>
          <w:p w:rsidR="000E6F9C" w:rsidRPr="00404B1E" w:rsidP="00BA1FDD">
            <w:pPr>
              <w:rPr>
                <w:rFonts w:eastAsiaTheme="minorEastAsia"/>
                <w:sz w:val="24"/>
                <w:szCs w:val="24"/>
              </w:rPr>
            </w:pPr>
            <w:r w:rsidRPr="002C06BE">
              <w:rPr>
                <w:rFonts w:eastAsiaTheme="minorEastAsia" w:hAnsiTheme="minorEastAsia"/>
                <w:sz w:val="24"/>
                <w:szCs w:val="24"/>
              </w:rPr>
              <w:t>是否已按规定在中国基金业协会注册</w:t>
            </w:r>
            <w:r w:rsidRPr="00404B1E">
              <w:rPr>
                <w:rFonts w:eastAsiaTheme="minorEastAsia" w:hAnsiTheme="minorEastAsia"/>
                <w:sz w:val="24"/>
                <w:szCs w:val="24"/>
              </w:rPr>
              <w:t>/</w:t>
            </w:r>
            <w:r w:rsidRPr="002C06BE">
              <w:rPr>
                <w:rFonts w:eastAsiaTheme="minorEastAsia" w:hAnsiTheme="minorEastAsia"/>
                <w:sz w:val="24"/>
                <w:szCs w:val="24"/>
              </w:rPr>
              <w:t>登记</w:t>
            </w:r>
          </w:p>
        </w:tc>
        <w:tc>
          <w:tcPr>
            <w:tcW w:w="7008" w:type="dxa"/>
            <w:gridSpan w:val="4"/>
            <w:vAlign w:val="center"/>
          </w:tcPr>
          <w:p w:rsidR="000E6F9C" w:rsidRPr="00404B1E" w:rsidP="00BA1FDD">
            <w:pPr>
              <w:rPr>
                <w:rFonts w:eastAsiaTheme="minorEastAsia"/>
                <w:sz w:val="24"/>
                <w:szCs w:val="24"/>
              </w:rPr>
            </w:pPr>
            <w:r w:rsidRPr="00404B1E">
              <w:rPr>
                <w:rFonts w:eastAsiaTheme="minorEastAsia" w:hAnsiTheme="minorEastAsia"/>
                <w:sz w:val="24"/>
                <w:szCs w:val="24"/>
              </w:rPr>
              <w:t>是</w:t>
            </w:r>
          </w:p>
        </w:tc>
      </w:tr>
    </w:tbl>
    <w:p w:rsidR="00E80921" w:rsidP="00E80921">
      <w:pPr>
        <w:spacing w:line="360" w:lineRule="auto"/>
        <w:rPr>
          <w:rFonts w:asciiTheme="minorEastAsia" w:eastAsiaTheme="minorEastAsia" w:hAnsiTheme="minorEastAsia"/>
          <w:color w:val="000000"/>
          <w:sz w:val="24"/>
          <w:szCs w:val="24"/>
        </w:rPr>
      </w:pPr>
    </w:p>
    <w:p w:rsidR="00E72701" w:rsidP="00E72701">
      <w:pPr>
        <w:spacing w:line="360" w:lineRule="auto"/>
        <w:ind w:firstLine="480"/>
        <w:rPr>
          <w:rFonts w:ascii="宋体" w:hAnsi="宋体"/>
          <w:color w:val="000000"/>
          <w:sz w:val="24"/>
          <w:szCs w:val="24"/>
        </w:rPr>
      </w:pPr>
      <w:r w:rsidRPr="003E1F7C">
        <w:rPr>
          <w:rFonts w:ascii="宋体" w:hAnsi="宋体" w:hint="eastAsia"/>
          <w:color w:val="000000"/>
          <w:sz w:val="24"/>
          <w:szCs w:val="24"/>
        </w:rPr>
        <w:t>特此公告。</w:t>
      </w:r>
    </w:p>
    <w:p w:rsidR="00E80921" w:rsidP="00E80921">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Pr="003E1F7C">
        <w:rPr>
          <w:rFonts w:ascii="宋体" w:hAnsi="宋体" w:hint="eastAsia"/>
          <w:color w:val="000000"/>
          <w:sz w:val="24"/>
          <w:szCs w:val="24"/>
        </w:rPr>
        <w:t>易方达基金管理有限公司</w:t>
      </w:r>
    </w:p>
    <w:p w:rsidR="00E80921" w:rsidRPr="0000418A" w:rsidP="00801D63">
      <w:pPr>
        <w:spacing w:line="360" w:lineRule="auto"/>
        <w:ind w:left="-320" w:firstLine="840" w:leftChars="-100" w:firstLineChars="35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Pr="00676EBF">
        <w:rPr>
          <w:rFonts w:asciiTheme="minorEastAsia" w:eastAsiaTheme="minorEastAsia" w:hAnsiTheme="minorEastAsia"/>
          <w:color w:val="000000"/>
          <w:sz w:val="24"/>
          <w:szCs w:val="24"/>
        </w:rPr>
        <w:t>2022年9月</w:t>
      </w:r>
      <w:r w:rsidR="005E1DC9">
        <w:rPr>
          <w:rFonts w:asciiTheme="minorEastAsia" w:eastAsiaTheme="minorEastAsia" w:hAnsiTheme="minorEastAsia"/>
          <w:color w:val="000000"/>
          <w:sz w:val="24"/>
          <w:szCs w:val="24"/>
        </w:rPr>
        <w:t>14</w:t>
      </w:r>
      <w:bookmarkStart w:id="1" w:name="_GoBack"/>
      <w:bookmarkEnd w:id="1"/>
      <w:r w:rsidRPr="00676EBF">
        <w:rPr>
          <w:rFonts w:asciiTheme="minorEastAsia" w:eastAsiaTheme="minorEastAsia" w:hAnsi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17"/>
    <w:rsid w:val="0000418A"/>
    <w:rsid w:val="000071CE"/>
    <w:rsid w:val="0002358F"/>
    <w:rsid w:val="00031AB4"/>
    <w:rsid w:val="00033B07"/>
    <w:rsid w:val="00041353"/>
    <w:rsid w:val="00042A21"/>
    <w:rsid w:val="00070317"/>
    <w:rsid w:val="000B3D47"/>
    <w:rsid w:val="000C18B3"/>
    <w:rsid w:val="000D6628"/>
    <w:rsid w:val="000E6F9C"/>
    <w:rsid w:val="00111BD0"/>
    <w:rsid w:val="00142DAF"/>
    <w:rsid w:val="00142E54"/>
    <w:rsid w:val="00156475"/>
    <w:rsid w:val="0018138F"/>
    <w:rsid w:val="001B2DB9"/>
    <w:rsid w:val="001D14B7"/>
    <w:rsid w:val="001F622D"/>
    <w:rsid w:val="00207AA8"/>
    <w:rsid w:val="00213BDC"/>
    <w:rsid w:val="00213F59"/>
    <w:rsid w:val="00285743"/>
    <w:rsid w:val="002861B0"/>
    <w:rsid w:val="002A51E8"/>
    <w:rsid w:val="002C06BE"/>
    <w:rsid w:val="002E6C8D"/>
    <w:rsid w:val="00306525"/>
    <w:rsid w:val="00306AAE"/>
    <w:rsid w:val="0032019E"/>
    <w:rsid w:val="0033552A"/>
    <w:rsid w:val="00375EE6"/>
    <w:rsid w:val="003953A6"/>
    <w:rsid w:val="003E1F7C"/>
    <w:rsid w:val="00404B1E"/>
    <w:rsid w:val="00412A37"/>
    <w:rsid w:val="004414AB"/>
    <w:rsid w:val="00456D89"/>
    <w:rsid w:val="00483DDC"/>
    <w:rsid w:val="004966BA"/>
    <w:rsid w:val="004B3F81"/>
    <w:rsid w:val="004D01DF"/>
    <w:rsid w:val="004E10AB"/>
    <w:rsid w:val="004E2C79"/>
    <w:rsid w:val="0052318A"/>
    <w:rsid w:val="00536CF6"/>
    <w:rsid w:val="0053712A"/>
    <w:rsid w:val="0054154D"/>
    <w:rsid w:val="00547962"/>
    <w:rsid w:val="00566B55"/>
    <w:rsid w:val="00596F7A"/>
    <w:rsid w:val="005975BB"/>
    <w:rsid w:val="005B28C6"/>
    <w:rsid w:val="005B39B4"/>
    <w:rsid w:val="005C1B03"/>
    <w:rsid w:val="005E1DC9"/>
    <w:rsid w:val="005E6555"/>
    <w:rsid w:val="005F3560"/>
    <w:rsid w:val="006113F1"/>
    <w:rsid w:val="006152A9"/>
    <w:rsid w:val="006163B1"/>
    <w:rsid w:val="0062601A"/>
    <w:rsid w:val="006340ED"/>
    <w:rsid w:val="0066795D"/>
    <w:rsid w:val="00672C20"/>
    <w:rsid w:val="00676EBF"/>
    <w:rsid w:val="006A5D36"/>
    <w:rsid w:val="006C7CF1"/>
    <w:rsid w:val="006C7FDB"/>
    <w:rsid w:val="006E1D35"/>
    <w:rsid w:val="006F225C"/>
    <w:rsid w:val="006F43D8"/>
    <w:rsid w:val="006F4CAF"/>
    <w:rsid w:val="0070712F"/>
    <w:rsid w:val="007179FB"/>
    <w:rsid w:val="00731DEC"/>
    <w:rsid w:val="00743297"/>
    <w:rsid w:val="007C54E2"/>
    <w:rsid w:val="007E2FD8"/>
    <w:rsid w:val="00801D63"/>
    <w:rsid w:val="00803A3A"/>
    <w:rsid w:val="00807FC2"/>
    <w:rsid w:val="00872E95"/>
    <w:rsid w:val="0087717F"/>
    <w:rsid w:val="008F0ACC"/>
    <w:rsid w:val="00966B40"/>
    <w:rsid w:val="009D65C6"/>
    <w:rsid w:val="009E3ABA"/>
    <w:rsid w:val="009E69A9"/>
    <w:rsid w:val="009F783B"/>
    <w:rsid w:val="00A22C61"/>
    <w:rsid w:val="00A359C6"/>
    <w:rsid w:val="00A507E1"/>
    <w:rsid w:val="00A61621"/>
    <w:rsid w:val="00A63D9B"/>
    <w:rsid w:val="00A66507"/>
    <w:rsid w:val="00AA5074"/>
    <w:rsid w:val="00B03319"/>
    <w:rsid w:val="00B27750"/>
    <w:rsid w:val="00B96712"/>
    <w:rsid w:val="00BA1FDD"/>
    <w:rsid w:val="00BE716F"/>
    <w:rsid w:val="00BE7AA2"/>
    <w:rsid w:val="00C6080C"/>
    <w:rsid w:val="00C911F2"/>
    <w:rsid w:val="00CE6E56"/>
    <w:rsid w:val="00CF42C0"/>
    <w:rsid w:val="00D047E3"/>
    <w:rsid w:val="00D21C32"/>
    <w:rsid w:val="00D30AF1"/>
    <w:rsid w:val="00D64B1C"/>
    <w:rsid w:val="00DD624E"/>
    <w:rsid w:val="00DE5519"/>
    <w:rsid w:val="00E0346F"/>
    <w:rsid w:val="00E24A56"/>
    <w:rsid w:val="00E276FF"/>
    <w:rsid w:val="00E33112"/>
    <w:rsid w:val="00E435FE"/>
    <w:rsid w:val="00E72701"/>
    <w:rsid w:val="00E80921"/>
    <w:rsid w:val="00E857A8"/>
    <w:rsid w:val="00EB0ADE"/>
    <w:rsid w:val="00ED0ADF"/>
    <w:rsid w:val="00EE1199"/>
    <w:rsid w:val="00F70EF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23242836-B153-446B-BB67-E157E402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17"/>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070317"/>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070317"/>
    <w:pPr>
      <w:keepNext/>
      <w:keepLines/>
      <w:spacing w:before="260" w:after="260" w:line="416" w:lineRule="auto"/>
      <w:outlineLvl w:val="1"/>
    </w:pPr>
    <w:rPr>
      <w:rFonts w:ascii="Arial" w:eastAsia="黑体" w:hAnsi="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070317"/>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070317"/>
    <w:rPr>
      <w:rFonts w:ascii="Arial" w:eastAsia="黑体" w:hAnsi="Arial" w:cs="Times New Roman"/>
      <w:b/>
      <w:bCs/>
      <w:sz w:val="32"/>
      <w:szCs w:val="32"/>
    </w:rPr>
  </w:style>
  <w:style w:type="character" w:styleId="FootnoteReference">
    <w:name w:val="footnote reference"/>
    <w:basedOn w:val="DefaultParagraphFont"/>
    <w:rsid w:val="00070317"/>
    <w:rPr>
      <w:vertAlign w:val="superscript"/>
    </w:rPr>
  </w:style>
  <w:style w:type="paragraph" w:styleId="FootnoteText">
    <w:name w:val="footnote text"/>
    <w:basedOn w:val="Normal"/>
    <w:link w:val="Char"/>
    <w:rsid w:val="00070317"/>
    <w:pPr>
      <w:snapToGrid w:val="0"/>
      <w:jc w:val="left"/>
    </w:pPr>
    <w:rPr>
      <w:rFonts w:eastAsia="宋体"/>
      <w:sz w:val="18"/>
    </w:rPr>
  </w:style>
  <w:style w:type="character" w:customStyle="1" w:styleId="Char">
    <w:name w:val="脚注文本 Char"/>
    <w:basedOn w:val="DefaultParagraphFont"/>
    <w:link w:val="FootnoteText"/>
    <w:rsid w:val="00070317"/>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070317"/>
    <w:rPr>
      <w:rFonts w:ascii="宋体" w:eastAsia="宋体"/>
      <w:sz w:val="18"/>
      <w:szCs w:val="18"/>
    </w:rPr>
  </w:style>
  <w:style w:type="character" w:customStyle="1" w:styleId="Char0">
    <w:name w:val="文档结构图 Char"/>
    <w:basedOn w:val="DefaultParagraphFont"/>
    <w:link w:val="DocumentMap"/>
    <w:uiPriority w:val="99"/>
    <w:semiHidden/>
    <w:rsid w:val="00070317"/>
    <w:rPr>
      <w:rFonts w:ascii="宋体" w:eastAsia="宋体" w:hAnsi="Times New Roman" w:cs="Times New Roman"/>
      <w:sz w:val="18"/>
      <w:szCs w:val="18"/>
    </w:rPr>
  </w:style>
  <w:style w:type="paragraph" w:styleId="Header">
    <w:name w:val="header"/>
    <w:basedOn w:val="Normal"/>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566B55"/>
    <w:rPr>
      <w:rFonts w:ascii="Times New Roman" w:eastAsia="方正仿宋简体" w:hAnsi="Times New Roman" w:cs="Times New Roman"/>
      <w:sz w:val="18"/>
      <w:szCs w:val="18"/>
    </w:rPr>
  </w:style>
  <w:style w:type="paragraph" w:styleId="Footer">
    <w:name w:val="footer"/>
    <w:basedOn w:val="Normal"/>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566B55"/>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E716F"/>
    <w:rPr>
      <w:sz w:val="18"/>
      <w:szCs w:val="18"/>
    </w:rPr>
  </w:style>
  <w:style w:type="character" w:customStyle="1" w:styleId="Char3">
    <w:name w:val="批注框文本 Char"/>
    <w:basedOn w:val="DefaultParagraphFont"/>
    <w:link w:val="BalloonText"/>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1021</Characters>
  <Application>Microsoft Office Word</Application>
  <DocSecurity>0</DocSecurity>
  <Lines>8</Lines>
  <Paragraphs>2</Paragraphs>
  <ScaleCrop>false</ScaleCrop>
  <Company>微软中国</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张婷</cp:lastModifiedBy>
  <cp:revision>4</cp:revision>
  <dcterms:created xsi:type="dcterms:W3CDTF">2022-09-13T01:13:00Z</dcterms:created>
  <dcterms:modified xsi:type="dcterms:W3CDTF">2022-09-13T05:34:00Z</dcterms:modified>
</cp:coreProperties>
</file>