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易方达科润混合型证券投资基金（LOF）基金经理变更公告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公告送出日期：2022年9月</w:t>
      </w:r>
      <w:r w:rsidR="00995B65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易方达科润混合型证券投资基金（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LOF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易方达科润混合（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LOF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161131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《公开募集证券投资基金信息披露管理办法》《基金管理公司投资管理人员管理指导意见》《易方达科润混合型证券投资基金（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LOF</w:t>
            </w:r>
            <w:r w:rsidRPr="009E69A9">
              <w:rPr>
                <w:rFonts w:eastAsiaTheme="minorEastAsia" w:hAnsiTheme="minorEastAsia"/>
                <w:sz w:val="24"/>
                <w:szCs w:val="24"/>
              </w:rPr>
              <w:t>）基金合同》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60485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60485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于博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60485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604857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付浩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注：本基金场内简称为“</w:t>
      </w:r>
      <w:r w:rsidRPr="00925A86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易方达科润LOF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”。</w:t>
      </w:r>
    </w:p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0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付浩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2022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9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="00995B65">
              <w:rPr>
                <w:rFonts w:eastAsiaTheme="minorEastAsia"/>
                <w:sz w:val="24"/>
                <w:szCs w:val="24"/>
              </w:rPr>
              <w:t>14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注：付浩</w:t>
      </w:r>
      <w:r w:rsidR="00900487">
        <w:rPr>
          <w:rFonts w:eastAsia="宋体" w:hint="eastAsia"/>
          <w:color w:val="000000"/>
          <w:sz w:val="24"/>
          <w:szCs w:val="24"/>
        </w:rPr>
        <w:t>仍</w:t>
      </w:r>
      <w:r w:rsidRPr="00E80921">
        <w:rPr>
          <w:rFonts w:eastAsia="宋体"/>
          <w:color w:val="000000"/>
          <w:sz w:val="24"/>
          <w:szCs w:val="24"/>
        </w:rPr>
        <w:t>担任易方达基金管理有限公司监事、权益投资管理部总经理、权益投资决策委员会委员。</w:t>
      </w:r>
    </w:p>
    <w:p w:rsidR="00E80921" w:rsidRPr="00925A86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2022年9月</w:t>
      </w:r>
      <w:r w:rsidR="00995B65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bookmarkStart w:id="1" w:name="_GoBack"/>
      <w:bookmarkEnd w:id="1"/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22A0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04857"/>
    <w:rsid w:val="006113F1"/>
    <w:rsid w:val="006152A9"/>
    <w:rsid w:val="006163B1"/>
    <w:rsid w:val="0062601A"/>
    <w:rsid w:val="006340ED"/>
    <w:rsid w:val="0065082E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00487"/>
    <w:rsid w:val="00925A86"/>
    <w:rsid w:val="00966B40"/>
    <w:rsid w:val="00995B65"/>
    <w:rsid w:val="009D65C6"/>
    <w:rsid w:val="009E3ABA"/>
    <w:rsid w:val="009E69A9"/>
    <w:rsid w:val="009F783B"/>
    <w:rsid w:val="00A05576"/>
    <w:rsid w:val="00A22C61"/>
    <w:rsid w:val="00A507E1"/>
    <w:rsid w:val="00A61621"/>
    <w:rsid w:val="00A63D9B"/>
    <w:rsid w:val="00A66507"/>
    <w:rsid w:val="00AA5074"/>
    <w:rsid w:val="00B03319"/>
    <w:rsid w:val="00B27750"/>
    <w:rsid w:val="00B96712"/>
    <w:rsid w:val="00BE37AA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2E30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5DC367-7923-416D-9E25-9B2AB2A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张婷</cp:lastModifiedBy>
  <cp:revision>5</cp:revision>
  <dcterms:created xsi:type="dcterms:W3CDTF">2022-09-13T01:07:00Z</dcterms:created>
  <dcterms:modified xsi:type="dcterms:W3CDTF">2022-09-13T05:33:00Z</dcterms:modified>
</cp:coreProperties>
</file>