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1 -->
  <w:body>
    <w:p w:rsidR="00745B42" w:rsidRPr="00745B42" w:rsidP="00745B42">
      <w:pPr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745B42">
        <w:rPr>
          <w:rFonts w:ascii="宋体" w:eastAsia="宋体" w:hAnsi="宋体" w:cs="Times New Roman"/>
          <w:b/>
          <w:sz w:val="28"/>
          <w:szCs w:val="28"/>
        </w:rPr>
        <w:t>关于汇添富彭博中国政策性银行债券1-3年指数证券投资基金暂停大额申购、转换转入业务的公告</w:t>
      </w:r>
    </w:p>
    <w:p w:rsidR="00745B42" w:rsidRPr="00745B42" w:rsidP="00745B42">
      <w:pPr>
        <w:jc w:val="center"/>
        <w:rPr>
          <w:rFonts w:ascii="宋体" w:eastAsia="宋体" w:hAnsi="宋体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b/>
          <w:sz w:val="24"/>
          <w:szCs w:val="28"/>
        </w:rPr>
        <w:t>公告送出</w:t>
      </w:r>
      <w:r>
        <w:rPr>
          <w:rFonts w:ascii="Times New Roman" w:eastAsia="宋体" w:hAnsi="宋体" w:cs="Times New Roman"/>
          <w:b/>
          <w:sz w:val="24"/>
          <w:szCs w:val="28"/>
        </w:rPr>
        <w:t>日期：</w:t>
      </w:r>
      <w:r w:rsidRPr="00745B42">
        <w:rPr>
          <w:rFonts w:ascii="宋体" w:eastAsia="宋体" w:hAnsi="宋体" w:cs="Times New Roman"/>
          <w:sz w:val="24"/>
          <w:szCs w:val="24"/>
        </w:rPr>
        <w:t>2022年09月15日</w:t>
      </w:r>
    </w:p>
    <w:p w:rsidR="00745B42" w:rsidRPr="00745B42" w:rsidP="00745B42">
      <w:pPr>
        <w:keepNext/>
        <w:keepLines/>
        <w:spacing w:before="156" w:beforeLines="50" w:after="156" w:afterLines="50"/>
        <w:jc w:val="left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745B42">
        <w:rPr>
          <w:rFonts w:ascii="Times New Roman" w:eastAsia="宋体" w:hAnsi="Times New Roman" w:cs="Times New Roman"/>
          <w:b/>
          <w:sz w:val="24"/>
          <w:szCs w:val="24"/>
        </w:rPr>
        <w:t>1</w:t>
      </w:r>
      <w:bookmarkStart w:id="0" w:name="t_3_1_1_table"/>
      <w:bookmarkEnd w:id="0"/>
      <w:r w:rsidRPr="00745B42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745B42">
        <w:rPr>
          <w:rFonts w:ascii="Times New Roman" w:eastAsia="宋体" w:hAnsi="宋体" w:cs="Times New Roman" w:hint="eastAsia"/>
          <w:b/>
          <w:sz w:val="24"/>
          <w:szCs w:val="24"/>
        </w:rPr>
        <w:t>公告基本信息</w:t>
      </w:r>
    </w:p>
    <w:p w:rsidR="00745B42" w:rsidRPr="00745B42" w:rsidP="00745B42">
      <w:pPr>
        <w:rPr>
          <w:rFonts w:ascii="宋体" w:eastAsia="宋体" w:hAnsi="宋体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基金名称</w:t>
            </w:r>
          </w:p>
        </w:tc>
        <w:tc>
          <w:tcPr>
            <w:tcW w:w="40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汇添富彭博中国政策性银行债券1-3年指数证券投资基金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0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基金简称</w:t>
            </w:r>
          </w:p>
        </w:tc>
        <w:tc>
          <w:tcPr>
            <w:tcW w:w="40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汇添富彭博政金债1-3年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0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基金主代码</w:t>
            </w:r>
          </w:p>
        </w:tc>
        <w:tc>
          <w:tcPr>
            <w:tcW w:w="40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012128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0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基金管理人名称</w:t>
            </w:r>
          </w:p>
        </w:tc>
        <w:tc>
          <w:tcPr>
            <w:tcW w:w="40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汇添富基金管理股份有限公司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0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公告依据</w:t>
            </w:r>
          </w:p>
        </w:tc>
        <w:tc>
          <w:tcPr>
            <w:tcW w:w="40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根据《公开募集证券投资基金信息披露管理办法》等法律法规和《汇添富彭博中国政策性银行债券1-3年指数证券投资基金基金合同》的规定。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vMerge w:val="restart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暂停大额申购起始日</w:t>
            </w:r>
          </w:p>
        </w:tc>
        <w:tc>
          <w:tcPr>
            <w:tcW w:w="40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2022年09月16日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vMerge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暂停大额转换转入起始日</w:t>
            </w:r>
          </w:p>
        </w:tc>
        <w:tc>
          <w:tcPr>
            <w:tcW w:w="40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2022年09月16日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vMerge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暂停上述业务的原因说明</w:t>
            </w:r>
          </w:p>
        </w:tc>
        <w:tc>
          <w:tcPr>
            <w:tcW w:w="40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为保护基金份额持有人的利益，保障基金平稳运作，根据《汇添富彭博中国政策性银行债券1-3年指数证券投资基金基金合同》的有关规定。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0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下属基金份额的基金简称</w:t>
            </w:r>
          </w:p>
        </w:tc>
        <w:tc>
          <w:tcPr>
            <w:tcW w:w="2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汇添富彭博政金债1-3年A</w:t>
            </w:r>
          </w:p>
        </w:tc>
        <w:tc>
          <w:tcPr>
            <w:tcW w:w="2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汇添富彭博政金债1-3年C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0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下属基金份额的交易代码</w:t>
            </w:r>
          </w:p>
        </w:tc>
        <w:tc>
          <w:tcPr>
            <w:tcW w:w="2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012128</w:t>
            </w:r>
          </w:p>
        </w:tc>
        <w:tc>
          <w:tcPr>
            <w:tcW w:w="2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012129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0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该基金份额是否暂停上述业务</w:t>
            </w:r>
          </w:p>
        </w:tc>
        <w:tc>
          <w:tcPr>
            <w:tcW w:w="2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  <w:tc>
          <w:tcPr>
            <w:tcW w:w="2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0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下属基金份额的限制申购金额（单位：人民币元）</w:t>
            </w:r>
          </w:p>
        </w:tc>
        <w:tc>
          <w:tcPr>
            <w:tcW w:w="2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1,000,000.00</w:t>
            </w:r>
          </w:p>
        </w:tc>
        <w:tc>
          <w:tcPr>
            <w:tcW w:w="2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1,000,000.00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0000" w:type="dxa"/>
            <w:gridSpan w:val="2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下属基金份额的限制转换转入金额（单位：人民币元）</w:t>
            </w:r>
          </w:p>
        </w:tc>
        <w:tc>
          <w:tcPr>
            <w:tcW w:w="2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1,000,000.00</w:t>
            </w:r>
          </w:p>
        </w:tc>
        <w:tc>
          <w:tcPr>
            <w:tcW w:w="20000" w:type="dxa"/>
            <w:vAlign w:val="center"/>
          </w:tcPr>
          <w:p w:rsidR="00745B42" w:rsidRPr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1,000,000.00</w:t>
            </w:r>
          </w:p>
        </w:tc>
      </w:tr>
    </w:tbl>
    <w:p w:rsidR="00745B42" w:rsidRPr="00745B42" w:rsidP="00745B42">
      <w:pPr>
        <w:rPr>
          <w:rFonts w:ascii="宋体" w:eastAsia="宋体" w:hAnsi="宋体" w:cs="Times New Roman"/>
          <w:sz w:val="24"/>
          <w:szCs w:val="24"/>
        </w:rPr>
      </w:pPr>
    </w:p>
    <w:p w:rsidR="00745B42" w:rsidRPr="00745B42" w:rsidP="00B778F6">
      <w:pPr>
        <w:spacing w:line="360" w:lineRule="auto"/>
        <w:rPr>
          <w:rFonts w:ascii="宋体" w:eastAsia="宋体" w:hAnsi="宋体" w:cs="Times New Roman"/>
          <w:szCs w:val="21"/>
        </w:rPr>
      </w:pPr>
      <w:r w:rsidRPr="00745B42">
        <w:rPr>
          <w:rFonts w:ascii="宋体" w:eastAsia="宋体" w:hAnsi="宋体" w:cs="Times New Roman"/>
          <w:szCs w:val="21"/>
        </w:rPr>
        <w:t>注：1、自2022年09月16日起（含2022年09月16日），汇添富彭博政金债1-3年A暂停大额申购、大额转换转入业务，单日单个基金账户单笔或多笔累计申购、转换转入的金额不应超过1000000人民币元（ 含1000000人民币元 ）。当单日某基金账户单笔或多笔累计申购、转换转入该份额的金额超过1000000人民币元，本公司将部分或全部拒绝。该份额暂停上述大额业务期间，其他业务仍照常办理。自2022年09月21日起，汇添富彭博政金债1-3年A将恢复办理大额申购、大额转换转入业务，届时将不再另行公告。</w:t>
      </w:r>
    </w:p>
    <w:p w:rsidR="00745B42" w:rsidRPr="00745B42" w:rsidP="00B778F6">
      <w:pPr>
        <w:spacing w:line="360" w:lineRule="auto"/>
        <w:rPr>
          <w:rFonts w:ascii="宋体" w:eastAsia="宋体" w:hAnsi="宋体" w:cs="Times New Roman"/>
          <w:szCs w:val="21"/>
        </w:rPr>
      </w:pPr>
      <w:r w:rsidRPr="00745B42">
        <w:rPr>
          <w:rFonts w:ascii="宋体" w:eastAsia="宋体" w:hAnsi="宋体" w:cs="Times New Roman"/>
          <w:szCs w:val="21"/>
        </w:rPr>
        <w:t>2、自2022年09月16日起（含2022年09月16日），汇添富彭博政金债1-3年C暂停大额申购、大额转换转入业务，单日单个基金账户单笔或多笔累计申购、转换转入的金额不应超过1000000人民币元（ 含1000000人民币元 ）。当单日某基金账户单笔或多笔累计申购、转换转入该份额的金额超过1000000人民币元，本公司将部分或全部拒绝。该份额暂停上述大额业务期间，其他业务仍照常办理。自2022年09月21日起，汇添富彭博政金债1-3年C将恢复办理大额申购、大额转换转入业务，届时将不再另行公告。</w:t>
      </w:r>
    </w:p>
    <w:p w:rsidR="00745B42" w:rsidRPr="00745B42" w:rsidP="00B778F6">
      <w:pPr>
        <w:spacing w:line="360" w:lineRule="auto"/>
        <w:rPr>
          <w:rFonts w:ascii="宋体" w:eastAsia="宋体" w:hAnsi="宋体" w:cs="Times New Roman"/>
          <w:szCs w:val="21"/>
        </w:rPr>
      </w:pPr>
    </w:p>
    <w:p w:rsidR="00745B42" w:rsidRPr="00745B42" w:rsidP="00745B42">
      <w:pPr>
        <w:keepNext/>
        <w:keepLines/>
        <w:spacing w:before="156" w:beforeLines="50" w:after="156" w:afterLines="50" w:line="360" w:lineRule="auto"/>
        <w:jc w:val="left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745B42">
        <w:rPr>
          <w:rFonts w:ascii="Times New Roman" w:eastAsia="宋体" w:hAnsi="Times New Roman" w:cs="Times New Roman"/>
          <w:b/>
          <w:sz w:val="24"/>
          <w:szCs w:val="24"/>
        </w:rPr>
        <w:t xml:space="preserve">2 </w:t>
      </w:r>
      <w:bookmarkStart w:id="1" w:name="t_3_2_table"/>
      <w:bookmarkEnd w:id="1"/>
      <w:r w:rsidRPr="00745B42">
        <w:rPr>
          <w:rFonts w:ascii="Times New Roman" w:eastAsia="宋体" w:hAnsi="宋体" w:cs="Times New Roman" w:hint="eastAsia"/>
          <w:b/>
          <w:sz w:val="24"/>
          <w:szCs w:val="24"/>
        </w:rPr>
        <w:t>其他需要提示的事项</w:t>
      </w:r>
    </w:p>
    <w:p w:rsidR="00787C4C" w:rsidP="00B778F6">
      <w:pPr>
        <w:spacing w:line="360" w:lineRule="auto"/>
        <w:ind w:firstLine="480" w:firstLineChars="20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 xml:space="preserve">投资者可以通过拨打本公司客服热线（400-888-9918）或登录本公司网站（www.99fund.com）获取相关信息。 </w:t>
      </w:r>
    </w:p>
    <w:p w:rsidR="00787C4C" w:rsidP="00B778F6">
      <w:pPr>
        <w:spacing w:line="360" w:lineRule="auto"/>
        <w:ind w:firstLine="480" w:firstLineChars="20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 xml:space="preserve">汇添富基金高度重视投资者服务和投资者教育，特此提醒投资者需正确认知基金投资的风险和长期收益，做理性的基金投资人，做明白的基金投资人，享受长期投资的快乐！ </w:t>
      </w:r>
    </w:p>
    <w:p w:rsidR="00787C4C" w:rsidP="00B778F6">
      <w:pPr>
        <w:spacing w:line="360" w:lineRule="auto"/>
        <w:ind w:firstLine="480" w:firstLineChars="20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特此公告。</w:t>
      </w:r>
    </w:p>
    <w:p w:rsidR="00745B42" w:rsidP="00B778F6">
      <w:pPr>
        <w:spacing w:line="360" w:lineRule="auto"/>
        <w:ind w:firstLine="480" w:firstLineChars="200"/>
        <w:rPr>
          <w:rFonts w:ascii="宋体" w:eastAsia="宋体" w:hAnsi="宋体" w:cs="Times New Roman"/>
          <w:sz w:val="24"/>
          <w:szCs w:val="24"/>
        </w:rPr>
      </w:pPr>
    </w:p>
    <w:p w:rsidR="00745B42" w:rsidP="00B778F6">
      <w:pPr>
        <w:spacing w:line="360" w:lineRule="auto"/>
        <w:ind w:firstLine="480" w:firstLineChars="200"/>
        <w:jc w:val="right"/>
        <w:rPr>
          <w:rFonts w:ascii="宋体" w:eastAsia="宋体" w:hAnsi="宋体" w:cs="Times New Roman"/>
          <w:sz w:val="24"/>
          <w:szCs w:val="24"/>
        </w:rPr>
      </w:pPr>
      <w:bookmarkStart w:id="2" w:name="_GoBack"/>
      <w:r>
        <w:rPr>
          <w:rFonts w:ascii="宋体" w:eastAsia="宋体" w:hAnsi="宋体" w:cs="Times New Roman"/>
          <w:sz w:val="24"/>
          <w:szCs w:val="24"/>
        </w:rPr>
        <w:t>汇添富基金管理股份有限公司</w:t>
      </w:r>
    </w:p>
    <w:p w:rsidR="000362A3" w:rsidRPr="00745B42" w:rsidP="00B778F6">
      <w:pPr>
        <w:spacing w:line="360" w:lineRule="auto"/>
        <w:ind w:firstLine="480" w:firstLineChars="200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2022年09月15日</w:t>
      </w:r>
      <w:bookmarkEnd w:id="2"/>
    </w:p>
    <w:sectPr w:rsidSect="00224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comments="1" w:formatting="1" w:inkAnnotations="1" w:insDel="1" w:markup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42"/>
    <w:rsid w:val="000362A3"/>
    <w:rsid w:val="00650CB3"/>
    <w:rsid w:val="00745B42"/>
    <w:rsid w:val="00787C4C"/>
    <w:rsid w:val="00872445"/>
    <w:rsid w:val="00B40DE1"/>
    <w:rsid w:val="00B778F6"/>
    <w:rsid w:val="00B938DD"/>
    <w:rsid w:val="00BD71CE"/>
    <w:rsid w:val="00CD0296"/>
    <w:rsid w:val="00CF7360"/>
    <w:rsid w:val="00D412BA"/>
    <w:rsid w:val="00E61199"/>
    <w:rsid w:val="00E971A9"/>
    <w:rsid w:val="00F311D8"/>
  </w:rsids>
  <w:docVars>
    <w:docVar w:name="KGWebUrl" w:val="http://rms.htffund.com/UI/api/WebOffice/PageLoad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E3F0432-A375-407B-80D4-932FDC54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2">
    <w:name w:val="heading 2"/>
    <w:basedOn w:val="Normal"/>
    <w:next w:val="Normal"/>
    <w:link w:val="2Char"/>
    <w:uiPriority w:val="9"/>
    <w:qFormat/>
    <w:rsid w:val="00745B42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Char">
    <w:name w:val="标题 2 Char"/>
    <w:basedOn w:val="DefaultParagraphFont"/>
    <w:link w:val="Heading2"/>
    <w:uiPriority w:val="9"/>
    <w:rsid w:val="00745B42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68.69</dc:creator>
  <cp:lastModifiedBy>74</cp:lastModifiedBy>
  <cp:revision>2</cp:revision>
  <dcterms:created xsi:type="dcterms:W3CDTF">2021-11-24T02:59:00Z</dcterms:created>
  <dcterms:modified xsi:type="dcterms:W3CDTF">2021-11-24T02:59:00Z</dcterms:modified>
</cp:coreProperties>
</file>