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5A6" w:rsidRDefault="00C529A5">
      <w:pPr>
        <w:spacing w:line="276" w:lineRule="auto"/>
        <w:jc w:val="center"/>
        <w:rPr>
          <w:rFonts w:ascii="宋体" w:eastAsia="宋体" w:hAnsi="宋体" w:cs="Times New Roman"/>
          <w:b/>
          <w:sz w:val="24"/>
          <w:szCs w:val="24"/>
        </w:rPr>
      </w:pPr>
      <w:r>
        <w:rPr>
          <w:rFonts w:ascii="宋体" w:eastAsia="宋体" w:hAnsi="宋体" w:cs="Times New Roman" w:hint="eastAsia"/>
          <w:b/>
          <w:sz w:val="24"/>
          <w:szCs w:val="24"/>
        </w:rPr>
        <w:t>诺安基金管理有限公司关于</w:t>
      </w:r>
      <w:r w:rsidR="00716EF5" w:rsidRPr="00716EF5">
        <w:rPr>
          <w:rFonts w:ascii="宋体" w:eastAsia="宋体" w:hAnsi="宋体" w:cs="Times New Roman" w:hint="eastAsia"/>
          <w:b/>
          <w:sz w:val="24"/>
          <w:szCs w:val="24"/>
        </w:rPr>
        <w:t>诺安聚利债券型证券投资基金</w:t>
      </w:r>
      <w:r w:rsidR="00716EF5">
        <w:rPr>
          <w:rFonts w:ascii="宋体" w:eastAsia="宋体" w:hAnsi="宋体" w:cs="Times New Roman" w:hint="eastAsia"/>
          <w:b/>
          <w:sz w:val="24"/>
          <w:szCs w:val="24"/>
        </w:rPr>
        <w:t>基金</w:t>
      </w:r>
      <w:r>
        <w:rPr>
          <w:rFonts w:ascii="宋体" w:eastAsia="宋体" w:hAnsi="宋体" w:cs="Times New Roman" w:hint="eastAsia"/>
          <w:b/>
          <w:sz w:val="24"/>
          <w:szCs w:val="24"/>
        </w:rPr>
        <w:t>份额</w:t>
      </w:r>
      <w:r>
        <w:rPr>
          <w:rFonts w:ascii="宋体" w:eastAsia="宋体" w:hAnsi="宋体" w:cs="Times New Roman"/>
          <w:b/>
          <w:sz w:val="24"/>
          <w:szCs w:val="24"/>
        </w:rPr>
        <w:t>净值精度</w:t>
      </w:r>
      <w:r>
        <w:rPr>
          <w:rFonts w:ascii="宋体" w:eastAsia="宋体" w:hAnsi="宋体" w:cs="Times New Roman" w:hint="eastAsia"/>
          <w:b/>
          <w:sz w:val="24"/>
          <w:szCs w:val="24"/>
        </w:rPr>
        <w:t>的公告</w:t>
      </w:r>
    </w:p>
    <w:p w:rsidR="000265A6" w:rsidRDefault="000265A6">
      <w:pPr>
        <w:spacing w:line="276" w:lineRule="auto"/>
      </w:pPr>
    </w:p>
    <w:p w:rsidR="000265A6" w:rsidRDefault="00C529A5">
      <w:pPr>
        <w:spacing w:line="276" w:lineRule="auto"/>
        <w:ind w:firstLineChars="202" w:firstLine="424"/>
        <w:rPr>
          <w:rFonts w:asciiTheme="minorEastAsia" w:hAnsiTheme="minorEastAsia"/>
          <w:szCs w:val="21"/>
        </w:rPr>
      </w:pPr>
      <w:r>
        <w:rPr>
          <w:rFonts w:asciiTheme="minorEastAsia" w:hAnsiTheme="minorEastAsia" w:hint="eastAsia"/>
          <w:szCs w:val="21"/>
        </w:rPr>
        <w:t>诺安</w:t>
      </w:r>
      <w:r>
        <w:rPr>
          <w:rFonts w:asciiTheme="minorEastAsia" w:hAnsiTheme="minorEastAsia"/>
          <w:szCs w:val="21"/>
        </w:rPr>
        <w:t>基金管理有限公司（以下简称“本公司”）旗下基金</w:t>
      </w:r>
      <w:proofErr w:type="gramStart"/>
      <w:r w:rsidR="00716EF5">
        <w:t>诺安聚利债券</w:t>
      </w:r>
      <w:proofErr w:type="gramEnd"/>
      <w:r w:rsidR="00716EF5">
        <w:t>型证券投资基金</w:t>
      </w:r>
      <w:r w:rsidR="00CD2CE4">
        <w:rPr>
          <w:rFonts w:asciiTheme="minorEastAsia" w:hAnsiTheme="minorEastAsia" w:hint="eastAsia"/>
          <w:szCs w:val="21"/>
        </w:rPr>
        <w:t>C</w:t>
      </w:r>
      <w:r>
        <w:rPr>
          <w:rFonts w:asciiTheme="minorEastAsia" w:hAnsiTheme="minorEastAsia" w:hint="eastAsia"/>
          <w:szCs w:val="21"/>
        </w:rPr>
        <w:t>类份额</w:t>
      </w:r>
      <w:r>
        <w:rPr>
          <w:rFonts w:asciiTheme="minorEastAsia" w:hAnsiTheme="minorEastAsia"/>
          <w:szCs w:val="21"/>
        </w:rPr>
        <w:t>（基金代码：</w:t>
      </w:r>
      <w:r w:rsidR="00716EF5" w:rsidRPr="00716EF5">
        <w:rPr>
          <w:rFonts w:asciiTheme="minorEastAsia" w:hAnsiTheme="minorEastAsia"/>
          <w:szCs w:val="21"/>
        </w:rPr>
        <w:t>000737</w:t>
      </w:r>
      <w:r>
        <w:rPr>
          <w:rFonts w:asciiTheme="minorEastAsia" w:hAnsiTheme="minorEastAsia" w:hint="eastAsia"/>
          <w:szCs w:val="21"/>
        </w:rPr>
        <w:t>，</w:t>
      </w:r>
      <w:r>
        <w:rPr>
          <w:rFonts w:asciiTheme="minorEastAsia" w:hAnsiTheme="minorEastAsia"/>
          <w:szCs w:val="21"/>
        </w:rPr>
        <w:t>以下简称“</w:t>
      </w:r>
      <w:r>
        <w:rPr>
          <w:rFonts w:asciiTheme="minorEastAsia" w:hAnsiTheme="minorEastAsia" w:hint="eastAsia"/>
          <w:szCs w:val="21"/>
        </w:rPr>
        <w:t>本基金</w:t>
      </w:r>
      <w:r>
        <w:rPr>
          <w:rFonts w:asciiTheme="minorEastAsia" w:hAnsiTheme="minorEastAsia"/>
          <w:szCs w:val="21"/>
        </w:rPr>
        <w:t>”）</w:t>
      </w:r>
      <w:r>
        <w:rPr>
          <w:rFonts w:asciiTheme="minorEastAsia" w:hAnsiTheme="minorEastAsia" w:hint="eastAsia"/>
          <w:szCs w:val="21"/>
        </w:rPr>
        <w:t>于20</w:t>
      </w:r>
      <w:r w:rsidR="00CD2CE4">
        <w:rPr>
          <w:rFonts w:asciiTheme="minorEastAsia" w:hAnsiTheme="minorEastAsia" w:hint="eastAsia"/>
          <w:szCs w:val="21"/>
        </w:rPr>
        <w:t>2</w:t>
      </w:r>
      <w:r w:rsidR="00355AEC">
        <w:rPr>
          <w:rFonts w:asciiTheme="minorEastAsia" w:hAnsiTheme="minorEastAsia"/>
          <w:szCs w:val="21"/>
        </w:rPr>
        <w:t>2</w:t>
      </w:r>
      <w:r>
        <w:rPr>
          <w:rFonts w:asciiTheme="minorEastAsia" w:hAnsiTheme="minorEastAsia" w:hint="eastAsia"/>
          <w:szCs w:val="21"/>
        </w:rPr>
        <w:t>年</w:t>
      </w:r>
      <w:r w:rsidR="00355AEC">
        <w:rPr>
          <w:rFonts w:asciiTheme="minorEastAsia" w:hAnsiTheme="minorEastAsia"/>
          <w:szCs w:val="21"/>
        </w:rPr>
        <w:t>9</w:t>
      </w:r>
      <w:r>
        <w:rPr>
          <w:rFonts w:asciiTheme="minorEastAsia" w:hAnsiTheme="minorEastAsia" w:hint="eastAsia"/>
          <w:szCs w:val="21"/>
        </w:rPr>
        <w:t>月</w:t>
      </w:r>
      <w:r w:rsidR="00716EF5">
        <w:rPr>
          <w:rFonts w:asciiTheme="minorEastAsia" w:hAnsiTheme="minorEastAsia"/>
          <w:szCs w:val="21"/>
        </w:rPr>
        <w:t>13</w:t>
      </w:r>
      <w:r>
        <w:rPr>
          <w:rFonts w:asciiTheme="minorEastAsia" w:hAnsiTheme="minorEastAsia" w:hint="eastAsia"/>
          <w:szCs w:val="21"/>
        </w:rPr>
        <w:t>日发生</w:t>
      </w:r>
      <w:r w:rsidR="002D6A79">
        <w:rPr>
          <w:rFonts w:asciiTheme="minorEastAsia" w:hAnsiTheme="minorEastAsia" w:hint="eastAsia"/>
          <w:szCs w:val="21"/>
        </w:rPr>
        <w:t>巨</w:t>
      </w:r>
      <w:r>
        <w:rPr>
          <w:rFonts w:asciiTheme="minorEastAsia" w:hAnsiTheme="minorEastAsia"/>
          <w:szCs w:val="21"/>
        </w:rPr>
        <w:t>额赎回。为</w:t>
      </w:r>
      <w:r>
        <w:rPr>
          <w:rFonts w:asciiTheme="minorEastAsia" w:hAnsiTheme="minorEastAsia" w:hint="eastAsia"/>
          <w:szCs w:val="21"/>
        </w:rPr>
        <w:t>确保</w:t>
      </w:r>
      <w:r>
        <w:rPr>
          <w:rFonts w:asciiTheme="minorEastAsia" w:hAnsiTheme="minorEastAsia"/>
          <w:szCs w:val="21"/>
        </w:rPr>
        <w:t>基金</w:t>
      </w:r>
      <w:r>
        <w:rPr>
          <w:rFonts w:asciiTheme="minorEastAsia" w:hAnsiTheme="minorEastAsia" w:hint="eastAsia"/>
          <w:szCs w:val="21"/>
        </w:rPr>
        <w:t>份额</w:t>
      </w:r>
      <w:r>
        <w:rPr>
          <w:rFonts w:asciiTheme="minorEastAsia" w:hAnsiTheme="minorEastAsia"/>
          <w:szCs w:val="21"/>
        </w:rPr>
        <w:t>持有人利益不因份额净值的小数点保留</w:t>
      </w:r>
      <w:r>
        <w:rPr>
          <w:rFonts w:asciiTheme="minorEastAsia" w:hAnsiTheme="minorEastAsia" w:hint="eastAsia"/>
          <w:szCs w:val="21"/>
        </w:rPr>
        <w:t>精度</w:t>
      </w:r>
      <w:r>
        <w:rPr>
          <w:rFonts w:asciiTheme="minorEastAsia" w:hAnsiTheme="minorEastAsia"/>
          <w:szCs w:val="21"/>
        </w:rPr>
        <w:t>受到不利影响</w:t>
      </w:r>
      <w:r>
        <w:rPr>
          <w:rFonts w:asciiTheme="minorEastAsia" w:hAnsiTheme="minorEastAsia" w:hint="eastAsia"/>
          <w:szCs w:val="21"/>
        </w:rPr>
        <w:t>，</w:t>
      </w:r>
      <w:r>
        <w:rPr>
          <w:rFonts w:asciiTheme="minorEastAsia" w:hAnsiTheme="minorEastAsia"/>
          <w:szCs w:val="21"/>
        </w:rPr>
        <w:t>经本公司</w:t>
      </w:r>
      <w:r>
        <w:rPr>
          <w:rFonts w:asciiTheme="minorEastAsia" w:hAnsiTheme="minorEastAsia" w:hint="eastAsia"/>
          <w:szCs w:val="21"/>
        </w:rPr>
        <w:t>与</w:t>
      </w:r>
      <w:r>
        <w:rPr>
          <w:rFonts w:asciiTheme="minorEastAsia" w:hAnsiTheme="minorEastAsia"/>
          <w:szCs w:val="21"/>
        </w:rPr>
        <w:t>托管行</w:t>
      </w:r>
      <w:r w:rsidR="0043257F">
        <w:rPr>
          <w:rFonts w:asciiTheme="minorEastAsia" w:hAnsiTheme="minorEastAsia" w:hint="eastAsia"/>
          <w:szCs w:val="21"/>
        </w:rPr>
        <w:t>中国工商银行</w:t>
      </w:r>
      <w:r>
        <w:rPr>
          <w:rFonts w:asciiTheme="minorEastAsia" w:hAnsiTheme="minorEastAsia"/>
          <w:szCs w:val="21"/>
        </w:rPr>
        <w:t>股份有限公司协商</w:t>
      </w:r>
      <w:bookmarkStart w:id="0" w:name="_GoBack"/>
      <w:bookmarkEnd w:id="0"/>
      <w:r>
        <w:rPr>
          <w:rFonts w:asciiTheme="minorEastAsia" w:hAnsiTheme="minorEastAsia"/>
          <w:szCs w:val="21"/>
        </w:rPr>
        <w:t>一致，决定自</w:t>
      </w:r>
      <w:r w:rsidR="00355AEC">
        <w:rPr>
          <w:rFonts w:asciiTheme="minorEastAsia" w:hAnsiTheme="minorEastAsia" w:hint="eastAsia"/>
          <w:szCs w:val="21"/>
        </w:rPr>
        <w:t>202</w:t>
      </w:r>
      <w:r w:rsidR="00355AEC">
        <w:rPr>
          <w:rFonts w:asciiTheme="minorEastAsia" w:hAnsiTheme="minorEastAsia"/>
          <w:szCs w:val="21"/>
        </w:rPr>
        <w:t>2</w:t>
      </w:r>
      <w:r w:rsidR="00355AEC">
        <w:rPr>
          <w:rFonts w:asciiTheme="minorEastAsia" w:hAnsiTheme="minorEastAsia" w:hint="eastAsia"/>
          <w:szCs w:val="21"/>
        </w:rPr>
        <w:t>年</w:t>
      </w:r>
      <w:r w:rsidR="00355AEC">
        <w:rPr>
          <w:rFonts w:asciiTheme="minorEastAsia" w:hAnsiTheme="minorEastAsia"/>
          <w:szCs w:val="21"/>
        </w:rPr>
        <w:t>9</w:t>
      </w:r>
      <w:r w:rsidR="00355AEC">
        <w:rPr>
          <w:rFonts w:asciiTheme="minorEastAsia" w:hAnsiTheme="minorEastAsia" w:hint="eastAsia"/>
          <w:szCs w:val="21"/>
        </w:rPr>
        <w:t>月</w:t>
      </w:r>
      <w:r w:rsidR="00716EF5">
        <w:rPr>
          <w:rFonts w:asciiTheme="minorEastAsia" w:hAnsiTheme="minorEastAsia"/>
          <w:szCs w:val="21"/>
        </w:rPr>
        <w:t>13</w:t>
      </w:r>
      <w:r w:rsidR="00355AEC">
        <w:rPr>
          <w:rFonts w:asciiTheme="minorEastAsia" w:hAnsiTheme="minorEastAsia" w:hint="eastAsia"/>
          <w:szCs w:val="21"/>
        </w:rPr>
        <w:t>日</w:t>
      </w:r>
      <w:r>
        <w:rPr>
          <w:rFonts w:asciiTheme="minorEastAsia" w:hAnsiTheme="minorEastAsia" w:hint="eastAsia"/>
          <w:szCs w:val="21"/>
        </w:rPr>
        <w:t>起</w:t>
      </w:r>
      <w:r>
        <w:rPr>
          <w:rFonts w:asciiTheme="minorEastAsia" w:hAnsiTheme="minorEastAsia"/>
          <w:szCs w:val="21"/>
        </w:rPr>
        <w:t>提</w:t>
      </w:r>
      <w:r>
        <w:rPr>
          <w:rFonts w:asciiTheme="minorEastAsia" w:hAnsiTheme="minorEastAsia" w:hint="eastAsia"/>
          <w:szCs w:val="21"/>
        </w:rPr>
        <w:t>高</w:t>
      </w:r>
      <w:r>
        <w:rPr>
          <w:rFonts w:asciiTheme="minorEastAsia" w:hAnsiTheme="minorEastAsia"/>
          <w:szCs w:val="21"/>
        </w:rPr>
        <w:t>本基金</w:t>
      </w:r>
      <w:r>
        <w:rPr>
          <w:rFonts w:asciiTheme="minorEastAsia" w:hAnsiTheme="minorEastAsia" w:hint="eastAsia"/>
          <w:szCs w:val="21"/>
        </w:rPr>
        <w:t>的基金份额</w:t>
      </w:r>
      <w:r>
        <w:rPr>
          <w:rFonts w:asciiTheme="minorEastAsia" w:hAnsiTheme="minorEastAsia"/>
          <w:szCs w:val="21"/>
        </w:rPr>
        <w:t>净值精度至小数点后</w:t>
      </w:r>
      <w:r>
        <w:rPr>
          <w:rFonts w:asciiTheme="minorEastAsia" w:hAnsiTheme="minorEastAsia" w:hint="eastAsia"/>
          <w:szCs w:val="21"/>
        </w:rPr>
        <w:t>第八</w:t>
      </w:r>
      <w:r>
        <w:rPr>
          <w:rFonts w:asciiTheme="minorEastAsia" w:hAnsiTheme="minorEastAsia"/>
          <w:szCs w:val="21"/>
        </w:rPr>
        <w:t>位，小数点后</w:t>
      </w:r>
      <w:r>
        <w:rPr>
          <w:rFonts w:asciiTheme="minorEastAsia" w:hAnsiTheme="minorEastAsia" w:hint="eastAsia"/>
          <w:szCs w:val="21"/>
        </w:rPr>
        <w:t>第九</w:t>
      </w:r>
      <w:r>
        <w:rPr>
          <w:rFonts w:asciiTheme="minorEastAsia" w:hAnsiTheme="minorEastAsia"/>
          <w:szCs w:val="21"/>
        </w:rPr>
        <w:t>位四舍五入。本基金将自</w:t>
      </w:r>
      <w:r w:rsidR="002D6A79">
        <w:rPr>
          <w:rFonts w:asciiTheme="minorEastAsia" w:hAnsiTheme="minorEastAsia" w:hint="eastAsia"/>
          <w:szCs w:val="21"/>
        </w:rPr>
        <w:t>巨</w:t>
      </w:r>
      <w:r w:rsidR="002D6A79">
        <w:rPr>
          <w:rFonts w:asciiTheme="minorEastAsia" w:hAnsiTheme="minorEastAsia"/>
          <w:szCs w:val="21"/>
        </w:rPr>
        <w:t>额</w:t>
      </w:r>
      <w:r>
        <w:rPr>
          <w:rFonts w:asciiTheme="minorEastAsia" w:hAnsiTheme="minorEastAsia"/>
          <w:szCs w:val="21"/>
        </w:rPr>
        <w:t>赎回对基金份额持有人利益</w:t>
      </w:r>
      <w:r>
        <w:rPr>
          <w:rFonts w:asciiTheme="minorEastAsia" w:hAnsiTheme="minorEastAsia" w:hint="eastAsia"/>
          <w:szCs w:val="21"/>
        </w:rPr>
        <w:t>不再</w:t>
      </w:r>
      <w:r>
        <w:rPr>
          <w:rFonts w:asciiTheme="minorEastAsia" w:hAnsiTheme="minorEastAsia"/>
          <w:szCs w:val="21"/>
        </w:rPr>
        <w:t>产生重大影响时，恢复本基金</w:t>
      </w:r>
      <w:r>
        <w:rPr>
          <w:rFonts w:asciiTheme="minorEastAsia" w:hAnsiTheme="minorEastAsia" w:hint="eastAsia"/>
          <w:szCs w:val="21"/>
        </w:rPr>
        <w:t>《</w:t>
      </w:r>
      <w:r>
        <w:rPr>
          <w:rFonts w:asciiTheme="minorEastAsia" w:hAnsiTheme="minorEastAsia"/>
          <w:szCs w:val="21"/>
        </w:rPr>
        <w:t>基金合同</w:t>
      </w:r>
      <w:r>
        <w:rPr>
          <w:rFonts w:asciiTheme="minorEastAsia" w:hAnsiTheme="minorEastAsia" w:hint="eastAsia"/>
          <w:szCs w:val="21"/>
        </w:rPr>
        <w:t>》</w:t>
      </w:r>
      <w:r>
        <w:rPr>
          <w:rFonts w:asciiTheme="minorEastAsia" w:hAnsiTheme="minorEastAsia"/>
          <w:szCs w:val="21"/>
        </w:rPr>
        <w:t>约定的净值精度</w:t>
      </w:r>
      <w:r>
        <w:rPr>
          <w:rFonts w:asciiTheme="minorEastAsia" w:hAnsiTheme="minorEastAsia" w:hint="eastAsia"/>
          <w:szCs w:val="21"/>
        </w:rPr>
        <w:t>，</w:t>
      </w:r>
      <w:r>
        <w:rPr>
          <w:rFonts w:asciiTheme="minorEastAsia" w:hAnsiTheme="minorEastAsia"/>
          <w:szCs w:val="21"/>
        </w:rPr>
        <w:t>届时不再另行公告。</w:t>
      </w:r>
    </w:p>
    <w:p w:rsidR="000265A6" w:rsidRDefault="00C529A5">
      <w:pPr>
        <w:spacing w:line="276" w:lineRule="auto"/>
        <w:ind w:firstLineChars="202" w:firstLine="424"/>
        <w:rPr>
          <w:rFonts w:asciiTheme="minorEastAsia" w:hAnsiTheme="minorEastAsia"/>
          <w:szCs w:val="21"/>
        </w:rPr>
      </w:pPr>
      <w:r>
        <w:rPr>
          <w:rFonts w:asciiTheme="minorEastAsia" w:hAnsiTheme="minorEastAsia" w:hint="eastAsia"/>
          <w:szCs w:val="21"/>
        </w:rPr>
        <w:t>投资者如有疑问，</w:t>
      </w:r>
      <w:r>
        <w:rPr>
          <w:rFonts w:asciiTheme="minorEastAsia" w:hAnsiTheme="minorEastAsia"/>
          <w:szCs w:val="21"/>
        </w:rPr>
        <w:t>可</w:t>
      </w:r>
      <w:r>
        <w:rPr>
          <w:rFonts w:asciiTheme="minorEastAsia" w:hAnsiTheme="minorEastAsia" w:hint="eastAsia"/>
          <w:szCs w:val="21"/>
        </w:rPr>
        <w:t>通过拨打本公司客户服务电话400-888-8998,或至本公司网站(www.lionfund.com.cn</w:t>
      </w:r>
      <w:r>
        <w:rPr>
          <w:rFonts w:asciiTheme="minorEastAsia" w:hAnsiTheme="minorEastAsia"/>
          <w:szCs w:val="21"/>
        </w:rPr>
        <w:t>)</w:t>
      </w:r>
      <w:r>
        <w:rPr>
          <w:rFonts w:asciiTheme="minorEastAsia" w:hAnsiTheme="minorEastAsia" w:hint="eastAsia"/>
          <w:szCs w:val="21"/>
        </w:rPr>
        <w:t>获取相关信息。</w:t>
      </w:r>
    </w:p>
    <w:p w:rsidR="000265A6" w:rsidRDefault="000265A6">
      <w:pPr>
        <w:spacing w:line="276" w:lineRule="auto"/>
        <w:ind w:firstLineChars="202" w:firstLine="424"/>
        <w:rPr>
          <w:rFonts w:asciiTheme="minorEastAsia" w:hAnsiTheme="minorEastAsia"/>
          <w:szCs w:val="21"/>
        </w:rPr>
      </w:pPr>
    </w:p>
    <w:p w:rsidR="000265A6" w:rsidRDefault="00C529A5">
      <w:pPr>
        <w:spacing w:line="276" w:lineRule="auto"/>
        <w:ind w:firstLineChars="202" w:firstLine="426"/>
        <w:rPr>
          <w:rFonts w:asciiTheme="minorEastAsia" w:hAnsiTheme="minorEastAsia"/>
          <w:b/>
          <w:szCs w:val="21"/>
        </w:rPr>
      </w:pPr>
      <w:r>
        <w:rPr>
          <w:rFonts w:asciiTheme="minorEastAsia" w:hAnsiTheme="minorEastAsia" w:hint="eastAsia"/>
          <w:b/>
          <w:szCs w:val="21"/>
        </w:rPr>
        <w:t xml:space="preserve">风险提示： </w:t>
      </w:r>
    </w:p>
    <w:p w:rsidR="000265A6" w:rsidRDefault="003E6F66">
      <w:pPr>
        <w:spacing w:line="276" w:lineRule="auto"/>
        <w:ind w:firstLineChars="202" w:firstLine="424"/>
        <w:rPr>
          <w:rFonts w:asciiTheme="minorEastAsia" w:hAnsiTheme="minorEastAsia"/>
          <w:szCs w:val="21"/>
        </w:rPr>
      </w:pPr>
      <w:r w:rsidRPr="005448A8">
        <w:rPr>
          <w:rFonts w:ascii="宋体" w:eastAsia="宋体" w:hAnsi="宋体" w:cs="Times New Roman"/>
          <w:szCs w:val="21"/>
        </w:rPr>
        <w:t>本基金管理人承诺以诚实信用、勤勉尽责的原则管理和运用基金财产，但不保证基金一定盈利，也不保证最低收益。基金的过往业绩及其净值高低并不预示其未来业绩表现，基金管理人管理的其他基金的业绩并不构成某一基金业绩表现的保证。本基金管理人提醒投资者基金投资的“买者自负”原则，在做出投资决策后，基金运营状况与基金净值变化引致的投资风险，由投资者自行负担。基金管理人、基金托管人、基金销售机构及相关机构不对基金投资收益做出任何承诺或保证。投资者投资于本公司管理的基金时应仔细阅读基金合同、招募说明书、基金产品资料概要等产品法律文件及相关公告，充分认识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0265A6" w:rsidRDefault="000265A6">
      <w:pPr>
        <w:spacing w:line="276" w:lineRule="auto"/>
        <w:rPr>
          <w:rFonts w:asciiTheme="minorEastAsia" w:hAnsiTheme="minorEastAsia"/>
          <w:szCs w:val="21"/>
        </w:rPr>
      </w:pPr>
    </w:p>
    <w:p w:rsidR="000265A6" w:rsidRDefault="00C529A5">
      <w:pPr>
        <w:spacing w:line="276" w:lineRule="auto"/>
        <w:ind w:firstLine="419"/>
        <w:rPr>
          <w:rFonts w:asciiTheme="minorEastAsia" w:hAnsiTheme="minorEastAsia"/>
          <w:szCs w:val="21"/>
        </w:rPr>
      </w:pPr>
      <w:r>
        <w:rPr>
          <w:rFonts w:asciiTheme="minorEastAsia" w:hAnsiTheme="minorEastAsia"/>
          <w:szCs w:val="21"/>
        </w:rPr>
        <w:t>特此公告。</w:t>
      </w:r>
    </w:p>
    <w:p w:rsidR="000265A6" w:rsidRDefault="000265A6">
      <w:pPr>
        <w:spacing w:line="276" w:lineRule="auto"/>
        <w:ind w:firstLine="419"/>
        <w:rPr>
          <w:rFonts w:asciiTheme="minorEastAsia" w:hAnsiTheme="minorEastAsia"/>
          <w:szCs w:val="21"/>
        </w:rPr>
      </w:pPr>
    </w:p>
    <w:p w:rsidR="000265A6" w:rsidRDefault="00C529A5">
      <w:pPr>
        <w:spacing w:line="276" w:lineRule="auto"/>
        <w:jc w:val="right"/>
        <w:rPr>
          <w:rFonts w:asciiTheme="minorEastAsia" w:hAnsiTheme="minorEastAsia"/>
          <w:szCs w:val="21"/>
        </w:rPr>
      </w:pPr>
      <w:r>
        <w:rPr>
          <w:rFonts w:asciiTheme="minorEastAsia" w:hAnsiTheme="minorEastAsia" w:hint="eastAsia"/>
          <w:szCs w:val="21"/>
        </w:rPr>
        <w:t>诺安基金管理有限公司</w:t>
      </w:r>
    </w:p>
    <w:p w:rsidR="000265A6" w:rsidRDefault="003E6F66">
      <w:pPr>
        <w:spacing w:line="276" w:lineRule="auto"/>
        <w:jc w:val="right"/>
        <w:rPr>
          <w:rFonts w:asciiTheme="minorEastAsia" w:hAnsiTheme="minorEastAsia"/>
          <w:szCs w:val="21"/>
        </w:rPr>
      </w:pPr>
      <w:r>
        <w:rPr>
          <w:rFonts w:asciiTheme="minorEastAsia" w:hAnsiTheme="minorEastAsia" w:hint="eastAsia"/>
          <w:szCs w:val="21"/>
        </w:rPr>
        <w:t>2</w:t>
      </w:r>
      <w:r>
        <w:rPr>
          <w:rFonts w:asciiTheme="minorEastAsia" w:hAnsiTheme="minorEastAsia"/>
          <w:szCs w:val="21"/>
        </w:rPr>
        <w:t>022</w:t>
      </w:r>
      <w:r w:rsidR="00C529A5">
        <w:rPr>
          <w:rFonts w:asciiTheme="minorEastAsia" w:hAnsiTheme="minorEastAsia" w:hint="eastAsia"/>
          <w:szCs w:val="21"/>
        </w:rPr>
        <w:t>年</w:t>
      </w:r>
      <w:r>
        <w:rPr>
          <w:rFonts w:asciiTheme="minorEastAsia" w:hAnsiTheme="minorEastAsia" w:hint="eastAsia"/>
          <w:szCs w:val="21"/>
        </w:rPr>
        <w:t>9</w:t>
      </w:r>
      <w:r w:rsidR="00C529A5">
        <w:rPr>
          <w:rFonts w:asciiTheme="minorEastAsia" w:hAnsiTheme="minorEastAsia" w:hint="eastAsia"/>
          <w:szCs w:val="21"/>
        </w:rPr>
        <w:t>月</w:t>
      </w:r>
      <w:r>
        <w:rPr>
          <w:rFonts w:asciiTheme="minorEastAsia" w:hAnsiTheme="minorEastAsia" w:hint="eastAsia"/>
          <w:szCs w:val="21"/>
        </w:rPr>
        <w:t>1</w:t>
      </w:r>
      <w:r w:rsidR="00716EF5">
        <w:rPr>
          <w:rFonts w:asciiTheme="minorEastAsia" w:hAnsiTheme="minorEastAsia"/>
          <w:szCs w:val="21"/>
        </w:rPr>
        <w:t>5</w:t>
      </w:r>
      <w:r w:rsidR="00C529A5">
        <w:rPr>
          <w:rFonts w:asciiTheme="minorEastAsia" w:hAnsiTheme="minorEastAsia" w:hint="eastAsia"/>
          <w:szCs w:val="21"/>
        </w:rPr>
        <w:t>日</w:t>
      </w:r>
    </w:p>
    <w:p w:rsidR="000265A6" w:rsidRDefault="000265A6">
      <w:pPr>
        <w:pStyle w:val="a9"/>
        <w:ind w:firstLine="419"/>
        <w:jc w:val="right"/>
        <w:rPr>
          <w:rFonts w:cs="Times New Roman"/>
          <w:kern w:val="2"/>
          <w:sz w:val="21"/>
          <w:szCs w:val="21"/>
        </w:rPr>
      </w:pPr>
    </w:p>
    <w:p w:rsidR="000265A6" w:rsidRDefault="000265A6"/>
    <w:sectPr w:rsidR="000265A6" w:rsidSect="000265A6">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A79" w:rsidRDefault="00434A79" w:rsidP="000265A6">
      <w:r>
        <w:separator/>
      </w:r>
    </w:p>
  </w:endnote>
  <w:endnote w:type="continuationSeparator" w:id="0">
    <w:p w:rsidR="00434A79" w:rsidRDefault="00434A79" w:rsidP="00026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A79" w:rsidRDefault="00434A79" w:rsidP="000265A6">
      <w:r>
        <w:separator/>
      </w:r>
    </w:p>
  </w:footnote>
  <w:footnote w:type="continuationSeparator" w:id="0">
    <w:p w:rsidR="00434A79" w:rsidRDefault="00434A79" w:rsidP="000265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5A6" w:rsidRDefault="00355AEC">
    <w:pPr>
      <w:pStyle w:val="a7"/>
      <w:jc w:val="left"/>
    </w:pPr>
    <w:r>
      <w:rPr>
        <w:noProof/>
      </w:rPr>
      <w:drawing>
        <wp:inline distT="0" distB="0" distL="0" distR="0" wp14:anchorId="080E1E07" wp14:editId="20A2B7A1">
          <wp:extent cx="1539088" cy="196739"/>
          <wp:effectExtent l="19050" t="0" r="3962" b="0"/>
          <wp:docPr id="2" name="图片 1" descr="C:\Users\nazxx\Desktop\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xx\Desktop\10.png"/>
                  <pic:cNvPicPr>
                    <a:picLocks noChangeAspect="1" noChangeArrowheads="1"/>
                  </pic:cNvPicPr>
                </pic:nvPicPr>
                <pic:blipFill>
                  <a:blip r:embed="rId1"/>
                  <a:srcRect/>
                  <a:stretch>
                    <a:fillRect/>
                  </a:stretch>
                </pic:blipFill>
                <pic:spPr bwMode="auto">
                  <a:xfrm>
                    <a:off x="0" y="0"/>
                    <a:ext cx="1541848" cy="197092"/>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504B"/>
    <w:rsid w:val="000142D2"/>
    <w:rsid w:val="00014E98"/>
    <w:rsid w:val="00025B93"/>
    <w:rsid w:val="000265A6"/>
    <w:rsid w:val="00067219"/>
    <w:rsid w:val="00087E5A"/>
    <w:rsid w:val="000D12C4"/>
    <w:rsid w:val="00102859"/>
    <w:rsid w:val="001032EB"/>
    <w:rsid w:val="0011109A"/>
    <w:rsid w:val="001122E1"/>
    <w:rsid w:val="0015117A"/>
    <w:rsid w:val="001528EC"/>
    <w:rsid w:val="0019107B"/>
    <w:rsid w:val="001953B1"/>
    <w:rsid w:val="001A11E7"/>
    <w:rsid w:val="0021564B"/>
    <w:rsid w:val="002476CB"/>
    <w:rsid w:val="0026572E"/>
    <w:rsid w:val="002D6A79"/>
    <w:rsid w:val="002F2EF6"/>
    <w:rsid w:val="002F3271"/>
    <w:rsid w:val="002F7D36"/>
    <w:rsid w:val="00314F50"/>
    <w:rsid w:val="00355AEC"/>
    <w:rsid w:val="00395697"/>
    <w:rsid w:val="003B63F4"/>
    <w:rsid w:val="003D1188"/>
    <w:rsid w:val="003D1742"/>
    <w:rsid w:val="003E6F66"/>
    <w:rsid w:val="00402832"/>
    <w:rsid w:val="0043257F"/>
    <w:rsid w:val="00434A79"/>
    <w:rsid w:val="00453BB1"/>
    <w:rsid w:val="004622C1"/>
    <w:rsid w:val="00481979"/>
    <w:rsid w:val="004D0513"/>
    <w:rsid w:val="004F7BA3"/>
    <w:rsid w:val="00500CCC"/>
    <w:rsid w:val="00506B68"/>
    <w:rsid w:val="00543A04"/>
    <w:rsid w:val="005528C9"/>
    <w:rsid w:val="0056504B"/>
    <w:rsid w:val="00590F46"/>
    <w:rsid w:val="00592623"/>
    <w:rsid w:val="005C6EDB"/>
    <w:rsid w:val="00623C52"/>
    <w:rsid w:val="00630BA7"/>
    <w:rsid w:val="0063753F"/>
    <w:rsid w:val="00666F22"/>
    <w:rsid w:val="006B31D9"/>
    <w:rsid w:val="006F7419"/>
    <w:rsid w:val="00716EF5"/>
    <w:rsid w:val="007704FF"/>
    <w:rsid w:val="00782AC1"/>
    <w:rsid w:val="0078614F"/>
    <w:rsid w:val="007B0EA8"/>
    <w:rsid w:val="007F44A0"/>
    <w:rsid w:val="00826D72"/>
    <w:rsid w:val="00871A3C"/>
    <w:rsid w:val="0088156F"/>
    <w:rsid w:val="008C494F"/>
    <w:rsid w:val="008C7D24"/>
    <w:rsid w:val="008D1853"/>
    <w:rsid w:val="00935613"/>
    <w:rsid w:val="009401D8"/>
    <w:rsid w:val="00945E43"/>
    <w:rsid w:val="00991752"/>
    <w:rsid w:val="00A71140"/>
    <w:rsid w:val="00AA1563"/>
    <w:rsid w:val="00AB6654"/>
    <w:rsid w:val="00AC0219"/>
    <w:rsid w:val="00AC3AC4"/>
    <w:rsid w:val="00AD1796"/>
    <w:rsid w:val="00AE444A"/>
    <w:rsid w:val="00AF5CC7"/>
    <w:rsid w:val="00B0527E"/>
    <w:rsid w:val="00B8302D"/>
    <w:rsid w:val="00B87598"/>
    <w:rsid w:val="00BA6EEB"/>
    <w:rsid w:val="00BB0F07"/>
    <w:rsid w:val="00BC4CAC"/>
    <w:rsid w:val="00BD1060"/>
    <w:rsid w:val="00BF0237"/>
    <w:rsid w:val="00C50EEA"/>
    <w:rsid w:val="00C529A5"/>
    <w:rsid w:val="00C803DE"/>
    <w:rsid w:val="00C92CD0"/>
    <w:rsid w:val="00CD1764"/>
    <w:rsid w:val="00CD2CE4"/>
    <w:rsid w:val="00CE5CB6"/>
    <w:rsid w:val="00CF24DC"/>
    <w:rsid w:val="00CF3652"/>
    <w:rsid w:val="00D92CED"/>
    <w:rsid w:val="00E37F4C"/>
    <w:rsid w:val="00E94403"/>
    <w:rsid w:val="00E95ED7"/>
    <w:rsid w:val="00E977EF"/>
    <w:rsid w:val="00ED565B"/>
    <w:rsid w:val="00F124F8"/>
    <w:rsid w:val="00F12D43"/>
    <w:rsid w:val="00F20942"/>
    <w:rsid w:val="00F22A25"/>
    <w:rsid w:val="00F34AB1"/>
    <w:rsid w:val="00F5137C"/>
    <w:rsid w:val="00F52D8A"/>
    <w:rsid w:val="00F60C34"/>
    <w:rsid w:val="00F82728"/>
    <w:rsid w:val="00FA4643"/>
    <w:rsid w:val="00FD1AE7"/>
    <w:rsid w:val="00FD56D0"/>
    <w:rsid w:val="00FF2636"/>
    <w:rsid w:val="1A32618E"/>
    <w:rsid w:val="1F645BF8"/>
    <w:rsid w:val="401A7D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BBB4D9-B5BC-4EFB-84AD-E82A68A49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5A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65A6"/>
    <w:rPr>
      <w:sz w:val="18"/>
      <w:szCs w:val="18"/>
    </w:rPr>
  </w:style>
  <w:style w:type="paragraph" w:styleId="a5">
    <w:name w:val="footer"/>
    <w:basedOn w:val="a"/>
    <w:link w:val="a6"/>
    <w:uiPriority w:val="99"/>
    <w:unhideWhenUsed/>
    <w:rsid w:val="000265A6"/>
    <w:pPr>
      <w:tabs>
        <w:tab w:val="center" w:pos="4153"/>
        <w:tab w:val="right" w:pos="8306"/>
      </w:tabs>
      <w:snapToGrid w:val="0"/>
      <w:jc w:val="left"/>
    </w:pPr>
    <w:rPr>
      <w:sz w:val="18"/>
      <w:szCs w:val="18"/>
    </w:rPr>
  </w:style>
  <w:style w:type="paragraph" w:styleId="a7">
    <w:name w:val="header"/>
    <w:basedOn w:val="a"/>
    <w:link w:val="a8"/>
    <w:uiPriority w:val="99"/>
    <w:unhideWhenUsed/>
    <w:rsid w:val="000265A6"/>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rsid w:val="000265A6"/>
    <w:pPr>
      <w:widowControl/>
      <w:spacing w:before="100" w:beforeAutospacing="1" w:after="100" w:afterAutospacing="1"/>
      <w:jc w:val="left"/>
    </w:pPr>
    <w:rPr>
      <w:rFonts w:ascii="宋体" w:eastAsia="宋体" w:hAnsi="宋体" w:cs="宋体"/>
      <w:kern w:val="0"/>
      <w:sz w:val="24"/>
      <w:szCs w:val="24"/>
    </w:rPr>
  </w:style>
  <w:style w:type="character" w:customStyle="1" w:styleId="a8">
    <w:name w:val="页眉 字符"/>
    <w:basedOn w:val="a0"/>
    <w:link w:val="a7"/>
    <w:uiPriority w:val="99"/>
    <w:rsid w:val="000265A6"/>
    <w:rPr>
      <w:sz w:val="18"/>
      <w:szCs w:val="18"/>
    </w:rPr>
  </w:style>
  <w:style w:type="character" w:customStyle="1" w:styleId="a6">
    <w:name w:val="页脚 字符"/>
    <w:basedOn w:val="a0"/>
    <w:link w:val="a5"/>
    <w:uiPriority w:val="99"/>
    <w:rsid w:val="000265A6"/>
    <w:rPr>
      <w:sz w:val="18"/>
      <w:szCs w:val="18"/>
    </w:rPr>
  </w:style>
  <w:style w:type="character" w:customStyle="1" w:styleId="a4">
    <w:name w:val="批注框文本 字符"/>
    <w:basedOn w:val="a0"/>
    <w:link w:val="a3"/>
    <w:uiPriority w:val="99"/>
    <w:semiHidden/>
    <w:rsid w:val="000265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115</Words>
  <Characters>658</Characters>
  <Application>Microsoft Office Word</Application>
  <DocSecurity>0</DocSecurity>
  <Lines>5</Lines>
  <Paragraphs>1</Paragraphs>
  <ScaleCrop>false</ScaleCrop>
  <Company>Microsoft</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huangj</cp:lastModifiedBy>
  <cp:revision>78</cp:revision>
  <dcterms:created xsi:type="dcterms:W3CDTF">2015-03-18T05:45:00Z</dcterms:created>
  <dcterms:modified xsi:type="dcterms:W3CDTF">2022-09-14T08:46:00Z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