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博时厚泽回报灵活配置混合型证券投资基金</w:t>
      </w:r>
      <w:bookmarkStart w:id="220" w:name="_GoBack"/>
      <w:bookmarkEnd w:id="220"/>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中国工商银行股份有限公司</w:t>
      </w:r>
      <w:r>
        <w:rPr>
          <w:rFonts w:ascii="宋体" w:hAnsi="宋体" w:eastAsia="宋体"/>
          <w:b/>
          <w:sz w:val="30"/>
        </w:rPr>
        <w:br w:type="page"/>
      </w:r>
    </w:p>
    <w:p>
      <w:pPr>
        <w:pStyle w:val="2"/>
        <w:jc w:val="center"/>
        <w:rPr>
          <w:rFonts w:ascii="宋体" w:hAnsi="宋体" w:eastAsia="宋体"/>
          <w:sz w:val="30"/>
        </w:rPr>
      </w:pPr>
      <w:bookmarkStart w:id="0" w:name="_Toc82519725"/>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本基金经中国证监会</w:t>
      </w:r>
      <w:bookmarkStart w:id="1" w:name="field_2343_approveddate_1"/>
      <w:r>
        <w:rPr>
          <w:sz w:val="21"/>
          <w:szCs w:val="21"/>
        </w:rPr>
        <w:t>2017年08月18日</w:t>
      </w:r>
      <w:bookmarkEnd w:id="1"/>
      <w:r>
        <w:rPr>
          <w:rFonts w:hint="eastAsia"/>
          <w:sz w:val="21"/>
          <w:szCs w:val="21"/>
        </w:rPr>
        <w:t>证监许可</w:t>
      </w:r>
      <w:bookmarkStart w:id="2" w:name="field_2343_lotnumber_1"/>
      <w:r>
        <w:rPr>
          <w:sz w:val="21"/>
          <w:szCs w:val="21"/>
        </w:rPr>
        <w:t>[2017]1529</w:t>
      </w:r>
      <w:bookmarkEnd w:id="2"/>
      <w:r>
        <w:rPr>
          <w:rFonts w:hint="eastAsia"/>
          <w:sz w:val="21"/>
          <w:szCs w:val="21"/>
        </w:rPr>
        <w:t xml:space="preserve">号文准予注册。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混合型基金，属于中高收益/风险特征的基金，其预期收益及预期风险水平低于股票型基金，高于债券型基金及货币市场基金。 </w:t>
      </w:r>
    </w:p>
    <w:p>
      <w:pPr>
        <w:pStyle w:val="7"/>
        <w:spacing w:before="0" w:beforeAutospacing="0" w:after="0" w:afterAutospacing="0" w:line="360" w:lineRule="auto"/>
        <w:ind w:firstLine="420"/>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上市的股票（包括中小板、创业板及其他经中国证监会核准上市的股票、存托凭证）、国债、金融债、央行票据、地方政府债、企业债、公司债、可交换公司债券、可转换公司债券（含可分离交易可转债）、中小企业私募债券、中期票据、短期融资券、超级短期融资券、资产支持证券、次级债、债券回购、银行存款、同业存单、货币市场工具、权证、股指期货、国债期货等金融工具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0%-95%；每个交易日日终在扣除股指期货合约、国债期货合约需缴纳的保证金以后，本基金保留的现金或到期日在一年以内的政府债券不低于基金资产净值的5%；其中，现金不包括结算备付金、存出保证金、应收申购款等；权证投资占基金资产净值的0-3%。 </w:t>
      </w:r>
    </w:p>
    <w:p>
      <w:pPr>
        <w:pStyle w:val="7"/>
        <w:spacing w:before="0" w:beforeAutospacing="0" w:after="0" w:afterAutospacing="0" w:line="360" w:lineRule="auto"/>
        <w:ind w:firstLine="420"/>
        <w:rPr>
          <w:sz w:val="21"/>
          <w:szCs w:val="21"/>
        </w:rPr>
      </w:pPr>
      <w:r>
        <w:rPr>
          <w:rFonts w:hint="eastAsia"/>
          <w:sz w:val="21"/>
          <w:szCs w:val="21"/>
        </w:rPr>
        <w:t>本基金以</w:t>
      </w:r>
      <w:bookmarkStart w:id="3" w:name="field_2343_facevalue_1"/>
      <w:r>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基金合同、本招募说明书及基金产品资料概要等信息披露文件，自主判断基金的投资价值，自主做出投资决策，自行承担投资风险。基金的过往业绩并不预示其未来表现。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202</w:t>
      </w:r>
      <w:r>
        <w:rPr>
          <w:rFonts w:hint="eastAsia"/>
          <w:sz w:val="21"/>
          <w:szCs w:val="21"/>
          <w:lang w:val="en-US" w:eastAsia="zh-CN"/>
        </w:rPr>
        <w:t>2</w:t>
      </w:r>
      <w:r>
        <w:rPr>
          <w:sz w:val="21"/>
          <w:szCs w:val="21"/>
        </w:rPr>
        <w:t>年</w:t>
      </w:r>
      <w:r>
        <w:rPr>
          <w:rFonts w:hint="eastAsia"/>
          <w:sz w:val="21"/>
          <w:szCs w:val="21"/>
          <w:lang w:val="en-US" w:eastAsia="zh-CN"/>
        </w:rPr>
        <w:t>9</w:t>
      </w:r>
      <w:r>
        <w:rPr>
          <w:sz w:val="21"/>
          <w:szCs w:val="21"/>
        </w:rPr>
        <w:t>月</w:t>
      </w:r>
      <w:r>
        <w:rPr>
          <w:rFonts w:hint="eastAsia"/>
          <w:sz w:val="21"/>
          <w:szCs w:val="21"/>
          <w:lang w:val="en-US" w:eastAsia="zh-CN"/>
        </w:rPr>
        <w:t>15</w:t>
      </w:r>
      <w:r>
        <w:rPr>
          <w:sz w:val="21"/>
          <w:szCs w:val="21"/>
        </w:rPr>
        <w:t>日</w:t>
      </w:r>
      <w:bookmarkEnd w:id="4"/>
      <w:r>
        <w:rPr>
          <w:rFonts w:hint="eastAsia"/>
          <w:sz w:val="21"/>
          <w:szCs w:val="21"/>
        </w:rPr>
        <w:t>，有关财务数据和净值表现截止日为</w:t>
      </w:r>
      <w:bookmarkStart w:id="5" w:name="field_2343_financeendday_1"/>
      <w:r>
        <w:rPr>
          <w:sz w:val="21"/>
          <w:szCs w:val="21"/>
        </w:rPr>
        <w:t>2021年06月30日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"_Toc82519725"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_Toc82519725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"_Toc82519726"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_Toc82519726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"_Toc82519727"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_Toc82519727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"_Toc82519728"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_Toc82519728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"_Toc82519729"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_Toc82519729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"_Toc82519730"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_Toc82519730 \h </w:instrText>
      </w:r>
      <w:r>
        <w:rPr>
          <w:rFonts w:ascii="宋体" w:hAnsi="宋体" w:eastAsia="宋体"/>
        </w:rPr>
        <w:fldChar w:fldCharType="separate"/>
      </w:r>
      <w:r>
        <w:rPr>
          <w:rFonts w:ascii="宋体" w:hAnsi="宋体" w:eastAsia="宋体"/>
        </w:rPr>
        <w:t>32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"_Toc82519731"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_Toc82519731 \h </w:instrText>
      </w:r>
      <w:r>
        <w:rPr>
          <w:rFonts w:ascii="宋体" w:hAnsi="宋体" w:eastAsia="宋体"/>
        </w:rPr>
        <w:fldChar w:fldCharType="separate"/>
      </w:r>
      <w:r>
        <w:rPr>
          <w:rFonts w:ascii="宋体" w:hAnsi="宋体" w:eastAsia="宋体"/>
        </w:rPr>
        <w:t>59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"_Toc82519732"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_Toc82519732 \h </w:instrText>
      </w:r>
      <w:r>
        <w:rPr>
          <w:rFonts w:ascii="宋体" w:hAnsi="宋体" w:eastAsia="宋体"/>
        </w:rPr>
        <w:fldChar w:fldCharType="separate"/>
      </w:r>
      <w:r>
        <w:rPr>
          <w:rFonts w:ascii="宋体" w:hAnsi="宋体" w:eastAsia="宋体"/>
        </w:rPr>
        <w:t>60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"_Toc82519733"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_Toc82519733 \h </w:instrText>
      </w:r>
      <w:r>
        <w:rPr>
          <w:rFonts w:ascii="宋体" w:hAnsi="宋体" w:eastAsia="宋体"/>
        </w:rPr>
        <w:fldChar w:fldCharType="separate"/>
      </w:r>
      <w:r>
        <w:rPr>
          <w:rFonts w:ascii="宋体" w:hAnsi="宋体" w:eastAsia="宋体"/>
        </w:rPr>
        <w:t>71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"_Toc82519734"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_Toc82519734 \h </w:instrText>
      </w:r>
      <w:r>
        <w:rPr>
          <w:rFonts w:ascii="宋体" w:hAnsi="宋体" w:eastAsia="宋体"/>
        </w:rPr>
        <w:fldChar w:fldCharType="separate"/>
      </w:r>
      <w:r>
        <w:rPr>
          <w:rFonts w:ascii="宋体" w:hAnsi="宋体" w:eastAsia="宋体"/>
        </w:rPr>
        <w:t>82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"_Toc82519735"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_Toc82519735 \h </w:instrText>
      </w:r>
      <w:r>
        <w:rPr>
          <w:rFonts w:ascii="宋体" w:hAnsi="宋体" w:eastAsia="宋体"/>
        </w:rPr>
        <w:fldChar w:fldCharType="separate"/>
      </w:r>
      <w:r>
        <w:rPr>
          <w:rFonts w:ascii="宋体" w:hAnsi="宋体" w:eastAsia="宋体"/>
        </w:rPr>
        <w:t>83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"_Toc82519736"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_Toc82519736 \h </w:instrText>
      </w:r>
      <w:r>
        <w:rPr>
          <w:rFonts w:ascii="宋体" w:hAnsi="宋体" w:eastAsia="宋体"/>
        </w:rPr>
        <w:fldChar w:fldCharType="separate"/>
      </w:r>
      <w:r>
        <w:rPr>
          <w:rFonts w:ascii="宋体" w:hAnsi="宋体" w:eastAsia="宋体"/>
        </w:rPr>
        <w:t>84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"_Toc82519737"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_Toc82519737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"_Toc82519738"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_Toc82519738 \h </w:instrText>
      </w:r>
      <w:r>
        <w:rPr>
          <w:rFonts w:ascii="宋体" w:hAnsi="宋体" w:eastAsia="宋体"/>
        </w:rPr>
        <w:fldChar w:fldCharType="separate"/>
      </w:r>
      <w:r>
        <w:rPr>
          <w:rFonts w:ascii="宋体" w:hAnsi="宋体" w:eastAsia="宋体"/>
        </w:rPr>
        <w:t>91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"_Toc82519739"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_Toc82519739 \h </w:instrText>
      </w:r>
      <w:r>
        <w:rPr>
          <w:rFonts w:ascii="宋体" w:hAnsi="宋体" w:eastAsia="宋体"/>
        </w:rPr>
        <w:fldChar w:fldCharType="separate"/>
      </w:r>
      <w:r>
        <w:rPr>
          <w:rFonts w:ascii="宋体" w:hAnsi="宋体" w:eastAsia="宋体"/>
        </w:rPr>
        <w:t>94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"_Toc82519740"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_Toc82519740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"_Toc82519741"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_Toc82519741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"_Toc82519742"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_Toc82519742 \h </w:instrText>
      </w:r>
      <w:r>
        <w:rPr>
          <w:rFonts w:ascii="宋体" w:hAnsi="宋体" w:eastAsia="宋体"/>
        </w:rPr>
        <w:fldChar w:fldCharType="separate"/>
      </w:r>
      <w:r>
        <w:rPr>
          <w:rFonts w:ascii="宋体" w:hAnsi="宋体" w:eastAsia="宋体"/>
        </w:rPr>
        <w:t>106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"_Toc82519743"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_Toc82519743 \h </w:instrText>
      </w:r>
      <w:r>
        <w:rPr>
          <w:rFonts w:ascii="宋体" w:hAnsi="宋体" w:eastAsia="宋体"/>
        </w:rPr>
        <w:fldChar w:fldCharType="separate"/>
      </w:r>
      <w:r>
        <w:rPr>
          <w:rFonts w:ascii="宋体" w:hAnsi="宋体" w:eastAsia="宋体"/>
        </w:rPr>
        <w:t>108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"_Toc82519744"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_Toc82519744 \h </w:instrText>
      </w:r>
      <w:r>
        <w:rPr>
          <w:rFonts w:ascii="宋体" w:hAnsi="宋体" w:eastAsia="宋体"/>
        </w:rPr>
        <w:fldChar w:fldCharType="separate"/>
      </w:r>
      <w:r>
        <w:rPr>
          <w:rFonts w:ascii="宋体" w:hAnsi="宋体" w:eastAsia="宋体"/>
        </w:rPr>
        <w:t>124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"_Toc82519745"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_Toc82519745 \h </w:instrText>
      </w:r>
      <w:r>
        <w:rPr>
          <w:rFonts w:ascii="宋体" w:hAnsi="宋体" w:eastAsia="宋体"/>
        </w:rPr>
        <w:fldChar w:fldCharType="separate"/>
      </w:r>
      <w:r>
        <w:rPr>
          <w:rFonts w:ascii="宋体" w:hAnsi="宋体" w:eastAsia="宋体"/>
        </w:rPr>
        <w:t>142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"_Toc82519746"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_Toc82519746 \h </w:instrText>
      </w:r>
      <w:r>
        <w:rPr>
          <w:rFonts w:ascii="宋体" w:hAnsi="宋体" w:eastAsia="宋体"/>
        </w:rPr>
        <w:fldChar w:fldCharType="separate"/>
      </w:r>
      <w:r>
        <w:rPr>
          <w:rFonts w:ascii="宋体" w:hAnsi="宋体" w:eastAsia="宋体"/>
        </w:rPr>
        <w:t>145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"_Toc82519747"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_Toc82519747 \h </w:instrText>
      </w:r>
      <w:r>
        <w:rPr>
          <w:rFonts w:ascii="宋体" w:hAnsi="宋体" w:eastAsia="宋体"/>
        </w:rPr>
        <w:fldChar w:fldCharType="separate"/>
      </w:r>
      <w:r>
        <w:rPr>
          <w:rFonts w:ascii="宋体" w:hAnsi="宋体" w:eastAsia="宋体"/>
        </w:rPr>
        <w:t>148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"_Toc82519748"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_Toc82519748 \h </w:instrText>
      </w:r>
      <w:r>
        <w:rPr>
          <w:rFonts w:ascii="宋体" w:hAnsi="宋体" w:eastAsia="宋体"/>
        </w:rPr>
        <w:fldChar w:fldCharType="separate"/>
      </w:r>
      <w:r>
        <w:rPr>
          <w:rFonts w:ascii="宋体" w:hAnsi="宋体" w:eastAsia="宋体"/>
        </w:rPr>
        <w:t>149</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_Toc82519726"/>
      <w:bookmarkStart w:id="7" w:name="chapter_level1_3_2344"/>
      <w:r>
        <w:rPr>
          <w:rFonts w:hint="eastAsia" w:ascii="宋体" w:hAnsi="宋体" w:eastAsia="宋体"/>
          <w:sz w:val="30"/>
        </w:rPr>
        <w:t>第一部分  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1"/>
      <w:r>
        <w:rPr>
          <w:rFonts w:hint="eastAsia"/>
          <w:sz w:val="21"/>
          <w:szCs w:val="21"/>
        </w:rPr>
        <w:t>博时厚泽回报灵活配置混合型证券投资基金</w:t>
      </w:r>
      <w:bookmarkEnd w:id="9"/>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w:t>
      </w:r>
      <w:bookmarkStart w:id="10" w:name="field_0_productfullname_2"/>
      <w:r>
        <w:rPr>
          <w:rFonts w:hint="eastAsia"/>
          <w:sz w:val="21"/>
          <w:szCs w:val="21"/>
        </w:rPr>
        <w:t>博时厚泽回报灵活配置混合型证券投资基金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1" w:name="field_0_productfullname_3"/>
      <w:r>
        <w:rPr>
          <w:rFonts w:hint="eastAsia"/>
          <w:sz w:val="21"/>
          <w:szCs w:val="21"/>
        </w:rPr>
        <w:t>博时厚泽回报灵活配置混合型证券投资基金</w:t>
      </w:r>
      <w:bookmarkEnd w:id="11"/>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 w:name="chapter_level1_4_49"/>
      <w:bookmarkStart w:id="14" w:name="_Toc82519727"/>
      <w:r>
        <w:rPr>
          <w:rFonts w:hint="eastAsia" w:ascii="宋体" w:hAnsi="宋体" w:eastAsia="宋体"/>
          <w:sz w:val="30"/>
        </w:rPr>
        <w:t>第二部分  释义</w:t>
      </w:r>
      <w:bookmarkEnd w:id="13"/>
      <w:bookmarkEnd w:id="14"/>
    </w:p>
    <w:p>
      <w:pPr>
        <w:pStyle w:val="7"/>
        <w:spacing w:before="0" w:beforeAutospacing="0" w:after="0" w:afterAutospacing="0" w:line="360" w:lineRule="auto"/>
        <w:ind w:firstLine="420"/>
        <w:rPr>
          <w:sz w:val="21"/>
          <w:szCs w:val="21"/>
        </w:rPr>
      </w:pPr>
      <w:bookmarkStart w:id="15" w:name="chapter_level1_4_49_section_1"/>
      <w:bookmarkEnd w:id="15"/>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6" w:name="field_0_productfullname_4"/>
      <w:r>
        <w:rPr>
          <w:rFonts w:hint="eastAsia"/>
          <w:sz w:val="21"/>
          <w:szCs w:val="21"/>
        </w:rPr>
        <w:t>博时厚泽回报灵活配置混合型证券投资基金</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 指</w:t>
      </w:r>
      <w:bookmarkStart w:id="17" w:name="field_0_managerorgfullname_1"/>
      <w:r>
        <w:rPr>
          <w:rFonts w:hint="eastAsia"/>
          <w:sz w:val="21"/>
          <w:szCs w:val="21"/>
        </w:rPr>
        <w:t>博时基金管理有限公司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8" w:name="field_0_trustorgfullname_1"/>
      <w:r>
        <w:rPr>
          <w:rFonts w:hint="eastAsia"/>
          <w:sz w:val="21"/>
          <w:szCs w:val="21"/>
        </w:rPr>
        <w:t>中国工商银行股份有限公司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9" w:name="field_0_productfullname_5"/>
      <w:r>
        <w:rPr>
          <w:rFonts w:hint="eastAsia"/>
          <w:sz w:val="21"/>
          <w:szCs w:val="21"/>
        </w:rPr>
        <w:t>博时厚泽回报灵活配置混合型证券投资基金</w:t>
      </w:r>
      <w:bookmarkEnd w:id="19"/>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0" w:name="field_0_productfullname_6"/>
      <w:r>
        <w:rPr>
          <w:rFonts w:hint="eastAsia"/>
          <w:sz w:val="21"/>
          <w:szCs w:val="21"/>
        </w:rPr>
        <w:t>博时厚泽回报灵活配置混合型证券投资基金</w:t>
      </w:r>
      <w:bookmarkEnd w:id="20"/>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1" w:name="field_0_productfullname_7"/>
      <w:r>
        <w:rPr>
          <w:rFonts w:hint="eastAsia"/>
          <w:sz w:val="21"/>
          <w:szCs w:val="21"/>
        </w:rPr>
        <w:t>博时厚泽回报灵活配置混合型证券投资基金</w:t>
      </w:r>
      <w:bookmarkEnd w:id="21"/>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2" w:name="field_0_productfullname_8"/>
      <w:r>
        <w:rPr>
          <w:rFonts w:hint="eastAsia"/>
          <w:sz w:val="21"/>
          <w:szCs w:val="21"/>
        </w:rPr>
        <w:t>博时厚泽回报灵活配置混合型证券投资基金</w:t>
      </w:r>
      <w:bookmarkEnd w:id="22"/>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3" w:name="field_0_productfullname_9"/>
      <w:r>
        <w:rPr>
          <w:rFonts w:hint="eastAsia"/>
          <w:sz w:val="21"/>
          <w:szCs w:val="21"/>
        </w:rPr>
        <w:t>博时厚泽回报灵活配置混合型证券投资基金</w:t>
      </w:r>
      <w:bookmarkEnd w:id="23"/>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21、投资人、投资者：指个人投资者、机构投资者和合格境外机构投资者以及法律法规或中国证监会允许购买证券投资基金的其他投资人的合称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4" w:name="field_0_managerorgfullname_2"/>
      <w:r>
        <w:rPr>
          <w:rFonts w:hint="eastAsia"/>
          <w:sz w:val="21"/>
          <w:szCs w:val="21"/>
        </w:rPr>
        <w:t>博时基金管理有限公司</w:t>
      </w:r>
      <w:bookmarkEnd w:id="24"/>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5" w:name="chapter_level1_4_49_section_1_end"/>
      <w:bookmarkEnd w:id="25"/>
      <w:r>
        <w:rPr>
          <w:rFonts w:hint="eastAsia"/>
          <w:sz w:val="21"/>
          <w:szCs w:val="21"/>
        </w:rPr>
        <w:t xml:space="preserve">立并保管基金份额持有人名册和办理非交易过户等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26、登记机构：指办理登记业务的机构。基金的登记机构为</w:t>
      </w:r>
      <w:bookmarkStart w:id="27" w:name="field_0_managerorgfullname_3"/>
      <w:r>
        <w:rPr>
          <w:rFonts w:hint="eastAsia"/>
          <w:sz w:val="21"/>
          <w:szCs w:val="21"/>
        </w:rPr>
        <w:t>博时基金管理有限公司</w:t>
      </w:r>
      <w:bookmarkEnd w:id="27"/>
      <w:r>
        <w:rPr>
          <w:rFonts w:hint="eastAsia"/>
          <w:sz w:val="21"/>
          <w:szCs w:val="21"/>
        </w:rPr>
        <w:t>或接受</w:t>
      </w:r>
      <w:bookmarkStart w:id="28" w:name="field_0_managerorgfullname_4"/>
      <w:r>
        <w:rPr>
          <w:rFonts w:hint="eastAsia"/>
          <w:sz w:val="21"/>
          <w:szCs w:val="21"/>
        </w:rPr>
        <w:t>博时基金管理有限公司</w:t>
      </w:r>
      <w:bookmarkEnd w:id="28"/>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30、基金合同终止日：指基金合同规定的基金合同终止事由出现后，基金财产清算完毕，清算结果报中国证监会备案并予以公告的日期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33、工作日：指上海证券交易所、深圳证券交易所及相关期货交易所的正常交易日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36、开放日：指为投资人办理基金份额申购、赎回或其他业务的工作日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37、开放时间：指开放日基金接受申购、赎回或其他交易的时间段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38、《业务规则》：指《</w:t>
      </w:r>
      <w:bookmarkStart w:id="29" w:name="field_0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39、认购：指在基金募集期内，投资人根据基金合同和招募说明书的规定申请购买基金份额的行为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 xml:space="preserve">45、巨额赎回：指本基金单个开放日，基金净赎回申请（赎回申请份额总数加上基金转换中转出申请份额总数后扣除申购申请份额总数及基金转换中转入申请份额总数后的余额）超过上一开放日基金总份额的10%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 xml:space="preserve">53、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pPr>
        <w:pStyle w:val="7"/>
        <w:spacing w:before="0" w:beforeAutospacing="0" w:after="0" w:afterAutospacing="0" w:line="360" w:lineRule="auto"/>
        <w:ind w:firstLine="420"/>
        <w:rPr>
          <w:sz w:val="21"/>
          <w:szCs w:val="21"/>
        </w:rPr>
      </w:pPr>
      <w:r>
        <w:rPr>
          <w:rFonts w:hint="eastAsia"/>
          <w:sz w:val="21"/>
          <w:szCs w:val="21"/>
        </w:rPr>
        <w:t xml:space="preserve">54、基金份额的类别：指本基金根据认购费、申购费及销售服务费收取方式的不同，将基金份额分为不同的类别 </w:t>
      </w:r>
    </w:p>
    <w:p>
      <w:pPr>
        <w:pStyle w:val="7"/>
        <w:spacing w:before="0" w:beforeAutospacing="0" w:after="0" w:afterAutospacing="0" w:line="360" w:lineRule="auto"/>
        <w:ind w:firstLine="420"/>
        <w:rPr>
          <w:sz w:val="21"/>
          <w:szCs w:val="21"/>
        </w:rPr>
      </w:pPr>
      <w:r>
        <w:rPr>
          <w:rFonts w:hint="eastAsia"/>
          <w:sz w:val="21"/>
          <w:szCs w:val="21"/>
        </w:rPr>
        <w:t xml:space="preserve">55、A类基金份额：指在投资者认购、申购时收取认购、申购费用，在赎回时根据持有期限收取赎回费用，但不计提销售服务费的基金份额，称为A类基金份额 </w:t>
      </w:r>
    </w:p>
    <w:p>
      <w:pPr>
        <w:pStyle w:val="7"/>
        <w:spacing w:before="0" w:beforeAutospacing="0" w:after="0" w:afterAutospacing="0" w:line="360" w:lineRule="auto"/>
        <w:ind w:firstLine="420"/>
        <w:rPr>
          <w:sz w:val="21"/>
          <w:szCs w:val="21"/>
        </w:rPr>
      </w:pPr>
      <w:r>
        <w:rPr>
          <w:rFonts w:hint="eastAsia"/>
          <w:sz w:val="21"/>
          <w:szCs w:val="21"/>
        </w:rPr>
        <w:t xml:space="preserve">56、C类基金份额：指在投资者认购、申购时不收取认购、申购费用，在赎回时根据持有期限收取赎回费用，且从本类别基金资产中计提销售服务费的基金份额，称为C类基金份额 </w:t>
      </w:r>
    </w:p>
    <w:p>
      <w:pPr>
        <w:pStyle w:val="7"/>
        <w:spacing w:before="0" w:beforeAutospacing="0" w:after="0" w:afterAutospacing="0" w:line="360" w:lineRule="auto"/>
        <w:ind w:firstLine="420"/>
        <w:rPr>
          <w:sz w:val="21"/>
          <w:szCs w:val="21"/>
        </w:rPr>
      </w:pPr>
      <w:r>
        <w:rPr>
          <w:rFonts w:hint="eastAsia"/>
          <w:sz w:val="21"/>
          <w:szCs w:val="21"/>
        </w:rPr>
        <w:t xml:space="preserve">57、指定媒介：指中国证监会指定的用以进行信息披露的全国性报刊及指定互联网网站（包括基金管理人网站、基金托管人网站、中国证监会基金电子披露网站）等媒介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pPr>
      <w:bookmarkStart w:id="30" w:name="chapter_level1_4_49_section_2_end"/>
      <w:bookmarkEnd w:id="30"/>
      <w:r>
        <w:rPr>
          <w:rFonts w:hint="eastAsia"/>
          <w:sz w:val="21"/>
          <w:szCs w:val="21"/>
        </w:rPr>
        <w:t xml:space="preserve">58、不可抗力：指基金合同当事人不能预见、不能避免且不能克服的客观事件 </w:t>
      </w:r>
      <w:r>
        <w:br w:type="page"/>
      </w:r>
    </w:p>
    <w:p>
      <w:pPr>
        <w:pStyle w:val="2"/>
        <w:jc w:val="center"/>
        <w:rPr>
          <w:rFonts w:ascii="宋体" w:hAnsi="宋体" w:eastAsia="宋体"/>
          <w:sz w:val="30"/>
        </w:rPr>
      </w:pPr>
      <w:bookmarkStart w:id="31" w:name="_Toc82519728"/>
      <w:bookmarkStart w:id="32" w:name="chapter_level1_5_53"/>
      <w:r>
        <w:rPr>
          <w:rFonts w:hint="eastAsia" w:ascii="宋体" w:hAnsi="宋体" w:eastAsia="宋体"/>
          <w:sz w:val="30"/>
        </w:rPr>
        <w:t>第三部分  基金管理人</w:t>
      </w:r>
      <w:bookmarkEnd w:id="31"/>
      <w:bookmarkEnd w:id="32"/>
    </w:p>
    <w:p>
      <w:pPr>
        <w:pStyle w:val="7"/>
        <w:spacing w:before="0" w:beforeAutospacing="0" w:after="0" w:afterAutospacing="0" w:line="360" w:lineRule="auto"/>
        <w:ind w:firstLine="420"/>
        <w:rPr>
          <w:sz w:val="21"/>
          <w:szCs w:val="21"/>
        </w:rPr>
      </w:pPr>
      <w:bookmarkStart w:id="33" w:name="chapter_level1_5_53_section_1"/>
      <w:bookmarkEnd w:id="33"/>
      <w:r>
        <w:rPr>
          <w:rStyle w:val="11"/>
          <w:rFonts w:hint="eastAsia"/>
          <w:sz w:val="21"/>
          <w:szCs w:val="21"/>
        </w:rPr>
        <w:t>一、基金管理人概况</w:t>
      </w:r>
    </w:p>
    <w:p>
      <w:pPr>
        <w:pStyle w:val="7"/>
        <w:spacing w:before="0" w:beforeAutospacing="0" w:after="0" w:afterAutospacing="0" w:line="360" w:lineRule="auto"/>
        <w:ind w:firstLine="420"/>
        <w:rPr>
          <w:rFonts w:hint="eastAsia"/>
          <w:sz w:val="21"/>
          <w:szCs w:val="21"/>
        </w:rPr>
      </w:pPr>
      <w:bookmarkStart w:id="34" w:name="field_0_managercompanyinfo_1_start"/>
      <w:bookmarkEnd w:id="34"/>
      <w:r>
        <w:rPr>
          <w:rFonts w:hint="eastAsia"/>
          <w:sz w:val="21"/>
          <w:szCs w:val="21"/>
        </w:rPr>
        <w:t>名称：</w:t>
      </w:r>
      <w:r>
        <w:rPr>
          <w:rFonts w:hint="eastAsia"/>
          <w:sz w:val="21"/>
          <w:szCs w:val="21"/>
        </w:rPr>
        <w:tab/>
      </w:r>
      <w:r>
        <w:rPr>
          <w:rFonts w:hint="eastAsia"/>
          <w:sz w:val="21"/>
          <w:szCs w:val="21"/>
        </w:rPr>
        <w:t>博时基金管理有限公司</w:t>
      </w:r>
    </w:p>
    <w:p>
      <w:pPr>
        <w:pStyle w:val="7"/>
        <w:spacing w:before="0" w:beforeAutospacing="0" w:after="0" w:afterAutospacing="0" w:line="360" w:lineRule="auto"/>
        <w:ind w:firstLine="420"/>
        <w:rPr>
          <w:rFonts w:hint="eastAsia"/>
          <w:sz w:val="21"/>
          <w:szCs w:val="21"/>
        </w:rPr>
      </w:pPr>
      <w:r>
        <w:rPr>
          <w:rFonts w:hint="eastAsia"/>
          <w:sz w:val="21"/>
          <w:szCs w:val="21"/>
        </w:rPr>
        <w:t>住所：</w:t>
      </w:r>
      <w:r>
        <w:rPr>
          <w:rFonts w:hint="eastAsia"/>
          <w:sz w:val="21"/>
          <w:szCs w:val="21"/>
        </w:rPr>
        <w:tab/>
      </w:r>
      <w:r>
        <w:rPr>
          <w:rFonts w:hint="eastAsia"/>
          <w:sz w:val="21"/>
          <w:szCs w:val="21"/>
        </w:rPr>
        <w:t>深圳市福田区莲花街道福新社区益田路5999号基金大厦21层</w:t>
      </w:r>
    </w:p>
    <w:p>
      <w:pPr>
        <w:pStyle w:val="7"/>
        <w:spacing w:before="0" w:beforeAutospacing="0" w:after="0" w:afterAutospacing="0" w:line="360" w:lineRule="auto"/>
        <w:ind w:firstLine="420"/>
        <w:rPr>
          <w:rFonts w:hint="eastAsia"/>
          <w:sz w:val="21"/>
          <w:szCs w:val="21"/>
        </w:rPr>
      </w:pPr>
      <w:r>
        <w:rPr>
          <w:rFonts w:hint="eastAsia"/>
          <w:sz w:val="21"/>
          <w:szCs w:val="21"/>
        </w:rPr>
        <w:t>办公地址：</w:t>
      </w:r>
      <w:r>
        <w:rPr>
          <w:rFonts w:hint="eastAsia"/>
          <w:sz w:val="21"/>
          <w:szCs w:val="21"/>
        </w:rPr>
        <w:tab/>
      </w:r>
      <w:r>
        <w:rPr>
          <w:rFonts w:hint="eastAsia"/>
          <w:sz w:val="21"/>
          <w:szCs w:val="21"/>
        </w:rPr>
        <w:t>广东省深圳市福田区益田路5999号基金大厦21层</w:t>
      </w:r>
    </w:p>
    <w:p>
      <w:pPr>
        <w:pStyle w:val="7"/>
        <w:spacing w:before="0" w:beforeAutospacing="0" w:after="0" w:afterAutospacing="0" w:line="360" w:lineRule="auto"/>
        <w:ind w:firstLine="420"/>
        <w:rPr>
          <w:rFonts w:hint="eastAsia"/>
          <w:sz w:val="21"/>
          <w:szCs w:val="21"/>
        </w:rPr>
      </w:pPr>
      <w:r>
        <w:rPr>
          <w:rFonts w:hint="eastAsia"/>
          <w:sz w:val="21"/>
          <w:szCs w:val="21"/>
        </w:rPr>
        <w:t>法定代表人：江向阳</w:t>
      </w:r>
    </w:p>
    <w:p>
      <w:pPr>
        <w:pStyle w:val="7"/>
        <w:spacing w:before="0" w:beforeAutospacing="0" w:after="0" w:afterAutospacing="0" w:line="360" w:lineRule="auto"/>
        <w:ind w:firstLine="420"/>
        <w:rPr>
          <w:rFonts w:hint="eastAsia"/>
          <w:sz w:val="21"/>
          <w:szCs w:val="21"/>
        </w:rPr>
      </w:pPr>
      <w:r>
        <w:rPr>
          <w:rFonts w:hint="eastAsia"/>
          <w:sz w:val="21"/>
          <w:szCs w:val="21"/>
        </w:rPr>
        <w:t>成立时间：</w:t>
      </w:r>
      <w:r>
        <w:rPr>
          <w:rFonts w:hint="eastAsia"/>
          <w:sz w:val="21"/>
          <w:szCs w:val="21"/>
        </w:rPr>
        <w:tab/>
      </w:r>
      <w:r>
        <w:rPr>
          <w:rFonts w:hint="eastAsia"/>
          <w:sz w:val="21"/>
          <w:szCs w:val="21"/>
        </w:rPr>
        <w:t>1998年7月13日</w:t>
      </w:r>
    </w:p>
    <w:p>
      <w:pPr>
        <w:pStyle w:val="7"/>
        <w:spacing w:before="0" w:beforeAutospacing="0" w:after="0" w:afterAutospacing="0" w:line="360" w:lineRule="auto"/>
        <w:ind w:firstLine="420"/>
        <w:rPr>
          <w:rFonts w:hint="eastAsia"/>
          <w:sz w:val="21"/>
          <w:szCs w:val="21"/>
        </w:rPr>
      </w:pPr>
      <w:r>
        <w:rPr>
          <w:rFonts w:hint="eastAsia"/>
          <w:sz w:val="21"/>
          <w:szCs w:val="21"/>
        </w:rPr>
        <w:t>注册资本：</w:t>
      </w:r>
      <w:r>
        <w:rPr>
          <w:rFonts w:hint="eastAsia"/>
          <w:sz w:val="21"/>
          <w:szCs w:val="21"/>
        </w:rPr>
        <w:tab/>
      </w:r>
      <w:r>
        <w:rPr>
          <w:rFonts w:hint="eastAsia"/>
          <w:sz w:val="21"/>
          <w:szCs w:val="21"/>
        </w:rPr>
        <w:t>2.5亿元人民币</w:t>
      </w:r>
    </w:p>
    <w:p>
      <w:pPr>
        <w:pStyle w:val="7"/>
        <w:spacing w:before="0" w:beforeAutospacing="0" w:after="0" w:afterAutospacing="0" w:line="360" w:lineRule="auto"/>
        <w:ind w:firstLine="420"/>
        <w:rPr>
          <w:rFonts w:hint="eastAsia"/>
          <w:sz w:val="21"/>
          <w:szCs w:val="21"/>
        </w:rPr>
      </w:pPr>
      <w:r>
        <w:rPr>
          <w:rFonts w:hint="eastAsia"/>
          <w:sz w:val="21"/>
          <w:szCs w:val="21"/>
        </w:rPr>
        <w:t>存续期间：</w:t>
      </w:r>
      <w:r>
        <w:rPr>
          <w:rFonts w:hint="eastAsia"/>
          <w:sz w:val="21"/>
          <w:szCs w:val="21"/>
        </w:rPr>
        <w:tab/>
      </w:r>
      <w:r>
        <w:rPr>
          <w:rFonts w:hint="eastAsia"/>
          <w:sz w:val="21"/>
          <w:szCs w:val="21"/>
        </w:rPr>
        <w:t>持续经营</w:t>
      </w:r>
    </w:p>
    <w:p>
      <w:pPr>
        <w:pStyle w:val="7"/>
        <w:spacing w:before="0" w:beforeAutospacing="0" w:after="0" w:afterAutospacing="0" w:line="360" w:lineRule="auto"/>
        <w:ind w:firstLine="420"/>
        <w:rPr>
          <w:rFonts w:hint="eastAsia"/>
          <w:sz w:val="21"/>
          <w:szCs w:val="21"/>
        </w:rPr>
      </w:pPr>
      <w:r>
        <w:rPr>
          <w:rFonts w:hint="eastAsia"/>
          <w:sz w:val="21"/>
          <w:szCs w:val="21"/>
        </w:rPr>
        <w:t>联系人：    韩强</w:t>
      </w:r>
    </w:p>
    <w:p>
      <w:pPr>
        <w:pStyle w:val="7"/>
        <w:spacing w:before="0" w:beforeAutospacing="0" w:after="0" w:afterAutospacing="0" w:line="360" w:lineRule="auto"/>
        <w:ind w:firstLine="420"/>
        <w:rPr>
          <w:rFonts w:hint="eastAsia"/>
          <w:sz w:val="21"/>
          <w:szCs w:val="21"/>
        </w:rPr>
      </w:pPr>
      <w:r>
        <w:rPr>
          <w:rFonts w:hint="eastAsia"/>
          <w:sz w:val="21"/>
          <w:szCs w:val="21"/>
        </w:rPr>
        <w:t>联系电话：  （0755）8316 9999</w:t>
      </w:r>
    </w:p>
    <w:p>
      <w:pPr>
        <w:pStyle w:val="7"/>
        <w:spacing w:before="0" w:beforeAutospacing="0" w:after="0" w:afterAutospacing="0" w:line="360" w:lineRule="auto"/>
        <w:ind w:firstLine="420"/>
        <w:rPr>
          <w:rFonts w:hint="eastAsia"/>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rFonts w:hint="eastAsia"/>
          <w:sz w:val="21"/>
          <w:szCs w:val="21"/>
        </w:rPr>
      </w:pPr>
      <w:r>
        <w:rPr>
          <w:rFonts w:hint="eastAsia"/>
          <w:sz w:val="21"/>
          <w:szCs w:val="21"/>
        </w:rPr>
        <w:t>公司设立了投资决策委员会。投资决策委员会负责指导基金资产的运作、确定基本的投资策略和投资组合的原则。</w:t>
      </w:r>
    </w:p>
    <w:p>
      <w:pPr>
        <w:spacing w:line="360" w:lineRule="auto"/>
        <w:ind w:firstLine="420" w:firstLineChars="200"/>
        <w:rPr>
          <w:rFonts w:ascii="宋体" w:hAnsi="宋体" w:eastAsia="宋体" w:cs="Times New Roman"/>
          <w:kern w:val="0"/>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二、主要成员情况</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1、基金管理人董事会成员</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在在鹏华基金管理有限公司任副总经理。自2021年2月5日起，任博时基金管理有限公司总经理。自2021年4月7日起，任博时基金管理有限公司第八届董事会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自2017年11月3日起，任博时基金管理有限公司独立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赵如冰先生，1956年生，教授级高级工程师，国际金融专业经济学硕士研究生。赵如冰先生历任葛洲坝水力发电厂工程师、高级工程师、葛洲坝二江电厂电气分厂主任、书记；1989.09—1991.10任葛洲坝至上海正负50万伏超高压直流输电换流站书记兼站长，主持参加了我国第一条直流输电工程的安装调试和运行。1991.10—1995.12任厂办公室主任兼外事办公室主任。1995.12—1999.12，赵如冰先生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2004.07-2009.03，赵如冰先生任华能房地产开发公司党组书记、总经理。2009.12-2016.8, 赵如冰先生任景顺长城基金管理公司董事长、景顺长城资产管理（深圳）公司董事长兼长城证券公司党委副书记。2016.8-2020.03, 赵如冰先生任阳光资产管理股份有限公司副董事长；2016.8-至今,任西南证券、百隆东方独立董事，2020.03-至今深圳市深粮控股股份有限公司独立董事。自2017年11月3日起，任博时基金管理有限公司独立董事。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2、基金管理人监事会成员</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蒋伟先生，硕士。2011年3月至2017年5月就职于中国长城资产管理公司，分别任办公室外事处一级业务员、业务副主管、业务主管。2017年5月至2020年7日月就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 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3、高级管理人员</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江向阳先生，简历同上。</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高阳先生，简历同上。</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基金(国际)有限公司及博时资本管理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混合资产投资部总经理、兼任博时基金（国际）有限公司董事、博时资本管理有限公司董事、博时财富基金销售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徐卫先生，硕士，副总经理。1993年起先后在深圳市证券管理办公室、中国证监会、摩根士丹利华鑫基金工作。2015年6月加入博时基金管理有限公司，现任公司副总经理兼博时资本管理有限公司董事、博时基金(国际)有限公司董事、博时财富基金销售有限公司董事。</w:t>
      </w:r>
    </w:p>
    <w:p>
      <w:pPr>
        <w:widowControl/>
        <w:spacing w:line="360" w:lineRule="auto"/>
        <w:ind w:firstLine="420" w:firstLineChars="200"/>
        <w:rPr>
          <w:rFonts w:hint="eastAsia" w:ascii="宋体" w:hAnsi="宋体" w:eastAsia="宋体" w:cs="Times New Roman"/>
          <w:kern w:val="0"/>
          <w:szCs w:val="21"/>
        </w:rPr>
      </w:pPr>
      <w:r>
        <w:rPr>
          <w:rFonts w:hint="eastAsia" w:ascii="宋体" w:hAnsi="宋体" w:eastAsia="宋体" w:cs="Times New Roman"/>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博时财富基金销售有限公司董事。</w:t>
      </w:r>
    </w:p>
    <w:p>
      <w:pPr>
        <w:pStyle w:val="7"/>
        <w:spacing w:before="0" w:beforeAutospacing="0" w:after="0" w:afterAutospacing="0" w:line="360" w:lineRule="auto"/>
        <w:ind w:firstLine="420"/>
        <w:rPr>
          <w:rFonts w:hint="eastAsia"/>
          <w:sz w:val="21"/>
          <w:szCs w:val="21"/>
        </w:rPr>
      </w:pPr>
      <w:r>
        <w:rPr>
          <w:rFonts w:hint="eastAsia" w:ascii="宋体" w:hAnsi="宋体" w:eastAsia="宋体" w:cs="Times New Roman"/>
          <w:kern w:val="0"/>
          <w:szCs w:val="21"/>
        </w:rPr>
        <w:t>孙献女士，硕士，财务负责人兼董事会秘书。1994年至2016年先后在中远财务有限责任公司、远通海运设备服务有限公司、中远国际控股有限公司、青岛远洋船员职业学院、招商局金融集团有限公司从事财务、公司管理等工作。2016年加入博时基金管理有限公司，现任财务负责人兼董事会秘书，兼任博时基金（国际）有限公司董事、博时资本管理有限公司董事、博时财富基金销售有限公司董事。</w:t>
      </w:r>
      <w:bookmarkStart w:id="35" w:name="field_0_managerpersoninfo_1_start"/>
      <w:bookmarkEnd w:id="35"/>
      <w:bookmarkStart w:id="36" w:name="chapter_level1_5_53_section_2"/>
      <w:bookmarkEnd w:id="36"/>
    </w:p>
    <w:p>
      <w:pPr>
        <w:pStyle w:val="7"/>
        <w:spacing w:before="0" w:beforeAutospacing="0" w:after="0" w:afterAutospacing="0" w:line="360" w:lineRule="auto"/>
        <w:ind w:firstLine="420"/>
        <w:rPr>
          <w:sz w:val="21"/>
          <w:szCs w:val="21"/>
        </w:rPr>
      </w:pPr>
      <w:r>
        <w:rPr>
          <w:rFonts w:hint="eastAsia"/>
          <w:sz w:val="21"/>
          <w:szCs w:val="21"/>
        </w:rPr>
        <w:t xml:space="preserve">4、本基金基金经理 </w:t>
      </w:r>
    </w:p>
    <w:p>
      <w:pPr>
        <w:pStyle w:val="7"/>
        <w:spacing w:before="0" w:beforeAutospacing="0" w:after="0" w:afterAutospacing="0" w:line="360" w:lineRule="auto"/>
        <w:ind w:firstLine="420"/>
        <w:rPr>
          <w:rFonts w:hint="eastAsia"/>
          <w:sz w:val="21"/>
          <w:szCs w:val="21"/>
        </w:rPr>
      </w:pPr>
      <w:bookmarkStart w:id="37" w:name="field_0_fundmanagerresume_1_start"/>
      <w:bookmarkEnd w:id="37"/>
      <w:r>
        <w:rPr>
          <w:rFonts w:hint="eastAsia"/>
          <w:sz w:val="21"/>
          <w:szCs w:val="21"/>
        </w:rPr>
        <w:t>冀楠女士，硕士。2012年起先后在华创证券、泰达宏利基金工作。2021年加入博时基金管理有限公司。现任博时精选混合型证券投资基金(2021年5月18日—至今)、博时核心资产精选混合型证券投资基金(2021年9月17日—至今)、博时厚泽回报灵活配置混合型证券投资基金(2021年11月8日—至今)、博时研究慧选混合型证券投资基金(2021年11月8日—至今)、博时卓越品牌混合型证券投资基金(LOF)(2022年7月22日—至今)、博时优质精选混合型证券投资基金(2022年8月22日—至今)的基金经理。</w:t>
      </w:r>
      <w:bookmarkStart w:id="38" w:name="field_0_fundmanagerresume_1_end"/>
      <w:bookmarkEnd w:id="38"/>
    </w:p>
    <w:p>
      <w:pPr>
        <w:pStyle w:val="7"/>
        <w:spacing w:before="0" w:beforeAutospacing="0" w:after="0" w:afterAutospacing="0" w:line="360" w:lineRule="auto"/>
        <w:ind w:firstLine="420"/>
        <w:rPr>
          <w:sz w:val="21"/>
          <w:szCs w:val="21"/>
        </w:rPr>
      </w:pPr>
      <w:r>
        <w:rPr>
          <w:rFonts w:hint="eastAsia"/>
          <w:sz w:val="21"/>
          <w:szCs w:val="21"/>
        </w:rPr>
        <w:t>本基金历任基金经理：周心鹏（2017年11月22日—2</w:t>
      </w:r>
      <w:r>
        <w:rPr>
          <w:sz w:val="21"/>
          <w:szCs w:val="21"/>
        </w:rPr>
        <w:t>021</w:t>
      </w:r>
      <w:r>
        <w:rPr>
          <w:rFonts w:hint="eastAsia"/>
          <w:sz w:val="21"/>
          <w:szCs w:val="21"/>
        </w:rPr>
        <w:t>年1</w:t>
      </w:r>
      <w:r>
        <w:rPr>
          <w:sz w:val="21"/>
          <w:szCs w:val="21"/>
        </w:rPr>
        <w:t>1</w:t>
      </w:r>
      <w:r>
        <w:rPr>
          <w:rFonts w:hint="eastAsia"/>
          <w:sz w:val="21"/>
          <w:szCs w:val="21"/>
        </w:rPr>
        <w:t>月8日）</w:t>
      </w:r>
    </w:p>
    <w:p>
      <w:pPr>
        <w:pStyle w:val="7"/>
        <w:spacing w:before="0" w:beforeAutospacing="0" w:after="0" w:afterAutospacing="0" w:line="360" w:lineRule="auto"/>
        <w:ind w:firstLine="420"/>
        <w:rPr>
          <w:rFonts w:hint="eastAsia"/>
          <w:sz w:val="21"/>
          <w:szCs w:val="21"/>
        </w:rPr>
      </w:pPr>
      <w:bookmarkStart w:id="39" w:name="chapter_level1_5_53_section_3"/>
      <w:bookmarkEnd w:id="39"/>
      <w:bookmarkStart w:id="40" w:name="field_0_managerpersoninfo2_1_start"/>
      <w:bookmarkEnd w:id="40"/>
      <w:r>
        <w:rPr>
          <w:rFonts w:hint="eastAsia"/>
          <w:sz w:val="21"/>
          <w:szCs w:val="21"/>
        </w:rPr>
        <w:t>5、投资决策委员会成员</w:t>
      </w:r>
    </w:p>
    <w:p>
      <w:pPr>
        <w:pStyle w:val="7"/>
        <w:spacing w:before="0" w:beforeAutospacing="0" w:after="0" w:afterAutospacing="0" w:line="360" w:lineRule="auto"/>
        <w:ind w:firstLine="420"/>
        <w:rPr>
          <w:rFonts w:hint="eastAsia"/>
          <w:sz w:val="21"/>
          <w:szCs w:val="21"/>
        </w:rPr>
      </w:pPr>
      <w:r>
        <w:rPr>
          <w:rFonts w:hint="eastAsia"/>
          <w:sz w:val="21"/>
          <w:szCs w:val="21"/>
        </w:rPr>
        <w:t>公司总经理高阳先生。</w:t>
      </w:r>
    </w:p>
    <w:p>
      <w:pPr>
        <w:pStyle w:val="7"/>
        <w:spacing w:before="0" w:beforeAutospacing="0" w:after="0" w:afterAutospacing="0" w:line="360" w:lineRule="auto"/>
        <w:ind w:firstLine="420"/>
        <w:rPr>
          <w:rFonts w:hint="eastAsia"/>
          <w:sz w:val="21"/>
          <w:szCs w:val="21"/>
        </w:rPr>
      </w:pPr>
      <w:r>
        <w:rPr>
          <w:rFonts w:hint="eastAsia"/>
          <w:sz w:val="21"/>
          <w:szCs w:val="21"/>
        </w:rPr>
        <w:t>公司副总经理兼首席固定收益投资官、混合资产投资部总经理邵凯先生。</w:t>
      </w:r>
    </w:p>
    <w:p>
      <w:pPr>
        <w:pStyle w:val="7"/>
        <w:spacing w:before="0" w:beforeAutospacing="0" w:after="0" w:afterAutospacing="0" w:line="360" w:lineRule="auto"/>
        <w:ind w:firstLine="420"/>
        <w:rPr>
          <w:rFonts w:hint="eastAsia"/>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rFonts w:hint="eastAsia"/>
          <w:sz w:val="21"/>
          <w:szCs w:val="21"/>
        </w:rPr>
      </w:pPr>
      <w:r>
        <w:rPr>
          <w:rFonts w:hint="eastAsia"/>
          <w:sz w:val="21"/>
          <w:szCs w:val="21"/>
        </w:rPr>
        <w:t>首席基金经理过钧先生。</w:t>
      </w:r>
    </w:p>
    <w:p>
      <w:pPr>
        <w:pStyle w:val="7"/>
        <w:spacing w:before="0" w:beforeAutospacing="0" w:after="0" w:afterAutospacing="0" w:line="360" w:lineRule="auto"/>
        <w:ind w:firstLine="420"/>
        <w:rPr>
          <w:rFonts w:hint="eastAsia"/>
          <w:sz w:val="21"/>
          <w:szCs w:val="21"/>
        </w:rPr>
      </w:pPr>
      <w:r>
        <w:rPr>
          <w:rFonts w:hint="eastAsia"/>
          <w:sz w:val="21"/>
          <w:szCs w:val="21"/>
        </w:rPr>
        <w:t>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rFonts w:hint="eastAsia"/>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rFonts w:hint="eastAsia"/>
          <w:sz w:val="21"/>
          <w:szCs w:val="21"/>
        </w:rPr>
      </w:pPr>
      <w:r>
        <w:rPr>
          <w:rFonts w:hint="eastAsia"/>
          <w:sz w:val="21"/>
          <w:szCs w:val="21"/>
        </w:rPr>
        <w:t>指数与量化投资部总经理黄瑞庆先生。</w:t>
      </w:r>
    </w:p>
    <w:p>
      <w:pPr>
        <w:pStyle w:val="7"/>
        <w:spacing w:before="0" w:beforeAutospacing="0" w:after="0" w:afterAutospacing="0" w:line="360" w:lineRule="auto"/>
        <w:ind w:firstLine="420"/>
        <w:rPr>
          <w:rFonts w:hint="eastAsia"/>
          <w:sz w:val="21"/>
          <w:szCs w:val="21"/>
        </w:rPr>
      </w:pPr>
      <w:r>
        <w:rPr>
          <w:rFonts w:hint="eastAsia"/>
          <w:sz w:val="21"/>
          <w:szCs w:val="21"/>
        </w:rPr>
        <w:t>行业研究部副总经理（主持工作）金晟哲先生。</w:t>
      </w:r>
    </w:p>
    <w:p>
      <w:pPr>
        <w:pStyle w:val="7"/>
        <w:spacing w:before="0" w:beforeAutospacing="0" w:after="0" w:afterAutospacing="0" w:line="360" w:lineRule="auto"/>
        <w:ind w:firstLine="420"/>
        <w:rPr>
          <w:sz w:val="21"/>
          <w:szCs w:val="21"/>
        </w:rPr>
      </w:pPr>
      <w:r>
        <w:rPr>
          <w:rFonts w:hint="eastAsia"/>
          <w:sz w:val="21"/>
          <w:szCs w:val="21"/>
        </w:rPr>
        <w:t xml:space="preserve">6、上述人员之间均不存在近亲属关系。 </w:t>
      </w:r>
      <w:bookmarkStart w:id="41" w:name="field_0_managerpersoninfo2_1_end"/>
      <w:bookmarkEnd w:id="41"/>
      <w:r>
        <w:rPr>
          <w:rFonts w:hint="eastAsia"/>
          <w:sz w:val="21"/>
          <w:szCs w:val="21"/>
        </w:rPr>
        <w:t xml:space="preserve">  </w:t>
      </w:r>
    </w:p>
    <w:p>
      <w:pPr>
        <w:pStyle w:val="7"/>
        <w:spacing w:before="0" w:beforeAutospacing="0" w:after="0" w:afterAutospacing="0" w:line="360" w:lineRule="auto"/>
        <w:ind w:firstLine="420"/>
        <w:rPr>
          <w:sz w:val="21"/>
          <w:szCs w:val="21"/>
        </w:rPr>
      </w:pPr>
      <w:bookmarkStart w:id="42" w:name="chapter_level1_5_53_section_4"/>
      <w:bookmarkEnd w:id="42"/>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3" w:name="chapter_level1_5_53_section_4_end"/>
      <w:bookmarkEnd w:id="43"/>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4" w:name="chapter_level1_6_55"/>
      <w:bookmarkStart w:id="45" w:name="_Toc82519729"/>
      <w:r>
        <w:rPr>
          <w:rFonts w:hint="eastAsia" w:ascii="宋体" w:hAnsi="宋体" w:eastAsia="宋体"/>
          <w:sz w:val="30"/>
        </w:rPr>
        <w:t>第四部分  基金托管人</w:t>
      </w:r>
      <w:bookmarkEnd w:id="44"/>
      <w:bookmarkEnd w:id="45"/>
    </w:p>
    <w:p>
      <w:pPr>
        <w:pStyle w:val="7"/>
        <w:spacing w:before="0" w:beforeAutospacing="0" w:after="0" w:afterAutospacing="0" w:line="360" w:lineRule="auto"/>
        <w:ind w:firstLine="420"/>
        <w:rPr>
          <w:b/>
          <w:sz w:val="21"/>
          <w:szCs w:val="21"/>
        </w:rPr>
      </w:pPr>
      <w:bookmarkStart w:id="46" w:name="field_0_trustcompanyinfo_1_start"/>
      <w:bookmarkEnd w:id="46"/>
      <w:bookmarkStart w:id="47" w:name="chapter_level1_6_55_section_1"/>
      <w:bookmarkEnd w:id="47"/>
      <w:r>
        <w:rPr>
          <w:rFonts w:hint="eastAsia"/>
          <w:b/>
          <w:sz w:val="21"/>
          <w:szCs w:val="21"/>
        </w:rPr>
        <w:t xml:space="preserve">（一）基金托管人基本情况 </w:t>
      </w:r>
    </w:p>
    <w:p>
      <w:pPr>
        <w:pStyle w:val="7"/>
        <w:spacing w:before="0" w:beforeAutospacing="0" w:after="0" w:afterAutospacing="0" w:line="360" w:lineRule="auto"/>
        <w:ind w:firstLine="420"/>
        <w:rPr>
          <w:sz w:val="21"/>
          <w:szCs w:val="21"/>
        </w:rPr>
      </w:pPr>
      <w:r>
        <w:rPr>
          <w:rFonts w:hint="eastAsia"/>
          <w:sz w:val="21"/>
          <w:szCs w:val="21"/>
        </w:rPr>
        <w:t>名称：中国工商银行股份有限公司</w:t>
      </w:r>
    </w:p>
    <w:p>
      <w:pPr>
        <w:pStyle w:val="7"/>
        <w:spacing w:before="0" w:beforeAutospacing="0" w:after="0" w:afterAutospacing="0" w:line="360" w:lineRule="auto"/>
        <w:ind w:firstLine="420"/>
        <w:rPr>
          <w:sz w:val="21"/>
          <w:szCs w:val="21"/>
        </w:rPr>
      </w:pPr>
      <w:r>
        <w:rPr>
          <w:rFonts w:hint="eastAsia"/>
          <w:sz w:val="21"/>
          <w:szCs w:val="21"/>
        </w:rPr>
        <w:t>注册地址：北京市西城区复兴门内大街55号</w:t>
      </w:r>
    </w:p>
    <w:p>
      <w:pPr>
        <w:pStyle w:val="7"/>
        <w:spacing w:before="0" w:beforeAutospacing="0" w:after="0" w:afterAutospacing="0" w:line="360" w:lineRule="auto"/>
        <w:ind w:firstLine="420"/>
        <w:rPr>
          <w:sz w:val="21"/>
          <w:szCs w:val="21"/>
        </w:rPr>
      </w:pPr>
      <w:r>
        <w:rPr>
          <w:rFonts w:hint="eastAsia"/>
          <w:sz w:val="21"/>
          <w:szCs w:val="21"/>
        </w:rPr>
        <w:t>成立时间：1984年1月1日</w:t>
      </w:r>
    </w:p>
    <w:p>
      <w:pPr>
        <w:pStyle w:val="7"/>
        <w:spacing w:before="0" w:beforeAutospacing="0" w:after="0" w:afterAutospacing="0" w:line="360" w:lineRule="auto"/>
        <w:ind w:firstLine="420"/>
        <w:rPr>
          <w:sz w:val="21"/>
          <w:szCs w:val="21"/>
        </w:rPr>
      </w:pPr>
      <w:r>
        <w:rPr>
          <w:rFonts w:hint="eastAsia"/>
          <w:sz w:val="21"/>
          <w:szCs w:val="21"/>
        </w:rPr>
        <w:t>法定代表人： 陈四清</w:t>
      </w:r>
    </w:p>
    <w:p>
      <w:pPr>
        <w:pStyle w:val="7"/>
        <w:spacing w:before="0" w:beforeAutospacing="0" w:after="0" w:afterAutospacing="0" w:line="360" w:lineRule="auto"/>
        <w:ind w:firstLine="420"/>
        <w:rPr>
          <w:sz w:val="21"/>
          <w:szCs w:val="21"/>
        </w:rPr>
      </w:pPr>
      <w:r>
        <w:rPr>
          <w:rFonts w:hint="eastAsia"/>
          <w:sz w:val="21"/>
          <w:szCs w:val="21"/>
        </w:rPr>
        <w:t>注册资本：人民币35,640,625.7089万元</w:t>
      </w:r>
    </w:p>
    <w:p>
      <w:pPr>
        <w:pStyle w:val="7"/>
        <w:spacing w:before="0" w:beforeAutospacing="0" w:after="0" w:afterAutospacing="0" w:line="360" w:lineRule="auto"/>
        <w:ind w:firstLine="420"/>
        <w:rPr>
          <w:sz w:val="21"/>
          <w:szCs w:val="21"/>
        </w:rPr>
      </w:pPr>
      <w:r>
        <w:rPr>
          <w:rFonts w:hint="eastAsia"/>
          <w:sz w:val="21"/>
          <w:szCs w:val="21"/>
        </w:rPr>
        <w:t>联系电话：010-66105799</w:t>
      </w:r>
    </w:p>
    <w:p>
      <w:pPr>
        <w:pStyle w:val="7"/>
        <w:spacing w:before="0" w:beforeAutospacing="0" w:after="0" w:afterAutospacing="0" w:line="360" w:lineRule="auto"/>
        <w:ind w:firstLine="420"/>
        <w:rPr>
          <w:sz w:val="21"/>
          <w:szCs w:val="21"/>
        </w:rPr>
      </w:pPr>
      <w:r>
        <w:rPr>
          <w:rFonts w:hint="eastAsia"/>
          <w:sz w:val="21"/>
          <w:szCs w:val="21"/>
        </w:rPr>
        <w:t>联系人：郭明</w:t>
      </w:r>
    </w:p>
    <w:p>
      <w:pPr>
        <w:pStyle w:val="7"/>
        <w:spacing w:before="0" w:beforeAutospacing="0" w:after="0" w:afterAutospacing="0" w:line="360" w:lineRule="auto"/>
        <w:ind w:firstLine="420"/>
        <w:rPr>
          <w:b/>
          <w:sz w:val="21"/>
          <w:szCs w:val="21"/>
        </w:rPr>
      </w:pPr>
      <w:r>
        <w:rPr>
          <w:rFonts w:hint="eastAsia"/>
          <w:b/>
          <w:sz w:val="21"/>
          <w:szCs w:val="21"/>
        </w:rPr>
        <w:t>（二）主要人员情况</w:t>
      </w:r>
    </w:p>
    <w:p>
      <w:pPr>
        <w:pStyle w:val="7"/>
        <w:spacing w:before="0" w:beforeAutospacing="0" w:after="0" w:afterAutospacing="0" w:line="360" w:lineRule="auto"/>
        <w:ind w:firstLine="420"/>
        <w:rPr>
          <w:sz w:val="21"/>
          <w:szCs w:val="21"/>
        </w:rPr>
      </w:pPr>
      <w:r>
        <w:rPr>
          <w:rFonts w:hint="eastAsia"/>
          <w:sz w:val="21"/>
          <w:szCs w:val="21"/>
        </w:rPr>
        <w:t>截至2021年6月，中国工商银行资产托管部共有员工214人，平均年龄34岁，95%以上员工拥有大学本科以上学历，高管人员均拥有研究生以上学历或高级技术职称。</w:t>
      </w:r>
    </w:p>
    <w:p>
      <w:pPr>
        <w:pStyle w:val="7"/>
        <w:spacing w:before="0" w:beforeAutospacing="0" w:after="0" w:afterAutospacing="0" w:line="360" w:lineRule="auto"/>
        <w:ind w:firstLine="420"/>
        <w:rPr>
          <w:b/>
          <w:sz w:val="21"/>
          <w:szCs w:val="21"/>
        </w:rPr>
      </w:pPr>
      <w:r>
        <w:rPr>
          <w:rFonts w:hint="eastAsia"/>
          <w:b/>
          <w:sz w:val="21"/>
          <w:szCs w:val="21"/>
        </w:rPr>
        <w:t>（三）基金托管业务经营情况</w:t>
      </w:r>
    </w:p>
    <w:p>
      <w:pPr>
        <w:pStyle w:val="7"/>
        <w:spacing w:before="0" w:beforeAutospacing="0" w:after="0" w:afterAutospacing="0" w:line="360" w:lineRule="auto"/>
        <w:ind w:firstLine="420"/>
        <w:rPr>
          <w:sz w:val="21"/>
          <w:szCs w:val="21"/>
        </w:rPr>
      </w:pPr>
      <w:r>
        <w:rPr>
          <w:rFonts w:hint="eastAsia"/>
          <w:sz w:val="21"/>
          <w:szCs w:val="21"/>
        </w:rPr>
        <w:t>作为中国大陆托管服务的先行者，中国工商银行自</w:t>
      </w:r>
      <w:r>
        <w:rPr>
          <w:sz w:val="21"/>
          <w:szCs w:val="21"/>
        </w:rPr>
        <w:t>1998</w:t>
      </w:r>
      <w:r>
        <w:rPr>
          <w:rFonts w:hint="eastAsia"/>
          <w:sz w:val="21"/>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Pr>
          <w:sz w:val="21"/>
          <w:szCs w:val="21"/>
        </w:rPr>
        <w:t>QDII</w:t>
      </w:r>
      <w:r>
        <w:rPr>
          <w:rFonts w:hint="eastAsia"/>
          <w:sz w:val="21"/>
          <w:szCs w:val="21"/>
        </w:rPr>
        <w:t>专户资产、</w:t>
      </w:r>
      <w:r>
        <w:rPr>
          <w:sz w:val="21"/>
          <w:szCs w:val="21"/>
        </w:rPr>
        <w:t>ESCROW</w:t>
      </w:r>
      <w:r>
        <w:rPr>
          <w:rFonts w:hint="eastAsia"/>
          <w:sz w:val="21"/>
          <w:szCs w:val="21"/>
        </w:rPr>
        <w:t>等门类齐全的托管产品体系，同时在国内率先开展绩效评估、风险管理等增值服务，可以为各类客户提供个性化的托管服务。截至</w:t>
      </w:r>
      <w:r>
        <w:rPr>
          <w:sz w:val="21"/>
          <w:szCs w:val="21"/>
        </w:rPr>
        <w:t>20</w:t>
      </w:r>
      <w:r>
        <w:rPr>
          <w:rFonts w:hint="eastAsia"/>
          <w:sz w:val="21"/>
          <w:szCs w:val="21"/>
        </w:rPr>
        <w:t>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w:t>
      </w:r>
      <w:r>
        <w:rPr>
          <w:sz w:val="21"/>
          <w:szCs w:val="21"/>
        </w:rPr>
        <w:t>优良的服务品质获得国内外金融领域的持续认可和广泛好评。</w:t>
      </w:r>
    </w:p>
    <w:p>
      <w:pPr>
        <w:pStyle w:val="7"/>
        <w:spacing w:before="0" w:beforeAutospacing="0" w:after="0" w:afterAutospacing="0" w:line="360" w:lineRule="auto"/>
        <w:ind w:firstLine="420"/>
        <w:rPr>
          <w:b/>
          <w:sz w:val="21"/>
          <w:szCs w:val="21"/>
        </w:rPr>
      </w:pPr>
      <w:r>
        <w:rPr>
          <w:b/>
          <w:sz w:val="21"/>
          <w:szCs w:val="21"/>
        </w:rPr>
        <w:t>（四）基金托管人的职责</w:t>
      </w:r>
    </w:p>
    <w:p>
      <w:pPr>
        <w:pStyle w:val="7"/>
        <w:spacing w:before="0" w:beforeAutospacing="0" w:after="0" w:afterAutospacing="0" w:line="360" w:lineRule="auto"/>
        <w:ind w:firstLine="420"/>
        <w:rPr>
          <w:sz w:val="21"/>
          <w:szCs w:val="21"/>
        </w:rPr>
      </w:pPr>
      <w:r>
        <w:rPr>
          <w:sz w:val="21"/>
          <w:szCs w:val="21"/>
        </w:rPr>
        <w:t>1、以诚实信用、勤勉尽责的原则持有并安全保管基金财产；</w:t>
      </w:r>
    </w:p>
    <w:p>
      <w:pPr>
        <w:pStyle w:val="7"/>
        <w:spacing w:before="0" w:beforeAutospacing="0" w:after="0" w:afterAutospacing="0" w:line="360" w:lineRule="auto"/>
        <w:ind w:firstLine="420"/>
        <w:rPr>
          <w:sz w:val="21"/>
          <w:szCs w:val="21"/>
        </w:rPr>
      </w:pPr>
      <w:r>
        <w:rPr>
          <w:sz w:val="21"/>
          <w:szCs w:val="21"/>
        </w:rPr>
        <w:t>2、设立专门的基金托管部门，具有符合要求的营业场所，配备足够的、合格的熟悉基金托管业务的专职人员，负责基金财产托管事宜；</w:t>
      </w:r>
    </w:p>
    <w:p>
      <w:pPr>
        <w:pStyle w:val="7"/>
        <w:spacing w:before="0" w:beforeAutospacing="0" w:after="0" w:afterAutospacing="0" w:line="360" w:lineRule="auto"/>
        <w:ind w:firstLine="420"/>
        <w:rPr>
          <w:sz w:val="21"/>
          <w:szCs w:val="21"/>
        </w:rPr>
      </w:pPr>
      <w:r>
        <w:rPr>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pPr>
        <w:pStyle w:val="7"/>
        <w:spacing w:before="0" w:beforeAutospacing="0" w:after="0" w:afterAutospacing="0" w:line="360" w:lineRule="auto"/>
        <w:ind w:firstLine="420"/>
        <w:rPr>
          <w:sz w:val="21"/>
          <w:szCs w:val="21"/>
        </w:rPr>
      </w:pPr>
      <w:r>
        <w:rPr>
          <w:sz w:val="21"/>
          <w:szCs w:val="21"/>
        </w:rPr>
        <w:t>4、除依据《基金法》、基金合同及其他有关规定外，不得利用基金财产为自己及任何第三人谋取利益，不得委托第三人托管基金财产；</w:t>
      </w:r>
    </w:p>
    <w:p>
      <w:pPr>
        <w:pStyle w:val="7"/>
        <w:spacing w:before="0" w:beforeAutospacing="0" w:after="0" w:afterAutospacing="0" w:line="360" w:lineRule="auto"/>
        <w:ind w:firstLine="420"/>
        <w:rPr>
          <w:sz w:val="21"/>
          <w:szCs w:val="21"/>
        </w:rPr>
      </w:pPr>
      <w:r>
        <w:rPr>
          <w:sz w:val="21"/>
          <w:szCs w:val="21"/>
        </w:rPr>
        <w:t>5、保管由基金管理人代表基金签订的与基金有关的重大合同及有关凭证；</w:t>
      </w:r>
    </w:p>
    <w:p>
      <w:pPr>
        <w:pStyle w:val="7"/>
        <w:spacing w:before="0" w:beforeAutospacing="0" w:after="0" w:afterAutospacing="0" w:line="360" w:lineRule="auto"/>
        <w:ind w:firstLine="420"/>
        <w:rPr>
          <w:sz w:val="21"/>
          <w:szCs w:val="21"/>
        </w:rPr>
      </w:pPr>
      <w:r>
        <w:rPr>
          <w:sz w:val="21"/>
          <w:szCs w:val="21"/>
        </w:rPr>
        <w:t>6、按规定开设基金财产的资金账户和证券账户，按照基金合同的约定，根据基金管理人的投资指令，及时办理清算、交割事宜；</w:t>
      </w:r>
    </w:p>
    <w:p>
      <w:pPr>
        <w:pStyle w:val="7"/>
        <w:spacing w:before="0" w:beforeAutospacing="0" w:after="0" w:afterAutospacing="0" w:line="360" w:lineRule="auto"/>
        <w:ind w:firstLine="420"/>
        <w:rPr>
          <w:sz w:val="21"/>
          <w:szCs w:val="21"/>
        </w:rPr>
      </w:pPr>
      <w:r>
        <w:rPr>
          <w:sz w:val="21"/>
          <w:szCs w:val="21"/>
        </w:rPr>
        <w:t>7、保守基金商业秘密，除《基金法》、基金合同及其他有关规定另有规定外，在基金信息公开披露前予以保密，不得向他人泄露；</w:t>
      </w:r>
    </w:p>
    <w:p>
      <w:pPr>
        <w:pStyle w:val="7"/>
        <w:spacing w:before="0" w:beforeAutospacing="0" w:after="0" w:afterAutospacing="0" w:line="360" w:lineRule="auto"/>
        <w:ind w:firstLine="420"/>
        <w:rPr>
          <w:sz w:val="21"/>
          <w:szCs w:val="21"/>
        </w:rPr>
      </w:pPr>
      <w:r>
        <w:rPr>
          <w:sz w:val="21"/>
          <w:szCs w:val="21"/>
        </w:rPr>
        <w:t>8、复核、审查基金管理人计算的基金资产净值、基金份额申购、赎回价格；</w:t>
      </w:r>
    </w:p>
    <w:p>
      <w:pPr>
        <w:pStyle w:val="7"/>
        <w:spacing w:before="0" w:beforeAutospacing="0" w:after="0" w:afterAutospacing="0" w:line="360" w:lineRule="auto"/>
        <w:ind w:firstLine="420"/>
        <w:rPr>
          <w:sz w:val="21"/>
          <w:szCs w:val="21"/>
        </w:rPr>
      </w:pPr>
      <w:r>
        <w:rPr>
          <w:sz w:val="21"/>
          <w:szCs w:val="21"/>
        </w:rPr>
        <w:t>9、办理与基金托管业务活动有关的信息披露事项；</w:t>
      </w:r>
    </w:p>
    <w:p>
      <w:pPr>
        <w:pStyle w:val="7"/>
        <w:spacing w:before="0" w:beforeAutospacing="0" w:after="0" w:afterAutospacing="0" w:line="360" w:lineRule="auto"/>
        <w:ind w:firstLine="420"/>
        <w:rPr>
          <w:sz w:val="21"/>
          <w:szCs w:val="21"/>
        </w:rPr>
      </w:pPr>
      <w:r>
        <w:rPr>
          <w:sz w:val="21"/>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pPr>
        <w:pStyle w:val="7"/>
        <w:spacing w:before="0" w:beforeAutospacing="0" w:after="0" w:afterAutospacing="0" w:line="360" w:lineRule="auto"/>
        <w:ind w:firstLine="420"/>
        <w:rPr>
          <w:sz w:val="21"/>
          <w:szCs w:val="21"/>
        </w:rPr>
      </w:pPr>
      <w:r>
        <w:rPr>
          <w:sz w:val="21"/>
          <w:szCs w:val="21"/>
        </w:rPr>
        <w:t>11、保存基金托管业务活动的记录、账册、报表和其他相关资料15年以上；</w:t>
      </w:r>
    </w:p>
    <w:p>
      <w:pPr>
        <w:pStyle w:val="7"/>
        <w:spacing w:before="0" w:beforeAutospacing="0" w:after="0" w:afterAutospacing="0" w:line="360" w:lineRule="auto"/>
        <w:ind w:firstLine="420"/>
        <w:rPr>
          <w:sz w:val="21"/>
          <w:szCs w:val="21"/>
        </w:rPr>
      </w:pPr>
      <w:r>
        <w:rPr>
          <w:sz w:val="21"/>
          <w:szCs w:val="21"/>
        </w:rPr>
        <w:t>12、建立并保存基金份额持有人名册；</w:t>
      </w:r>
    </w:p>
    <w:p>
      <w:pPr>
        <w:pStyle w:val="7"/>
        <w:spacing w:before="0" w:beforeAutospacing="0" w:after="0" w:afterAutospacing="0" w:line="360" w:lineRule="auto"/>
        <w:ind w:firstLine="420"/>
        <w:rPr>
          <w:sz w:val="21"/>
          <w:szCs w:val="21"/>
        </w:rPr>
      </w:pPr>
      <w:r>
        <w:rPr>
          <w:sz w:val="21"/>
          <w:szCs w:val="21"/>
        </w:rPr>
        <w:t>13、按规定制作相关账册并与基金管理人核对；</w:t>
      </w:r>
    </w:p>
    <w:p>
      <w:pPr>
        <w:pStyle w:val="7"/>
        <w:spacing w:before="0" w:beforeAutospacing="0" w:after="0" w:afterAutospacing="0" w:line="360" w:lineRule="auto"/>
        <w:ind w:firstLine="420"/>
        <w:rPr>
          <w:sz w:val="21"/>
          <w:szCs w:val="21"/>
        </w:rPr>
      </w:pPr>
      <w:r>
        <w:rPr>
          <w:sz w:val="21"/>
          <w:szCs w:val="21"/>
        </w:rPr>
        <w:t>14、依据基金管理人的指令或有关规定向基金份额持有人支付基金收益和赎回款项；</w:t>
      </w:r>
    </w:p>
    <w:p>
      <w:pPr>
        <w:pStyle w:val="7"/>
        <w:spacing w:before="0" w:beforeAutospacing="0" w:after="0" w:afterAutospacing="0" w:line="360" w:lineRule="auto"/>
        <w:ind w:firstLine="420"/>
        <w:rPr>
          <w:sz w:val="21"/>
          <w:szCs w:val="21"/>
        </w:rPr>
      </w:pPr>
      <w:r>
        <w:rPr>
          <w:sz w:val="21"/>
          <w:szCs w:val="21"/>
        </w:rPr>
        <w:t>15、按照规定召集基金份额持有人大会或配合基金管理人、基金份额持有人依法自行召集基金份额持有人大会；</w:t>
      </w:r>
    </w:p>
    <w:p>
      <w:pPr>
        <w:pStyle w:val="7"/>
        <w:spacing w:before="0" w:beforeAutospacing="0" w:after="0" w:afterAutospacing="0" w:line="360" w:lineRule="auto"/>
        <w:ind w:firstLine="420"/>
        <w:rPr>
          <w:sz w:val="21"/>
          <w:szCs w:val="21"/>
        </w:rPr>
      </w:pPr>
      <w:r>
        <w:rPr>
          <w:sz w:val="21"/>
          <w:szCs w:val="21"/>
        </w:rPr>
        <w:t>16、按照法律法规和基金合同的规定监督基金管理人的投资运作；</w:t>
      </w:r>
    </w:p>
    <w:p>
      <w:pPr>
        <w:pStyle w:val="7"/>
        <w:spacing w:before="0" w:beforeAutospacing="0" w:after="0" w:afterAutospacing="0" w:line="360" w:lineRule="auto"/>
        <w:ind w:firstLine="420"/>
        <w:rPr>
          <w:sz w:val="21"/>
          <w:szCs w:val="21"/>
        </w:rPr>
      </w:pPr>
      <w:r>
        <w:rPr>
          <w:sz w:val="21"/>
          <w:szCs w:val="21"/>
        </w:rPr>
        <w:t>17、参加基金财产清算小组，参与基金财产的保管、清理、估价、变现和分配；</w:t>
      </w:r>
    </w:p>
    <w:p>
      <w:pPr>
        <w:pStyle w:val="7"/>
        <w:spacing w:before="0" w:beforeAutospacing="0" w:after="0" w:afterAutospacing="0" w:line="360" w:lineRule="auto"/>
        <w:ind w:firstLine="420"/>
        <w:rPr>
          <w:sz w:val="21"/>
          <w:szCs w:val="21"/>
        </w:rPr>
      </w:pPr>
      <w:r>
        <w:rPr>
          <w:sz w:val="21"/>
          <w:szCs w:val="21"/>
        </w:rPr>
        <w:t>18、面临解散、依法被撤销或者被依法宣告破产时，及时报告中国证监会和银行监管机构，并通知基金管理人；</w:t>
      </w:r>
    </w:p>
    <w:p>
      <w:pPr>
        <w:pStyle w:val="7"/>
        <w:spacing w:before="0" w:beforeAutospacing="0" w:after="0" w:afterAutospacing="0" w:line="360" w:lineRule="auto"/>
        <w:ind w:firstLine="420"/>
        <w:rPr>
          <w:sz w:val="21"/>
          <w:szCs w:val="21"/>
        </w:rPr>
      </w:pPr>
      <w:r>
        <w:rPr>
          <w:sz w:val="21"/>
          <w:szCs w:val="21"/>
        </w:rPr>
        <w:t>19、因违反基金合同导致基金财产损失时，应承担赔偿责任，其赔偿责任不因其退任而免除；</w:t>
      </w:r>
    </w:p>
    <w:p>
      <w:pPr>
        <w:pStyle w:val="7"/>
        <w:spacing w:before="0" w:beforeAutospacing="0" w:after="0" w:afterAutospacing="0" w:line="360" w:lineRule="auto"/>
        <w:ind w:firstLine="420"/>
        <w:rPr>
          <w:sz w:val="21"/>
          <w:szCs w:val="21"/>
        </w:rPr>
      </w:pPr>
      <w:r>
        <w:rPr>
          <w:sz w:val="21"/>
          <w:szCs w:val="21"/>
        </w:rPr>
        <w:t>20、按规定监督基金管理人按法律法规和基金合同规定履行自己的义务，基金管理人因违反基金合同造成基金财产损失时，应为基金利益向基金管理人追偿；</w:t>
      </w:r>
    </w:p>
    <w:p>
      <w:pPr>
        <w:pStyle w:val="7"/>
        <w:spacing w:before="0" w:beforeAutospacing="0" w:after="0" w:afterAutospacing="0" w:line="360" w:lineRule="auto"/>
        <w:ind w:firstLine="420"/>
        <w:rPr>
          <w:sz w:val="21"/>
          <w:szCs w:val="21"/>
        </w:rPr>
      </w:pPr>
      <w:r>
        <w:rPr>
          <w:sz w:val="21"/>
          <w:szCs w:val="21"/>
        </w:rPr>
        <w:t>21、执行生效的基金份额持有人大会的决议；</w:t>
      </w:r>
    </w:p>
    <w:p>
      <w:pPr>
        <w:pStyle w:val="7"/>
        <w:spacing w:before="0" w:beforeAutospacing="0" w:after="0" w:afterAutospacing="0" w:line="360" w:lineRule="auto"/>
        <w:ind w:firstLine="420"/>
        <w:rPr>
          <w:sz w:val="21"/>
          <w:szCs w:val="21"/>
        </w:rPr>
      </w:pPr>
      <w:r>
        <w:rPr>
          <w:sz w:val="21"/>
          <w:szCs w:val="21"/>
        </w:rPr>
        <w:t>22、法律法规及中国证监会规定的和基金合同约定的其他义务。</w:t>
      </w:r>
    </w:p>
    <w:p>
      <w:pPr>
        <w:pStyle w:val="7"/>
        <w:spacing w:before="0" w:beforeAutospacing="0" w:after="0" w:afterAutospacing="0" w:line="360" w:lineRule="auto"/>
        <w:ind w:firstLine="420"/>
        <w:rPr>
          <w:b/>
          <w:sz w:val="21"/>
          <w:szCs w:val="21"/>
        </w:rPr>
      </w:pPr>
      <w:r>
        <w:rPr>
          <w:b/>
          <w:sz w:val="21"/>
          <w:szCs w:val="21"/>
        </w:rPr>
        <w:t>（五）基金托管人的内部控制制度</w:t>
      </w:r>
    </w:p>
    <w:p>
      <w:pPr>
        <w:pStyle w:val="7"/>
        <w:spacing w:before="0" w:beforeAutospacing="0" w:after="0" w:afterAutospacing="0" w:line="360" w:lineRule="auto"/>
        <w:ind w:firstLine="420"/>
        <w:rPr>
          <w:sz w:val="21"/>
          <w:szCs w:val="21"/>
        </w:rPr>
      </w:pPr>
      <w:r>
        <w:rPr>
          <w:rFonts w:hint="eastAsia"/>
          <w:sz w:val="21"/>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pPr>
        <w:pStyle w:val="7"/>
        <w:spacing w:before="0" w:beforeAutospacing="0" w:after="0" w:afterAutospacing="0" w:line="360" w:lineRule="auto"/>
        <w:ind w:firstLine="420"/>
        <w:rPr>
          <w:sz w:val="21"/>
          <w:szCs w:val="21"/>
        </w:rPr>
      </w:pPr>
      <w:r>
        <w:rPr>
          <w:sz w:val="21"/>
          <w:szCs w:val="21"/>
        </w:rPr>
        <w:t>1、内部风险控制目标</w:t>
      </w:r>
    </w:p>
    <w:p>
      <w:pPr>
        <w:pStyle w:val="7"/>
        <w:spacing w:before="0" w:beforeAutospacing="0" w:after="0" w:afterAutospacing="0" w:line="360" w:lineRule="auto"/>
        <w:ind w:firstLine="420"/>
        <w:rPr>
          <w:sz w:val="21"/>
          <w:szCs w:val="21"/>
        </w:rPr>
      </w:pPr>
      <w:r>
        <w:rPr>
          <w:sz w:val="21"/>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pPr>
        <w:pStyle w:val="7"/>
        <w:spacing w:before="0" w:beforeAutospacing="0" w:after="0" w:afterAutospacing="0" w:line="360" w:lineRule="auto"/>
        <w:ind w:firstLine="420"/>
        <w:rPr>
          <w:sz w:val="21"/>
          <w:szCs w:val="21"/>
        </w:rPr>
      </w:pPr>
      <w:r>
        <w:rPr>
          <w:sz w:val="21"/>
          <w:szCs w:val="21"/>
        </w:rPr>
        <w:t>2、内部风险控制组织结构</w:t>
      </w:r>
    </w:p>
    <w:p>
      <w:pPr>
        <w:pStyle w:val="7"/>
        <w:spacing w:before="0" w:beforeAutospacing="0" w:after="0" w:afterAutospacing="0" w:line="360" w:lineRule="auto"/>
        <w:ind w:firstLine="420"/>
        <w:rPr>
          <w:sz w:val="21"/>
          <w:szCs w:val="21"/>
        </w:rPr>
      </w:pPr>
      <w:r>
        <w:rPr>
          <w:sz w:val="21"/>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pPr>
        <w:pStyle w:val="7"/>
        <w:spacing w:before="0" w:beforeAutospacing="0" w:after="0" w:afterAutospacing="0" w:line="360" w:lineRule="auto"/>
        <w:ind w:firstLine="420"/>
        <w:rPr>
          <w:sz w:val="21"/>
          <w:szCs w:val="21"/>
        </w:rPr>
      </w:pPr>
      <w:r>
        <w:rPr>
          <w:sz w:val="21"/>
          <w:szCs w:val="21"/>
        </w:rPr>
        <w:t>3、内部风险控制原则</w:t>
      </w:r>
    </w:p>
    <w:p>
      <w:pPr>
        <w:pStyle w:val="7"/>
        <w:spacing w:before="0" w:beforeAutospacing="0" w:after="0" w:afterAutospacing="0" w:line="360" w:lineRule="auto"/>
        <w:ind w:firstLine="420"/>
        <w:rPr>
          <w:sz w:val="21"/>
          <w:szCs w:val="21"/>
        </w:rPr>
      </w:pPr>
      <w:r>
        <w:rPr>
          <w:sz w:val="21"/>
          <w:szCs w:val="21"/>
        </w:rPr>
        <w:t>（1）合法性原则。内控制度应当符合国家法律法规及监管机构的监管要求，并贯穿于托管业务经营管理活动的始终。</w:t>
      </w:r>
    </w:p>
    <w:p>
      <w:pPr>
        <w:pStyle w:val="7"/>
        <w:spacing w:before="0" w:beforeAutospacing="0" w:after="0" w:afterAutospacing="0" w:line="360" w:lineRule="auto"/>
        <w:ind w:firstLine="420"/>
        <w:rPr>
          <w:sz w:val="21"/>
          <w:szCs w:val="21"/>
        </w:rPr>
      </w:pPr>
      <w:r>
        <w:rPr>
          <w:sz w:val="21"/>
          <w:szCs w:val="21"/>
        </w:rPr>
        <w:t>（2）完整性原则。托管业务的各项经营管理活动都必须有相应的规范程序和监督制约；监督制约应渗透到托管业务的全过程和各个操作环节，覆盖所有的部门、岗位和人员。</w:t>
      </w:r>
    </w:p>
    <w:p>
      <w:pPr>
        <w:pStyle w:val="7"/>
        <w:spacing w:before="0" w:beforeAutospacing="0" w:after="0" w:afterAutospacing="0" w:line="360" w:lineRule="auto"/>
        <w:ind w:firstLine="420"/>
        <w:rPr>
          <w:sz w:val="21"/>
          <w:szCs w:val="21"/>
        </w:rPr>
      </w:pPr>
      <w:r>
        <w:rPr>
          <w:sz w:val="21"/>
          <w:szCs w:val="21"/>
        </w:rPr>
        <w:t>（3）及时性原则。托管业务经营活动必须在发生时能准确及时地记录；按照“内控优先”的原则，新设机构或新增业务品种时，必须做到已建立相关的规章制度。</w:t>
      </w:r>
    </w:p>
    <w:p>
      <w:pPr>
        <w:pStyle w:val="7"/>
        <w:spacing w:before="0" w:beforeAutospacing="0" w:after="0" w:afterAutospacing="0" w:line="360" w:lineRule="auto"/>
        <w:ind w:firstLine="420"/>
        <w:rPr>
          <w:sz w:val="21"/>
          <w:szCs w:val="21"/>
        </w:rPr>
      </w:pPr>
      <w:r>
        <w:rPr>
          <w:sz w:val="21"/>
          <w:szCs w:val="21"/>
        </w:rPr>
        <w:t>（4）审慎性原则。各项业务经营活动必须防范风险，审慎经营，保证基金资产和其他委托资产的安全与完整。</w:t>
      </w:r>
    </w:p>
    <w:p>
      <w:pPr>
        <w:pStyle w:val="7"/>
        <w:spacing w:before="0" w:beforeAutospacing="0" w:after="0" w:afterAutospacing="0" w:line="360" w:lineRule="auto"/>
        <w:ind w:firstLine="420"/>
        <w:rPr>
          <w:sz w:val="21"/>
          <w:szCs w:val="21"/>
        </w:rPr>
      </w:pPr>
      <w:r>
        <w:rPr>
          <w:sz w:val="21"/>
          <w:szCs w:val="21"/>
        </w:rPr>
        <w:t>（5）有效性原则。内控制度应根据国家政策、法律及经营管理的需要适时修改完善，并保证得到全面落实执行，不得有任何空间、时限及人员的例外。</w:t>
      </w:r>
    </w:p>
    <w:p>
      <w:pPr>
        <w:pStyle w:val="7"/>
        <w:spacing w:before="0" w:beforeAutospacing="0" w:after="0" w:afterAutospacing="0" w:line="360" w:lineRule="auto"/>
        <w:ind w:firstLine="420"/>
        <w:rPr>
          <w:sz w:val="21"/>
          <w:szCs w:val="21"/>
        </w:rPr>
      </w:pPr>
      <w:r>
        <w:rPr>
          <w:sz w:val="21"/>
          <w:szCs w:val="21"/>
        </w:rPr>
        <w:t>（6）独立性原则。设立专门履行托管人职责的管理部门；直接操作人员和控制人员必须相对独立，适当分离；内控制度的检查、评价部门必须独立于内控制度的制定和执行部门。</w:t>
      </w:r>
    </w:p>
    <w:p>
      <w:pPr>
        <w:pStyle w:val="7"/>
        <w:spacing w:before="0" w:beforeAutospacing="0" w:after="0" w:afterAutospacing="0" w:line="360" w:lineRule="auto"/>
        <w:ind w:firstLine="420"/>
        <w:rPr>
          <w:sz w:val="21"/>
          <w:szCs w:val="21"/>
        </w:rPr>
      </w:pPr>
      <w:r>
        <w:rPr>
          <w:sz w:val="21"/>
          <w:szCs w:val="21"/>
        </w:rPr>
        <w:t>4、内部风险控制措施实施</w:t>
      </w:r>
    </w:p>
    <w:p>
      <w:pPr>
        <w:pStyle w:val="7"/>
        <w:spacing w:before="0" w:beforeAutospacing="0" w:after="0" w:afterAutospacing="0" w:line="360" w:lineRule="auto"/>
        <w:ind w:firstLine="420"/>
        <w:rPr>
          <w:sz w:val="21"/>
          <w:szCs w:val="21"/>
        </w:rPr>
      </w:pPr>
      <w:r>
        <w:rPr>
          <w:sz w:val="21"/>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pPr>
        <w:pStyle w:val="7"/>
        <w:spacing w:before="0" w:beforeAutospacing="0" w:after="0" w:afterAutospacing="0" w:line="360" w:lineRule="auto"/>
        <w:ind w:firstLine="420"/>
        <w:rPr>
          <w:sz w:val="21"/>
          <w:szCs w:val="21"/>
        </w:rPr>
      </w:pPr>
      <w:r>
        <w:rPr>
          <w:sz w:val="21"/>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pPr>
        <w:pStyle w:val="7"/>
        <w:spacing w:before="0" w:beforeAutospacing="0" w:after="0" w:afterAutospacing="0" w:line="360" w:lineRule="auto"/>
        <w:ind w:firstLine="420"/>
        <w:rPr>
          <w:sz w:val="21"/>
          <w:szCs w:val="21"/>
        </w:rPr>
      </w:pPr>
      <w:r>
        <w:rPr>
          <w:sz w:val="21"/>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pPr>
        <w:pStyle w:val="7"/>
        <w:spacing w:before="0" w:beforeAutospacing="0" w:after="0" w:afterAutospacing="0" w:line="360" w:lineRule="auto"/>
        <w:ind w:firstLine="420"/>
        <w:rPr>
          <w:sz w:val="21"/>
          <w:szCs w:val="21"/>
        </w:rPr>
      </w:pPr>
      <w:r>
        <w:rPr>
          <w:sz w:val="21"/>
          <w:szCs w:val="21"/>
        </w:rPr>
        <w:t>（4）经营控制。资产托管部通过制定计划、编制预算等方法开展各种业务营销活动、处理各项事务，从而有效地控制和配置组织资源，达到资源利用和效益最大化目的。</w:t>
      </w:r>
    </w:p>
    <w:p>
      <w:pPr>
        <w:pStyle w:val="7"/>
        <w:spacing w:before="0" w:beforeAutospacing="0" w:after="0" w:afterAutospacing="0" w:line="360" w:lineRule="auto"/>
        <w:ind w:firstLine="420"/>
        <w:rPr>
          <w:sz w:val="21"/>
          <w:szCs w:val="21"/>
        </w:rPr>
      </w:pPr>
      <w:r>
        <w:rPr>
          <w:sz w:val="21"/>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pPr>
        <w:pStyle w:val="7"/>
        <w:spacing w:before="0" w:beforeAutospacing="0" w:after="0" w:afterAutospacing="0" w:line="360" w:lineRule="auto"/>
        <w:ind w:firstLine="420"/>
        <w:rPr>
          <w:sz w:val="21"/>
          <w:szCs w:val="21"/>
        </w:rPr>
      </w:pPr>
      <w:r>
        <w:rPr>
          <w:sz w:val="21"/>
          <w:szCs w:val="21"/>
        </w:rPr>
        <w:t>（6）数据安全控制。工商银行通过业务操作区相对独立、数据和传真加密、数据传输线路的冗余备份、监控设施的运用和保障等措施来保障数据安全。</w:t>
      </w:r>
    </w:p>
    <w:p>
      <w:pPr>
        <w:pStyle w:val="7"/>
        <w:spacing w:before="0" w:beforeAutospacing="0" w:after="0" w:afterAutospacing="0" w:line="360" w:lineRule="auto"/>
        <w:ind w:firstLine="420"/>
        <w:rPr>
          <w:sz w:val="21"/>
          <w:szCs w:val="21"/>
        </w:rPr>
      </w:pPr>
      <w:r>
        <w:rPr>
          <w:sz w:val="21"/>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pPr>
        <w:pStyle w:val="7"/>
        <w:spacing w:before="0" w:beforeAutospacing="0" w:after="0" w:afterAutospacing="0" w:line="360" w:lineRule="auto"/>
        <w:ind w:firstLine="420"/>
        <w:rPr>
          <w:sz w:val="21"/>
          <w:szCs w:val="21"/>
        </w:rPr>
      </w:pPr>
      <w:r>
        <w:rPr>
          <w:sz w:val="21"/>
          <w:szCs w:val="21"/>
        </w:rPr>
        <w:t>5、资产托管部内部风险控制情况</w:t>
      </w:r>
    </w:p>
    <w:p>
      <w:pPr>
        <w:pStyle w:val="7"/>
        <w:spacing w:before="0" w:beforeAutospacing="0" w:after="0" w:afterAutospacing="0" w:line="360" w:lineRule="auto"/>
        <w:ind w:firstLine="420"/>
        <w:rPr>
          <w:sz w:val="21"/>
          <w:szCs w:val="21"/>
        </w:rPr>
      </w:pPr>
      <w:r>
        <w:rPr>
          <w:sz w:val="21"/>
          <w:szCs w:val="21"/>
        </w:rPr>
        <w:t>（1）资产托管部内部设置专职稽核监察部门，配备专职稽核监察人员，在总经理的直接领导下，依照有关法律规章，全面贯彻落实全程监控思想，确保资产托管业务健康、稳定地发展。</w:t>
      </w:r>
    </w:p>
    <w:p>
      <w:pPr>
        <w:pStyle w:val="7"/>
        <w:spacing w:before="0" w:beforeAutospacing="0" w:after="0" w:afterAutospacing="0" w:line="360" w:lineRule="auto"/>
        <w:ind w:firstLine="420"/>
        <w:rPr>
          <w:sz w:val="21"/>
          <w:szCs w:val="21"/>
        </w:rPr>
      </w:pPr>
      <w:r>
        <w:rPr>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pPr>
        <w:pStyle w:val="7"/>
        <w:spacing w:before="0" w:beforeAutospacing="0" w:after="0" w:afterAutospacing="0" w:line="360" w:lineRule="auto"/>
        <w:ind w:firstLine="420"/>
        <w:rPr>
          <w:sz w:val="21"/>
          <w:szCs w:val="21"/>
        </w:rPr>
      </w:pPr>
      <w:r>
        <w:rPr>
          <w:sz w:val="21"/>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pPr>
        <w:pStyle w:val="7"/>
        <w:spacing w:before="0" w:beforeAutospacing="0" w:after="0" w:afterAutospacing="0" w:line="360" w:lineRule="auto"/>
        <w:ind w:firstLine="420"/>
        <w:rPr>
          <w:sz w:val="21"/>
          <w:szCs w:val="21"/>
        </w:rPr>
      </w:pPr>
      <w:r>
        <w:rPr>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pPr>
        <w:pStyle w:val="7"/>
        <w:spacing w:before="0" w:beforeAutospacing="0" w:after="0" w:afterAutospacing="0" w:line="360" w:lineRule="auto"/>
        <w:ind w:firstLine="420"/>
        <w:rPr>
          <w:b/>
          <w:sz w:val="21"/>
          <w:szCs w:val="21"/>
        </w:rPr>
      </w:pPr>
      <w:r>
        <w:rPr>
          <w:b/>
          <w:sz w:val="21"/>
          <w:szCs w:val="21"/>
        </w:rPr>
        <w:t>（六）基金托管人对基金管理人运作基金进行监督的方法和程序</w:t>
      </w:r>
    </w:p>
    <w:p>
      <w:pPr>
        <w:pStyle w:val="7"/>
        <w:spacing w:before="0" w:beforeAutospacing="0" w:after="0" w:afterAutospacing="0" w:line="360" w:lineRule="auto"/>
        <w:ind w:firstLine="420"/>
        <w:rPr>
          <w:sz w:val="21"/>
          <w:szCs w:val="21"/>
        </w:rPr>
      </w:pPr>
      <w:r>
        <w:rPr>
          <w:sz w:val="21"/>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pPr>
        <w:pStyle w:val="7"/>
        <w:spacing w:before="0" w:beforeAutospacing="0" w:after="0" w:afterAutospacing="0" w:line="360" w:lineRule="auto"/>
        <w:ind w:firstLine="420"/>
        <w:rPr>
          <w:sz w:val="21"/>
          <w:szCs w:val="21"/>
        </w:rPr>
      </w:pPr>
      <w:r>
        <w:rPr>
          <w:sz w:val="21"/>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pPr>
        <w:pStyle w:val="7"/>
        <w:spacing w:before="0" w:beforeAutospacing="0" w:after="0" w:afterAutospacing="0" w:line="360" w:lineRule="auto"/>
        <w:ind w:firstLine="420"/>
        <w:rPr>
          <w:sz w:val="21"/>
          <w:szCs w:val="21"/>
        </w:rPr>
      </w:pPr>
      <w:r>
        <w:rPr>
          <w:sz w:val="21"/>
          <w:szCs w:val="21"/>
        </w:rPr>
        <w:t>基金托管人发现基金管理人有重大违规行为，应立即报告中国证监会，同时通知基金管理人限期纠正。</w:t>
      </w:r>
    </w:p>
    <w:p>
      <w:pPr>
        <w:pStyle w:val="7"/>
        <w:spacing w:before="0" w:beforeAutospacing="0" w:after="0" w:afterAutospacing="0" w:line="360" w:lineRule="auto"/>
        <w:ind w:firstLine="420"/>
        <w:rPr>
          <w:sz w:val="21"/>
          <w:szCs w:val="21"/>
        </w:rPr>
      </w:pPr>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8" w:name="_Toc82519730"/>
      <w:bookmarkStart w:id="49" w:name="chapter_level1_7_56"/>
      <w:r>
        <w:rPr>
          <w:rFonts w:hint="eastAsia" w:ascii="宋体" w:hAnsi="宋体" w:eastAsia="宋体"/>
          <w:sz w:val="30"/>
        </w:rPr>
        <w:t>第五部分  相关服务机构</w:t>
      </w:r>
      <w:bookmarkEnd w:id="48"/>
      <w:bookmarkEnd w:id="49"/>
    </w:p>
    <w:p>
      <w:pPr>
        <w:pStyle w:val="7"/>
        <w:spacing w:before="0" w:beforeAutospacing="0" w:after="0" w:afterAutospacing="0" w:line="360" w:lineRule="auto"/>
        <w:ind w:firstLine="420"/>
        <w:rPr>
          <w:sz w:val="21"/>
          <w:szCs w:val="21"/>
        </w:rPr>
      </w:pPr>
      <w:bookmarkStart w:id="50" w:name="chapter_level1_7_56_section_1"/>
      <w:bookmarkEnd w:id="50"/>
      <w:r>
        <w:rPr>
          <w:rStyle w:val="11"/>
          <w:rFonts w:hint="eastAsia"/>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1" w:name="field_0_marketcompanyinfo_1_start"/>
      <w:bookmarkEnd w:id="51"/>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52" w:name="chapter_level1_7_56_section_1_end"/>
      <w:bookmarkEnd w:id="52"/>
      <w:r>
        <w:rPr>
          <w:rFonts w:hint="eastAsia"/>
          <w:sz w:val="21"/>
          <w:szCs w:val="21"/>
        </w:rPr>
        <w:t xml:space="preserve">博时一线通：95105568（免长途话费） </w:t>
      </w:r>
      <w:bookmarkStart w:id="53" w:name="field_0_marketcompanyinfo_1_end"/>
      <w:bookmarkEnd w:id="53"/>
      <w:r>
        <w:rPr>
          <w:rFonts w:hint="eastAsia"/>
          <w:sz w:val="21"/>
          <w:szCs w:val="21"/>
        </w:rPr>
        <w:t xml:space="preserve">  </w:t>
      </w:r>
    </w:p>
    <w:p>
      <w:pPr>
        <w:pStyle w:val="7"/>
        <w:spacing w:before="0" w:beforeAutospacing="0" w:after="0" w:afterAutospacing="0" w:line="360" w:lineRule="auto"/>
        <w:ind w:firstLine="420"/>
        <w:rPr>
          <w:sz w:val="21"/>
          <w:szCs w:val="21"/>
        </w:rPr>
      </w:pPr>
      <w:bookmarkStart w:id="54" w:name="chapter_level1_7_56_section_2"/>
      <w:bookmarkEnd w:id="54"/>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55" w:name="field_0_allproxysaletables_1_start"/>
      <w:bookmarkEnd w:id="55"/>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(6)上海浦东发展银行股份有限公司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高国富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(7)兴业银行股份有限公司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www.cib.com.cn </w:t>
            </w:r>
          </w:p>
        </w:tc>
      </w:tr>
    </w:tbl>
    <w:p>
      <w:pPr>
        <w:pStyle w:val="7"/>
        <w:spacing w:before="0" w:beforeAutospacing="0" w:after="0" w:afterAutospacing="0" w:line="360" w:lineRule="auto"/>
        <w:ind w:firstLine="420"/>
        <w:rPr>
          <w:sz w:val="21"/>
          <w:szCs w:val="21"/>
        </w:rPr>
      </w:pPr>
      <w:r>
        <w:rPr>
          <w:rFonts w:hint="eastAsia"/>
          <w:b/>
          <w:bCs/>
          <w:sz w:val="21"/>
          <w:szCs w:val="21"/>
        </w:rPr>
        <w:t>(8)中国光大银行股份有限公司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(9)华夏银行股份有限公司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(10)上海银行股份有限公司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范一飞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汤征程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021-68475521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021-68476497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www.bosc.cn </w:t>
            </w:r>
          </w:p>
        </w:tc>
      </w:tr>
    </w:tbl>
    <w:p>
      <w:pPr>
        <w:pStyle w:val="7"/>
        <w:spacing w:before="0" w:beforeAutospacing="0" w:after="0" w:afterAutospacing="0" w:line="360" w:lineRule="auto"/>
        <w:ind w:firstLine="420"/>
        <w:rPr>
          <w:sz w:val="21"/>
          <w:szCs w:val="21"/>
        </w:rPr>
      </w:pPr>
      <w:r>
        <w:rPr>
          <w:rFonts w:hint="eastAsia"/>
          <w:b/>
          <w:bCs/>
          <w:sz w:val="21"/>
          <w:szCs w:val="21"/>
        </w:rPr>
        <w:t>(11)广发银行股份有限公司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(12)平安银行股份有限公司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(13)宁波银行股份有限公司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(14)上海农村商业银行股份有限公司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(15)北京农村商业银行股份有限公司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(16)杭州银行股份有限公司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(17)南京银行股份有限公司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(18)江苏银行股份有限公司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(19)渤海银行股份有限公司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(20)东莞农村商业银行股份有限公司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(21)嘉兴银行股份有限公司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(22)苏州银行股份有限公司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(23)四川天府银行股份有限公司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(24)福建海峡银行股份有限公司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(25)深圳市新兰德证券投资咨询有限公司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(26)厦门市鑫鼎盛控股有限公司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(27)江苏天鼎证券投资咨询有限公司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www.tdtz888.com </w:t>
            </w:r>
          </w:p>
        </w:tc>
      </w:tr>
    </w:tbl>
    <w:p>
      <w:pPr>
        <w:pStyle w:val="7"/>
        <w:spacing w:before="0" w:beforeAutospacing="0" w:after="0" w:afterAutospacing="0" w:line="360" w:lineRule="auto"/>
        <w:ind w:firstLine="420"/>
        <w:rPr>
          <w:sz w:val="21"/>
          <w:szCs w:val="21"/>
        </w:rPr>
      </w:pPr>
      <w:r>
        <w:rPr>
          <w:rFonts w:hint="eastAsia"/>
          <w:b/>
          <w:bCs/>
          <w:sz w:val="21"/>
          <w:szCs w:val="21"/>
        </w:rPr>
        <w:t>(28)上海挖财基金销售有限公司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(29)腾安基金销售（深圳）有限公司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(30)民商基金销售（上海）有限公司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(31)北京度小满基金销售有限公司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www.baiyingfund.com </w:t>
            </w:r>
          </w:p>
        </w:tc>
      </w:tr>
    </w:tbl>
    <w:p>
      <w:pPr>
        <w:pStyle w:val="7"/>
        <w:spacing w:before="0" w:beforeAutospacing="0" w:after="0" w:afterAutospacing="0" w:line="360" w:lineRule="auto"/>
        <w:ind w:firstLine="420"/>
        <w:rPr>
          <w:sz w:val="21"/>
          <w:szCs w:val="21"/>
        </w:rPr>
      </w:pPr>
      <w:r>
        <w:rPr>
          <w:rFonts w:hint="eastAsia"/>
          <w:b/>
          <w:bCs/>
          <w:sz w:val="21"/>
          <w:szCs w:val="21"/>
        </w:rPr>
        <w:t>(32)诺亚正行基金销售有限公司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(33)深圳众禄基金销售股份有限公司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(34)上海天天基金销售有限公司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(35)上海好买基金销售有限公司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(36)蚂蚁（杭州）基金销售有限公司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杭州市余杭区仓前街道文一西路1218号1栋202室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浙江省杭州市滨江区江南大道3588号恒生大厦12楼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陈柏青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朱晓超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400-076-6123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(37)上海长量基金销售有限公司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(38)浙江同花顺基金销售有限公司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400-877-3772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(39)上海利得基金销售有限公司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(40)嘉实财富管理有限公司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(41)宜信普泽（北京）基金销售有限公司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(42)南京苏宁基金销售有限公司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(43)浦领基金销售有限公司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(44)北京恒天明泽基金销售有限公司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北京市北京经济技术开发区宏达北路10号5层5122室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北京市朝阳区东三环中路20号乐成中心A座23层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马鹏程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010-57756074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010-56810782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400-8980-618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www.chtwm.com </w:t>
            </w:r>
          </w:p>
        </w:tc>
      </w:tr>
    </w:tbl>
    <w:p>
      <w:pPr>
        <w:pStyle w:val="7"/>
        <w:spacing w:before="0" w:beforeAutospacing="0" w:after="0" w:afterAutospacing="0" w:line="360" w:lineRule="auto"/>
        <w:ind w:firstLine="420"/>
        <w:rPr>
          <w:sz w:val="21"/>
          <w:szCs w:val="21"/>
        </w:rPr>
      </w:pPr>
      <w:r>
        <w:rPr>
          <w:rFonts w:hint="eastAsia"/>
          <w:b/>
          <w:bCs/>
          <w:sz w:val="21"/>
          <w:szCs w:val="21"/>
        </w:rPr>
        <w:t>(45)北京汇成基金销售有限公司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(46)北京钱景基金销售有限公司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(47)北京唐鼎耀华基金销售有限公司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北京市延庆县延庆经济开发区百泉街10号2栋236室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北京市朝阳区亮马桥路甲40号二十一世纪大厦A303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鲁志勇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010-53570568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010-59200800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400-819-9868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http://www.tdyhfund.com </w:t>
            </w:r>
          </w:p>
        </w:tc>
      </w:tr>
    </w:tbl>
    <w:p>
      <w:pPr>
        <w:pStyle w:val="7"/>
        <w:spacing w:before="0" w:beforeAutospacing="0" w:after="0" w:afterAutospacing="0" w:line="360" w:lineRule="auto"/>
        <w:ind w:firstLine="420"/>
        <w:rPr>
          <w:sz w:val="21"/>
          <w:szCs w:val="21"/>
        </w:rPr>
      </w:pPr>
      <w:r>
        <w:rPr>
          <w:rFonts w:hint="eastAsia"/>
          <w:b/>
          <w:bCs/>
          <w:sz w:val="21"/>
          <w:szCs w:val="21"/>
        </w:rPr>
        <w:t>(48)北京植信基金销售有限公司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北京市密云县兴盛南路8号院2号楼106-67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北京市朝阳区建华南路6号 卓明大厦2层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010-65166112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010-65166001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4006-802-123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http://www.zhixin-inv.com </w:t>
            </w:r>
          </w:p>
        </w:tc>
      </w:tr>
    </w:tbl>
    <w:p>
      <w:pPr>
        <w:pStyle w:val="7"/>
        <w:spacing w:before="0" w:beforeAutospacing="0" w:after="0" w:afterAutospacing="0" w:line="360" w:lineRule="auto"/>
        <w:ind w:firstLine="420"/>
        <w:rPr>
          <w:sz w:val="21"/>
          <w:szCs w:val="21"/>
        </w:rPr>
      </w:pPr>
      <w:r>
        <w:rPr>
          <w:rFonts w:hint="eastAsia"/>
          <w:b/>
          <w:bCs/>
          <w:sz w:val="21"/>
          <w:szCs w:val="21"/>
        </w:rPr>
        <w:t>(49)上海万得基金销售有限公司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(50)上海联泰基金销售有限公司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(51)上海基煜基金销售有限公司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(52)上海中正达广基金销售有限公司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(53)深圳新华信通基金销售有限公司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(54)上海陆金所基金销售有限公司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(55)珠海盈米基金销售有限公司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(56)和耕传承基金销售有限公司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(57)南京途牛基金销售有限公司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(58)京东肯特瑞基金销售有限公司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(59)大连网金基金销售有限公司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(60)深圳市金斧子基金销售有限公司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(61)北京蛋卷基金销售有限公司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钟斐斐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(62)深圳前海财厚基金销售有限公司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(63)洪泰财富（青岛）基金销售有限责任公司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(64)中信期货有限公司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(65)和合期货有限公司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(66)方正中期期货有限公司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北京市石景山区金府路32号院3号楼5层512室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北京市朝阳区东三环北路38号院1号泰康金融大厦22层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姜志军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温泉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010-85881295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010-85881394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4008802277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https://www.founderfu.com/ </w:t>
            </w:r>
          </w:p>
        </w:tc>
      </w:tr>
    </w:tbl>
    <w:p>
      <w:pPr>
        <w:pStyle w:val="7"/>
        <w:spacing w:before="0" w:beforeAutospacing="0" w:after="0" w:afterAutospacing="0" w:line="360" w:lineRule="auto"/>
        <w:ind w:firstLine="420"/>
        <w:rPr>
          <w:sz w:val="21"/>
          <w:szCs w:val="21"/>
        </w:rPr>
      </w:pPr>
      <w:r>
        <w:rPr>
          <w:rFonts w:hint="eastAsia"/>
          <w:b/>
          <w:bCs/>
          <w:sz w:val="21"/>
          <w:szCs w:val="21"/>
        </w:rPr>
        <w:t>(67)国泰君安证券股份有限公司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(68)中信建投证券股份有限公司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(69)招商证券股份有限公司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(70)广发证券股份有限公司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孙树明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(71)中信证券股份有限公司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(72)中国银河证券股份有限公司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北京市西城区金融大街35号2-6层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陈共炎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(73)海通证券股份有限公司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(74)申万宏源证券有限公司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(75)长江证券股份有限公司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(76)安信证券股份有限公司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深圳市福田区金田路4018号安联大厦35层、28层A02单元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深圳市福田区金田路4018号安联大厦35层、28层A02单元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0755－82558355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(77)万联证券股份有限公司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(78)中信证券（山东）有限责任公司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孙秋月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(79)东吴证券股份有限公司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(80)信达证券股份有限公司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(81)方正证券股份有限公司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(82)光大证券股份有限公司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(83)中信证券华南股份有限公司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宋丽雪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(84)上海证券有限责任公司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(85)新时代证券股份有限公司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叶顺德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010-83561000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010-83561001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(86)国联证券股份有限公司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(87)国都证券股份有限公司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(88)东海证券股份有限公司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(89)华西证券股份有限公司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(90)申万宏源西部证券有限公司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4008000562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http://www.hysec.com </w:t>
            </w:r>
          </w:p>
        </w:tc>
      </w:tr>
    </w:tbl>
    <w:p>
      <w:pPr>
        <w:pStyle w:val="7"/>
        <w:spacing w:before="0" w:beforeAutospacing="0" w:after="0" w:afterAutospacing="0" w:line="360" w:lineRule="auto"/>
        <w:ind w:firstLine="420"/>
        <w:rPr>
          <w:sz w:val="21"/>
          <w:szCs w:val="21"/>
        </w:rPr>
      </w:pPr>
      <w:r>
        <w:rPr>
          <w:rFonts w:hint="eastAsia"/>
          <w:b/>
          <w:bCs/>
          <w:sz w:val="21"/>
          <w:szCs w:val="21"/>
        </w:rPr>
        <w:t>(91)中泰证券股份有限公司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(92)第一创业证券股份有限公司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(93)德邦证券股份有限公司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(94)中国国际金融股份有限公司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(95)财通证券股份有限公司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陶志华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(96)华鑫证券有限责任公司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(97)中国中金财富证券有限公司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(98)中山证券有限责任公司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(99)东方财富证券股份有限公司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(100)粤开证券股份有限公司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广州经济技术开发区科学大道60号开发区金控中心21、22、23层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(101)国金证券股份有限公司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(102)天风证券股份有限公司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(103)华瑞保险销售有限公司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(104)玄元保险代理有限公司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(105)阳光人寿保险股份有限公司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(106)中国人寿保险股份有限公司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(107)桂林银行股份有限公司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(108)中原银行股份有限公司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窦荣兴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牛映雪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0371-85517710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www.zybank.com.cn </w:t>
            </w:r>
          </w:p>
        </w:tc>
      </w:tr>
    </w:tbl>
    <w:p>
      <w:pPr>
        <w:pStyle w:val="7"/>
        <w:spacing w:before="0" w:beforeAutospacing="0" w:after="0" w:afterAutospacing="0" w:line="360" w:lineRule="auto"/>
        <w:ind w:firstLine="420"/>
        <w:rPr>
          <w:sz w:val="21"/>
          <w:szCs w:val="21"/>
        </w:rPr>
      </w:pPr>
      <w:r>
        <w:rPr>
          <w:rFonts w:hint="eastAsia"/>
          <w:b/>
          <w:bCs/>
          <w:sz w:val="21"/>
          <w:szCs w:val="21"/>
        </w:rPr>
        <w:t>(109)兰州银行股份有限公司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(110)中信百信银行股份有限公司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56" w:name="field_0_allproxysaletables_1_end"/>
      <w:bookmarkEnd w:id="56"/>
      <w:r>
        <w:rPr>
          <w:rFonts w:ascii="宋体" w:hAnsi="宋体" w:eastAsia="宋体"/>
        </w:rPr>
        <w:t xml:space="preserve">  </w:t>
      </w:r>
    </w:p>
    <w:p>
      <w:pPr>
        <w:pStyle w:val="7"/>
        <w:spacing w:before="0" w:beforeAutospacing="0" w:after="0" w:afterAutospacing="0" w:line="360" w:lineRule="auto"/>
        <w:ind w:firstLine="420"/>
        <w:rPr>
          <w:sz w:val="21"/>
          <w:szCs w:val="21"/>
        </w:rPr>
      </w:pPr>
      <w:bookmarkStart w:id="57" w:name="chapter_level1_7_56_section_3"/>
      <w:bookmarkEnd w:id="57"/>
      <w:bookmarkStart w:id="58" w:name="chapter_level1_7_56_section_2_end"/>
      <w:bookmarkEnd w:id="58"/>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59" w:name="field_0_registercompanyinfo_1_start"/>
      <w:bookmarkEnd w:id="59"/>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0" w:name="field_0_registercompanyinfo_1_end"/>
      <w:bookmarkEnd w:id="60"/>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名称：上海源泰律师事务所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电话： （021）51150298 </w:t>
      </w:r>
    </w:p>
    <w:p>
      <w:pPr>
        <w:pStyle w:val="7"/>
        <w:spacing w:before="0" w:beforeAutospacing="0" w:after="0" w:afterAutospacing="0" w:line="360" w:lineRule="auto"/>
        <w:ind w:firstLine="420"/>
        <w:rPr>
          <w:sz w:val="21"/>
          <w:szCs w:val="21"/>
        </w:rPr>
      </w:pPr>
      <w:r>
        <w:rPr>
          <w:rFonts w:hint="eastAsia"/>
          <w:sz w:val="21"/>
          <w:szCs w:val="21"/>
        </w:rPr>
        <w:t xml:space="preserve">传真：（021）51150298 </w:t>
      </w:r>
    </w:p>
    <w:p>
      <w:pPr>
        <w:pStyle w:val="7"/>
        <w:spacing w:before="0" w:beforeAutospacing="0" w:after="0" w:afterAutospacing="0" w:line="360" w:lineRule="auto"/>
        <w:ind w:firstLine="420"/>
        <w:rPr>
          <w:sz w:val="21"/>
          <w:szCs w:val="21"/>
        </w:rPr>
      </w:pPr>
      <w:r>
        <w:rPr>
          <w:rFonts w:hint="eastAsia"/>
          <w:sz w:val="21"/>
          <w:szCs w:val="21"/>
        </w:rPr>
        <w:t xml:space="preserve">负责人：廖海 </w:t>
      </w:r>
    </w:p>
    <w:p>
      <w:pPr>
        <w:pStyle w:val="7"/>
        <w:spacing w:before="0" w:beforeAutospacing="0" w:after="0" w:afterAutospacing="0" w:line="360" w:lineRule="auto"/>
        <w:ind w:firstLine="420"/>
        <w:rPr>
          <w:sz w:val="21"/>
          <w:szCs w:val="21"/>
        </w:rPr>
      </w:pPr>
      <w:r>
        <w:rPr>
          <w:rFonts w:hint="eastAsia"/>
          <w:sz w:val="21"/>
          <w:szCs w:val="21"/>
        </w:rPr>
        <w:t xml:space="preserve">联系人：刘佳 </w:t>
      </w:r>
    </w:p>
    <w:p>
      <w:pPr>
        <w:pStyle w:val="7"/>
        <w:spacing w:before="0" w:beforeAutospacing="0" w:after="0" w:afterAutospacing="0" w:line="360" w:lineRule="auto"/>
        <w:ind w:firstLine="420"/>
        <w:rPr>
          <w:sz w:val="21"/>
          <w:szCs w:val="21"/>
        </w:rPr>
      </w:pPr>
      <w:r>
        <w:rPr>
          <w:rFonts w:hint="eastAsia"/>
          <w:sz w:val="21"/>
          <w:szCs w:val="21"/>
        </w:rPr>
        <w:t xml:space="preserve">经办律师：刘佳、刘翠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1" w:name="field_0_accountingcompanyinfo_1_start"/>
      <w:bookmarkEnd w:id="61"/>
      <w:r>
        <w:rPr>
          <w:rFonts w:hint="eastAsia"/>
          <w:sz w:val="21"/>
          <w:szCs w:val="21"/>
        </w:rPr>
        <w:t xml:space="preserve">名称：安永华明会计师事务所（特殊普通合伙）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7"/>
        <w:spacing w:before="0" w:beforeAutospacing="0" w:after="0" w:afterAutospacing="0" w:line="360" w:lineRule="auto"/>
        <w:ind w:firstLine="420"/>
        <w:rPr>
          <w:sz w:val="21"/>
          <w:szCs w:val="21"/>
        </w:rPr>
      </w:pPr>
      <w:r>
        <w:rPr>
          <w:rFonts w:hint="eastAsia"/>
          <w:sz w:val="21"/>
          <w:szCs w:val="21"/>
        </w:rPr>
        <w:t xml:space="preserve">联系电话：（010）58153000  </w:t>
      </w:r>
    </w:p>
    <w:p>
      <w:pPr>
        <w:pStyle w:val="7"/>
        <w:spacing w:before="0" w:beforeAutospacing="0" w:after="0" w:afterAutospacing="0" w:line="360" w:lineRule="auto"/>
        <w:ind w:firstLine="420"/>
        <w:rPr>
          <w:sz w:val="21"/>
          <w:szCs w:val="21"/>
        </w:rPr>
      </w:pPr>
      <w:r>
        <w:rPr>
          <w:rFonts w:hint="eastAsia"/>
          <w:sz w:val="21"/>
          <w:szCs w:val="21"/>
        </w:rPr>
        <w:t xml:space="preserve">传真电话：（010）85188298  </w:t>
      </w:r>
    </w:p>
    <w:p>
      <w:pPr>
        <w:pStyle w:val="7"/>
        <w:spacing w:before="0" w:beforeAutospacing="0" w:after="0" w:afterAutospacing="0" w:line="360" w:lineRule="auto"/>
        <w:ind w:firstLine="420"/>
        <w:rPr>
          <w:sz w:val="21"/>
          <w:szCs w:val="21"/>
        </w:rPr>
      </w:pPr>
      <w:r>
        <w:rPr>
          <w:rFonts w:hint="eastAsia"/>
          <w:sz w:val="21"/>
          <w:szCs w:val="21"/>
        </w:rPr>
        <w:t xml:space="preserve">经办注册会计师： 王珊珊、贺耀  </w:t>
      </w:r>
    </w:p>
    <w:p>
      <w:pPr>
        <w:pStyle w:val="7"/>
        <w:spacing w:before="0" w:beforeAutospacing="0" w:after="0" w:afterAutospacing="0" w:line="360" w:lineRule="auto"/>
        <w:ind w:firstLine="420"/>
        <w:rPr>
          <w:sz w:val="21"/>
          <w:szCs w:val="21"/>
        </w:rPr>
      </w:pPr>
      <w:bookmarkStart w:id="62" w:name="chapter_level1_7_56_section_3_end"/>
      <w:bookmarkEnd w:id="62"/>
      <w:r>
        <w:rPr>
          <w:rFonts w:hint="eastAsia"/>
          <w:sz w:val="21"/>
          <w:szCs w:val="21"/>
        </w:rPr>
        <w:t xml:space="preserve">联系人：贺耀 </w:t>
      </w:r>
      <w:bookmarkStart w:id="63" w:name="field_0_accountingcompanyinfo_1_end"/>
      <w:bookmarkEnd w:id="63"/>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4" w:name="_Toc82519731"/>
      <w:bookmarkStart w:id="65" w:name="chapter_level1_9_58"/>
      <w:r>
        <w:rPr>
          <w:rFonts w:hint="eastAsia" w:ascii="宋体" w:hAnsi="宋体" w:eastAsia="宋体"/>
          <w:sz w:val="30"/>
        </w:rPr>
        <w:t>第六部分 基金的募集与基金合同的生效</w:t>
      </w:r>
      <w:bookmarkEnd w:id="64"/>
      <w:bookmarkEnd w:id="65"/>
    </w:p>
    <w:p>
      <w:pPr>
        <w:pStyle w:val="7"/>
        <w:spacing w:before="0" w:beforeAutospacing="0" w:after="0" w:afterAutospacing="0" w:line="360" w:lineRule="auto"/>
        <w:ind w:firstLine="420"/>
        <w:rPr>
          <w:sz w:val="21"/>
          <w:szCs w:val="21"/>
        </w:rPr>
      </w:pPr>
      <w:bookmarkStart w:id="66" w:name="chapter_level1_9_58_section_1"/>
      <w:bookmarkEnd w:id="66"/>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67" w:name="field_2343_approveddate_2"/>
      <w:r>
        <w:rPr>
          <w:sz w:val="21"/>
          <w:szCs w:val="21"/>
        </w:rPr>
        <w:t>2017年08月18日</w:t>
      </w:r>
      <w:bookmarkEnd w:id="67"/>
      <w:r>
        <w:rPr>
          <w:rFonts w:hint="eastAsia"/>
          <w:sz w:val="21"/>
          <w:szCs w:val="21"/>
        </w:rPr>
        <w:t>证监许可</w:t>
      </w:r>
      <w:bookmarkStart w:id="68" w:name="field_2343_lotnumber_2"/>
      <w:r>
        <w:rPr>
          <w:sz w:val="21"/>
          <w:szCs w:val="21"/>
        </w:rPr>
        <w:t>[2017]1529</w:t>
      </w:r>
      <w:bookmarkEnd w:id="68"/>
      <w:r>
        <w:rPr>
          <w:rFonts w:hint="eastAsia"/>
          <w:sz w:val="21"/>
          <w:szCs w:val="21"/>
        </w:rPr>
        <w:t xml:space="preserve">号文准予募集注册。 </w:t>
      </w:r>
    </w:p>
    <w:p>
      <w:pPr>
        <w:pStyle w:val="7"/>
        <w:spacing w:before="0" w:beforeAutospacing="0" w:after="0" w:afterAutospacing="0" w:line="360" w:lineRule="auto"/>
        <w:ind w:firstLine="420"/>
        <w:rPr>
          <w:sz w:val="21"/>
          <w:szCs w:val="21"/>
        </w:rPr>
      </w:pPr>
      <w:r>
        <w:rPr>
          <w:rFonts w:hint="eastAsia"/>
          <w:sz w:val="21"/>
          <w:szCs w:val="21"/>
        </w:rPr>
        <w:t>本基金募集期自2017年10月23日至2017年11月17日期间，基金份额共募集</w:t>
      </w:r>
      <w:bookmarkStart w:id="69" w:name="field_58_raisetotal_1"/>
      <w:r>
        <w:rPr>
          <w:sz w:val="21"/>
          <w:szCs w:val="21"/>
        </w:rPr>
        <w:t>892,027,532.36</w:t>
      </w:r>
      <w:bookmarkEnd w:id="69"/>
      <w:r>
        <w:rPr>
          <w:rFonts w:hint="eastAsia"/>
          <w:sz w:val="21"/>
          <w:szCs w:val="21"/>
        </w:rPr>
        <w:t>份（含利息结转的份额），募集有效认购总户数为</w:t>
      </w:r>
      <w:bookmarkStart w:id="70" w:name="field_58_effectivetotal_1"/>
      <w:r>
        <w:rPr>
          <w:sz w:val="21"/>
          <w:szCs w:val="21"/>
        </w:rPr>
        <w:t>7,321</w:t>
      </w:r>
      <w:bookmarkEnd w:id="70"/>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本基金的类别为</w:t>
      </w:r>
      <w:bookmarkStart w:id="71" w:name="field_0_fundclass_1"/>
      <w:r>
        <w:rPr>
          <w:rFonts w:hint="eastAsia"/>
          <w:sz w:val="21"/>
          <w:szCs w:val="21"/>
        </w:rPr>
        <w:t>混合型</w:t>
      </w:r>
      <w:bookmarkEnd w:id="71"/>
      <w:r>
        <w:rPr>
          <w:rFonts w:hint="eastAsia"/>
          <w:sz w:val="21"/>
          <w:szCs w:val="21"/>
        </w:rPr>
        <w:t>，运作方式为</w:t>
      </w:r>
      <w:bookmarkStart w:id="72" w:name="field_58_operation_1"/>
      <w:r>
        <w:rPr>
          <w:rFonts w:hint="eastAsia"/>
          <w:sz w:val="21"/>
          <w:szCs w:val="21"/>
        </w:rPr>
        <w:t>契约型开放式</w:t>
      </w:r>
      <w:bookmarkEnd w:id="7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73" w:name="chapter_level1_9_58_section_1_end"/>
      <w:bookmarkEnd w:id="73"/>
      <w:r>
        <w:rPr>
          <w:rFonts w:hint="eastAsia"/>
          <w:sz w:val="21"/>
          <w:szCs w:val="21"/>
        </w:rPr>
        <w:t>本基金的基金合同已于</w:t>
      </w:r>
      <w:bookmarkStart w:id="74" w:name="field_0_foundday_1"/>
      <w:r>
        <w:rPr>
          <w:sz w:val="21"/>
          <w:szCs w:val="21"/>
        </w:rPr>
        <w:t>2017年11月22日</w:t>
      </w:r>
      <w:bookmarkEnd w:id="74"/>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75" w:name="chapter_level1_9_58_section_2"/>
      <w:bookmarkEnd w:id="75"/>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76" w:name="chapter_level1_9_58_section_2_end"/>
      <w:bookmarkEnd w:id="76"/>
      <w:r>
        <w:rPr>
          <w:rFonts w:hint="eastAsia"/>
          <w:sz w:val="21"/>
          <w:szCs w:val="21"/>
        </w:rPr>
        <w:t xml:space="preserve">法律法规或监管机构另有规定时，从其规定。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7" w:name="chapter_level1_10_59"/>
      <w:bookmarkStart w:id="78" w:name="_Toc82519732"/>
      <w:r>
        <w:rPr>
          <w:rFonts w:hint="eastAsia" w:ascii="宋体" w:hAnsi="宋体" w:eastAsia="宋体"/>
          <w:sz w:val="30"/>
        </w:rPr>
        <w:t>第七部分  基金份额的申购与赎回</w:t>
      </w:r>
      <w:bookmarkEnd w:id="77"/>
      <w:bookmarkEnd w:id="78"/>
    </w:p>
    <w:p>
      <w:pPr>
        <w:pStyle w:val="7"/>
        <w:spacing w:before="0" w:beforeAutospacing="0" w:after="0" w:afterAutospacing="0" w:line="360" w:lineRule="auto"/>
        <w:ind w:firstLine="420"/>
        <w:rPr>
          <w:sz w:val="21"/>
          <w:szCs w:val="21"/>
        </w:rPr>
      </w:pPr>
      <w:bookmarkStart w:id="79" w:name="chapter_level1_10_59_section_1"/>
      <w:bookmarkEnd w:id="79"/>
      <w:r>
        <w:rPr>
          <w:rStyle w:val="11"/>
          <w:rFonts w:hint="eastAsia"/>
          <w:sz w:val="21"/>
          <w:szCs w:val="21"/>
        </w:rPr>
        <w:t>一、申购、赎回及转换的场所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本基金的销售机构包括基金管理人和基金管理人指定的其他销售机构。基金管理人可根据情况变更或增减销售机构，并在基金管理人网站公示。基金投资者应当在销售机构办理基金销售业务的营业场所或按销售机构提供的其他</w:t>
      </w:r>
      <w:bookmarkStart w:id="80" w:name="chapter_level1_10_59_section_1_end"/>
      <w:bookmarkEnd w:id="80"/>
      <w:r>
        <w:rPr>
          <w:rFonts w:hint="eastAsia"/>
          <w:sz w:val="21"/>
          <w:szCs w:val="21"/>
        </w:rPr>
        <w:t xml:space="preserve">方式办理基金份额的申购与赎回。 </w:t>
      </w:r>
    </w:p>
    <w:p>
      <w:pPr>
        <w:pStyle w:val="7"/>
        <w:spacing w:before="0" w:beforeAutospacing="0" w:after="0" w:afterAutospacing="0" w:line="360" w:lineRule="auto"/>
        <w:ind w:firstLine="420"/>
        <w:rPr>
          <w:sz w:val="21"/>
          <w:szCs w:val="21"/>
        </w:rPr>
      </w:pPr>
      <w:bookmarkStart w:id="81" w:name="chapter_level1_10_59_section_2"/>
      <w:bookmarkEnd w:id="81"/>
      <w:r>
        <w:rPr>
          <w:rStyle w:val="11"/>
          <w:rFonts w:hint="eastAsia"/>
          <w:sz w:val="21"/>
          <w:szCs w:val="21"/>
        </w:rPr>
        <w:t>二、申购、赎回开始日及业务办理时间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本基金已于2017年12月22日开通日常申购、赎回业务。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82" w:name="chapter_level1_10_59_section_2_end"/>
      <w:bookmarkEnd w:id="82"/>
      <w:r>
        <w:rPr>
          <w:rFonts w:hint="eastAsia"/>
          <w:sz w:val="21"/>
          <w:szCs w:val="21"/>
        </w:rPr>
        <w:t xml:space="preserve">受的，其基金份额申购、赎回价格为下一开放日该类别基金份额申购、赎回的价格。 </w:t>
      </w:r>
    </w:p>
    <w:p>
      <w:pPr>
        <w:pStyle w:val="7"/>
        <w:spacing w:before="0" w:beforeAutospacing="0" w:after="0" w:afterAutospacing="0" w:line="360" w:lineRule="auto"/>
        <w:ind w:firstLine="420"/>
        <w:rPr>
          <w:sz w:val="21"/>
          <w:szCs w:val="21"/>
        </w:rPr>
      </w:pPr>
      <w:bookmarkStart w:id="83" w:name="chapter_level1_10_59_section_3"/>
      <w:bookmarkEnd w:id="83"/>
      <w:r>
        <w:rPr>
          <w:rStyle w:val="11"/>
          <w:rFonts w:hint="eastAsia"/>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1、投资人申购A类基金份额，首次单笔最低申购金额为人民币</w:t>
      </w:r>
      <w:r>
        <w:rPr>
          <w:rFonts w:hint="eastAsia"/>
          <w:sz w:val="21"/>
          <w:szCs w:val="21"/>
          <w:lang w:val="en-US" w:eastAsia="zh-CN"/>
        </w:rPr>
        <w:t>1.00</w:t>
      </w:r>
      <w:r>
        <w:rPr>
          <w:rFonts w:hint="eastAsia"/>
          <w:sz w:val="21"/>
          <w:szCs w:val="21"/>
        </w:rPr>
        <w:t>元（含申购费），追加申购单笔最低金额为人民币</w:t>
      </w:r>
      <w:r>
        <w:rPr>
          <w:rFonts w:hint="eastAsia"/>
          <w:sz w:val="21"/>
          <w:szCs w:val="21"/>
          <w:lang w:val="en-US" w:eastAsia="zh-CN"/>
        </w:rPr>
        <w:t>1.00</w:t>
      </w:r>
      <w:r>
        <w:rPr>
          <w:rFonts w:hint="eastAsia"/>
          <w:sz w:val="21"/>
          <w:szCs w:val="21"/>
        </w:rPr>
        <w:t>元（含申购费）。投资人申购C类基金份额，首次单笔最低申购金额为人民币</w:t>
      </w:r>
      <w:r>
        <w:rPr>
          <w:rFonts w:hint="eastAsia"/>
          <w:sz w:val="21"/>
          <w:szCs w:val="21"/>
          <w:lang w:val="en-US" w:eastAsia="zh-CN"/>
        </w:rPr>
        <w:t>1.00</w:t>
      </w:r>
      <w:r>
        <w:rPr>
          <w:rFonts w:hint="eastAsia"/>
          <w:sz w:val="21"/>
          <w:szCs w:val="21"/>
        </w:rPr>
        <w:t>元（含申购费），追加申购单笔最低金额为人民币</w:t>
      </w:r>
      <w:r>
        <w:rPr>
          <w:rFonts w:hint="eastAsia"/>
          <w:sz w:val="21"/>
          <w:szCs w:val="21"/>
          <w:lang w:val="en-US" w:eastAsia="zh-CN"/>
        </w:rPr>
        <w:t>1.00</w:t>
      </w:r>
      <w:r>
        <w:rPr>
          <w:rFonts w:hint="eastAsia"/>
          <w:sz w:val="21"/>
          <w:szCs w:val="21"/>
        </w:rPr>
        <w:t xml:space="preserve">元（含申购费）。 </w:t>
      </w:r>
    </w:p>
    <w:p>
      <w:pPr>
        <w:pStyle w:val="7"/>
        <w:spacing w:before="0" w:beforeAutospacing="0" w:after="0" w:afterAutospacing="0" w:line="360" w:lineRule="auto"/>
        <w:ind w:firstLine="420"/>
        <w:rPr>
          <w:sz w:val="21"/>
          <w:szCs w:val="21"/>
        </w:rPr>
      </w:pPr>
      <w:r>
        <w:rPr>
          <w:rFonts w:hint="eastAsia"/>
          <w:sz w:val="21"/>
          <w:szCs w:val="21"/>
        </w:rPr>
        <w:t xml:space="preserve">各销售机构在不低于上述规定的前提下，可根据自己的情况调整首次单笔最低申购金额和追加单笔最低申购金额限制，具体以销售机构公布的为准。 </w:t>
      </w:r>
    </w:p>
    <w:p>
      <w:pPr>
        <w:pStyle w:val="7"/>
        <w:spacing w:before="0" w:beforeAutospacing="0" w:after="0" w:afterAutospacing="0" w:line="360" w:lineRule="auto"/>
        <w:ind w:firstLine="420"/>
        <w:rPr>
          <w:sz w:val="21"/>
          <w:szCs w:val="21"/>
        </w:rPr>
      </w:pPr>
      <w:r>
        <w:rPr>
          <w:rFonts w:hint="eastAsia"/>
          <w:sz w:val="21"/>
          <w:szCs w:val="21"/>
        </w:rPr>
        <w:t>2、基金份额持有人在销售机构赎回时，每次赎回某一类别基金份额不得低于</w:t>
      </w:r>
      <w:bookmarkStart w:id="84" w:name="field_59_minholdshare_1"/>
      <w:r>
        <w:rPr>
          <w:sz w:val="21"/>
          <w:szCs w:val="21"/>
        </w:rPr>
        <w:t>1</w:t>
      </w:r>
      <w:bookmarkEnd w:id="84"/>
      <w:r>
        <w:rPr>
          <w:rFonts w:hint="eastAsia"/>
          <w:sz w:val="21"/>
          <w:szCs w:val="21"/>
        </w:rPr>
        <w:t>份；每个交易账户最低持有某一类别基金份额余额为</w:t>
      </w:r>
      <w:bookmarkStart w:id="85" w:name="field_59_minholdshare_2"/>
      <w:r>
        <w:rPr>
          <w:sz w:val="21"/>
          <w:szCs w:val="21"/>
        </w:rPr>
        <w:t>1</w:t>
      </w:r>
      <w:bookmarkEnd w:id="85"/>
      <w:r>
        <w:rPr>
          <w:rFonts w:hint="eastAsia"/>
          <w:sz w:val="21"/>
          <w:szCs w:val="21"/>
        </w:rPr>
        <w:t>份，若某笔赎回导致单个交易账户的某一类别基金份额余额少于</w:t>
      </w:r>
      <w:bookmarkStart w:id="86" w:name="field_59_minholdshare_3"/>
      <w:r>
        <w:rPr>
          <w:sz w:val="21"/>
          <w:szCs w:val="21"/>
        </w:rPr>
        <w:t>1</w:t>
      </w:r>
      <w:bookmarkEnd w:id="86"/>
      <w:r>
        <w:rPr>
          <w:rFonts w:hint="eastAsia"/>
          <w:sz w:val="21"/>
          <w:szCs w:val="21"/>
        </w:rPr>
        <w:t xml:space="preserve">份时，该类份额余额部分基金份额必须一同赎回。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3、基金管理人可以规定单个投资者累计持有的某一类别基金份额数量限制，具体规定见更新的招募说明书或相关公告。法律法规、监管机构另有规定或基金合同另有约定的除外。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1、“未知价”原则，即申购、赎回价格以申请当日收市后计算的某一类别基金份额净值为基准进行计算；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投资人申购基金份额时，必须全额交付申购款项，投资人在规定时间前全额交付申购款项，申购申请成立；登记机构确认基金份额时，申购生效。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六、申购费用、赎回费用</w:t>
      </w:r>
    </w:p>
    <w:p>
      <w:pPr>
        <w:pStyle w:val="7"/>
        <w:spacing w:before="0" w:beforeAutospacing="0" w:after="0" w:afterAutospacing="0" w:line="360" w:lineRule="auto"/>
        <w:ind w:firstLine="420"/>
        <w:rPr>
          <w:sz w:val="21"/>
          <w:szCs w:val="21"/>
        </w:rPr>
      </w:pPr>
      <w:r>
        <w:rPr>
          <w:rFonts w:hint="eastAsia"/>
          <w:sz w:val="21"/>
          <w:szCs w:val="21"/>
        </w:rPr>
        <w:t xml:space="preserve">1、申购费用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本基金A类基金份额、C类基金份额申购均采用金额申购方式，申购费率如下表。投资者在一天之内如果有多笔申购，费率按单笔分别计算。 </w:t>
      </w:r>
    </w:p>
    <w:tbl>
      <w:tblPr>
        <w:tblStyle w:val="9"/>
        <w:tblW w:w="47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1986"/>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pct"/>
            <w:shd w:val="clear" w:color="auto" w:fill="auto"/>
          </w:tcPr>
          <w:p>
            <w:pPr>
              <w:pStyle w:val="7"/>
            </w:pPr>
            <w:r>
              <w:rPr>
                <w:rFonts w:hint="eastAsia"/>
              </w:rPr>
              <w:t xml:space="preserve">申购金额（M） </w:t>
            </w:r>
          </w:p>
        </w:tc>
        <w:tc>
          <w:tcPr>
            <w:tcW w:w="1234" w:type="pct"/>
            <w:shd w:val="clear" w:color="auto" w:fill="auto"/>
          </w:tcPr>
          <w:p>
            <w:pPr>
              <w:pStyle w:val="7"/>
            </w:pPr>
            <w:r>
              <w:rPr>
                <w:rFonts w:hint="eastAsia"/>
              </w:rPr>
              <w:t xml:space="preserve">A类基金份额 </w:t>
            </w:r>
          </w:p>
          <w:p>
            <w:pPr>
              <w:pStyle w:val="7"/>
            </w:pPr>
            <w:r>
              <w:rPr>
                <w:rFonts w:hint="eastAsia"/>
              </w:rPr>
              <w:t xml:space="preserve">申购费率 </w:t>
            </w:r>
          </w:p>
        </w:tc>
        <w:tc>
          <w:tcPr>
            <w:tcW w:w="1496" w:type="pct"/>
            <w:shd w:val="clear" w:color="auto" w:fill="auto"/>
          </w:tcPr>
          <w:p>
            <w:pPr>
              <w:pStyle w:val="7"/>
            </w:pPr>
            <w:r>
              <w:rPr>
                <w:rFonts w:hint="eastAsia"/>
              </w:rPr>
              <w:t xml:space="preserve">C类基金份额 </w:t>
            </w:r>
          </w:p>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pct"/>
            <w:shd w:val="clear" w:color="auto" w:fill="auto"/>
          </w:tcPr>
          <w:p>
            <w:pPr>
              <w:pStyle w:val="7"/>
            </w:pPr>
            <w:r>
              <w:rPr>
                <w:rFonts w:hint="eastAsia"/>
              </w:rPr>
              <w:t xml:space="preserve">M &lt; 100万元 </w:t>
            </w:r>
          </w:p>
        </w:tc>
        <w:tc>
          <w:tcPr>
            <w:tcW w:w="1234" w:type="pct"/>
            <w:shd w:val="clear" w:color="auto" w:fill="auto"/>
          </w:tcPr>
          <w:p>
            <w:pPr>
              <w:pStyle w:val="7"/>
            </w:pPr>
            <w:r>
              <w:rPr>
                <w:rFonts w:hint="eastAsia"/>
              </w:rPr>
              <w:t xml:space="preserve">1.50% </w:t>
            </w:r>
          </w:p>
        </w:tc>
        <w:tc>
          <w:tcPr>
            <w:tcW w:w="149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pct"/>
            <w:shd w:val="clear" w:color="auto" w:fill="auto"/>
          </w:tcPr>
          <w:p>
            <w:pPr>
              <w:pStyle w:val="7"/>
            </w:pPr>
            <w:r>
              <w:rPr>
                <w:rFonts w:hint="eastAsia"/>
              </w:rPr>
              <w:t xml:space="preserve">100万元 ≤M &lt;500万元 </w:t>
            </w:r>
          </w:p>
        </w:tc>
        <w:tc>
          <w:tcPr>
            <w:tcW w:w="1234" w:type="pct"/>
            <w:shd w:val="clear" w:color="auto" w:fill="auto"/>
          </w:tcPr>
          <w:p>
            <w:pPr>
              <w:pStyle w:val="7"/>
            </w:pPr>
            <w:r>
              <w:rPr>
                <w:rFonts w:hint="eastAsia"/>
              </w:rPr>
              <w:t xml:space="preserve">1.00% </w:t>
            </w:r>
          </w:p>
        </w:tc>
        <w:tc>
          <w:tcPr>
            <w:tcW w:w="149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pct"/>
            <w:shd w:val="clear" w:color="auto" w:fill="auto"/>
          </w:tcPr>
          <w:p>
            <w:pPr>
              <w:pStyle w:val="7"/>
            </w:pPr>
            <w:r>
              <w:rPr>
                <w:rFonts w:hint="eastAsia"/>
              </w:rPr>
              <w:t xml:space="preserve">500万元 ≤M &lt;1000万元 </w:t>
            </w:r>
          </w:p>
        </w:tc>
        <w:tc>
          <w:tcPr>
            <w:tcW w:w="1234" w:type="pct"/>
            <w:shd w:val="clear" w:color="auto" w:fill="auto"/>
          </w:tcPr>
          <w:p>
            <w:pPr>
              <w:pStyle w:val="7"/>
            </w:pPr>
            <w:r>
              <w:rPr>
                <w:rFonts w:hint="eastAsia"/>
              </w:rPr>
              <w:t xml:space="preserve">0.80% </w:t>
            </w:r>
          </w:p>
        </w:tc>
        <w:tc>
          <w:tcPr>
            <w:tcW w:w="149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pct"/>
            <w:shd w:val="clear" w:color="auto" w:fill="auto"/>
          </w:tcPr>
          <w:p>
            <w:pPr>
              <w:pStyle w:val="7"/>
            </w:pPr>
            <w:r>
              <w:rPr>
                <w:rFonts w:hint="eastAsia"/>
              </w:rPr>
              <w:t xml:space="preserve">M≥1000万元 </w:t>
            </w:r>
          </w:p>
        </w:tc>
        <w:tc>
          <w:tcPr>
            <w:tcW w:w="1234" w:type="pct"/>
            <w:shd w:val="clear" w:color="auto" w:fill="auto"/>
          </w:tcPr>
          <w:p>
            <w:pPr>
              <w:pStyle w:val="7"/>
            </w:pPr>
            <w:r>
              <w:rPr>
                <w:rFonts w:hint="eastAsia"/>
              </w:rPr>
              <w:t xml:space="preserve">收取固定费用1000元/笔 </w:t>
            </w:r>
          </w:p>
        </w:tc>
        <w:tc>
          <w:tcPr>
            <w:tcW w:w="1496" w:type="pct"/>
            <w:shd w:val="clear" w:color="auto" w:fill="auto"/>
          </w:tcPr>
          <w:p>
            <w:pPr>
              <w:pStyle w:val="7"/>
              <w:jc w:val="center"/>
            </w:pPr>
            <w:r>
              <w:rPr>
                <w:rFonts w:hint="eastAsia"/>
              </w:rPr>
              <w:t>0.00%</w:t>
            </w: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本基金的申购费用由申购人承担，不列入基金财产，用于基金的市场推广、销售、登记等各项费用。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2、赎回费用 </w:t>
      </w:r>
    </w:p>
    <w:p>
      <w:pPr>
        <w:pStyle w:val="7"/>
        <w:spacing w:before="0" w:beforeAutospacing="0" w:after="0" w:afterAutospacing="0" w:line="360" w:lineRule="auto"/>
        <w:ind w:firstLine="420"/>
        <w:rPr>
          <w:sz w:val="21"/>
          <w:szCs w:val="21"/>
        </w:rPr>
      </w:pPr>
      <w:r>
        <w:rPr>
          <w:rFonts w:hint="eastAsia"/>
          <w:sz w:val="21"/>
          <w:szCs w:val="21"/>
        </w:rPr>
        <w:t xml:space="preserve">本基金的A类基金份额、C类基金份额的赎回费率按基金份额持有期限递减，费率如下： </w:t>
      </w:r>
    </w:p>
    <w:tbl>
      <w:tblPr>
        <w:tblStyle w:val="9"/>
        <w:tblW w:w="45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gridCol w:w="1834"/>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A类赎回费率 </w:t>
            </w:r>
          </w:p>
        </w:tc>
        <w:tc>
          <w:tcPr>
            <w:tcW w:w="1793" w:type="pct"/>
            <w:shd w:val="clear" w:color="auto" w:fill="auto"/>
          </w:tcPr>
          <w:p>
            <w:pPr>
              <w:pStyle w:val="7"/>
            </w:pPr>
            <w:r>
              <w:rPr>
                <w:rFonts w:hint="eastAsia"/>
              </w:rPr>
              <w:t xml:space="preserve">C类赎回费率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7日 </w:t>
            </w:r>
          </w:p>
        </w:tc>
        <w:tc>
          <w:tcPr>
            <w:tcW w:w="0" w:type="auto"/>
            <w:shd w:val="clear" w:color="auto" w:fill="auto"/>
          </w:tcPr>
          <w:p>
            <w:pPr>
              <w:pStyle w:val="7"/>
            </w:pPr>
            <w:r>
              <w:rPr>
                <w:rFonts w:hint="eastAsia"/>
              </w:rPr>
              <w:t xml:space="preserve">1.50% </w:t>
            </w:r>
          </w:p>
        </w:tc>
        <w:tc>
          <w:tcPr>
            <w:tcW w:w="1793"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 ≤Y &lt; 30日 </w:t>
            </w:r>
          </w:p>
        </w:tc>
        <w:tc>
          <w:tcPr>
            <w:tcW w:w="0" w:type="auto"/>
            <w:shd w:val="clear" w:color="auto" w:fill="auto"/>
          </w:tcPr>
          <w:p>
            <w:pPr>
              <w:pStyle w:val="7"/>
            </w:pPr>
            <w:r>
              <w:rPr>
                <w:rFonts w:hint="eastAsia"/>
              </w:rPr>
              <w:t xml:space="preserve">1.50% </w:t>
            </w:r>
          </w:p>
        </w:tc>
        <w:tc>
          <w:tcPr>
            <w:tcW w:w="1793" w:type="pct"/>
            <w:shd w:val="clear" w:color="auto" w:fill="auto"/>
          </w:tcPr>
          <w:p>
            <w:pPr>
              <w:pStyle w:val="7"/>
            </w:pPr>
            <w:r>
              <w:rPr>
                <w:rFonts w:hint="eastAsia"/>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30日 ≤Y &lt;1年 </w:t>
            </w:r>
          </w:p>
        </w:tc>
        <w:tc>
          <w:tcPr>
            <w:tcW w:w="0" w:type="auto"/>
            <w:shd w:val="clear" w:color="auto" w:fill="auto"/>
          </w:tcPr>
          <w:p>
            <w:pPr>
              <w:pStyle w:val="7"/>
            </w:pPr>
            <w:r>
              <w:rPr>
                <w:rFonts w:hint="eastAsia"/>
              </w:rPr>
              <w:t xml:space="preserve">0.50% </w:t>
            </w:r>
          </w:p>
        </w:tc>
        <w:tc>
          <w:tcPr>
            <w:tcW w:w="1793" w:type="pc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1年≤Y &lt; 2年 </w:t>
            </w:r>
          </w:p>
        </w:tc>
        <w:tc>
          <w:tcPr>
            <w:tcW w:w="0" w:type="auto"/>
            <w:shd w:val="clear" w:color="auto" w:fill="auto"/>
          </w:tcPr>
          <w:p>
            <w:pPr>
              <w:pStyle w:val="7"/>
            </w:pPr>
            <w:r>
              <w:rPr>
                <w:rFonts w:hint="eastAsia"/>
              </w:rPr>
              <w:t xml:space="preserve">0.25% </w:t>
            </w:r>
          </w:p>
        </w:tc>
        <w:tc>
          <w:tcPr>
            <w:tcW w:w="1793" w:type="pc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Y≥2年 </w:t>
            </w:r>
          </w:p>
        </w:tc>
        <w:tc>
          <w:tcPr>
            <w:tcW w:w="0" w:type="auto"/>
            <w:shd w:val="clear" w:color="auto" w:fill="auto"/>
          </w:tcPr>
          <w:p>
            <w:pPr>
              <w:pStyle w:val="7"/>
            </w:pPr>
            <w:r>
              <w:rPr>
                <w:rFonts w:hint="eastAsia"/>
              </w:rPr>
              <w:t xml:space="preserve">0% </w:t>
            </w:r>
          </w:p>
        </w:tc>
        <w:tc>
          <w:tcPr>
            <w:tcW w:w="1793" w:type="pct"/>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（注：一个月指30日，一年指365日） </w:t>
      </w:r>
    </w:p>
    <w:p>
      <w:pPr>
        <w:pStyle w:val="7"/>
        <w:spacing w:before="0" w:beforeAutospacing="0" w:after="0" w:afterAutospacing="0" w:line="360" w:lineRule="auto"/>
        <w:ind w:firstLine="420"/>
        <w:rPr>
          <w:sz w:val="21"/>
          <w:szCs w:val="21"/>
        </w:rPr>
      </w:pPr>
      <w:r>
        <w:rPr>
          <w:rFonts w:hint="eastAsia"/>
          <w:sz w:val="21"/>
          <w:szCs w:val="21"/>
        </w:rPr>
        <w:t xml:space="preserve">赎回费用由赎回基金份额的基金份额持有人承担，在基金份额持有人赎回基金份额时收取。 </w:t>
      </w:r>
    </w:p>
    <w:p>
      <w:pPr>
        <w:pStyle w:val="7"/>
        <w:spacing w:before="0" w:beforeAutospacing="0" w:after="0" w:afterAutospacing="0" w:line="360" w:lineRule="auto"/>
        <w:ind w:firstLine="420"/>
        <w:rPr>
          <w:sz w:val="21"/>
          <w:szCs w:val="21"/>
        </w:rPr>
      </w:pPr>
      <w:r>
        <w:rPr>
          <w:rFonts w:hint="eastAsia"/>
          <w:sz w:val="21"/>
          <w:szCs w:val="21"/>
        </w:rPr>
        <w:t xml:space="preserve">对持续持有期少于30日的A类基金份额投资人收取的赎回费全额计入基金财产；对持续持有期不少于30日但少于3个月的A类基金份额投资人收取的赎回费的75%计入基金财产，对持续持有期不少于3个月但少于6个月的A类基金份额投资人收取的赎回费的50%计入基金财产，对持续持有期长于6个月的A类基金份额投资人收取的赎回费的25%计入基金财产。对于持续持有C类基金份额少于30日的投资人收取的赎回费全额计入基金财产。A类基金份额和C类基金份额的赎回费用中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或销售服务费率。 </w:t>
      </w:r>
    </w:p>
    <w:p>
      <w:pPr>
        <w:pStyle w:val="7"/>
        <w:spacing w:before="0" w:beforeAutospacing="0" w:after="0" w:afterAutospacing="0" w:line="360" w:lineRule="auto"/>
        <w:ind w:firstLine="420"/>
        <w:rPr>
          <w:sz w:val="21"/>
          <w:szCs w:val="21"/>
        </w:rPr>
      </w:pPr>
      <w:r>
        <w:rPr>
          <w:rFonts w:hint="eastAsia"/>
          <w:sz w:val="21"/>
          <w:szCs w:val="21"/>
        </w:rPr>
        <w:t xml:space="preserve">5、当本基金各类份额发生大额申购或赎回情形时，基金管理人可以采用摆动定价机制以确保基金估值的公平性。 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Style w:val="11"/>
          <w:rFonts w:hint="eastAsia"/>
          <w:sz w:val="21"/>
          <w:szCs w:val="21"/>
        </w:rPr>
        <w:t>七、A类基金份额与C类基金份额的申购份额与赎回金额的计算方式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（1）当申购费适用比例费率时，申购份额的计算公式如下：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（2）当申购费用为固定金额时，申购份额的计算方法如下： </w:t>
      </w:r>
    </w:p>
    <w:p>
      <w:pPr>
        <w:pStyle w:val="7"/>
        <w:spacing w:before="0" w:beforeAutospacing="0" w:after="0" w:afterAutospacing="0" w:line="360" w:lineRule="auto"/>
        <w:ind w:firstLine="420"/>
        <w:rPr>
          <w:sz w:val="21"/>
          <w:szCs w:val="21"/>
        </w:rPr>
      </w:pPr>
      <w:r>
        <w:rPr>
          <w:rFonts w:hint="eastAsia"/>
          <w:sz w:val="21"/>
          <w:szCs w:val="21"/>
        </w:rPr>
        <w:t xml:space="preserve">申购费用＝固定费用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申购份额的计算结果按照四舍五入方法，保留小数点后两位，由此产生的收益或损失由基金财产承担。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例：某投资者投资10,000元申购本基金A类基金份额，且该申购申请被全额确认，对应的申购费率为1.50%，假定申购当日A类基金份额基金份额净值为1.1500元，则可得到的A类基金份额为： </w:t>
      </w:r>
    </w:p>
    <w:p>
      <w:pPr>
        <w:pStyle w:val="7"/>
        <w:spacing w:before="0" w:beforeAutospacing="0" w:after="0" w:afterAutospacing="0" w:line="360" w:lineRule="auto"/>
        <w:ind w:firstLine="420"/>
        <w:rPr>
          <w:sz w:val="21"/>
          <w:szCs w:val="21"/>
        </w:rPr>
      </w:pPr>
      <w:r>
        <w:rPr>
          <w:rFonts w:hint="eastAsia"/>
          <w:sz w:val="21"/>
          <w:szCs w:val="21"/>
        </w:rPr>
        <w:t xml:space="preserve">申购金额=10,000元 </w:t>
      </w:r>
    </w:p>
    <w:p>
      <w:pPr>
        <w:pStyle w:val="7"/>
        <w:spacing w:before="0" w:beforeAutospacing="0" w:after="0" w:afterAutospacing="0" w:line="360" w:lineRule="auto"/>
        <w:ind w:firstLine="420"/>
        <w:rPr>
          <w:sz w:val="21"/>
          <w:szCs w:val="21"/>
        </w:rPr>
      </w:pPr>
      <w:r>
        <w:rPr>
          <w:rFonts w:hint="eastAsia"/>
          <w:sz w:val="21"/>
          <w:szCs w:val="21"/>
        </w:rPr>
        <w:t xml:space="preserve">净申购金额＝10,000/(1+1.50%)＝9,852.22元 </w:t>
      </w:r>
    </w:p>
    <w:p>
      <w:pPr>
        <w:pStyle w:val="7"/>
        <w:spacing w:before="0" w:beforeAutospacing="0" w:after="0" w:afterAutospacing="0" w:line="360" w:lineRule="auto"/>
        <w:ind w:firstLine="420"/>
        <w:rPr>
          <w:sz w:val="21"/>
          <w:szCs w:val="21"/>
        </w:rPr>
      </w:pPr>
      <w:r>
        <w:rPr>
          <w:rFonts w:hint="eastAsia"/>
          <w:sz w:val="21"/>
          <w:szCs w:val="21"/>
        </w:rPr>
        <w:t xml:space="preserve">申购费用＝10,000－9,852.22＝147.78元 </w:t>
      </w:r>
    </w:p>
    <w:p>
      <w:pPr>
        <w:pStyle w:val="7"/>
        <w:spacing w:before="0" w:beforeAutospacing="0" w:after="0" w:afterAutospacing="0" w:line="360" w:lineRule="auto"/>
        <w:ind w:firstLine="420"/>
        <w:rPr>
          <w:sz w:val="21"/>
          <w:szCs w:val="21"/>
        </w:rPr>
      </w:pPr>
      <w:r>
        <w:rPr>
          <w:rFonts w:hint="eastAsia"/>
          <w:sz w:val="21"/>
          <w:szCs w:val="21"/>
        </w:rPr>
        <w:t xml:space="preserve">申购份额＝9,852.22/1.1500=8,567.15份 </w:t>
      </w:r>
    </w:p>
    <w:p>
      <w:pPr>
        <w:pStyle w:val="7"/>
        <w:spacing w:before="0" w:beforeAutospacing="0" w:after="0" w:afterAutospacing="0" w:line="360" w:lineRule="auto"/>
        <w:ind w:firstLine="420"/>
        <w:rPr>
          <w:sz w:val="21"/>
          <w:szCs w:val="21"/>
        </w:rPr>
      </w:pPr>
      <w:r>
        <w:rPr>
          <w:rFonts w:hint="eastAsia"/>
          <w:sz w:val="21"/>
          <w:szCs w:val="21"/>
        </w:rPr>
        <w:t xml:space="preserve">即：投资者选择投资10,000元申购本基金A类基金份额，假定申购当日A类基金份额净值为1.1500元，可得到8,567.15份A类基金份额。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计算结果保留到小数点后2位，小数点后第3位四舍五入，由此产生的收益或损失由基金财产承担。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例：某投资者赎回10,000份A类基金份额且持有时间大于30日但不满6个月，赎回费率为0.50%，假设赎回申请当日A类基金份额净值是1.0680元，则可得到的赎回金额为：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赎回总额= 10,000×1.0680= 10,680.00元 </w:t>
      </w:r>
    </w:p>
    <w:p>
      <w:pPr>
        <w:pStyle w:val="7"/>
        <w:spacing w:before="0" w:beforeAutospacing="0" w:after="0" w:afterAutospacing="0" w:line="360" w:lineRule="auto"/>
        <w:ind w:firstLine="420"/>
        <w:rPr>
          <w:sz w:val="21"/>
          <w:szCs w:val="21"/>
        </w:rPr>
      </w:pPr>
      <w:r>
        <w:rPr>
          <w:rFonts w:hint="eastAsia"/>
          <w:sz w:val="21"/>
          <w:szCs w:val="21"/>
        </w:rPr>
        <w:t xml:space="preserve">赎回费用= 10,680.00×0.50% = 53.40元 </w:t>
      </w:r>
    </w:p>
    <w:p>
      <w:pPr>
        <w:pStyle w:val="7"/>
        <w:spacing w:before="0" w:beforeAutospacing="0" w:after="0" w:afterAutospacing="0" w:line="360" w:lineRule="auto"/>
        <w:ind w:firstLine="420"/>
        <w:rPr>
          <w:sz w:val="21"/>
          <w:szCs w:val="21"/>
        </w:rPr>
      </w:pPr>
      <w:r>
        <w:rPr>
          <w:rFonts w:hint="eastAsia"/>
          <w:sz w:val="21"/>
          <w:szCs w:val="21"/>
        </w:rPr>
        <w:t xml:space="preserve">净赎回金额= 10,680.00 - 53.40 = 10,626.60元 </w:t>
      </w:r>
    </w:p>
    <w:p>
      <w:pPr>
        <w:pStyle w:val="7"/>
        <w:spacing w:before="0" w:beforeAutospacing="0" w:after="0" w:afterAutospacing="0" w:line="360" w:lineRule="auto"/>
        <w:ind w:firstLine="420"/>
        <w:rPr>
          <w:sz w:val="21"/>
          <w:szCs w:val="21"/>
        </w:rPr>
      </w:pPr>
      <w:r>
        <w:rPr>
          <w:rFonts w:hint="eastAsia"/>
          <w:sz w:val="21"/>
          <w:szCs w:val="21"/>
        </w:rPr>
        <w:t xml:space="preserve">即：投资者赎回10,000份A类基金份额且持有时间大于30日但不满6个月，假设赎回当日A类基金份额的基金份额净值是1.0680元，则其可得到的赎回金额为10,626.60元。 </w:t>
      </w:r>
    </w:p>
    <w:p>
      <w:pPr>
        <w:pStyle w:val="7"/>
        <w:spacing w:before="0" w:beforeAutospacing="0" w:after="0" w:afterAutospacing="0" w:line="360" w:lineRule="auto"/>
        <w:ind w:firstLine="420"/>
        <w:rPr>
          <w:sz w:val="21"/>
          <w:szCs w:val="21"/>
        </w:rPr>
      </w:pPr>
      <w:r>
        <w:rPr>
          <w:rFonts w:hint="eastAsia"/>
          <w:sz w:val="21"/>
          <w:szCs w:val="21"/>
        </w:rPr>
        <w:t xml:space="preserve">3、本基金A类基金份额和C类基金份额分别设置代码，分别计算和公告各类基金份额净值和各类基金份额累计净值。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八、申购与赎回的登记业务</w:t>
      </w:r>
    </w:p>
    <w:p>
      <w:pPr>
        <w:pStyle w:val="7"/>
        <w:spacing w:before="0" w:beforeAutospacing="0" w:after="0" w:afterAutospacing="0" w:line="360" w:lineRule="auto"/>
        <w:ind w:firstLine="420"/>
        <w:rPr>
          <w:sz w:val="21"/>
          <w:szCs w:val="21"/>
        </w:rPr>
      </w:pPr>
      <w:r>
        <w:rPr>
          <w:rFonts w:hint="eastAsia"/>
          <w:sz w:val="21"/>
          <w:szCs w:val="21"/>
        </w:rPr>
        <w:t xml:space="preserve">1、投资人申购基金成功后，在正常情况下，基金登记机构在T+1日为投资者登记权益并办理登记手续，投资者自T+2日（含该日）后有权赎回该部分基金份额。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2、投资人赎回基金成功后，在正常情况下，基金登记机构在T+1日为投资者办理扣除权益的登记手续。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8、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8、9项暂停申购情形之一且基金管理人决定拒绝或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87" w:name="field_49_mintredeemscale_1"/>
      <w:r>
        <w:rPr>
          <w:sz w:val="21"/>
          <w:szCs w:val="21"/>
        </w:rPr>
        <w:t>10</w:t>
      </w:r>
      <w:bookmarkEnd w:id="87"/>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88" w:name="field_49_mintredeemscale_2"/>
      <w:r>
        <w:rPr>
          <w:sz w:val="21"/>
          <w:szCs w:val="21"/>
        </w:rPr>
        <w:t>10</w:t>
      </w:r>
      <w:bookmarkEnd w:id="88"/>
      <w:r>
        <w:rPr>
          <w:rFonts w:hint="eastAsia"/>
          <w:sz w:val="21"/>
          <w:szCs w:val="21"/>
        </w:rPr>
        <w:t>%的前提下，可对其余赎回申请延期办理。若进行上述延期办理，对于单个基金份额持有人当日赎回申请超过上一开放日基金总份额</w:t>
      </w:r>
      <w:bookmarkStart w:id="89" w:name="field_49_mintredeemscale_3"/>
      <w:r>
        <w:rPr>
          <w:sz w:val="21"/>
          <w:szCs w:val="21"/>
        </w:rPr>
        <w:t>10</w:t>
      </w:r>
      <w:bookmarkEnd w:id="89"/>
      <w:r>
        <w:rPr>
          <w:rFonts w:hint="eastAsia"/>
          <w:sz w:val="21"/>
          <w:szCs w:val="21"/>
        </w:rPr>
        <w:t xml:space="preserve">%以上的部分，将自动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部分延期赎回不受单笔赎回最低份额的限制。 </w:t>
      </w:r>
    </w:p>
    <w:p>
      <w:pPr>
        <w:pStyle w:val="7"/>
        <w:spacing w:before="0" w:beforeAutospacing="0" w:after="0" w:afterAutospacing="0" w:line="360" w:lineRule="auto"/>
        <w:ind w:firstLine="420"/>
        <w:rPr>
          <w:sz w:val="21"/>
          <w:szCs w:val="21"/>
        </w:rPr>
      </w:pPr>
      <w:r>
        <w:rPr>
          <w:rFonts w:hint="eastAsia"/>
          <w:sz w:val="21"/>
          <w:szCs w:val="21"/>
        </w:rPr>
        <w:t xml:space="preserve">（3）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90" w:name="chapter_level1_10_59_section_3_end"/>
      <w:bookmarkEnd w:id="90"/>
      <w:r>
        <w:rPr>
          <w:rFonts w:hint="eastAsia"/>
          <w:sz w:val="21"/>
          <w:szCs w:val="21"/>
        </w:rPr>
        <w:t xml:space="preserve">各类基金份额净值。 </w:t>
      </w:r>
    </w:p>
    <w:p>
      <w:pPr>
        <w:pStyle w:val="7"/>
        <w:spacing w:before="0" w:beforeAutospacing="0" w:after="0" w:afterAutospacing="0" w:line="360" w:lineRule="auto"/>
        <w:ind w:firstLine="420"/>
        <w:rPr>
          <w:sz w:val="21"/>
          <w:szCs w:val="21"/>
        </w:rPr>
      </w:pPr>
      <w:bookmarkStart w:id="91" w:name="chapter_level1_10_59_section_4"/>
      <w:bookmarkEnd w:id="91"/>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1、业务开放时间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本基金已于2017年12月22日开放日常转换业务。 </w:t>
      </w:r>
    </w:p>
    <w:p>
      <w:pPr>
        <w:pStyle w:val="7"/>
        <w:spacing w:before="0" w:beforeAutospacing="0" w:after="0" w:afterAutospacing="0" w:line="360" w:lineRule="auto"/>
        <w:ind w:firstLine="420"/>
        <w:rPr>
          <w:sz w:val="21"/>
          <w:szCs w:val="21"/>
        </w:rPr>
      </w:pPr>
      <w:r>
        <w:rPr>
          <w:rFonts w:hint="eastAsia"/>
          <w:sz w:val="21"/>
          <w:szCs w:val="21"/>
        </w:rPr>
        <w:t xml:space="preserve">2、日常转换、定期定额投资业务的办理时间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 xml:space="preserve">3、日常转换业务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92" w:name="field_0_productfullname_10"/>
      <w:r>
        <w:rPr>
          <w:rFonts w:hint="eastAsia"/>
          <w:sz w:val="21"/>
          <w:szCs w:val="21"/>
        </w:rPr>
        <w:t>博时厚泽回报灵活配置混合型证券投资基金</w:t>
      </w:r>
      <w:bookmarkEnd w:id="92"/>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93" w:name="field_0_managerorgfullname_6"/>
      <w:r>
        <w:rPr>
          <w:rFonts w:hint="eastAsia"/>
          <w:sz w:val="21"/>
          <w:szCs w:val="21"/>
        </w:rPr>
        <w:t>博时基金管理有限公司</w:t>
      </w:r>
      <w:bookmarkEnd w:id="93"/>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94" w:name="chapter_level1_10_59_section_4_end"/>
      <w:bookmarkEnd w:id="94"/>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95" w:name="chapter_level1_10_59_section_5"/>
      <w:bookmarkEnd w:id="95"/>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96" w:name="chapter_level1_10_59_section_5_end"/>
      <w:bookmarkEnd w:id="96"/>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97" w:name="chapter_level1_10_59_section_6"/>
      <w:bookmarkEnd w:id="97"/>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本基金已于2017年12月22日开放定期定额投资业务。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本基金A类基金份额、C类基金份额申购均采用金额申购方式，申购费率如下表。投资者在一天之内如果有多笔申购，费率按单笔分别计算。 </w:t>
      </w:r>
    </w:p>
    <w:tbl>
      <w:tblPr>
        <w:tblStyle w:val="9"/>
        <w:tblW w:w="46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297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pct"/>
            <w:shd w:val="clear" w:color="auto" w:fill="auto"/>
          </w:tcPr>
          <w:p>
            <w:pPr>
              <w:pStyle w:val="7"/>
            </w:pPr>
            <w:r>
              <w:rPr>
                <w:rFonts w:hint="eastAsia"/>
              </w:rPr>
              <w:t xml:space="preserve">申购金额（M） </w:t>
            </w:r>
          </w:p>
        </w:tc>
        <w:tc>
          <w:tcPr>
            <w:tcW w:w="1882" w:type="pct"/>
            <w:shd w:val="clear" w:color="auto" w:fill="auto"/>
          </w:tcPr>
          <w:p>
            <w:pPr>
              <w:pStyle w:val="7"/>
            </w:pPr>
            <w:r>
              <w:rPr>
                <w:rFonts w:hint="eastAsia"/>
              </w:rPr>
              <w:t xml:space="preserve">A类基金份额 </w:t>
            </w:r>
          </w:p>
          <w:p>
            <w:pPr>
              <w:pStyle w:val="7"/>
            </w:pPr>
            <w:r>
              <w:rPr>
                <w:rFonts w:hint="eastAsia"/>
              </w:rPr>
              <w:t xml:space="preserve">申购费率 </w:t>
            </w:r>
          </w:p>
        </w:tc>
        <w:tc>
          <w:tcPr>
            <w:tcW w:w="1166" w:type="pct"/>
            <w:shd w:val="clear" w:color="auto" w:fill="auto"/>
          </w:tcPr>
          <w:p>
            <w:pPr>
              <w:pStyle w:val="7"/>
            </w:pPr>
            <w:r>
              <w:rPr>
                <w:rFonts w:hint="eastAsia"/>
              </w:rPr>
              <w:t xml:space="preserve">C类基金份额 </w:t>
            </w:r>
          </w:p>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pct"/>
            <w:shd w:val="clear" w:color="auto" w:fill="auto"/>
          </w:tcPr>
          <w:p>
            <w:pPr>
              <w:pStyle w:val="7"/>
            </w:pPr>
            <w:r>
              <w:rPr>
                <w:rFonts w:hint="eastAsia"/>
              </w:rPr>
              <w:t xml:space="preserve">M &lt; 100万元 </w:t>
            </w:r>
          </w:p>
        </w:tc>
        <w:tc>
          <w:tcPr>
            <w:tcW w:w="1882" w:type="pct"/>
            <w:shd w:val="clear" w:color="auto" w:fill="auto"/>
          </w:tcPr>
          <w:p>
            <w:pPr>
              <w:pStyle w:val="7"/>
            </w:pPr>
            <w:r>
              <w:rPr>
                <w:rFonts w:hint="eastAsia"/>
              </w:rPr>
              <w:t xml:space="preserve">1.50% </w:t>
            </w:r>
          </w:p>
        </w:tc>
        <w:tc>
          <w:tcPr>
            <w:tcW w:w="116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pct"/>
            <w:shd w:val="clear" w:color="auto" w:fill="auto"/>
          </w:tcPr>
          <w:p>
            <w:pPr>
              <w:pStyle w:val="7"/>
            </w:pPr>
            <w:r>
              <w:rPr>
                <w:rFonts w:hint="eastAsia"/>
              </w:rPr>
              <w:t xml:space="preserve">100万元 ≤M &lt;500万元 </w:t>
            </w:r>
          </w:p>
        </w:tc>
        <w:tc>
          <w:tcPr>
            <w:tcW w:w="1882" w:type="pct"/>
            <w:shd w:val="clear" w:color="auto" w:fill="auto"/>
          </w:tcPr>
          <w:p>
            <w:pPr>
              <w:pStyle w:val="7"/>
            </w:pPr>
            <w:r>
              <w:rPr>
                <w:rFonts w:hint="eastAsia"/>
              </w:rPr>
              <w:t xml:space="preserve">1.00% </w:t>
            </w:r>
          </w:p>
        </w:tc>
        <w:tc>
          <w:tcPr>
            <w:tcW w:w="116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pct"/>
            <w:shd w:val="clear" w:color="auto" w:fill="auto"/>
          </w:tcPr>
          <w:p>
            <w:pPr>
              <w:pStyle w:val="7"/>
            </w:pPr>
            <w:r>
              <w:rPr>
                <w:rFonts w:hint="eastAsia"/>
              </w:rPr>
              <w:t xml:space="preserve">500万元 ≤M &lt;1000万元 </w:t>
            </w:r>
          </w:p>
        </w:tc>
        <w:tc>
          <w:tcPr>
            <w:tcW w:w="1882" w:type="pct"/>
            <w:shd w:val="clear" w:color="auto" w:fill="auto"/>
          </w:tcPr>
          <w:p>
            <w:pPr>
              <w:pStyle w:val="7"/>
            </w:pPr>
            <w:r>
              <w:rPr>
                <w:rFonts w:hint="eastAsia"/>
              </w:rPr>
              <w:t xml:space="preserve">0.80% </w:t>
            </w:r>
          </w:p>
        </w:tc>
        <w:tc>
          <w:tcPr>
            <w:tcW w:w="1166" w:type="pct"/>
            <w:shd w:val="clear" w:color="auto" w:fill="auto"/>
          </w:tcPr>
          <w:p>
            <w:pPr>
              <w:pStyle w:val="7"/>
              <w:jc w:val="cente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pct"/>
            <w:shd w:val="clear" w:color="auto" w:fill="auto"/>
          </w:tcPr>
          <w:p>
            <w:pPr>
              <w:pStyle w:val="7"/>
            </w:pPr>
            <w:r>
              <w:rPr>
                <w:rFonts w:hint="eastAsia"/>
              </w:rPr>
              <w:t xml:space="preserve">M≥1000万元 </w:t>
            </w:r>
          </w:p>
        </w:tc>
        <w:tc>
          <w:tcPr>
            <w:tcW w:w="1882" w:type="pct"/>
            <w:shd w:val="clear" w:color="auto" w:fill="auto"/>
          </w:tcPr>
          <w:p>
            <w:pPr>
              <w:pStyle w:val="7"/>
            </w:pPr>
            <w:r>
              <w:rPr>
                <w:rFonts w:hint="eastAsia"/>
              </w:rPr>
              <w:t xml:space="preserve">收取固定费用1000元/笔 </w:t>
            </w:r>
          </w:p>
        </w:tc>
        <w:tc>
          <w:tcPr>
            <w:tcW w:w="1166" w:type="pct"/>
            <w:shd w:val="clear" w:color="auto" w:fill="auto"/>
          </w:tcPr>
          <w:p>
            <w:pPr>
              <w:pStyle w:val="7"/>
              <w:jc w:val="center"/>
            </w:pPr>
            <w:r>
              <w:rPr>
                <w:rFonts w:hint="eastAsia"/>
              </w:rPr>
              <w:t>0.00%</w:t>
            </w: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本基金的申购费用由申购人承担，不列入基金财产，用于基金的市场推广、销售、登记等各项费用。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投资者须遵循各销售机构有关扣款日期的规定，定投金额A类基金份额每次不少于人民币1</w:t>
      </w:r>
      <w:r>
        <w:rPr>
          <w:rFonts w:hint="eastAsia"/>
          <w:sz w:val="21"/>
          <w:szCs w:val="21"/>
          <w:lang w:val="en-US" w:eastAsia="zh-CN"/>
        </w:rPr>
        <w:t>.00</w:t>
      </w:r>
      <w:r>
        <w:rPr>
          <w:rFonts w:hint="eastAsia"/>
          <w:sz w:val="21"/>
          <w:szCs w:val="21"/>
        </w:rPr>
        <w:t>元（含1</w:t>
      </w:r>
      <w:r>
        <w:rPr>
          <w:rFonts w:hint="eastAsia"/>
          <w:sz w:val="21"/>
          <w:szCs w:val="21"/>
          <w:lang w:val="en-US" w:eastAsia="zh-CN"/>
        </w:rPr>
        <w:t>.00</w:t>
      </w:r>
      <w:r>
        <w:rPr>
          <w:rFonts w:hint="eastAsia"/>
          <w:sz w:val="21"/>
          <w:szCs w:val="21"/>
        </w:rPr>
        <w:t>元），定投金额C类基金份额每次不少于人民币1</w:t>
      </w:r>
      <w:r>
        <w:rPr>
          <w:rFonts w:hint="eastAsia"/>
          <w:sz w:val="21"/>
          <w:szCs w:val="21"/>
          <w:lang w:val="en-US" w:eastAsia="zh-CN"/>
        </w:rPr>
        <w:t>.00</w:t>
      </w:r>
      <w:r>
        <w:rPr>
          <w:rFonts w:hint="eastAsia"/>
          <w:sz w:val="21"/>
          <w:szCs w:val="21"/>
        </w:rPr>
        <w:t>元（含1</w:t>
      </w:r>
      <w:r>
        <w:rPr>
          <w:rFonts w:hint="eastAsia"/>
          <w:sz w:val="21"/>
          <w:szCs w:val="21"/>
          <w:lang w:val="en-US" w:eastAsia="zh-CN"/>
        </w:rPr>
        <w:t>.00</w:t>
      </w:r>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bookmarkStart w:id="98" w:name="chapter_level1_10_59_section_6_end"/>
      <w:bookmarkEnd w:id="98"/>
      <w:r>
        <w:rPr>
          <w:rFonts w:hint="eastAsia"/>
          <w:sz w:val="21"/>
          <w:szCs w:val="21"/>
        </w:rPr>
        <w:t xml:space="preserve">额投资计划最低申购金额。 </w:t>
      </w:r>
    </w:p>
    <w:p>
      <w:pPr>
        <w:pStyle w:val="7"/>
        <w:spacing w:before="0" w:beforeAutospacing="0" w:after="0" w:afterAutospacing="0" w:line="360" w:lineRule="auto"/>
        <w:ind w:firstLine="420"/>
        <w:rPr>
          <w:sz w:val="21"/>
          <w:szCs w:val="21"/>
        </w:rPr>
      </w:pPr>
      <w:bookmarkStart w:id="99" w:name="chapter_level1_10_59_section_7"/>
      <w:bookmarkEnd w:id="99"/>
      <w:r>
        <w:rPr>
          <w:rStyle w:val="11"/>
          <w:rFonts w:hint="eastAsia"/>
          <w:sz w:val="21"/>
          <w:szCs w:val="21"/>
        </w:rPr>
        <w:t>十八、基金份额的冻结、解冻与质押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00" w:name="chapter_level1_10_59_section_7_end"/>
      <w:bookmarkEnd w:id="100"/>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1" w:name="chapter_level1_11_60"/>
      <w:bookmarkStart w:id="102" w:name="_Toc82519733"/>
      <w:r>
        <w:rPr>
          <w:rFonts w:hint="eastAsia" w:ascii="宋体" w:hAnsi="宋体" w:eastAsia="宋体"/>
          <w:sz w:val="30"/>
        </w:rPr>
        <w:t>第八部分  基金的投资</w:t>
      </w:r>
      <w:bookmarkEnd w:id="101"/>
      <w:bookmarkEnd w:id="102"/>
    </w:p>
    <w:p>
      <w:pPr>
        <w:pStyle w:val="7"/>
        <w:spacing w:before="0" w:beforeAutospacing="0" w:after="0" w:afterAutospacing="0" w:line="360" w:lineRule="auto"/>
        <w:ind w:firstLine="420"/>
        <w:rPr>
          <w:sz w:val="21"/>
          <w:szCs w:val="21"/>
        </w:rPr>
      </w:pPr>
      <w:bookmarkStart w:id="103" w:name="chapter_level1_11_60_section_1"/>
      <w:bookmarkEnd w:id="103"/>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04" w:name="field_60_investmenttarget_1_start"/>
      <w:bookmarkEnd w:id="104"/>
      <w:r>
        <w:rPr>
          <w:rFonts w:hint="eastAsia"/>
          <w:sz w:val="21"/>
          <w:szCs w:val="21"/>
        </w:rPr>
        <w:t xml:space="preserve">本基金在追求本金安全的基础上，通过大类资产配置和深度挖掘具备良好成长潜力及合理估值的个股，力争获取超越业绩比较基准的投资回报。  </w:t>
      </w:r>
      <w:bookmarkStart w:id="105" w:name="field_60_investmenttarget_1_end"/>
      <w:bookmarkEnd w:id="10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06" w:name="field_60_investmentrange_1_start"/>
      <w:bookmarkEnd w:id="106"/>
      <w:r>
        <w:rPr>
          <w:rFonts w:hint="eastAsia"/>
          <w:sz w:val="21"/>
          <w:szCs w:val="21"/>
        </w:rPr>
        <w:t xml:space="preserve"> 本基金的投资对象是具有良好流动性的金融工具，包括国内依法发行上市的股票（包括中小板、创业板及其他经中国证监会核准上市的股票、存托凭证）、国债、金融债、央行票据、地方政府债、企业债、公司债、可交换公司债券、可转换公司债券（含可分离交易可转债）、中小企业私募债券、中期票据、短期融资券、超级短期融资券、资产支持证券、次级债、债券回购、银行存款、同业存单、货币市场工具、权证、股指期货、国债期货等金融工具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0%-95%；每个交易日日终在扣除股指期货合约、国债期货合约需缴纳的保证金以后，本基金保留的现金或到期日在一年以内的政府债券不低于基金资产净值的5%；其中，现金不包括结算备付金、存出保证金、应收申购款等；权证投资占基金资产净值的0-3%。  </w:t>
      </w:r>
    </w:p>
    <w:p>
      <w:pPr>
        <w:pStyle w:val="7"/>
        <w:spacing w:before="0" w:beforeAutospacing="0" w:after="0" w:afterAutospacing="0" w:line="360" w:lineRule="auto"/>
        <w:ind w:firstLine="420"/>
        <w:rPr>
          <w:sz w:val="21"/>
          <w:szCs w:val="21"/>
        </w:rPr>
      </w:pPr>
      <w:r>
        <w:rPr>
          <w:rFonts w:hint="eastAsia"/>
          <w:sz w:val="21"/>
          <w:szCs w:val="21"/>
        </w:rPr>
        <w:t xml:space="preserve"> 如果法律法规或中国证监会变更投资品种的投资比例限制，基金管理人在履行适当程序后，可以调整上述投资品种的投资比例。  </w:t>
      </w:r>
      <w:bookmarkStart w:id="107" w:name="field_60_investmentrange_1_end"/>
      <w:bookmarkEnd w:id="10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08" w:name="field_60_investmentstrategy_1_start"/>
      <w:bookmarkEnd w:id="108"/>
      <w:r>
        <w:rPr>
          <w:rFonts w:hint="eastAsia"/>
          <w:sz w:val="21"/>
          <w:szCs w:val="21"/>
        </w:rPr>
        <w:t xml:space="preserve">（一）资产配置策略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本基金采取自上而下的方法，根据国内外宏观经济形式、货币政策、产业政策、市场整体估值水平、投资者风险偏好，合理调整基金组合的股票资产的仓位水平，并辅之以适当的债券和现金投资。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股票投资以行业分析和企业竞争力分析为基础，以企业的治理结构和盈利能力为核心，坚持盈利增长推动价值提升的逻辑，选择有动力做业绩同时有能力确保业绩兑现的公司。在具体实现上，严格筛选具有护城河、高安全边际、业绩可兑现的个股投资，严格执行买卖点的投资纪律。 </w:t>
      </w:r>
    </w:p>
    <w:p>
      <w:pPr>
        <w:pStyle w:val="7"/>
        <w:spacing w:before="0" w:beforeAutospacing="0" w:after="0" w:afterAutospacing="0" w:line="360" w:lineRule="auto"/>
        <w:ind w:firstLine="420"/>
        <w:rPr>
          <w:sz w:val="21"/>
          <w:szCs w:val="21"/>
        </w:rPr>
      </w:pPr>
      <w:r>
        <w:rPr>
          <w:rFonts w:hint="eastAsia"/>
          <w:sz w:val="21"/>
          <w:szCs w:val="21"/>
        </w:rPr>
        <w:t xml:space="preserve">1、本基金通过以下两个步骤来构建股票组合：   </w:t>
      </w:r>
    </w:p>
    <w:p>
      <w:pPr>
        <w:pStyle w:val="7"/>
        <w:spacing w:before="0" w:beforeAutospacing="0" w:after="0" w:afterAutospacing="0" w:line="360" w:lineRule="auto"/>
        <w:ind w:firstLine="420"/>
        <w:rPr>
          <w:sz w:val="21"/>
          <w:szCs w:val="21"/>
        </w:rPr>
      </w:pPr>
      <w:r>
        <w:rPr>
          <w:rFonts w:hint="eastAsia"/>
          <w:sz w:val="21"/>
          <w:szCs w:val="21"/>
        </w:rPr>
        <w:t xml:space="preserve">（1）以定性和定量分析相结合的方法，筛选初步股票池   </w:t>
      </w:r>
    </w:p>
    <w:p>
      <w:pPr>
        <w:pStyle w:val="7"/>
        <w:spacing w:before="0" w:beforeAutospacing="0" w:after="0" w:afterAutospacing="0" w:line="360" w:lineRule="auto"/>
        <w:ind w:firstLine="420"/>
        <w:rPr>
          <w:sz w:val="21"/>
          <w:szCs w:val="21"/>
        </w:rPr>
      </w:pPr>
      <w:r>
        <w:rPr>
          <w:rFonts w:hint="eastAsia"/>
          <w:sz w:val="21"/>
          <w:szCs w:val="21"/>
        </w:rPr>
        <w:t xml:space="preserve">在定性分析中，本基金注重上市公司以下五个方面的情况：1）行业增长空间；2）行业结构；3）上下游地位；4）竞争优势；5）管理能力。行业增长空间分析主要是按照行业发展四阶段理论，判断行业处于哪个发展阶段。行业结构分析主要考察行业集中度和上市公司行业地位，在行业竞争中上市公司受影响的程度。上下游地位分析主要考察企业所在行业的上下游运行态势与利益分配，决定企业在产业链中处于何种地位。竞争优势分析主要考察企业在规模经济、资源或政策垄断、技术创新、品牌、经营效率等方面是否具有竞争对手在中长期时间内难以模仿的显著优势。管理能力分析主要考察企业管理层是否重视股东利益，管理水平是否能适应企业竞争优势的维持与开拓，以及管理层激励考核方式。   </w:t>
      </w:r>
    </w:p>
    <w:p>
      <w:pPr>
        <w:pStyle w:val="7"/>
        <w:spacing w:before="0" w:beforeAutospacing="0" w:after="0" w:afterAutospacing="0" w:line="360" w:lineRule="auto"/>
        <w:ind w:firstLine="420"/>
        <w:rPr>
          <w:sz w:val="21"/>
          <w:szCs w:val="21"/>
        </w:rPr>
      </w:pPr>
      <w:r>
        <w:rPr>
          <w:rFonts w:hint="eastAsia"/>
          <w:sz w:val="21"/>
          <w:szCs w:val="21"/>
        </w:rPr>
        <w:t xml:space="preserve">在定量分析中，本基金注重上市公司以下五个方面的指标：1）盈利能力指标，如净资产收益率等。2）盈利质量指标，如各项现金流指标等。3）成长能力指标，如长期主营业务收入增长率等。4）运营能力指标，如总资产周转率等。5）负债水平指标，如资产负债率等。其中，本基金尤其注重根据上市公司过去三年净资产收益率情况，结合公司未来基本面可能发生的变化，筛选潜在优秀标的进行重点投资。   </w:t>
      </w:r>
    </w:p>
    <w:p>
      <w:pPr>
        <w:pStyle w:val="7"/>
        <w:spacing w:before="0" w:beforeAutospacing="0" w:after="0" w:afterAutospacing="0" w:line="360" w:lineRule="auto"/>
        <w:ind w:firstLine="420"/>
        <w:rPr>
          <w:sz w:val="21"/>
          <w:szCs w:val="21"/>
        </w:rPr>
      </w:pPr>
      <w:r>
        <w:rPr>
          <w:rFonts w:hint="eastAsia"/>
          <w:sz w:val="21"/>
          <w:szCs w:val="21"/>
        </w:rPr>
        <w:t xml:space="preserve">通过定性及定量分析，本基金将选择未来一段时间内具有良好的行业增长空间、所处行业结构相对稳定、在产业链中处于优势地位或上下游运行态势好转、具有一定的垄断竞争优势、公司治理结构透明完善且管理水平领先的上市公司。   </w:t>
      </w:r>
    </w:p>
    <w:p>
      <w:pPr>
        <w:pStyle w:val="7"/>
        <w:spacing w:before="0" w:beforeAutospacing="0" w:after="0" w:afterAutospacing="0" w:line="360" w:lineRule="auto"/>
        <w:ind w:firstLine="420"/>
        <w:rPr>
          <w:sz w:val="21"/>
          <w:szCs w:val="21"/>
        </w:rPr>
      </w:pPr>
      <w:r>
        <w:rPr>
          <w:rFonts w:hint="eastAsia"/>
          <w:sz w:val="21"/>
          <w:szCs w:val="21"/>
        </w:rPr>
        <w:t xml:space="preserve">（2）、通过价值评估，构建核心股票池   </w:t>
      </w:r>
    </w:p>
    <w:p>
      <w:pPr>
        <w:pStyle w:val="7"/>
        <w:spacing w:before="0" w:beforeAutospacing="0" w:after="0" w:afterAutospacing="0" w:line="360" w:lineRule="auto"/>
        <w:ind w:firstLine="420"/>
        <w:rPr>
          <w:sz w:val="21"/>
          <w:szCs w:val="21"/>
        </w:rPr>
      </w:pPr>
      <w:r>
        <w:rPr>
          <w:rFonts w:hint="eastAsia"/>
          <w:sz w:val="21"/>
          <w:szCs w:val="21"/>
        </w:rPr>
        <w:t xml:space="preserve">在构建了初步股票池基础上，本基金进一步对个股进行价值评估，选取估值水平合理的构建核心股票池，作为最终投资标的。主要方法如下：   </w:t>
      </w:r>
    </w:p>
    <w:p>
      <w:pPr>
        <w:pStyle w:val="7"/>
        <w:spacing w:before="0" w:beforeAutospacing="0" w:after="0" w:afterAutospacing="0" w:line="360" w:lineRule="auto"/>
        <w:ind w:firstLine="420"/>
        <w:rPr>
          <w:sz w:val="21"/>
          <w:szCs w:val="21"/>
        </w:rPr>
      </w:pPr>
      <w:r>
        <w:rPr>
          <w:rFonts w:hint="eastAsia"/>
          <w:sz w:val="21"/>
          <w:szCs w:val="21"/>
        </w:rPr>
        <w:t xml:space="preserve">根据上市公司所处行业，基于动态静态指标相结合的原则，以相对估值为主，绝对估值为辅进行判断。相对估值方法包括市盈率（PE）、市盈率相对盈利增长比率（PEG）、市净率（PB）、企业价值倍数（EV/EBITDA）、市销率（PS）、每用户平均收入（ARUP）等，绝对估值方法主要采用股利贴现模型（DDM）和自由现金流贴现模型（DCF），衡量该公司的股价是否处于合理的估值区间。   </w:t>
      </w:r>
    </w:p>
    <w:p>
      <w:pPr>
        <w:pStyle w:val="7"/>
        <w:spacing w:before="0" w:beforeAutospacing="0" w:after="0" w:afterAutospacing="0" w:line="360" w:lineRule="auto"/>
        <w:ind w:firstLine="420"/>
        <w:rPr>
          <w:sz w:val="21"/>
          <w:szCs w:val="21"/>
        </w:rPr>
      </w:pPr>
      <w:r>
        <w:rPr>
          <w:rFonts w:hint="eastAsia"/>
          <w:sz w:val="21"/>
          <w:szCs w:val="21"/>
        </w:rPr>
        <w:t xml:space="preserve">2、存托凭证投资策略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由于流动性管理及策略性投资的需要，本基金将进行国债、金融债、企业债等固定收益类证券以及可转换债券的投资。债券投资策略包括利率策略、信用策略等，由相关领域的专业研究人员提出独立的投资策略建议，经固定收益投资团队讨论，并经投资决策委员会批准后形成固定收益证券指导性投资策略。 </w:t>
      </w:r>
    </w:p>
    <w:p>
      <w:pPr>
        <w:pStyle w:val="7"/>
        <w:spacing w:before="0" w:beforeAutospacing="0" w:after="0" w:afterAutospacing="0" w:line="360" w:lineRule="auto"/>
        <w:ind w:firstLine="420"/>
        <w:rPr>
          <w:sz w:val="21"/>
          <w:szCs w:val="21"/>
        </w:rPr>
      </w:pPr>
      <w:r>
        <w:rPr>
          <w:rFonts w:hint="eastAsia"/>
          <w:sz w:val="21"/>
          <w:szCs w:val="21"/>
        </w:rPr>
        <w:t xml:space="preserve">本基金投资中小企业私募债，基金管理人将根据审慎原则，制定严格的投资决策流程、风险控制制度和信用风险、流动性风险处置预案，并经董事会批准，以防范信用风险、流动性风险等各种风险。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未来随着证券市场投资工具的发展和丰富，在符合有关法律法规规定的前提下，本基金</w:t>
      </w:r>
      <w:bookmarkStart w:id="109" w:name="chapter_level1_11_60_section_1_end"/>
      <w:bookmarkEnd w:id="109"/>
      <w:r>
        <w:rPr>
          <w:rFonts w:hint="eastAsia"/>
          <w:sz w:val="21"/>
          <w:szCs w:val="21"/>
        </w:rPr>
        <w:t xml:space="preserve">可相应调整和更新相关投资策略。 </w:t>
      </w:r>
      <w:bookmarkStart w:id="110" w:name="field_60_investmentstrategy_1_end"/>
      <w:bookmarkEnd w:id="110"/>
      <w:r>
        <w:rPr>
          <w:rFonts w:hint="eastAsia"/>
          <w:sz w:val="21"/>
          <w:szCs w:val="21"/>
        </w:rPr>
        <w:t xml:space="preserve">  </w:t>
      </w:r>
    </w:p>
    <w:p>
      <w:pPr>
        <w:pStyle w:val="7"/>
        <w:spacing w:before="0" w:beforeAutospacing="0" w:after="0" w:afterAutospacing="0" w:line="360" w:lineRule="auto"/>
        <w:ind w:firstLine="420"/>
        <w:rPr>
          <w:sz w:val="21"/>
          <w:szCs w:val="21"/>
        </w:rPr>
      </w:pPr>
      <w:bookmarkStart w:id="111" w:name="chapter_level1_11_60_section_2"/>
      <w:bookmarkEnd w:id="111"/>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（15）本基金参与股指期货、国债期货的交易后，需遵守下列规定：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股指期货和国债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（16）本基金的基金资产总值不得超过基金资产净值的140%；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（17）本基金持有单只中小企业私募债券，其市值不得超过本基金资产净值的10%；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（19）本基金主动投资于流动性受限资产的市值合计不得超过该基金资产净值的15%；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（20）基金与私募类证券资管产品及中国证监会认定的其他主体为交易对手开展逆回购交易的，可接受质押品的资质要求应当与基金合同约定的投资范围保持一致；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12）、（19）、（20）条外，因证券市场及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pPr>
        <w:pStyle w:val="7"/>
        <w:spacing w:before="0" w:beforeAutospacing="0" w:after="0" w:afterAutospacing="0" w:line="360" w:lineRule="auto"/>
        <w:ind w:firstLine="420"/>
        <w:rPr>
          <w:sz w:val="21"/>
          <w:szCs w:val="21"/>
        </w:rPr>
      </w:pPr>
      <w:bookmarkStart w:id="112" w:name="chapter_level1_11_60_section_2_end"/>
      <w:bookmarkEnd w:id="112"/>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13" w:name="chapter_level1_11_60_section_3"/>
      <w:bookmarkEnd w:id="113"/>
      <w:r>
        <w:rPr>
          <w:rFonts w:hint="eastAsia"/>
          <w:sz w:val="21"/>
          <w:szCs w:val="21"/>
        </w:rPr>
        <w:t>本基金的业绩比较基准为：</w:t>
      </w:r>
      <w:bookmarkStart w:id="114" w:name="field_60_benchmark_1_start"/>
      <w:bookmarkEnd w:id="114"/>
      <w:r>
        <w:rPr>
          <w:rFonts w:hint="eastAsia"/>
          <w:sz w:val="21"/>
          <w:szCs w:val="21"/>
        </w:rPr>
        <w:t xml:space="preserve">50%*中证全指指数收益率+50%*中债综合财富(总值)指数收益率 </w:t>
      </w:r>
      <w:bookmarkStart w:id="115" w:name="field_60_benchmark_1_end"/>
      <w:bookmarkEnd w:id="1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中证全指指数由剔除ST、*ST股票，以及上市时间不足3个月等股票后的剩余股票构成样本股，采用市值加权的方式编制而成。中证全指指数由中证指数公司编制，并于2011年8月2日发布，指数涵盖主板、中小板、创业板，可以综合反映沪深A股市场整体表现。中债综合财富(总值)指数是综合反映银行间和交易所市场国债、金融债、企业债、央票及短融整体走势的跨市场债券指数。因此，以“中证全指指数收益率×50% +中债综合财富(总值)指数收益率×50%”为本基金业绩比较基准能够较好反应本基金的产品特性及风险收益特征。 </w:t>
      </w:r>
    </w:p>
    <w:p>
      <w:pPr>
        <w:pStyle w:val="7"/>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指数发布机构变更或者停止上述标的指数编制及发布，或者是市场上出现更加适合用于本基金的业绩比较基准时，在不违反法律法规规定和《基金合同》约定且对基金份额持有人利益无实质性不利影响的前提下，基金管理人经与基金托管人协商一致，在履行适当程</w:t>
      </w:r>
      <w:bookmarkStart w:id="116" w:name="chapter_level1_11_60_section_3_end"/>
      <w:bookmarkEnd w:id="116"/>
      <w:r>
        <w:rPr>
          <w:rFonts w:hint="eastAsia"/>
          <w:sz w:val="21"/>
          <w:szCs w:val="21"/>
        </w:rPr>
        <w:t xml:space="preserve">序后变更本基金业绩比较基准并及时公告。 </w:t>
      </w:r>
    </w:p>
    <w:p>
      <w:pPr>
        <w:pStyle w:val="7"/>
        <w:spacing w:before="0" w:beforeAutospacing="0" w:after="0" w:afterAutospacing="0" w:line="360" w:lineRule="auto"/>
        <w:ind w:firstLine="420"/>
        <w:rPr>
          <w:sz w:val="21"/>
          <w:szCs w:val="21"/>
        </w:rPr>
      </w:pPr>
      <w:bookmarkStart w:id="117" w:name="chapter_level1_11_60_section_4"/>
      <w:bookmarkEnd w:id="117"/>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18" w:name="field_60_riskyield_1_start"/>
      <w:bookmarkEnd w:id="118"/>
      <w:r>
        <w:rPr>
          <w:rFonts w:hint="eastAsia"/>
          <w:sz w:val="21"/>
          <w:szCs w:val="21"/>
        </w:rPr>
        <w:t xml:space="preserve">本基金为混合型基金，其预期收益及预期风险水平低于股票型基金，高于债券型基金及货币市场基金，属于中高收益/风险特征的基金。  </w:t>
      </w:r>
      <w:bookmarkStart w:id="119" w:name="field_60_riskyield_1_end"/>
      <w:bookmarkEnd w:id="11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七、基金管理人代表基金行使股东和债权人权利的处理原则及方法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1、基金管理人按照国家有关规定代表基金独立行使股东和债权人权利，保护基金份额持有人的利益；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20" w:name="chapter_level1_11_60_section_4_end"/>
      <w:bookmarkEnd w:id="120"/>
      <w:r>
        <w:rPr>
          <w:rFonts w:hint="eastAsia"/>
          <w:sz w:val="21"/>
          <w:szCs w:val="21"/>
        </w:rPr>
        <w:t xml:space="preserve">不当利益。 </w:t>
      </w:r>
    </w:p>
    <w:p>
      <w:pPr>
        <w:pStyle w:val="7"/>
        <w:spacing w:before="0" w:beforeAutospacing="0" w:after="0" w:afterAutospacing="0" w:line="360" w:lineRule="auto"/>
        <w:ind w:firstLine="420"/>
        <w:rPr>
          <w:sz w:val="21"/>
          <w:szCs w:val="21"/>
        </w:rPr>
      </w:pPr>
      <w:bookmarkStart w:id="121" w:name="chapter_level1_11_60_section_5_end"/>
      <w:bookmarkEnd w:id="121"/>
      <w:bookmarkStart w:id="122" w:name="chapter_level1_11_60_section_5"/>
      <w:bookmarkEnd w:id="122"/>
      <w:r>
        <w:rPr>
          <w:rStyle w:val="11"/>
          <w:rFonts w:hint="eastAsia"/>
          <w:sz w:val="21"/>
          <w:szCs w:val="21"/>
        </w:rPr>
        <w:t>八、基金投资组合报告</w:t>
      </w:r>
    </w:p>
    <w:p>
      <w:pPr>
        <w:pStyle w:val="7"/>
        <w:spacing w:before="0" w:beforeAutospacing="0" w:after="0" w:afterAutospacing="0" w:line="360" w:lineRule="auto"/>
        <w:ind w:firstLine="420"/>
        <w:rPr>
          <w:sz w:val="21"/>
          <w:szCs w:val="21"/>
        </w:rPr>
      </w:pPr>
      <w:bookmarkStart w:id="123" w:name="chapter_level1_11_60_section_6"/>
      <w:bookmarkEnd w:id="123"/>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24" w:name="field_2343_financeendday_2"/>
      <w:r>
        <w:rPr>
          <w:sz w:val="21"/>
          <w:szCs w:val="21"/>
        </w:rPr>
        <w:t>2021年06月30日</w:t>
      </w:r>
      <w:bookmarkEnd w:id="124"/>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250"/>
        <w:gridCol w:w="2367"/>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shd w:val="clear" w:color="auto" w:fill="auto"/>
          </w:tcPr>
          <w:p>
            <w:pPr>
              <w:pStyle w:val="7"/>
              <w:jc w:val="center"/>
            </w:pPr>
            <w:r>
              <w:rPr>
                <w:rFonts w:hint="eastAsia"/>
              </w:rPr>
              <w:t xml:space="preserve">序号 </w:t>
            </w:r>
          </w:p>
        </w:tc>
        <w:tc>
          <w:tcPr>
            <w:tcW w:w="3675" w:type="dxa"/>
            <w:shd w:val="clear" w:color="auto" w:fill="auto"/>
          </w:tcPr>
          <w:p>
            <w:pPr>
              <w:pStyle w:val="7"/>
              <w:jc w:val="center"/>
            </w:pPr>
            <w:r>
              <w:rPr>
                <w:rFonts w:hint="eastAsia"/>
              </w:rPr>
              <w:t xml:space="preserve">项目 </w:t>
            </w:r>
          </w:p>
        </w:tc>
        <w:tc>
          <w:tcPr>
            <w:tcW w:w="2445" w:type="dxa"/>
            <w:shd w:val="clear" w:color="auto" w:fill="auto"/>
          </w:tcPr>
          <w:p>
            <w:pPr>
              <w:pStyle w:val="7"/>
              <w:jc w:val="center"/>
            </w:pPr>
            <w:r>
              <w:rPr>
                <w:rFonts w:hint="eastAsia"/>
              </w:rPr>
              <w:t xml:space="preserve">金额(元) </w:t>
            </w:r>
          </w:p>
        </w:tc>
        <w:tc>
          <w:tcPr>
            <w:tcW w:w="2430"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1 </w:t>
            </w:r>
          </w:p>
        </w:tc>
        <w:tc>
          <w:tcPr>
            <w:tcW w:w="3675" w:type="dxa"/>
            <w:shd w:val="clear" w:color="auto" w:fill="auto"/>
          </w:tcPr>
          <w:p>
            <w:pPr>
              <w:pStyle w:val="7"/>
            </w:pPr>
            <w:r>
              <w:rPr>
                <w:rFonts w:hint="eastAsia"/>
              </w:rPr>
              <w:t xml:space="preserve">权益投资 </w:t>
            </w:r>
          </w:p>
        </w:tc>
        <w:tc>
          <w:tcPr>
            <w:tcW w:w="2445" w:type="dxa"/>
            <w:shd w:val="clear" w:color="auto" w:fill="auto"/>
          </w:tcPr>
          <w:p>
            <w:pPr>
              <w:pStyle w:val="7"/>
              <w:jc w:val="right"/>
            </w:pPr>
            <w:r>
              <w:rPr>
                <w:rFonts w:hint="eastAsia"/>
              </w:rPr>
              <w:t xml:space="preserve">217,332,819.64 </w:t>
            </w:r>
          </w:p>
        </w:tc>
        <w:tc>
          <w:tcPr>
            <w:tcW w:w="2430" w:type="dxa"/>
            <w:shd w:val="clear" w:color="auto" w:fill="auto"/>
          </w:tcPr>
          <w:p>
            <w:pPr>
              <w:pStyle w:val="7"/>
              <w:jc w:val="right"/>
            </w:pPr>
            <w:r>
              <w:rPr>
                <w:rFonts w:hint="eastAsia"/>
              </w:rPr>
              <w:t xml:space="preserve">91.17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rPr>
                <w:rFonts w:ascii="宋体" w:hAnsi="宋体" w:eastAsia="宋体" w:cs="宋体"/>
                <w:sz w:val="24"/>
                <w:szCs w:val="24"/>
              </w:rPr>
            </w:pPr>
          </w:p>
        </w:tc>
        <w:tc>
          <w:tcPr>
            <w:tcW w:w="3675" w:type="dxa"/>
            <w:shd w:val="clear" w:color="auto" w:fill="auto"/>
          </w:tcPr>
          <w:p>
            <w:pPr>
              <w:pStyle w:val="7"/>
            </w:pPr>
            <w:r>
              <w:rPr>
                <w:rFonts w:hint="eastAsia"/>
              </w:rPr>
              <w:t xml:space="preserve">其中：股票 </w:t>
            </w:r>
          </w:p>
        </w:tc>
        <w:tc>
          <w:tcPr>
            <w:tcW w:w="2445" w:type="dxa"/>
            <w:shd w:val="clear" w:color="auto" w:fill="auto"/>
          </w:tcPr>
          <w:p>
            <w:pPr>
              <w:pStyle w:val="7"/>
              <w:jc w:val="right"/>
            </w:pPr>
            <w:r>
              <w:rPr>
                <w:rFonts w:hint="eastAsia"/>
              </w:rPr>
              <w:t xml:space="preserve">217,332,819.64 </w:t>
            </w:r>
          </w:p>
        </w:tc>
        <w:tc>
          <w:tcPr>
            <w:tcW w:w="2430" w:type="dxa"/>
            <w:shd w:val="clear" w:color="auto" w:fill="auto"/>
          </w:tcPr>
          <w:p>
            <w:pPr>
              <w:pStyle w:val="7"/>
              <w:jc w:val="right"/>
            </w:pPr>
            <w:r>
              <w:rPr>
                <w:rFonts w:hint="eastAsia"/>
              </w:rPr>
              <w:t xml:space="preserve">91.17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2 </w:t>
            </w:r>
          </w:p>
        </w:tc>
        <w:tc>
          <w:tcPr>
            <w:tcW w:w="3675" w:type="dxa"/>
            <w:shd w:val="clear" w:color="auto" w:fill="auto"/>
          </w:tcPr>
          <w:p>
            <w:pPr>
              <w:pStyle w:val="7"/>
            </w:pPr>
            <w:r>
              <w:rPr>
                <w:rFonts w:hint="eastAsia"/>
              </w:rPr>
              <w:t xml:space="preserve">基金投资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3 </w:t>
            </w:r>
          </w:p>
        </w:tc>
        <w:tc>
          <w:tcPr>
            <w:tcW w:w="3675" w:type="dxa"/>
            <w:shd w:val="clear" w:color="auto" w:fill="auto"/>
          </w:tcPr>
          <w:p>
            <w:pPr>
              <w:pStyle w:val="7"/>
            </w:pPr>
            <w:r>
              <w:rPr>
                <w:rFonts w:hint="eastAsia"/>
              </w:rPr>
              <w:t xml:space="preserve">固定收益投资 </w:t>
            </w:r>
          </w:p>
        </w:tc>
        <w:tc>
          <w:tcPr>
            <w:tcW w:w="2445" w:type="dxa"/>
            <w:shd w:val="clear" w:color="auto" w:fill="auto"/>
          </w:tcPr>
          <w:p>
            <w:pPr>
              <w:pStyle w:val="7"/>
              <w:jc w:val="right"/>
            </w:pPr>
            <w:r>
              <w:rPr>
                <w:rFonts w:hint="eastAsia"/>
              </w:rPr>
              <w:t xml:space="preserve">294,600.00 </w:t>
            </w:r>
          </w:p>
        </w:tc>
        <w:tc>
          <w:tcPr>
            <w:tcW w:w="2430" w:type="dxa"/>
            <w:shd w:val="clear" w:color="auto" w:fill="auto"/>
          </w:tcPr>
          <w:p>
            <w:pPr>
              <w:pStyle w:val="7"/>
              <w:jc w:val="right"/>
            </w:pPr>
            <w:r>
              <w:rPr>
                <w:rFonts w:hint="eastAsia"/>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rPr>
                <w:rFonts w:ascii="宋体" w:hAnsi="宋体" w:eastAsia="宋体" w:cs="宋体"/>
                <w:sz w:val="24"/>
                <w:szCs w:val="24"/>
              </w:rPr>
            </w:pPr>
          </w:p>
        </w:tc>
        <w:tc>
          <w:tcPr>
            <w:tcW w:w="3675" w:type="dxa"/>
            <w:shd w:val="clear" w:color="auto" w:fill="auto"/>
          </w:tcPr>
          <w:p>
            <w:pPr>
              <w:pStyle w:val="7"/>
            </w:pPr>
            <w:r>
              <w:rPr>
                <w:rFonts w:hint="eastAsia"/>
              </w:rPr>
              <w:t xml:space="preserve">其中：债券 </w:t>
            </w:r>
          </w:p>
        </w:tc>
        <w:tc>
          <w:tcPr>
            <w:tcW w:w="2445" w:type="dxa"/>
            <w:shd w:val="clear" w:color="auto" w:fill="auto"/>
          </w:tcPr>
          <w:p>
            <w:pPr>
              <w:pStyle w:val="7"/>
              <w:jc w:val="right"/>
            </w:pPr>
            <w:r>
              <w:rPr>
                <w:rFonts w:hint="eastAsia"/>
              </w:rPr>
              <w:t xml:space="preserve">294,600.00 </w:t>
            </w:r>
          </w:p>
        </w:tc>
        <w:tc>
          <w:tcPr>
            <w:tcW w:w="2430" w:type="dxa"/>
            <w:shd w:val="clear" w:color="auto" w:fill="auto"/>
          </w:tcPr>
          <w:p>
            <w:pPr>
              <w:pStyle w:val="7"/>
              <w:jc w:val="right"/>
            </w:pPr>
            <w:r>
              <w:rPr>
                <w:rFonts w:hint="eastAsia"/>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rPr>
                <w:rFonts w:ascii="宋体" w:hAnsi="宋体" w:eastAsia="宋体" w:cs="宋体"/>
                <w:sz w:val="24"/>
                <w:szCs w:val="24"/>
              </w:rPr>
            </w:pPr>
          </w:p>
        </w:tc>
        <w:tc>
          <w:tcPr>
            <w:tcW w:w="3675" w:type="dxa"/>
            <w:shd w:val="clear" w:color="auto" w:fill="auto"/>
          </w:tcPr>
          <w:p>
            <w:pPr>
              <w:pStyle w:val="7"/>
            </w:pPr>
            <w:r>
              <w:rPr>
                <w:rFonts w:hint="eastAsia"/>
              </w:rPr>
              <w:t xml:space="preserve">资产支持证券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4 </w:t>
            </w:r>
          </w:p>
        </w:tc>
        <w:tc>
          <w:tcPr>
            <w:tcW w:w="3675" w:type="dxa"/>
            <w:shd w:val="clear" w:color="auto" w:fill="auto"/>
          </w:tcPr>
          <w:p>
            <w:pPr>
              <w:pStyle w:val="7"/>
            </w:pPr>
            <w:r>
              <w:rPr>
                <w:rFonts w:hint="eastAsia"/>
              </w:rPr>
              <w:t xml:space="preserve">贵金属投资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5 </w:t>
            </w:r>
          </w:p>
        </w:tc>
        <w:tc>
          <w:tcPr>
            <w:tcW w:w="3675" w:type="dxa"/>
            <w:shd w:val="clear" w:color="auto" w:fill="auto"/>
          </w:tcPr>
          <w:p>
            <w:pPr>
              <w:pStyle w:val="7"/>
            </w:pPr>
            <w:r>
              <w:rPr>
                <w:rFonts w:hint="eastAsia"/>
              </w:rPr>
              <w:t xml:space="preserve">金融衍生品投资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6 </w:t>
            </w:r>
          </w:p>
        </w:tc>
        <w:tc>
          <w:tcPr>
            <w:tcW w:w="3675" w:type="dxa"/>
            <w:shd w:val="clear" w:color="auto" w:fill="auto"/>
          </w:tcPr>
          <w:p>
            <w:pPr>
              <w:pStyle w:val="7"/>
            </w:pPr>
            <w:r>
              <w:rPr>
                <w:rFonts w:hint="eastAsia"/>
              </w:rPr>
              <w:t xml:space="preserve">买入返售金融资产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rPr>
                <w:rFonts w:ascii="宋体" w:hAnsi="宋体" w:eastAsia="宋体" w:cs="宋体"/>
                <w:sz w:val="24"/>
                <w:szCs w:val="24"/>
              </w:rPr>
            </w:pPr>
          </w:p>
        </w:tc>
        <w:tc>
          <w:tcPr>
            <w:tcW w:w="3675" w:type="dxa"/>
            <w:shd w:val="clear" w:color="auto" w:fill="auto"/>
          </w:tcPr>
          <w:p>
            <w:pPr>
              <w:pStyle w:val="7"/>
            </w:pPr>
            <w:r>
              <w:rPr>
                <w:rFonts w:hint="eastAsia"/>
              </w:rPr>
              <w:t xml:space="preserve">其中：买断式回购的买入返售金融资产 </w:t>
            </w:r>
          </w:p>
        </w:tc>
        <w:tc>
          <w:tcPr>
            <w:tcW w:w="2445" w:type="dxa"/>
            <w:shd w:val="clear" w:color="auto" w:fill="auto"/>
          </w:tcPr>
          <w:p>
            <w:pPr>
              <w:pStyle w:val="7"/>
              <w:jc w:val="right"/>
            </w:pPr>
            <w:r>
              <w:rPr>
                <w:rFonts w:hint="eastAsia"/>
              </w:rPr>
              <w:t xml:space="preserve">- </w:t>
            </w:r>
          </w:p>
        </w:tc>
        <w:tc>
          <w:tcPr>
            <w:tcW w:w="243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7 </w:t>
            </w:r>
          </w:p>
        </w:tc>
        <w:tc>
          <w:tcPr>
            <w:tcW w:w="3675" w:type="dxa"/>
            <w:shd w:val="clear" w:color="auto" w:fill="auto"/>
          </w:tcPr>
          <w:p>
            <w:pPr>
              <w:pStyle w:val="7"/>
            </w:pPr>
            <w:r>
              <w:rPr>
                <w:rFonts w:hint="eastAsia"/>
              </w:rPr>
              <w:t xml:space="preserve">银行存款和结算备付金合计 </w:t>
            </w:r>
          </w:p>
        </w:tc>
        <w:tc>
          <w:tcPr>
            <w:tcW w:w="2445" w:type="dxa"/>
            <w:shd w:val="clear" w:color="auto" w:fill="auto"/>
          </w:tcPr>
          <w:p>
            <w:pPr>
              <w:pStyle w:val="7"/>
              <w:jc w:val="right"/>
            </w:pPr>
            <w:r>
              <w:rPr>
                <w:rFonts w:hint="eastAsia"/>
              </w:rPr>
              <w:t xml:space="preserve">18,119,393.74 </w:t>
            </w:r>
          </w:p>
        </w:tc>
        <w:tc>
          <w:tcPr>
            <w:tcW w:w="2430" w:type="dxa"/>
            <w:shd w:val="clear" w:color="auto" w:fill="auto"/>
          </w:tcPr>
          <w:p>
            <w:pPr>
              <w:pStyle w:val="7"/>
              <w:jc w:val="right"/>
            </w:pPr>
            <w:r>
              <w:rPr>
                <w:rFonts w:hint="eastAsia"/>
              </w:rPr>
              <w:t xml:space="preserve">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8 </w:t>
            </w:r>
          </w:p>
        </w:tc>
        <w:tc>
          <w:tcPr>
            <w:tcW w:w="3675" w:type="dxa"/>
            <w:shd w:val="clear" w:color="auto" w:fill="auto"/>
          </w:tcPr>
          <w:p>
            <w:pPr>
              <w:pStyle w:val="7"/>
            </w:pPr>
            <w:r>
              <w:rPr>
                <w:rFonts w:hint="eastAsia"/>
              </w:rPr>
              <w:t xml:space="preserve">其他各项资产 </w:t>
            </w:r>
          </w:p>
        </w:tc>
        <w:tc>
          <w:tcPr>
            <w:tcW w:w="2445" w:type="dxa"/>
            <w:shd w:val="clear" w:color="auto" w:fill="auto"/>
          </w:tcPr>
          <w:p>
            <w:pPr>
              <w:pStyle w:val="7"/>
              <w:jc w:val="right"/>
            </w:pPr>
            <w:r>
              <w:rPr>
                <w:rFonts w:hint="eastAsia"/>
              </w:rPr>
              <w:t xml:space="preserve">2,627,516.45 </w:t>
            </w:r>
          </w:p>
        </w:tc>
        <w:tc>
          <w:tcPr>
            <w:tcW w:w="2430" w:type="dxa"/>
            <w:shd w:val="clear" w:color="auto" w:fill="auto"/>
          </w:tcPr>
          <w:p>
            <w:pPr>
              <w:pStyle w:val="7"/>
              <w:jc w:val="right"/>
            </w:pPr>
            <w:r>
              <w:rPr>
                <w:rFonts w:hint="eastAsia"/>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9 </w:t>
            </w:r>
          </w:p>
        </w:tc>
        <w:tc>
          <w:tcPr>
            <w:tcW w:w="3675" w:type="dxa"/>
            <w:shd w:val="clear" w:color="auto" w:fill="auto"/>
          </w:tcPr>
          <w:p>
            <w:pPr>
              <w:pStyle w:val="7"/>
            </w:pPr>
            <w:r>
              <w:rPr>
                <w:rFonts w:hint="eastAsia"/>
              </w:rPr>
              <w:t xml:space="preserve">合计 </w:t>
            </w:r>
          </w:p>
        </w:tc>
        <w:tc>
          <w:tcPr>
            <w:tcW w:w="2445" w:type="dxa"/>
            <w:shd w:val="clear" w:color="auto" w:fill="auto"/>
          </w:tcPr>
          <w:p>
            <w:pPr>
              <w:pStyle w:val="7"/>
              <w:jc w:val="right"/>
            </w:pPr>
            <w:r>
              <w:rPr>
                <w:rFonts w:hint="eastAsia"/>
              </w:rPr>
              <w:t xml:space="preserve">238,374,329.83 </w:t>
            </w:r>
          </w:p>
        </w:tc>
        <w:tc>
          <w:tcPr>
            <w:tcW w:w="2430"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3000"/>
        <w:gridCol w:w="268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代码 </w:t>
            </w:r>
          </w:p>
        </w:tc>
        <w:tc>
          <w:tcPr>
            <w:tcW w:w="3285" w:type="dxa"/>
            <w:shd w:val="clear" w:color="auto" w:fill="auto"/>
          </w:tcPr>
          <w:p>
            <w:pPr>
              <w:pStyle w:val="7"/>
              <w:jc w:val="center"/>
            </w:pPr>
            <w:r>
              <w:rPr>
                <w:rFonts w:hint="eastAsia"/>
              </w:rPr>
              <w:t xml:space="preserve">行业类别 </w:t>
            </w:r>
          </w:p>
        </w:tc>
        <w:tc>
          <w:tcPr>
            <w:tcW w:w="2790" w:type="dxa"/>
            <w:shd w:val="clear" w:color="auto" w:fill="auto"/>
          </w:tcPr>
          <w:p>
            <w:pPr>
              <w:pStyle w:val="7"/>
              <w:jc w:val="center"/>
            </w:pPr>
            <w:r>
              <w:rPr>
                <w:rFonts w:hint="eastAsia"/>
              </w:rPr>
              <w:t xml:space="preserve">公允价值（元） </w:t>
            </w:r>
          </w:p>
        </w:tc>
        <w:tc>
          <w:tcPr>
            <w:tcW w:w="238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A </w:t>
            </w:r>
          </w:p>
        </w:tc>
        <w:tc>
          <w:tcPr>
            <w:tcW w:w="3285" w:type="dxa"/>
            <w:shd w:val="clear" w:color="auto" w:fill="auto"/>
          </w:tcPr>
          <w:p>
            <w:pPr>
              <w:pStyle w:val="7"/>
              <w:ind w:left="105"/>
            </w:pPr>
            <w:r>
              <w:rPr>
                <w:rFonts w:hint="eastAsia"/>
              </w:rPr>
              <w:t xml:space="preserve">农、林、牧、渔业 </w:t>
            </w:r>
          </w:p>
        </w:tc>
        <w:tc>
          <w:tcPr>
            <w:tcW w:w="2790" w:type="dxa"/>
            <w:shd w:val="clear" w:color="auto" w:fill="auto"/>
          </w:tcPr>
          <w:p>
            <w:pPr>
              <w:pStyle w:val="7"/>
              <w:jc w:val="right"/>
            </w:pPr>
            <w:r>
              <w:rPr>
                <w:rFonts w:hint="eastAsia"/>
              </w:rPr>
              <w:t xml:space="preserve">9,198.21 </w:t>
            </w:r>
          </w:p>
        </w:tc>
        <w:tc>
          <w:tcPr>
            <w:tcW w:w="238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B </w:t>
            </w:r>
          </w:p>
        </w:tc>
        <w:tc>
          <w:tcPr>
            <w:tcW w:w="3285" w:type="dxa"/>
            <w:shd w:val="clear" w:color="auto" w:fill="auto"/>
          </w:tcPr>
          <w:p>
            <w:pPr>
              <w:pStyle w:val="7"/>
              <w:ind w:left="105"/>
            </w:pPr>
            <w:r>
              <w:rPr>
                <w:rFonts w:hint="eastAsia"/>
              </w:rPr>
              <w:t xml:space="preserve">采矿业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C </w:t>
            </w:r>
          </w:p>
        </w:tc>
        <w:tc>
          <w:tcPr>
            <w:tcW w:w="3285" w:type="dxa"/>
            <w:shd w:val="clear" w:color="auto" w:fill="auto"/>
          </w:tcPr>
          <w:p>
            <w:pPr>
              <w:pStyle w:val="7"/>
              <w:ind w:left="105"/>
            </w:pPr>
            <w:r>
              <w:rPr>
                <w:rFonts w:hint="eastAsia"/>
              </w:rPr>
              <w:t xml:space="preserve">制造业 </w:t>
            </w:r>
          </w:p>
        </w:tc>
        <w:tc>
          <w:tcPr>
            <w:tcW w:w="2790" w:type="dxa"/>
            <w:shd w:val="clear" w:color="auto" w:fill="auto"/>
          </w:tcPr>
          <w:p>
            <w:pPr>
              <w:pStyle w:val="7"/>
              <w:jc w:val="right"/>
            </w:pPr>
            <w:r>
              <w:rPr>
                <w:rFonts w:hint="eastAsia"/>
              </w:rPr>
              <w:t xml:space="preserve">117,675,263.24 </w:t>
            </w:r>
          </w:p>
        </w:tc>
        <w:tc>
          <w:tcPr>
            <w:tcW w:w="2385" w:type="dxa"/>
            <w:shd w:val="clear" w:color="auto" w:fill="auto"/>
          </w:tcPr>
          <w:p>
            <w:pPr>
              <w:pStyle w:val="7"/>
              <w:jc w:val="right"/>
            </w:pPr>
            <w:r>
              <w:rPr>
                <w:rFonts w:hint="eastAsia"/>
              </w:rPr>
              <w:t xml:space="preserve">50.02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D </w:t>
            </w:r>
          </w:p>
        </w:tc>
        <w:tc>
          <w:tcPr>
            <w:tcW w:w="3285" w:type="dxa"/>
            <w:shd w:val="clear" w:color="auto" w:fill="auto"/>
          </w:tcPr>
          <w:p>
            <w:pPr>
              <w:pStyle w:val="7"/>
              <w:ind w:left="105"/>
            </w:pPr>
            <w:r>
              <w:rPr>
                <w:rFonts w:hint="eastAsia"/>
              </w:rPr>
              <w:t xml:space="preserve">电力、热力、燃气及水生产和供应业 </w:t>
            </w:r>
          </w:p>
        </w:tc>
        <w:tc>
          <w:tcPr>
            <w:tcW w:w="2790" w:type="dxa"/>
            <w:shd w:val="clear" w:color="auto" w:fill="auto"/>
          </w:tcPr>
          <w:p>
            <w:pPr>
              <w:pStyle w:val="7"/>
              <w:jc w:val="right"/>
            </w:pPr>
            <w:r>
              <w:rPr>
                <w:rFonts w:hint="eastAsia"/>
              </w:rPr>
              <w:t xml:space="preserve">5,160,036.60 </w:t>
            </w:r>
          </w:p>
        </w:tc>
        <w:tc>
          <w:tcPr>
            <w:tcW w:w="2385" w:type="dxa"/>
            <w:shd w:val="clear" w:color="auto" w:fill="auto"/>
          </w:tcPr>
          <w:p>
            <w:pPr>
              <w:pStyle w:val="7"/>
              <w:jc w:val="right"/>
            </w:pPr>
            <w:r>
              <w:rPr>
                <w:rFonts w:hint="eastAsia"/>
              </w:rPr>
              <w:t xml:space="preserve">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E </w:t>
            </w:r>
          </w:p>
        </w:tc>
        <w:tc>
          <w:tcPr>
            <w:tcW w:w="3285" w:type="dxa"/>
            <w:shd w:val="clear" w:color="auto" w:fill="auto"/>
          </w:tcPr>
          <w:p>
            <w:pPr>
              <w:pStyle w:val="7"/>
              <w:ind w:left="105"/>
            </w:pPr>
            <w:r>
              <w:rPr>
                <w:rFonts w:hint="eastAsia"/>
              </w:rPr>
              <w:t xml:space="preserve">建筑业 </w:t>
            </w:r>
          </w:p>
        </w:tc>
        <w:tc>
          <w:tcPr>
            <w:tcW w:w="2790" w:type="dxa"/>
            <w:shd w:val="clear" w:color="auto" w:fill="auto"/>
          </w:tcPr>
          <w:p>
            <w:pPr>
              <w:pStyle w:val="7"/>
              <w:jc w:val="right"/>
            </w:pPr>
            <w:r>
              <w:rPr>
                <w:rFonts w:hint="eastAsia"/>
              </w:rPr>
              <w:t xml:space="preserve">25,371.37 </w:t>
            </w:r>
          </w:p>
        </w:tc>
        <w:tc>
          <w:tcPr>
            <w:tcW w:w="238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F </w:t>
            </w:r>
          </w:p>
        </w:tc>
        <w:tc>
          <w:tcPr>
            <w:tcW w:w="3285" w:type="dxa"/>
            <w:shd w:val="clear" w:color="auto" w:fill="auto"/>
          </w:tcPr>
          <w:p>
            <w:pPr>
              <w:pStyle w:val="7"/>
              <w:ind w:left="105"/>
            </w:pPr>
            <w:r>
              <w:rPr>
                <w:rFonts w:hint="eastAsia"/>
              </w:rPr>
              <w:t xml:space="preserve">批发和零售业 </w:t>
            </w:r>
          </w:p>
        </w:tc>
        <w:tc>
          <w:tcPr>
            <w:tcW w:w="2790" w:type="dxa"/>
            <w:shd w:val="clear" w:color="auto" w:fill="auto"/>
          </w:tcPr>
          <w:p>
            <w:pPr>
              <w:pStyle w:val="7"/>
              <w:jc w:val="right"/>
            </w:pPr>
            <w:r>
              <w:rPr>
                <w:rFonts w:hint="eastAsia"/>
              </w:rPr>
              <w:t xml:space="preserve">27,199.53 </w:t>
            </w:r>
          </w:p>
        </w:tc>
        <w:tc>
          <w:tcPr>
            <w:tcW w:w="238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G </w:t>
            </w:r>
          </w:p>
        </w:tc>
        <w:tc>
          <w:tcPr>
            <w:tcW w:w="3285" w:type="dxa"/>
            <w:shd w:val="clear" w:color="auto" w:fill="auto"/>
          </w:tcPr>
          <w:p>
            <w:pPr>
              <w:pStyle w:val="7"/>
              <w:ind w:left="105"/>
            </w:pPr>
            <w:r>
              <w:rPr>
                <w:rFonts w:hint="eastAsia"/>
              </w:rPr>
              <w:t xml:space="preserve">交通运输、仓储和邮政业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H </w:t>
            </w:r>
          </w:p>
        </w:tc>
        <w:tc>
          <w:tcPr>
            <w:tcW w:w="3285" w:type="dxa"/>
            <w:shd w:val="clear" w:color="auto" w:fill="auto"/>
          </w:tcPr>
          <w:p>
            <w:pPr>
              <w:pStyle w:val="7"/>
              <w:ind w:left="105"/>
            </w:pPr>
            <w:r>
              <w:rPr>
                <w:rFonts w:hint="eastAsia"/>
              </w:rPr>
              <w:t xml:space="preserve">住宿和餐饮业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I </w:t>
            </w:r>
          </w:p>
        </w:tc>
        <w:tc>
          <w:tcPr>
            <w:tcW w:w="3285" w:type="dxa"/>
            <w:shd w:val="clear" w:color="auto" w:fill="auto"/>
          </w:tcPr>
          <w:p>
            <w:pPr>
              <w:pStyle w:val="7"/>
              <w:ind w:left="105"/>
            </w:pPr>
            <w:r>
              <w:rPr>
                <w:rFonts w:hint="eastAsia"/>
              </w:rPr>
              <w:t xml:space="preserve">信息传输、软件和信息技术服务业 </w:t>
            </w:r>
          </w:p>
        </w:tc>
        <w:tc>
          <w:tcPr>
            <w:tcW w:w="2790" w:type="dxa"/>
            <w:shd w:val="clear" w:color="auto" w:fill="auto"/>
          </w:tcPr>
          <w:p>
            <w:pPr>
              <w:pStyle w:val="7"/>
              <w:jc w:val="right"/>
            </w:pPr>
            <w:r>
              <w:rPr>
                <w:rFonts w:hint="eastAsia"/>
              </w:rPr>
              <w:t xml:space="preserve">94,373,717.00 </w:t>
            </w:r>
          </w:p>
        </w:tc>
        <w:tc>
          <w:tcPr>
            <w:tcW w:w="2385" w:type="dxa"/>
            <w:shd w:val="clear" w:color="auto" w:fill="auto"/>
          </w:tcPr>
          <w:p>
            <w:pPr>
              <w:pStyle w:val="7"/>
              <w:jc w:val="right"/>
            </w:pPr>
            <w:r>
              <w:rPr>
                <w:rFonts w:hint="eastAsia"/>
              </w:rPr>
              <w:t xml:space="preserve">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J </w:t>
            </w:r>
          </w:p>
        </w:tc>
        <w:tc>
          <w:tcPr>
            <w:tcW w:w="3285" w:type="dxa"/>
            <w:shd w:val="clear" w:color="auto" w:fill="auto"/>
          </w:tcPr>
          <w:p>
            <w:pPr>
              <w:pStyle w:val="7"/>
              <w:ind w:left="105"/>
            </w:pPr>
            <w:r>
              <w:rPr>
                <w:rFonts w:hint="eastAsia"/>
              </w:rPr>
              <w:t xml:space="preserve">金融业 </w:t>
            </w:r>
          </w:p>
        </w:tc>
        <w:tc>
          <w:tcPr>
            <w:tcW w:w="2790" w:type="dxa"/>
            <w:shd w:val="clear" w:color="auto" w:fill="auto"/>
          </w:tcPr>
          <w:p>
            <w:pPr>
              <w:pStyle w:val="7"/>
              <w:jc w:val="right"/>
            </w:pPr>
            <w:r>
              <w:rPr>
                <w:rFonts w:hint="eastAsia"/>
              </w:rPr>
              <w:t xml:space="preserve">47,971.10 </w:t>
            </w:r>
          </w:p>
        </w:tc>
        <w:tc>
          <w:tcPr>
            <w:tcW w:w="2385" w:type="dxa"/>
            <w:shd w:val="clear" w:color="auto" w:fill="auto"/>
          </w:tcPr>
          <w:p>
            <w:pPr>
              <w:pStyle w:val="7"/>
              <w:jc w:val="right"/>
            </w:pPr>
            <w:r>
              <w:rPr>
                <w:rFonts w:hint="eastAsia"/>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K </w:t>
            </w:r>
          </w:p>
        </w:tc>
        <w:tc>
          <w:tcPr>
            <w:tcW w:w="3285" w:type="dxa"/>
            <w:shd w:val="clear" w:color="auto" w:fill="auto"/>
          </w:tcPr>
          <w:p>
            <w:pPr>
              <w:pStyle w:val="7"/>
              <w:ind w:left="105"/>
            </w:pPr>
            <w:r>
              <w:rPr>
                <w:rFonts w:hint="eastAsia"/>
              </w:rPr>
              <w:t xml:space="preserve">房地产业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L </w:t>
            </w:r>
          </w:p>
        </w:tc>
        <w:tc>
          <w:tcPr>
            <w:tcW w:w="3285" w:type="dxa"/>
            <w:shd w:val="clear" w:color="auto" w:fill="auto"/>
          </w:tcPr>
          <w:p>
            <w:pPr>
              <w:pStyle w:val="7"/>
              <w:ind w:left="105"/>
            </w:pPr>
            <w:r>
              <w:rPr>
                <w:rFonts w:hint="eastAsia"/>
              </w:rPr>
              <w:t xml:space="preserve">租赁和商务服务业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M </w:t>
            </w:r>
          </w:p>
        </w:tc>
        <w:tc>
          <w:tcPr>
            <w:tcW w:w="3285" w:type="dxa"/>
            <w:shd w:val="clear" w:color="auto" w:fill="auto"/>
          </w:tcPr>
          <w:p>
            <w:pPr>
              <w:pStyle w:val="7"/>
              <w:ind w:left="105"/>
            </w:pPr>
            <w:r>
              <w:rPr>
                <w:rFonts w:hint="eastAsia"/>
              </w:rPr>
              <w:t xml:space="preserve">科学研究和技术服务业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N </w:t>
            </w:r>
          </w:p>
        </w:tc>
        <w:tc>
          <w:tcPr>
            <w:tcW w:w="3285" w:type="dxa"/>
            <w:shd w:val="clear" w:color="auto" w:fill="auto"/>
          </w:tcPr>
          <w:p>
            <w:pPr>
              <w:pStyle w:val="7"/>
              <w:ind w:left="105"/>
            </w:pPr>
            <w:r>
              <w:rPr>
                <w:rFonts w:hint="eastAsia"/>
              </w:rPr>
              <w:t xml:space="preserve">水利、环境和公共设施管理业 </w:t>
            </w:r>
          </w:p>
        </w:tc>
        <w:tc>
          <w:tcPr>
            <w:tcW w:w="2790" w:type="dxa"/>
            <w:shd w:val="clear" w:color="auto" w:fill="auto"/>
          </w:tcPr>
          <w:p>
            <w:pPr>
              <w:pStyle w:val="7"/>
              <w:jc w:val="right"/>
            </w:pPr>
            <w:r>
              <w:rPr>
                <w:rFonts w:hint="eastAsia"/>
              </w:rPr>
              <w:t xml:space="preserve">14,062.59 </w:t>
            </w:r>
          </w:p>
        </w:tc>
        <w:tc>
          <w:tcPr>
            <w:tcW w:w="2385"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O </w:t>
            </w:r>
          </w:p>
        </w:tc>
        <w:tc>
          <w:tcPr>
            <w:tcW w:w="3285" w:type="dxa"/>
            <w:shd w:val="clear" w:color="auto" w:fill="auto"/>
          </w:tcPr>
          <w:p>
            <w:pPr>
              <w:pStyle w:val="7"/>
              <w:ind w:left="105"/>
            </w:pPr>
            <w:r>
              <w:rPr>
                <w:rFonts w:hint="eastAsia"/>
              </w:rPr>
              <w:t xml:space="preserve">居民服务、修理和其他服务业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P </w:t>
            </w:r>
          </w:p>
        </w:tc>
        <w:tc>
          <w:tcPr>
            <w:tcW w:w="3285" w:type="dxa"/>
            <w:shd w:val="clear" w:color="auto" w:fill="auto"/>
          </w:tcPr>
          <w:p>
            <w:pPr>
              <w:pStyle w:val="7"/>
              <w:ind w:left="105"/>
            </w:pPr>
            <w:r>
              <w:rPr>
                <w:rFonts w:hint="eastAsia"/>
              </w:rPr>
              <w:t xml:space="preserve">教育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Q </w:t>
            </w:r>
          </w:p>
        </w:tc>
        <w:tc>
          <w:tcPr>
            <w:tcW w:w="3285" w:type="dxa"/>
            <w:shd w:val="clear" w:color="auto" w:fill="auto"/>
          </w:tcPr>
          <w:p>
            <w:pPr>
              <w:pStyle w:val="7"/>
              <w:ind w:left="105"/>
            </w:pPr>
            <w:r>
              <w:rPr>
                <w:rFonts w:hint="eastAsia"/>
              </w:rPr>
              <w:t xml:space="preserve">卫生和社会工作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R </w:t>
            </w:r>
          </w:p>
        </w:tc>
        <w:tc>
          <w:tcPr>
            <w:tcW w:w="3285" w:type="dxa"/>
            <w:shd w:val="clear" w:color="auto" w:fill="auto"/>
          </w:tcPr>
          <w:p>
            <w:pPr>
              <w:pStyle w:val="7"/>
              <w:ind w:left="105"/>
            </w:pPr>
            <w:r>
              <w:rPr>
                <w:rFonts w:hint="eastAsia"/>
              </w:rPr>
              <w:t xml:space="preserve">文化、体育和娱乐业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pStyle w:val="7"/>
              <w:jc w:val="center"/>
            </w:pPr>
            <w:r>
              <w:rPr>
                <w:rFonts w:hint="eastAsia"/>
              </w:rPr>
              <w:t xml:space="preserve">S </w:t>
            </w:r>
          </w:p>
        </w:tc>
        <w:tc>
          <w:tcPr>
            <w:tcW w:w="3285" w:type="dxa"/>
            <w:shd w:val="clear" w:color="auto" w:fill="auto"/>
          </w:tcPr>
          <w:p>
            <w:pPr>
              <w:pStyle w:val="7"/>
              <w:ind w:left="105"/>
            </w:pPr>
            <w:r>
              <w:rPr>
                <w:rFonts w:hint="eastAsia"/>
              </w:rPr>
              <w:t xml:space="preserve">综合 </w:t>
            </w:r>
          </w:p>
        </w:tc>
        <w:tc>
          <w:tcPr>
            <w:tcW w:w="2790" w:type="dxa"/>
            <w:shd w:val="clear" w:color="auto" w:fill="auto"/>
          </w:tcPr>
          <w:p>
            <w:pPr>
              <w:pStyle w:val="7"/>
              <w:jc w:val="right"/>
            </w:pPr>
            <w:r>
              <w:rPr>
                <w:rFonts w:hint="eastAsia"/>
              </w:rPr>
              <w:t xml:space="preserve">- </w:t>
            </w:r>
          </w:p>
        </w:tc>
        <w:tc>
          <w:tcPr>
            <w:tcW w:w="238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shd w:val="clear" w:color="auto" w:fill="auto"/>
          </w:tcPr>
          <w:p>
            <w:pPr>
              <w:rPr>
                <w:rFonts w:ascii="宋体" w:hAnsi="宋体" w:eastAsia="宋体" w:cs="宋体"/>
                <w:sz w:val="24"/>
                <w:szCs w:val="24"/>
              </w:rPr>
            </w:pPr>
          </w:p>
        </w:tc>
        <w:tc>
          <w:tcPr>
            <w:tcW w:w="3285" w:type="dxa"/>
            <w:shd w:val="clear" w:color="auto" w:fill="auto"/>
          </w:tcPr>
          <w:p>
            <w:pPr>
              <w:pStyle w:val="7"/>
              <w:ind w:left="105"/>
            </w:pPr>
            <w:r>
              <w:rPr>
                <w:rFonts w:hint="eastAsia"/>
              </w:rPr>
              <w:t xml:space="preserve">合计 </w:t>
            </w:r>
          </w:p>
        </w:tc>
        <w:tc>
          <w:tcPr>
            <w:tcW w:w="2790" w:type="dxa"/>
            <w:shd w:val="clear" w:color="auto" w:fill="auto"/>
          </w:tcPr>
          <w:p>
            <w:pPr>
              <w:pStyle w:val="7"/>
              <w:jc w:val="right"/>
            </w:pPr>
            <w:r>
              <w:rPr>
                <w:rFonts w:hint="eastAsia"/>
              </w:rPr>
              <w:t xml:space="preserve">217,332,819.64 </w:t>
            </w:r>
          </w:p>
        </w:tc>
        <w:tc>
          <w:tcPr>
            <w:tcW w:w="2385" w:type="dxa"/>
            <w:shd w:val="clear" w:color="auto" w:fill="auto"/>
          </w:tcPr>
          <w:p>
            <w:pPr>
              <w:pStyle w:val="7"/>
              <w:jc w:val="right"/>
            </w:pPr>
            <w:r>
              <w:rPr>
                <w:rFonts w:hint="eastAsia"/>
              </w:rPr>
              <w:t xml:space="preserve">92.39 </w:t>
            </w:r>
          </w:p>
        </w:tc>
      </w:tr>
    </w:tbl>
    <w:p>
      <w:pPr>
        <w:pStyle w:val="7"/>
        <w:spacing w:before="0" w:beforeAutospacing="0" w:after="0" w:afterAutospacing="0" w:line="360" w:lineRule="auto"/>
        <w:ind w:firstLine="420"/>
        <w:rPr>
          <w:sz w:val="21"/>
          <w:szCs w:val="21"/>
        </w:rPr>
      </w:pPr>
      <w:r>
        <w:rPr>
          <w:rFonts w:hint="eastAsia"/>
          <w:sz w:val="21"/>
          <w:szCs w:val="21"/>
        </w:rPr>
        <w:t xml:space="preserve">3期末按公允价值占基金资产净值比例大小排序的股票投资明细 </w:t>
      </w:r>
    </w:p>
    <w:p>
      <w:pPr>
        <w:pStyle w:val="7"/>
        <w:spacing w:before="0" w:beforeAutospacing="0" w:after="0" w:afterAutospacing="0" w:line="360" w:lineRule="auto"/>
        <w:ind w:firstLine="420"/>
        <w:rPr>
          <w:sz w:val="21"/>
          <w:szCs w:val="21"/>
        </w:rPr>
      </w:pPr>
      <w:r>
        <w:rPr>
          <w:rFonts w:hint="eastAsia"/>
          <w:sz w:val="21"/>
          <w:szCs w:val="21"/>
        </w:rPr>
        <w:t xml:space="preserve">3.1报告期末按公允价值占基金资产净值比例大小排序的前十名股票投资明细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232"/>
        <w:gridCol w:w="1093"/>
        <w:gridCol w:w="1632"/>
        <w:gridCol w:w="1872"/>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序号 </w:t>
            </w:r>
          </w:p>
        </w:tc>
        <w:tc>
          <w:tcPr>
            <w:tcW w:w="1290" w:type="dxa"/>
            <w:shd w:val="clear" w:color="auto" w:fill="auto"/>
          </w:tcPr>
          <w:p>
            <w:pPr>
              <w:pStyle w:val="7"/>
              <w:jc w:val="center"/>
            </w:pPr>
            <w:r>
              <w:rPr>
                <w:rFonts w:hint="eastAsia"/>
              </w:rPr>
              <w:t xml:space="preserve">股票代码 </w:t>
            </w:r>
          </w:p>
        </w:tc>
        <w:tc>
          <w:tcPr>
            <w:tcW w:w="1320" w:type="dxa"/>
            <w:shd w:val="clear" w:color="auto" w:fill="auto"/>
          </w:tcPr>
          <w:p>
            <w:pPr>
              <w:pStyle w:val="7"/>
              <w:jc w:val="center"/>
            </w:pPr>
            <w:r>
              <w:rPr>
                <w:rFonts w:hint="eastAsia"/>
              </w:rPr>
              <w:t xml:space="preserve">股票名称 </w:t>
            </w:r>
          </w:p>
        </w:tc>
        <w:tc>
          <w:tcPr>
            <w:tcW w:w="1680" w:type="dxa"/>
            <w:shd w:val="clear" w:color="auto" w:fill="auto"/>
          </w:tcPr>
          <w:p>
            <w:pPr>
              <w:pStyle w:val="7"/>
              <w:jc w:val="center"/>
            </w:pPr>
            <w:r>
              <w:rPr>
                <w:rFonts w:hint="eastAsia"/>
              </w:rPr>
              <w:t xml:space="preserve">数量(股) </w:t>
            </w:r>
          </w:p>
        </w:tc>
        <w:tc>
          <w:tcPr>
            <w:tcW w:w="1785" w:type="dxa"/>
            <w:shd w:val="clear" w:color="auto" w:fill="auto"/>
          </w:tcPr>
          <w:p>
            <w:pPr>
              <w:pStyle w:val="7"/>
              <w:jc w:val="center"/>
            </w:pPr>
            <w:r>
              <w:rPr>
                <w:rFonts w:hint="eastAsia"/>
              </w:rPr>
              <w:t xml:space="preserve">公允价值(元) </w:t>
            </w:r>
          </w:p>
        </w:tc>
        <w:tc>
          <w:tcPr>
            <w:tcW w:w="249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1 </w:t>
            </w:r>
          </w:p>
        </w:tc>
        <w:tc>
          <w:tcPr>
            <w:tcW w:w="1380" w:type="dxa"/>
            <w:shd w:val="clear" w:color="auto" w:fill="auto"/>
          </w:tcPr>
          <w:p>
            <w:pPr>
              <w:pStyle w:val="7"/>
              <w:jc w:val="center"/>
            </w:pPr>
            <w:r>
              <w:rPr>
                <w:rFonts w:hint="eastAsia"/>
              </w:rPr>
              <w:t xml:space="preserve">300674 </w:t>
            </w:r>
          </w:p>
        </w:tc>
        <w:tc>
          <w:tcPr>
            <w:tcW w:w="1410" w:type="dxa"/>
            <w:shd w:val="clear" w:color="auto" w:fill="auto"/>
          </w:tcPr>
          <w:p>
            <w:pPr>
              <w:pStyle w:val="7"/>
              <w:jc w:val="center"/>
            </w:pPr>
            <w:r>
              <w:rPr>
                <w:rFonts w:hint="eastAsia"/>
              </w:rPr>
              <w:t xml:space="preserve">宇信科技 </w:t>
            </w:r>
          </w:p>
        </w:tc>
        <w:tc>
          <w:tcPr>
            <w:tcW w:w="1800" w:type="dxa"/>
            <w:shd w:val="clear" w:color="auto" w:fill="auto"/>
          </w:tcPr>
          <w:p>
            <w:pPr>
              <w:pStyle w:val="7"/>
              <w:jc w:val="right"/>
            </w:pPr>
            <w:r>
              <w:rPr>
                <w:rFonts w:hint="eastAsia"/>
              </w:rPr>
              <w:t xml:space="preserve">796,960 </w:t>
            </w:r>
          </w:p>
        </w:tc>
        <w:tc>
          <w:tcPr>
            <w:tcW w:w="1920" w:type="dxa"/>
            <w:shd w:val="clear" w:color="auto" w:fill="auto"/>
          </w:tcPr>
          <w:p>
            <w:pPr>
              <w:pStyle w:val="7"/>
              <w:jc w:val="right"/>
            </w:pPr>
            <w:r>
              <w:rPr>
                <w:rFonts w:hint="eastAsia"/>
              </w:rPr>
              <w:t xml:space="preserve">14,895,182.40 </w:t>
            </w:r>
          </w:p>
        </w:tc>
        <w:tc>
          <w:tcPr>
            <w:tcW w:w="2670" w:type="dxa"/>
            <w:shd w:val="clear" w:color="auto" w:fill="auto"/>
          </w:tcPr>
          <w:p>
            <w:pPr>
              <w:pStyle w:val="7"/>
              <w:jc w:val="right"/>
            </w:pPr>
            <w:r>
              <w:rPr>
                <w:rFonts w:hint="eastAsia"/>
              </w:rPr>
              <w:t xml:space="preserve">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2 </w:t>
            </w:r>
          </w:p>
        </w:tc>
        <w:tc>
          <w:tcPr>
            <w:tcW w:w="1380" w:type="dxa"/>
            <w:shd w:val="clear" w:color="auto" w:fill="auto"/>
          </w:tcPr>
          <w:p>
            <w:pPr>
              <w:pStyle w:val="7"/>
              <w:jc w:val="center"/>
            </w:pPr>
            <w:r>
              <w:rPr>
                <w:rFonts w:hint="eastAsia"/>
              </w:rPr>
              <w:t xml:space="preserve">300271 </w:t>
            </w:r>
          </w:p>
        </w:tc>
        <w:tc>
          <w:tcPr>
            <w:tcW w:w="1410" w:type="dxa"/>
            <w:shd w:val="clear" w:color="auto" w:fill="auto"/>
          </w:tcPr>
          <w:p>
            <w:pPr>
              <w:pStyle w:val="7"/>
              <w:jc w:val="center"/>
            </w:pPr>
            <w:r>
              <w:rPr>
                <w:rFonts w:hint="eastAsia"/>
              </w:rPr>
              <w:t xml:space="preserve">华宇软件 </w:t>
            </w:r>
          </w:p>
        </w:tc>
        <w:tc>
          <w:tcPr>
            <w:tcW w:w="1800" w:type="dxa"/>
            <w:shd w:val="clear" w:color="auto" w:fill="auto"/>
          </w:tcPr>
          <w:p>
            <w:pPr>
              <w:pStyle w:val="7"/>
              <w:jc w:val="right"/>
            </w:pPr>
            <w:r>
              <w:rPr>
                <w:rFonts w:hint="eastAsia"/>
              </w:rPr>
              <w:t xml:space="preserve">759,836 </w:t>
            </w:r>
          </w:p>
        </w:tc>
        <w:tc>
          <w:tcPr>
            <w:tcW w:w="1920" w:type="dxa"/>
            <w:shd w:val="clear" w:color="auto" w:fill="auto"/>
          </w:tcPr>
          <w:p>
            <w:pPr>
              <w:pStyle w:val="7"/>
              <w:jc w:val="right"/>
            </w:pPr>
            <w:r>
              <w:rPr>
                <w:rFonts w:hint="eastAsia"/>
              </w:rPr>
              <w:t xml:space="preserve">14,626,843.00 </w:t>
            </w:r>
          </w:p>
        </w:tc>
        <w:tc>
          <w:tcPr>
            <w:tcW w:w="2670" w:type="dxa"/>
            <w:shd w:val="clear" w:color="auto" w:fill="auto"/>
          </w:tcPr>
          <w:p>
            <w:pPr>
              <w:pStyle w:val="7"/>
              <w:jc w:val="right"/>
            </w:pPr>
            <w:r>
              <w:rPr>
                <w:rFonts w:hint="eastAsia"/>
              </w:rPr>
              <w:t xml:space="preserve">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3 </w:t>
            </w:r>
          </w:p>
        </w:tc>
        <w:tc>
          <w:tcPr>
            <w:tcW w:w="1380" w:type="dxa"/>
            <w:shd w:val="clear" w:color="auto" w:fill="auto"/>
          </w:tcPr>
          <w:p>
            <w:pPr>
              <w:pStyle w:val="7"/>
              <w:jc w:val="center"/>
            </w:pPr>
            <w:r>
              <w:rPr>
                <w:rFonts w:hint="eastAsia"/>
              </w:rPr>
              <w:t xml:space="preserve">300470 </w:t>
            </w:r>
          </w:p>
        </w:tc>
        <w:tc>
          <w:tcPr>
            <w:tcW w:w="1410" w:type="dxa"/>
            <w:shd w:val="clear" w:color="auto" w:fill="auto"/>
          </w:tcPr>
          <w:p>
            <w:pPr>
              <w:pStyle w:val="7"/>
              <w:jc w:val="center"/>
            </w:pPr>
            <w:r>
              <w:rPr>
                <w:rFonts w:hint="eastAsia"/>
              </w:rPr>
              <w:t xml:space="preserve">中密控股 </w:t>
            </w:r>
          </w:p>
        </w:tc>
        <w:tc>
          <w:tcPr>
            <w:tcW w:w="1800" w:type="dxa"/>
            <w:shd w:val="clear" w:color="auto" w:fill="auto"/>
          </w:tcPr>
          <w:p>
            <w:pPr>
              <w:pStyle w:val="7"/>
              <w:jc w:val="right"/>
            </w:pPr>
            <w:r>
              <w:rPr>
                <w:rFonts w:hint="eastAsia"/>
              </w:rPr>
              <w:t xml:space="preserve">364,112 </w:t>
            </w:r>
          </w:p>
        </w:tc>
        <w:tc>
          <w:tcPr>
            <w:tcW w:w="1920" w:type="dxa"/>
            <w:shd w:val="clear" w:color="auto" w:fill="auto"/>
          </w:tcPr>
          <w:p>
            <w:pPr>
              <w:pStyle w:val="7"/>
              <w:jc w:val="right"/>
            </w:pPr>
            <w:r>
              <w:rPr>
                <w:rFonts w:hint="eastAsia"/>
              </w:rPr>
              <w:t xml:space="preserve">14,069,287.68 </w:t>
            </w:r>
          </w:p>
        </w:tc>
        <w:tc>
          <w:tcPr>
            <w:tcW w:w="2670" w:type="dxa"/>
            <w:shd w:val="clear" w:color="auto" w:fill="auto"/>
          </w:tcPr>
          <w:p>
            <w:pPr>
              <w:pStyle w:val="7"/>
              <w:jc w:val="right"/>
            </w:pPr>
            <w:r>
              <w:rPr>
                <w:rFonts w:hint="eastAsia"/>
              </w:rPr>
              <w:t xml:space="preserve">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4 </w:t>
            </w:r>
          </w:p>
        </w:tc>
        <w:tc>
          <w:tcPr>
            <w:tcW w:w="1380" w:type="dxa"/>
            <w:shd w:val="clear" w:color="auto" w:fill="auto"/>
          </w:tcPr>
          <w:p>
            <w:pPr>
              <w:pStyle w:val="7"/>
              <w:jc w:val="center"/>
            </w:pPr>
            <w:r>
              <w:rPr>
                <w:rFonts w:hint="eastAsia"/>
              </w:rPr>
              <w:t xml:space="preserve">300487 </w:t>
            </w:r>
          </w:p>
        </w:tc>
        <w:tc>
          <w:tcPr>
            <w:tcW w:w="1410" w:type="dxa"/>
            <w:shd w:val="clear" w:color="auto" w:fill="auto"/>
          </w:tcPr>
          <w:p>
            <w:pPr>
              <w:pStyle w:val="7"/>
              <w:jc w:val="center"/>
            </w:pPr>
            <w:r>
              <w:rPr>
                <w:rFonts w:hint="eastAsia"/>
              </w:rPr>
              <w:t xml:space="preserve">蓝晓科技 </w:t>
            </w:r>
          </w:p>
        </w:tc>
        <w:tc>
          <w:tcPr>
            <w:tcW w:w="1800" w:type="dxa"/>
            <w:shd w:val="clear" w:color="auto" w:fill="auto"/>
          </w:tcPr>
          <w:p>
            <w:pPr>
              <w:pStyle w:val="7"/>
              <w:jc w:val="right"/>
            </w:pPr>
            <w:r>
              <w:rPr>
                <w:rFonts w:hint="eastAsia"/>
              </w:rPr>
              <w:t xml:space="preserve">161,700 </w:t>
            </w:r>
          </w:p>
        </w:tc>
        <w:tc>
          <w:tcPr>
            <w:tcW w:w="1920" w:type="dxa"/>
            <w:shd w:val="clear" w:color="auto" w:fill="auto"/>
          </w:tcPr>
          <w:p>
            <w:pPr>
              <w:pStyle w:val="7"/>
              <w:jc w:val="right"/>
            </w:pPr>
            <w:r>
              <w:rPr>
                <w:rFonts w:hint="eastAsia"/>
              </w:rPr>
              <w:t xml:space="preserve">13,679,820.00 </w:t>
            </w:r>
          </w:p>
        </w:tc>
        <w:tc>
          <w:tcPr>
            <w:tcW w:w="2670" w:type="dxa"/>
            <w:shd w:val="clear" w:color="auto" w:fill="auto"/>
          </w:tcPr>
          <w:p>
            <w:pPr>
              <w:pStyle w:val="7"/>
              <w:jc w:val="right"/>
            </w:pPr>
            <w:r>
              <w:rPr>
                <w:rFonts w:hint="eastAsia"/>
              </w:rPr>
              <w:t xml:space="preserve">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5 </w:t>
            </w:r>
          </w:p>
        </w:tc>
        <w:tc>
          <w:tcPr>
            <w:tcW w:w="1380" w:type="dxa"/>
            <w:shd w:val="clear" w:color="auto" w:fill="auto"/>
          </w:tcPr>
          <w:p>
            <w:pPr>
              <w:pStyle w:val="7"/>
              <w:jc w:val="center"/>
            </w:pPr>
            <w:r>
              <w:rPr>
                <w:rFonts w:hint="eastAsia"/>
              </w:rPr>
              <w:t xml:space="preserve">688595 </w:t>
            </w:r>
          </w:p>
        </w:tc>
        <w:tc>
          <w:tcPr>
            <w:tcW w:w="1410" w:type="dxa"/>
            <w:shd w:val="clear" w:color="auto" w:fill="auto"/>
          </w:tcPr>
          <w:p>
            <w:pPr>
              <w:pStyle w:val="7"/>
              <w:jc w:val="center"/>
            </w:pPr>
            <w:r>
              <w:rPr>
                <w:rFonts w:hint="eastAsia"/>
              </w:rPr>
              <w:t xml:space="preserve">芯海科技 </w:t>
            </w:r>
          </w:p>
        </w:tc>
        <w:tc>
          <w:tcPr>
            <w:tcW w:w="1800" w:type="dxa"/>
            <w:shd w:val="clear" w:color="auto" w:fill="auto"/>
          </w:tcPr>
          <w:p>
            <w:pPr>
              <w:pStyle w:val="7"/>
              <w:jc w:val="right"/>
            </w:pPr>
            <w:r>
              <w:rPr>
                <w:rFonts w:hint="eastAsia"/>
              </w:rPr>
              <w:t xml:space="preserve">137,583 </w:t>
            </w:r>
          </w:p>
        </w:tc>
        <w:tc>
          <w:tcPr>
            <w:tcW w:w="1920" w:type="dxa"/>
            <w:shd w:val="clear" w:color="auto" w:fill="auto"/>
          </w:tcPr>
          <w:p>
            <w:pPr>
              <w:pStyle w:val="7"/>
              <w:jc w:val="right"/>
            </w:pPr>
            <w:r>
              <w:rPr>
                <w:rFonts w:hint="eastAsia"/>
              </w:rPr>
              <w:t xml:space="preserve">12,103,176.51 </w:t>
            </w:r>
          </w:p>
        </w:tc>
        <w:tc>
          <w:tcPr>
            <w:tcW w:w="2670" w:type="dxa"/>
            <w:shd w:val="clear" w:color="auto" w:fill="auto"/>
          </w:tcPr>
          <w:p>
            <w:pPr>
              <w:pStyle w:val="7"/>
              <w:jc w:val="right"/>
            </w:pPr>
            <w:r>
              <w:rPr>
                <w:rFonts w:hint="eastAsia"/>
              </w:rPr>
              <w:t xml:space="preserve">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6 </w:t>
            </w:r>
          </w:p>
        </w:tc>
        <w:tc>
          <w:tcPr>
            <w:tcW w:w="1380" w:type="dxa"/>
            <w:shd w:val="clear" w:color="auto" w:fill="auto"/>
          </w:tcPr>
          <w:p>
            <w:pPr>
              <w:pStyle w:val="7"/>
              <w:jc w:val="center"/>
            </w:pPr>
            <w:r>
              <w:rPr>
                <w:rFonts w:hint="eastAsia"/>
              </w:rPr>
              <w:t xml:space="preserve">603989 </w:t>
            </w:r>
          </w:p>
        </w:tc>
        <w:tc>
          <w:tcPr>
            <w:tcW w:w="1410" w:type="dxa"/>
            <w:shd w:val="clear" w:color="auto" w:fill="auto"/>
          </w:tcPr>
          <w:p>
            <w:pPr>
              <w:pStyle w:val="7"/>
              <w:jc w:val="center"/>
            </w:pPr>
            <w:r>
              <w:rPr>
                <w:rFonts w:hint="eastAsia"/>
              </w:rPr>
              <w:t xml:space="preserve">艾华集团 </w:t>
            </w:r>
          </w:p>
        </w:tc>
        <w:tc>
          <w:tcPr>
            <w:tcW w:w="1800" w:type="dxa"/>
            <w:shd w:val="clear" w:color="auto" w:fill="auto"/>
          </w:tcPr>
          <w:p>
            <w:pPr>
              <w:pStyle w:val="7"/>
              <w:jc w:val="right"/>
            </w:pPr>
            <w:r>
              <w:rPr>
                <w:rFonts w:hint="eastAsia"/>
              </w:rPr>
              <w:t xml:space="preserve">369,123 </w:t>
            </w:r>
          </w:p>
        </w:tc>
        <w:tc>
          <w:tcPr>
            <w:tcW w:w="1920" w:type="dxa"/>
            <w:shd w:val="clear" w:color="auto" w:fill="auto"/>
          </w:tcPr>
          <w:p>
            <w:pPr>
              <w:pStyle w:val="7"/>
              <w:jc w:val="right"/>
            </w:pPr>
            <w:r>
              <w:rPr>
                <w:rFonts w:hint="eastAsia"/>
              </w:rPr>
              <w:t xml:space="preserve">12,029,718.57 </w:t>
            </w:r>
          </w:p>
        </w:tc>
        <w:tc>
          <w:tcPr>
            <w:tcW w:w="2670" w:type="dxa"/>
            <w:shd w:val="clear" w:color="auto" w:fill="auto"/>
          </w:tcPr>
          <w:p>
            <w:pPr>
              <w:pStyle w:val="7"/>
              <w:jc w:val="right"/>
            </w:pPr>
            <w:r>
              <w:rPr>
                <w:rFonts w:hint="eastAsia"/>
              </w:rPr>
              <w:t xml:space="preserve">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7 </w:t>
            </w:r>
          </w:p>
        </w:tc>
        <w:tc>
          <w:tcPr>
            <w:tcW w:w="1380" w:type="dxa"/>
            <w:shd w:val="clear" w:color="auto" w:fill="auto"/>
          </w:tcPr>
          <w:p>
            <w:pPr>
              <w:pStyle w:val="7"/>
              <w:jc w:val="center"/>
            </w:pPr>
            <w:r>
              <w:rPr>
                <w:rFonts w:hint="eastAsia"/>
              </w:rPr>
              <w:t xml:space="preserve">002777 </w:t>
            </w:r>
          </w:p>
        </w:tc>
        <w:tc>
          <w:tcPr>
            <w:tcW w:w="1410" w:type="dxa"/>
            <w:shd w:val="clear" w:color="auto" w:fill="auto"/>
          </w:tcPr>
          <w:p>
            <w:pPr>
              <w:pStyle w:val="7"/>
              <w:jc w:val="center"/>
            </w:pPr>
            <w:r>
              <w:rPr>
                <w:rFonts w:hint="eastAsia"/>
              </w:rPr>
              <w:t xml:space="preserve">久远银海 </w:t>
            </w:r>
          </w:p>
        </w:tc>
        <w:tc>
          <w:tcPr>
            <w:tcW w:w="1800" w:type="dxa"/>
            <w:shd w:val="clear" w:color="auto" w:fill="auto"/>
          </w:tcPr>
          <w:p>
            <w:pPr>
              <w:pStyle w:val="7"/>
              <w:jc w:val="right"/>
            </w:pPr>
            <w:r>
              <w:rPr>
                <w:rFonts w:hint="eastAsia"/>
              </w:rPr>
              <w:t xml:space="preserve">618,664 </w:t>
            </w:r>
          </w:p>
        </w:tc>
        <w:tc>
          <w:tcPr>
            <w:tcW w:w="1920" w:type="dxa"/>
            <w:shd w:val="clear" w:color="auto" w:fill="auto"/>
          </w:tcPr>
          <w:p>
            <w:pPr>
              <w:pStyle w:val="7"/>
              <w:jc w:val="right"/>
            </w:pPr>
            <w:r>
              <w:rPr>
                <w:rFonts w:hint="eastAsia"/>
              </w:rPr>
              <w:t xml:space="preserve">10,944,166.16 </w:t>
            </w:r>
          </w:p>
        </w:tc>
        <w:tc>
          <w:tcPr>
            <w:tcW w:w="2670" w:type="dxa"/>
            <w:shd w:val="clear" w:color="auto" w:fill="auto"/>
          </w:tcPr>
          <w:p>
            <w:pPr>
              <w:pStyle w:val="7"/>
              <w:jc w:val="right"/>
            </w:pPr>
            <w:r>
              <w:rPr>
                <w:rFonts w:hint="eastAsia"/>
              </w:rPr>
              <w:t xml:space="preserve">4.65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8 </w:t>
            </w:r>
          </w:p>
        </w:tc>
        <w:tc>
          <w:tcPr>
            <w:tcW w:w="1380" w:type="dxa"/>
            <w:shd w:val="clear" w:color="auto" w:fill="auto"/>
          </w:tcPr>
          <w:p>
            <w:pPr>
              <w:pStyle w:val="7"/>
              <w:jc w:val="center"/>
            </w:pPr>
            <w:r>
              <w:rPr>
                <w:rFonts w:hint="eastAsia"/>
              </w:rPr>
              <w:t xml:space="preserve">688521 </w:t>
            </w:r>
          </w:p>
        </w:tc>
        <w:tc>
          <w:tcPr>
            <w:tcW w:w="1410" w:type="dxa"/>
            <w:shd w:val="clear" w:color="auto" w:fill="auto"/>
          </w:tcPr>
          <w:p>
            <w:pPr>
              <w:pStyle w:val="7"/>
              <w:jc w:val="center"/>
            </w:pPr>
            <w:r>
              <w:rPr>
                <w:rFonts w:hint="eastAsia"/>
              </w:rPr>
              <w:t xml:space="preserve">芯原股份 </w:t>
            </w:r>
          </w:p>
        </w:tc>
        <w:tc>
          <w:tcPr>
            <w:tcW w:w="1800" w:type="dxa"/>
            <w:shd w:val="clear" w:color="auto" w:fill="auto"/>
          </w:tcPr>
          <w:p>
            <w:pPr>
              <w:pStyle w:val="7"/>
              <w:jc w:val="right"/>
            </w:pPr>
            <w:r>
              <w:rPr>
                <w:rFonts w:hint="eastAsia"/>
              </w:rPr>
              <w:t xml:space="preserve">135,348 </w:t>
            </w:r>
          </w:p>
        </w:tc>
        <w:tc>
          <w:tcPr>
            <w:tcW w:w="1920" w:type="dxa"/>
            <w:shd w:val="clear" w:color="auto" w:fill="auto"/>
          </w:tcPr>
          <w:p>
            <w:pPr>
              <w:pStyle w:val="7"/>
              <w:jc w:val="right"/>
            </w:pPr>
            <w:r>
              <w:rPr>
                <w:rFonts w:hint="eastAsia"/>
              </w:rPr>
              <w:t xml:space="preserve">10,553,083.56 </w:t>
            </w:r>
          </w:p>
        </w:tc>
        <w:tc>
          <w:tcPr>
            <w:tcW w:w="2670" w:type="dxa"/>
            <w:shd w:val="clear" w:color="auto" w:fill="auto"/>
          </w:tcPr>
          <w:p>
            <w:pPr>
              <w:pStyle w:val="7"/>
              <w:jc w:val="right"/>
            </w:pPr>
            <w:r>
              <w:rPr>
                <w:rFonts w:hint="eastAsia"/>
              </w:rPr>
              <w:t xml:space="preserve">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9 </w:t>
            </w:r>
          </w:p>
        </w:tc>
        <w:tc>
          <w:tcPr>
            <w:tcW w:w="1380" w:type="dxa"/>
            <w:shd w:val="clear" w:color="auto" w:fill="auto"/>
          </w:tcPr>
          <w:p>
            <w:pPr>
              <w:pStyle w:val="7"/>
              <w:jc w:val="center"/>
            </w:pPr>
            <w:r>
              <w:rPr>
                <w:rFonts w:hint="eastAsia"/>
              </w:rPr>
              <w:t xml:space="preserve">002206 </w:t>
            </w:r>
          </w:p>
        </w:tc>
        <w:tc>
          <w:tcPr>
            <w:tcW w:w="1410" w:type="dxa"/>
            <w:shd w:val="clear" w:color="auto" w:fill="auto"/>
          </w:tcPr>
          <w:p>
            <w:pPr>
              <w:pStyle w:val="7"/>
              <w:jc w:val="center"/>
            </w:pPr>
            <w:r>
              <w:rPr>
                <w:rFonts w:hint="eastAsia"/>
              </w:rPr>
              <w:t xml:space="preserve">海利得 </w:t>
            </w:r>
          </w:p>
        </w:tc>
        <w:tc>
          <w:tcPr>
            <w:tcW w:w="1800" w:type="dxa"/>
            <w:shd w:val="clear" w:color="auto" w:fill="auto"/>
          </w:tcPr>
          <w:p>
            <w:pPr>
              <w:pStyle w:val="7"/>
              <w:jc w:val="right"/>
            </w:pPr>
            <w:r>
              <w:rPr>
                <w:rFonts w:hint="eastAsia"/>
              </w:rPr>
              <w:t xml:space="preserve">1,690,950 </w:t>
            </w:r>
          </w:p>
        </w:tc>
        <w:tc>
          <w:tcPr>
            <w:tcW w:w="1920" w:type="dxa"/>
            <w:shd w:val="clear" w:color="auto" w:fill="auto"/>
          </w:tcPr>
          <w:p>
            <w:pPr>
              <w:pStyle w:val="7"/>
              <w:jc w:val="right"/>
            </w:pPr>
            <w:r>
              <w:rPr>
                <w:rFonts w:hint="eastAsia"/>
              </w:rPr>
              <w:t xml:space="preserve">10,500,799.50 </w:t>
            </w:r>
          </w:p>
        </w:tc>
        <w:tc>
          <w:tcPr>
            <w:tcW w:w="2670" w:type="dxa"/>
            <w:shd w:val="clear" w:color="auto" w:fill="auto"/>
          </w:tcPr>
          <w:p>
            <w:pPr>
              <w:pStyle w:val="7"/>
              <w:jc w:val="right"/>
            </w:pPr>
            <w:r>
              <w:rPr>
                <w:rFonts w:hint="eastAsia"/>
              </w:rPr>
              <w:t xml:space="preserve">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10 </w:t>
            </w:r>
          </w:p>
        </w:tc>
        <w:tc>
          <w:tcPr>
            <w:tcW w:w="1380" w:type="dxa"/>
            <w:shd w:val="clear" w:color="auto" w:fill="auto"/>
          </w:tcPr>
          <w:p>
            <w:pPr>
              <w:pStyle w:val="7"/>
              <w:jc w:val="center"/>
            </w:pPr>
            <w:r>
              <w:rPr>
                <w:rFonts w:hint="eastAsia"/>
              </w:rPr>
              <w:t xml:space="preserve">300624 </w:t>
            </w:r>
          </w:p>
        </w:tc>
        <w:tc>
          <w:tcPr>
            <w:tcW w:w="1410" w:type="dxa"/>
            <w:shd w:val="clear" w:color="auto" w:fill="auto"/>
          </w:tcPr>
          <w:p>
            <w:pPr>
              <w:pStyle w:val="7"/>
              <w:jc w:val="center"/>
            </w:pPr>
            <w:r>
              <w:rPr>
                <w:rFonts w:hint="eastAsia"/>
              </w:rPr>
              <w:t xml:space="preserve">万兴科技 </w:t>
            </w:r>
          </w:p>
        </w:tc>
        <w:tc>
          <w:tcPr>
            <w:tcW w:w="1800" w:type="dxa"/>
            <w:shd w:val="clear" w:color="auto" w:fill="auto"/>
          </w:tcPr>
          <w:p>
            <w:pPr>
              <w:pStyle w:val="7"/>
              <w:jc w:val="right"/>
            </w:pPr>
            <w:r>
              <w:rPr>
                <w:rFonts w:hint="eastAsia"/>
              </w:rPr>
              <w:t xml:space="preserve">169,104 </w:t>
            </w:r>
          </w:p>
        </w:tc>
        <w:tc>
          <w:tcPr>
            <w:tcW w:w="1920" w:type="dxa"/>
            <w:shd w:val="clear" w:color="auto" w:fill="auto"/>
          </w:tcPr>
          <w:p>
            <w:pPr>
              <w:pStyle w:val="7"/>
              <w:jc w:val="right"/>
            </w:pPr>
            <w:r>
              <w:rPr>
                <w:rFonts w:hint="eastAsia"/>
              </w:rPr>
              <w:t xml:space="preserve">9,906,112.32 </w:t>
            </w:r>
          </w:p>
        </w:tc>
        <w:tc>
          <w:tcPr>
            <w:tcW w:w="2670" w:type="dxa"/>
            <w:shd w:val="clear" w:color="auto" w:fill="auto"/>
          </w:tcPr>
          <w:p>
            <w:pPr>
              <w:pStyle w:val="7"/>
              <w:jc w:val="right"/>
            </w:pPr>
            <w:r>
              <w:rPr>
                <w:rFonts w:hint="eastAsia"/>
              </w:rPr>
              <w:t xml:space="preserve">4.21 </w:t>
            </w:r>
          </w:p>
        </w:tc>
      </w:tr>
    </w:tbl>
    <w:p>
      <w:pPr>
        <w:pStyle w:val="7"/>
        <w:spacing w:before="0" w:beforeAutospacing="0" w:after="0" w:afterAutospacing="0" w:line="360" w:lineRule="auto"/>
        <w:ind w:firstLine="420"/>
        <w:rPr>
          <w:sz w:val="21"/>
          <w:szCs w:val="21"/>
        </w:rPr>
      </w:pPr>
      <w:r>
        <w:rPr>
          <w:rFonts w:hint="eastAsia"/>
          <w:sz w:val="21"/>
          <w:szCs w:val="21"/>
        </w:rPr>
        <w:t xml:space="preserve">4报告期末按债券品种分类的债券投资组合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898"/>
        <w:gridCol w:w="3011"/>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序号 </w:t>
            </w:r>
          </w:p>
        </w:tc>
        <w:tc>
          <w:tcPr>
            <w:tcW w:w="2070" w:type="dxa"/>
            <w:shd w:val="clear" w:color="auto" w:fill="auto"/>
          </w:tcPr>
          <w:p>
            <w:pPr>
              <w:pStyle w:val="7"/>
              <w:jc w:val="center"/>
            </w:pPr>
            <w:r>
              <w:rPr>
                <w:rFonts w:hint="eastAsia"/>
              </w:rPr>
              <w:t xml:space="preserve">债券品种 </w:t>
            </w:r>
          </w:p>
        </w:tc>
        <w:tc>
          <w:tcPr>
            <w:tcW w:w="3240" w:type="dxa"/>
            <w:shd w:val="clear" w:color="auto" w:fill="auto"/>
          </w:tcPr>
          <w:p>
            <w:pPr>
              <w:pStyle w:val="7"/>
              <w:jc w:val="center"/>
            </w:pPr>
            <w:r>
              <w:rPr>
                <w:rFonts w:hint="eastAsia"/>
              </w:rPr>
              <w:t xml:space="preserve">公允价值(元) </w:t>
            </w:r>
          </w:p>
        </w:tc>
        <w:tc>
          <w:tcPr>
            <w:tcW w:w="324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1 </w:t>
            </w:r>
          </w:p>
        </w:tc>
        <w:tc>
          <w:tcPr>
            <w:tcW w:w="2070" w:type="dxa"/>
            <w:shd w:val="clear" w:color="auto" w:fill="auto"/>
          </w:tcPr>
          <w:p>
            <w:pPr>
              <w:pStyle w:val="7"/>
            </w:pPr>
            <w:r>
              <w:rPr>
                <w:rFonts w:hint="eastAsia"/>
              </w:rPr>
              <w:t xml:space="preserve">国家债券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2 </w:t>
            </w:r>
          </w:p>
        </w:tc>
        <w:tc>
          <w:tcPr>
            <w:tcW w:w="2070" w:type="dxa"/>
            <w:shd w:val="clear" w:color="auto" w:fill="auto"/>
          </w:tcPr>
          <w:p>
            <w:pPr>
              <w:pStyle w:val="7"/>
            </w:pPr>
            <w:r>
              <w:rPr>
                <w:rFonts w:hint="eastAsia"/>
              </w:rPr>
              <w:t xml:space="preserve">央行票据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3 </w:t>
            </w:r>
          </w:p>
        </w:tc>
        <w:tc>
          <w:tcPr>
            <w:tcW w:w="2070" w:type="dxa"/>
            <w:shd w:val="clear" w:color="auto" w:fill="auto"/>
          </w:tcPr>
          <w:p>
            <w:pPr>
              <w:pStyle w:val="7"/>
            </w:pPr>
            <w:r>
              <w:rPr>
                <w:rFonts w:hint="eastAsia"/>
              </w:rPr>
              <w:t xml:space="preserve">金融债券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rPr>
                <w:rFonts w:ascii="宋体" w:hAnsi="宋体" w:eastAsia="宋体" w:cs="宋体"/>
                <w:sz w:val="24"/>
                <w:szCs w:val="24"/>
              </w:rPr>
            </w:pPr>
          </w:p>
        </w:tc>
        <w:tc>
          <w:tcPr>
            <w:tcW w:w="2070" w:type="dxa"/>
            <w:shd w:val="clear" w:color="auto" w:fill="auto"/>
          </w:tcPr>
          <w:p>
            <w:pPr>
              <w:pStyle w:val="7"/>
            </w:pPr>
            <w:r>
              <w:rPr>
                <w:rFonts w:hint="eastAsia"/>
              </w:rPr>
              <w:t xml:space="preserve">其中：政策性金融债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4 </w:t>
            </w:r>
          </w:p>
        </w:tc>
        <w:tc>
          <w:tcPr>
            <w:tcW w:w="2070" w:type="dxa"/>
            <w:shd w:val="clear" w:color="auto" w:fill="auto"/>
          </w:tcPr>
          <w:p>
            <w:pPr>
              <w:pStyle w:val="7"/>
            </w:pPr>
            <w:r>
              <w:rPr>
                <w:rFonts w:hint="eastAsia"/>
              </w:rPr>
              <w:t xml:space="preserve">企业债券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5 </w:t>
            </w:r>
          </w:p>
        </w:tc>
        <w:tc>
          <w:tcPr>
            <w:tcW w:w="2070" w:type="dxa"/>
            <w:shd w:val="clear" w:color="auto" w:fill="auto"/>
          </w:tcPr>
          <w:p>
            <w:pPr>
              <w:pStyle w:val="7"/>
            </w:pPr>
            <w:r>
              <w:rPr>
                <w:rFonts w:hint="eastAsia"/>
              </w:rPr>
              <w:t xml:space="preserve">企业短期融资券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6 </w:t>
            </w:r>
          </w:p>
        </w:tc>
        <w:tc>
          <w:tcPr>
            <w:tcW w:w="2070" w:type="dxa"/>
            <w:shd w:val="clear" w:color="auto" w:fill="auto"/>
          </w:tcPr>
          <w:p>
            <w:pPr>
              <w:pStyle w:val="7"/>
            </w:pPr>
            <w:r>
              <w:rPr>
                <w:rFonts w:hint="eastAsia"/>
              </w:rPr>
              <w:t xml:space="preserve">中期票据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7 </w:t>
            </w:r>
          </w:p>
        </w:tc>
        <w:tc>
          <w:tcPr>
            <w:tcW w:w="2070" w:type="dxa"/>
            <w:shd w:val="clear" w:color="auto" w:fill="auto"/>
          </w:tcPr>
          <w:p>
            <w:pPr>
              <w:pStyle w:val="7"/>
            </w:pPr>
            <w:r>
              <w:rPr>
                <w:rFonts w:hint="eastAsia"/>
              </w:rPr>
              <w:t xml:space="preserve">可转债（可交换债） </w:t>
            </w:r>
          </w:p>
        </w:tc>
        <w:tc>
          <w:tcPr>
            <w:tcW w:w="3240" w:type="dxa"/>
            <w:shd w:val="clear" w:color="auto" w:fill="auto"/>
          </w:tcPr>
          <w:p>
            <w:pPr>
              <w:pStyle w:val="7"/>
              <w:jc w:val="right"/>
            </w:pPr>
            <w:r>
              <w:rPr>
                <w:rFonts w:hint="eastAsia"/>
              </w:rPr>
              <w:t xml:space="preserve">294,600.00 </w:t>
            </w:r>
          </w:p>
        </w:tc>
        <w:tc>
          <w:tcPr>
            <w:tcW w:w="3240" w:type="dxa"/>
            <w:shd w:val="clear" w:color="auto" w:fill="auto"/>
          </w:tcPr>
          <w:p>
            <w:pPr>
              <w:pStyle w:val="7"/>
              <w:jc w:val="right"/>
            </w:pPr>
            <w:r>
              <w:rPr>
                <w:rFonts w:hint="eastAsia"/>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8 </w:t>
            </w:r>
          </w:p>
        </w:tc>
        <w:tc>
          <w:tcPr>
            <w:tcW w:w="2070" w:type="dxa"/>
            <w:shd w:val="clear" w:color="auto" w:fill="auto"/>
          </w:tcPr>
          <w:p>
            <w:pPr>
              <w:pStyle w:val="7"/>
            </w:pPr>
            <w:r>
              <w:rPr>
                <w:rFonts w:hint="eastAsia"/>
              </w:rPr>
              <w:t xml:space="preserve">同业存单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9 </w:t>
            </w:r>
          </w:p>
        </w:tc>
        <w:tc>
          <w:tcPr>
            <w:tcW w:w="2070" w:type="dxa"/>
            <w:shd w:val="clear" w:color="auto" w:fill="auto"/>
          </w:tcPr>
          <w:p>
            <w:pPr>
              <w:pStyle w:val="7"/>
            </w:pPr>
            <w:r>
              <w:rPr>
                <w:rFonts w:hint="eastAsia"/>
              </w:rPr>
              <w:t xml:space="preserve">其他 </w:t>
            </w:r>
          </w:p>
        </w:tc>
        <w:tc>
          <w:tcPr>
            <w:tcW w:w="3240" w:type="dxa"/>
            <w:shd w:val="clear" w:color="auto" w:fill="auto"/>
          </w:tcPr>
          <w:p>
            <w:pPr>
              <w:pStyle w:val="7"/>
              <w:jc w:val="right"/>
            </w:pPr>
            <w:r>
              <w:rPr>
                <w:rFonts w:hint="eastAsia"/>
              </w:rPr>
              <w:t xml:space="preserve">- </w:t>
            </w:r>
          </w:p>
        </w:tc>
        <w:tc>
          <w:tcPr>
            <w:tcW w:w="324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10 </w:t>
            </w:r>
          </w:p>
        </w:tc>
        <w:tc>
          <w:tcPr>
            <w:tcW w:w="2070" w:type="dxa"/>
            <w:shd w:val="clear" w:color="auto" w:fill="auto"/>
          </w:tcPr>
          <w:p>
            <w:pPr>
              <w:pStyle w:val="7"/>
            </w:pPr>
            <w:r>
              <w:rPr>
                <w:rFonts w:hint="eastAsia"/>
              </w:rPr>
              <w:t xml:space="preserve">合计 </w:t>
            </w:r>
          </w:p>
        </w:tc>
        <w:tc>
          <w:tcPr>
            <w:tcW w:w="3240" w:type="dxa"/>
            <w:shd w:val="clear" w:color="auto" w:fill="auto"/>
          </w:tcPr>
          <w:p>
            <w:pPr>
              <w:pStyle w:val="7"/>
              <w:jc w:val="right"/>
            </w:pPr>
            <w:r>
              <w:rPr>
                <w:rFonts w:hint="eastAsia"/>
              </w:rPr>
              <w:t xml:space="preserve">294,600.00 </w:t>
            </w:r>
          </w:p>
        </w:tc>
        <w:tc>
          <w:tcPr>
            <w:tcW w:w="3240" w:type="dxa"/>
            <w:shd w:val="clear" w:color="auto" w:fill="auto"/>
          </w:tcPr>
          <w:p>
            <w:pPr>
              <w:pStyle w:val="7"/>
              <w:jc w:val="right"/>
            </w:pPr>
            <w:r>
              <w:rPr>
                <w:rFonts w:hint="eastAsia"/>
              </w:rPr>
              <w:t xml:space="preserve">0.13 </w:t>
            </w:r>
          </w:p>
        </w:tc>
      </w:tr>
    </w:tbl>
    <w:p>
      <w:pPr>
        <w:pStyle w:val="7"/>
        <w:spacing w:before="0" w:beforeAutospacing="0" w:after="0" w:afterAutospacing="0" w:line="360" w:lineRule="auto"/>
        <w:ind w:firstLine="420"/>
        <w:rPr>
          <w:sz w:val="21"/>
          <w:szCs w:val="21"/>
        </w:rPr>
      </w:pPr>
      <w:r>
        <w:rPr>
          <w:rFonts w:hint="eastAsia"/>
          <w:sz w:val="21"/>
          <w:szCs w:val="21"/>
        </w:rPr>
        <w:t xml:space="preserve">5报告期末按公允价值占基金资产净值比例大小排序的前五名债券投资明细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237"/>
        <w:gridCol w:w="1314"/>
        <w:gridCol w:w="1373"/>
        <w:gridCol w:w="170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shd w:val="clear" w:color="auto" w:fill="auto"/>
          </w:tcPr>
          <w:p>
            <w:pPr>
              <w:pStyle w:val="7"/>
              <w:jc w:val="center"/>
            </w:pPr>
            <w:r>
              <w:rPr>
                <w:rFonts w:hint="eastAsia"/>
              </w:rPr>
              <w:t xml:space="preserve">序号 </w:t>
            </w:r>
          </w:p>
        </w:tc>
        <w:tc>
          <w:tcPr>
            <w:tcW w:w="1275" w:type="dxa"/>
            <w:shd w:val="clear" w:color="auto" w:fill="auto"/>
          </w:tcPr>
          <w:p>
            <w:pPr>
              <w:pStyle w:val="7"/>
              <w:jc w:val="center"/>
            </w:pPr>
            <w:r>
              <w:rPr>
                <w:rFonts w:hint="eastAsia"/>
              </w:rPr>
              <w:t xml:space="preserve">债券代码 </w:t>
            </w:r>
          </w:p>
        </w:tc>
        <w:tc>
          <w:tcPr>
            <w:tcW w:w="1575" w:type="dxa"/>
            <w:shd w:val="clear" w:color="auto" w:fill="auto"/>
          </w:tcPr>
          <w:p>
            <w:pPr>
              <w:pStyle w:val="7"/>
              <w:jc w:val="center"/>
            </w:pPr>
            <w:r>
              <w:rPr>
                <w:rFonts w:hint="eastAsia"/>
              </w:rPr>
              <w:t xml:space="preserve">债券名称 </w:t>
            </w:r>
          </w:p>
        </w:tc>
        <w:tc>
          <w:tcPr>
            <w:tcW w:w="1455" w:type="dxa"/>
            <w:shd w:val="clear" w:color="auto" w:fill="auto"/>
          </w:tcPr>
          <w:p>
            <w:pPr>
              <w:pStyle w:val="7"/>
              <w:jc w:val="center"/>
            </w:pPr>
            <w:r>
              <w:rPr>
                <w:rFonts w:hint="eastAsia"/>
              </w:rPr>
              <w:t xml:space="preserve">数量（张） </w:t>
            </w:r>
          </w:p>
        </w:tc>
        <w:tc>
          <w:tcPr>
            <w:tcW w:w="1710" w:type="dxa"/>
            <w:shd w:val="clear" w:color="auto" w:fill="auto"/>
          </w:tcPr>
          <w:p>
            <w:pPr>
              <w:pStyle w:val="7"/>
              <w:jc w:val="center"/>
            </w:pPr>
            <w:r>
              <w:rPr>
                <w:rFonts w:hint="eastAsia"/>
              </w:rPr>
              <w:t xml:space="preserve">公允价值(元) </w:t>
            </w:r>
          </w:p>
        </w:tc>
        <w:tc>
          <w:tcPr>
            <w:tcW w:w="255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shd w:val="clear" w:color="auto" w:fill="auto"/>
          </w:tcPr>
          <w:p>
            <w:pPr>
              <w:pStyle w:val="7"/>
              <w:jc w:val="center"/>
            </w:pPr>
            <w:r>
              <w:rPr>
                <w:rFonts w:hint="eastAsia"/>
              </w:rPr>
              <w:t xml:space="preserve">1 </w:t>
            </w:r>
          </w:p>
        </w:tc>
        <w:tc>
          <w:tcPr>
            <w:tcW w:w="1365" w:type="dxa"/>
            <w:shd w:val="clear" w:color="auto" w:fill="auto"/>
          </w:tcPr>
          <w:p>
            <w:pPr>
              <w:pStyle w:val="7"/>
              <w:jc w:val="center"/>
            </w:pPr>
            <w:r>
              <w:rPr>
                <w:rFonts w:hint="eastAsia"/>
              </w:rPr>
              <w:t xml:space="preserve">123116 </w:t>
            </w:r>
          </w:p>
        </w:tc>
        <w:tc>
          <w:tcPr>
            <w:tcW w:w="1680" w:type="dxa"/>
            <w:shd w:val="clear" w:color="auto" w:fill="auto"/>
          </w:tcPr>
          <w:p>
            <w:pPr>
              <w:pStyle w:val="7"/>
              <w:jc w:val="center"/>
            </w:pPr>
            <w:r>
              <w:rPr>
                <w:rFonts w:hint="eastAsia"/>
              </w:rPr>
              <w:t xml:space="preserve">万兴转债 </w:t>
            </w:r>
          </w:p>
        </w:tc>
        <w:tc>
          <w:tcPr>
            <w:tcW w:w="1560" w:type="dxa"/>
            <w:shd w:val="clear" w:color="auto" w:fill="auto"/>
          </w:tcPr>
          <w:p>
            <w:pPr>
              <w:pStyle w:val="7"/>
              <w:jc w:val="right"/>
            </w:pPr>
            <w:r>
              <w:rPr>
                <w:rFonts w:hint="eastAsia"/>
              </w:rPr>
              <w:t xml:space="preserve">2,946 </w:t>
            </w:r>
          </w:p>
        </w:tc>
        <w:tc>
          <w:tcPr>
            <w:tcW w:w="1830" w:type="dxa"/>
            <w:shd w:val="clear" w:color="auto" w:fill="auto"/>
          </w:tcPr>
          <w:p>
            <w:pPr>
              <w:pStyle w:val="7"/>
              <w:jc w:val="right"/>
            </w:pPr>
            <w:r>
              <w:rPr>
                <w:rFonts w:hint="eastAsia"/>
              </w:rPr>
              <w:t xml:space="preserve">294,600.00 </w:t>
            </w:r>
          </w:p>
        </w:tc>
        <w:tc>
          <w:tcPr>
            <w:tcW w:w="2745" w:type="dxa"/>
            <w:shd w:val="clear" w:color="auto" w:fill="auto"/>
          </w:tcPr>
          <w:p>
            <w:pPr>
              <w:pStyle w:val="7"/>
              <w:jc w:val="right"/>
            </w:pPr>
            <w:r>
              <w:rPr>
                <w:rFonts w:hint="eastAsia"/>
              </w:rPr>
              <w:t xml:space="preserve">0.13 </w:t>
            </w:r>
          </w:p>
        </w:tc>
      </w:tr>
    </w:tbl>
    <w:p>
      <w:pPr>
        <w:pStyle w:val="7"/>
        <w:spacing w:before="0" w:beforeAutospacing="0" w:after="0" w:afterAutospacing="0" w:line="360" w:lineRule="auto"/>
        <w:ind w:firstLine="420"/>
        <w:rPr>
          <w:sz w:val="21"/>
          <w:szCs w:val="21"/>
        </w:rPr>
      </w:pPr>
      <w:r>
        <w:rPr>
          <w:rFonts w:hint="eastAsia"/>
          <w:sz w:val="21"/>
          <w:szCs w:val="21"/>
        </w:rPr>
        <w:t xml:space="preserve">6报告期末按公允价值占基金资产净值比例大小排序的前十名资产支持证券投资明细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11.1报告期内基金投资的前十名证券的发行主体没有被监管部门立案调查，或在报告编制日前一年内受到公开谴责、处罚。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3851"/>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序号 </w:t>
            </w:r>
          </w:p>
        </w:tc>
        <w:tc>
          <w:tcPr>
            <w:tcW w:w="4290" w:type="dxa"/>
            <w:shd w:val="clear" w:color="auto" w:fill="auto"/>
          </w:tcPr>
          <w:p>
            <w:pPr>
              <w:pStyle w:val="7"/>
              <w:jc w:val="center"/>
            </w:pPr>
            <w:r>
              <w:rPr>
                <w:rFonts w:hint="eastAsia"/>
              </w:rPr>
              <w:t xml:space="preserve">名称 </w:t>
            </w:r>
          </w:p>
        </w:tc>
        <w:tc>
          <w:tcPr>
            <w:tcW w:w="4290"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shd w:val="clear" w:color="auto" w:fill="auto"/>
          </w:tcPr>
          <w:p>
            <w:pPr>
              <w:pStyle w:val="7"/>
              <w:jc w:val="center"/>
            </w:pPr>
            <w:r>
              <w:rPr>
                <w:rFonts w:hint="eastAsia"/>
              </w:rPr>
              <w:t xml:space="preserve">1 </w:t>
            </w:r>
          </w:p>
        </w:tc>
        <w:tc>
          <w:tcPr>
            <w:tcW w:w="4290" w:type="dxa"/>
            <w:shd w:val="clear" w:color="auto" w:fill="auto"/>
          </w:tcPr>
          <w:p>
            <w:pPr>
              <w:pStyle w:val="7"/>
            </w:pPr>
            <w:r>
              <w:rPr>
                <w:rFonts w:hint="eastAsia"/>
              </w:rPr>
              <w:t xml:space="preserve">存出保证金 </w:t>
            </w:r>
          </w:p>
        </w:tc>
        <w:tc>
          <w:tcPr>
            <w:tcW w:w="4290" w:type="dxa"/>
            <w:shd w:val="clear" w:color="auto" w:fill="auto"/>
          </w:tcPr>
          <w:p>
            <w:pPr>
              <w:pStyle w:val="7"/>
              <w:jc w:val="right"/>
            </w:pPr>
            <w:r>
              <w:rPr>
                <w:rFonts w:hint="eastAsia"/>
              </w:rPr>
              <w:t xml:space="preserve">68,734.53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2 </w:t>
            </w:r>
          </w:p>
        </w:tc>
        <w:tc>
          <w:tcPr>
            <w:tcW w:w="4290" w:type="dxa"/>
            <w:shd w:val="clear" w:color="auto" w:fill="auto"/>
          </w:tcPr>
          <w:p>
            <w:pPr>
              <w:pStyle w:val="7"/>
            </w:pPr>
            <w:r>
              <w:rPr>
                <w:rFonts w:hint="eastAsia"/>
              </w:rPr>
              <w:t xml:space="preserve">应收证券清算款 </w:t>
            </w:r>
          </w:p>
        </w:tc>
        <w:tc>
          <w:tcPr>
            <w:tcW w:w="4290" w:type="dxa"/>
            <w:shd w:val="clear" w:color="auto" w:fill="auto"/>
          </w:tcPr>
          <w:p>
            <w:pPr>
              <w:pStyle w:val="7"/>
              <w:jc w:val="right"/>
            </w:pPr>
            <w:r>
              <w:rPr>
                <w:rFonts w:hint="eastAsia"/>
              </w:rPr>
              <w:t xml:space="preserve">1,274,409.85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3 </w:t>
            </w:r>
          </w:p>
        </w:tc>
        <w:tc>
          <w:tcPr>
            <w:tcW w:w="4290" w:type="dxa"/>
            <w:shd w:val="clear" w:color="auto" w:fill="auto"/>
          </w:tcPr>
          <w:p>
            <w:pPr>
              <w:pStyle w:val="7"/>
            </w:pPr>
            <w:r>
              <w:rPr>
                <w:rFonts w:hint="eastAsia"/>
              </w:rPr>
              <w:t xml:space="preserve">应收股利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4 </w:t>
            </w:r>
          </w:p>
        </w:tc>
        <w:tc>
          <w:tcPr>
            <w:tcW w:w="4290" w:type="dxa"/>
            <w:shd w:val="clear" w:color="auto" w:fill="auto"/>
          </w:tcPr>
          <w:p>
            <w:pPr>
              <w:pStyle w:val="7"/>
            </w:pPr>
            <w:r>
              <w:rPr>
                <w:rFonts w:hint="eastAsia"/>
              </w:rPr>
              <w:t xml:space="preserve">应收利息 </w:t>
            </w:r>
          </w:p>
        </w:tc>
        <w:tc>
          <w:tcPr>
            <w:tcW w:w="4290" w:type="dxa"/>
            <w:shd w:val="clear" w:color="auto" w:fill="auto"/>
          </w:tcPr>
          <w:p>
            <w:pPr>
              <w:pStyle w:val="7"/>
              <w:jc w:val="right"/>
            </w:pPr>
            <w:r>
              <w:rPr>
                <w:rFonts w:hint="eastAsia"/>
              </w:rPr>
              <w:t xml:space="preserve">2,168.80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5 </w:t>
            </w:r>
          </w:p>
        </w:tc>
        <w:tc>
          <w:tcPr>
            <w:tcW w:w="4290" w:type="dxa"/>
            <w:shd w:val="clear" w:color="auto" w:fill="auto"/>
          </w:tcPr>
          <w:p>
            <w:pPr>
              <w:pStyle w:val="7"/>
            </w:pPr>
            <w:r>
              <w:rPr>
                <w:rFonts w:hint="eastAsia"/>
              </w:rPr>
              <w:t xml:space="preserve">应收申购款 </w:t>
            </w:r>
          </w:p>
        </w:tc>
        <w:tc>
          <w:tcPr>
            <w:tcW w:w="4290" w:type="dxa"/>
            <w:shd w:val="clear" w:color="auto" w:fill="auto"/>
          </w:tcPr>
          <w:p>
            <w:pPr>
              <w:pStyle w:val="7"/>
              <w:jc w:val="right"/>
            </w:pPr>
            <w:r>
              <w:rPr>
                <w:rFonts w:hint="eastAsia"/>
              </w:rPr>
              <w:t xml:space="preserve">1,282,203.27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6 </w:t>
            </w:r>
          </w:p>
        </w:tc>
        <w:tc>
          <w:tcPr>
            <w:tcW w:w="4290" w:type="dxa"/>
            <w:shd w:val="clear" w:color="auto" w:fill="auto"/>
          </w:tcPr>
          <w:p>
            <w:pPr>
              <w:pStyle w:val="7"/>
            </w:pPr>
            <w:r>
              <w:rPr>
                <w:rFonts w:hint="eastAsia"/>
              </w:rPr>
              <w:t xml:space="preserve">其他应收款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7 </w:t>
            </w:r>
          </w:p>
        </w:tc>
        <w:tc>
          <w:tcPr>
            <w:tcW w:w="4290" w:type="dxa"/>
            <w:shd w:val="clear" w:color="auto" w:fill="auto"/>
          </w:tcPr>
          <w:p>
            <w:pPr>
              <w:pStyle w:val="7"/>
            </w:pPr>
            <w:r>
              <w:rPr>
                <w:rFonts w:hint="eastAsia"/>
              </w:rPr>
              <w:t xml:space="preserve">待摊费用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8 </w:t>
            </w:r>
          </w:p>
        </w:tc>
        <w:tc>
          <w:tcPr>
            <w:tcW w:w="4290" w:type="dxa"/>
            <w:shd w:val="clear" w:color="auto" w:fill="auto"/>
          </w:tcPr>
          <w:p>
            <w:pPr>
              <w:pStyle w:val="7"/>
            </w:pPr>
            <w:r>
              <w:rPr>
                <w:rFonts w:hint="eastAsia"/>
              </w:rPr>
              <w:t xml:space="preserve">其他 </w:t>
            </w:r>
          </w:p>
        </w:tc>
        <w:tc>
          <w:tcPr>
            <w:tcW w:w="42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tcPr>
          <w:p>
            <w:pPr>
              <w:pStyle w:val="7"/>
              <w:jc w:val="center"/>
            </w:pPr>
            <w:r>
              <w:rPr>
                <w:rFonts w:hint="eastAsia"/>
              </w:rPr>
              <w:t xml:space="preserve">9 </w:t>
            </w:r>
          </w:p>
        </w:tc>
        <w:tc>
          <w:tcPr>
            <w:tcW w:w="4290" w:type="dxa"/>
            <w:shd w:val="clear" w:color="auto" w:fill="auto"/>
          </w:tcPr>
          <w:p>
            <w:pPr>
              <w:pStyle w:val="7"/>
            </w:pPr>
            <w:r>
              <w:rPr>
                <w:rFonts w:hint="eastAsia"/>
              </w:rPr>
              <w:t xml:space="preserve">合计 </w:t>
            </w:r>
          </w:p>
        </w:tc>
        <w:tc>
          <w:tcPr>
            <w:tcW w:w="4290" w:type="dxa"/>
            <w:shd w:val="clear" w:color="auto" w:fill="auto"/>
          </w:tcPr>
          <w:p>
            <w:pPr>
              <w:pStyle w:val="7"/>
              <w:jc w:val="right"/>
            </w:pPr>
            <w:r>
              <w:rPr>
                <w:rFonts w:hint="eastAsia"/>
              </w:rPr>
              <w:t xml:space="preserve">2,627,516.45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pPr>
      <w:bookmarkStart w:id="125" w:name="chapter_level1_11_60_section_6_end"/>
      <w:bookmarkEnd w:id="125"/>
      <w:r>
        <w:rPr>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6" w:name="_Toc82519734"/>
      <w:bookmarkStart w:id="127" w:name="chapter_level1_12_3500"/>
      <w:r>
        <w:rPr>
          <w:rFonts w:hint="eastAsia" w:ascii="宋体" w:hAnsi="宋体" w:eastAsia="宋体"/>
          <w:sz w:val="30"/>
        </w:rPr>
        <w:t>第九部分 基金的业绩</w:t>
      </w:r>
      <w:bookmarkEnd w:id="126"/>
      <w:bookmarkEnd w:id="127"/>
    </w:p>
    <w:p>
      <w:pPr>
        <w:pStyle w:val="7"/>
        <w:spacing w:before="0" w:beforeAutospacing="0" w:after="0" w:afterAutospacing="0" w:line="360" w:lineRule="auto"/>
        <w:ind w:firstLine="420"/>
        <w:rPr>
          <w:sz w:val="21"/>
          <w:szCs w:val="21"/>
        </w:rPr>
      </w:pPr>
      <w:bookmarkStart w:id="128" w:name="chapter_level1_12_3500_section_1"/>
      <w:bookmarkEnd w:id="128"/>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29" w:name="field_0_indatatable_1_start"/>
      <w:bookmarkEnd w:id="129"/>
      <w:r>
        <w:rPr>
          <w:rFonts w:hint="eastAsia"/>
          <w:sz w:val="21"/>
          <w:szCs w:val="21"/>
        </w:rPr>
        <w:t>博时厚泽回报混合A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2017.11.22-2017.12.31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-17.84%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-12.41%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-5.43%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45.62%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17.74%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27.88%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42.02%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27.78%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27.23%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24.09%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2017.11.22-2021.06.30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115.32%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96.16%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0.99%</w:t>
            </w:r>
          </w:p>
        </w:tc>
      </w:tr>
    </w:tbl>
    <w:p>
      <w:pPr>
        <w:pStyle w:val="7"/>
        <w:spacing w:before="0" w:beforeAutospacing="0" w:after="0" w:afterAutospacing="0" w:line="360" w:lineRule="auto"/>
        <w:ind w:firstLine="420"/>
        <w:rPr>
          <w:sz w:val="21"/>
          <w:szCs w:val="21"/>
        </w:rPr>
      </w:pPr>
      <w:r>
        <w:rPr>
          <w:rFonts w:hint="eastAsia"/>
          <w:sz w:val="21"/>
          <w:szCs w:val="21"/>
        </w:rPr>
        <w:t>博时厚泽回报混合C</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期间</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①净值增长率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②净值增长率标准差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③业绩比较基准收益率</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④业绩比较基准收益率标准差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①-③</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2017.11.22-2017.12.31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0.36%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0.42%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2018.01.01-2018.12.31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-18.51%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-12.41%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-6.10%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2019.01.01-2019.12.31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44.46%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17.74%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26.72%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2020.01.01-2020.12.31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40.89%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14.24%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0.73%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2021.01.01-2021.06.30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26.63%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1.43%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3.14%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0.56%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23.49%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2017.11.22-2021.06.30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109.02%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1.65%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19.16%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89.86%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0.99%</w:t>
            </w:r>
          </w:p>
        </w:tc>
      </w:tr>
    </w:tbl>
    <w:p>
      <w:pPr>
        <w:pStyle w:val="7"/>
        <w:spacing w:before="0" w:beforeAutospacing="0" w:after="0" w:afterAutospacing="0" w:line="360" w:lineRule="auto"/>
        <w:ind w:firstLine="420"/>
        <w:rPr>
          <w:sz w:val="21"/>
          <w:szCs w:val="21"/>
        </w:rPr>
      </w:pPr>
      <w:bookmarkStart w:id="130" w:name="chapter_level1_12_3500_section_1_end"/>
      <w:bookmarkEnd w:id="130"/>
      <w:bookmarkStart w:id="131" w:name="field_0_indatatable_1_end"/>
      <w:bookmarkEnd w:id="13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2" w:name="_Toc82519735"/>
      <w:bookmarkStart w:id="133" w:name="chapter_level1_13_62"/>
      <w:r>
        <w:rPr>
          <w:rFonts w:hint="eastAsia" w:ascii="宋体" w:hAnsi="宋体" w:eastAsia="宋体"/>
          <w:sz w:val="30"/>
        </w:rPr>
        <w:t>第十部分  基金的财产</w:t>
      </w:r>
      <w:bookmarkEnd w:id="132"/>
      <w:bookmarkEnd w:id="133"/>
    </w:p>
    <w:p>
      <w:pPr>
        <w:pStyle w:val="7"/>
        <w:spacing w:before="0" w:beforeAutospacing="0" w:after="0" w:afterAutospacing="0" w:line="360" w:lineRule="auto"/>
        <w:ind w:firstLine="420"/>
        <w:rPr>
          <w:sz w:val="21"/>
          <w:szCs w:val="21"/>
        </w:rPr>
      </w:pPr>
      <w:bookmarkStart w:id="134" w:name="chapter_level1_13_62_section_1"/>
      <w:bookmarkEnd w:id="134"/>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基金资产总值是指基金拥有的各类有价证券、银行存款本息和基金应收款项以及其他资产的价值总和。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35" w:name="chapter_level1_13_62_section_1_end"/>
      <w:bookmarkEnd w:id="135"/>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6" w:name="_Toc82519736"/>
      <w:bookmarkStart w:id="137" w:name="chapter_level1_14_63"/>
      <w:r>
        <w:rPr>
          <w:rFonts w:hint="eastAsia" w:ascii="宋体" w:hAnsi="宋体" w:eastAsia="宋体"/>
          <w:sz w:val="30"/>
        </w:rPr>
        <w:t>第十一部分  基金资产的估值</w:t>
      </w:r>
      <w:bookmarkEnd w:id="136"/>
      <w:bookmarkEnd w:id="137"/>
    </w:p>
    <w:p>
      <w:pPr>
        <w:pStyle w:val="7"/>
        <w:spacing w:before="0" w:beforeAutospacing="0" w:after="0" w:afterAutospacing="0" w:line="360" w:lineRule="auto"/>
        <w:ind w:firstLine="420"/>
        <w:rPr>
          <w:sz w:val="21"/>
          <w:szCs w:val="21"/>
        </w:rPr>
      </w:pPr>
      <w:bookmarkStart w:id="138" w:name="chapter_level1_14_63_section_1"/>
      <w:bookmarkEnd w:id="138"/>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基金所拥有的股票、股指期货合约、国债期货合约、权证、债券和银行存款本息、应收款项、其它投资等资产及负债。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（2）交易所上市交易或挂牌转让的固定收益品种（基金合同另有规定的除外），选取估值日第三方估值机构提供的相应品种对应的估值净价估值，具体估值机构由基金管理人与基金托管人另行协商约定；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交易所上市实行全价交易的债券（可转债除外），选取第三方估值机构提供的估值全价减去估值全价中所含的债券（税后）应收利息得到的净价进行估值。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3、全国银行间债券市场交易的债券、资产支持证券等固定收益品种，选取第三方估值机构提供的相应品种当日的估值净价确定公允价格。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7、当发生大额申购或赎回情形时，基金管理人可以采用摆动定价机制，以确保基金估值的公平性。具体处理原则与操作规范遵循相关法律法规以及监管部门、自律规则的规定。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39" w:name="chapter_level1_14_63_section_1_end"/>
      <w:bookmarkEnd w:id="139"/>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40" w:name="chapter_level1_14_63_section_2"/>
      <w:bookmarkEnd w:id="140"/>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1、各类基金份额净值是按照每个工作日闭市后，该类基金资产净值除以当日该类基金份额的余额数量计算，精确到</w:t>
      </w:r>
      <w:bookmarkStart w:id="141" w:name="field_63_netdecimalvalue_1"/>
      <w:r>
        <w:rPr>
          <w:sz w:val="21"/>
          <w:szCs w:val="21"/>
        </w:rPr>
        <w:t>0.0001</w:t>
      </w:r>
      <w:bookmarkEnd w:id="141"/>
      <w:r>
        <w:rPr>
          <w:rFonts w:hint="eastAsia"/>
          <w:sz w:val="21"/>
          <w:szCs w:val="21"/>
        </w:rPr>
        <w:t>元，小数点后第</w:t>
      </w:r>
      <w:bookmarkStart w:id="142" w:name="field_0_netdecimaladd1_1"/>
      <w:r>
        <w:rPr>
          <w:sz w:val="21"/>
          <w:szCs w:val="21"/>
        </w:rPr>
        <w:t>5</w:t>
      </w:r>
      <w:bookmarkEnd w:id="142"/>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43" w:name="field_63_netdecimal_1"/>
      <w:r>
        <w:rPr>
          <w:sz w:val="21"/>
          <w:szCs w:val="21"/>
        </w:rPr>
        <w:t>4</w:t>
      </w:r>
      <w:bookmarkEnd w:id="143"/>
      <w:r>
        <w:rPr>
          <w:rFonts w:hint="eastAsia"/>
          <w:sz w:val="21"/>
          <w:szCs w:val="21"/>
        </w:rPr>
        <w:t>位以内（含第</w:t>
      </w:r>
      <w:bookmarkStart w:id="144" w:name="field_63_netdecimal_2"/>
      <w:r>
        <w:rPr>
          <w:sz w:val="21"/>
          <w:szCs w:val="21"/>
        </w:rPr>
        <w:t>4</w:t>
      </w:r>
      <w:bookmarkEnd w:id="144"/>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八、特殊情况的处理方法</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1、基金管理人或基金托管人按估值方法的第8项进行估值时，所造成的误差不作为基金资产估值错误处理。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或国家会计政策变更、市场规则变更等原因，基金管理人和基金托管人虽然已经采取必要、适当、合理的措施进行检查，但未能发现该错误的，由此造成的基金资产估值错误，基金管理人和基金托管人应当免除赔偿责任。但基金管理人和基金托管人应当积极采取必要的措施消除或</w:t>
      </w:r>
      <w:bookmarkStart w:id="145" w:name="chapter_level1_14_63_section_2_end"/>
      <w:bookmarkEnd w:id="145"/>
      <w:r>
        <w:rPr>
          <w:rFonts w:hint="eastAsia"/>
          <w:sz w:val="21"/>
          <w:szCs w:val="21"/>
        </w:rPr>
        <w:t xml:space="preserve">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6" w:name="chapter_level1_15_64"/>
      <w:bookmarkStart w:id="147" w:name="_Toc82519737"/>
      <w:r>
        <w:rPr>
          <w:rFonts w:hint="eastAsia" w:ascii="宋体" w:hAnsi="宋体" w:eastAsia="宋体"/>
          <w:sz w:val="30"/>
        </w:rPr>
        <w:t>第十二部分  基金的收益分配</w:t>
      </w:r>
      <w:bookmarkEnd w:id="146"/>
      <w:bookmarkEnd w:id="147"/>
    </w:p>
    <w:p>
      <w:pPr>
        <w:pStyle w:val="7"/>
        <w:spacing w:before="0" w:beforeAutospacing="0" w:after="0" w:afterAutospacing="0" w:line="360" w:lineRule="auto"/>
        <w:ind w:firstLine="420"/>
        <w:rPr>
          <w:sz w:val="21"/>
          <w:szCs w:val="21"/>
        </w:rPr>
      </w:pPr>
      <w:bookmarkStart w:id="148" w:name="chapter_level1_15_64_section_1"/>
      <w:bookmarkEnd w:id="148"/>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2、本基金收益分配方式分两种：现金分红与红利再投资，投资者可选择现金红利或将现金红利自动转为相应类别的基金份额进行再投资；若投资者不选择，本基金默认的收益分配方式是现金分红；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r>
        <w:rPr>
          <w:rFonts w:hint="eastAsia"/>
          <w:sz w:val="21"/>
          <w:szCs w:val="21"/>
        </w:rPr>
        <w:t>在符合法律法规及基金合同约定，并对基金份额持有人利益无实质不利影响的前提下，</w:t>
      </w:r>
      <w:bookmarkStart w:id="149" w:name="chapter_level1_15_64_section_1_end"/>
      <w:bookmarkEnd w:id="149"/>
      <w:r>
        <w:rPr>
          <w:rFonts w:hint="eastAsia"/>
          <w:sz w:val="21"/>
          <w:szCs w:val="21"/>
        </w:rPr>
        <w:t xml:space="preserve">基金管理人可对基金收益分配原则和支付方式进行调整，不需召开基金份额持有人大会。 </w:t>
      </w:r>
    </w:p>
    <w:p>
      <w:pPr>
        <w:pStyle w:val="7"/>
        <w:spacing w:before="0" w:beforeAutospacing="0" w:after="0" w:afterAutospacing="0" w:line="360" w:lineRule="auto"/>
        <w:ind w:firstLine="420"/>
        <w:rPr>
          <w:sz w:val="21"/>
          <w:szCs w:val="21"/>
        </w:rPr>
      </w:pPr>
      <w:bookmarkStart w:id="150" w:name="chapter_level1_15_64_section_2"/>
      <w:bookmarkEnd w:id="150"/>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w:t>
      </w:r>
      <w:bookmarkStart w:id="151" w:name="chapter_level1_15_64_section_2_end"/>
      <w:bookmarkEnd w:id="151"/>
      <w:r>
        <w:rPr>
          <w:rFonts w:hint="eastAsia"/>
          <w:sz w:val="21"/>
          <w:szCs w:val="21"/>
        </w:rPr>
        <w:t xml:space="preserve">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2" w:name="chapter_level1_16_65"/>
      <w:bookmarkStart w:id="153" w:name="_Toc82519738"/>
      <w:r>
        <w:rPr>
          <w:rFonts w:hint="eastAsia" w:ascii="宋体" w:hAnsi="宋体" w:eastAsia="宋体"/>
          <w:sz w:val="30"/>
        </w:rPr>
        <w:t>第十三部分  基金费用与税收</w:t>
      </w:r>
      <w:bookmarkEnd w:id="152"/>
      <w:bookmarkEnd w:id="153"/>
    </w:p>
    <w:p>
      <w:pPr>
        <w:pStyle w:val="7"/>
        <w:spacing w:before="0" w:beforeAutospacing="0" w:after="0" w:afterAutospacing="0" w:line="360" w:lineRule="auto"/>
        <w:ind w:firstLine="420"/>
        <w:rPr>
          <w:sz w:val="21"/>
          <w:szCs w:val="21"/>
        </w:rPr>
      </w:pPr>
      <w:bookmarkStart w:id="154" w:name="chapter_level1_16_65_section_1"/>
      <w:bookmarkEnd w:id="154"/>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9、基金的账户开户费用、账户维护费用；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55" w:name="field_0_managementrate_1"/>
      <w:r>
        <w:rPr>
          <w:sz w:val="21"/>
          <w:szCs w:val="21"/>
        </w:rPr>
        <w:t>1.50</w:t>
      </w:r>
      <w:bookmarkEnd w:id="155"/>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56" w:name="field_0_managementrate_2"/>
      <w:r>
        <w:rPr>
          <w:sz w:val="21"/>
          <w:szCs w:val="21"/>
        </w:rPr>
        <w:t>1.50</w:t>
      </w:r>
      <w:bookmarkEnd w:id="156"/>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基金托管人根据与基金管理人约定的方式在月初三个工作日内支付给基金管理人。若遇法定节假日、公休日或不可抗力等致使无法按时支付的，支付日期顺延至法定节假日、休息日结束之日起3个工作日内或不可抗力情形消除之日起3个工作日内支付。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57" w:name="field_0_trusteerate_1"/>
      <w:r>
        <w:rPr>
          <w:sz w:val="21"/>
          <w:szCs w:val="21"/>
        </w:rPr>
        <w:t>0.25</w:t>
      </w:r>
      <w:bookmarkEnd w:id="157"/>
      <w:r>
        <w:rPr>
          <w:rFonts w:hint="eastAsia"/>
          <w:sz w:val="21"/>
          <w:szCs w:val="21"/>
        </w:rPr>
        <w:t xml:space="preserve">%的年费率计提。托管费的计算方法如下：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58" w:name="field_0_trusteerate_2"/>
      <w:r>
        <w:rPr>
          <w:sz w:val="21"/>
          <w:szCs w:val="21"/>
        </w:rPr>
        <w:t>0.25</w:t>
      </w:r>
      <w:bookmarkEnd w:id="158"/>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基金托管人根据与基金管理人约定的方式在月初三个工作日内支付给基金托管人。若遇法定节假日、公休日或不可抗力等致使无法按时支付的，支付日期顺延至法定节假日、休息日结束之日起3个工作日内或不可抗力情形消除之日起3个工作日内支付。 </w:t>
      </w:r>
    </w:p>
    <w:p>
      <w:pPr>
        <w:pStyle w:val="7"/>
        <w:spacing w:before="0" w:beforeAutospacing="0" w:after="0" w:afterAutospacing="0" w:line="360" w:lineRule="auto"/>
        <w:ind w:firstLine="420"/>
        <w:rPr>
          <w:sz w:val="21"/>
          <w:szCs w:val="21"/>
        </w:rPr>
      </w:pPr>
      <w:r>
        <w:rPr>
          <w:rFonts w:hint="eastAsia"/>
          <w:sz w:val="21"/>
          <w:szCs w:val="21"/>
        </w:rPr>
        <w:t xml:space="preserve">3、销售服务费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本基金A类基金份额不收取销售服务费，C类基金份额的销售服务费年费率为0.80%。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本基金销售服务费按前一日C类基金份额的基金资产净值的0.80%年费率计提。 计算方法如下： </w:t>
      </w:r>
    </w:p>
    <w:p>
      <w:pPr>
        <w:pStyle w:val="7"/>
        <w:spacing w:before="0" w:beforeAutospacing="0" w:after="0" w:afterAutospacing="0" w:line="360" w:lineRule="auto"/>
        <w:ind w:firstLine="420"/>
        <w:rPr>
          <w:sz w:val="21"/>
          <w:szCs w:val="21"/>
        </w:rPr>
      </w:pPr>
      <w:r>
        <w:rPr>
          <w:rFonts w:hint="eastAsia"/>
          <w:sz w:val="21"/>
          <w:szCs w:val="21"/>
        </w:rPr>
        <w:t xml:space="preserve">H=E×0.80%÷当年天数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销售服务费每日计算，逐日累计至每月月末，按月支付。由基金托管人根据与基金管理人核对一致的财务数据，基金托管人根据与基金管理人约定的方式在月初三个工作日内支付给登记机构，由登记机构代收支付给销售机构。若遇法定节假日、公休假或不可抗力等致使无法按时支付的，支付日期顺延至法定节假日、休息日结束之日起3个工作日内或不可抗力情形消除之日起3个工作日内支付。 </w:t>
      </w:r>
    </w:p>
    <w:p>
      <w:pPr>
        <w:pStyle w:val="7"/>
        <w:spacing w:before="0" w:beforeAutospacing="0" w:after="0" w:afterAutospacing="0" w:line="360" w:lineRule="auto"/>
        <w:ind w:firstLine="420"/>
        <w:rPr>
          <w:sz w:val="21"/>
          <w:szCs w:val="21"/>
        </w:rPr>
      </w:pPr>
      <w:r>
        <w:rPr>
          <w:rFonts w:hint="eastAsia"/>
          <w:sz w:val="21"/>
          <w:szCs w:val="21"/>
        </w:rPr>
        <w:t xml:space="preserve">销售服务费主要用于本基金持续销售以及基金份额持有人服务等各项费用。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59" w:name="chapter_level1_16_65_section_1_end"/>
      <w:bookmarkEnd w:id="159"/>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0" w:name="chapter_level1_17_66"/>
      <w:bookmarkStart w:id="161" w:name="_Toc82519739"/>
      <w:r>
        <w:rPr>
          <w:rFonts w:hint="eastAsia" w:ascii="宋体" w:hAnsi="宋体" w:eastAsia="宋体"/>
          <w:sz w:val="30"/>
        </w:rPr>
        <w:t>第十四部分  基金的会计与审计</w:t>
      </w:r>
      <w:bookmarkEnd w:id="160"/>
      <w:bookmarkEnd w:id="161"/>
    </w:p>
    <w:p>
      <w:pPr>
        <w:pStyle w:val="7"/>
        <w:spacing w:before="0" w:beforeAutospacing="0" w:after="0" w:afterAutospacing="0" w:line="360" w:lineRule="auto"/>
        <w:ind w:firstLine="420"/>
        <w:rPr>
          <w:sz w:val="21"/>
          <w:szCs w:val="21"/>
        </w:rPr>
      </w:pPr>
      <w:bookmarkStart w:id="162" w:name="chapter_level1_17_66_section_1"/>
      <w:bookmarkEnd w:id="162"/>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63" w:name="chapter_level1_17_66_section_1_end"/>
      <w:bookmarkEnd w:id="163"/>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4" w:name="chapter_level1_18_67"/>
      <w:bookmarkStart w:id="165" w:name="_Toc82519740"/>
      <w:r>
        <w:rPr>
          <w:rFonts w:hint="eastAsia" w:ascii="宋体" w:hAnsi="宋体" w:eastAsia="宋体"/>
          <w:sz w:val="30"/>
        </w:rPr>
        <w:t>第十五部分  基金的信息披露</w:t>
      </w:r>
      <w:bookmarkEnd w:id="164"/>
      <w:bookmarkEnd w:id="165"/>
    </w:p>
    <w:p>
      <w:pPr>
        <w:pStyle w:val="7"/>
        <w:spacing w:before="0" w:beforeAutospacing="0" w:after="0" w:afterAutospacing="0" w:line="360" w:lineRule="auto"/>
        <w:ind w:firstLine="420"/>
        <w:rPr>
          <w:sz w:val="21"/>
          <w:szCs w:val="21"/>
        </w:rPr>
      </w:pPr>
      <w:bookmarkStart w:id="166" w:name="chapter_level1_18_67_section_1"/>
      <w:bookmarkEnd w:id="166"/>
      <w:r>
        <w:rPr>
          <w:rStyle w:val="11"/>
          <w:rFonts w:hint="eastAsia"/>
          <w:sz w:val="21"/>
          <w:szCs w:val="21"/>
        </w:rPr>
        <w:t>一、本基金的信息披露应符合《基金法》、《运作办法》、《信息披露办法》、《基金合同》及其他有关规定。相关法律法规关于信息披露的规定发生变化时，本基金从其最新规定。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67" w:name="chapter_level1_18_67_section_1_end"/>
      <w:bookmarkEnd w:id="167"/>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68" w:name="chapter_level1_18_67_section_2"/>
      <w:bookmarkEnd w:id="168"/>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16、任一类基金份额净值计价错误达该类基金份额净值百分之零点五；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21、调整基金份额类别的设置； </w:t>
      </w:r>
    </w:p>
    <w:p>
      <w:pPr>
        <w:pStyle w:val="7"/>
        <w:spacing w:before="0" w:beforeAutospacing="0" w:after="0" w:afterAutospacing="0" w:line="360" w:lineRule="auto"/>
        <w:ind w:firstLine="420"/>
        <w:rPr>
          <w:sz w:val="21"/>
          <w:szCs w:val="21"/>
        </w:rPr>
      </w:pPr>
      <w:r>
        <w:rPr>
          <w:rFonts w:hint="eastAsia"/>
          <w:sz w:val="21"/>
          <w:szCs w:val="21"/>
        </w:rPr>
        <w:t xml:space="preserve">22、基金推出新业务或服务；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23、发生涉及本基金申购、赎回事项调整或潜在影响投资者赎回等重大事项时；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24、基金管理人采用摆动定价机制进行估值时； </w:t>
      </w:r>
    </w:p>
    <w:p>
      <w:pPr>
        <w:pStyle w:val="7"/>
        <w:spacing w:before="0" w:beforeAutospacing="0" w:after="0" w:afterAutospacing="0" w:line="360" w:lineRule="auto"/>
        <w:ind w:firstLine="420"/>
        <w:rPr>
          <w:sz w:val="21"/>
          <w:szCs w:val="21"/>
        </w:rPr>
      </w:pPr>
      <w:r>
        <w:rPr>
          <w:rFonts w:hint="eastAsia"/>
          <w:sz w:val="21"/>
          <w:szCs w:val="21"/>
        </w:rPr>
        <w:t xml:space="preserve">25、基金信息披露义务人认为可能对基金份额持有人权益或者基金份额的价格产生重大影响的其他事项或中国证监会规定的其他事项。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（十）投资股指期货的信息披露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（十一）投资国债期货的信息披露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（十二）投资中小企业私募债券的信息披露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（十三）投资资产支持证券的信息披露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（十四）清算报告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69" w:name="chapter_level1_18_67_section_2_end"/>
      <w:bookmarkEnd w:id="169"/>
      <w:r>
        <w:rPr>
          <w:rFonts w:hint="eastAsia"/>
          <w:sz w:val="21"/>
          <w:szCs w:val="21"/>
        </w:rPr>
        <w:t xml:space="preserve">（十五）中国证监会规定的其他信息 </w:t>
      </w:r>
    </w:p>
    <w:p>
      <w:pPr>
        <w:pStyle w:val="7"/>
        <w:spacing w:before="0" w:beforeAutospacing="0" w:after="0" w:afterAutospacing="0" w:line="360" w:lineRule="auto"/>
        <w:ind w:firstLine="420"/>
        <w:rPr>
          <w:sz w:val="21"/>
          <w:szCs w:val="21"/>
        </w:rPr>
      </w:pPr>
      <w:bookmarkStart w:id="170" w:name="chapter_level1_18_67_section_3"/>
      <w:bookmarkEnd w:id="170"/>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pPr>
        <w:pStyle w:val="7"/>
        <w:spacing w:before="0" w:beforeAutospacing="0" w:after="0" w:afterAutospacing="0" w:line="360" w:lineRule="auto"/>
        <w:ind w:firstLine="420"/>
        <w:rPr>
          <w:sz w:val="21"/>
          <w:szCs w:val="21"/>
        </w:rPr>
      </w:pPr>
      <w:r>
        <w:rPr>
          <w:rStyle w:val="11"/>
          <w:rFonts w:hint="eastAsia"/>
          <w:sz w:val="21"/>
          <w:szCs w:val="21"/>
        </w:rPr>
        <w:t>八、当出现下述情况时，基金管理人和基金托管人可暂停或延迟披露基金相关信息：</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2、因不可抗力或其他情形致使基金管理人、基金托管人无法准确评估基金资产价值时；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3、基金合同约定的暂停估值的情形； </w:t>
      </w:r>
    </w:p>
    <w:p>
      <w:pPr>
        <w:pStyle w:val="7"/>
        <w:spacing w:before="0" w:beforeAutospacing="0" w:after="0" w:afterAutospacing="0" w:line="360" w:lineRule="auto"/>
        <w:ind w:firstLine="420"/>
        <w:rPr>
          <w:sz w:val="21"/>
          <w:szCs w:val="21"/>
        </w:rPr>
      </w:pPr>
      <w:bookmarkStart w:id="171" w:name="chapter_level1_18_67_section_3_end"/>
      <w:bookmarkEnd w:id="171"/>
      <w:r>
        <w:rPr>
          <w:rFonts w:hint="eastAsia"/>
          <w:sz w:val="21"/>
          <w:szCs w:val="21"/>
        </w:rPr>
        <w:t xml:space="preserve">4、法律法规规定、中国证监会或基金合同认定的其他情形。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2" w:name="chapter_level1_19_68"/>
      <w:bookmarkStart w:id="173" w:name="_Toc82519741"/>
      <w:r>
        <w:rPr>
          <w:rFonts w:hint="eastAsia" w:ascii="宋体" w:hAnsi="宋体" w:eastAsia="宋体"/>
          <w:sz w:val="30"/>
        </w:rPr>
        <w:t>第十六部分  风险揭示</w:t>
      </w:r>
      <w:bookmarkEnd w:id="172"/>
      <w:bookmarkEnd w:id="173"/>
    </w:p>
    <w:p>
      <w:pPr>
        <w:pStyle w:val="7"/>
        <w:spacing w:before="0" w:beforeAutospacing="0" w:after="0" w:afterAutospacing="0" w:line="360" w:lineRule="auto"/>
        <w:ind w:firstLine="420"/>
        <w:rPr>
          <w:sz w:val="21"/>
          <w:szCs w:val="21"/>
        </w:rPr>
      </w:pPr>
      <w:bookmarkStart w:id="174" w:name="chapter_level1_19_68_section_1"/>
      <w:bookmarkEnd w:id="174"/>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（6）杠杆风险 。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 </w:t>
      </w:r>
    </w:p>
    <w:p>
      <w:pPr>
        <w:pStyle w:val="7"/>
        <w:spacing w:before="0" w:beforeAutospacing="0" w:after="0" w:afterAutospacing="0" w:line="360" w:lineRule="auto"/>
        <w:ind w:firstLine="420"/>
        <w:rPr>
          <w:sz w:val="21"/>
          <w:szCs w:val="21"/>
        </w:rPr>
      </w:pPr>
      <w:r>
        <w:rPr>
          <w:rFonts w:hint="eastAsia"/>
          <w:sz w:val="21"/>
          <w:szCs w:val="21"/>
        </w:rPr>
        <w:t xml:space="preserve">（7）波动性风险 </w:t>
      </w:r>
    </w:p>
    <w:p>
      <w:pPr>
        <w:pStyle w:val="7"/>
        <w:spacing w:before="0" w:beforeAutospacing="0" w:after="0" w:afterAutospacing="0" w:line="360" w:lineRule="auto"/>
        <w:ind w:firstLine="420"/>
        <w:rPr>
          <w:sz w:val="21"/>
          <w:szCs w:val="21"/>
        </w:rPr>
      </w:pPr>
      <w:r>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（2）巨额赎回情形下的流动性风险管理措施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 </w:t>
      </w:r>
    </w:p>
    <w:p>
      <w:pPr>
        <w:pStyle w:val="7"/>
        <w:spacing w:before="0" w:beforeAutospacing="0" w:after="0" w:afterAutospacing="0" w:line="360" w:lineRule="auto"/>
        <w:ind w:firstLine="420"/>
        <w:rPr>
          <w:sz w:val="21"/>
          <w:szCs w:val="21"/>
        </w:rPr>
      </w:pPr>
      <w:r>
        <w:rPr>
          <w:rFonts w:hint="eastAsia"/>
          <w:sz w:val="21"/>
          <w:szCs w:val="21"/>
        </w:rPr>
        <w:t xml:space="preserve">（3）实施备用的流动性风险管理工具的情形、程序及对投资者的潜在影响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Style w:val="11"/>
          <w:rFonts w:hint="eastAsia"/>
          <w:sz w:val="21"/>
          <w:szCs w:val="21"/>
        </w:rPr>
        <w:t>二、投资于本基金的特有风险</w:t>
      </w:r>
    </w:p>
    <w:p>
      <w:pPr>
        <w:pStyle w:val="7"/>
        <w:spacing w:before="0" w:beforeAutospacing="0" w:after="0" w:afterAutospacing="0" w:line="360" w:lineRule="auto"/>
        <w:ind w:firstLine="420"/>
        <w:rPr>
          <w:sz w:val="21"/>
          <w:szCs w:val="21"/>
        </w:rPr>
      </w:pPr>
      <w:r>
        <w:rPr>
          <w:rFonts w:hint="eastAsia"/>
          <w:sz w:val="21"/>
          <w:szCs w:val="21"/>
        </w:rPr>
        <w:t xml:space="preserve">1、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以定性和定量分析为基础，从基本面分析入手，以深入的基本面研究为基础，精选成长与价值特性突出的上市公司股票，这种对股票的评估具有一定的主观性，将在个股投资决策中给基金带来一定的不确定性，因而存在个股选择风险。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2、股指期货、国债期货等金融衍生品投资风险 </w:t>
      </w:r>
    </w:p>
    <w:p>
      <w:pPr>
        <w:pStyle w:val="7"/>
        <w:spacing w:before="0" w:beforeAutospacing="0" w:after="0" w:afterAutospacing="0" w:line="360" w:lineRule="auto"/>
        <w:ind w:firstLine="420"/>
        <w:rPr>
          <w:sz w:val="21"/>
          <w:szCs w:val="21"/>
        </w:rPr>
      </w:pPr>
      <w:r>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pPr>
        <w:pStyle w:val="7"/>
        <w:spacing w:before="0" w:beforeAutospacing="0" w:after="0" w:afterAutospacing="0" w:line="360" w:lineRule="auto"/>
        <w:ind w:firstLine="420"/>
        <w:rPr>
          <w:sz w:val="21"/>
          <w:szCs w:val="21"/>
        </w:rPr>
      </w:pPr>
      <w:r>
        <w:rPr>
          <w:rFonts w:hint="eastAsia"/>
          <w:sz w:val="21"/>
          <w:szCs w:val="21"/>
        </w:rPr>
        <w:t xml:space="preserve">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3、中小企业私募债券投资风险 </w:t>
      </w:r>
    </w:p>
    <w:p>
      <w:pPr>
        <w:pStyle w:val="7"/>
        <w:spacing w:before="0" w:beforeAutospacing="0" w:after="0" w:afterAutospacing="0" w:line="360" w:lineRule="auto"/>
        <w:ind w:firstLine="420"/>
        <w:rPr>
          <w:sz w:val="21"/>
          <w:szCs w:val="21"/>
        </w:rPr>
      </w:pPr>
      <w:r>
        <w:rPr>
          <w:rFonts w:hint="eastAsia"/>
          <w:sz w:val="21"/>
          <w:szCs w:val="21"/>
        </w:rPr>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pPr>
        <w:pStyle w:val="7"/>
        <w:spacing w:before="0" w:beforeAutospacing="0" w:after="0" w:afterAutospacing="0" w:line="360" w:lineRule="auto"/>
        <w:ind w:firstLine="420"/>
        <w:rPr>
          <w:sz w:val="21"/>
          <w:szCs w:val="21"/>
        </w:rPr>
      </w:pPr>
      <w:r>
        <w:rPr>
          <w:rFonts w:hint="eastAsia"/>
          <w:sz w:val="21"/>
          <w:szCs w:val="21"/>
        </w:rPr>
        <w:t xml:space="preserve">4、资产支持证券（ABS）的风险 </w:t>
      </w:r>
    </w:p>
    <w:p>
      <w:pPr>
        <w:pStyle w:val="7"/>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5、投资于存托凭证的风险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Style w:val="11"/>
          <w:rFonts w:hint="eastAsia"/>
          <w:sz w:val="21"/>
          <w:szCs w:val="21"/>
        </w:rPr>
        <w:t>三、其他风险</w:t>
      </w:r>
    </w:p>
    <w:p>
      <w:pPr>
        <w:pStyle w:val="7"/>
        <w:spacing w:before="0" w:beforeAutospacing="0" w:after="0" w:afterAutospacing="0" w:line="360" w:lineRule="auto"/>
        <w:ind w:firstLine="420"/>
        <w:rPr>
          <w:sz w:val="21"/>
          <w:szCs w:val="21"/>
        </w:rPr>
      </w:pPr>
      <w:r>
        <w:rPr>
          <w:rFonts w:hint="eastAsia"/>
          <w:sz w:val="21"/>
          <w:szCs w:val="21"/>
        </w:rPr>
        <w:t xml:space="preserve">1、技术风险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pPr>
        <w:pStyle w:val="7"/>
        <w:spacing w:before="0" w:beforeAutospacing="0" w:after="0" w:afterAutospacing="0" w:line="360" w:lineRule="auto"/>
        <w:ind w:firstLine="420"/>
        <w:rPr>
          <w:sz w:val="21"/>
          <w:szCs w:val="21"/>
        </w:rPr>
      </w:pPr>
      <w:r>
        <w:rPr>
          <w:rFonts w:hint="eastAsia"/>
          <w:sz w:val="21"/>
          <w:szCs w:val="21"/>
        </w:rPr>
        <w:t xml:space="preserve">2、法律风险 </w:t>
      </w:r>
    </w:p>
    <w:p>
      <w:pPr>
        <w:pStyle w:val="7"/>
        <w:spacing w:before="0" w:beforeAutospacing="0" w:after="0" w:afterAutospacing="0" w:line="360" w:lineRule="auto"/>
        <w:ind w:firstLine="420"/>
        <w:rPr>
          <w:sz w:val="21"/>
          <w:szCs w:val="21"/>
        </w:rPr>
      </w:pPr>
      <w:r>
        <w:rPr>
          <w:rFonts w:hint="eastAsia"/>
          <w:sz w:val="21"/>
          <w:szCs w:val="21"/>
        </w:rPr>
        <w:t xml:space="preserve">由于法律法规方面的原因，某些市场行为受到限制或合同不能正常执行，导致基金资产的损失。 </w:t>
      </w:r>
    </w:p>
    <w:p>
      <w:pPr>
        <w:pStyle w:val="7"/>
        <w:spacing w:before="0" w:beforeAutospacing="0" w:after="0" w:afterAutospacing="0" w:line="360" w:lineRule="auto"/>
        <w:ind w:firstLine="420"/>
        <w:rPr>
          <w:sz w:val="21"/>
          <w:szCs w:val="21"/>
        </w:rPr>
      </w:pPr>
      <w:r>
        <w:rPr>
          <w:rFonts w:hint="eastAsia"/>
          <w:sz w:val="21"/>
          <w:szCs w:val="21"/>
        </w:rPr>
        <w:t xml:space="preserve">3、其他风险 </w:t>
      </w:r>
    </w:p>
    <w:p>
      <w:pPr>
        <w:pStyle w:val="7"/>
        <w:spacing w:before="0" w:beforeAutospacing="0" w:after="0" w:afterAutospacing="0" w:line="360" w:lineRule="auto"/>
        <w:ind w:firstLine="420"/>
        <w:rPr>
          <w:sz w:val="21"/>
          <w:szCs w:val="21"/>
        </w:rPr>
      </w:pPr>
      <w:r>
        <w:rPr>
          <w:rFonts w:hint="eastAsia"/>
          <w:sz w:val="21"/>
          <w:szCs w:val="21"/>
        </w:rPr>
        <w:t>战争、自然灾害等不可抗力因素的出现，将会严重影响证券市场的运行，可能导致基金资产的损失。金融市场危机、行业竞争、代理商违约、托管行违约等超出基金管理人自身直</w:t>
      </w:r>
      <w:bookmarkStart w:id="175" w:name="chapter_level1_19_68_section_1_end"/>
      <w:bookmarkEnd w:id="175"/>
      <w:r>
        <w:rPr>
          <w:rFonts w:hint="eastAsia"/>
          <w:sz w:val="21"/>
          <w:szCs w:val="21"/>
        </w:rPr>
        <w:t xml:space="preserve">接控制能力之外的风险，可能导致基金或者基金份额持有人利益受损。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6" w:name="_Toc82519742"/>
      <w:bookmarkStart w:id="177" w:name="chapter_level1_20_69"/>
      <w:r>
        <w:rPr>
          <w:rFonts w:hint="eastAsia" w:ascii="宋体" w:hAnsi="宋体" w:eastAsia="宋体"/>
          <w:sz w:val="30"/>
        </w:rPr>
        <w:t>第十七部分  基金合同的变更、终止与基金财产的清算</w:t>
      </w:r>
      <w:bookmarkEnd w:id="176"/>
      <w:bookmarkEnd w:id="177"/>
    </w:p>
    <w:p>
      <w:pPr>
        <w:pStyle w:val="7"/>
        <w:spacing w:before="0" w:beforeAutospacing="0" w:after="0" w:afterAutospacing="0" w:line="360" w:lineRule="auto"/>
        <w:ind w:firstLine="420"/>
        <w:rPr>
          <w:sz w:val="21"/>
          <w:szCs w:val="21"/>
        </w:rPr>
      </w:pPr>
      <w:bookmarkStart w:id="178" w:name="chapter_level1_20_69_section_1"/>
      <w:bookmarkEnd w:id="178"/>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179" w:name="chapter_level1_20_69_section_1_end"/>
      <w:bookmarkEnd w:id="179"/>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0" w:name="chapter_level1_21_71"/>
      <w:bookmarkStart w:id="181" w:name="_Toc82519743"/>
      <w:r>
        <w:rPr>
          <w:rFonts w:hint="eastAsia" w:ascii="宋体" w:hAnsi="宋体" w:eastAsia="宋体"/>
          <w:sz w:val="30"/>
        </w:rPr>
        <w:t>第十八部分  基金合同的内容摘要</w:t>
      </w:r>
      <w:bookmarkEnd w:id="180"/>
      <w:bookmarkEnd w:id="181"/>
    </w:p>
    <w:p>
      <w:pPr>
        <w:pStyle w:val="7"/>
        <w:spacing w:before="0" w:beforeAutospacing="0" w:after="0" w:afterAutospacing="0" w:line="360" w:lineRule="auto"/>
        <w:ind w:firstLine="420"/>
        <w:rPr>
          <w:sz w:val="21"/>
          <w:szCs w:val="21"/>
        </w:rPr>
      </w:pPr>
      <w:bookmarkStart w:id="182" w:name="chapter_level1_21_71_section_1"/>
      <w:bookmarkEnd w:id="182"/>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 xml:space="preserve">1、基金管理人简况 </w:t>
      </w:r>
    </w:p>
    <w:p>
      <w:pPr>
        <w:pStyle w:val="7"/>
        <w:spacing w:before="0" w:beforeAutospacing="0" w:after="0" w:afterAutospacing="0" w:line="360" w:lineRule="auto"/>
        <w:ind w:firstLine="420"/>
        <w:rPr>
          <w:sz w:val="21"/>
          <w:szCs w:val="21"/>
        </w:rPr>
      </w:pPr>
      <w:r>
        <w:rPr>
          <w:rFonts w:hint="eastAsia"/>
          <w:sz w:val="21"/>
          <w:szCs w:val="21"/>
        </w:rPr>
        <w:t>名称：</w:t>
      </w:r>
      <w:bookmarkStart w:id="183" w:name="field_0_managerorgfullname_7"/>
      <w:r>
        <w:rPr>
          <w:rFonts w:hint="eastAsia"/>
          <w:sz w:val="21"/>
          <w:szCs w:val="21"/>
        </w:rPr>
        <w:t>博时基金管理有限公司</w:t>
      </w:r>
      <w:bookmarkEnd w:id="18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存续期限： 持续经营 </w:t>
      </w:r>
    </w:p>
    <w:p>
      <w:pPr>
        <w:pStyle w:val="7"/>
        <w:spacing w:before="0" w:beforeAutospacing="0" w:after="0" w:afterAutospacing="0" w:line="360" w:lineRule="auto"/>
        <w:ind w:firstLine="420"/>
        <w:rPr>
          <w:sz w:val="21"/>
          <w:szCs w:val="21"/>
        </w:rPr>
      </w:pPr>
      <w:r>
        <w:rPr>
          <w:rFonts w:hint="eastAsia"/>
          <w:sz w:val="21"/>
          <w:szCs w:val="21"/>
        </w:rPr>
        <w:t xml:space="preserve">联系电话：0755-83169999 </w:t>
      </w:r>
    </w:p>
    <w:p>
      <w:pPr>
        <w:pStyle w:val="7"/>
        <w:spacing w:before="0" w:beforeAutospacing="0" w:after="0" w:afterAutospacing="0" w:line="360" w:lineRule="auto"/>
        <w:ind w:firstLine="420"/>
        <w:rPr>
          <w:sz w:val="21"/>
          <w:szCs w:val="21"/>
        </w:rPr>
      </w:pPr>
      <w:r>
        <w:rPr>
          <w:rFonts w:hint="eastAsia"/>
          <w:sz w:val="21"/>
          <w:szCs w:val="21"/>
        </w:rPr>
        <w:t xml:space="preserve">2、基金管理人的权利与义务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14）选择、更换律师事务所、会计师事务所、证券经纪商、期货经纪商或其他为基金提供服务的外部机构；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15）在符合有关法律、法规的前提下，制订和调整有关基金认购、申购、赎回、转换、定期定额投资和非交易过户等业务规则；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16）法律法规及中国证监会规定的和《基金合同》约定的其他权利。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 xml:space="preserve">1、基金托管人简况 </w:t>
      </w:r>
    </w:p>
    <w:p>
      <w:pPr>
        <w:pStyle w:val="7"/>
        <w:spacing w:before="0" w:beforeAutospacing="0" w:after="0" w:afterAutospacing="0" w:line="360" w:lineRule="auto"/>
        <w:ind w:firstLine="420"/>
        <w:rPr>
          <w:sz w:val="21"/>
          <w:szCs w:val="21"/>
        </w:rPr>
      </w:pPr>
      <w:r>
        <w:rPr>
          <w:rFonts w:hint="eastAsia"/>
          <w:sz w:val="21"/>
          <w:szCs w:val="21"/>
        </w:rPr>
        <w:t>名称：</w:t>
      </w:r>
      <w:bookmarkStart w:id="184" w:name="field_0_trustorgfullname_2"/>
      <w:r>
        <w:rPr>
          <w:rFonts w:hint="eastAsia"/>
          <w:sz w:val="21"/>
          <w:szCs w:val="21"/>
        </w:rPr>
        <w:t>中国工商银行股份有限公司</w:t>
      </w:r>
      <w:bookmarkEnd w:id="18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住所：北京市西城区复兴门内大街55号（100032）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电话：（010）66105799 </w:t>
      </w:r>
    </w:p>
    <w:p>
      <w:pPr>
        <w:pStyle w:val="7"/>
        <w:spacing w:before="0" w:beforeAutospacing="0" w:after="0" w:afterAutospacing="0" w:line="360" w:lineRule="auto"/>
        <w:ind w:firstLine="420"/>
        <w:rPr>
          <w:sz w:val="21"/>
          <w:szCs w:val="21"/>
        </w:rPr>
      </w:pPr>
      <w:r>
        <w:rPr>
          <w:rFonts w:hint="eastAsia"/>
          <w:sz w:val="21"/>
          <w:szCs w:val="21"/>
        </w:rPr>
        <w:t xml:space="preserve">传真：（010）66105798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批准设立机关和设立文号：国务院《关于中国人民银行专门行使中央银行职能的决定》（国发[1983]146号）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2、基金托管人的权利与义务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4）根据相关市场规则，为基金开设资金账户、证券账户、期货账户等投资所需账户，为基金办理证券交易资金清算；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6）按规定开设基金财产的资金账户、证券账户、期货账户等投资所需账户，按照《基金合同》的约定，根据基金管理人的投资指令，及时办理清算、交割事宜；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12）从基金管理人或其委托的登记机构处接收并保存基金份额持有人名册；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3）依法转让或者申请赎回其持有的基金份额；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1、除法律法规和中国证监会另有规定或《基金合同》另有约定外，当出现或需要决定下列事由之一的，应当召开基金份额持有人大会：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（5）调整基金管理人、基金托管人的报酬标准或提高销售服务费率；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2、在不违反法律法规规定和《基金合同》约定且对基金份额持有人利益无实质性不利影响的前提下，以下情况可由基金管理人和基金托管人协商后修改，不需召开基金份额持有人大会：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且对现有基金份额持有人利益无实质性不利影响的前提下调整本基金的申购费率、调低赎回费率、销售服务费或变更收费方式、调整基金份额类别设置、对基金份额分类办法及规则进行调整；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（5）基金管理人、登记机构、基金销售机构调整有关认购、申购、赎回、转换、基金交易、非交易过户、转托管等业务规则； </w:t>
      </w:r>
    </w:p>
    <w:p>
      <w:pPr>
        <w:pStyle w:val="7"/>
        <w:spacing w:before="0" w:beforeAutospacing="0" w:after="0" w:afterAutospacing="0" w:line="360" w:lineRule="auto"/>
        <w:ind w:firstLine="420"/>
        <w:rPr>
          <w:sz w:val="21"/>
          <w:szCs w:val="21"/>
        </w:rPr>
      </w:pPr>
      <w:r>
        <w:rPr>
          <w:rFonts w:hint="eastAsia"/>
          <w:sz w:val="21"/>
          <w:szCs w:val="21"/>
        </w:rPr>
        <w:t xml:space="preserve">（6）基金推出新业务或服务；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（7）按照法律法规和《基金合同》规定不需召开基金份额持有人大会的其他情形。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2、基金管理人未按规定召集或不能召开时，由基金托管人召集；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5、基金份额持有人可以采用书面、网络、电话、短信或其他方式进行表决，具体方式由会议召集人确定并在会议通知中列明。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四、争议的处理和适用的法律</w:t>
      </w:r>
    </w:p>
    <w:p>
      <w:pPr>
        <w:pStyle w:val="7"/>
        <w:spacing w:before="0" w:beforeAutospacing="0" w:after="0" w:afterAutospacing="0" w:line="360" w:lineRule="auto"/>
        <w:ind w:firstLine="420"/>
        <w:rPr>
          <w:sz w:val="21"/>
          <w:szCs w:val="21"/>
        </w:rPr>
      </w:pPr>
      <w:r>
        <w:rPr>
          <w:rFonts w:hint="eastAsia"/>
          <w:sz w:val="21"/>
          <w:szCs w:val="21"/>
        </w:rPr>
        <w:t xml:space="preserve">因本基金合同产生的或与之相关的争议，各方当事人应通过协商、调解解决，协商、调解不能解决的，任何一方均有权将争议提交中国国际经济贸易仲裁委员会，仲裁地点为北京市，按照中国国际经济贸易仲裁委员会届时有效的仲裁规则进行仲裁。仲裁裁决是终局的，对本基金合同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争议处理期间，本基金合同当事人应恪守基金管理人和基金托管人职责，各自继续忠实、勤勉、尽责地履行基金合同和托管协议规定的义务，维护基金份额持有人的合法权益。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本基金合同受中国法律（为本合同之目的，在此不包括香港、澳门特别行政区和台湾地区法律）管辖。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五、基金合同的存放地和投资者取得基金合同的方式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85" w:name="chapter_level1_21_71_section_1_end"/>
      <w:bookmarkEnd w:id="185"/>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6" w:name="_Toc82519744"/>
      <w:bookmarkStart w:id="187" w:name="chapter_level1_22_72"/>
      <w:r>
        <w:rPr>
          <w:rFonts w:hint="eastAsia" w:ascii="宋体" w:hAnsi="宋体" w:eastAsia="宋体"/>
          <w:sz w:val="30"/>
        </w:rPr>
        <w:t>第十九部分  基金托管协议的内容摘要</w:t>
      </w:r>
      <w:bookmarkEnd w:id="186"/>
      <w:bookmarkEnd w:id="187"/>
    </w:p>
    <w:p>
      <w:pPr>
        <w:pStyle w:val="7"/>
        <w:spacing w:before="0" w:beforeAutospacing="0" w:after="0" w:afterAutospacing="0" w:line="360" w:lineRule="auto"/>
        <w:ind w:firstLine="420"/>
        <w:rPr>
          <w:sz w:val="21"/>
          <w:szCs w:val="21"/>
        </w:rPr>
      </w:pPr>
      <w:bookmarkStart w:id="188" w:name="chapter_level1_22_72_section_1"/>
      <w:bookmarkEnd w:id="188"/>
      <w:r>
        <w:rPr>
          <w:rStyle w:val="11"/>
          <w:rFonts w:hint="eastAsia"/>
          <w:sz w:val="21"/>
          <w:szCs w:val="21"/>
        </w:rPr>
        <w:t>一、 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89" w:name="field_0_managerorgfullname_8"/>
      <w:r>
        <w:rPr>
          <w:rFonts w:hint="eastAsia"/>
          <w:sz w:val="21"/>
          <w:szCs w:val="21"/>
        </w:rPr>
        <w:t>博时基金管理有限公司</w:t>
      </w:r>
      <w:bookmarkEnd w:id="18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存续期限：持续经营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0" w:name="field_0_trustorgfullname_3"/>
      <w:r>
        <w:rPr>
          <w:rFonts w:hint="eastAsia"/>
          <w:sz w:val="21"/>
          <w:szCs w:val="21"/>
        </w:rPr>
        <w:t>中国工商银行股份有限公司</w:t>
      </w:r>
      <w:bookmarkEnd w:id="19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pPr>
        <w:pStyle w:val="7"/>
        <w:spacing w:before="0" w:beforeAutospacing="0" w:after="0" w:afterAutospacing="0" w:line="360" w:lineRule="auto"/>
        <w:ind w:firstLine="420"/>
        <w:rPr>
          <w:sz w:val="21"/>
          <w:szCs w:val="21"/>
        </w:rPr>
      </w:pPr>
      <w:r>
        <w:rPr>
          <w:rFonts w:hint="eastAsia"/>
          <w:sz w:val="21"/>
          <w:szCs w:val="21"/>
        </w:rPr>
        <w:t xml:space="preserve">成立时间：1984年1月1日 </w:t>
      </w:r>
    </w:p>
    <w:p>
      <w:pPr>
        <w:pStyle w:val="7"/>
        <w:spacing w:before="0" w:beforeAutospacing="0" w:after="0" w:afterAutospacing="0" w:line="360" w:lineRule="auto"/>
        <w:ind w:firstLine="420"/>
        <w:rPr>
          <w:sz w:val="21"/>
          <w:szCs w:val="21"/>
        </w:rPr>
      </w:pPr>
      <w:r>
        <w:rPr>
          <w:rFonts w:hint="eastAsia"/>
          <w:sz w:val="21"/>
          <w:szCs w:val="21"/>
        </w:rPr>
        <w:t xml:space="preserve">法定代表人：陈四清 </w:t>
      </w:r>
    </w:p>
    <w:p>
      <w:pPr>
        <w:pStyle w:val="7"/>
        <w:spacing w:before="0" w:beforeAutospacing="0" w:after="0" w:afterAutospacing="0" w:line="360" w:lineRule="auto"/>
        <w:ind w:firstLine="420"/>
        <w:rPr>
          <w:sz w:val="21"/>
          <w:szCs w:val="21"/>
        </w:rPr>
      </w:pPr>
      <w:r>
        <w:rPr>
          <w:rFonts w:hint="eastAsia"/>
          <w:sz w:val="21"/>
          <w:szCs w:val="21"/>
        </w:rPr>
        <w:t xml:space="preserve">联系电话：010-66105799 </w:t>
      </w:r>
    </w:p>
    <w:p>
      <w:pPr>
        <w:pStyle w:val="7"/>
        <w:spacing w:before="0" w:beforeAutospacing="0" w:after="0" w:afterAutospacing="0" w:line="360" w:lineRule="auto"/>
        <w:ind w:firstLine="420"/>
        <w:rPr>
          <w:sz w:val="21"/>
          <w:szCs w:val="21"/>
        </w:rPr>
      </w:pPr>
      <w:r>
        <w:rPr>
          <w:rFonts w:hint="eastAsia"/>
          <w:sz w:val="21"/>
          <w:szCs w:val="21"/>
        </w:rPr>
        <w:t xml:space="preserve">联系人：郭明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注册资本：人民币35,640,625.7089万元 </w:t>
      </w:r>
    </w:p>
    <w:p>
      <w:pPr>
        <w:pStyle w:val="7"/>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批准设立机关和设立文号：国务院《关于中国人民银行专门行使中央银行职能的决定》（国发[1983]146号）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pPr>
        <w:pStyle w:val="7"/>
        <w:spacing w:before="0" w:beforeAutospacing="0" w:after="0" w:afterAutospacing="0" w:line="360" w:lineRule="auto"/>
        <w:ind w:firstLine="420"/>
        <w:rPr>
          <w:sz w:val="21"/>
          <w:szCs w:val="21"/>
        </w:rPr>
      </w:pPr>
      <w:r>
        <w:rPr>
          <w:rFonts w:hint="eastAsia"/>
          <w:sz w:val="21"/>
          <w:szCs w:val="21"/>
        </w:rPr>
        <w:t xml:space="preserve">本基金将投资于以下金融工具：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上市的股票（包括中小板、创业板及其他经中国证监会核准上市的股票、存托凭证）、国债、金融债、央行票据、地方政府债、企业债、公司债、可交换公司债券、可转换公司债券（含可分离交易可转债）、中小企业私募债券、中期票据、短期融资券、超级短期融资券、资产支持证券、次级债、债券回购、银行存款、同业存单、货币市场工具、权证、股指期货、国债期货等金融工具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（1）按法律法规的规定及《基金合同》的约定，本基金的投资资产配置比例为： </w:t>
      </w:r>
    </w:p>
    <w:p>
      <w:pPr>
        <w:pStyle w:val="7"/>
        <w:spacing w:before="0" w:beforeAutospacing="0" w:after="0" w:afterAutospacing="0" w:line="360" w:lineRule="auto"/>
        <w:ind w:firstLine="420"/>
        <w:rPr>
          <w:sz w:val="21"/>
          <w:szCs w:val="21"/>
        </w:rPr>
      </w:pPr>
      <w:r>
        <w:rPr>
          <w:rFonts w:hint="eastAsia"/>
          <w:sz w:val="21"/>
          <w:szCs w:val="21"/>
        </w:rPr>
        <w:t xml:space="preserve">股票资产（含存托凭证）占基金资产的0%-95%；每个交易日日终在扣除股指期货合约、国债期货合约需缴纳的保证金以后，本基金保留的现金或到期日在一年以内的政府债券不低于基金资产净值的5%；其中，现金不包括结算备付金、存出保证金、应收申购款等；权证投资占基金资产净值的0-3%。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因基金规模或市场变化等因素导致投资组合不符合上述规定的，基金管理人应在合理的期限内调整基金的投资组合，以符合上述比例限定。法律法规另有规定时，从其规定。 </w:t>
      </w:r>
    </w:p>
    <w:p>
      <w:pPr>
        <w:pStyle w:val="7"/>
        <w:spacing w:before="0" w:beforeAutospacing="0" w:after="0" w:afterAutospacing="0" w:line="360" w:lineRule="auto"/>
        <w:ind w:firstLine="420"/>
        <w:rPr>
          <w:sz w:val="21"/>
          <w:szCs w:val="21"/>
        </w:rPr>
      </w:pPr>
      <w:r>
        <w:rPr>
          <w:rFonts w:hint="eastAsia"/>
          <w:sz w:val="21"/>
          <w:szCs w:val="21"/>
        </w:rPr>
        <w:t xml:space="preserve">（2）根据法律法规的规定及《基金合同》的约定，本基金投资组合遵循以下投资限制：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（1）本基金股票（含存托凭证）投资比例为基金资产的0%-95%；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（4）本基金管理人管理且由基金托管人托管的全部基金持有一家公司发行的证券（含存托凭证），不超过该证券的10％；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（7）本基金管理人管理且由基金托管人托管的全部基金持有的同一权证，不得超过该权证的10％；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（12）本基金管理人管理且由基金托管人托管的全部基金投资于同一原始权益人的各类资产支持证券，不得超过其各类资产支持证券合计规模的10％；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（15）本基金参与股指期货、国债期货的交易后，需遵守下列规定：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股指期货和国债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（17）本基金持有单只中小企业私募债券，其市值不得超过本基金资产净值的10%；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（19）本基金主动投资于流动性受限资产的市值合计不得超过该基金资产净值的15%； </w:t>
      </w:r>
    </w:p>
    <w:p>
      <w:pPr>
        <w:pStyle w:val="7"/>
        <w:spacing w:before="0" w:beforeAutospacing="0" w:after="0" w:afterAutospacing="0" w:line="360" w:lineRule="auto"/>
        <w:ind w:firstLine="420"/>
        <w:rPr>
          <w:sz w:val="21"/>
          <w:szCs w:val="21"/>
        </w:rPr>
      </w:pPr>
      <w:r>
        <w:rPr>
          <w:rFonts w:hint="eastAsia"/>
          <w:sz w:val="21"/>
          <w:szCs w:val="21"/>
        </w:rPr>
        <w:t xml:space="preserve">（20）基金与私募类证券资管产品及中国证监会认定的其他主体为交易对手开展逆回购交易的，可接受质押品的资质要求应当与基金合同约定的投资范围保持一致；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《基金法》及其他有关法律法规或监管部门取消或调整上述限制的，如适用于本基金，基金管理人在履行适当程序后，则本基金不受上述限制或按调整后的规定执行。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（3）法规允许的基金投资比例调整期限 </w:t>
      </w:r>
    </w:p>
    <w:p>
      <w:pPr>
        <w:pStyle w:val="7"/>
        <w:spacing w:before="0" w:beforeAutospacing="0" w:after="0" w:afterAutospacing="0" w:line="360" w:lineRule="auto"/>
        <w:ind w:firstLine="420"/>
        <w:rPr>
          <w:sz w:val="21"/>
          <w:szCs w:val="21"/>
        </w:rPr>
      </w:pPr>
      <w:r>
        <w:rPr>
          <w:rFonts w:hint="eastAsia"/>
          <w:sz w:val="21"/>
          <w:szCs w:val="21"/>
        </w:rPr>
        <w:t xml:space="preserve">除上述第（2）、（13）、（19）、（20）条外，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pPr>
        <w:pStyle w:val="7"/>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法律法规或监管部门取消或变更上述禁止性规定，如适用于本基金，基金管理人在履行适当程序后可不受上述规定的限制或按变更后的规定执行。 </w:t>
      </w:r>
    </w:p>
    <w:p>
      <w:pPr>
        <w:pStyle w:val="7"/>
        <w:spacing w:before="0" w:beforeAutospacing="0" w:after="0" w:afterAutospacing="0" w:line="360" w:lineRule="auto"/>
        <w:ind w:firstLine="420"/>
        <w:rPr>
          <w:sz w:val="21"/>
          <w:szCs w:val="21"/>
        </w:rPr>
      </w:pPr>
      <w:r>
        <w:rPr>
          <w:rFonts w:hint="eastAsia"/>
          <w:sz w:val="21"/>
          <w:szCs w:val="21"/>
        </w:rPr>
        <w:t xml:space="preserve">4、基金托管人依据有关法律法规的规定和《基金合同》的约定对基金管理人参与银行间债券市场进行监督。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 </w:t>
      </w:r>
    </w:p>
    <w:p>
      <w:pPr>
        <w:pStyle w:val="7"/>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基金管理人在银行间市场进行现券买卖和回购交易时，以DVP(券款兑付)的交易结算方式进行交易。 </w:t>
      </w:r>
    </w:p>
    <w:p>
      <w:pPr>
        <w:pStyle w:val="7"/>
        <w:spacing w:before="0" w:beforeAutospacing="0" w:after="0" w:afterAutospacing="0" w:line="360" w:lineRule="auto"/>
        <w:ind w:firstLine="420"/>
        <w:rPr>
          <w:sz w:val="21"/>
          <w:szCs w:val="21"/>
        </w:rPr>
      </w:pPr>
      <w:r>
        <w:rPr>
          <w:rFonts w:hint="eastAsia"/>
          <w:sz w:val="21"/>
          <w:szCs w:val="21"/>
        </w:rPr>
        <w:t xml:space="preserve">5、基金托管人对基金管理人选择存款银行进行监督。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 </w:t>
      </w:r>
    </w:p>
    <w:p>
      <w:pPr>
        <w:pStyle w:val="7"/>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pPr>
        <w:pStyle w:val="7"/>
        <w:spacing w:before="0" w:beforeAutospacing="0" w:after="0" w:afterAutospacing="0" w:line="360" w:lineRule="auto"/>
        <w:ind w:firstLine="420"/>
        <w:rPr>
          <w:sz w:val="21"/>
          <w:szCs w:val="21"/>
        </w:rPr>
      </w:pPr>
      <w:r>
        <w:rPr>
          <w:rFonts w:hint="eastAsia"/>
          <w:sz w:val="21"/>
          <w:szCs w:val="21"/>
        </w:rPr>
        <w:t xml:space="preserve">（1）基金投资流通受限证券，应遵守《关于基金投资非公开发行股票等流通受限证券有关问题的通知》等有关法律法规规定。 </w:t>
      </w:r>
    </w:p>
    <w:p>
      <w:pPr>
        <w:pStyle w:val="7"/>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7"/>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pPr>
        <w:pStyle w:val="7"/>
        <w:spacing w:before="0" w:beforeAutospacing="0" w:after="0" w:afterAutospacing="0" w:line="360" w:lineRule="auto"/>
        <w:ind w:firstLine="420"/>
        <w:rPr>
          <w:sz w:val="21"/>
          <w:szCs w:val="21"/>
        </w:rPr>
      </w:pPr>
      <w:r>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pPr>
        <w:pStyle w:val="7"/>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pPr>
        <w:pStyle w:val="7"/>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pPr>
        <w:pStyle w:val="7"/>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pPr>
        <w:pStyle w:val="7"/>
        <w:spacing w:before="0" w:beforeAutospacing="0" w:after="0" w:afterAutospacing="0" w:line="360" w:lineRule="auto"/>
        <w:ind w:firstLine="420"/>
        <w:rPr>
          <w:sz w:val="21"/>
          <w:szCs w:val="21"/>
        </w:rPr>
      </w:pPr>
      <w:r>
        <w:rPr>
          <w:rFonts w:hint="eastAsia"/>
          <w:sz w:val="21"/>
          <w:szCs w:val="21"/>
        </w:rPr>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pPr>
        <w:pStyle w:val="7"/>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pPr>
        <w:pStyle w:val="7"/>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期货账户等投资所需账户、复核基金管理人计算的基金资产净值和各类基金份额净值、根据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pPr>
        <w:pStyle w:val="7"/>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pPr>
        <w:pStyle w:val="7"/>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（一）基金财产保管的原则</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3、基金托管人按照规定开设基金财产的资金账户、证券账户、期货账户等投资所需账户。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pPr>
        <w:pStyle w:val="7"/>
        <w:spacing w:before="0" w:beforeAutospacing="0" w:after="0" w:afterAutospacing="0" w:line="360" w:lineRule="auto"/>
        <w:ind w:firstLine="420"/>
        <w:rPr>
          <w:sz w:val="21"/>
          <w:szCs w:val="21"/>
        </w:rPr>
      </w:pPr>
      <w:r>
        <w:rPr>
          <w:rFonts w:hint="eastAsia"/>
          <w:sz w:val="21"/>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责任。</w:t>
      </w:r>
    </w:p>
    <w:p>
      <w:pPr>
        <w:pStyle w:val="7"/>
        <w:spacing w:before="0" w:beforeAutospacing="0" w:after="0" w:afterAutospacing="0" w:line="360" w:lineRule="auto"/>
        <w:ind w:firstLine="420"/>
        <w:rPr>
          <w:sz w:val="21"/>
          <w:szCs w:val="21"/>
        </w:rPr>
      </w:pPr>
      <w:r>
        <w:rPr>
          <w:rFonts w:hint="eastAsia"/>
          <w:sz w:val="21"/>
          <w:szCs w:val="21"/>
        </w:rPr>
        <w:t xml:space="preserve">（二）募集资金的验证 </w:t>
      </w:r>
    </w:p>
    <w:p>
      <w:pPr>
        <w:pStyle w:val="7"/>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191" w:name="field_0_managerorgfullname_9"/>
      <w:r>
        <w:rPr>
          <w:rFonts w:hint="eastAsia"/>
          <w:sz w:val="21"/>
          <w:szCs w:val="21"/>
        </w:rPr>
        <w:t>博时基金管理有限公司</w:t>
      </w:r>
      <w:bookmarkEnd w:id="191"/>
      <w:r>
        <w:rPr>
          <w:rFonts w:hint="eastAsia"/>
          <w:sz w:val="21"/>
          <w:szCs w:val="21"/>
        </w:rPr>
        <w:t xml:space="preserve">基金认购专户。该账户由基金管理人开立并管理。基金募集期满或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pPr>
        <w:pStyle w:val="7"/>
        <w:spacing w:before="0" w:beforeAutospacing="0" w:after="0" w:afterAutospacing="0" w:line="360" w:lineRule="auto"/>
        <w:ind w:firstLine="420"/>
        <w:rPr>
          <w:sz w:val="21"/>
          <w:szCs w:val="21"/>
        </w:rPr>
      </w:pPr>
      <w:r>
        <w:rPr>
          <w:rFonts w:hint="eastAsia"/>
          <w:sz w:val="21"/>
          <w:szCs w:val="21"/>
        </w:rPr>
        <w:t xml:space="preserve">若基金募集期限届满，未能达到《基金合同》生效的条件，由基金管理人按规定办理退款事宜。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pPr>
        <w:pStyle w:val="7"/>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pPr>
        <w:pStyle w:val="7"/>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pPr>
        <w:pStyle w:val="7"/>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（五）债券托管账户的开立和管理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pPr>
        <w:pStyle w:val="7"/>
        <w:spacing w:before="0" w:beforeAutospacing="0" w:after="0" w:afterAutospacing="0" w:line="360" w:lineRule="auto"/>
        <w:ind w:firstLine="420"/>
        <w:rPr>
          <w:sz w:val="21"/>
          <w:szCs w:val="21"/>
        </w:rPr>
      </w:pPr>
      <w:r>
        <w:rPr>
          <w:rFonts w:hint="eastAsia"/>
          <w:sz w:val="21"/>
          <w:szCs w:val="21"/>
        </w:rPr>
        <w:t xml:space="preserve">（六）其他账户的开设和管理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pPr>
        <w:pStyle w:val="7"/>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对于无法取得二份以上的正本的，基金管理人应向基金托管人提供加盖授权业务章的合同传真件或复印件，未经双方协商或未在合同约定范围内，合同原件不得转移。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 </w:t>
      </w:r>
    </w:p>
    <w:p>
      <w:pPr>
        <w:pStyle w:val="7"/>
        <w:spacing w:before="0" w:beforeAutospacing="0" w:after="0" w:afterAutospacing="0" w:line="360" w:lineRule="auto"/>
        <w:ind w:firstLine="420"/>
        <w:rPr>
          <w:sz w:val="21"/>
          <w:szCs w:val="21"/>
        </w:rPr>
      </w:pPr>
      <w:r>
        <w:rPr>
          <w:rFonts w:hint="eastAsia"/>
          <w:sz w:val="21"/>
          <w:szCs w:val="21"/>
        </w:rPr>
        <w:t xml:space="preserve">1、基金资产净值的计算、复核的时间和程序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各类基金份额净值是指计算日该类基金资产净值除以该计算日该类基金份额总份额后的数值。各类基金份额净值的计算保留到小数点后4位，小数点后第5位四舍五入，由此产生的误差计入基金财产。 </w:t>
      </w:r>
    </w:p>
    <w:p>
      <w:pPr>
        <w:pStyle w:val="7"/>
        <w:spacing w:before="0" w:beforeAutospacing="0" w:after="0" w:afterAutospacing="0" w:line="360" w:lineRule="auto"/>
        <w:ind w:firstLine="420"/>
        <w:rPr>
          <w:sz w:val="21"/>
          <w:szCs w:val="21"/>
        </w:rPr>
      </w:pPr>
      <w:r>
        <w:rPr>
          <w:rFonts w:hint="eastAsia"/>
          <w:sz w:val="21"/>
          <w:szCs w:val="21"/>
        </w:rPr>
        <w:t xml:space="preserve">基金管理人应每个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pPr>
        <w:pStyle w:val="7"/>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（二）基金资产估值方法 </w:t>
      </w:r>
    </w:p>
    <w:p>
      <w:pPr>
        <w:pStyle w:val="7"/>
        <w:spacing w:before="0" w:beforeAutospacing="0" w:after="0" w:afterAutospacing="0" w:line="360" w:lineRule="auto"/>
        <w:ind w:firstLine="420"/>
        <w:rPr>
          <w:sz w:val="21"/>
          <w:szCs w:val="21"/>
        </w:rPr>
      </w:pPr>
      <w:r>
        <w:rPr>
          <w:rFonts w:hint="eastAsia"/>
          <w:sz w:val="21"/>
          <w:szCs w:val="21"/>
        </w:rPr>
        <w:t xml:space="preserve">1、估值对象 </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基金所拥有的股票、股指期货合约、国债期货合约、权证、债券和银行存款本息、应收款项、其它投资等资产及负债。 </w:t>
      </w:r>
    </w:p>
    <w:p>
      <w:pPr>
        <w:pStyle w:val="7"/>
        <w:spacing w:before="0" w:beforeAutospacing="0" w:after="0" w:afterAutospacing="0" w:line="360" w:lineRule="auto"/>
        <w:ind w:firstLine="420"/>
        <w:rPr>
          <w:sz w:val="21"/>
          <w:szCs w:val="21"/>
        </w:rPr>
      </w:pPr>
      <w:r>
        <w:rPr>
          <w:rFonts w:hint="eastAsia"/>
          <w:sz w:val="21"/>
          <w:szCs w:val="21"/>
        </w:rPr>
        <w:t xml:space="preserve">2、估值方法 </w:t>
      </w:r>
    </w:p>
    <w:p>
      <w:pPr>
        <w:pStyle w:val="7"/>
        <w:spacing w:before="0" w:beforeAutospacing="0" w:after="0" w:afterAutospacing="0" w:line="360" w:lineRule="auto"/>
        <w:ind w:firstLine="420"/>
        <w:rPr>
          <w:sz w:val="21"/>
          <w:szCs w:val="21"/>
        </w:rPr>
      </w:pPr>
      <w:r>
        <w:rPr>
          <w:rFonts w:hint="eastAsia"/>
          <w:sz w:val="21"/>
          <w:szCs w:val="21"/>
        </w:rPr>
        <w:t xml:space="preserve">本基金的估值方法为： </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① 除本部分另有约定的品种外，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② 交易所上市交易或挂牌转让的固定收益品种（基金合同另有规定的除外），选取估值日第三方估值机构提供的相应品种对应的估值净价估值，具体估值机构由基金管理人与基金托管人另行协商约定；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③ 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交易所上市实行全价交易的债券（可转债除外），选取第三方估值机构提供的估值全价减去估值全价中所含的债券（税后）应收利息得到的净价进行估值。 </w:t>
      </w:r>
    </w:p>
    <w:p>
      <w:pPr>
        <w:pStyle w:val="7"/>
        <w:spacing w:before="0" w:beforeAutospacing="0" w:after="0" w:afterAutospacing="0" w:line="360" w:lineRule="auto"/>
        <w:ind w:firstLine="420"/>
        <w:rPr>
          <w:sz w:val="21"/>
          <w:szCs w:val="21"/>
        </w:rPr>
      </w:pPr>
      <w:r>
        <w:rPr>
          <w:rFonts w:hint="eastAsia"/>
          <w:sz w:val="21"/>
          <w:szCs w:val="21"/>
        </w:rPr>
        <w:t xml:space="preserve">④ 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① 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② 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③ 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（3）全国银行间债券市场交易的债券、资产支持证券等固定收益品种，选取第三方估值机构提供的相应品种当日的估值净价确定公允价格。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（7）当发生大额申购或赎回情形时，基金管理人可以采用摆动定价机制，以确保基金估值的公平性。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Fonts w:hint="eastAsia"/>
          <w:sz w:val="21"/>
          <w:szCs w:val="21"/>
        </w:rPr>
        <w:t xml:space="preserve">（三）估值差错处理 </w:t>
      </w:r>
    </w:p>
    <w:p>
      <w:pPr>
        <w:pStyle w:val="7"/>
        <w:spacing w:before="0" w:beforeAutospacing="0" w:after="0" w:afterAutospacing="0" w:line="360" w:lineRule="auto"/>
        <w:ind w:firstLine="420"/>
        <w:rPr>
          <w:sz w:val="21"/>
          <w:szCs w:val="21"/>
        </w:rPr>
      </w:pPr>
      <w:r>
        <w:rPr>
          <w:rFonts w:hint="eastAsia"/>
          <w:sz w:val="21"/>
          <w:szCs w:val="21"/>
        </w:rPr>
        <w:t xml:space="preserve">因基金估值错误给投资者造成损失的应先由基金管理人承担，基金管理人对不应由其承担的责任，有权向过错人追偿。 </w:t>
      </w:r>
    </w:p>
    <w:p>
      <w:pPr>
        <w:pStyle w:val="7"/>
        <w:spacing w:before="0" w:beforeAutospacing="0" w:after="0" w:afterAutospacing="0" w:line="360" w:lineRule="auto"/>
        <w:ind w:firstLine="420"/>
        <w:rPr>
          <w:sz w:val="21"/>
          <w:szCs w:val="21"/>
        </w:rPr>
      </w:pPr>
      <w:r>
        <w:rPr>
          <w:rFonts w:hint="eastAsia"/>
          <w:sz w:val="21"/>
          <w:szCs w:val="21"/>
        </w:rPr>
        <w:t xml:space="preserve">当基金管理人计算的基金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pPr>
        <w:pStyle w:val="7"/>
        <w:spacing w:before="0" w:beforeAutospacing="0" w:after="0" w:afterAutospacing="0" w:line="360" w:lineRule="auto"/>
        <w:ind w:firstLine="420"/>
        <w:rPr>
          <w:sz w:val="21"/>
          <w:szCs w:val="21"/>
        </w:rPr>
      </w:pPr>
      <w:r>
        <w:rPr>
          <w:rFonts w:hint="eastAsia"/>
          <w:sz w:val="21"/>
          <w:szCs w:val="21"/>
        </w:rPr>
        <w:t xml:space="preserve">由于证券、期货交易所及其登记结算公司发送的数据错误，国家会计政策变更、市场规则变更或由于其他不可抗力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pPr>
        <w:pStyle w:val="7"/>
        <w:spacing w:before="0" w:beforeAutospacing="0" w:after="0" w:afterAutospacing="0" w:line="360" w:lineRule="auto"/>
        <w:ind w:firstLine="420"/>
        <w:rPr>
          <w:sz w:val="21"/>
          <w:szCs w:val="21"/>
        </w:rPr>
      </w:pPr>
      <w:r>
        <w:rPr>
          <w:rFonts w:hint="eastAsia"/>
          <w:sz w:val="21"/>
          <w:szCs w:val="21"/>
        </w:rPr>
        <w:t xml:space="preserve">（四）基金账册的建立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pPr>
        <w:pStyle w:val="7"/>
        <w:spacing w:before="0" w:beforeAutospacing="0" w:after="0" w:afterAutospacing="0" w:line="360" w:lineRule="auto"/>
        <w:ind w:firstLine="420"/>
        <w:rPr>
          <w:sz w:val="21"/>
          <w:szCs w:val="21"/>
        </w:rPr>
      </w:pPr>
      <w:r>
        <w:rPr>
          <w:rFonts w:hint="eastAsia"/>
          <w:sz w:val="21"/>
          <w:szCs w:val="21"/>
        </w:rPr>
        <w:t>（五）基金定期报告的编制和复核</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pPr>
        <w:pStyle w:val="7"/>
        <w:spacing w:before="0" w:beforeAutospacing="0" w:after="0" w:afterAutospacing="0" w:line="360" w:lineRule="auto"/>
        <w:ind w:firstLine="420"/>
        <w:rPr>
          <w:sz w:val="21"/>
          <w:szCs w:val="21"/>
        </w:rPr>
      </w:pPr>
      <w:r>
        <w:rPr>
          <w:rFonts w:hint="eastAsia"/>
          <w:sz w:val="21"/>
          <w:szCs w:val="21"/>
        </w:rPr>
        <w:t xml:space="preserve">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pPr>
        <w:pStyle w:val="7"/>
        <w:spacing w:before="0" w:beforeAutospacing="0" w:after="0" w:afterAutospacing="0" w:line="360" w:lineRule="auto"/>
        <w:ind w:firstLine="420"/>
        <w:rPr>
          <w:sz w:val="21"/>
          <w:szCs w:val="21"/>
        </w:rPr>
      </w:pPr>
      <w:r>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Fonts w:hint="eastAsia"/>
          <w:sz w:val="21"/>
          <w:szCs w:val="21"/>
        </w:rPr>
        <w:t xml:space="preserve">基金托管人在对财务会计报告、季度报告、中期报告或年度报告复核完毕后，需盖章确认或出具相应的复核确认书，以备有权机构对相关文件审核时提示。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法律法规或监管部门另有规定的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pPr>
        <w:pStyle w:val="7"/>
        <w:spacing w:before="0" w:beforeAutospacing="0" w:after="0" w:afterAutospacing="0" w:line="360" w:lineRule="auto"/>
        <w:ind w:firstLine="420"/>
        <w:rPr>
          <w:sz w:val="21"/>
          <w:szCs w:val="21"/>
        </w:rPr>
      </w:pPr>
      <w:r>
        <w:rPr>
          <w:rFonts w:hint="eastAsia"/>
          <w:sz w:val="21"/>
          <w:szCs w:val="21"/>
        </w:rPr>
        <w:t>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w:t>
      </w:r>
    </w:p>
    <w:p>
      <w:pPr>
        <w:pStyle w:val="7"/>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本协议受中国法律（为本协议之目的，在此不包括香港、澳门特别行政区和台湾地区法律）管辖。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（一）托管协议的变更与终止 </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本协议双方当事人经协商一致，可以对协议的内容进行变更。变更后的托管协议，其内容不得与《基金合同》的规定有任何冲突。基金托管协议的变更须报中国证监会备案。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2、基金托管协议终止的情形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pPr>
        <w:pStyle w:val="7"/>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7"/>
        <w:spacing w:before="0" w:beforeAutospacing="0" w:after="0" w:afterAutospacing="0" w:line="360" w:lineRule="auto"/>
        <w:ind w:firstLine="420"/>
        <w:rPr>
          <w:sz w:val="21"/>
          <w:szCs w:val="21"/>
        </w:rPr>
      </w:pPr>
      <w:r>
        <w:rPr>
          <w:rFonts w:hint="eastAsia"/>
          <w:sz w:val="21"/>
          <w:szCs w:val="21"/>
        </w:rPr>
        <w:t xml:space="preserve">（二）基金财产的清算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2、在基金财产清算小组接管基金财产之前，基金管理人和基金托管人应按照《基金合同》和本托管协议的规定继续履行保护基金财产安全的职责。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5、基金财产清算程序：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6、清算费用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7、基金财产按下列顺序清偿：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（三）基金财产清算的公告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pPr>
        <w:pStyle w:val="7"/>
        <w:spacing w:before="0" w:beforeAutospacing="0" w:after="0" w:afterAutospacing="0" w:line="360" w:lineRule="auto"/>
        <w:ind w:firstLine="420"/>
        <w:rPr>
          <w:sz w:val="21"/>
          <w:szCs w:val="21"/>
        </w:rPr>
      </w:pPr>
      <w:r>
        <w:rPr>
          <w:rFonts w:hint="eastAsia"/>
          <w:sz w:val="21"/>
          <w:szCs w:val="21"/>
        </w:rPr>
        <w:t xml:space="preserve">（四）基金财产清算账册及文件的保存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widowControl/>
        <w:jc w:val="left"/>
        <w:rPr>
          <w:rFonts w:ascii="宋体" w:hAnsi="宋体" w:eastAsia="宋体"/>
        </w:rPr>
      </w:pPr>
      <w:bookmarkStart w:id="192" w:name="chapter_level1_22_72_section_1_end"/>
      <w:bookmarkEnd w:id="192"/>
      <w:r>
        <w:rPr>
          <w:rFonts w:ascii="宋体" w:hAnsi="宋体" w:eastAsia="宋体"/>
        </w:rPr>
        <w:br w:type="page"/>
      </w:r>
    </w:p>
    <w:p>
      <w:pPr>
        <w:pStyle w:val="2"/>
        <w:jc w:val="center"/>
        <w:rPr>
          <w:rFonts w:ascii="宋体" w:hAnsi="宋体" w:eastAsia="宋体"/>
          <w:sz w:val="30"/>
        </w:rPr>
      </w:pPr>
      <w:bookmarkStart w:id="193" w:name="chapter_level1_23_75"/>
      <w:bookmarkStart w:id="194" w:name="_Toc82519745"/>
      <w:r>
        <w:rPr>
          <w:rFonts w:hint="eastAsia" w:ascii="宋体" w:hAnsi="宋体" w:eastAsia="宋体"/>
          <w:sz w:val="30"/>
        </w:rPr>
        <w:t>第二十部分  对基金份额持有人的服务</w:t>
      </w:r>
      <w:bookmarkEnd w:id="193"/>
      <w:bookmarkEnd w:id="194"/>
    </w:p>
    <w:p>
      <w:pPr>
        <w:pStyle w:val="7"/>
        <w:spacing w:before="0" w:beforeAutospacing="0" w:after="0" w:afterAutospacing="0" w:line="360" w:lineRule="auto"/>
        <w:ind w:firstLine="420"/>
        <w:rPr>
          <w:sz w:val="21"/>
          <w:szCs w:val="21"/>
        </w:rPr>
      </w:pPr>
      <w:bookmarkStart w:id="195" w:name="chapter_level1_23_75_section_1"/>
      <w:bookmarkEnd w:id="195"/>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196" w:name="chapter_level1_23_75_section_1_end"/>
      <w:bookmarkEnd w:id="196"/>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197" w:name="chapter_level1_23_75_section_2"/>
      <w:bookmarkEnd w:id="197"/>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公司网址：www.bosera.com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198" w:name="chapter_level1_23_75_section_2_end"/>
      <w:bookmarkEnd w:id="198"/>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9" w:name="chapter_level1_24_3499"/>
      <w:bookmarkStart w:id="200" w:name="_Toc82519746"/>
      <w:r>
        <w:rPr>
          <w:rFonts w:hint="eastAsia" w:ascii="宋体" w:hAnsi="宋体" w:eastAsia="宋体"/>
          <w:sz w:val="30"/>
        </w:rPr>
        <w:t>第二十一部分 其他应披露的事项</w:t>
      </w:r>
      <w:bookmarkEnd w:id="199"/>
      <w:bookmarkEnd w:id="200"/>
    </w:p>
    <w:p>
      <w:pPr>
        <w:pStyle w:val="7"/>
        <w:spacing w:before="0" w:beforeAutospacing="0" w:after="0" w:afterAutospacing="0" w:line="360" w:lineRule="auto"/>
        <w:ind w:firstLine="420"/>
        <w:rPr>
          <w:sz w:val="21"/>
          <w:szCs w:val="21"/>
        </w:rPr>
      </w:pPr>
      <w:bookmarkStart w:id="201" w:name="field_0_bsrevealinfo_1_start"/>
      <w:bookmarkEnd w:id="201"/>
      <w:bookmarkStart w:id="202" w:name="chapter_level1_24_3499_section_1"/>
      <w:bookmarkEnd w:id="202"/>
      <w:r>
        <w:rPr>
          <w:rFonts w:hint="eastAsia"/>
          <w:sz w:val="21"/>
          <w:szCs w:val="21"/>
        </w:rPr>
        <w:t>（一）、 2021年08月31日，我公司公告了《博时厚泽回报灵活配置混合型证券投资基金2021年中期报告》；</w:t>
      </w:r>
    </w:p>
    <w:p>
      <w:pPr>
        <w:pStyle w:val="7"/>
        <w:spacing w:before="0" w:beforeAutospacing="0" w:after="0" w:afterAutospacing="0" w:line="360" w:lineRule="auto"/>
        <w:ind w:firstLine="420"/>
        <w:rPr>
          <w:sz w:val="21"/>
          <w:szCs w:val="21"/>
        </w:rPr>
      </w:pPr>
      <w:r>
        <w:rPr>
          <w:rFonts w:hint="eastAsia"/>
          <w:sz w:val="21"/>
          <w:szCs w:val="21"/>
        </w:rPr>
        <w:t>（二）、 2021年08月25日，我公司公告了《博时厚泽回报灵活配置混合型证券投资基金（博时厚泽回报混合A）基金产品资料概要更新》、《博时厚泽回报灵活配置混合型证券投资基金（博时厚泽回报混合C）基金产品资料概要更新》；</w:t>
      </w:r>
    </w:p>
    <w:p>
      <w:pPr>
        <w:pStyle w:val="7"/>
        <w:spacing w:before="0" w:beforeAutospacing="0" w:after="0" w:afterAutospacing="0" w:line="360" w:lineRule="auto"/>
        <w:ind w:firstLine="420"/>
        <w:rPr>
          <w:sz w:val="21"/>
          <w:szCs w:val="21"/>
        </w:rPr>
      </w:pPr>
      <w:r>
        <w:rPr>
          <w:rFonts w:hint="eastAsia"/>
          <w:sz w:val="21"/>
          <w:szCs w:val="21"/>
        </w:rPr>
        <w:t>（三）、 2021年07月21日，我公司公告了《博时厚泽回报灵活配置混合型证券投资基金2021年第2季度报告》；</w:t>
      </w:r>
    </w:p>
    <w:p>
      <w:pPr>
        <w:pStyle w:val="7"/>
        <w:spacing w:before="0" w:beforeAutospacing="0" w:after="0" w:afterAutospacing="0" w:line="360" w:lineRule="auto"/>
        <w:ind w:firstLine="420"/>
        <w:rPr>
          <w:sz w:val="21"/>
          <w:szCs w:val="21"/>
        </w:rPr>
      </w:pPr>
      <w:r>
        <w:rPr>
          <w:rFonts w:hint="eastAsia"/>
          <w:sz w:val="21"/>
          <w:szCs w:val="21"/>
        </w:rPr>
        <w:t>（四）、 2021年07月01日，我公司公告了《博时基金管理有限公司关于对投资者在直销网上交易申购、认购及定投基金实施费率优惠的公告》；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（五）、 2021年05月29日，我公司公告了《博时基金管理有限公司关于直销网上交易开通邮储银行快捷开户和支付服务及费率优惠的公告》；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（六）、 2021年05月26日，我公司公告了《博时基金管理有限公司关于与上海银联电子支付服务有限公司合作开通华夏银行借记卡直销网上交易和费率优惠的公告》；</w:t>
      </w:r>
    </w:p>
    <w:p>
      <w:pPr>
        <w:pStyle w:val="7"/>
        <w:spacing w:before="0" w:beforeAutospacing="0" w:after="0" w:afterAutospacing="0" w:line="360" w:lineRule="auto"/>
        <w:ind w:firstLine="420"/>
        <w:rPr>
          <w:sz w:val="21"/>
          <w:szCs w:val="21"/>
        </w:rPr>
      </w:pPr>
      <w:r>
        <w:rPr>
          <w:rFonts w:hint="eastAsia"/>
          <w:sz w:val="21"/>
          <w:szCs w:val="21"/>
        </w:rPr>
        <w:t>（七）、 2021年04月28日，我公司公告了《博时厚泽回报灵活配置混合型证券投资基金托管协议》、《博时厚泽回报灵活配置混合型证券投资基金更新招募说明书》、《博时厚泽回报灵活配置混合型证券投资基金基金合同》、《博时基金管理有限公司关于暂停使用通联支付提供的交通银行、平安银行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（八）、 2021年04月27日，我公司公告了《博时基金管理有限公司关于博时厚泽回报灵活配置混合型证券投资基金基金份额持有人大会表决结果暨决议生效的公告》；</w:t>
      </w:r>
    </w:p>
    <w:p>
      <w:pPr>
        <w:pStyle w:val="7"/>
        <w:spacing w:before="0" w:beforeAutospacing="0" w:after="0" w:afterAutospacing="0" w:line="360" w:lineRule="auto"/>
        <w:ind w:firstLine="420"/>
        <w:rPr>
          <w:sz w:val="21"/>
          <w:szCs w:val="21"/>
        </w:rPr>
      </w:pPr>
      <w:r>
        <w:rPr>
          <w:rFonts w:hint="eastAsia"/>
          <w:sz w:val="21"/>
          <w:szCs w:val="21"/>
        </w:rPr>
        <w:t>（九）、 2021年04月24日，我公司公告了《博时基金管理有限公司关于暂停使用上海银联支付提供的兴业银行、广发银行支付通道办理直销网上交易部分业务的公告》；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（十）、 2021年04月22日，我公司公告了《博时厚泽回报灵活配置混合型证券投资基金2021年第1季度报告》；</w:t>
      </w:r>
    </w:p>
    <w:p>
      <w:pPr>
        <w:pStyle w:val="7"/>
        <w:spacing w:before="0" w:beforeAutospacing="0" w:after="0" w:afterAutospacing="0" w:line="360" w:lineRule="auto"/>
        <w:ind w:firstLine="420"/>
        <w:rPr>
          <w:sz w:val="21"/>
          <w:szCs w:val="21"/>
        </w:rPr>
      </w:pPr>
      <w:r>
        <w:rPr>
          <w:rFonts w:hint="eastAsia"/>
          <w:sz w:val="21"/>
          <w:szCs w:val="21"/>
        </w:rPr>
        <w:t>（十一）、 2021年03月31日，我公司公告了《博时厚泽回报灵活配置混合型证券投资基金2020年年度报告》；</w:t>
      </w:r>
    </w:p>
    <w:p>
      <w:pPr>
        <w:pStyle w:val="7"/>
        <w:spacing w:before="0" w:beforeAutospacing="0" w:after="0" w:afterAutospacing="0" w:line="360" w:lineRule="auto"/>
        <w:ind w:firstLine="420"/>
        <w:rPr>
          <w:sz w:val="21"/>
          <w:szCs w:val="21"/>
        </w:rPr>
      </w:pPr>
      <w:r>
        <w:rPr>
          <w:rFonts w:hint="eastAsia"/>
          <w:sz w:val="21"/>
          <w:szCs w:val="21"/>
        </w:rPr>
        <w:t>（十二）、 2021年03月30日，我公司公告了《博时基金管理有限公司关于对投资者在直销网上交易申购、认购及定投基金实施费率优惠的公告》；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（十三）、 2021年03月23日，我公司公告了《博时基金管理有限公司关于以通讯方式召开博时厚泽回报灵活配置混合型证券投资基金基金份额持有人大会的第二次提示公告》；</w:t>
      </w:r>
    </w:p>
    <w:p>
      <w:pPr>
        <w:pStyle w:val="7"/>
        <w:spacing w:before="0" w:beforeAutospacing="0" w:after="0" w:afterAutospacing="0" w:line="360" w:lineRule="auto"/>
        <w:ind w:firstLine="420"/>
        <w:rPr>
          <w:sz w:val="21"/>
          <w:szCs w:val="21"/>
        </w:rPr>
      </w:pPr>
      <w:r>
        <w:rPr>
          <w:rFonts w:hint="eastAsia"/>
          <w:sz w:val="21"/>
          <w:szCs w:val="21"/>
        </w:rPr>
        <w:t>（十四）、 2021年03月22日，我公司公告了《博时基金管理有限公司关于以通讯方式召开博时厚泽回报灵活配置混合型证券投资基金基金份额持有人大会的第一次提示公告》；</w:t>
      </w:r>
    </w:p>
    <w:p>
      <w:pPr>
        <w:pStyle w:val="7"/>
        <w:spacing w:before="0" w:beforeAutospacing="0" w:after="0" w:afterAutospacing="0" w:line="360" w:lineRule="auto"/>
        <w:ind w:firstLine="420"/>
        <w:rPr>
          <w:sz w:val="21"/>
          <w:szCs w:val="21"/>
        </w:rPr>
      </w:pPr>
      <w:r>
        <w:rPr>
          <w:rFonts w:hint="eastAsia"/>
          <w:sz w:val="21"/>
          <w:szCs w:val="21"/>
        </w:rPr>
        <w:t>（十五）、 2021年03月20日，我公司公告了《博时基金管理有限公司关于暂停使用富友支付提供的交通银行快捷支付通道办理直销网上交易部分业务的公告》、《博时基金管理有限公司关于以通讯方式召开博时厚泽回报灵活配置混合型证券投资基金基金份额持有人大会的公告》；</w:t>
      </w:r>
    </w:p>
    <w:p>
      <w:pPr>
        <w:pStyle w:val="7"/>
        <w:spacing w:before="0" w:beforeAutospacing="0" w:after="0" w:afterAutospacing="0" w:line="360" w:lineRule="auto"/>
        <w:ind w:firstLine="420"/>
        <w:rPr>
          <w:sz w:val="21"/>
          <w:szCs w:val="21"/>
        </w:rPr>
      </w:pPr>
      <w:r>
        <w:rPr>
          <w:rFonts w:hint="eastAsia"/>
          <w:sz w:val="21"/>
          <w:szCs w:val="21"/>
        </w:rPr>
        <w:t>（十六）、 2021年03月10日，我公司公告了《博时基金管理有限公司关于旗下基金持有的长期停牌股票调整估值方法的公告-20210310》；</w:t>
      </w:r>
    </w:p>
    <w:p>
      <w:pPr>
        <w:pStyle w:val="7"/>
        <w:spacing w:before="0" w:beforeAutospacing="0" w:after="0" w:afterAutospacing="0" w:line="360" w:lineRule="auto"/>
        <w:ind w:firstLine="420"/>
        <w:rPr>
          <w:sz w:val="21"/>
          <w:szCs w:val="21"/>
        </w:rPr>
      </w:pPr>
      <w:r>
        <w:rPr>
          <w:rFonts w:hint="eastAsia"/>
          <w:sz w:val="21"/>
          <w:szCs w:val="21"/>
        </w:rPr>
        <w:t>（十七）、 2021年02月20日，我公司公告了《博时基金管理有限公司关于旗下基金持有的长期停牌股票调整估值方法的公告-20210220》；</w:t>
      </w:r>
    </w:p>
    <w:p>
      <w:pPr>
        <w:pStyle w:val="7"/>
        <w:spacing w:before="0" w:beforeAutospacing="0" w:after="0" w:afterAutospacing="0" w:line="360" w:lineRule="auto"/>
        <w:ind w:firstLine="420"/>
        <w:rPr>
          <w:sz w:val="21"/>
          <w:szCs w:val="21"/>
        </w:rPr>
      </w:pPr>
      <w:r>
        <w:rPr>
          <w:rFonts w:hint="eastAsia"/>
          <w:sz w:val="21"/>
          <w:szCs w:val="21"/>
        </w:rPr>
        <w:t>（十八）、 2021年02月06日，我公司公告了《博时基金管理有限公司关于高级管理人员变更的公告》；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（十九）、 2021年01月22日，我公司公告了《博时厚泽回报灵活配置混合型证券投资基金2020年第4季度报告》；</w:t>
      </w:r>
    </w:p>
    <w:p>
      <w:pPr>
        <w:pStyle w:val="7"/>
        <w:spacing w:before="0" w:beforeAutospacing="0" w:after="0" w:afterAutospacing="0" w:line="360" w:lineRule="auto"/>
        <w:ind w:firstLine="420"/>
        <w:rPr>
          <w:sz w:val="21"/>
          <w:szCs w:val="21"/>
        </w:rPr>
      </w:pPr>
      <w:r>
        <w:rPr>
          <w:rFonts w:hint="eastAsia"/>
          <w:sz w:val="21"/>
          <w:szCs w:val="21"/>
        </w:rPr>
        <w:t>（二十）、 2020年12月28日，我公司公告了《博时基金管理有限公司关于对投资者在直销网上交易申购、认购及定投基金实施费率优惠的公告》；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（二十一）、 2020年12月22日，我公司公告了《博时基金管理有限公司关于暂停使用通联支付提供的上海银行快捷支付通道办理直销网上交易部分业务的公告》；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2020年12月15日，我公司公告了《博时厚泽回报灵活配置混合型证券投资基金分红公告 》、《博时厚泽回报灵活配置混合型证券投资基金暂停大额申购、转换转入、定期定额投资业务的公告》；</w:t>
      </w:r>
    </w:p>
    <w:p>
      <w:pPr>
        <w:pStyle w:val="7"/>
        <w:spacing w:before="0" w:beforeAutospacing="0" w:after="0" w:afterAutospacing="0" w:line="360" w:lineRule="auto"/>
        <w:ind w:firstLine="420"/>
        <w:rPr>
          <w:sz w:val="21"/>
          <w:szCs w:val="21"/>
        </w:rPr>
      </w:pPr>
      <w:r>
        <w:rPr>
          <w:rFonts w:hint="eastAsia"/>
          <w:sz w:val="21"/>
          <w:szCs w:val="21"/>
        </w:rPr>
        <w:t>（二十三）、 2020年12月10日，我公司公告了《博时基金管理有限公司关于董事会成员变更的公告》；</w:t>
      </w:r>
    </w:p>
    <w:p>
      <w:pPr>
        <w:pStyle w:val="7"/>
        <w:spacing w:before="0" w:beforeAutospacing="0" w:after="0" w:afterAutospacing="0" w:line="360" w:lineRule="auto"/>
        <w:ind w:firstLine="420"/>
        <w:rPr>
          <w:sz w:val="21"/>
          <w:szCs w:val="21"/>
        </w:rPr>
      </w:pPr>
      <w:r>
        <w:rPr>
          <w:rFonts w:hint="eastAsia"/>
          <w:sz w:val="21"/>
          <w:szCs w:val="21"/>
        </w:rPr>
        <w:t>（二十四）、 2020年11月03日，我公司公告了《博时基金管理有限公司关于旗下基金持有的债券调整估值的公告20201103》；</w:t>
      </w:r>
    </w:p>
    <w:p>
      <w:pPr>
        <w:pStyle w:val="7"/>
        <w:spacing w:before="0" w:beforeAutospacing="0" w:after="0" w:afterAutospacing="0" w:line="360" w:lineRule="auto"/>
        <w:ind w:firstLine="420"/>
        <w:rPr>
          <w:sz w:val="21"/>
          <w:szCs w:val="21"/>
        </w:rPr>
      </w:pPr>
      <w:r>
        <w:rPr>
          <w:rFonts w:hint="eastAsia"/>
          <w:sz w:val="21"/>
          <w:szCs w:val="21"/>
        </w:rPr>
        <w:t>（二十五）、 2020年10月28日，我公司公告了《博时厚泽回报灵活配置混合型证券投资基金2020年第3季度报告》；</w:t>
      </w:r>
    </w:p>
    <w:p>
      <w:pPr>
        <w:pStyle w:val="7"/>
        <w:spacing w:before="0" w:beforeAutospacing="0" w:after="0" w:afterAutospacing="0" w:line="360" w:lineRule="auto"/>
        <w:ind w:firstLine="420"/>
        <w:rPr>
          <w:sz w:val="21"/>
          <w:szCs w:val="21"/>
        </w:rPr>
      </w:pPr>
      <w:r>
        <w:rPr>
          <w:rFonts w:hint="eastAsia"/>
          <w:sz w:val="21"/>
          <w:szCs w:val="21"/>
        </w:rPr>
        <w:t>（二十六）、 2020年10月19日，我公司公告了《博时厚泽回报灵活配置混合型证券投资基金（博时厚泽回报混合C）基金产品资料概要更新》、《博时厚泽回报灵活配置混合型证券投资基金（博时厚泽回报混合A）基金产品资料概要更新》；</w:t>
      </w:r>
    </w:p>
    <w:p>
      <w:pPr>
        <w:pStyle w:val="7"/>
        <w:spacing w:before="0" w:beforeAutospacing="0" w:after="0" w:afterAutospacing="0" w:line="360" w:lineRule="auto"/>
        <w:ind w:firstLine="420"/>
        <w:rPr>
          <w:sz w:val="21"/>
          <w:szCs w:val="21"/>
        </w:rPr>
      </w:pPr>
      <w:r>
        <w:rPr>
          <w:rFonts w:hint="eastAsia"/>
          <w:sz w:val="21"/>
          <w:szCs w:val="21"/>
        </w:rPr>
        <w:t>（二十七）、 2020年10月16日，我公司公告了《博时基金管理有限公司关于高级管理人员变更的公告》；</w:t>
      </w:r>
    </w:p>
    <w:p>
      <w:pPr>
        <w:pStyle w:val="7"/>
        <w:spacing w:before="0" w:beforeAutospacing="0" w:after="0" w:afterAutospacing="0" w:line="360" w:lineRule="auto"/>
        <w:ind w:firstLine="420"/>
        <w:rPr>
          <w:sz w:val="21"/>
          <w:szCs w:val="21"/>
        </w:rPr>
      </w:pPr>
      <w:r>
        <w:rPr>
          <w:rFonts w:hint="eastAsia"/>
          <w:sz w:val="21"/>
          <w:szCs w:val="21"/>
        </w:rPr>
        <w:t>（二十八）、 2020年10月14日，我公司公告了《博时厚泽回报灵活配置混合型证券投资基金托管协议》、《博时厚泽回报灵活配置混合型证券投资基金基金合同》、《博时厚泽回报灵活配置混合型证券投资基金更新招募说明书》、《博时基金管理有限公司关于调整旗下部分基金投资范围并相应修改法律文件的公告》；</w:t>
      </w:r>
    </w:p>
    <w:p>
      <w:pPr>
        <w:pStyle w:val="7"/>
        <w:spacing w:before="0" w:beforeAutospacing="0" w:after="0" w:afterAutospacing="0" w:line="360" w:lineRule="auto"/>
        <w:ind w:firstLine="420"/>
        <w:rPr>
          <w:sz w:val="21"/>
          <w:szCs w:val="21"/>
        </w:rPr>
      </w:pPr>
      <w:r>
        <w:rPr>
          <w:rFonts w:hint="eastAsia"/>
          <w:sz w:val="21"/>
          <w:szCs w:val="21"/>
        </w:rPr>
        <w:t>（二十九）、 2020年10月12日，我公司公告了《博时基金管理有限公司关于直销网上交易开通中信银行快捷开户和支付服务及费率优惠的公告》；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（三十）、 2020年09月30日，我公司公告了《博时厚泽回报灵活配置混合型证券投资基金更新招募说明书》；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（三十一）、 2020年09月25日，我公司公告了《博时基金管理有限公司关于对投资者在直销网上交易申购、认购及定投基金实施费率优惠的公告》；</w:t>
      </w:r>
    </w:p>
    <w:p>
      <w:pPr>
        <w:pStyle w:val="7"/>
        <w:spacing w:before="0" w:beforeAutospacing="0" w:after="0" w:afterAutospacing="0" w:line="360" w:lineRule="auto"/>
        <w:ind w:firstLine="420"/>
        <w:rPr>
          <w:sz w:val="21"/>
          <w:szCs w:val="21"/>
        </w:rPr>
      </w:pPr>
      <w:r>
        <w:rPr>
          <w:rFonts w:hint="eastAsia"/>
          <w:sz w:val="21"/>
          <w:szCs w:val="21"/>
        </w:rPr>
        <w:t>（三十二）、 2020年09月01日，我公司公告了《博时基金管理有限公司关于旗下基金持有的债券调整估值的公告20200901》；</w:t>
      </w:r>
    </w:p>
    <w:p>
      <w:pPr>
        <w:pStyle w:val="7"/>
        <w:spacing w:before="0" w:beforeAutospacing="0" w:after="0" w:afterAutospacing="0" w:line="360" w:lineRule="auto"/>
        <w:ind w:firstLine="420"/>
        <w:rPr>
          <w:sz w:val="21"/>
          <w:szCs w:val="21"/>
        </w:rPr>
      </w:pPr>
      <w:r>
        <w:rPr>
          <w:rFonts w:hint="eastAsia"/>
          <w:sz w:val="21"/>
          <w:szCs w:val="21"/>
        </w:rPr>
        <w:t>（三十三）、 2020年08月31日，我公司公告了《博时厚泽回报灵活配置混合型证</w:t>
      </w:r>
      <w:bookmarkStart w:id="203" w:name="chapter_level1_24_3499_section_1_end"/>
      <w:bookmarkEnd w:id="203"/>
      <w:r>
        <w:rPr>
          <w:rFonts w:hint="eastAsia"/>
          <w:sz w:val="21"/>
          <w:szCs w:val="21"/>
        </w:rPr>
        <w:t>券投资基金2020年中期报告》。</w:t>
      </w:r>
      <w:bookmarkStart w:id="204" w:name="field_0_bsrevealinfo_1_end"/>
      <w:bookmarkEnd w:id="20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5" w:name="chapter_level1_25_77"/>
      <w:bookmarkStart w:id="206" w:name="_Toc82519747"/>
      <w:r>
        <w:rPr>
          <w:rFonts w:hint="eastAsia" w:ascii="宋体" w:hAnsi="宋体" w:eastAsia="宋体"/>
          <w:sz w:val="30"/>
        </w:rPr>
        <w:t>第二十二部分  招募说明书存放及查阅方式</w:t>
      </w:r>
      <w:bookmarkEnd w:id="205"/>
      <w:bookmarkEnd w:id="206"/>
    </w:p>
    <w:p>
      <w:pPr>
        <w:pStyle w:val="7"/>
        <w:spacing w:before="0" w:beforeAutospacing="0" w:after="0" w:afterAutospacing="0" w:line="360" w:lineRule="auto"/>
        <w:ind w:firstLine="420"/>
        <w:rPr>
          <w:sz w:val="21"/>
          <w:szCs w:val="21"/>
        </w:rPr>
      </w:pPr>
      <w:bookmarkStart w:id="207" w:name="chapter_level1_25_77_section_1"/>
      <w:bookmarkEnd w:id="207"/>
      <w:r>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08" w:name="chapter_level1_25_77_section_1_end"/>
      <w:bookmarkEnd w:id="208"/>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9" w:name="chapter_level1_26_332"/>
      <w:bookmarkStart w:id="210" w:name="_Toc82519748"/>
      <w:r>
        <w:rPr>
          <w:rFonts w:hint="eastAsia" w:ascii="宋体" w:hAnsi="宋体" w:eastAsia="宋体"/>
          <w:sz w:val="30"/>
        </w:rPr>
        <w:t>第二十三部分  备查文件</w:t>
      </w:r>
      <w:bookmarkEnd w:id="209"/>
      <w:bookmarkEnd w:id="210"/>
    </w:p>
    <w:p>
      <w:pPr>
        <w:pStyle w:val="7"/>
        <w:spacing w:before="0" w:beforeAutospacing="0" w:after="0" w:afterAutospacing="0" w:line="360" w:lineRule="auto"/>
        <w:ind w:firstLine="420"/>
        <w:rPr>
          <w:sz w:val="21"/>
          <w:szCs w:val="21"/>
        </w:rPr>
      </w:pPr>
      <w:bookmarkStart w:id="211" w:name="chapter_level1_26_332_section_1"/>
      <w:bookmarkEnd w:id="211"/>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12" w:name="field_0_productfullname_11"/>
      <w:r>
        <w:rPr>
          <w:rFonts w:hint="eastAsia"/>
          <w:sz w:val="21"/>
          <w:szCs w:val="21"/>
        </w:rPr>
        <w:t>博时厚泽回报灵活配置混合型证券投资基金</w:t>
      </w:r>
      <w:bookmarkEnd w:id="212"/>
      <w:r>
        <w:rPr>
          <w:rFonts w:hint="eastAsia"/>
          <w:sz w:val="21"/>
          <w:szCs w:val="21"/>
        </w:rPr>
        <w:t xml:space="preserve">募集注册的文件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13" w:name="field_0_productfullname_12"/>
      <w:r>
        <w:rPr>
          <w:rFonts w:hint="eastAsia"/>
          <w:sz w:val="21"/>
          <w:szCs w:val="21"/>
        </w:rPr>
        <w:t>博时厚泽回报灵活配置混合型证券投资基金</w:t>
      </w:r>
      <w:bookmarkEnd w:id="213"/>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14" w:name="field_0_productfullname_13"/>
      <w:r>
        <w:rPr>
          <w:rFonts w:hint="eastAsia"/>
          <w:sz w:val="21"/>
          <w:szCs w:val="21"/>
        </w:rPr>
        <w:t>博时厚泽回报灵活配置混合型证券投资基金</w:t>
      </w:r>
      <w:bookmarkEnd w:id="214"/>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15" w:name="field_0_productfullname_14"/>
      <w:r>
        <w:rPr>
          <w:rFonts w:hint="eastAsia"/>
          <w:sz w:val="21"/>
          <w:szCs w:val="21"/>
        </w:rPr>
        <w:t>博时厚泽回报灵活配置混合型证券投资基金</w:t>
      </w:r>
      <w:bookmarkEnd w:id="215"/>
      <w:r>
        <w:rPr>
          <w:rFonts w:hint="eastAsia"/>
          <w:sz w:val="21"/>
          <w:szCs w:val="21"/>
        </w:rPr>
        <w:t xml:space="preserve">的法律意见书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16" w:name="field_0_managerorgfullname_10"/>
      <w:r>
        <w:rPr>
          <w:rFonts w:hint="eastAsia"/>
          <w:sz w:val="21"/>
          <w:szCs w:val="21"/>
        </w:rPr>
        <w:t>博时基金管理有限公司</w:t>
      </w:r>
      <w:bookmarkEnd w:id="216"/>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17" w:name="field_0_commitmenttime_1"/>
      <w:r>
        <w:rPr>
          <w:sz w:val="21"/>
          <w:szCs w:val="21"/>
        </w:rPr>
        <w:t>202</w:t>
      </w:r>
      <w:r>
        <w:rPr>
          <w:rFonts w:hint="eastAsia"/>
          <w:sz w:val="21"/>
          <w:szCs w:val="21"/>
          <w:lang w:val="en-US" w:eastAsia="zh-CN"/>
        </w:rPr>
        <w:t>2</w:t>
      </w:r>
      <w:r>
        <w:rPr>
          <w:sz w:val="21"/>
          <w:szCs w:val="21"/>
        </w:rPr>
        <w:t>年</w:t>
      </w:r>
      <w:r>
        <w:rPr>
          <w:rFonts w:hint="eastAsia"/>
          <w:sz w:val="21"/>
          <w:szCs w:val="21"/>
          <w:lang w:val="en-US" w:eastAsia="zh-CN"/>
        </w:rPr>
        <w:t>9</w:t>
      </w:r>
      <w:r>
        <w:rPr>
          <w:sz w:val="21"/>
          <w:szCs w:val="21"/>
        </w:rPr>
        <w:t>月</w:t>
      </w:r>
      <w:r>
        <w:rPr>
          <w:rFonts w:hint="eastAsia"/>
          <w:sz w:val="21"/>
          <w:szCs w:val="21"/>
          <w:lang w:val="en-US" w:eastAsia="zh-CN"/>
        </w:rPr>
        <w:t>16</w:t>
      </w:r>
      <w:r>
        <w:rPr>
          <w:sz w:val="21"/>
          <w:szCs w:val="21"/>
        </w:rPr>
        <w:t>日</w:t>
      </w:r>
      <w:bookmarkEnd w:id="217"/>
      <w:r>
        <w:rPr>
          <w:rFonts w:hint="eastAsia"/>
          <w:sz w:val="21"/>
          <w:szCs w:val="21"/>
        </w:rPr>
        <w:t xml:space="preserve"> </w:t>
      </w:r>
    </w:p>
    <w:p>
      <w:pPr>
        <w:pStyle w:val="7"/>
        <w:spacing w:before="0" w:beforeAutospacing="0" w:after="0" w:afterAutospacing="0" w:line="360" w:lineRule="auto"/>
        <w:ind w:firstLine="420"/>
        <w:rPr>
          <w:sz w:val="21"/>
          <w:szCs w:val="21"/>
        </w:rPr>
      </w:pPr>
      <w:bookmarkStart w:id="218" w:name="chapter_level1_26_332_section_1_end"/>
      <w:bookmarkEnd w:id="218"/>
    </w:p>
    <w:p>
      <w:pPr>
        <w:rPr>
          <w:rFonts w:ascii="宋体" w:hAnsi="宋体" w:eastAsia="宋体"/>
        </w:rPr>
      </w:pPr>
      <w:bookmarkStart w:id="219" w:name="end"/>
      <w:bookmarkEnd w:id="219"/>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18</w:t>
    </w:r>
    <w:r>
      <w:fldChar w:fldCharType="end"/>
    </w:r>
    <w:r>
      <w:rPr>
        <w:rFonts w:hint="eastAsia"/>
      </w:rPr>
      <w:t>页 共</w:t>
    </w:r>
    <w:r>
      <w:fldChar w:fldCharType="begin"/>
    </w:r>
    <w:r>
      <w:instrText xml:space="preserve"> NumPages \* MERGEFORMAT </w:instrText>
    </w:r>
    <w:r>
      <w:fldChar w:fldCharType="separate"/>
    </w:r>
    <w:r>
      <w:t>64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博时厚泽回报灵活配置混合型证券投资基金更新招募说明书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A9"/>
    <w:rsid w:val="001726A9"/>
    <w:rsid w:val="00224965"/>
    <w:rsid w:val="00423DAB"/>
    <w:rsid w:val="00465117"/>
    <w:rsid w:val="005632C4"/>
    <w:rsid w:val="00786754"/>
    <w:rsid w:val="008166A8"/>
    <w:rsid w:val="009160C5"/>
    <w:rsid w:val="0092230E"/>
    <w:rsid w:val="00BA43D1"/>
    <w:rsid w:val="00C3040E"/>
    <w:rsid w:val="00DB4A35"/>
    <w:rsid w:val="0F9654A6"/>
    <w:rsid w:val="11155C5A"/>
    <w:rsid w:val="7912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uiPriority w:val="99"/>
    <w:rPr>
      <w:sz w:val="18"/>
      <w:szCs w:val="18"/>
    </w:rPr>
  </w:style>
  <w:style w:type="character" w:customStyle="1" w:styleId="16">
    <w:name w:val="批注框文本 字符"/>
    <w:basedOn w:val="10"/>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mycompany</Company>
  <Pages>64</Pages>
  <Words>17884</Words>
  <Characters>101945</Characters>
  <Lines>849</Lines>
  <Paragraphs>239</Paragraphs>
  <TotalTime>17</TotalTime>
  <ScaleCrop>false</ScaleCrop>
  <LinksUpToDate>false</LinksUpToDate>
  <CharactersWithSpaces>119590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2021-09-14T05:48:00Z</dcterms:created>
  <dc:creator>BSKMadminDev</dc:creator>
  <cp:lastModifiedBy>xlw0915</cp:lastModifiedBy>
  <dcterms:modified xsi:type="dcterms:W3CDTF">2022-09-15T08:18:29Z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6B0A972D566247C1BED170E63744C38A</vt:lpwstr>
  </property>
</Properties>
</file>