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C49EC" w:rsidP="00CC49EC" w14:paraId="76EAB59B" w14:textId="77777777">
      <w:pPr>
        <w:pStyle w:val="Subtitle"/>
        <w:spacing w:before="0" w:after="0" w:line="580" w:lineRule="exact"/>
        <w:rPr>
          <w:rFonts w:ascii="宋体" w:hAnsi="宋体"/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  <w:r w:rsidRPr="00144F55">
        <w:rPr>
          <w:rFonts w:ascii="宋体" w:hAnsi="宋体" w:hint="eastAsia"/>
          <w:sz w:val="28"/>
          <w:szCs w:val="28"/>
        </w:rPr>
        <w:t>易</w:t>
      </w:r>
      <w:r w:rsidRPr="003A7DBA">
        <w:rPr>
          <w:rFonts w:ascii="宋体" w:hAnsi="宋体" w:hint="eastAsia"/>
          <w:sz w:val="28"/>
          <w:szCs w:val="28"/>
        </w:rPr>
        <w:t>方达</w:t>
      </w:r>
      <w:r w:rsidRPr="003A7DBA">
        <w:rPr>
          <w:rFonts w:ascii="宋体" w:hAnsi="宋体"/>
          <w:sz w:val="28"/>
          <w:szCs w:val="28"/>
        </w:rPr>
        <w:t>基金管理有限公司</w:t>
      </w:r>
      <w:r w:rsidRPr="003A7DBA">
        <w:rPr>
          <w:rFonts w:ascii="宋体" w:hAnsi="宋体" w:hint="eastAsia"/>
          <w:sz w:val="28"/>
          <w:szCs w:val="28"/>
        </w:rPr>
        <w:t>关于</w:t>
      </w:r>
      <w:r w:rsidRPr="00F111B3">
        <w:rPr>
          <w:rFonts w:ascii="宋体" w:hAnsi="宋体"/>
          <w:sz w:val="28"/>
          <w:szCs w:val="28"/>
        </w:rPr>
        <w:t>易方达金融行业股票型发起式证券</w:t>
      </w:r>
    </w:p>
    <w:p w:rsidR="000B5DD6" w:rsidRPr="003A7DBA" w:rsidP="00CC49EC" w14:paraId="5B75FF25" w14:textId="01CF80EC">
      <w:pPr>
        <w:pStyle w:val="Subtitle"/>
        <w:spacing w:before="0" w:after="0" w:line="580" w:lineRule="exact"/>
        <w:rPr>
          <w:rFonts w:ascii="宋体" w:hAnsi="宋体"/>
          <w:sz w:val="28"/>
          <w:szCs w:val="28"/>
        </w:rPr>
      </w:pPr>
      <w:r w:rsidRPr="00F111B3">
        <w:rPr>
          <w:rFonts w:ascii="宋体" w:hAnsi="宋体"/>
          <w:sz w:val="28"/>
          <w:szCs w:val="28"/>
        </w:rPr>
        <w:t>投资基金</w:t>
      </w:r>
      <w:r w:rsidRPr="003A7DBA" w:rsidR="003103CC">
        <w:rPr>
          <w:rFonts w:ascii="宋体" w:hAnsi="宋体" w:hint="eastAsia"/>
          <w:sz w:val="28"/>
          <w:szCs w:val="28"/>
        </w:rPr>
        <w:t>调整</w:t>
      </w:r>
      <w:r w:rsidRPr="003A7DBA" w:rsidR="003103CC">
        <w:rPr>
          <w:rFonts w:ascii="宋体" w:hAnsi="宋体"/>
          <w:sz w:val="28"/>
          <w:szCs w:val="28"/>
        </w:rPr>
        <w:t>业绩比较基准</w:t>
      </w:r>
      <w:r w:rsidRPr="003A7DBA" w:rsidR="003103CC">
        <w:rPr>
          <w:rFonts w:ascii="宋体" w:hAnsi="宋体" w:hint="eastAsia"/>
          <w:sz w:val="28"/>
          <w:szCs w:val="28"/>
        </w:rPr>
        <w:t>及修订基金合同的</w:t>
      </w:r>
      <w:r w:rsidRPr="003A7DBA">
        <w:rPr>
          <w:rFonts w:ascii="宋体" w:hAnsi="宋体" w:hint="eastAsia"/>
          <w:sz w:val="28"/>
          <w:szCs w:val="28"/>
        </w:rPr>
        <w:t>公告</w:t>
      </w:r>
    </w:p>
    <w:p w:rsidR="000B5DD6" w:rsidRPr="003A7DBA" w:rsidP="000B5DD6" w14:paraId="58CA0668" w14:textId="77777777">
      <w:pPr>
        <w:pStyle w:val="ListParagraph"/>
        <w:spacing w:line="360" w:lineRule="auto"/>
        <w:ind w:firstLine="480"/>
        <w:rPr>
          <w:rFonts w:ascii="宋体" w:hAnsi="宋体" w:cs="宋体"/>
          <w:sz w:val="24"/>
        </w:rPr>
      </w:pPr>
    </w:p>
    <w:p w:rsidR="003103CC" w:rsidRPr="003A7DBA" w:rsidP="00F111B3" w14:paraId="3E68CD2C" w14:textId="093C35DF">
      <w:pPr>
        <w:pStyle w:val="ListParagraph"/>
        <w:spacing w:line="360" w:lineRule="auto"/>
        <w:ind w:firstLine="480"/>
        <w:rPr>
          <w:rFonts w:ascii="宋体" w:hAnsi="宋体" w:cs="宋体"/>
          <w:sz w:val="24"/>
        </w:rPr>
      </w:pPr>
      <w:r w:rsidRPr="00F111B3">
        <w:rPr>
          <w:rFonts w:ascii="宋体" w:hAnsi="宋体" w:cs="宋体" w:hint="eastAsia"/>
          <w:sz w:val="24"/>
        </w:rPr>
        <w:t>目前，易方达金融行业股票型发起式证券投资基金</w:t>
      </w:r>
      <w:r w:rsidRPr="00F111B3">
        <w:rPr>
          <w:rFonts w:ascii="宋体" w:hAnsi="宋体" w:cs="宋体"/>
          <w:sz w:val="24"/>
        </w:rPr>
        <w:t>（以下简称</w:t>
      </w:r>
      <w:r w:rsidR="00757A3D">
        <w:rPr>
          <w:rFonts w:hAnsi="宋体" w:cs="宋体"/>
          <w:sz w:val="24"/>
        </w:rPr>
        <w:t>“</w:t>
      </w:r>
      <w:r w:rsidRPr="00F111B3">
        <w:rPr>
          <w:rFonts w:ascii="宋体" w:hAnsi="宋体" w:cs="宋体"/>
          <w:sz w:val="24"/>
        </w:rPr>
        <w:t>本基金</w:t>
      </w:r>
      <w:r w:rsidR="00757A3D">
        <w:rPr>
          <w:rFonts w:hAnsi="宋体" w:cs="宋体"/>
          <w:sz w:val="24"/>
        </w:rPr>
        <w:t>”</w:t>
      </w:r>
      <w:r w:rsidRPr="00F111B3">
        <w:rPr>
          <w:rFonts w:ascii="宋体" w:hAnsi="宋体" w:cs="宋体"/>
          <w:sz w:val="24"/>
        </w:rPr>
        <w:t>）业绩比较基准包含中证内地金融主题指数</w:t>
      </w:r>
      <w:r w:rsidRPr="00F111B3">
        <w:rPr>
          <w:rFonts w:ascii="宋体" w:hAnsi="宋体" w:cs="宋体" w:hint="eastAsia"/>
          <w:sz w:val="24"/>
        </w:rPr>
        <w:t>。鉴于中证指数公司发布《</w:t>
      </w:r>
      <w:r w:rsidRPr="00F111B3">
        <w:rPr>
          <w:rFonts w:ascii="宋体" w:hAnsi="宋体" w:cs="宋体"/>
          <w:sz w:val="24"/>
        </w:rPr>
        <w:t>关于修订中证短融指数系列等8条指数编制方案的公告</w:t>
      </w:r>
      <w:r w:rsidRPr="00F111B3">
        <w:rPr>
          <w:rFonts w:ascii="宋体" w:hAnsi="宋体" w:cs="宋体" w:hint="eastAsia"/>
          <w:sz w:val="24"/>
        </w:rPr>
        <w:t>》，修订</w:t>
      </w:r>
      <w:r w:rsidRPr="00F111B3">
        <w:rPr>
          <w:rFonts w:ascii="宋体" w:hAnsi="宋体" w:cs="宋体"/>
          <w:sz w:val="24"/>
        </w:rPr>
        <w:t>“中证内地金融主题指数”编制方案并变更指数名称</w:t>
      </w:r>
      <w:r w:rsidRPr="00F111B3">
        <w:rPr>
          <w:rFonts w:ascii="宋体" w:hAnsi="宋体" w:cs="宋体" w:hint="eastAsia"/>
          <w:sz w:val="24"/>
        </w:rPr>
        <w:t>为</w:t>
      </w:r>
      <w:r w:rsidRPr="00F111B3">
        <w:rPr>
          <w:rFonts w:ascii="宋体" w:hAnsi="宋体" w:cs="宋体"/>
          <w:sz w:val="24"/>
        </w:rPr>
        <w:t>“中证银行保险50主题指数”</w:t>
      </w:r>
      <w:r w:rsidRPr="00F111B3">
        <w:rPr>
          <w:rFonts w:ascii="宋体" w:hAnsi="宋体" w:cs="宋体" w:hint="eastAsia"/>
          <w:sz w:val="24"/>
        </w:rPr>
        <w:t>，</w:t>
      </w:r>
      <w:r w:rsidRPr="00AF53A7" w:rsidR="00AF53A7">
        <w:rPr>
          <w:rFonts w:ascii="宋体" w:hAnsi="宋体" w:cs="宋体" w:hint="eastAsia"/>
          <w:sz w:val="24"/>
        </w:rPr>
        <w:t>根据本基金基金合同关于金融行业的界定，</w:t>
      </w:r>
      <w:r w:rsidRPr="00F111B3">
        <w:rPr>
          <w:rFonts w:ascii="宋体" w:hAnsi="宋体" w:cs="宋体"/>
          <w:sz w:val="24"/>
        </w:rPr>
        <w:t>中证内地金融主题指数</w:t>
      </w:r>
      <w:r w:rsidRPr="00AF53A7" w:rsidR="00AF53A7">
        <w:rPr>
          <w:rFonts w:ascii="宋体" w:hAnsi="宋体" w:cs="宋体" w:hint="eastAsia"/>
          <w:sz w:val="24"/>
        </w:rPr>
        <w:t>修订后的指数</w:t>
      </w:r>
      <w:r w:rsidRPr="00F111B3">
        <w:rPr>
          <w:rFonts w:ascii="宋体" w:hAnsi="宋体" w:cs="宋体"/>
          <w:sz w:val="24"/>
        </w:rPr>
        <w:t>不再适合作为</w:t>
      </w:r>
      <w:r w:rsidRPr="00F111B3">
        <w:rPr>
          <w:rFonts w:ascii="宋体" w:hAnsi="宋体" w:cs="宋体" w:hint="eastAsia"/>
          <w:sz w:val="24"/>
        </w:rPr>
        <w:t>本</w:t>
      </w:r>
      <w:r w:rsidRPr="00F111B3">
        <w:rPr>
          <w:rFonts w:ascii="宋体" w:hAnsi="宋体" w:cs="宋体"/>
          <w:sz w:val="24"/>
        </w:rPr>
        <w:t>基金业绩比较基准</w:t>
      </w:r>
      <w:r w:rsidRPr="00AF53A7" w:rsidR="00AF53A7">
        <w:rPr>
          <w:rFonts w:ascii="宋体" w:hAnsi="宋体" w:cs="宋体" w:hint="eastAsia"/>
          <w:sz w:val="24"/>
        </w:rPr>
        <w:t>的组成部分</w:t>
      </w:r>
      <w:r w:rsidRPr="00F111B3">
        <w:rPr>
          <w:rFonts w:ascii="宋体" w:hAnsi="宋体" w:cs="宋体" w:hint="eastAsia"/>
          <w:sz w:val="24"/>
        </w:rPr>
        <w:t>。</w:t>
      </w:r>
      <w:r w:rsidRPr="003A7DBA">
        <w:rPr>
          <w:rFonts w:ascii="宋体" w:hAnsi="宋体" w:cs="宋体" w:hint="eastAsia"/>
          <w:sz w:val="24"/>
        </w:rPr>
        <w:t>经与基金托管人协商一致</w:t>
      </w:r>
      <w:r w:rsidRPr="003A7DBA" w:rsidR="008A01DB">
        <w:rPr>
          <w:rFonts w:ascii="宋体" w:hAnsi="宋体" w:cs="宋体" w:hint="eastAsia"/>
          <w:sz w:val="24"/>
        </w:rPr>
        <w:t>并报中国证监会备案</w:t>
      </w:r>
      <w:r w:rsidRPr="003A7DBA">
        <w:rPr>
          <w:rFonts w:ascii="宋体" w:hAnsi="宋体" w:cs="宋体" w:hint="eastAsia"/>
          <w:sz w:val="24"/>
        </w:rPr>
        <w:t>，</w:t>
      </w:r>
      <w:r w:rsidR="00F111B3">
        <w:rPr>
          <w:rFonts w:hAnsi="宋体" w:cs="宋体" w:hint="eastAsia"/>
          <w:sz w:val="24"/>
        </w:rPr>
        <w:t>易方达基金管理有限公司（</w:t>
      </w:r>
      <w:r w:rsidR="00F111B3">
        <w:rPr>
          <w:rFonts w:hAnsi="宋体" w:cs="宋体"/>
          <w:sz w:val="24"/>
        </w:rPr>
        <w:t>以下简称</w:t>
      </w:r>
      <w:r w:rsidR="00205FA5">
        <w:rPr>
          <w:rFonts w:hAnsi="宋体" w:cs="宋体"/>
          <w:sz w:val="24"/>
        </w:rPr>
        <w:t>“</w:t>
      </w:r>
      <w:r w:rsidR="00F111B3">
        <w:rPr>
          <w:rFonts w:hAnsi="宋体" w:cs="宋体"/>
          <w:sz w:val="24"/>
        </w:rPr>
        <w:t>本公司</w:t>
      </w:r>
      <w:r w:rsidR="00205FA5">
        <w:rPr>
          <w:rFonts w:hAnsi="宋体" w:cs="宋体"/>
          <w:sz w:val="24"/>
        </w:rPr>
        <w:t>”</w:t>
      </w:r>
      <w:r w:rsidR="00F111B3">
        <w:rPr>
          <w:rFonts w:hAnsi="宋体" w:cs="宋体"/>
          <w:sz w:val="24"/>
        </w:rPr>
        <w:t>）</w:t>
      </w:r>
      <w:r w:rsidRPr="003A7DBA" w:rsidR="008A01DB">
        <w:rPr>
          <w:rFonts w:ascii="宋体" w:hAnsi="宋体" w:cs="宋体" w:hint="eastAsia"/>
          <w:sz w:val="24"/>
        </w:rPr>
        <w:t>决定</w:t>
      </w:r>
      <w:r w:rsidRPr="003A7DBA">
        <w:rPr>
          <w:rFonts w:ascii="宋体" w:hAnsi="宋体" w:cs="宋体" w:hint="eastAsia"/>
          <w:sz w:val="24"/>
        </w:rPr>
        <w:t>调整</w:t>
      </w:r>
      <w:r w:rsidRPr="003A7DBA">
        <w:rPr>
          <w:rFonts w:ascii="宋体" w:hAnsi="宋体" w:cs="宋体"/>
          <w:sz w:val="24"/>
        </w:rPr>
        <w:t>本基金业绩比较基准</w:t>
      </w:r>
      <w:r w:rsidRPr="003A7DBA">
        <w:rPr>
          <w:rFonts w:ascii="宋体" w:hAnsi="宋体" w:cs="宋体" w:hint="eastAsia"/>
          <w:sz w:val="24"/>
        </w:rPr>
        <w:t>，并相应修</w:t>
      </w:r>
      <w:r w:rsidRPr="003A7DBA">
        <w:rPr>
          <w:rFonts w:ascii="宋体" w:hAnsi="宋体" w:cs="宋体"/>
          <w:sz w:val="24"/>
        </w:rPr>
        <w:t>订</w:t>
      </w:r>
      <w:r w:rsidRPr="003A7DBA">
        <w:rPr>
          <w:rFonts w:ascii="宋体" w:hAnsi="宋体" w:cs="宋体" w:hint="eastAsia"/>
          <w:sz w:val="24"/>
        </w:rPr>
        <w:t>本基金基金合同</w:t>
      </w:r>
      <w:r w:rsidRPr="003A7DBA">
        <w:rPr>
          <w:rFonts w:ascii="宋体" w:hAnsi="宋体" w:cs="宋体"/>
          <w:sz w:val="24"/>
        </w:rPr>
        <w:t>。</w:t>
      </w:r>
    </w:p>
    <w:p w:rsidR="003103CC" w:rsidRPr="003A7DBA" w:rsidP="00144F55" w14:paraId="5B29BC52" w14:textId="77777777">
      <w:pPr>
        <w:pStyle w:val="ListParagraph"/>
        <w:spacing w:line="360" w:lineRule="auto"/>
        <w:ind w:firstLine="480"/>
        <w:rPr>
          <w:rFonts w:ascii="宋体" w:hAnsi="宋体" w:cs="宋体"/>
          <w:sz w:val="24"/>
        </w:rPr>
      </w:pPr>
      <w:r w:rsidRPr="003A7DBA">
        <w:rPr>
          <w:rFonts w:ascii="宋体" w:hAnsi="宋体" w:cs="宋体" w:hint="eastAsia"/>
          <w:sz w:val="24"/>
        </w:rPr>
        <w:t>现将相关事宜公告如下：</w:t>
      </w:r>
    </w:p>
    <w:p w:rsidR="00CC49EC" w:rsidRPr="00F111B3" w:rsidP="00F111B3" w14:paraId="3A991A8D" w14:textId="77777777">
      <w:pPr>
        <w:pStyle w:val="PlainText"/>
        <w:spacing w:line="360" w:lineRule="auto"/>
        <w:ind w:firstLine="480" w:firstLineChars="200"/>
        <w:rPr>
          <w:rFonts w:hAnsi="宋体" w:cs="宋体"/>
          <w:b/>
          <w:sz w:val="24"/>
          <w:szCs w:val="24"/>
        </w:rPr>
      </w:pPr>
      <w:r w:rsidRPr="00F111B3">
        <w:rPr>
          <w:rFonts w:hAnsi="宋体" w:cs="宋体"/>
          <w:b/>
          <w:sz w:val="24"/>
          <w:szCs w:val="24"/>
        </w:rPr>
        <w:t>一、</w:t>
      </w:r>
      <w:r w:rsidRPr="00F111B3">
        <w:rPr>
          <w:rFonts w:hAnsi="宋体" w:cs="宋体" w:hint="eastAsia"/>
          <w:b/>
          <w:sz w:val="24"/>
          <w:szCs w:val="24"/>
        </w:rPr>
        <w:t>业绩比较基准调整方案</w:t>
      </w:r>
    </w:p>
    <w:p w:rsidR="00CC49EC" w:rsidRPr="00F111B3" w:rsidP="00CC49EC" w14:paraId="1E9C5743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bCs/>
          <w:sz w:val="24"/>
        </w:rPr>
      </w:pPr>
      <w:r w:rsidRPr="00F111B3">
        <w:rPr>
          <w:rFonts w:asciiTheme="minorEastAsia" w:eastAsiaTheme="minorEastAsia" w:hAnsiTheme="minorEastAsia" w:hint="eastAsia"/>
          <w:bCs/>
          <w:sz w:val="24"/>
        </w:rPr>
        <w:t>目前的业绩</w:t>
      </w:r>
      <w:r w:rsidRPr="00F111B3">
        <w:rPr>
          <w:rFonts w:asciiTheme="minorEastAsia" w:eastAsiaTheme="minorEastAsia" w:hAnsiTheme="minorEastAsia"/>
          <w:bCs/>
          <w:sz w:val="24"/>
        </w:rPr>
        <w:t>比较基准：60%</w:t>
      </w:r>
      <w:r w:rsidRPr="00F111B3">
        <w:rPr>
          <w:rFonts w:asciiTheme="minorEastAsia" w:eastAsiaTheme="minorEastAsia" w:hAnsiTheme="minorEastAsia" w:hint="eastAsia"/>
          <w:bCs/>
          <w:sz w:val="24"/>
        </w:rPr>
        <w:t>×</w:t>
      </w:r>
      <w:r w:rsidRPr="00F111B3">
        <w:rPr>
          <w:rFonts w:asciiTheme="minorEastAsia" w:eastAsiaTheme="minorEastAsia" w:hAnsiTheme="minorEastAsia" w:hint="eastAsia"/>
          <w:b/>
          <w:bCs/>
          <w:sz w:val="24"/>
        </w:rPr>
        <w:t>中证内地金融主题指数</w:t>
      </w:r>
      <w:r w:rsidRPr="00F111B3">
        <w:rPr>
          <w:rFonts w:asciiTheme="minorEastAsia" w:eastAsiaTheme="minorEastAsia" w:hAnsiTheme="minorEastAsia" w:hint="eastAsia"/>
          <w:bCs/>
          <w:sz w:val="24"/>
        </w:rPr>
        <w:t>收益率</w:t>
      </w:r>
      <w:r w:rsidRPr="00F111B3">
        <w:rPr>
          <w:rFonts w:asciiTheme="minorEastAsia" w:eastAsiaTheme="minorEastAsia" w:hAnsiTheme="minorEastAsia"/>
          <w:bCs/>
          <w:sz w:val="24"/>
        </w:rPr>
        <w:t>+25%</w:t>
      </w:r>
      <w:r w:rsidRPr="00F111B3">
        <w:rPr>
          <w:rFonts w:asciiTheme="minorEastAsia" w:eastAsiaTheme="minorEastAsia" w:hAnsiTheme="minorEastAsia" w:hint="eastAsia"/>
          <w:bCs/>
          <w:sz w:val="24"/>
        </w:rPr>
        <w:t>×中证香港</w:t>
      </w:r>
      <w:r w:rsidRPr="00F111B3">
        <w:rPr>
          <w:rFonts w:asciiTheme="minorEastAsia" w:eastAsiaTheme="minorEastAsia" w:hAnsiTheme="minorEastAsia"/>
          <w:bCs/>
          <w:sz w:val="24"/>
        </w:rPr>
        <w:t>300</w:t>
      </w:r>
      <w:r w:rsidRPr="00F111B3">
        <w:rPr>
          <w:rFonts w:asciiTheme="minorEastAsia" w:eastAsiaTheme="minorEastAsia" w:hAnsiTheme="minorEastAsia" w:hint="eastAsia"/>
          <w:bCs/>
          <w:sz w:val="24"/>
        </w:rPr>
        <w:t>金融服务指数收益率</w:t>
      </w:r>
      <w:r w:rsidRPr="00F111B3">
        <w:rPr>
          <w:rFonts w:asciiTheme="minorEastAsia" w:eastAsiaTheme="minorEastAsia" w:hAnsiTheme="minorEastAsia"/>
          <w:bCs/>
          <w:sz w:val="24"/>
        </w:rPr>
        <w:t>+15%</w:t>
      </w:r>
      <w:r w:rsidRPr="00F111B3">
        <w:rPr>
          <w:rFonts w:asciiTheme="minorEastAsia" w:eastAsiaTheme="minorEastAsia" w:hAnsiTheme="minorEastAsia" w:hint="eastAsia"/>
          <w:bCs/>
          <w:sz w:val="24"/>
        </w:rPr>
        <w:t>×</w:t>
      </w:r>
      <w:r w:rsidRPr="00F111B3">
        <w:rPr>
          <w:rFonts w:asciiTheme="minorEastAsia" w:eastAsiaTheme="minorEastAsia" w:hAnsiTheme="minorEastAsia"/>
          <w:bCs/>
          <w:sz w:val="24"/>
        </w:rPr>
        <w:t>中</w:t>
      </w:r>
      <w:r w:rsidRPr="00F111B3">
        <w:rPr>
          <w:rFonts w:asciiTheme="minorEastAsia" w:eastAsiaTheme="minorEastAsia" w:hAnsiTheme="minorEastAsia" w:hint="eastAsia"/>
          <w:bCs/>
          <w:sz w:val="24"/>
        </w:rPr>
        <w:t>债</w:t>
      </w:r>
      <w:r w:rsidRPr="00F111B3">
        <w:rPr>
          <w:rFonts w:asciiTheme="minorEastAsia" w:eastAsiaTheme="minorEastAsia" w:hAnsiTheme="minorEastAsia"/>
          <w:bCs/>
          <w:sz w:val="24"/>
        </w:rPr>
        <w:t>总</w:t>
      </w:r>
      <w:r w:rsidRPr="00F111B3">
        <w:rPr>
          <w:rFonts w:asciiTheme="minorEastAsia" w:eastAsiaTheme="minorEastAsia" w:hAnsiTheme="minorEastAsia" w:hint="eastAsia"/>
          <w:bCs/>
          <w:sz w:val="24"/>
        </w:rPr>
        <w:t>指数收益率</w:t>
      </w:r>
    </w:p>
    <w:p w:rsidR="00CC49EC" w:rsidP="00CC49EC" w14:paraId="6ECC561E" w14:textId="2E87E67E">
      <w:pPr>
        <w:spacing w:line="360" w:lineRule="auto"/>
        <w:ind w:firstLine="480" w:firstLineChars="200"/>
        <w:rPr>
          <w:rFonts w:asciiTheme="minorEastAsia" w:eastAsiaTheme="minorEastAsia" w:hAnsiTheme="minorEastAsia"/>
          <w:bCs/>
          <w:sz w:val="24"/>
        </w:rPr>
      </w:pPr>
      <w:r w:rsidRPr="00F111B3">
        <w:rPr>
          <w:rFonts w:asciiTheme="minorEastAsia" w:eastAsiaTheme="minorEastAsia" w:hAnsiTheme="minorEastAsia" w:hint="eastAsia"/>
          <w:bCs/>
          <w:sz w:val="24"/>
        </w:rPr>
        <w:t>调整</w:t>
      </w:r>
      <w:r w:rsidRPr="00F111B3">
        <w:rPr>
          <w:rFonts w:asciiTheme="minorEastAsia" w:eastAsiaTheme="minorEastAsia" w:hAnsiTheme="minorEastAsia"/>
          <w:bCs/>
          <w:sz w:val="24"/>
        </w:rPr>
        <w:t>为：60%</w:t>
      </w:r>
      <w:r w:rsidRPr="00F111B3">
        <w:rPr>
          <w:rFonts w:asciiTheme="minorEastAsia" w:eastAsiaTheme="minorEastAsia" w:hAnsiTheme="minorEastAsia" w:hint="eastAsia"/>
          <w:bCs/>
          <w:sz w:val="24"/>
        </w:rPr>
        <w:t>×</w:t>
      </w:r>
      <w:r w:rsidRPr="00F111B3">
        <w:rPr>
          <w:rFonts w:asciiTheme="minorEastAsia" w:eastAsiaTheme="minorEastAsia" w:hAnsiTheme="minorEastAsia"/>
          <w:b/>
          <w:bCs/>
          <w:sz w:val="24"/>
        </w:rPr>
        <w:t>中证800金融指数</w:t>
      </w:r>
      <w:r w:rsidRPr="00F111B3">
        <w:rPr>
          <w:rFonts w:asciiTheme="minorEastAsia" w:eastAsiaTheme="minorEastAsia" w:hAnsiTheme="minorEastAsia" w:hint="eastAsia"/>
          <w:bCs/>
          <w:sz w:val="24"/>
        </w:rPr>
        <w:t>收益率</w:t>
      </w:r>
      <w:r w:rsidRPr="00F111B3">
        <w:rPr>
          <w:rFonts w:asciiTheme="minorEastAsia" w:eastAsiaTheme="minorEastAsia" w:hAnsiTheme="minorEastAsia"/>
          <w:bCs/>
          <w:sz w:val="24"/>
        </w:rPr>
        <w:t>+25%</w:t>
      </w:r>
      <w:r w:rsidRPr="00F111B3">
        <w:rPr>
          <w:rFonts w:asciiTheme="minorEastAsia" w:eastAsiaTheme="minorEastAsia" w:hAnsiTheme="minorEastAsia" w:hint="eastAsia"/>
          <w:bCs/>
          <w:sz w:val="24"/>
        </w:rPr>
        <w:t>×中证香港</w:t>
      </w:r>
      <w:r w:rsidRPr="00F111B3">
        <w:rPr>
          <w:rFonts w:asciiTheme="minorEastAsia" w:eastAsiaTheme="minorEastAsia" w:hAnsiTheme="minorEastAsia"/>
          <w:bCs/>
          <w:sz w:val="24"/>
        </w:rPr>
        <w:t>300</w:t>
      </w:r>
      <w:r w:rsidRPr="00F111B3">
        <w:rPr>
          <w:rFonts w:asciiTheme="minorEastAsia" w:eastAsiaTheme="minorEastAsia" w:hAnsiTheme="minorEastAsia" w:hint="eastAsia"/>
          <w:bCs/>
          <w:sz w:val="24"/>
        </w:rPr>
        <w:t>金融服务指数收益率</w:t>
      </w:r>
      <w:r w:rsidRPr="00F111B3">
        <w:rPr>
          <w:rFonts w:asciiTheme="minorEastAsia" w:eastAsiaTheme="minorEastAsia" w:hAnsiTheme="minorEastAsia"/>
          <w:bCs/>
          <w:sz w:val="24"/>
        </w:rPr>
        <w:t>+15%</w:t>
      </w:r>
      <w:r w:rsidRPr="00F111B3">
        <w:rPr>
          <w:rFonts w:asciiTheme="minorEastAsia" w:eastAsiaTheme="minorEastAsia" w:hAnsiTheme="minorEastAsia" w:hint="eastAsia"/>
          <w:bCs/>
          <w:sz w:val="24"/>
        </w:rPr>
        <w:t>×</w:t>
      </w:r>
      <w:r w:rsidRPr="00F111B3">
        <w:rPr>
          <w:rFonts w:asciiTheme="minorEastAsia" w:eastAsiaTheme="minorEastAsia" w:hAnsiTheme="minorEastAsia"/>
          <w:bCs/>
          <w:sz w:val="24"/>
        </w:rPr>
        <w:t>中</w:t>
      </w:r>
      <w:r w:rsidRPr="00F111B3">
        <w:rPr>
          <w:rFonts w:asciiTheme="minorEastAsia" w:eastAsiaTheme="minorEastAsia" w:hAnsiTheme="minorEastAsia" w:hint="eastAsia"/>
          <w:bCs/>
          <w:sz w:val="24"/>
        </w:rPr>
        <w:t>债</w:t>
      </w:r>
      <w:r w:rsidRPr="00F111B3">
        <w:rPr>
          <w:rFonts w:asciiTheme="minorEastAsia" w:eastAsiaTheme="minorEastAsia" w:hAnsiTheme="minorEastAsia"/>
          <w:bCs/>
          <w:sz w:val="24"/>
        </w:rPr>
        <w:t>总</w:t>
      </w:r>
      <w:r w:rsidRPr="00F111B3">
        <w:rPr>
          <w:rFonts w:asciiTheme="minorEastAsia" w:eastAsiaTheme="minorEastAsia" w:hAnsiTheme="minorEastAsia" w:hint="eastAsia"/>
          <w:bCs/>
          <w:sz w:val="24"/>
        </w:rPr>
        <w:t>指数收益率</w:t>
      </w:r>
    </w:p>
    <w:p w:rsidR="005365E6" w:rsidRPr="005365E6" w:rsidP="005365E6" w14:paraId="3B81F26C" w14:textId="419ADD5D">
      <w:pPr>
        <w:spacing w:line="360" w:lineRule="auto"/>
        <w:ind w:firstLine="480" w:firstLineChars="20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调整说明：</w:t>
      </w:r>
      <w:r w:rsidRPr="005365E6">
        <w:rPr>
          <w:rFonts w:asciiTheme="minorEastAsia" w:eastAsiaTheme="minorEastAsia" w:hAnsiTheme="minorEastAsia"/>
          <w:bCs/>
          <w:sz w:val="24"/>
          <w:szCs w:val="24"/>
        </w:rPr>
        <w:t>中证800金融指数</w:t>
      </w:r>
      <w:r w:rsidRPr="005365E6">
        <w:rPr>
          <w:rFonts w:asciiTheme="minorEastAsia" w:eastAsiaTheme="minorEastAsia" w:hAnsiTheme="minorEastAsia" w:hint="eastAsia"/>
          <w:bCs/>
          <w:sz w:val="24"/>
        </w:rPr>
        <w:t>由中证指数</w:t>
      </w:r>
      <w:r w:rsidRPr="005365E6">
        <w:rPr>
          <w:rFonts w:asciiTheme="minorEastAsia" w:eastAsiaTheme="minorEastAsia" w:hAnsiTheme="minorEastAsia" w:hint="eastAsia"/>
          <w:bCs/>
          <w:sz w:val="24"/>
          <w:szCs w:val="24"/>
        </w:rPr>
        <w:t>公司编制，</w:t>
      </w:r>
      <w:r w:rsidR="00B43C4B">
        <w:rPr>
          <w:rFonts w:asciiTheme="minorEastAsia" w:eastAsiaTheme="minorEastAsia" w:hAnsiTheme="minorEastAsia" w:hint="eastAsia"/>
          <w:bCs/>
          <w:sz w:val="24"/>
        </w:rPr>
        <w:t>反映</w:t>
      </w:r>
      <w:r w:rsidRPr="00540E43" w:rsidR="00540E43">
        <w:rPr>
          <w:rFonts w:asciiTheme="minorEastAsia" w:eastAsiaTheme="minorEastAsia" w:hAnsiTheme="minorEastAsia" w:hint="eastAsia"/>
          <w:bCs/>
          <w:sz w:val="24"/>
        </w:rPr>
        <w:t>中证</w:t>
      </w:r>
      <w:r w:rsidR="00540E43">
        <w:rPr>
          <w:rFonts w:asciiTheme="minorEastAsia" w:eastAsiaTheme="minorEastAsia" w:hAnsiTheme="minorEastAsia" w:hint="eastAsia"/>
          <w:bCs/>
          <w:sz w:val="24"/>
        </w:rPr>
        <w:t>800</w:t>
      </w:r>
      <w:r w:rsidRPr="00540E43" w:rsidR="00540E43">
        <w:rPr>
          <w:rFonts w:asciiTheme="minorEastAsia" w:eastAsiaTheme="minorEastAsia" w:hAnsiTheme="minorEastAsia" w:hint="eastAsia"/>
          <w:bCs/>
          <w:sz w:val="24"/>
        </w:rPr>
        <w:t>指数样本中</w:t>
      </w:r>
      <w:r w:rsidR="00122B0B">
        <w:rPr>
          <w:rFonts w:asciiTheme="minorEastAsia" w:eastAsiaTheme="minorEastAsia" w:hAnsiTheme="minorEastAsia" w:hint="eastAsia"/>
          <w:bCs/>
          <w:sz w:val="24"/>
        </w:rPr>
        <w:t>金融行业公司</w:t>
      </w:r>
      <w:r w:rsidR="00122B0B">
        <w:rPr>
          <w:rFonts w:asciiTheme="minorEastAsia" w:eastAsiaTheme="minorEastAsia" w:hAnsiTheme="minorEastAsia" w:hint="eastAsia"/>
          <w:bCs/>
          <w:sz w:val="24"/>
        </w:rPr>
        <w:t>证券</w:t>
      </w:r>
      <w:r w:rsidRPr="005365E6">
        <w:rPr>
          <w:rFonts w:asciiTheme="minorEastAsia" w:eastAsiaTheme="minorEastAsia" w:hAnsiTheme="minorEastAsia" w:hint="eastAsia"/>
          <w:bCs/>
          <w:sz w:val="24"/>
        </w:rPr>
        <w:t>的整体表现</w:t>
      </w:r>
      <w:r w:rsidRPr="005365E6">
        <w:rPr>
          <w:rFonts w:asciiTheme="minorEastAsia" w:eastAsiaTheme="minorEastAsia" w:hAnsiTheme="minorEastAsia" w:hint="eastAsia"/>
          <w:bCs/>
          <w:sz w:val="24"/>
          <w:szCs w:val="24"/>
        </w:rPr>
        <w:t>，适合作为本基金业绩比较基准</w:t>
      </w:r>
      <w:r w:rsidRPr="005365E6">
        <w:rPr>
          <w:rFonts w:asciiTheme="minorEastAsia" w:eastAsiaTheme="minorEastAsia" w:hAnsiTheme="minorEastAsia" w:cs="Times New Roman" w:hint="eastAsia"/>
          <w:bCs/>
          <w:sz w:val="24"/>
        </w:rPr>
        <w:t>的组成部分</w:t>
      </w:r>
      <w:r w:rsidRPr="005365E6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3103CC" w:rsidRPr="003A7DBA" w:rsidP="00144F55" w14:paraId="3163C494" w14:textId="77777777">
      <w:pPr>
        <w:pStyle w:val="PlainText"/>
        <w:spacing w:line="360" w:lineRule="auto"/>
        <w:ind w:firstLine="480" w:firstLineChars="200"/>
        <w:rPr>
          <w:rFonts w:hAnsi="宋体" w:cs="宋体"/>
          <w:b/>
          <w:sz w:val="24"/>
          <w:szCs w:val="24"/>
        </w:rPr>
      </w:pPr>
      <w:r w:rsidRPr="003A7DBA">
        <w:rPr>
          <w:rFonts w:hAnsi="宋体" w:cs="宋体" w:hint="eastAsia"/>
          <w:b/>
          <w:sz w:val="24"/>
          <w:szCs w:val="24"/>
        </w:rPr>
        <w:t>二</w:t>
      </w:r>
      <w:r w:rsidRPr="003A7DBA">
        <w:rPr>
          <w:rFonts w:hAnsi="宋体" w:cs="宋体"/>
          <w:b/>
          <w:sz w:val="24"/>
          <w:szCs w:val="24"/>
        </w:rPr>
        <w:t>、基金合同的修订</w:t>
      </w:r>
    </w:p>
    <w:p w:rsidR="003103CC" w:rsidRPr="00F111B3" w:rsidP="00F111B3" w14:paraId="5B7934B6" w14:textId="07B003A2">
      <w:pPr>
        <w:spacing w:line="360" w:lineRule="auto"/>
        <w:ind w:firstLine="480" w:firstLineChars="200"/>
        <w:rPr>
          <w:rFonts w:asciiTheme="minorEastAsia" w:eastAsiaTheme="minorEastAsia" w:hAnsiTheme="minorEastAsia"/>
          <w:bCs/>
          <w:sz w:val="24"/>
        </w:rPr>
      </w:pPr>
      <w:r w:rsidRPr="00F111B3">
        <w:rPr>
          <w:rFonts w:asciiTheme="minorEastAsia" w:eastAsiaTheme="minorEastAsia" w:hAnsiTheme="minorEastAsia" w:hint="eastAsia"/>
          <w:bCs/>
          <w:sz w:val="24"/>
        </w:rPr>
        <w:t>根据上述业绩比较基准调整方案，</w:t>
      </w:r>
      <w:r w:rsidRPr="00F111B3" w:rsidR="006F06EE">
        <w:rPr>
          <w:rFonts w:asciiTheme="minorEastAsia" w:eastAsiaTheme="minorEastAsia" w:hAnsiTheme="minorEastAsia" w:hint="eastAsia"/>
          <w:bCs/>
          <w:sz w:val="24"/>
        </w:rPr>
        <w:t>本公司</w:t>
      </w:r>
      <w:r w:rsidRPr="00F111B3">
        <w:rPr>
          <w:rFonts w:asciiTheme="minorEastAsia" w:eastAsiaTheme="minorEastAsia" w:hAnsiTheme="minorEastAsia" w:hint="eastAsia"/>
          <w:bCs/>
          <w:sz w:val="24"/>
        </w:rPr>
        <w:t>对</w:t>
      </w:r>
      <w:r w:rsidRPr="00F111B3">
        <w:rPr>
          <w:rFonts w:asciiTheme="minorEastAsia" w:eastAsiaTheme="minorEastAsia" w:hAnsiTheme="minorEastAsia"/>
          <w:bCs/>
          <w:sz w:val="24"/>
        </w:rPr>
        <w:t>本基金基金合同之</w:t>
      </w:r>
      <w:r w:rsidRPr="00F111B3">
        <w:rPr>
          <w:rFonts w:asciiTheme="minorEastAsia" w:eastAsiaTheme="minorEastAsia" w:hAnsiTheme="minorEastAsia" w:hint="eastAsia"/>
          <w:bCs/>
          <w:sz w:val="24"/>
        </w:rPr>
        <w:t>“基金的投资”章节进行必要修</w:t>
      </w:r>
      <w:r w:rsidRPr="00AC2BFC" w:rsidR="00CC49EC">
        <w:rPr>
          <w:rFonts w:asciiTheme="minorEastAsia" w:eastAsiaTheme="minorEastAsia" w:hAnsiTheme="minorEastAsia" w:hint="eastAsia"/>
          <w:bCs/>
          <w:sz w:val="24"/>
        </w:rPr>
        <w:t>订</w:t>
      </w:r>
      <w:r w:rsidRPr="00F111B3" w:rsidR="00CC49EC">
        <w:rPr>
          <w:rFonts w:asciiTheme="minorEastAsia" w:eastAsiaTheme="minorEastAsia" w:hAnsiTheme="minorEastAsia" w:hint="eastAsia"/>
          <w:bCs/>
          <w:sz w:val="24"/>
        </w:rPr>
        <w:t>，同时根据法律法规更新基金合同部分表述</w:t>
      </w:r>
      <w:r w:rsidR="00F111B3">
        <w:rPr>
          <w:rFonts w:asciiTheme="minorEastAsia" w:eastAsiaTheme="minorEastAsia" w:hAnsiTheme="minorEastAsia" w:hint="eastAsia"/>
          <w:bCs/>
          <w:sz w:val="24"/>
        </w:rPr>
        <w:t>，具体修订内容详见附件</w:t>
      </w:r>
      <w:r w:rsidRPr="00F111B3" w:rsidR="00CC49EC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CC077E" w:rsidRPr="003A7DBA" w:rsidP="00144F55" w14:paraId="003624E5" w14:textId="64BB636A">
      <w:pPr>
        <w:pStyle w:val="PlainText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 w:rsidRPr="003A7DBA">
        <w:rPr>
          <w:rFonts w:hAnsi="宋体" w:cs="宋体" w:hint="eastAsia"/>
          <w:sz w:val="24"/>
          <w:szCs w:val="24"/>
        </w:rPr>
        <w:t>基金管理人将</w:t>
      </w:r>
      <w:r w:rsidRPr="003A7DBA">
        <w:rPr>
          <w:rFonts w:hAnsi="宋体" w:cs="宋体" w:hint="eastAsia"/>
          <w:sz w:val="24"/>
          <w:szCs w:val="24"/>
        </w:rPr>
        <w:t>更新招募说明书</w:t>
      </w:r>
      <w:r w:rsidR="00AC2D33">
        <w:rPr>
          <w:rFonts w:hAnsi="宋体" w:cs="宋体" w:hint="eastAsia"/>
          <w:sz w:val="24"/>
          <w:szCs w:val="24"/>
        </w:rPr>
        <w:t>和</w:t>
      </w:r>
      <w:r w:rsidRPr="003946E9" w:rsidR="00AC2D33">
        <w:rPr>
          <w:rFonts w:hAnsi="宋体" w:cs="宋体" w:hint="eastAsia"/>
          <w:sz w:val="24"/>
        </w:rPr>
        <w:t>基金产品资料概要</w:t>
      </w:r>
      <w:r w:rsidR="00AC2D33">
        <w:rPr>
          <w:rFonts w:hAnsi="宋体" w:cs="宋体" w:hint="eastAsia"/>
          <w:sz w:val="24"/>
          <w:szCs w:val="24"/>
        </w:rPr>
        <w:t>相关内容</w:t>
      </w:r>
      <w:r w:rsidRPr="003A7DBA">
        <w:rPr>
          <w:rFonts w:hAnsi="宋体" w:cs="宋体" w:hint="eastAsia"/>
          <w:sz w:val="24"/>
          <w:szCs w:val="24"/>
        </w:rPr>
        <w:t>。</w:t>
      </w:r>
    </w:p>
    <w:p w:rsidR="008B3633" w:rsidP="00463570" w14:paraId="0B98BFDE" w14:textId="5BCB9A6C">
      <w:pPr>
        <w:pStyle w:val="PlainText"/>
        <w:spacing w:line="360" w:lineRule="auto"/>
        <w:ind w:firstLine="480" w:firstLineChars="200"/>
        <w:rPr>
          <w:rFonts w:hAnsi="宋体" w:cs="宋体"/>
          <w:b/>
          <w:sz w:val="24"/>
        </w:rPr>
      </w:pPr>
      <w:r w:rsidRPr="003A7DBA">
        <w:rPr>
          <w:rFonts w:hAnsi="宋体" w:cs="宋体" w:hint="eastAsia"/>
          <w:b/>
          <w:sz w:val="24"/>
        </w:rPr>
        <w:t>三、上述</w:t>
      </w:r>
      <w:r w:rsidRPr="003A7DBA">
        <w:rPr>
          <w:rFonts w:hAnsi="宋体" w:cs="宋体"/>
          <w:b/>
          <w:sz w:val="24"/>
        </w:rPr>
        <w:t>业绩比较基准</w:t>
      </w:r>
      <w:r w:rsidRPr="003A7DBA" w:rsidR="00990BC3">
        <w:rPr>
          <w:rFonts w:hAnsi="宋体" w:cs="宋体" w:hint="eastAsia"/>
          <w:b/>
          <w:sz w:val="24"/>
        </w:rPr>
        <w:t>调整</w:t>
      </w:r>
      <w:r w:rsidRPr="003A7DBA">
        <w:rPr>
          <w:rFonts w:hAnsi="宋体" w:cs="宋体" w:hint="eastAsia"/>
          <w:b/>
          <w:sz w:val="24"/>
        </w:rPr>
        <w:t>及基金合同</w:t>
      </w:r>
      <w:r w:rsidRPr="003A7DBA">
        <w:rPr>
          <w:rFonts w:hAnsi="宋体" w:cs="宋体"/>
          <w:b/>
          <w:sz w:val="24"/>
        </w:rPr>
        <w:t>修订</w:t>
      </w:r>
      <w:r w:rsidRPr="003A7DBA">
        <w:rPr>
          <w:rFonts w:hAnsi="宋体" w:cs="宋体" w:hint="eastAsia"/>
          <w:b/>
          <w:sz w:val="24"/>
        </w:rPr>
        <w:t>事宜自</w:t>
      </w:r>
      <w:r w:rsidRPr="00D14C81" w:rsidR="00413297">
        <w:rPr>
          <w:rFonts w:hAnsi="宋体" w:cs="宋体" w:hint="eastAsia"/>
          <w:b/>
          <w:sz w:val="24"/>
        </w:rPr>
        <w:t>公告发布之日起生效。</w:t>
      </w:r>
    </w:p>
    <w:p w:rsidR="000B5DD6" w:rsidRPr="00B47279" w:rsidP="00463570" w14:paraId="5C2275A0" w14:textId="2CF01A8B">
      <w:pPr>
        <w:pStyle w:val="PlainText"/>
        <w:spacing w:line="360" w:lineRule="auto"/>
        <w:ind w:firstLine="480" w:firstLineChars="200"/>
        <w:rPr>
          <w:rFonts w:hAnsi="宋体" w:cs="宋体"/>
          <w:b/>
          <w:sz w:val="24"/>
          <w:szCs w:val="24"/>
        </w:rPr>
      </w:pPr>
      <w:r w:rsidRPr="003B0A23">
        <w:rPr>
          <w:rFonts w:hAnsi="宋体" w:cs="宋体" w:hint="eastAsia"/>
          <w:b/>
          <w:sz w:val="24"/>
          <w:szCs w:val="24"/>
        </w:rPr>
        <w:t>四、其他事项</w:t>
      </w:r>
    </w:p>
    <w:p w:rsidR="00B47279" w:rsidP="00B47279" w14:paraId="4222F49D" w14:textId="4AC619C1">
      <w:pPr>
        <w:pStyle w:val="ListParagraph"/>
        <w:spacing w:line="360" w:lineRule="auto"/>
        <w:ind w:firstLine="480"/>
        <w:rPr>
          <w:rFonts w:hAnsi="宋体" w:cs="宋体"/>
          <w:sz w:val="24"/>
        </w:rPr>
      </w:pPr>
      <w:r w:rsidRPr="00831789">
        <w:rPr>
          <w:rFonts w:hAnsi="宋体" w:cs="宋体" w:hint="eastAsia"/>
          <w:sz w:val="24"/>
        </w:rPr>
        <w:t>1</w:t>
      </w:r>
      <w:r>
        <w:rPr>
          <w:rFonts w:hAnsi="宋体" w:cs="宋体" w:hint="eastAsia"/>
          <w:sz w:val="24"/>
        </w:rPr>
        <w:t>．</w:t>
      </w:r>
      <w:r w:rsidRPr="00831789">
        <w:rPr>
          <w:rFonts w:hAnsi="宋体" w:cs="宋体"/>
          <w:sz w:val="24"/>
        </w:rPr>
        <w:t>本公告仅对</w:t>
      </w:r>
      <w:r>
        <w:rPr>
          <w:rFonts w:hAnsi="宋体" w:cs="宋体"/>
          <w:sz w:val="24"/>
        </w:rPr>
        <w:t>本基金</w:t>
      </w:r>
      <w:r>
        <w:rPr>
          <w:rFonts w:hAnsi="宋体" w:cs="宋体" w:hint="eastAsia"/>
          <w:sz w:val="24"/>
        </w:rPr>
        <w:t>修</w:t>
      </w:r>
      <w:r>
        <w:rPr>
          <w:rFonts w:hAnsi="宋体" w:cs="宋体"/>
          <w:sz w:val="24"/>
        </w:rPr>
        <w:t>订基金合同</w:t>
      </w:r>
      <w:r w:rsidRPr="00831789">
        <w:rPr>
          <w:rFonts w:hAnsi="宋体" w:cs="宋体"/>
          <w:sz w:val="24"/>
        </w:rPr>
        <w:t>的有关事项予以说明。投资者欲了解基金详细情况，请</w:t>
      </w:r>
      <w:r w:rsidRPr="003946E9">
        <w:rPr>
          <w:rFonts w:hAnsi="宋体" w:cs="宋体"/>
          <w:sz w:val="24"/>
        </w:rPr>
        <w:t>阅</w:t>
      </w:r>
      <w:r w:rsidRPr="00B075B8">
        <w:rPr>
          <w:rFonts w:hAnsi="宋体" w:cs="宋体" w:hint="eastAsia"/>
          <w:sz w:val="24"/>
        </w:rPr>
        <w:t>读</w:t>
      </w:r>
      <w:r w:rsidRPr="00476AD1">
        <w:rPr>
          <w:rFonts w:hAnsi="宋体" w:cs="宋体" w:hint="eastAsia"/>
          <w:sz w:val="24"/>
        </w:rPr>
        <w:t>本基金的</w:t>
      </w:r>
      <w:r w:rsidRPr="003946E9">
        <w:rPr>
          <w:rFonts w:hAnsi="宋体" w:cs="宋体" w:hint="eastAsia"/>
          <w:sz w:val="24"/>
        </w:rPr>
        <w:t>基金合同、招募说明书（更新）和基金产品资料概要（更新）</w:t>
      </w:r>
      <w:r w:rsidRPr="00831789">
        <w:rPr>
          <w:rFonts w:hAnsi="宋体" w:cs="宋体"/>
          <w:sz w:val="24"/>
        </w:rPr>
        <w:t>。</w:t>
      </w:r>
    </w:p>
    <w:p w:rsidR="00B47279" w:rsidRPr="0034240E" w:rsidP="00B47279" w14:paraId="520EF19E" w14:textId="77777777">
      <w:pPr>
        <w:pStyle w:val="ListParagraph"/>
        <w:spacing w:line="360" w:lineRule="auto"/>
        <w:ind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2</w:t>
      </w:r>
      <w:r>
        <w:rPr>
          <w:rFonts w:hAnsi="宋体" w:cs="宋体" w:hint="eastAsia"/>
          <w:sz w:val="24"/>
        </w:rPr>
        <w:t>．投资者可通过以下途径咨询有关详情</w:t>
      </w:r>
    </w:p>
    <w:p w:rsidR="00B47279" w:rsidRPr="0034240E" w:rsidP="00B47279" w14:paraId="22581849" w14:textId="77777777">
      <w:pPr>
        <w:pStyle w:val="ListParagraph"/>
        <w:spacing w:line="360" w:lineRule="auto"/>
        <w:ind w:firstLine="480"/>
        <w:rPr>
          <w:rFonts w:hAnsi="宋体" w:cs="宋体"/>
          <w:sz w:val="24"/>
        </w:rPr>
      </w:pPr>
      <w:r w:rsidRPr="0034240E">
        <w:rPr>
          <w:rFonts w:hAnsi="宋体" w:cs="宋体" w:hint="eastAsia"/>
          <w:sz w:val="24"/>
        </w:rPr>
        <w:t>客户服务电话：</w:t>
      </w:r>
      <w:r w:rsidRPr="0034240E">
        <w:rPr>
          <w:rFonts w:hAnsi="宋体" w:cs="宋体" w:hint="eastAsia"/>
          <w:sz w:val="24"/>
        </w:rPr>
        <w:t xml:space="preserve">400-881-8088 </w:t>
      </w:r>
    </w:p>
    <w:p w:rsidR="00B47279" w:rsidRPr="0034240E" w:rsidP="00B47279" w14:paraId="28A872DA" w14:textId="77777777">
      <w:pPr>
        <w:pStyle w:val="ListParagraph"/>
        <w:spacing w:line="360" w:lineRule="auto"/>
        <w:ind w:firstLine="480"/>
        <w:rPr>
          <w:rFonts w:hAnsi="宋体" w:cs="宋体"/>
          <w:sz w:val="24"/>
        </w:rPr>
      </w:pPr>
      <w:r w:rsidRPr="0034240E">
        <w:rPr>
          <w:rFonts w:hAnsi="宋体" w:cs="宋体" w:hint="eastAsia"/>
          <w:sz w:val="24"/>
        </w:rPr>
        <w:t>网址：</w:t>
      </w:r>
      <w:r w:rsidRPr="0034240E">
        <w:rPr>
          <w:rFonts w:hAnsi="宋体" w:cs="宋体" w:hint="eastAsia"/>
          <w:sz w:val="24"/>
        </w:rPr>
        <w:t>www.efunds.com.cn</w:t>
      </w:r>
    </w:p>
    <w:p w:rsidR="00B47279" w:rsidP="00B47279" w14:paraId="614ACFDD" w14:textId="77777777">
      <w:pPr>
        <w:spacing w:line="360" w:lineRule="auto"/>
        <w:ind w:firstLine="540"/>
        <w:rPr>
          <w:rFonts w:eastAsiaTheme="minorEastAsia"/>
          <w:sz w:val="24"/>
          <w:szCs w:val="22"/>
        </w:rPr>
      </w:pPr>
      <w:r>
        <w:rPr>
          <w:rFonts w:hAnsi="宋体" w:cs="宋体" w:hint="eastAsia"/>
          <w:sz w:val="24"/>
        </w:rPr>
        <w:t>3</w:t>
      </w:r>
      <w:r>
        <w:rPr>
          <w:rFonts w:hAnsi="宋体" w:cs="宋体" w:hint="eastAsia"/>
          <w:sz w:val="24"/>
        </w:rPr>
        <w:t>．</w:t>
      </w:r>
      <w:r>
        <w:rPr>
          <w:rFonts w:hint="eastAsia"/>
          <w:sz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B47279" w:rsidP="00B47279" w14:paraId="0E1533BF" w14:textId="77777777">
      <w:pPr>
        <w:pStyle w:val="ListParagraph"/>
        <w:spacing w:line="360" w:lineRule="auto"/>
        <w:ind w:firstLine="480"/>
        <w:rPr>
          <w:rFonts w:hAnsi="宋体" w:cs="宋体"/>
          <w:sz w:val="24"/>
        </w:rPr>
      </w:pPr>
    </w:p>
    <w:p w:rsidR="00B47279" w:rsidP="00B47279" w14:paraId="5E6ECD6C" w14:textId="77777777">
      <w:pPr>
        <w:pStyle w:val="ListParagraph"/>
        <w:spacing w:line="360" w:lineRule="auto"/>
        <w:ind w:firstLine="480"/>
        <w:rPr>
          <w:rFonts w:hAnsi="宋体" w:cs="宋体"/>
          <w:sz w:val="24"/>
        </w:rPr>
      </w:pPr>
      <w:r w:rsidRPr="0034240E">
        <w:rPr>
          <w:rFonts w:hAnsi="宋体" w:cs="宋体" w:hint="eastAsia"/>
          <w:sz w:val="24"/>
        </w:rPr>
        <w:t>特此公告。</w:t>
      </w:r>
    </w:p>
    <w:p w:rsidR="000B5DD6" w:rsidRPr="003A7DBA" w:rsidP="00144F55" w14:paraId="60B3EDCF" w14:textId="77777777">
      <w:pPr>
        <w:pStyle w:val="ListParagraph"/>
        <w:spacing w:line="360" w:lineRule="auto"/>
        <w:ind w:firstLine="480"/>
        <w:rPr>
          <w:rFonts w:ascii="宋体" w:hAnsi="宋体" w:cs="宋体"/>
          <w:sz w:val="24"/>
        </w:rPr>
      </w:pPr>
    </w:p>
    <w:p w:rsidR="000B5DD6" w:rsidRPr="003A7DBA" w:rsidP="00144F55" w14:paraId="71B70BF7" w14:textId="75E9C707">
      <w:pPr>
        <w:pStyle w:val="ListParagraph"/>
        <w:spacing w:line="360" w:lineRule="auto"/>
        <w:ind w:firstLine="480"/>
        <w:rPr>
          <w:rFonts w:ascii="宋体" w:hAnsi="宋体" w:cs="宋体"/>
          <w:sz w:val="24"/>
        </w:rPr>
      </w:pPr>
      <w:r w:rsidRPr="003A7DBA">
        <w:rPr>
          <w:rFonts w:ascii="宋体" w:hAnsi="宋体" w:cs="宋体" w:hint="eastAsia"/>
          <w:sz w:val="24"/>
        </w:rPr>
        <w:t>附件：基金合同修</w:t>
      </w:r>
      <w:r w:rsidR="00D14C81">
        <w:rPr>
          <w:rFonts w:ascii="宋体" w:hAnsi="宋体" w:cs="宋体" w:hint="eastAsia"/>
          <w:sz w:val="24"/>
        </w:rPr>
        <w:t>订</w:t>
      </w:r>
      <w:r w:rsidRPr="003A7DBA">
        <w:rPr>
          <w:rFonts w:ascii="宋体" w:hAnsi="宋体" w:cs="宋体" w:hint="eastAsia"/>
          <w:sz w:val="24"/>
        </w:rPr>
        <w:t>说明</w:t>
      </w:r>
    </w:p>
    <w:p w:rsidR="000B5DD6" w:rsidRPr="003A7DBA" w:rsidP="00144F55" w14:paraId="165306E8" w14:textId="77777777">
      <w:pPr>
        <w:pStyle w:val="ListParagraph"/>
        <w:spacing w:line="360" w:lineRule="auto"/>
        <w:ind w:firstLine="480"/>
        <w:rPr>
          <w:rFonts w:ascii="宋体" w:hAnsi="宋体" w:cs="宋体"/>
          <w:sz w:val="24"/>
        </w:rPr>
      </w:pPr>
    </w:p>
    <w:p w:rsidR="000B5DD6" w:rsidRPr="003A7DBA" w:rsidP="00144F55" w14:paraId="0A3CB5A5" w14:textId="77777777">
      <w:pPr>
        <w:spacing w:line="360" w:lineRule="auto"/>
        <w:ind w:firstLine="3480" w:firstLineChars="1450"/>
        <w:jc w:val="right"/>
        <w:rPr>
          <w:rFonts w:ascii="宋体" w:hAnsi="宋体"/>
          <w:sz w:val="24"/>
        </w:rPr>
      </w:pPr>
      <w:r w:rsidRPr="003A7DBA">
        <w:rPr>
          <w:rFonts w:ascii="宋体" w:hAnsi="宋体" w:hint="eastAsia"/>
          <w:sz w:val="24"/>
        </w:rPr>
        <w:t>易方达基金管理有限公司</w:t>
      </w:r>
    </w:p>
    <w:p w:rsidR="000B5DD6" w:rsidRPr="003A7DBA" w:rsidP="00144F55" w14:paraId="561139BB" w14:textId="60360F13">
      <w:pPr>
        <w:pStyle w:val="ListParagraph"/>
        <w:spacing w:line="360" w:lineRule="auto"/>
        <w:ind w:right="240" w:firstLine="3600" w:firstLineChars="1500"/>
        <w:jc w:val="right"/>
        <w:rPr>
          <w:rFonts w:ascii="宋体" w:hAnsi="宋体" w:cs="宋体"/>
          <w:sz w:val="24"/>
        </w:rPr>
      </w:pPr>
      <w:r w:rsidRPr="003A7DBA">
        <w:rPr>
          <w:rFonts w:ascii="宋体" w:hAnsi="宋体" w:cs="宋体"/>
          <w:sz w:val="24"/>
        </w:rPr>
        <w:t>202</w:t>
      </w:r>
      <w:r>
        <w:rPr>
          <w:rFonts w:ascii="宋体" w:hAnsi="宋体" w:cs="宋体"/>
          <w:sz w:val="24"/>
        </w:rPr>
        <w:t>2</w:t>
      </w:r>
      <w:r w:rsidRPr="003A7DBA">
        <w:rPr>
          <w:rFonts w:ascii="宋体" w:hAnsi="宋体" w:cs="宋体"/>
          <w:sz w:val="24"/>
        </w:rPr>
        <w:t>年</w:t>
      </w:r>
      <w:r w:rsidR="00D17B9B">
        <w:rPr>
          <w:rFonts w:ascii="宋体" w:hAnsi="宋体" w:cs="宋体"/>
          <w:sz w:val="24"/>
        </w:rPr>
        <w:t>9</w:t>
      </w:r>
      <w:r w:rsidRPr="003A7DBA">
        <w:rPr>
          <w:rFonts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17</w:t>
      </w:r>
      <w:r w:rsidRPr="003A7DBA">
        <w:rPr>
          <w:rFonts w:ascii="宋体" w:hAnsi="宋体" w:cs="宋体"/>
          <w:sz w:val="24"/>
        </w:rPr>
        <w:t>日</w:t>
      </w:r>
    </w:p>
    <w:bookmarkEnd w:id="0"/>
    <w:bookmarkEnd w:id="1"/>
    <w:bookmarkEnd w:id="2"/>
    <w:bookmarkEnd w:id="3"/>
    <w:p w:rsidR="000B5DD6" w:rsidRPr="003A7DBA" w:rsidP="000B5DD6" w14:paraId="6DE09D03" w14:textId="77777777">
      <w:pPr>
        <w:autoSpaceDE w:val="0"/>
        <w:autoSpaceDN w:val="0"/>
        <w:adjustRightInd w:val="0"/>
        <w:spacing w:line="360" w:lineRule="auto"/>
        <w:ind w:firstLine="407" w:firstLineChars="194"/>
        <w:rPr>
          <w:rFonts w:ascii="宋体" w:hAnsi="宋体"/>
        </w:rPr>
      </w:pPr>
    </w:p>
    <w:p w:rsidR="000B5DD6" w:rsidRPr="003A7DBA" w:rsidP="000B5DD6" w14:paraId="5CF47360" w14:textId="77777777">
      <w:pPr>
        <w:widowControl/>
        <w:jc w:val="left"/>
        <w:rPr>
          <w:rFonts w:ascii="宋体" w:hAnsi="宋体"/>
        </w:rPr>
      </w:pPr>
      <w:r w:rsidRPr="003A7DBA">
        <w:rPr>
          <w:rFonts w:ascii="宋体" w:hAnsi="宋体"/>
        </w:rPr>
        <w:br w:type="page"/>
      </w:r>
    </w:p>
    <w:p w:rsidR="000B5DD6" w:rsidRPr="00DB2DD7" w:rsidP="00144F55" w14:paraId="28FB0A4F" w14:textId="7E7FE1D2">
      <w:pPr>
        <w:jc w:val="center"/>
        <w:rPr>
          <w:rFonts w:ascii="宋体" w:hAnsi="宋体"/>
          <w:b/>
          <w:sz w:val="24"/>
          <w:szCs w:val="28"/>
        </w:rPr>
      </w:pPr>
      <w:r w:rsidRPr="00DB2DD7">
        <w:rPr>
          <w:rFonts w:ascii="宋体" w:hAnsi="宋体" w:hint="eastAsia"/>
          <w:b/>
          <w:sz w:val="24"/>
          <w:szCs w:val="28"/>
        </w:rPr>
        <w:t>附件</w:t>
      </w:r>
      <w:r w:rsidRPr="00DB2DD7">
        <w:rPr>
          <w:rFonts w:ascii="宋体" w:hAnsi="宋体"/>
          <w:b/>
          <w:sz w:val="24"/>
          <w:szCs w:val="28"/>
        </w:rPr>
        <w:t>：</w:t>
      </w:r>
      <w:r w:rsidRPr="00DB2DD7">
        <w:rPr>
          <w:rFonts w:ascii="宋体" w:hAnsi="宋体" w:hint="eastAsia"/>
          <w:b/>
          <w:sz w:val="24"/>
          <w:szCs w:val="28"/>
        </w:rPr>
        <w:t>基金合同修</w:t>
      </w:r>
      <w:r w:rsidRPr="00DB2DD7" w:rsidR="00D14C81">
        <w:rPr>
          <w:rFonts w:ascii="宋体" w:hAnsi="宋体" w:hint="eastAsia"/>
          <w:b/>
          <w:sz w:val="24"/>
          <w:szCs w:val="28"/>
        </w:rPr>
        <w:t>订</w:t>
      </w:r>
      <w:r w:rsidRPr="00DB2DD7">
        <w:rPr>
          <w:rFonts w:ascii="宋体" w:hAnsi="宋体" w:hint="eastAsia"/>
          <w:b/>
          <w:sz w:val="24"/>
          <w:szCs w:val="28"/>
        </w:rPr>
        <w:t>说明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828"/>
        <w:gridCol w:w="3827"/>
      </w:tblGrid>
      <w:tr w14:paraId="2A7BD86D" w14:textId="77777777" w:rsidTr="00F210A8">
        <w:tblPrEx>
          <w:tblW w:w="878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129" w:type="dxa"/>
          </w:tcPr>
          <w:p w:rsidR="00B879D6" w:rsidRPr="00436BBB" w:rsidP="00B25DF4" w14:paraId="7F29F5B7" w14:textId="77777777">
            <w:pPr>
              <w:jc w:val="center"/>
              <w:rPr>
                <w:b/>
                <w:bCs/>
                <w:szCs w:val="21"/>
              </w:rPr>
            </w:pPr>
            <w:r w:rsidRPr="00436BBB">
              <w:rPr>
                <w:b/>
                <w:bCs/>
                <w:szCs w:val="21"/>
              </w:rPr>
              <w:t>章节</w:t>
            </w:r>
          </w:p>
        </w:tc>
        <w:tc>
          <w:tcPr>
            <w:tcW w:w="3828" w:type="dxa"/>
          </w:tcPr>
          <w:p w:rsidR="00B879D6" w:rsidRPr="00436BBB" w:rsidP="00B25DF4" w14:paraId="07C4788D" w14:textId="77777777">
            <w:pPr>
              <w:jc w:val="center"/>
              <w:rPr>
                <w:b/>
                <w:bCs/>
                <w:szCs w:val="21"/>
              </w:rPr>
            </w:pPr>
            <w:r w:rsidRPr="00436BBB">
              <w:rPr>
                <w:rFonts w:hint="eastAsia"/>
                <w:b/>
                <w:bCs/>
                <w:szCs w:val="21"/>
              </w:rPr>
              <w:t>修订前</w:t>
            </w:r>
          </w:p>
        </w:tc>
        <w:tc>
          <w:tcPr>
            <w:tcW w:w="3827" w:type="dxa"/>
          </w:tcPr>
          <w:p w:rsidR="00B879D6" w:rsidRPr="00436BBB" w:rsidP="00B25DF4" w14:paraId="1751717F" w14:textId="77777777">
            <w:pPr>
              <w:jc w:val="center"/>
              <w:rPr>
                <w:b/>
                <w:bCs/>
                <w:szCs w:val="21"/>
              </w:rPr>
            </w:pPr>
            <w:r w:rsidRPr="00436BBB">
              <w:rPr>
                <w:rFonts w:hint="eastAsia"/>
                <w:b/>
                <w:bCs/>
                <w:szCs w:val="21"/>
              </w:rPr>
              <w:t>修订后</w:t>
            </w:r>
          </w:p>
        </w:tc>
      </w:tr>
      <w:tr w14:paraId="2C94902B" w14:textId="77777777" w:rsidTr="00F210A8">
        <w:tblPrEx>
          <w:tblW w:w="8784" w:type="dxa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B879D6" w:rsidRPr="00436BBB" w:rsidP="00B25DF4" w14:paraId="6C2A856B" w14:textId="77777777">
            <w:pPr>
              <w:jc w:val="center"/>
              <w:rPr>
                <w:b/>
                <w:bCs/>
                <w:szCs w:val="21"/>
              </w:rPr>
            </w:pPr>
            <w:bookmarkStart w:id="4" w:name="_Toc11660"/>
            <w:bookmarkStart w:id="5" w:name="_Toc386545345"/>
            <w:bookmarkStart w:id="6" w:name="_Toc389052134"/>
            <w:r w:rsidRPr="00436BBB">
              <w:rPr>
                <w:rFonts w:hint="eastAsia"/>
                <w:szCs w:val="21"/>
              </w:rPr>
              <w:t>第一部分</w:t>
            </w:r>
            <w:r w:rsidRPr="00436BBB">
              <w:rPr>
                <w:szCs w:val="21"/>
              </w:rPr>
              <w:t xml:space="preserve">  </w:t>
            </w:r>
            <w:r w:rsidRPr="00436BBB">
              <w:rPr>
                <w:rFonts w:hint="eastAsia"/>
                <w:szCs w:val="21"/>
              </w:rPr>
              <w:t>前言</w:t>
            </w:r>
            <w:bookmarkEnd w:id="4"/>
            <w:bookmarkEnd w:id="5"/>
            <w:bookmarkEnd w:id="6"/>
          </w:p>
        </w:tc>
        <w:tc>
          <w:tcPr>
            <w:tcW w:w="3828" w:type="dxa"/>
          </w:tcPr>
          <w:p w:rsidR="00B879D6" w:rsidRPr="00436BBB" w:rsidP="00B25DF4" w14:paraId="364D4013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一、订立本基金合同的目的、依据和原则</w:t>
            </w:r>
          </w:p>
          <w:p w:rsidR="00B879D6" w:rsidRPr="00436BBB" w:rsidP="00B25DF4" w14:paraId="4C9FE973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2</w:t>
            </w:r>
            <w:r w:rsidRPr="00436BBB">
              <w:rPr>
                <w:rFonts w:hint="eastAsia"/>
                <w:bCs/>
                <w:szCs w:val="21"/>
              </w:rPr>
              <w:t>、订立本基金合同的依据是</w:t>
            </w:r>
            <w:r w:rsidRPr="00436BBB">
              <w:rPr>
                <w:rFonts w:hint="eastAsia"/>
                <w:b/>
                <w:bCs/>
                <w:szCs w:val="21"/>
              </w:rPr>
              <w:t>《中华人民共和国合同法》（以下简称“《合同法》”）</w:t>
            </w:r>
            <w:r w:rsidRPr="00436BBB">
              <w:rPr>
                <w:rFonts w:hint="eastAsia"/>
                <w:bCs/>
                <w:szCs w:val="21"/>
              </w:rPr>
              <w:t>、《中华人民共和国证券投资基金法》（以下简称“《基金法》”）、《公开募集证券投资基金运作管理办法》（以下简称“《运作办法》”）、</w:t>
            </w:r>
            <w:r w:rsidRPr="00436BBB">
              <w:rPr>
                <w:rFonts w:hint="eastAsia"/>
                <w:b/>
                <w:bCs/>
                <w:szCs w:val="21"/>
              </w:rPr>
              <w:t>《证券投资基金销售管理办法》（以下简称“《销售办法》”）</w:t>
            </w:r>
            <w:r w:rsidRPr="00436BBB">
              <w:rPr>
                <w:rFonts w:hint="eastAsia"/>
                <w:bCs/>
                <w:szCs w:val="21"/>
              </w:rPr>
              <w:t>、《公开募集证券投资基金信息披露管理办法》（以下简称“《信息披露办法》”）、</w:t>
            </w:r>
            <w:r w:rsidRPr="00436BBB">
              <w:rPr>
                <w:bCs/>
                <w:szCs w:val="21"/>
              </w:rPr>
              <w:t>《</w:t>
            </w:r>
            <w:r w:rsidRPr="00436BBB">
              <w:rPr>
                <w:rFonts w:hint="eastAsia"/>
                <w:bCs/>
                <w:szCs w:val="21"/>
              </w:rPr>
              <w:t>公开募集开放式证券投资基金流动性风险管理规定</w:t>
            </w:r>
            <w:r w:rsidRPr="00436BBB">
              <w:rPr>
                <w:bCs/>
                <w:szCs w:val="21"/>
              </w:rPr>
              <w:t>》</w:t>
            </w:r>
            <w:r w:rsidRPr="00436BBB">
              <w:rPr>
                <w:rFonts w:hint="eastAsia"/>
                <w:bCs/>
                <w:szCs w:val="21"/>
              </w:rPr>
              <w:t>（</w:t>
            </w:r>
            <w:r w:rsidRPr="00436BBB">
              <w:rPr>
                <w:bCs/>
                <w:szCs w:val="21"/>
              </w:rPr>
              <w:t>以下简称</w:t>
            </w:r>
            <w:r w:rsidRPr="00436BBB">
              <w:rPr>
                <w:rFonts w:hint="eastAsia"/>
                <w:bCs/>
                <w:szCs w:val="21"/>
              </w:rPr>
              <w:t>“《流动性风险管理规定》”）和其他有关法律法规。</w:t>
            </w:r>
          </w:p>
        </w:tc>
        <w:tc>
          <w:tcPr>
            <w:tcW w:w="3827" w:type="dxa"/>
          </w:tcPr>
          <w:p w:rsidR="00B879D6" w:rsidRPr="00436BBB" w:rsidP="00B25DF4" w14:paraId="2DCBC4BC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一、订立本基金合同的目的、依据和原则</w:t>
            </w:r>
          </w:p>
          <w:p w:rsidR="00B879D6" w:rsidRPr="00436BBB" w:rsidP="00B25DF4" w14:paraId="7D471F9C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2</w:t>
            </w:r>
            <w:r w:rsidRPr="00436BBB">
              <w:rPr>
                <w:rFonts w:hint="eastAsia"/>
                <w:bCs/>
                <w:szCs w:val="21"/>
              </w:rPr>
              <w:t>、订立本基金合同的依据是</w:t>
            </w:r>
            <w:r w:rsidRPr="00436BBB">
              <w:rPr>
                <w:rFonts w:hint="eastAsia"/>
                <w:b/>
                <w:bCs/>
                <w:szCs w:val="21"/>
              </w:rPr>
              <w:t>《中华人民共和国民法典》</w:t>
            </w:r>
            <w:r w:rsidRPr="00436BBB">
              <w:rPr>
                <w:rFonts w:hint="eastAsia"/>
                <w:bCs/>
                <w:szCs w:val="21"/>
              </w:rPr>
              <w:t>、《中华人民共和国证券投资基金法》（以下简称“《基金法》”）、《公开募集证券投资基金运作管理办法》（以下简称“《运作办法》”）、</w:t>
            </w:r>
            <w:r w:rsidRPr="00436BBB">
              <w:rPr>
                <w:rFonts w:hint="eastAsia"/>
                <w:b/>
                <w:bCs/>
                <w:szCs w:val="21"/>
              </w:rPr>
              <w:t>《公开募集证券投资基金销售机构监督管理办法》（以下简称“《销售办法》”）</w:t>
            </w:r>
            <w:r w:rsidRPr="00436BBB">
              <w:rPr>
                <w:rFonts w:hint="eastAsia"/>
                <w:bCs/>
                <w:szCs w:val="21"/>
              </w:rPr>
              <w:t>、《公开募集证券投资基金信息披露管理办法》（以下简称“《信息披露办法》”）、</w:t>
            </w:r>
            <w:r w:rsidRPr="00436BBB">
              <w:rPr>
                <w:bCs/>
                <w:szCs w:val="21"/>
              </w:rPr>
              <w:t>《</w:t>
            </w:r>
            <w:r w:rsidRPr="00436BBB">
              <w:rPr>
                <w:rFonts w:hint="eastAsia"/>
                <w:bCs/>
                <w:szCs w:val="21"/>
              </w:rPr>
              <w:t>公开募集开放式证券投资基金流动性风险管理规定</w:t>
            </w:r>
            <w:r w:rsidRPr="00436BBB">
              <w:rPr>
                <w:bCs/>
                <w:szCs w:val="21"/>
              </w:rPr>
              <w:t>》</w:t>
            </w:r>
            <w:r w:rsidRPr="00436BBB">
              <w:rPr>
                <w:rFonts w:hint="eastAsia"/>
                <w:bCs/>
                <w:szCs w:val="21"/>
              </w:rPr>
              <w:t>（</w:t>
            </w:r>
            <w:r w:rsidRPr="00436BBB">
              <w:rPr>
                <w:bCs/>
                <w:szCs w:val="21"/>
              </w:rPr>
              <w:t>以下简称</w:t>
            </w:r>
            <w:r w:rsidRPr="00436BBB">
              <w:rPr>
                <w:rFonts w:hint="eastAsia"/>
                <w:bCs/>
                <w:szCs w:val="21"/>
              </w:rPr>
              <w:t>“《流动性风险管理规定》”）和其他有关法律法规。</w:t>
            </w:r>
          </w:p>
        </w:tc>
      </w:tr>
      <w:tr w14:paraId="705FF699" w14:textId="77777777" w:rsidTr="00F210A8">
        <w:tblPrEx>
          <w:tblW w:w="8784" w:type="dxa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B879D6" w:rsidRPr="00436BBB" w:rsidP="00B25DF4" w14:paraId="5A6B9C0F" w14:textId="77777777">
            <w:pPr>
              <w:jc w:val="center"/>
              <w:rPr>
                <w:b/>
                <w:szCs w:val="21"/>
              </w:rPr>
            </w:pPr>
            <w:bookmarkStart w:id="7" w:name="_Toc6617"/>
            <w:bookmarkStart w:id="8" w:name="_Toc15067"/>
            <w:bookmarkStart w:id="9" w:name="_Toc3224"/>
            <w:bookmarkStart w:id="10" w:name="_Toc2465"/>
            <w:bookmarkStart w:id="11" w:name="_Toc19592"/>
            <w:bookmarkStart w:id="12" w:name="_Toc819"/>
            <w:bookmarkStart w:id="13" w:name="_Toc13020"/>
            <w:bookmarkStart w:id="14" w:name="_Toc24860"/>
            <w:bookmarkStart w:id="15" w:name="_Toc22864"/>
            <w:bookmarkStart w:id="16" w:name="_Toc21301"/>
            <w:bookmarkStart w:id="17" w:name="_Toc385083400"/>
            <w:bookmarkStart w:id="18" w:name="_Toc386545346"/>
            <w:bookmarkStart w:id="19" w:name="_Toc389052135"/>
            <w:r w:rsidRPr="00436BBB">
              <w:rPr>
                <w:rFonts w:hint="eastAsia"/>
                <w:szCs w:val="21"/>
              </w:rPr>
              <w:t>第二部分</w:t>
            </w:r>
            <w:r w:rsidRPr="00436BBB">
              <w:rPr>
                <w:szCs w:val="21"/>
              </w:rPr>
              <w:t xml:space="preserve">  </w:t>
            </w:r>
            <w:r w:rsidRPr="00436BBB">
              <w:rPr>
                <w:rFonts w:hint="eastAsia"/>
                <w:szCs w:val="21"/>
              </w:rPr>
              <w:t>释义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828" w:type="dxa"/>
          </w:tcPr>
          <w:p w:rsidR="00B879D6" w:rsidRPr="00436BBB" w:rsidP="00B25DF4" w14:paraId="6D4ECE81" w14:textId="77777777">
            <w:pPr>
              <w:ind w:firstLine="420" w:firstLineChars="200"/>
              <w:rPr>
                <w:b/>
                <w:bCs/>
                <w:szCs w:val="21"/>
              </w:rPr>
            </w:pPr>
            <w:r w:rsidRPr="00436BBB">
              <w:rPr>
                <w:bCs/>
                <w:szCs w:val="21"/>
              </w:rPr>
              <w:t>11</w:t>
            </w:r>
            <w:r w:rsidRPr="00436BBB">
              <w:rPr>
                <w:rFonts w:hint="eastAsia"/>
                <w:bCs/>
                <w:szCs w:val="21"/>
              </w:rPr>
              <w:t>、《销售办法》：</w:t>
            </w:r>
            <w:r w:rsidRPr="00436BBB">
              <w:rPr>
                <w:rFonts w:hint="eastAsia"/>
                <w:b/>
                <w:bCs/>
                <w:szCs w:val="21"/>
              </w:rPr>
              <w:t>指中国证监会</w:t>
            </w:r>
            <w:r w:rsidRPr="00436BBB">
              <w:rPr>
                <w:rFonts w:hint="eastAsia"/>
                <w:b/>
                <w:bCs/>
                <w:szCs w:val="21"/>
              </w:rPr>
              <w:t>2013</w:t>
            </w:r>
            <w:r w:rsidRPr="00436BBB">
              <w:rPr>
                <w:rFonts w:hint="eastAsia"/>
                <w:b/>
                <w:bCs/>
                <w:szCs w:val="21"/>
              </w:rPr>
              <w:t>年</w:t>
            </w:r>
            <w:r w:rsidRPr="00436BBB">
              <w:rPr>
                <w:rFonts w:hint="eastAsia"/>
                <w:b/>
                <w:bCs/>
                <w:szCs w:val="21"/>
              </w:rPr>
              <w:t>3</w:t>
            </w:r>
            <w:r w:rsidRPr="00436BBB">
              <w:rPr>
                <w:rFonts w:hint="eastAsia"/>
                <w:b/>
                <w:bCs/>
                <w:szCs w:val="21"/>
              </w:rPr>
              <w:t>月</w:t>
            </w:r>
            <w:r w:rsidRPr="00436BBB">
              <w:rPr>
                <w:rFonts w:hint="eastAsia"/>
                <w:b/>
                <w:bCs/>
                <w:szCs w:val="21"/>
              </w:rPr>
              <w:t>15</w:t>
            </w:r>
            <w:r w:rsidRPr="00436BBB">
              <w:rPr>
                <w:rFonts w:hint="eastAsia"/>
                <w:b/>
                <w:bCs/>
                <w:szCs w:val="21"/>
              </w:rPr>
              <w:t>日颁布、同年</w:t>
            </w:r>
            <w:r w:rsidRPr="00436BBB">
              <w:rPr>
                <w:rFonts w:hint="eastAsia"/>
                <w:b/>
                <w:bCs/>
                <w:szCs w:val="21"/>
              </w:rPr>
              <w:t>6</w:t>
            </w:r>
            <w:r w:rsidRPr="00436BBB">
              <w:rPr>
                <w:rFonts w:hint="eastAsia"/>
                <w:b/>
                <w:bCs/>
                <w:szCs w:val="21"/>
              </w:rPr>
              <w:t>月</w:t>
            </w:r>
            <w:r w:rsidRPr="00436BBB">
              <w:rPr>
                <w:rFonts w:hint="eastAsia"/>
                <w:b/>
                <w:bCs/>
                <w:szCs w:val="21"/>
              </w:rPr>
              <w:t>1</w:t>
            </w:r>
            <w:r w:rsidRPr="00436BBB">
              <w:rPr>
                <w:rFonts w:hint="eastAsia"/>
                <w:b/>
                <w:bCs/>
                <w:szCs w:val="21"/>
              </w:rPr>
              <w:t>日实施的《证券投资基金销售管理办法》及颁布机关对其不时做出的修订</w:t>
            </w:r>
          </w:p>
        </w:tc>
        <w:tc>
          <w:tcPr>
            <w:tcW w:w="3827" w:type="dxa"/>
          </w:tcPr>
          <w:p w:rsidR="00B879D6" w:rsidRPr="00436BBB" w:rsidP="00B25DF4" w14:paraId="035509A7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11</w:t>
            </w:r>
            <w:r w:rsidRPr="00436BBB">
              <w:rPr>
                <w:rFonts w:hint="eastAsia"/>
                <w:bCs/>
                <w:szCs w:val="21"/>
              </w:rPr>
              <w:t>、《销售办法》：</w:t>
            </w:r>
            <w:r w:rsidRPr="00436BBB">
              <w:rPr>
                <w:rFonts w:hint="eastAsia"/>
                <w:b/>
                <w:bCs/>
                <w:szCs w:val="21"/>
              </w:rPr>
              <w:t>指中国证监会</w:t>
            </w:r>
            <w:r w:rsidRPr="00436BBB">
              <w:rPr>
                <w:b/>
                <w:bCs/>
                <w:szCs w:val="21"/>
              </w:rPr>
              <w:t>2020</w:t>
            </w:r>
            <w:r w:rsidRPr="00436BBB">
              <w:rPr>
                <w:rFonts w:hint="eastAsia"/>
                <w:b/>
                <w:bCs/>
                <w:szCs w:val="21"/>
              </w:rPr>
              <w:t>年</w:t>
            </w:r>
            <w:r w:rsidRPr="00436BBB">
              <w:rPr>
                <w:b/>
                <w:bCs/>
                <w:szCs w:val="21"/>
              </w:rPr>
              <w:t>8</w:t>
            </w:r>
            <w:r w:rsidRPr="00436BBB">
              <w:rPr>
                <w:rFonts w:hint="eastAsia"/>
                <w:b/>
                <w:bCs/>
                <w:szCs w:val="21"/>
              </w:rPr>
              <w:t>月</w:t>
            </w:r>
            <w:r w:rsidRPr="00436BBB">
              <w:rPr>
                <w:b/>
                <w:bCs/>
                <w:szCs w:val="21"/>
              </w:rPr>
              <w:t>28</w:t>
            </w:r>
            <w:r w:rsidRPr="00436BBB">
              <w:rPr>
                <w:rFonts w:hint="eastAsia"/>
                <w:b/>
                <w:bCs/>
                <w:szCs w:val="21"/>
              </w:rPr>
              <w:t>日颁布、同年</w:t>
            </w:r>
            <w:r w:rsidRPr="00436BBB">
              <w:rPr>
                <w:b/>
                <w:bCs/>
                <w:szCs w:val="21"/>
              </w:rPr>
              <w:t>10</w:t>
            </w:r>
            <w:r w:rsidRPr="00436BBB">
              <w:rPr>
                <w:rFonts w:hint="eastAsia"/>
                <w:b/>
                <w:bCs/>
                <w:szCs w:val="21"/>
              </w:rPr>
              <w:t>月</w:t>
            </w:r>
            <w:r w:rsidRPr="00436BBB">
              <w:rPr>
                <w:b/>
                <w:bCs/>
                <w:szCs w:val="21"/>
              </w:rPr>
              <w:t>1</w:t>
            </w:r>
            <w:r w:rsidRPr="00436BBB">
              <w:rPr>
                <w:rFonts w:hint="eastAsia"/>
                <w:b/>
                <w:bCs/>
                <w:szCs w:val="21"/>
              </w:rPr>
              <w:t>日实施的《公开募集证券投资基金销售机构监督管理办法》及颁布机关对其不时做出的修订</w:t>
            </w:r>
          </w:p>
        </w:tc>
      </w:tr>
      <w:tr w14:paraId="116BDBED" w14:textId="77777777" w:rsidTr="00F210A8">
        <w:tblPrEx>
          <w:tblW w:w="8784" w:type="dxa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B879D6" w:rsidRPr="00436BBB" w:rsidP="00B25DF4" w14:paraId="2C844EDC" w14:textId="666CE62D">
            <w:pPr>
              <w:rPr>
                <w:bCs/>
                <w:szCs w:val="21"/>
              </w:rPr>
            </w:pPr>
            <w:bookmarkStart w:id="20" w:name="_Toc3601"/>
            <w:bookmarkStart w:id="21" w:name="_Toc15143"/>
            <w:bookmarkStart w:id="22" w:name="_Toc29251"/>
            <w:bookmarkStart w:id="23" w:name="_Toc26207"/>
            <w:bookmarkStart w:id="24" w:name="_Toc98560353"/>
            <w:bookmarkStart w:id="25" w:name="_Toc123102454"/>
            <w:bookmarkStart w:id="26" w:name="_Toc139991737"/>
            <w:bookmarkStart w:id="27" w:name="_Toc123051453"/>
            <w:bookmarkStart w:id="28" w:name="_Toc6405"/>
            <w:bookmarkStart w:id="29" w:name="_Toc14835"/>
            <w:bookmarkStart w:id="30" w:name="_Toc141703887"/>
            <w:bookmarkStart w:id="31" w:name="_Toc31644"/>
            <w:bookmarkStart w:id="32" w:name="_Toc123112235"/>
            <w:bookmarkStart w:id="33" w:name="_Toc16859"/>
            <w:bookmarkStart w:id="34" w:name="_Toc31653"/>
            <w:bookmarkStart w:id="35" w:name="_Toc31235"/>
            <w:bookmarkStart w:id="36" w:name="_Toc12245"/>
            <w:bookmarkStart w:id="37" w:name="_Toc386545350"/>
            <w:bookmarkStart w:id="38" w:name="_Toc389052139"/>
            <w:r w:rsidRPr="00436BBB">
              <w:rPr>
                <w:rFonts w:hint="eastAsia"/>
                <w:bCs/>
                <w:szCs w:val="21"/>
              </w:rPr>
              <w:t>第</w:t>
            </w:r>
            <w:r w:rsidR="0062714F">
              <w:rPr>
                <w:rFonts w:hint="eastAsia"/>
                <w:bCs/>
                <w:szCs w:val="21"/>
              </w:rPr>
              <w:t>七</w:t>
            </w:r>
            <w:r w:rsidRPr="00436BBB">
              <w:rPr>
                <w:rFonts w:hint="eastAsia"/>
                <w:bCs/>
                <w:szCs w:val="21"/>
              </w:rPr>
              <w:t>部分</w:t>
            </w:r>
            <w:r w:rsidRPr="00436BBB">
              <w:rPr>
                <w:bCs/>
                <w:szCs w:val="21"/>
              </w:rPr>
              <w:t xml:space="preserve">  </w:t>
            </w:r>
            <w:r w:rsidRPr="00436BBB">
              <w:rPr>
                <w:rFonts w:hint="eastAsia"/>
                <w:bCs/>
                <w:szCs w:val="21"/>
              </w:rPr>
              <w:t>基金合同当事人及权利义务</w:t>
            </w:r>
            <w:bookmarkStart w:id="39" w:name="_Hlt55355235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3828" w:type="dxa"/>
          </w:tcPr>
          <w:p w:rsidR="00B879D6" w:rsidRPr="00436BBB" w:rsidP="00B25DF4" w14:paraId="6AD22177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一、基金管理人</w:t>
            </w:r>
          </w:p>
          <w:p w:rsidR="00B879D6" w:rsidRPr="00436BBB" w:rsidP="00B25DF4" w14:paraId="1A5AC061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（一）基金管理人简况</w:t>
            </w:r>
          </w:p>
          <w:p w:rsidR="00B879D6" w:rsidP="00B25DF4" w14:paraId="6646CECC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住所：广东省珠海市横琴新区宝华路</w:t>
            </w:r>
            <w:r w:rsidRPr="00436BBB">
              <w:rPr>
                <w:bCs/>
                <w:szCs w:val="21"/>
              </w:rPr>
              <w:t>6</w:t>
            </w:r>
            <w:r w:rsidRPr="00436BBB">
              <w:rPr>
                <w:rFonts w:hint="eastAsia"/>
                <w:bCs/>
                <w:szCs w:val="21"/>
              </w:rPr>
              <w:t>号</w:t>
            </w:r>
            <w:r w:rsidRPr="00436BBB">
              <w:rPr>
                <w:bCs/>
                <w:szCs w:val="21"/>
              </w:rPr>
              <w:t>105</w:t>
            </w:r>
            <w:r w:rsidRPr="00436BBB">
              <w:rPr>
                <w:rFonts w:hint="eastAsia"/>
                <w:bCs/>
                <w:szCs w:val="21"/>
              </w:rPr>
              <w:t>室</w:t>
            </w:r>
            <w:r w:rsidRPr="00436BBB">
              <w:rPr>
                <w:bCs/>
                <w:szCs w:val="21"/>
              </w:rPr>
              <w:t>-42891</w:t>
            </w:r>
            <w:r w:rsidRPr="00436BBB">
              <w:rPr>
                <w:rFonts w:hint="eastAsia"/>
                <w:bCs/>
                <w:szCs w:val="21"/>
              </w:rPr>
              <w:t>（集中办公区）</w:t>
            </w:r>
          </w:p>
          <w:p w:rsidR="007B61FF" w:rsidRPr="007129CC" w:rsidP="007129CC" w14:paraId="45784EB0" w14:textId="77777777">
            <w:pPr>
              <w:ind w:firstLine="420" w:firstLineChars="200"/>
              <w:rPr>
                <w:bCs/>
                <w:szCs w:val="21"/>
              </w:rPr>
            </w:pPr>
            <w:bookmarkStart w:id="40" w:name="_Toc57530240"/>
            <w:bookmarkStart w:id="41" w:name="_Toc15118238"/>
            <w:bookmarkStart w:id="42" w:name="_Toc79392581"/>
            <w:r w:rsidRPr="007129CC">
              <w:rPr>
                <w:rFonts w:hint="eastAsia"/>
                <w:bCs/>
                <w:szCs w:val="21"/>
              </w:rPr>
              <w:t>二、基金托管人</w:t>
            </w:r>
            <w:bookmarkEnd w:id="40"/>
            <w:bookmarkEnd w:id="41"/>
            <w:bookmarkEnd w:id="42"/>
          </w:p>
          <w:p w:rsidR="004D61B1" w:rsidRPr="004D61B1" w:rsidP="004D61B1" w14:paraId="771AD922" w14:textId="3E975A83">
            <w:pPr>
              <w:spacing w:line="240" w:lineRule="auto"/>
              <w:ind w:firstLine="420" w:firstLineChars="200"/>
              <w:rPr>
                <w:bCs/>
                <w:sz w:val="21"/>
                <w:szCs w:val="21"/>
              </w:rPr>
            </w:pPr>
            <w:bookmarkStart w:id="43" w:name="_Toc15118239"/>
            <w:r w:rsidRPr="004D61B1">
              <w:rPr>
                <w:rFonts w:hint="eastAsia"/>
                <w:bCs/>
                <w:sz w:val="21"/>
                <w:szCs w:val="21"/>
              </w:rPr>
              <w:t>（一）基金托管人简况</w:t>
            </w:r>
            <w:bookmarkEnd w:id="43"/>
          </w:p>
          <w:p w:rsidR="007B61FF" w:rsidRPr="007B61FF" w:rsidP="00B25DF4" w14:paraId="2692FD51" w14:textId="7267410F">
            <w:pPr>
              <w:ind w:firstLine="420" w:firstLineChars="200"/>
              <w:rPr>
                <w:bCs/>
                <w:szCs w:val="21"/>
              </w:rPr>
            </w:pPr>
            <w:r w:rsidRPr="00A30423">
              <w:rPr>
                <w:rFonts w:hint="eastAsia"/>
                <w:bCs/>
                <w:szCs w:val="21"/>
              </w:rPr>
              <w:t>法定代表人：</w:t>
            </w:r>
            <w:r w:rsidRPr="007129CC">
              <w:rPr>
                <w:rFonts w:hint="eastAsia"/>
                <w:bCs/>
                <w:szCs w:val="21"/>
              </w:rPr>
              <w:t>周慕冰</w:t>
            </w:r>
          </w:p>
        </w:tc>
        <w:tc>
          <w:tcPr>
            <w:tcW w:w="3827" w:type="dxa"/>
          </w:tcPr>
          <w:p w:rsidR="00B879D6" w:rsidRPr="00436BBB" w:rsidP="00B25DF4" w14:paraId="700CC91D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一、基金管理人</w:t>
            </w:r>
          </w:p>
          <w:p w:rsidR="00B879D6" w:rsidRPr="00436BBB" w:rsidP="00B25DF4" w14:paraId="358C62AF" w14:textId="77777777">
            <w:pPr>
              <w:ind w:firstLine="420" w:firstLineChars="200"/>
              <w:rPr>
                <w:bCs/>
                <w:szCs w:val="21"/>
              </w:rPr>
            </w:pPr>
            <w:bookmarkStart w:id="44" w:name="_Toc15118235"/>
            <w:r w:rsidRPr="00436BBB">
              <w:rPr>
                <w:rFonts w:hint="eastAsia"/>
                <w:bCs/>
                <w:szCs w:val="21"/>
              </w:rPr>
              <w:t>（一）基金管理人简况</w:t>
            </w:r>
            <w:bookmarkEnd w:id="44"/>
          </w:p>
          <w:p w:rsidR="00B879D6" w:rsidP="00B25DF4" w14:paraId="336F82F7" w14:textId="77777777">
            <w:pPr>
              <w:ind w:firstLine="420" w:firstLineChars="200"/>
              <w:rPr>
                <w:b/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住所：</w:t>
            </w:r>
            <w:r w:rsidRPr="00436BBB">
              <w:rPr>
                <w:rFonts w:hint="eastAsia"/>
                <w:b/>
                <w:bCs/>
                <w:szCs w:val="21"/>
              </w:rPr>
              <w:t>广东省珠海市横琴新区荣粤道</w:t>
            </w:r>
            <w:r w:rsidRPr="00436BBB">
              <w:rPr>
                <w:b/>
                <w:bCs/>
                <w:szCs w:val="21"/>
              </w:rPr>
              <w:t>188</w:t>
            </w:r>
            <w:r w:rsidRPr="00436BBB">
              <w:rPr>
                <w:rFonts w:hint="eastAsia"/>
                <w:b/>
                <w:bCs/>
                <w:szCs w:val="21"/>
              </w:rPr>
              <w:t>号</w:t>
            </w:r>
            <w:r w:rsidRPr="00436BBB">
              <w:rPr>
                <w:b/>
                <w:bCs/>
                <w:szCs w:val="21"/>
              </w:rPr>
              <w:t>6</w:t>
            </w:r>
            <w:r w:rsidRPr="00436BBB">
              <w:rPr>
                <w:rFonts w:hint="eastAsia"/>
                <w:b/>
                <w:bCs/>
                <w:szCs w:val="21"/>
              </w:rPr>
              <w:t>层</w:t>
            </w:r>
          </w:p>
          <w:p w:rsidR="007B61FF" w:rsidRPr="007129CC" w:rsidP="007129CC" w14:paraId="58000D14" w14:textId="77777777">
            <w:pPr>
              <w:ind w:firstLine="420" w:firstLineChars="200"/>
              <w:rPr>
                <w:bCs/>
                <w:szCs w:val="21"/>
              </w:rPr>
            </w:pPr>
            <w:r w:rsidRPr="007129CC">
              <w:rPr>
                <w:rFonts w:hint="eastAsia"/>
                <w:bCs/>
                <w:szCs w:val="21"/>
              </w:rPr>
              <w:t>二、基金托管人</w:t>
            </w:r>
          </w:p>
          <w:p w:rsidR="004D61B1" w:rsidRPr="004D61B1" w:rsidP="004D61B1" w14:paraId="368998AC" w14:textId="6800D49E">
            <w:pPr>
              <w:spacing w:line="240" w:lineRule="auto"/>
              <w:ind w:firstLine="420" w:firstLineChars="200"/>
              <w:rPr>
                <w:bCs/>
                <w:sz w:val="21"/>
                <w:szCs w:val="21"/>
              </w:rPr>
            </w:pPr>
            <w:r w:rsidRPr="004D61B1">
              <w:rPr>
                <w:rFonts w:hint="eastAsia"/>
                <w:bCs/>
                <w:sz w:val="21"/>
                <w:szCs w:val="21"/>
              </w:rPr>
              <w:t>（一）</w:t>
            </w:r>
            <w:bookmarkStart w:id="45" w:name="_GoBack"/>
            <w:bookmarkEnd w:id="45"/>
            <w:r w:rsidRPr="004D61B1">
              <w:rPr>
                <w:rFonts w:hint="eastAsia"/>
                <w:bCs/>
                <w:sz w:val="21"/>
                <w:szCs w:val="21"/>
              </w:rPr>
              <w:t>基金托管人简况</w:t>
            </w:r>
          </w:p>
          <w:p w:rsidR="007B61FF" w:rsidRPr="007129CC" w:rsidP="007129CC" w14:paraId="65B2A4DF" w14:textId="4D2D833C">
            <w:pPr>
              <w:ind w:firstLine="420" w:firstLineChars="200"/>
              <w:rPr>
                <w:sz w:val="24"/>
              </w:rPr>
            </w:pPr>
            <w:r w:rsidRPr="007129CC">
              <w:rPr>
                <w:rFonts w:hint="eastAsia"/>
                <w:bCs/>
                <w:szCs w:val="21"/>
              </w:rPr>
              <w:t>法定代表人：</w:t>
            </w:r>
            <w:r w:rsidRPr="007129CC">
              <w:rPr>
                <w:rFonts w:hint="eastAsia"/>
                <w:b/>
                <w:bCs/>
                <w:szCs w:val="21"/>
              </w:rPr>
              <w:t>谷澍</w:t>
            </w:r>
          </w:p>
        </w:tc>
      </w:tr>
      <w:tr w14:paraId="234D690D" w14:textId="77777777" w:rsidTr="00F210A8">
        <w:tblPrEx>
          <w:tblW w:w="8784" w:type="dxa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B879D6" w:rsidRPr="00436BBB" w:rsidP="00B25DF4" w14:paraId="71E0CF90" w14:textId="77777777">
            <w:pPr>
              <w:jc w:val="center"/>
              <w:rPr>
                <w:bCs/>
                <w:szCs w:val="21"/>
              </w:rPr>
            </w:pPr>
            <w:r w:rsidRPr="00436BBB">
              <w:rPr>
                <w:szCs w:val="21"/>
              </w:rPr>
              <w:t>第十二部分</w:t>
            </w:r>
            <w:r w:rsidRPr="00436BBB">
              <w:rPr>
                <w:szCs w:val="21"/>
              </w:rPr>
              <w:t xml:space="preserve">  </w:t>
            </w:r>
            <w:r w:rsidRPr="00436BBB">
              <w:rPr>
                <w:szCs w:val="21"/>
              </w:rPr>
              <w:t>基金的投资</w:t>
            </w:r>
          </w:p>
        </w:tc>
        <w:tc>
          <w:tcPr>
            <w:tcW w:w="3828" w:type="dxa"/>
          </w:tcPr>
          <w:p w:rsidR="00B879D6" w:rsidRPr="00436BBB" w:rsidP="00B25DF4" w14:paraId="5887B78E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五、业绩比较基准</w:t>
            </w:r>
          </w:p>
          <w:p w:rsidR="00B879D6" w:rsidRPr="00436BBB" w:rsidP="00B25DF4" w14:paraId="6999A052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60%</w:t>
            </w:r>
            <w:r w:rsidRPr="00436BBB">
              <w:rPr>
                <w:rFonts w:hint="eastAsia"/>
                <w:bCs/>
                <w:szCs w:val="21"/>
              </w:rPr>
              <w:t>×</w:t>
            </w:r>
            <w:r w:rsidRPr="00436BBB">
              <w:rPr>
                <w:rFonts w:hint="eastAsia"/>
                <w:b/>
                <w:bCs/>
                <w:szCs w:val="21"/>
              </w:rPr>
              <w:t>中证内地金融主题指数</w:t>
            </w:r>
            <w:r w:rsidRPr="00436BBB">
              <w:rPr>
                <w:rFonts w:hint="eastAsia"/>
                <w:bCs/>
                <w:szCs w:val="21"/>
              </w:rPr>
              <w:t>收益率</w:t>
            </w:r>
            <w:r w:rsidRPr="00436BBB">
              <w:rPr>
                <w:bCs/>
                <w:szCs w:val="21"/>
              </w:rPr>
              <w:t>+25%</w:t>
            </w:r>
            <w:r w:rsidRPr="00436BBB">
              <w:rPr>
                <w:rFonts w:hint="eastAsia"/>
                <w:bCs/>
                <w:szCs w:val="21"/>
              </w:rPr>
              <w:t>×中证香港</w:t>
            </w:r>
            <w:r w:rsidRPr="00436BBB">
              <w:rPr>
                <w:bCs/>
                <w:szCs w:val="21"/>
              </w:rPr>
              <w:t>300</w:t>
            </w:r>
            <w:r w:rsidRPr="00436BBB">
              <w:rPr>
                <w:rFonts w:hint="eastAsia"/>
                <w:bCs/>
                <w:szCs w:val="21"/>
              </w:rPr>
              <w:t>金融服务指数收益率</w:t>
            </w:r>
            <w:r w:rsidRPr="00436BBB">
              <w:rPr>
                <w:bCs/>
                <w:szCs w:val="21"/>
              </w:rPr>
              <w:t>+15%</w:t>
            </w:r>
            <w:r w:rsidRPr="00436BBB">
              <w:rPr>
                <w:rFonts w:hint="eastAsia"/>
                <w:bCs/>
                <w:szCs w:val="21"/>
              </w:rPr>
              <w:t>×</w:t>
            </w:r>
            <w:r w:rsidRPr="00436BBB">
              <w:rPr>
                <w:bCs/>
                <w:szCs w:val="21"/>
              </w:rPr>
              <w:t>中</w:t>
            </w:r>
            <w:r w:rsidRPr="00436BBB">
              <w:rPr>
                <w:rFonts w:hint="eastAsia"/>
                <w:bCs/>
                <w:szCs w:val="21"/>
              </w:rPr>
              <w:t>债</w:t>
            </w:r>
            <w:r w:rsidRPr="00436BBB">
              <w:rPr>
                <w:bCs/>
                <w:szCs w:val="21"/>
              </w:rPr>
              <w:t>总</w:t>
            </w:r>
            <w:r w:rsidRPr="00436BBB">
              <w:rPr>
                <w:rFonts w:hint="eastAsia"/>
                <w:bCs/>
                <w:szCs w:val="21"/>
              </w:rPr>
              <w:t>指数收益率</w:t>
            </w:r>
          </w:p>
          <w:p w:rsidR="00B879D6" w:rsidRPr="00436BBB" w:rsidP="00B25DF4" w14:paraId="45A84C8B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本基金选定被市场广泛认同的</w:t>
            </w:r>
            <w:r w:rsidRPr="00436BBB">
              <w:rPr>
                <w:rFonts w:hint="eastAsia"/>
                <w:b/>
                <w:bCs/>
                <w:szCs w:val="21"/>
              </w:rPr>
              <w:t>中证内地金融主题指数</w:t>
            </w:r>
            <w:r w:rsidRPr="00436BBB">
              <w:rPr>
                <w:rFonts w:hint="eastAsia"/>
                <w:bCs/>
                <w:szCs w:val="21"/>
              </w:rPr>
              <w:t>和中证香港</w:t>
            </w:r>
            <w:r w:rsidRPr="00436BBB">
              <w:rPr>
                <w:bCs/>
                <w:szCs w:val="21"/>
              </w:rPr>
              <w:t>300</w:t>
            </w:r>
            <w:r w:rsidRPr="00436BBB">
              <w:rPr>
                <w:rFonts w:hint="eastAsia"/>
                <w:bCs/>
                <w:szCs w:val="21"/>
              </w:rPr>
              <w:t>金融服务指数作为股票部分的业绩比较基准，中债总指数作为固定收益部分的业绩比较基准。此外，本基金还参考预期的大类资产配置比例设置了业绩比较基准的权重。</w:t>
            </w:r>
          </w:p>
        </w:tc>
        <w:tc>
          <w:tcPr>
            <w:tcW w:w="3827" w:type="dxa"/>
          </w:tcPr>
          <w:p w:rsidR="00B879D6" w:rsidRPr="00436BBB" w:rsidP="00B25DF4" w14:paraId="648D59C5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五、业绩比较基准</w:t>
            </w:r>
          </w:p>
          <w:p w:rsidR="00B879D6" w:rsidRPr="00436BBB" w:rsidP="00B25DF4" w14:paraId="1DB9BC46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bCs/>
                <w:szCs w:val="21"/>
              </w:rPr>
              <w:t>60%</w:t>
            </w:r>
            <w:r w:rsidRPr="00436BBB">
              <w:rPr>
                <w:rFonts w:hint="eastAsia"/>
                <w:bCs/>
                <w:szCs w:val="21"/>
              </w:rPr>
              <w:t>×</w:t>
            </w:r>
            <w:r w:rsidRPr="00436BBB">
              <w:rPr>
                <w:rFonts w:hint="eastAsia"/>
                <w:b/>
                <w:bCs/>
                <w:szCs w:val="21"/>
              </w:rPr>
              <w:t>中证</w:t>
            </w:r>
            <w:r w:rsidRPr="00436BBB">
              <w:rPr>
                <w:rFonts w:hint="eastAsia"/>
                <w:b/>
                <w:bCs/>
                <w:szCs w:val="21"/>
              </w:rPr>
              <w:t>800</w:t>
            </w:r>
            <w:r w:rsidRPr="00436BBB">
              <w:rPr>
                <w:rFonts w:hint="eastAsia"/>
                <w:b/>
                <w:bCs/>
                <w:szCs w:val="21"/>
              </w:rPr>
              <w:t>金融</w:t>
            </w:r>
            <w:r w:rsidRPr="007A1806">
              <w:rPr>
                <w:rFonts w:hint="eastAsia"/>
                <w:b/>
                <w:bCs/>
                <w:szCs w:val="21"/>
              </w:rPr>
              <w:t>指</w:t>
            </w:r>
            <w:r w:rsidRPr="00463570">
              <w:rPr>
                <w:rFonts w:hint="eastAsia"/>
                <w:b/>
                <w:bCs/>
                <w:szCs w:val="21"/>
              </w:rPr>
              <w:t>数</w:t>
            </w:r>
            <w:r w:rsidRPr="00436BBB">
              <w:rPr>
                <w:rFonts w:hint="eastAsia"/>
                <w:bCs/>
                <w:szCs w:val="21"/>
              </w:rPr>
              <w:t>收益率</w:t>
            </w:r>
            <w:r w:rsidRPr="00436BBB">
              <w:rPr>
                <w:bCs/>
                <w:szCs w:val="21"/>
              </w:rPr>
              <w:t>+25%</w:t>
            </w:r>
            <w:r w:rsidRPr="00436BBB">
              <w:rPr>
                <w:rFonts w:hint="eastAsia"/>
                <w:bCs/>
                <w:szCs w:val="21"/>
              </w:rPr>
              <w:t>×中证香港</w:t>
            </w:r>
            <w:r w:rsidRPr="00436BBB">
              <w:rPr>
                <w:bCs/>
                <w:szCs w:val="21"/>
              </w:rPr>
              <w:t>300</w:t>
            </w:r>
            <w:r w:rsidRPr="00436BBB">
              <w:rPr>
                <w:rFonts w:hint="eastAsia"/>
                <w:bCs/>
                <w:szCs w:val="21"/>
              </w:rPr>
              <w:t>金融服务指数收益率</w:t>
            </w:r>
            <w:r w:rsidRPr="00436BBB">
              <w:rPr>
                <w:bCs/>
                <w:szCs w:val="21"/>
              </w:rPr>
              <w:t>+15%</w:t>
            </w:r>
            <w:r w:rsidRPr="00436BBB">
              <w:rPr>
                <w:rFonts w:hint="eastAsia"/>
                <w:bCs/>
                <w:szCs w:val="21"/>
              </w:rPr>
              <w:t>×</w:t>
            </w:r>
            <w:r w:rsidRPr="00436BBB">
              <w:rPr>
                <w:bCs/>
                <w:szCs w:val="21"/>
              </w:rPr>
              <w:t>中</w:t>
            </w:r>
            <w:r w:rsidRPr="00436BBB">
              <w:rPr>
                <w:rFonts w:hint="eastAsia"/>
                <w:bCs/>
                <w:szCs w:val="21"/>
              </w:rPr>
              <w:t>债</w:t>
            </w:r>
            <w:r w:rsidRPr="00436BBB">
              <w:rPr>
                <w:bCs/>
                <w:szCs w:val="21"/>
              </w:rPr>
              <w:t>总</w:t>
            </w:r>
            <w:r w:rsidRPr="00436BBB">
              <w:rPr>
                <w:rFonts w:hint="eastAsia"/>
                <w:bCs/>
                <w:szCs w:val="21"/>
              </w:rPr>
              <w:t>指数收益率</w:t>
            </w:r>
          </w:p>
          <w:p w:rsidR="00B879D6" w:rsidRPr="00436BBB" w:rsidP="00B25DF4" w14:paraId="79789DDF" w14:textId="77777777">
            <w:pPr>
              <w:ind w:firstLine="420" w:firstLineChars="200"/>
              <w:rPr>
                <w:bCs/>
                <w:szCs w:val="21"/>
              </w:rPr>
            </w:pPr>
            <w:r w:rsidRPr="00436BBB">
              <w:rPr>
                <w:rFonts w:hint="eastAsia"/>
                <w:bCs/>
                <w:szCs w:val="21"/>
              </w:rPr>
              <w:t>本基金选定被市场广泛认同的</w:t>
            </w:r>
            <w:r w:rsidRPr="00436BBB">
              <w:rPr>
                <w:b/>
                <w:bCs/>
                <w:szCs w:val="21"/>
              </w:rPr>
              <w:t>中证</w:t>
            </w:r>
            <w:r w:rsidRPr="00436BBB">
              <w:rPr>
                <w:b/>
                <w:bCs/>
                <w:szCs w:val="21"/>
              </w:rPr>
              <w:t>800</w:t>
            </w:r>
            <w:r w:rsidRPr="00436BBB">
              <w:rPr>
                <w:b/>
                <w:bCs/>
                <w:szCs w:val="21"/>
              </w:rPr>
              <w:t>金融指数</w:t>
            </w:r>
            <w:r w:rsidRPr="00436BBB">
              <w:rPr>
                <w:rFonts w:hint="eastAsia"/>
                <w:bCs/>
                <w:szCs w:val="21"/>
              </w:rPr>
              <w:t>和中证香港</w:t>
            </w:r>
            <w:r w:rsidRPr="00436BBB">
              <w:rPr>
                <w:bCs/>
                <w:szCs w:val="21"/>
              </w:rPr>
              <w:t>300</w:t>
            </w:r>
            <w:r w:rsidRPr="00436BBB">
              <w:rPr>
                <w:rFonts w:hint="eastAsia"/>
                <w:bCs/>
                <w:szCs w:val="21"/>
              </w:rPr>
              <w:t>金融服务指数作为股票部分的业绩比较基准，中债总指数作为固定收益部分的业绩比较基准。此外，本基金还参考预期的大类资产配置比例设置了业绩比较基准的权重。</w:t>
            </w:r>
          </w:p>
        </w:tc>
      </w:tr>
    </w:tbl>
    <w:p w:rsidR="00A9787C" w:rsidRPr="003A7DBA" w:rsidP="00B879D6" w14:paraId="2E45DB43" w14:textId="77777777">
      <w:pPr>
        <w:spacing w:line="360" w:lineRule="auto"/>
        <w:ind w:firstLine="420" w:firstLineChars="200"/>
        <w:rPr>
          <w:rFonts w:ascii="宋体" w:hAnsi="宋体"/>
        </w:rPr>
      </w:pPr>
    </w:p>
    <w:sectPr w:rsidSect="00705A6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820252"/>
      <w:docPartObj>
        <w:docPartGallery w:val="Page Numbers (Bottom of Page)"/>
        <w:docPartUnique/>
      </w:docPartObj>
    </w:sdtPr>
    <w:sdtContent>
      <w:p w:rsidR="001818D1" w14:paraId="098A6542" w14:textId="7777777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D61B1" w:rsidR="004D61B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818D1" w14:paraId="1D5B58DD" w14:textId="77777777"/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程才">
    <w15:presenceInfo w15:providerId="None" w15:userId="程才"/>
  </w15:person>
  <w15:person w15:author="黄应兵">
    <w15:presenceInfo w15:providerId="None" w15:userId="黄应兵"/>
  </w15:person>
  <w15:person w15:author="王洋洋">
    <w15:presenceInfo w15:providerId="None" w15:userId="王洋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6"/>
    <w:rsid w:val="0005148E"/>
    <w:rsid w:val="00070342"/>
    <w:rsid w:val="00080137"/>
    <w:rsid w:val="000B5DD6"/>
    <w:rsid w:val="000D375D"/>
    <w:rsid w:val="00122B0B"/>
    <w:rsid w:val="00144F55"/>
    <w:rsid w:val="00153169"/>
    <w:rsid w:val="001818D1"/>
    <w:rsid w:val="001B5AB9"/>
    <w:rsid w:val="001D6E04"/>
    <w:rsid w:val="00205FA5"/>
    <w:rsid w:val="00233647"/>
    <w:rsid w:val="00264EDA"/>
    <w:rsid w:val="00283039"/>
    <w:rsid w:val="002E6338"/>
    <w:rsid w:val="002E6FB5"/>
    <w:rsid w:val="003103CC"/>
    <w:rsid w:val="003153B6"/>
    <w:rsid w:val="003165A2"/>
    <w:rsid w:val="0032219A"/>
    <w:rsid w:val="0034240E"/>
    <w:rsid w:val="00342B4E"/>
    <w:rsid w:val="0034318E"/>
    <w:rsid w:val="003523C3"/>
    <w:rsid w:val="003946E9"/>
    <w:rsid w:val="003A7DBA"/>
    <w:rsid w:val="003B0A23"/>
    <w:rsid w:val="003D51AC"/>
    <w:rsid w:val="00413297"/>
    <w:rsid w:val="00424328"/>
    <w:rsid w:val="00436BBB"/>
    <w:rsid w:val="00457319"/>
    <w:rsid w:val="0046144B"/>
    <w:rsid w:val="00463570"/>
    <w:rsid w:val="00475A99"/>
    <w:rsid w:val="00476AD1"/>
    <w:rsid w:val="004D61B1"/>
    <w:rsid w:val="004F2A15"/>
    <w:rsid w:val="00505213"/>
    <w:rsid w:val="005365E6"/>
    <w:rsid w:val="00540E43"/>
    <w:rsid w:val="00595D35"/>
    <w:rsid w:val="005A5CDE"/>
    <w:rsid w:val="006202F6"/>
    <w:rsid w:val="0062714F"/>
    <w:rsid w:val="00656994"/>
    <w:rsid w:val="006B3227"/>
    <w:rsid w:val="006D1DB4"/>
    <w:rsid w:val="006E0E30"/>
    <w:rsid w:val="006E398D"/>
    <w:rsid w:val="006F06EE"/>
    <w:rsid w:val="007129CC"/>
    <w:rsid w:val="00757A3D"/>
    <w:rsid w:val="007622F7"/>
    <w:rsid w:val="007810D0"/>
    <w:rsid w:val="007A1806"/>
    <w:rsid w:val="007B61FF"/>
    <w:rsid w:val="00812BE2"/>
    <w:rsid w:val="00831789"/>
    <w:rsid w:val="008A01DB"/>
    <w:rsid w:val="008B3633"/>
    <w:rsid w:val="008C1E24"/>
    <w:rsid w:val="008E0D2B"/>
    <w:rsid w:val="00905D6B"/>
    <w:rsid w:val="00913B18"/>
    <w:rsid w:val="009229DE"/>
    <w:rsid w:val="00990BC3"/>
    <w:rsid w:val="00A265BB"/>
    <w:rsid w:val="00A30423"/>
    <w:rsid w:val="00A42261"/>
    <w:rsid w:val="00A9787C"/>
    <w:rsid w:val="00AC2835"/>
    <w:rsid w:val="00AC2BFC"/>
    <w:rsid w:val="00AC2D33"/>
    <w:rsid w:val="00AF53A7"/>
    <w:rsid w:val="00B075B8"/>
    <w:rsid w:val="00B25DF4"/>
    <w:rsid w:val="00B43C4B"/>
    <w:rsid w:val="00B460AA"/>
    <w:rsid w:val="00B47279"/>
    <w:rsid w:val="00B602E8"/>
    <w:rsid w:val="00B879D6"/>
    <w:rsid w:val="00BD0A13"/>
    <w:rsid w:val="00C358F4"/>
    <w:rsid w:val="00C45F05"/>
    <w:rsid w:val="00C54FEF"/>
    <w:rsid w:val="00C771CB"/>
    <w:rsid w:val="00CC077E"/>
    <w:rsid w:val="00CC49EC"/>
    <w:rsid w:val="00D14C81"/>
    <w:rsid w:val="00D17505"/>
    <w:rsid w:val="00D17B9B"/>
    <w:rsid w:val="00D730CB"/>
    <w:rsid w:val="00D770B7"/>
    <w:rsid w:val="00DB1B17"/>
    <w:rsid w:val="00DB2DD7"/>
    <w:rsid w:val="00DD557C"/>
    <w:rsid w:val="00E14896"/>
    <w:rsid w:val="00E32F6B"/>
    <w:rsid w:val="00E40F15"/>
    <w:rsid w:val="00E62D10"/>
    <w:rsid w:val="00EB143C"/>
    <w:rsid w:val="00EC3B85"/>
    <w:rsid w:val="00EC7DF7"/>
    <w:rsid w:val="00EF0ACA"/>
    <w:rsid w:val="00F111B3"/>
    <w:rsid w:val="00F31E92"/>
    <w:rsid w:val="00FB5EE0"/>
    <w:rsid w:val="00FC425C"/>
    <w:rsid w:val="00FD20DD"/>
  </w:rsids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8%93%E6%96%B9%E8%BE%BE%E9%87%91%E8%9E%8D%E8%A1%8C%E4%B8%9A%E8%82%A1%E7%A5%A8%E5%9E%8B%E5%8F%91%E8%B5%B7%E5%BC%8F%E8%AF%81%E5%88%B8%E6%8A%95%E8%B5%84%E5%9F%BA%E9%87%91%E8%B0%83%E6%95%B4%E4%B8%9A%E7%BB%A9%E6%AF%94%E8%BE%83%E5%9F%BA%E5%87%86%E5%8F%8A%E4%BF%AE%E8%AE%A2%E5%9F%BA%E9%87%91%E5%90%88%E5%90%8C%E7%9A%84%E5%85%AC%E5%91%8A.docx&amp;fileId=ANN_DOC_26064&amp;t=1663325591481&amp;t=1663325591481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15EA3B3-B810-40DB-A6C5-93D9D01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D6"/>
    <w:pPr>
      <w:ind w:firstLine="420" w:firstLineChars="200"/>
    </w:pPr>
  </w:style>
  <w:style w:type="paragraph" w:styleId="BalloonText">
    <w:name w:val="Balloon Text"/>
    <w:basedOn w:val="Normal"/>
    <w:link w:val="Char"/>
    <w:uiPriority w:val="99"/>
    <w:semiHidden/>
    <w:unhideWhenUsed/>
    <w:rsid w:val="008C1E24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8C1E24"/>
    <w:rPr>
      <w:rFonts w:ascii="Times New Roman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57C"/>
    <w:rPr>
      <w:sz w:val="21"/>
      <w:szCs w:val="21"/>
    </w:rPr>
  </w:style>
  <w:style w:type="paragraph" w:styleId="CommentText">
    <w:name w:val="annotation text"/>
    <w:basedOn w:val="Normal"/>
    <w:link w:val="Char0"/>
    <w:uiPriority w:val="99"/>
    <w:semiHidden/>
    <w:unhideWhenUsed/>
    <w:rsid w:val="00DD557C"/>
    <w:pPr>
      <w:jc w:val="left"/>
    </w:pPr>
  </w:style>
  <w:style w:type="character" w:customStyle="1" w:styleId="Char0">
    <w:name w:val="批注文字 Char"/>
    <w:basedOn w:val="DefaultParagraphFont"/>
    <w:link w:val="CommentText"/>
    <w:uiPriority w:val="99"/>
    <w:semiHidden/>
    <w:rsid w:val="00DD557C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1"/>
    <w:uiPriority w:val="99"/>
    <w:semiHidden/>
    <w:unhideWhenUsed/>
    <w:rsid w:val="00DD557C"/>
    <w:rPr>
      <w:b/>
      <w:bCs/>
    </w:rPr>
  </w:style>
  <w:style w:type="character" w:customStyle="1" w:styleId="Char1">
    <w:name w:val="批注主题 Char"/>
    <w:basedOn w:val="Char0"/>
    <w:link w:val="CommentSubject"/>
    <w:uiPriority w:val="99"/>
    <w:semiHidden/>
    <w:rsid w:val="00DD557C"/>
    <w:rPr>
      <w:rFonts w:ascii="Times New Roman" w:eastAsia="宋体" w:hAnsi="Times New Roman" w:cs="Times New Roman"/>
      <w:b/>
      <w:bCs/>
      <w:szCs w:val="24"/>
    </w:rPr>
  </w:style>
  <w:style w:type="paragraph" w:styleId="Header">
    <w:name w:val="header"/>
    <w:basedOn w:val="Normal"/>
    <w:link w:val="Char2"/>
    <w:uiPriority w:val="99"/>
    <w:unhideWhenUsed/>
    <w:rsid w:val="001B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DefaultParagraphFont"/>
    <w:link w:val="Header"/>
    <w:uiPriority w:val="99"/>
    <w:rsid w:val="001B5AB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Char3"/>
    <w:uiPriority w:val="99"/>
    <w:unhideWhenUsed/>
    <w:rsid w:val="001B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rsid w:val="001B5AB9"/>
    <w:rPr>
      <w:rFonts w:ascii="Times New Roman" w:eastAsia="宋体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Char4"/>
    <w:qFormat/>
    <w:rsid w:val="003103CC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basedOn w:val="DefaultParagraphFont"/>
    <w:link w:val="Subtitle"/>
    <w:rsid w:val="003103CC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Char5"/>
    <w:rsid w:val="003103CC"/>
    <w:rPr>
      <w:rFonts w:ascii="宋体" w:hAnsi="Courier New" w:cs="Courier New"/>
      <w:szCs w:val="21"/>
    </w:rPr>
  </w:style>
  <w:style w:type="character" w:customStyle="1" w:styleId="Char5">
    <w:name w:val="纯文本 Char"/>
    <w:basedOn w:val="DefaultParagraphFont"/>
    <w:link w:val="PlainText"/>
    <w:rsid w:val="003103CC"/>
    <w:rPr>
      <w:rFonts w:ascii="宋体" w:eastAsia="宋体" w:hAnsi="Courier New" w:cs="Courier New"/>
      <w:szCs w:val="21"/>
    </w:rPr>
  </w:style>
  <w:style w:type="paragraph" w:styleId="Revision">
    <w:name w:val="Revision"/>
    <w:hidden/>
    <w:uiPriority w:val="99"/>
    <w:semiHidden/>
    <w:rsid w:val="008A01D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2004</Characters>
  <Application>Microsoft Office Word</Application>
  <DocSecurity>0</DocSecurity>
  <Lines>16</Lines>
  <Paragraphs>4</Paragraphs>
  <ScaleCrop>false</ScaleCrop>
  <Company>E FUND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杨安乐</dc:creator>
  <cp:lastModifiedBy>程才</cp:lastModifiedBy>
  <cp:revision>2</cp:revision>
  <cp:lastPrinted>2020-07-03T08:58:00Z</cp:lastPrinted>
  <dcterms:created xsi:type="dcterms:W3CDTF">2022-09-16T10:54:00Z</dcterms:created>
  <dcterms:modified xsi:type="dcterms:W3CDTF">2022-09-16T10:54:00Z</dcterms:modified>
</cp:coreProperties>
</file>