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02608C" w:rsidRPr="00490741" w:rsidP="00107648">
      <w:pPr>
        <w:snapToGrid w:val="0"/>
        <w:spacing w:line="360" w:lineRule="auto"/>
        <w:ind w:firstLine="879"/>
        <w:jc w:val="center"/>
        <w:rPr>
          <w:rFonts w:asciiTheme="minorEastAsia" w:eastAsiaTheme="minorEastAsia" w:hAnsiTheme="minorEastAsia"/>
          <w:b/>
          <w:color w:val="000000" w:themeColor="text1"/>
          <w:sz w:val="44"/>
        </w:rPr>
      </w:pPr>
    </w:p>
    <w:p w:rsidR="0002608C" w:rsidRPr="00490741" w:rsidP="00107648">
      <w:pPr>
        <w:snapToGrid w:val="0"/>
        <w:spacing w:line="360" w:lineRule="auto"/>
        <w:ind w:firstLine="879"/>
        <w:jc w:val="center"/>
        <w:rPr>
          <w:rFonts w:asciiTheme="minorEastAsia" w:eastAsiaTheme="minorEastAsia" w:hAnsiTheme="minorEastAsia"/>
          <w:b/>
          <w:color w:val="000000" w:themeColor="text1"/>
          <w:sz w:val="44"/>
        </w:rPr>
      </w:pPr>
    </w:p>
    <w:p w:rsidR="0002608C" w:rsidRPr="00490741" w:rsidP="00107648">
      <w:pPr>
        <w:snapToGrid w:val="0"/>
        <w:spacing w:line="360" w:lineRule="auto"/>
        <w:ind w:firstLine="879"/>
        <w:jc w:val="center"/>
        <w:rPr>
          <w:rFonts w:asciiTheme="minorEastAsia" w:eastAsiaTheme="minorEastAsia" w:hAnsiTheme="minorEastAsia"/>
          <w:b/>
          <w:color w:val="000000" w:themeColor="text1"/>
          <w:sz w:val="44"/>
        </w:rPr>
      </w:pPr>
    </w:p>
    <w:p w:rsidR="0002608C" w:rsidRPr="00490741" w:rsidP="008F6128">
      <w:pPr>
        <w:snapToGrid w:val="0"/>
        <w:spacing w:line="360" w:lineRule="auto"/>
        <w:jc w:val="center"/>
        <w:rPr>
          <w:rFonts w:asciiTheme="minorEastAsia" w:eastAsiaTheme="minorEastAsia" w:hAnsiTheme="minorEastAsia"/>
          <w:b/>
          <w:color w:val="000000" w:themeColor="text1"/>
          <w:sz w:val="44"/>
        </w:rPr>
      </w:pPr>
      <w:r w:rsidRPr="00490741">
        <w:rPr>
          <w:rFonts w:asciiTheme="minorEastAsia" w:eastAsiaTheme="minorEastAsia" w:hAnsiTheme="minorEastAsia" w:hint="eastAsia"/>
          <w:b/>
          <w:color w:val="000000" w:themeColor="text1"/>
          <w:sz w:val="44"/>
        </w:rPr>
        <w:t>易方达价值精选混合型证券投资基金</w:t>
      </w:r>
    </w:p>
    <w:p w:rsidR="0002608C" w:rsidRPr="00490741" w:rsidP="008F6128">
      <w:pPr>
        <w:snapToGrid w:val="0"/>
        <w:spacing w:line="360" w:lineRule="auto"/>
        <w:jc w:val="center"/>
        <w:rPr>
          <w:rFonts w:asciiTheme="minorEastAsia" w:eastAsiaTheme="minorEastAsia" w:hAnsiTheme="minorEastAsia"/>
          <w:b/>
          <w:color w:val="000000" w:themeColor="text1"/>
          <w:sz w:val="44"/>
        </w:rPr>
      </w:pPr>
      <w:r w:rsidRPr="00490741">
        <w:rPr>
          <w:rFonts w:asciiTheme="minorEastAsia" w:eastAsiaTheme="minorEastAsia" w:hAnsiTheme="minorEastAsia" w:hint="eastAsia"/>
          <w:b/>
          <w:bCs/>
          <w:color w:val="000000" w:themeColor="text1"/>
          <w:sz w:val="44"/>
        </w:rPr>
        <w:t>更新的</w:t>
      </w:r>
      <w:r w:rsidRPr="00490741">
        <w:rPr>
          <w:rFonts w:asciiTheme="minorEastAsia" w:eastAsiaTheme="minorEastAsia" w:hAnsiTheme="minorEastAsia" w:hint="eastAsia"/>
          <w:b/>
          <w:color w:val="000000" w:themeColor="text1"/>
          <w:sz w:val="44"/>
        </w:rPr>
        <w:t>招募说明书</w:t>
      </w:r>
    </w:p>
    <w:p w:rsidR="0002608C" w:rsidRPr="00490741" w:rsidP="00107648">
      <w:pPr>
        <w:snapToGrid w:val="0"/>
        <w:spacing w:line="360" w:lineRule="auto"/>
        <w:ind w:firstLine="881"/>
        <w:jc w:val="center"/>
        <w:rPr>
          <w:rFonts w:asciiTheme="minorEastAsia" w:eastAsiaTheme="minorEastAsia" w:hAnsiTheme="minorEastAsia"/>
          <w:b/>
          <w:color w:val="000000" w:themeColor="text1"/>
          <w:sz w:val="44"/>
        </w:rPr>
      </w:pPr>
    </w:p>
    <w:p w:rsidR="0002608C" w:rsidRPr="00490741" w:rsidP="00107648">
      <w:pPr>
        <w:snapToGrid w:val="0"/>
        <w:spacing w:line="360" w:lineRule="auto"/>
        <w:ind w:left="360" w:right="26"/>
        <w:jc w:val="center"/>
        <w:rPr>
          <w:rFonts w:asciiTheme="minorEastAsia" w:eastAsiaTheme="minorEastAsia" w:hAnsiTheme="minorEastAsia"/>
          <w:b/>
          <w:color w:val="000000" w:themeColor="text1"/>
          <w:sz w:val="44"/>
        </w:rPr>
      </w:pPr>
    </w:p>
    <w:p w:rsidR="0002608C" w:rsidRPr="00490741" w:rsidP="00107648">
      <w:pPr>
        <w:snapToGrid w:val="0"/>
        <w:spacing w:line="360" w:lineRule="auto"/>
        <w:ind w:firstLine="600"/>
        <w:jc w:val="center"/>
        <w:rPr>
          <w:rFonts w:asciiTheme="minorEastAsia" w:eastAsiaTheme="minorEastAsia" w:hAnsiTheme="minorEastAsia"/>
          <w:color w:val="000000" w:themeColor="text1"/>
          <w:sz w:val="24"/>
        </w:rPr>
      </w:pPr>
    </w:p>
    <w:p w:rsidR="0002608C" w:rsidRPr="00490741" w:rsidP="00107648">
      <w:pPr>
        <w:snapToGrid w:val="0"/>
        <w:spacing w:line="360" w:lineRule="auto"/>
        <w:ind w:left="1680" w:leftChars="800"/>
        <w:rPr>
          <w:rFonts w:asciiTheme="minorEastAsia" w:eastAsiaTheme="minorEastAsia" w:hAnsiTheme="minorEastAsia"/>
          <w:color w:val="000000" w:themeColor="text1"/>
          <w:sz w:val="30"/>
          <w:szCs w:val="30"/>
        </w:rPr>
      </w:pPr>
    </w:p>
    <w:p w:rsidR="0002608C" w:rsidRPr="00490741" w:rsidP="00107648">
      <w:pPr>
        <w:snapToGrid w:val="0"/>
        <w:spacing w:line="360" w:lineRule="auto"/>
        <w:ind w:left="1680" w:leftChars="800"/>
        <w:rPr>
          <w:rFonts w:asciiTheme="minorEastAsia" w:eastAsiaTheme="minorEastAsia" w:hAnsiTheme="minorEastAsia"/>
          <w:color w:val="000000" w:themeColor="text1"/>
          <w:sz w:val="30"/>
          <w:szCs w:val="30"/>
        </w:rPr>
      </w:pPr>
    </w:p>
    <w:p w:rsidR="0002608C" w:rsidRPr="00490741" w:rsidP="00107648">
      <w:pPr>
        <w:snapToGrid w:val="0"/>
        <w:spacing w:line="360" w:lineRule="auto"/>
        <w:ind w:left="1680" w:leftChars="800"/>
        <w:rPr>
          <w:rFonts w:asciiTheme="minorEastAsia" w:eastAsiaTheme="minorEastAsia" w:hAnsiTheme="minorEastAsia"/>
          <w:color w:val="000000" w:themeColor="text1"/>
          <w:sz w:val="30"/>
          <w:szCs w:val="30"/>
        </w:rPr>
      </w:pPr>
    </w:p>
    <w:p w:rsidR="0002608C" w:rsidRPr="00490741" w:rsidP="00107648">
      <w:pPr>
        <w:snapToGrid w:val="0"/>
        <w:spacing w:line="360" w:lineRule="auto"/>
        <w:ind w:left="1680" w:leftChars="800"/>
        <w:rPr>
          <w:rFonts w:asciiTheme="minorEastAsia" w:eastAsiaTheme="minorEastAsia" w:hAnsiTheme="minorEastAsia"/>
          <w:color w:val="000000" w:themeColor="text1"/>
          <w:sz w:val="30"/>
          <w:szCs w:val="30"/>
        </w:rPr>
      </w:pPr>
    </w:p>
    <w:p w:rsidR="00107648" w:rsidRPr="00490741" w:rsidP="00107648">
      <w:pPr>
        <w:snapToGrid w:val="0"/>
        <w:spacing w:line="360" w:lineRule="auto"/>
        <w:ind w:left="1680" w:leftChars="800"/>
        <w:rPr>
          <w:rFonts w:asciiTheme="minorEastAsia" w:eastAsiaTheme="minorEastAsia" w:hAnsiTheme="minorEastAsia"/>
          <w:color w:val="000000" w:themeColor="text1"/>
          <w:sz w:val="30"/>
          <w:szCs w:val="30"/>
        </w:rPr>
      </w:pPr>
    </w:p>
    <w:p w:rsidR="002A0070" w:rsidRPr="00490741" w:rsidP="00107648">
      <w:pPr>
        <w:snapToGrid w:val="0"/>
        <w:spacing w:line="360" w:lineRule="auto"/>
        <w:ind w:left="1680" w:leftChars="800"/>
        <w:rPr>
          <w:rFonts w:asciiTheme="minorEastAsia" w:eastAsiaTheme="minorEastAsia" w:hAnsiTheme="minorEastAsia"/>
          <w:color w:val="000000" w:themeColor="text1"/>
          <w:sz w:val="30"/>
          <w:szCs w:val="30"/>
        </w:rPr>
      </w:pPr>
    </w:p>
    <w:p w:rsidR="0002608C" w:rsidRPr="00490741" w:rsidP="00107648">
      <w:pPr>
        <w:snapToGrid w:val="0"/>
        <w:spacing w:line="360" w:lineRule="auto"/>
        <w:ind w:left="1680" w:leftChars="800"/>
        <w:rPr>
          <w:rFonts w:asciiTheme="minorEastAsia" w:eastAsiaTheme="minorEastAsia" w:hAnsiTheme="minorEastAsia"/>
          <w:color w:val="000000" w:themeColor="text1"/>
          <w:sz w:val="30"/>
          <w:szCs w:val="30"/>
        </w:rPr>
      </w:pPr>
      <w:r w:rsidRPr="00490741">
        <w:rPr>
          <w:rFonts w:asciiTheme="minorEastAsia" w:eastAsiaTheme="minorEastAsia" w:hAnsiTheme="minorEastAsia" w:hint="eastAsia"/>
          <w:color w:val="000000" w:themeColor="text1"/>
          <w:sz w:val="30"/>
          <w:szCs w:val="30"/>
        </w:rPr>
        <w:t>基金管理人：易方达基金管理有限公司</w:t>
      </w:r>
    </w:p>
    <w:p w:rsidR="0002608C" w:rsidRPr="00490741" w:rsidP="00107648">
      <w:pPr>
        <w:snapToGrid w:val="0"/>
        <w:spacing w:line="360" w:lineRule="auto"/>
        <w:ind w:left="1680" w:leftChars="800"/>
        <w:rPr>
          <w:rFonts w:asciiTheme="minorEastAsia" w:eastAsiaTheme="minorEastAsia" w:hAnsiTheme="minorEastAsia"/>
          <w:color w:val="000000" w:themeColor="text1"/>
          <w:sz w:val="30"/>
          <w:szCs w:val="30"/>
        </w:rPr>
      </w:pPr>
      <w:r w:rsidRPr="00490741">
        <w:rPr>
          <w:rFonts w:asciiTheme="minorEastAsia" w:eastAsiaTheme="minorEastAsia" w:hAnsiTheme="minorEastAsia" w:hint="eastAsia"/>
          <w:color w:val="000000" w:themeColor="text1"/>
          <w:sz w:val="30"/>
          <w:szCs w:val="30"/>
        </w:rPr>
        <w:t>基金托管人：中国工商银行股份有限公司</w:t>
      </w:r>
    </w:p>
    <w:p w:rsidR="0002608C" w:rsidRPr="00490741" w:rsidP="00107648">
      <w:pPr>
        <w:snapToGrid w:val="0"/>
        <w:spacing w:line="360" w:lineRule="auto"/>
        <w:ind w:firstLine="561"/>
        <w:rPr>
          <w:rFonts w:asciiTheme="minorEastAsia" w:eastAsiaTheme="minorEastAsia" w:hAnsiTheme="minorEastAsia"/>
          <w:b/>
          <w:color w:val="000000" w:themeColor="text1"/>
          <w:sz w:val="30"/>
          <w:szCs w:val="30"/>
        </w:rPr>
      </w:pPr>
    </w:p>
    <w:p w:rsidR="006F244C" w:rsidRPr="00490741" w:rsidP="00107648">
      <w:pPr>
        <w:snapToGrid w:val="0"/>
        <w:spacing w:line="360" w:lineRule="auto"/>
        <w:ind w:firstLine="561"/>
        <w:jc w:val="center"/>
        <w:rPr>
          <w:rFonts w:asciiTheme="minorEastAsia" w:eastAsiaTheme="minorEastAsia" w:hAnsiTheme="minorEastAsia"/>
          <w:bCs/>
          <w:color w:val="000000" w:themeColor="text1"/>
          <w:sz w:val="32"/>
          <w:szCs w:val="32"/>
        </w:rPr>
      </w:pPr>
      <w:r w:rsidRPr="00490741">
        <w:rPr>
          <w:rFonts w:asciiTheme="minorEastAsia" w:eastAsiaTheme="minorEastAsia" w:hAnsiTheme="minorEastAsia"/>
          <w:color w:val="000000" w:themeColor="text1"/>
          <w:sz w:val="32"/>
        </w:rPr>
        <w:t>二〇二二年</w:t>
      </w:r>
      <w:r w:rsidRPr="00490741" w:rsidR="0062269A">
        <w:rPr>
          <w:rFonts w:asciiTheme="minorEastAsia" w:eastAsiaTheme="minorEastAsia" w:hAnsiTheme="minorEastAsia" w:hint="eastAsia"/>
          <w:color w:val="000000" w:themeColor="text1"/>
          <w:sz w:val="32"/>
        </w:rPr>
        <w:t>九</w:t>
      </w:r>
      <w:r w:rsidRPr="00490741">
        <w:rPr>
          <w:rFonts w:asciiTheme="minorEastAsia" w:eastAsiaTheme="minorEastAsia" w:hAnsiTheme="minorEastAsia"/>
          <w:color w:val="000000" w:themeColor="text1"/>
          <w:sz w:val="32"/>
        </w:rPr>
        <w:t>月</w:t>
      </w:r>
    </w:p>
    <w:p w:rsidR="00574E66" w:rsidRPr="00490741" w:rsidP="00107648">
      <w:pPr>
        <w:snapToGrid w:val="0"/>
        <w:spacing w:line="360" w:lineRule="auto"/>
        <w:ind w:firstLine="561"/>
        <w:jc w:val="center"/>
        <w:rPr>
          <w:rFonts w:asciiTheme="minorEastAsia" w:eastAsiaTheme="minorEastAsia" w:hAnsiTheme="minorEastAsia"/>
          <w:bCs/>
          <w:color w:val="000000" w:themeColor="text1"/>
          <w:sz w:val="32"/>
          <w:szCs w:val="32"/>
        </w:rPr>
      </w:pPr>
    </w:p>
    <w:p w:rsidR="00574E66" w:rsidRPr="00490741" w:rsidP="00107648">
      <w:pPr>
        <w:snapToGrid w:val="0"/>
        <w:spacing w:line="360" w:lineRule="auto"/>
        <w:ind w:firstLine="561"/>
        <w:jc w:val="center"/>
        <w:rPr>
          <w:rFonts w:asciiTheme="minorEastAsia" w:eastAsiaTheme="minorEastAsia" w:hAnsiTheme="minorEastAsia"/>
          <w:bCs/>
          <w:color w:val="000000" w:themeColor="text1"/>
          <w:sz w:val="32"/>
          <w:szCs w:val="32"/>
        </w:rPr>
      </w:pPr>
    </w:p>
    <w:p w:rsidR="0035472D" w:rsidRPr="00490741" w:rsidP="00107648">
      <w:pPr>
        <w:snapToGrid w:val="0"/>
        <w:spacing w:line="360" w:lineRule="auto"/>
        <w:ind w:firstLine="561"/>
        <w:jc w:val="center"/>
        <w:rPr>
          <w:rFonts w:asciiTheme="minorEastAsia" w:eastAsiaTheme="minorEastAsia" w:hAnsiTheme="minorEastAsia"/>
          <w:b/>
          <w:color w:val="000000" w:themeColor="text1"/>
          <w:sz w:val="28"/>
          <w:szCs w:val="28"/>
        </w:rPr>
      </w:pPr>
    </w:p>
    <w:p w:rsidR="0002608C" w:rsidRPr="00490741" w:rsidP="008F6128">
      <w:pPr>
        <w:snapToGrid w:val="0"/>
        <w:spacing w:line="360" w:lineRule="auto"/>
        <w:jc w:val="center"/>
        <w:rPr>
          <w:rFonts w:asciiTheme="minorEastAsia" w:eastAsiaTheme="minorEastAsia" w:hAnsiTheme="minorEastAsia"/>
          <w:b/>
          <w:color w:val="000000" w:themeColor="text1"/>
          <w:sz w:val="28"/>
          <w:szCs w:val="28"/>
        </w:rPr>
      </w:pPr>
      <w:r w:rsidRPr="00490741">
        <w:rPr>
          <w:rFonts w:asciiTheme="minorEastAsia" w:eastAsiaTheme="minorEastAsia" w:hAnsiTheme="minorEastAsia" w:hint="eastAsia"/>
          <w:b/>
          <w:color w:val="000000" w:themeColor="text1"/>
          <w:sz w:val="28"/>
          <w:szCs w:val="28"/>
        </w:rPr>
        <w:t>重要提示</w:t>
      </w:r>
    </w:p>
    <w:p w:rsidR="0002608C" w:rsidRPr="00490741" w:rsidP="00107648">
      <w:pPr>
        <w:adjustRightInd w:val="0"/>
        <w:snapToGrid w:val="0"/>
        <w:spacing w:line="360" w:lineRule="auto"/>
        <w:ind w:firstLine="480"/>
        <w:rPr>
          <w:rFonts w:asciiTheme="minorEastAsia" w:eastAsiaTheme="minorEastAsia" w:hAnsiTheme="minorEastAsia"/>
          <w:b/>
          <w:color w:val="000000" w:themeColor="text1"/>
          <w:szCs w:val="21"/>
        </w:rPr>
      </w:pPr>
      <w:r w:rsidRPr="00490741">
        <w:rPr>
          <w:rFonts w:asciiTheme="minorEastAsia" w:eastAsiaTheme="minorEastAsia" w:hAnsiTheme="minorEastAsia" w:hint="eastAsia"/>
          <w:b/>
          <w:color w:val="000000" w:themeColor="text1"/>
          <w:szCs w:val="21"/>
        </w:rPr>
        <w:t>本基金根据</w:t>
      </w:r>
      <w:r w:rsidRPr="00490741">
        <w:rPr>
          <w:rFonts w:asciiTheme="minorEastAsia" w:eastAsiaTheme="minorEastAsia" w:hAnsiTheme="minorEastAsia" w:hint="eastAsia"/>
          <w:b/>
          <w:color w:val="000000" w:themeColor="text1"/>
          <w:szCs w:val="21"/>
        </w:rPr>
        <w:t>2006</w:t>
      </w:r>
      <w:r w:rsidRPr="00490741">
        <w:rPr>
          <w:rFonts w:asciiTheme="minorEastAsia" w:eastAsiaTheme="minorEastAsia" w:hAnsiTheme="minorEastAsia" w:hint="eastAsia"/>
          <w:b/>
          <w:color w:val="000000" w:themeColor="text1"/>
          <w:szCs w:val="21"/>
        </w:rPr>
        <w:t>年</w:t>
      </w:r>
      <w:r w:rsidRPr="00490741">
        <w:rPr>
          <w:rFonts w:asciiTheme="minorEastAsia" w:eastAsiaTheme="minorEastAsia" w:hAnsiTheme="minorEastAsia" w:hint="eastAsia"/>
          <w:b/>
          <w:color w:val="000000" w:themeColor="text1"/>
          <w:szCs w:val="21"/>
        </w:rPr>
        <w:t>5</w:t>
      </w:r>
      <w:r w:rsidRPr="00490741">
        <w:rPr>
          <w:rFonts w:asciiTheme="minorEastAsia" w:eastAsiaTheme="minorEastAsia" w:hAnsiTheme="minorEastAsia" w:hint="eastAsia"/>
          <w:b/>
          <w:color w:val="000000" w:themeColor="text1"/>
          <w:szCs w:val="21"/>
        </w:rPr>
        <w:t>月</w:t>
      </w:r>
      <w:r w:rsidRPr="00490741">
        <w:rPr>
          <w:rFonts w:asciiTheme="minorEastAsia" w:eastAsiaTheme="minorEastAsia" w:hAnsiTheme="minorEastAsia" w:hint="eastAsia"/>
          <w:b/>
          <w:color w:val="000000" w:themeColor="text1"/>
          <w:szCs w:val="21"/>
        </w:rPr>
        <w:t>25</w:t>
      </w:r>
      <w:r w:rsidRPr="00490741">
        <w:rPr>
          <w:rFonts w:asciiTheme="minorEastAsia" w:eastAsiaTheme="minorEastAsia" w:hAnsiTheme="minorEastAsia" w:hint="eastAsia"/>
          <w:b/>
          <w:color w:val="000000" w:themeColor="text1"/>
          <w:szCs w:val="21"/>
        </w:rPr>
        <w:t>日中国证券监督管理委员会《关于同意易方达价值精选股票型证券投资基金募集的批复》（证监基金字</w:t>
      </w:r>
      <w:r w:rsidRPr="00490741">
        <w:rPr>
          <w:rFonts w:asciiTheme="minorEastAsia" w:eastAsiaTheme="minorEastAsia" w:hAnsiTheme="minorEastAsia"/>
          <w:b/>
          <w:color w:val="000000" w:themeColor="text1"/>
          <w:szCs w:val="21"/>
        </w:rPr>
        <w:t>[</w:t>
      </w:r>
      <w:r w:rsidRPr="00490741">
        <w:rPr>
          <w:rFonts w:asciiTheme="minorEastAsia" w:eastAsiaTheme="minorEastAsia" w:hAnsiTheme="minorEastAsia" w:hint="eastAsia"/>
          <w:b/>
          <w:color w:val="000000" w:themeColor="text1"/>
          <w:szCs w:val="21"/>
        </w:rPr>
        <w:t>2006]97</w:t>
      </w:r>
      <w:r w:rsidRPr="00490741">
        <w:rPr>
          <w:rFonts w:asciiTheme="minorEastAsia" w:eastAsiaTheme="minorEastAsia" w:hAnsiTheme="minorEastAsia" w:hint="eastAsia"/>
          <w:b/>
          <w:color w:val="000000" w:themeColor="text1"/>
          <w:szCs w:val="21"/>
        </w:rPr>
        <w:t>号）和</w:t>
      </w:r>
      <w:r w:rsidRPr="00490741">
        <w:rPr>
          <w:rFonts w:asciiTheme="minorEastAsia" w:eastAsiaTheme="minorEastAsia" w:hAnsiTheme="minorEastAsia" w:hint="eastAsia"/>
          <w:b/>
          <w:color w:val="000000" w:themeColor="text1"/>
          <w:szCs w:val="21"/>
        </w:rPr>
        <w:t>2006</w:t>
      </w:r>
      <w:r w:rsidRPr="00490741">
        <w:rPr>
          <w:rFonts w:asciiTheme="minorEastAsia" w:eastAsiaTheme="minorEastAsia" w:hAnsiTheme="minorEastAsia" w:hint="eastAsia"/>
          <w:b/>
          <w:color w:val="000000" w:themeColor="text1"/>
          <w:szCs w:val="21"/>
        </w:rPr>
        <w:t>年</w:t>
      </w:r>
      <w:r w:rsidRPr="00490741">
        <w:rPr>
          <w:rFonts w:asciiTheme="minorEastAsia" w:eastAsiaTheme="minorEastAsia" w:hAnsiTheme="minorEastAsia" w:hint="eastAsia"/>
          <w:b/>
          <w:color w:val="000000" w:themeColor="text1"/>
          <w:szCs w:val="21"/>
        </w:rPr>
        <w:t>5</w:t>
      </w:r>
      <w:r w:rsidRPr="00490741">
        <w:rPr>
          <w:rFonts w:asciiTheme="minorEastAsia" w:eastAsiaTheme="minorEastAsia" w:hAnsiTheme="minorEastAsia" w:hint="eastAsia"/>
          <w:b/>
          <w:color w:val="000000" w:themeColor="text1"/>
          <w:szCs w:val="21"/>
        </w:rPr>
        <w:t>月</w:t>
      </w:r>
      <w:r w:rsidRPr="00490741">
        <w:rPr>
          <w:rFonts w:asciiTheme="minorEastAsia" w:eastAsiaTheme="minorEastAsia" w:hAnsiTheme="minorEastAsia" w:hint="eastAsia"/>
          <w:b/>
          <w:color w:val="000000" w:themeColor="text1"/>
          <w:szCs w:val="21"/>
        </w:rPr>
        <w:t>31</w:t>
      </w:r>
      <w:r w:rsidRPr="00490741">
        <w:rPr>
          <w:rFonts w:asciiTheme="minorEastAsia" w:eastAsiaTheme="minorEastAsia" w:hAnsiTheme="minorEastAsia" w:hint="eastAsia"/>
          <w:b/>
          <w:color w:val="000000" w:themeColor="text1"/>
          <w:szCs w:val="21"/>
        </w:rPr>
        <w:t>日《关于同意易方达价值精选股票型证券投资基金募集时间安排的函》（基金部函</w:t>
      </w:r>
      <w:r w:rsidRPr="00490741">
        <w:rPr>
          <w:rFonts w:asciiTheme="minorEastAsia" w:eastAsiaTheme="minorEastAsia" w:hAnsiTheme="minorEastAsia"/>
          <w:b/>
          <w:color w:val="000000" w:themeColor="text1"/>
          <w:szCs w:val="21"/>
        </w:rPr>
        <w:t>[</w:t>
      </w:r>
      <w:r w:rsidRPr="00490741">
        <w:rPr>
          <w:rFonts w:asciiTheme="minorEastAsia" w:eastAsiaTheme="minorEastAsia" w:hAnsiTheme="minorEastAsia" w:hint="eastAsia"/>
          <w:b/>
          <w:color w:val="000000" w:themeColor="text1"/>
          <w:szCs w:val="21"/>
        </w:rPr>
        <w:t>2006]117</w:t>
      </w:r>
      <w:r w:rsidRPr="00490741">
        <w:rPr>
          <w:rFonts w:asciiTheme="minorEastAsia" w:eastAsiaTheme="minorEastAsia" w:hAnsiTheme="minorEastAsia" w:hint="eastAsia"/>
          <w:b/>
          <w:color w:val="000000" w:themeColor="text1"/>
          <w:szCs w:val="21"/>
        </w:rPr>
        <w:t>号）的核准，进行募集。本基金的基金合同于</w:t>
      </w:r>
      <w:r w:rsidRPr="00490741">
        <w:rPr>
          <w:rFonts w:asciiTheme="minorEastAsia" w:eastAsiaTheme="minorEastAsia" w:hAnsiTheme="minorEastAsia" w:hint="eastAsia"/>
          <w:b/>
          <w:color w:val="000000" w:themeColor="text1"/>
          <w:szCs w:val="21"/>
        </w:rPr>
        <w:t>2006</w:t>
      </w:r>
      <w:r w:rsidRPr="00490741">
        <w:rPr>
          <w:rFonts w:asciiTheme="minorEastAsia" w:eastAsiaTheme="minorEastAsia" w:hAnsiTheme="minorEastAsia" w:hint="eastAsia"/>
          <w:b/>
          <w:color w:val="000000" w:themeColor="text1"/>
          <w:szCs w:val="21"/>
        </w:rPr>
        <w:t>年</w:t>
      </w:r>
      <w:r w:rsidRPr="00490741">
        <w:rPr>
          <w:rFonts w:asciiTheme="minorEastAsia" w:eastAsiaTheme="minorEastAsia" w:hAnsiTheme="minorEastAsia" w:hint="eastAsia"/>
          <w:b/>
          <w:color w:val="000000" w:themeColor="text1"/>
          <w:szCs w:val="21"/>
        </w:rPr>
        <w:t>6</w:t>
      </w:r>
      <w:r w:rsidRPr="00490741">
        <w:rPr>
          <w:rFonts w:asciiTheme="minorEastAsia" w:eastAsiaTheme="minorEastAsia" w:hAnsiTheme="minorEastAsia" w:hint="eastAsia"/>
          <w:b/>
          <w:color w:val="000000" w:themeColor="text1"/>
          <w:szCs w:val="21"/>
        </w:rPr>
        <w:t>月</w:t>
      </w:r>
      <w:r w:rsidRPr="00490741">
        <w:rPr>
          <w:rFonts w:asciiTheme="minorEastAsia" w:eastAsiaTheme="minorEastAsia" w:hAnsiTheme="minorEastAsia" w:hint="eastAsia"/>
          <w:b/>
          <w:color w:val="000000" w:themeColor="text1"/>
          <w:szCs w:val="21"/>
        </w:rPr>
        <w:t>13</w:t>
      </w:r>
      <w:r w:rsidRPr="00490741">
        <w:rPr>
          <w:rFonts w:asciiTheme="minorEastAsia" w:eastAsiaTheme="minorEastAsia" w:hAnsiTheme="minorEastAsia" w:hint="eastAsia"/>
          <w:b/>
          <w:color w:val="000000" w:themeColor="text1"/>
          <w:szCs w:val="21"/>
        </w:rPr>
        <w:t>日正式生效。</w:t>
      </w:r>
    </w:p>
    <w:p w:rsidR="0002608C" w:rsidRPr="00490741" w:rsidP="00107648">
      <w:pPr>
        <w:adjustRightInd w:val="0"/>
        <w:snapToGrid w:val="0"/>
        <w:spacing w:line="360" w:lineRule="auto"/>
        <w:ind w:firstLine="420"/>
        <w:rPr>
          <w:rFonts w:asciiTheme="minorEastAsia" w:eastAsiaTheme="minorEastAsia" w:hAnsiTheme="minorEastAsia"/>
          <w:b/>
          <w:color w:val="000000" w:themeColor="text1"/>
          <w:szCs w:val="21"/>
        </w:rPr>
      </w:pPr>
      <w:r w:rsidRPr="00490741">
        <w:rPr>
          <w:rFonts w:asciiTheme="minorEastAsia" w:eastAsiaTheme="minorEastAsia" w:hAnsiTheme="minorEastAsia" w:hint="eastAsia"/>
          <w:b/>
          <w:color w:val="000000" w:themeColor="text1"/>
          <w:szCs w:val="21"/>
        </w:rPr>
        <w:t>基金管理人保证本招募说明书的内容真实、准确、完整。本招募说明书经中国证监会核准，但中国证监会对本基金募集的核准，并不表明其对本基金的价值和收益作出实质性判断或保证，也不表明投资于本基金没有风险。</w:t>
      </w:r>
    </w:p>
    <w:p w:rsidR="0002608C" w:rsidRPr="00490741" w:rsidP="00107648">
      <w:pPr>
        <w:adjustRightInd w:val="0"/>
        <w:snapToGrid w:val="0"/>
        <w:spacing w:line="360" w:lineRule="auto"/>
        <w:ind w:firstLine="480"/>
        <w:rPr>
          <w:rFonts w:asciiTheme="minorEastAsia" w:eastAsiaTheme="minorEastAsia" w:hAnsiTheme="minorEastAsia"/>
          <w:b/>
          <w:color w:val="000000" w:themeColor="text1"/>
          <w:szCs w:val="21"/>
        </w:rPr>
      </w:pPr>
      <w:r w:rsidRPr="00490741">
        <w:rPr>
          <w:rFonts w:asciiTheme="minorEastAsia" w:eastAsiaTheme="minorEastAsia" w:hAnsiTheme="minorEastAsia" w:hint="eastAsia"/>
          <w:b/>
          <w:color w:val="000000" w:themeColor="text1"/>
          <w:szCs w:val="21"/>
        </w:rPr>
        <w:t>投资有风险，投资者投资于本基金前应认真阅读本</w:t>
      </w:r>
      <w:r w:rsidRPr="00490741" w:rsidR="009F7BDB">
        <w:rPr>
          <w:rFonts w:asciiTheme="minorEastAsia" w:eastAsiaTheme="minorEastAsia" w:hAnsiTheme="minorEastAsia" w:hint="eastAsia"/>
          <w:b/>
          <w:color w:val="000000" w:themeColor="text1"/>
          <w:szCs w:val="21"/>
        </w:rPr>
        <w:t>招募说明书、基金合同和基金产品资料概要等信息披露文件</w:t>
      </w:r>
      <w:r w:rsidRPr="00490741">
        <w:rPr>
          <w:rFonts w:asciiTheme="minorEastAsia" w:eastAsiaTheme="minorEastAsia" w:hAnsiTheme="minorEastAsia" w:hint="eastAsia"/>
          <w:b/>
          <w:color w:val="000000" w:themeColor="text1"/>
          <w:szCs w:val="21"/>
        </w:rPr>
        <w:t>。</w:t>
      </w:r>
    </w:p>
    <w:p w:rsidR="0002608C" w:rsidRPr="00490741" w:rsidP="00107648">
      <w:pPr>
        <w:adjustRightInd w:val="0"/>
        <w:snapToGrid w:val="0"/>
        <w:spacing w:line="360" w:lineRule="auto"/>
        <w:ind w:firstLine="480"/>
        <w:rPr>
          <w:rFonts w:asciiTheme="minorEastAsia" w:eastAsiaTheme="minorEastAsia" w:hAnsiTheme="minorEastAsia"/>
          <w:b/>
          <w:color w:val="000000" w:themeColor="text1"/>
          <w:szCs w:val="21"/>
        </w:rPr>
      </w:pPr>
      <w:r w:rsidRPr="00490741">
        <w:rPr>
          <w:rFonts w:asciiTheme="minorEastAsia" w:eastAsiaTheme="minorEastAsia" w:hAnsiTheme="minorEastAsia" w:hint="eastAsia"/>
          <w:b/>
          <w:color w:val="000000" w:themeColor="text1"/>
          <w:szCs w:val="21"/>
        </w:rPr>
        <w:t>基金的过往业绩并不预示其未来表现。</w:t>
      </w:r>
    </w:p>
    <w:p w:rsidR="0002608C" w:rsidRPr="00490741" w:rsidP="00107648">
      <w:pPr>
        <w:adjustRightInd w:val="0"/>
        <w:snapToGrid w:val="0"/>
        <w:spacing w:line="360" w:lineRule="auto"/>
        <w:ind w:firstLine="480"/>
        <w:rPr>
          <w:rFonts w:asciiTheme="minorEastAsia" w:eastAsiaTheme="minorEastAsia" w:hAnsiTheme="minorEastAsia"/>
          <w:b/>
          <w:color w:val="000000" w:themeColor="text1"/>
          <w:szCs w:val="21"/>
        </w:rPr>
      </w:pPr>
      <w:r w:rsidRPr="00490741">
        <w:rPr>
          <w:rFonts w:asciiTheme="minorEastAsia" w:eastAsiaTheme="minorEastAsia" w:hAnsiTheme="minorEastAsia"/>
          <w:b/>
          <w:color w:val="000000" w:themeColor="text1"/>
          <w:szCs w:val="21"/>
        </w:rPr>
        <w:t>基金管理人依照恪尽职守、诚实信用、谨慎勤勉的原则管理和运用基金</w:t>
      </w:r>
      <w:r w:rsidRPr="00490741">
        <w:rPr>
          <w:rFonts w:asciiTheme="minorEastAsia" w:eastAsiaTheme="minorEastAsia" w:hAnsiTheme="minorEastAsia" w:hint="eastAsia"/>
          <w:b/>
          <w:color w:val="000000" w:themeColor="text1"/>
          <w:szCs w:val="21"/>
        </w:rPr>
        <w:t>财产</w:t>
      </w:r>
      <w:r w:rsidRPr="00490741">
        <w:rPr>
          <w:rFonts w:asciiTheme="minorEastAsia" w:eastAsiaTheme="minorEastAsia" w:hAnsiTheme="minorEastAsia"/>
          <w:b/>
          <w:color w:val="000000" w:themeColor="text1"/>
          <w:szCs w:val="21"/>
        </w:rPr>
        <w:t>，</w:t>
      </w:r>
      <w:r w:rsidRPr="00490741">
        <w:rPr>
          <w:rFonts w:asciiTheme="minorEastAsia" w:eastAsiaTheme="minorEastAsia" w:hAnsiTheme="minorEastAsia" w:hint="eastAsia"/>
          <w:b/>
          <w:color w:val="000000" w:themeColor="text1"/>
          <w:szCs w:val="21"/>
        </w:rPr>
        <w:t>但</w:t>
      </w:r>
      <w:r w:rsidRPr="00490741">
        <w:rPr>
          <w:rFonts w:asciiTheme="minorEastAsia" w:eastAsiaTheme="minorEastAsia" w:hAnsiTheme="minorEastAsia"/>
          <w:b/>
          <w:color w:val="000000" w:themeColor="text1"/>
          <w:szCs w:val="21"/>
        </w:rPr>
        <w:t>不保证基金一定盈利，也不保证最低收益</w:t>
      </w:r>
      <w:r w:rsidRPr="00490741">
        <w:rPr>
          <w:rFonts w:asciiTheme="minorEastAsia" w:eastAsiaTheme="minorEastAsia" w:hAnsiTheme="minorEastAsia" w:hint="eastAsia"/>
          <w:b/>
          <w:color w:val="000000" w:themeColor="text1"/>
          <w:szCs w:val="21"/>
        </w:rPr>
        <w:t>。</w:t>
      </w:r>
    </w:p>
    <w:p w:rsidR="0002608C" w:rsidRPr="00490741" w:rsidP="00107648">
      <w:pPr>
        <w:adjustRightInd w:val="0"/>
        <w:snapToGrid w:val="0"/>
        <w:spacing w:line="360" w:lineRule="auto"/>
        <w:ind w:firstLine="480"/>
        <w:rPr>
          <w:rFonts w:asciiTheme="minorEastAsia" w:eastAsiaTheme="minorEastAsia" w:hAnsiTheme="minorEastAsia"/>
          <w:b/>
          <w:color w:val="000000" w:themeColor="text1"/>
          <w:szCs w:val="21"/>
        </w:rPr>
      </w:pPr>
      <w:r w:rsidRPr="00490741">
        <w:rPr>
          <w:rFonts w:asciiTheme="minorEastAsia" w:eastAsiaTheme="minorEastAsia" w:hAnsiTheme="minorEastAsia" w:hint="eastAsia"/>
          <w:b/>
          <w:color w:val="000000" w:themeColor="text1"/>
        </w:rPr>
        <w:t>本基金本次更新招募说明书对基金经理</w:t>
      </w:r>
      <w:r w:rsidRPr="00490741">
        <w:rPr>
          <w:rFonts w:asciiTheme="minorEastAsia" w:eastAsiaTheme="minorEastAsia" w:hAnsiTheme="minorEastAsia" w:hint="eastAsia"/>
          <w:b/>
          <w:color w:val="000000" w:themeColor="text1"/>
        </w:rPr>
        <w:t>和基金管理人章节</w:t>
      </w:r>
      <w:r w:rsidRPr="00490741">
        <w:rPr>
          <w:rFonts w:asciiTheme="minorEastAsia" w:eastAsiaTheme="minorEastAsia" w:hAnsiTheme="minorEastAsia" w:hint="eastAsia"/>
          <w:b/>
          <w:color w:val="000000" w:themeColor="text1"/>
        </w:rPr>
        <w:t>相关信息进行更新，基</w:t>
      </w:r>
      <w:r w:rsidRPr="00490741">
        <w:rPr>
          <w:rFonts w:asciiTheme="minorEastAsia" w:eastAsiaTheme="minorEastAsia" w:hAnsiTheme="minorEastAsia" w:hint="eastAsia"/>
          <w:b/>
          <w:color w:val="000000" w:themeColor="text1"/>
        </w:rPr>
        <w:t>金经理相关信息更新截止日为</w:t>
      </w:r>
      <w:r w:rsidRPr="00490741">
        <w:rPr>
          <w:rFonts w:asciiTheme="minorEastAsia" w:eastAsiaTheme="minorEastAsia" w:hAnsiTheme="minorEastAsia"/>
          <w:b/>
          <w:color w:val="000000" w:themeColor="text1"/>
        </w:rPr>
        <w:t>2022</w:t>
      </w:r>
      <w:r w:rsidRPr="00490741">
        <w:rPr>
          <w:rFonts w:asciiTheme="minorEastAsia" w:eastAsiaTheme="minorEastAsia" w:hAnsiTheme="minorEastAsia" w:hint="eastAsia"/>
          <w:b/>
          <w:color w:val="000000" w:themeColor="text1"/>
        </w:rPr>
        <w:t>年</w:t>
      </w:r>
      <w:r w:rsidRPr="00490741">
        <w:rPr>
          <w:rFonts w:asciiTheme="minorEastAsia" w:eastAsiaTheme="minorEastAsia" w:hAnsiTheme="minorEastAsia"/>
          <w:b/>
          <w:color w:val="000000" w:themeColor="text1"/>
        </w:rPr>
        <w:t>9</w:t>
      </w:r>
      <w:r w:rsidRPr="00490741">
        <w:rPr>
          <w:rFonts w:asciiTheme="minorEastAsia" w:eastAsiaTheme="minorEastAsia" w:hAnsiTheme="minorEastAsia" w:hint="eastAsia"/>
          <w:b/>
          <w:color w:val="000000" w:themeColor="text1"/>
        </w:rPr>
        <w:t>月</w:t>
      </w:r>
      <w:r w:rsidRPr="00490741">
        <w:rPr>
          <w:rFonts w:asciiTheme="minorEastAsia" w:eastAsiaTheme="minorEastAsia" w:hAnsiTheme="minorEastAsia"/>
          <w:b/>
          <w:color w:val="000000" w:themeColor="text1"/>
        </w:rPr>
        <w:t>14</w:t>
      </w:r>
      <w:r w:rsidRPr="00490741">
        <w:rPr>
          <w:rFonts w:asciiTheme="minorEastAsia" w:eastAsiaTheme="minorEastAsia" w:hAnsiTheme="minorEastAsia" w:hint="eastAsia"/>
          <w:b/>
          <w:color w:val="000000" w:themeColor="text1"/>
        </w:rPr>
        <w:t>日，</w:t>
      </w:r>
      <w:r w:rsidRPr="00490741">
        <w:rPr>
          <w:rFonts w:asciiTheme="minorEastAsia" w:eastAsiaTheme="minorEastAsia" w:hAnsiTheme="minorEastAsia" w:hint="eastAsia"/>
          <w:b/>
          <w:color w:val="000000" w:themeColor="text1"/>
        </w:rPr>
        <w:t>基金管理人</w:t>
      </w:r>
      <w:r w:rsidRPr="00490741">
        <w:rPr>
          <w:rFonts w:asciiTheme="minorEastAsia" w:eastAsiaTheme="minorEastAsia" w:hAnsiTheme="minorEastAsia" w:hint="eastAsia"/>
          <w:b/>
          <w:color w:val="000000" w:themeColor="text1"/>
        </w:rPr>
        <w:t>相关信息更新截止日为</w:t>
      </w:r>
      <w:r w:rsidRPr="00490741">
        <w:rPr>
          <w:rFonts w:asciiTheme="minorEastAsia" w:eastAsiaTheme="minorEastAsia" w:hAnsiTheme="minorEastAsia"/>
          <w:b/>
          <w:color w:val="000000" w:themeColor="text1"/>
        </w:rPr>
        <w:t>2022</w:t>
      </w:r>
      <w:r w:rsidRPr="00490741">
        <w:rPr>
          <w:rFonts w:asciiTheme="minorEastAsia" w:eastAsiaTheme="minorEastAsia" w:hAnsiTheme="minorEastAsia" w:hint="eastAsia"/>
          <w:b/>
          <w:color w:val="000000" w:themeColor="text1"/>
        </w:rPr>
        <w:t>年</w:t>
      </w:r>
      <w:r w:rsidRPr="00490741">
        <w:rPr>
          <w:rFonts w:asciiTheme="minorEastAsia" w:eastAsiaTheme="minorEastAsia" w:hAnsiTheme="minorEastAsia"/>
          <w:b/>
          <w:color w:val="000000" w:themeColor="text1"/>
        </w:rPr>
        <w:t>9</w:t>
      </w:r>
      <w:r w:rsidRPr="00490741">
        <w:rPr>
          <w:rFonts w:asciiTheme="minorEastAsia" w:eastAsiaTheme="minorEastAsia" w:hAnsiTheme="minorEastAsia" w:hint="eastAsia"/>
          <w:b/>
          <w:color w:val="000000" w:themeColor="text1"/>
        </w:rPr>
        <w:t>月</w:t>
      </w:r>
      <w:r w:rsidRPr="00490741">
        <w:rPr>
          <w:rFonts w:asciiTheme="minorEastAsia" w:eastAsiaTheme="minorEastAsia" w:hAnsiTheme="minorEastAsia"/>
          <w:b/>
          <w:color w:val="000000" w:themeColor="text1"/>
        </w:rPr>
        <w:t>15</w:t>
      </w:r>
      <w:r w:rsidRPr="00490741">
        <w:rPr>
          <w:rFonts w:asciiTheme="minorEastAsia" w:eastAsiaTheme="minorEastAsia" w:hAnsiTheme="minorEastAsia" w:hint="eastAsia"/>
          <w:b/>
          <w:color w:val="000000" w:themeColor="text1"/>
        </w:rPr>
        <w:t>日。</w:t>
      </w:r>
      <w:r w:rsidRPr="00490741" w:rsidR="00DD54ED">
        <w:rPr>
          <w:rFonts w:asciiTheme="minorEastAsia" w:eastAsiaTheme="minorEastAsia" w:hAnsiTheme="minorEastAsia"/>
          <w:b/>
          <w:color w:val="000000" w:themeColor="text1"/>
        </w:rPr>
        <w:t>本基金有关财务数据截止日为2021年12月31日，净值表现截止日为2021年12月31日，除非另有说明，本招募说明书其他所载内容截止日为2022年2月16日。（本报告中财务数据未经审计）</w:t>
      </w:r>
    </w:p>
    <w:p w:rsidR="0002608C" w:rsidRPr="00490741" w:rsidP="00107648">
      <w:pPr>
        <w:adjustRightInd w:val="0"/>
        <w:snapToGrid w:val="0"/>
        <w:spacing w:line="360" w:lineRule="auto"/>
        <w:ind w:firstLine="480"/>
        <w:jc w:val="center"/>
        <w:rPr>
          <w:rFonts w:asciiTheme="minorEastAsia" w:eastAsiaTheme="minorEastAsia" w:hAnsiTheme="minorEastAsia"/>
          <w:b/>
          <w:color w:val="000000" w:themeColor="text1"/>
          <w:szCs w:val="21"/>
        </w:rPr>
      </w:pPr>
    </w:p>
    <w:p w:rsidR="0002608C" w:rsidRPr="00490741" w:rsidP="00107648">
      <w:pPr>
        <w:adjustRightInd w:val="0"/>
        <w:snapToGrid w:val="0"/>
        <w:spacing w:line="360" w:lineRule="auto"/>
        <w:ind w:firstLine="480"/>
        <w:jc w:val="center"/>
        <w:rPr>
          <w:rFonts w:asciiTheme="minorEastAsia" w:eastAsiaTheme="minorEastAsia" w:hAnsiTheme="minorEastAsia"/>
          <w:b/>
          <w:color w:val="000000" w:themeColor="text1"/>
          <w:sz w:val="28"/>
          <w:szCs w:val="28"/>
        </w:rPr>
        <w:sectPr w:rsidSect="0035472D">
          <w:headerReference w:type="even" r:id="rId5"/>
          <w:headerReference w:type="default" r:id="rId6"/>
          <w:footerReference w:type="even" r:id="rId7"/>
          <w:footerReference w:type="default" r:id="rId8"/>
          <w:headerReference w:type="first" r:id="rId9"/>
          <w:footerReference w:type="first" r:id="rId10"/>
          <w:pgSz w:w="11906" w:h="16838" w:code="9"/>
          <w:pgMar w:top="1440" w:right="1800" w:bottom="1440" w:left="1800" w:header="1134" w:footer="1247" w:gutter="0"/>
          <w:pgNumType w:fmt="upperRoman" w:start="1"/>
          <w:cols w:space="425"/>
          <w:docGrid w:type="lines" w:linePitch="447"/>
        </w:sectPr>
      </w:pPr>
    </w:p>
    <w:p w:rsidR="0002608C" w:rsidRPr="00490741" w:rsidP="00107648">
      <w:pPr>
        <w:adjustRightInd w:val="0"/>
        <w:snapToGrid w:val="0"/>
        <w:spacing w:line="360" w:lineRule="auto"/>
        <w:ind w:firstLine="480"/>
        <w:jc w:val="center"/>
        <w:rPr>
          <w:rFonts w:asciiTheme="minorEastAsia" w:eastAsiaTheme="minorEastAsia" w:hAnsiTheme="minorEastAsia"/>
          <w:b/>
          <w:color w:val="000000" w:themeColor="text1"/>
          <w:sz w:val="28"/>
          <w:szCs w:val="28"/>
        </w:rPr>
      </w:pPr>
      <w:r w:rsidRPr="00490741">
        <w:rPr>
          <w:rFonts w:asciiTheme="minorEastAsia" w:eastAsiaTheme="minorEastAsia" w:hAnsiTheme="minorEastAsia" w:hint="eastAsia"/>
          <w:b/>
          <w:color w:val="000000" w:themeColor="text1"/>
          <w:sz w:val="28"/>
          <w:szCs w:val="28"/>
        </w:rPr>
        <w:t>目录</w:t>
      </w:r>
    </w:p>
    <w:bookmarkStart w:id="0" w:name="_GoBack"/>
    <w:bookmarkEnd w:id="0"/>
    <w:p w:rsidR="00490741">
      <w:pPr>
        <w:pStyle w:val="TOC1"/>
        <w:rPr>
          <w:rFonts w:asciiTheme="minorHAnsi" w:eastAsiaTheme="minorEastAsia" w:hAnsiTheme="minorHAnsi" w:cstheme="minorBidi"/>
          <w:caps w:val="0"/>
          <w:sz w:val="21"/>
          <w:szCs w:val="22"/>
        </w:rPr>
      </w:pPr>
      <w:r w:rsidRPr="00490741">
        <w:rPr>
          <w:rFonts w:asciiTheme="minorEastAsia" w:eastAsiaTheme="minorEastAsia" w:hAnsiTheme="minorEastAsia"/>
          <w:b/>
          <w:color w:val="000000" w:themeColor="text1"/>
          <w:szCs w:val="21"/>
        </w:rPr>
        <w:fldChar w:fldCharType="begin"/>
      </w:r>
      <w:r w:rsidRPr="00490741" w:rsidR="0002608C">
        <w:rPr>
          <w:rFonts w:asciiTheme="minorEastAsia" w:eastAsiaTheme="minorEastAsia" w:hAnsiTheme="minorEastAsia"/>
          <w:b/>
          <w:color w:val="000000" w:themeColor="text1"/>
          <w:szCs w:val="21"/>
        </w:rPr>
        <w:instrText xml:space="preserve"> TOC \o "1-3" \h \z \u </w:instrText>
      </w:r>
      <w:r w:rsidRPr="00490741">
        <w:rPr>
          <w:rFonts w:asciiTheme="minorEastAsia" w:eastAsiaTheme="minorEastAsia" w:hAnsiTheme="minorEastAsia"/>
          <w:b/>
          <w:color w:val="000000" w:themeColor="text1"/>
          <w:szCs w:val="21"/>
        </w:rPr>
        <w:fldChar w:fldCharType="separate"/>
      </w:r>
      <w:hyperlink w:anchor="_Toc114237379" w:history="1">
        <w:r w:rsidRPr="00C31907">
          <w:rPr>
            <w:rStyle w:val="Hyperlink"/>
            <w:rFonts w:asciiTheme="minorEastAsia" w:hAnsiTheme="minorEastAsia" w:hint="eastAsia"/>
          </w:rPr>
          <w:t>一、绪言</w:t>
        </w:r>
        <w:r>
          <w:rPr>
            <w:webHidden/>
          </w:rPr>
          <w:tab/>
        </w:r>
        <w:r>
          <w:rPr>
            <w:webHidden/>
          </w:rPr>
          <w:fldChar w:fldCharType="begin"/>
        </w:r>
        <w:r>
          <w:rPr>
            <w:webHidden/>
          </w:rPr>
          <w:instrText xml:space="preserve"> PAGEREF _Toc114237379 \h </w:instrText>
        </w:r>
        <w:r>
          <w:rPr>
            <w:webHidden/>
          </w:rPr>
          <w:fldChar w:fldCharType="separate"/>
        </w:r>
        <w:r>
          <w:rPr>
            <w:webHidden/>
          </w:rPr>
          <w:t>1</w:t>
        </w:r>
        <w:r>
          <w:rPr>
            <w:webHidden/>
          </w:rPr>
          <w:fldChar w:fldCharType="end"/>
        </w:r>
      </w:hyperlink>
    </w:p>
    <w:p w:rsidR="00490741">
      <w:pPr>
        <w:pStyle w:val="TOC1"/>
        <w:rPr>
          <w:rFonts w:asciiTheme="minorHAnsi" w:eastAsiaTheme="minorEastAsia" w:hAnsiTheme="minorHAnsi" w:cstheme="minorBidi"/>
          <w:caps w:val="0"/>
          <w:sz w:val="21"/>
          <w:szCs w:val="22"/>
        </w:rPr>
      </w:pPr>
      <w:hyperlink w:anchor="_Toc114237380" w:history="1">
        <w:r w:rsidRPr="00C31907">
          <w:rPr>
            <w:rStyle w:val="Hyperlink"/>
            <w:rFonts w:asciiTheme="minorEastAsia" w:hAnsiTheme="minorEastAsia" w:hint="eastAsia"/>
            <w:b/>
          </w:rPr>
          <w:t>二、释义</w:t>
        </w:r>
        <w:r>
          <w:rPr>
            <w:webHidden/>
          </w:rPr>
          <w:tab/>
        </w:r>
        <w:r>
          <w:rPr>
            <w:webHidden/>
          </w:rPr>
          <w:fldChar w:fldCharType="begin"/>
        </w:r>
        <w:r>
          <w:rPr>
            <w:webHidden/>
          </w:rPr>
          <w:instrText xml:space="preserve"> PAGEREF _Toc114237380 \h </w:instrText>
        </w:r>
        <w:r>
          <w:rPr>
            <w:webHidden/>
          </w:rPr>
          <w:fldChar w:fldCharType="separate"/>
        </w:r>
        <w:r>
          <w:rPr>
            <w:webHidden/>
          </w:rPr>
          <w:t>2</w:t>
        </w:r>
        <w:r>
          <w:rPr>
            <w:webHidden/>
          </w:rPr>
          <w:fldChar w:fldCharType="end"/>
        </w:r>
      </w:hyperlink>
    </w:p>
    <w:p w:rsidR="00490741">
      <w:pPr>
        <w:pStyle w:val="TOC1"/>
        <w:rPr>
          <w:rFonts w:asciiTheme="minorHAnsi" w:eastAsiaTheme="minorEastAsia" w:hAnsiTheme="minorHAnsi" w:cstheme="minorBidi"/>
          <w:caps w:val="0"/>
          <w:sz w:val="21"/>
          <w:szCs w:val="22"/>
        </w:rPr>
      </w:pPr>
      <w:hyperlink w:anchor="_Toc114237381" w:history="1">
        <w:r w:rsidRPr="00C31907">
          <w:rPr>
            <w:rStyle w:val="Hyperlink"/>
            <w:rFonts w:asciiTheme="minorEastAsia" w:hAnsiTheme="minorEastAsia" w:hint="eastAsia"/>
            <w:b/>
            <w:bCs/>
          </w:rPr>
          <w:t>三、基金管理人</w:t>
        </w:r>
        <w:r>
          <w:rPr>
            <w:webHidden/>
          </w:rPr>
          <w:tab/>
        </w:r>
        <w:r>
          <w:rPr>
            <w:webHidden/>
          </w:rPr>
          <w:fldChar w:fldCharType="begin"/>
        </w:r>
        <w:r>
          <w:rPr>
            <w:webHidden/>
          </w:rPr>
          <w:instrText xml:space="preserve"> PAGEREF _Toc114237381 \h </w:instrText>
        </w:r>
        <w:r>
          <w:rPr>
            <w:webHidden/>
          </w:rPr>
          <w:fldChar w:fldCharType="separate"/>
        </w:r>
        <w:r>
          <w:rPr>
            <w:webHidden/>
          </w:rPr>
          <w:t>5</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382" w:history="1">
        <w:r w:rsidRPr="00C31907">
          <w:rPr>
            <w:rStyle w:val="Hyperlink"/>
            <w:rFonts w:asciiTheme="minorEastAsia" w:hAnsiTheme="minorEastAsia" w:cs="仿宋_GB2312" w:hint="eastAsia"/>
            <w:bCs/>
            <w:kern w:val="0"/>
          </w:rPr>
          <w:t>（一）基金管理人基本情况</w:t>
        </w:r>
        <w:r>
          <w:rPr>
            <w:webHidden/>
          </w:rPr>
          <w:tab/>
        </w:r>
        <w:r>
          <w:rPr>
            <w:webHidden/>
          </w:rPr>
          <w:fldChar w:fldCharType="begin"/>
        </w:r>
        <w:r>
          <w:rPr>
            <w:webHidden/>
          </w:rPr>
          <w:instrText xml:space="preserve"> PAGEREF _Toc114237382 \h </w:instrText>
        </w:r>
        <w:r>
          <w:rPr>
            <w:webHidden/>
          </w:rPr>
          <w:fldChar w:fldCharType="separate"/>
        </w:r>
        <w:r>
          <w:rPr>
            <w:webHidden/>
          </w:rPr>
          <w:t>5</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383" w:history="1">
        <w:r w:rsidRPr="00C31907">
          <w:rPr>
            <w:rStyle w:val="Hyperlink"/>
            <w:rFonts w:asciiTheme="minorEastAsia" w:hAnsiTheme="minorEastAsia" w:hint="eastAsia"/>
            <w:bCs/>
          </w:rPr>
          <w:t>（二）主要人员情况</w:t>
        </w:r>
        <w:r>
          <w:rPr>
            <w:webHidden/>
          </w:rPr>
          <w:tab/>
        </w:r>
        <w:r>
          <w:rPr>
            <w:webHidden/>
          </w:rPr>
          <w:fldChar w:fldCharType="begin"/>
        </w:r>
        <w:r>
          <w:rPr>
            <w:webHidden/>
          </w:rPr>
          <w:instrText xml:space="preserve"> PAGEREF _Toc114237383 \h </w:instrText>
        </w:r>
        <w:r>
          <w:rPr>
            <w:webHidden/>
          </w:rPr>
          <w:fldChar w:fldCharType="separate"/>
        </w:r>
        <w:r>
          <w:rPr>
            <w:webHidden/>
          </w:rPr>
          <w:t>5</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384" w:history="1">
        <w:r w:rsidRPr="00C31907">
          <w:rPr>
            <w:rStyle w:val="Hyperlink"/>
            <w:rFonts w:asciiTheme="minorEastAsia" w:hAnsiTheme="minorEastAsia" w:hint="eastAsia"/>
            <w:bCs/>
          </w:rPr>
          <w:t>（三）基金管理人的职责</w:t>
        </w:r>
        <w:r>
          <w:rPr>
            <w:webHidden/>
          </w:rPr>
          <w:tab/>
        </w:r>
        <w:r>
          <w:rPr>
            <w:webHidden/>
          </w:rPr>
          <w:fldChar w:fldCharType="begin"/>
        </w:r>
        <w:r>
          <w:rPr>
            <w:webHidden/>
          </w:rPr>
          <w:instrText xml:space="preserve"> PAGEREF _Toc114237384 \h </w:instrText>
        </w:r>
        <w:r>
          <w:rPr>
            <w:webHidden/>
          </w:rPr>
          <w:fldChar w:fldCharType="separate"/>
        </w:r>
        <w:r>
          <w:rPr>
            <w:webHidden/>
          </w:rPr>
          <w:t>11</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385" w:history="1">
        <w:r w:rsidRPr="00C31907">
          <w:rPr>
            <w:rStyle w:val="Hyperlink"/>
            <w:rFonts w:asciiTheme="minorEastAsia" w:hAnsiTheme="minorEastAsia" w:hint="eastAsia"/>
            <w:bCs/>
          </w:rPr>
          <w:t>（四）基金管理人的承诺</w:t>
        </w:r>
        <w:r>
          <w:rPr>
            <w:webHidden/>
          </w:rPr>
          <w:tab/>
        </w:r>
        <w:r>
          <w:rPr>
            <w:webHidden/>
          </w:rPr>
          <w:fldChar w:fldCharType="begin"/>
        </w:r>
        <w:r>
          <w:rPr>
            <w:webHidden/>
          </w:rPr>
          <w:instrText xml:space="preserve"> PAGEREF _Toc114237385 \h </w:instrText>
        </w:r>
        <w:r>
          <w:rPr>
            <w:webHidden/>
          </w:rPr>
          <w:fldChar w:fldCharType="separate"/>
        </w:r>
        <w:r>
          <w:rPr>
            <w:webHidden/>
          </w:rPr>
          <w:t>12</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386" w:history="1">
        <w:r w:rsidRPr="00C31907">
          <w:rPr>
            <w:rStyle w:val="Hyperlink"/>
            <w:rFonts w:asciiTheme="minorEastAsia" w:hAnsiTheme="minorEastAsia" w:hint="eastAsia"/>
            <w:bCs/>
          </w:rPr>
          <w:t>（五）基金管理人的内部控制制度</w:t>
        </w:r>
        <w:r>
          <w:rPr>
            <w:webHidden/>
          </w:rPr>
          <w:tab/>
        </w:r>
        <w:r>
          <w:rPr>
            <w:webHidden/>
          </w:rPr>
          <w:fldChar w:fldCharType="begin"/>
        </w:r>
        <w:r>
          <w:rPr>
            <w:webHidden/>
          </w:rPr>
          <w:instrText xml:space="preserve"> PAGEREF _Toc114237386 \h </w:instrText>
        </w:r>
        <w:r>
          <w:rPr>
            <w:webHidden/>
          </w:rPr>
          <w:fldChar w:fldCharType="separate"/>
        </w:r>
        <w:r>
          <w:rPr>
            <w:webHidden/>
          </w:rPr>
          <w:t>13</w:t>
        </w:r>
        <w:r>
          <w:rPr>
            <w:webHidden/>
          </w:rPr>
          <w:fldChar w:fldCharType="end"/>
        </w:r>
      </w:hyperlink>
    </w:p>
    <w:p w:rsidR="00490741">
      <w:pPr>
        <w:pStyle w:val="TOC1"/>
        <w:rPr>
          <w:rFonts w:asciiTheme="minorHAnsi" w:eastAsiaTheme="minorEastAsia" w:hAnsiTheme="minorHAnsi" w:cstheme="minorBidi"/>
          <w:caps w:val="0"/>
          <w:sz w:val="21"/>
          <w:szCs w:val="22"/>
        </w:rPr>
      </w:pPr>
      <w:hyperlink w:anchor="_Toc114237387" w:history="1">
        <w:r w:rsidRPr="00C31907">
          <w:rPr>
            <w:rStyle w:val="Hyperlink"/>
            <w:rFonts w:asciiTheme="minorEastAsia" w:hAnsiTheme="minorEastAsia" w:hint="eastAsia"/>
            <w:b/>
            <w:bCs/>
          </w:rPr>
          <w:t>四、基金托管人</w:t>
        </w:r>
        <w:r>
          <w:rPr>
            <w:webHidden/>
          </w:rPr>
          <w:tab/>
        </w:r>
        <w:r>
          <w:rPr>
            <w:webHidden/>
          </w:rPr>
          <w:fldChar w:fldCharType="begin"/>
        </w:r>
        <w:r>
          <w:rPr>
            <w:webHidden/>
          </w:rPr>
          <w:instrText xml:space="preserve"> PAGEREF _Toc114237387 \h </w:instrText>
        </w:r>
        <w:r>
          <w:rPr>
            <w:webHidden/>
          </w:rPr>
          <w:fldChar w:fldCharType="separate"/>
        </w:r>
        <w:r>
          <w:rPr>
            <w:webHidden/>
          </w:rPr>
          <w:t>16</w:t>
        </w:r>
        <w:r>
          <w:rPr>
            <w:webHidden/>
          </w:rPr>
          <w:fldChar w:fldCharType="end"/>
        </w:r>
      </w:hyperlink>
    </w:p>
    <w:p w:rsidR="00490741">
      <w:pPr>
        <w:pStyle w:val="TOC1"/>
        <w:rPr>
          <w:rFonts w:asciiTheme="minorHAnsi" w:eastAsiaTheme="minorEastAsia" w:hAnsiTheme="minorHAnsi" w:cstheme="minorBidi"/>
          <w:caps w:val="0"/>
          <w:sz w:val="21"/>
          <w:szCs w:val="22"/>
        </w:rPr>
      </w:pPr>
      <w:hyperlink w:anchor="_Toc114237388" w:history="1">
        <w:r w:rsidRPr="00C31907">
          <w:rPr>
            <w:rStyle w:val="Hyperlink"/>
            <w:rFonts w:asciiTheme="minorEastAsia" w:hAnsiTheme="minorEastAsia" w:hint="eastAsia"/>
            <w:b/>
          </w:rPr>
          <w:t>五、相关服务机构</w:t>
        </w:r>
        <w:r>
          <w:rPr>
            <w:webHidden/>
          </w:rPr>
          <w:tab/>
        </w:r>
        <w:r>
          <w:rPr>
            <w:webHidden/>
          </w:rPr>
          <w:fldChar w:fldCharType="begin"/>
        </w:r>
        <w:r>
          <w:rPr>
            <w:webHidden/>
          </w:rPr>
          <w:instrText xml:space="preserve"> PAGEREF _Toc114237388 \h </w:instrText>
        </w:r>
        <w:r>
          <w:rPr>
            <w:webHidden/>
          </w:rPr>
          <w:fldChar w:fldCharType="separate"/>
        </w:r>
        <w:r>
          <w:rPr>
            <w:webHidden/>
          </w:rPr>
          <w:t>20</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389" w:history="1">
        <w:r w:rsidRPr="00C31907">
          <w:rPr>
            <w:rStyle w:val="Hyperlink"/>
            <w:rFonts w:asciiTheme="minorEastAsia" w:hAnsiTheme="minorEastAsia" w:hint="eastAsia"/>
            <w:bCs/>
          </w:rPr>
          <w:t>（一）基金份额销售机构</w:t>
        </w:r>
        <w:r>
          <w:rPr>
            <w:webHidden/>
          </w:rPr>
          <w:tab/>
        </w:r>
        <w:r>
          <w:rPr>
            <w:webHidden/>
          </w:rPr>
          <w:fldChar w:fldCharType="begin"/>
        </w:r>
        <w:r>
          <w:rPr>
            <w:webHidden/>
          </w:rPr>
          <w:instrText xml:space="preserve"> PAGEREF _Toc114237389 \h </w:instrText>
        </w:r>
        <w:r>
          <w:rPr>
            <w:webHidden/>
          </w:rPr>
          <w:fldChar w:fldCharType="separate"/>
        </w:r>
        <w:r>
          <w:rPr>
            <w:webHidden/>
          </w:rPr>
          <w:t>20</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390" w:history="1">
        <w:r w:rsidRPr="00C31907">
          <w:rPr>
            <w:rStyle w:val="Hyperlink"/>
            <w:rFonts w:asciiTheme="minorEastAsia" w:hAnsiTheme="minorEastAsia" w:hint="eastAsia"/>
            <w:bCs/>
          </w:rPr>
          <w:t>（二）基金注册登记机构</w:t>
        </w:r>
        <w:r>
          <w:rPr>
            <w:webHidden/>
          </w:rPr>
          <w:tab/>
        </w:r>
        <w:r>
          <w:rPr>
            <w:webHidden/>
          </w:rPr>
          <w:fldChar w:fldCharType="begin"/>
        </w:r>
        <w:r>
          <w:rPr>
            <w:webHidden/>
          </w:rPr>
          <w:instrText xml:space="preserve"> PAGEREF _Toc114237390 \h </w:instrText>
        </w:r>
        <w:r>
          <w:rPr>
            <w:webHidden/>
          </w:rPr>
          <w:fldChar w:fldCharType="separate"/>
        </w:r>
        <w:r>
          <w:rPr>
            <w:webHidden/>
          </w:rPr>
          <w:t>20</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391" w:history="1">
        <w:r w:rsidRPr="00C31907">
          <w:rPr>
            <w:rStyle w:val="Hyperlink"/>
            <w:rFonts w:asciiTheme="minorEastAsia" w:hAnsiTheme="minorEastAsia" w:hint="eastAsia"/>
            <w:bCs/>
          </w:rPr>
          <w:t>（三）律师事务所和经办律师</w:t>
        </w:r>
        <w:r>
          <w:rPr>
            <w:webHidden/>
          </w:rPr>
          <w:tab/>
        </w:r>
        <w:r>
          <w:rPr>
            <w:webHidden/>
          </w:rPr>
          <w:fldChar w:fldCharType="begin"/>
        </w:r>
        <w:r>
          <w:rPr>
            <w:webHidden/>
          </w:rPr>
          <w:instrText xml:space="preserve"> PAGEREF _Toc114237391 \h </w:instrText>
        </w:r>
        <w:r>
          <w:rPr>
            <w:webHidden/>
          </w:rPr>
          <w:fldChar w:fldCharType="separate"/>
        </w:r>
        <w:r>
          <w:rPr>
            <w:webHidden/>
          </w:rPr>
          <w:t>20</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392" w:history="1">
        <w:r w:rsidRPr="00C31907">
          <w:rPr>
            <w:rStyle w:val="Hyperlink"/>
            <w:rFonts w:asciiTheme="minorEastAsia" w:hAnsiTheme="minorEastAsia" w:hint="eastAsia"/>
            <w:bCs/>
          </w:rPr>
          <w:t>（四）会计师事务所和经办注册会计师</w:t>
        </w:r>
        <w:r>
          <w:rPr>
            <w:webHidden/>
          </w:rPr>
          <w:tab/>
        </w:r>
        <w:r>
          <w:rPr>
            <w:webHidden/>
          </w:rPr>
          <w:fldChar w:fldCharType="begin"/>
        </w:r>
        <w:r>
          <w:rPr>
            <w:webHidden/>
          </w:rPr>
          <w:instrText xml:space="preserve"> PAGEREF _Toc114237392 \h </w:instrText>
        </w:r>
        <w:r>
          <w:rPr>
            <w:webHidden/>
          </w:rPr>
          <w:fldChar w:fldCharType="separate"/>
        </w:r>
        <w:r>
          <w:rPr>
            <w:webHidden/>
          </w:rPr>
          <w:t>21</w:t>
        </w:r>
        <w:r>
          <w:rPr>
            <w:webHidden/>
          </w:rPr>
          <w:fldChar w:fldCharType="end"/>
        </w:r>
      </w:hyperlink>
    </w:p>
    <w:p w:rsidR="00490741">
      <w:pPr>
        <w:pStyle w:val="TOC1"/>
        <w:rPr>
          <w:rFonts w:asciiTheme="minorHAnsi" w:eastAsiaTheme="minorEastAsia" w:hAnsiTheme="minorHAnsi" w:cstheme="minorBidi"/>
          <w:caps w:val="0"/>
          <w:sz w:val="21"/>
          <w:szCs w:val="22"/>
        </w:rPr>
      </w:pPr>
      <w:hyperlink w:anchor="_Toc114237393" w:history="1">
        <w:r w:rsidRPr="00C31907">
          <w:rPr>
            <w:rStyle w:val="Hyperlink"/>
            <w:rFonts w:asciiTheme="minorEastAsia" w:hAnsiTheme="minorEastAsia" w:hint="eastAsia"/>
            <w:b/>
            <w:bCs/>
          </w:rPr>
          <w:t>六、基金的募集</w:t>
        </w:r>
        <w:r>
          <w:rPr>
            <w:webHidden/>
          </w:rPr>
          <w:tab/>
        </w:r>
        <w:r>
          <w:rPr>
            <w:webHidden/>
          </w:rPr>
          <w:fldChar w:fldCharType="begin"/>
        </w:r>
        <w:r>
          <w:rPr>
            <w:webHidden/>
          </w:rPr>
          <w:instrText xml:space="preserve"> PAGEREF _Toc114237393 \h </w:instrText>
        </w:r>
        <w:r>
          <w:rPr>
            <w:webHidden/>
          </w:rPr>
          <w:fldChar w:fldCharType="separate"/>
        </w:r>
        <w:r>
          <w:rPr>
            <w:webHidden/>
          </w:rPr>
          <w:t>22</w:t>
        </w:r>
        <w:r>
          <w:rPr>
            <w:webHidden/>
          </w:rPr>
          <w:fldChar w:fldCharType="end"/>
        </w:r>
      </w:hyperlink>
    </w:p>
    <w:p w:rsidR="00490741">
      <w:pPr>
        <w:pStyle w:val="TOC1"/>
        <w:rPr>
          <w:rFonts w:asciiTheme="minorHAnsi" w:eastAsiaTheme="minorEastAsia" w:hAnsiTheme="minorHAnsi" w:cstheme="minorBidi"/>
          <w:caps w:val="0"/>
          <w:sz w:val="21"/>
          <w:szCs w:val="22"/>
        </w:rPr>
      </w:pPr>
      <w:hyperlink w:anchor="_Toc114237394" w:history="1">
        <w:r w:rsidRPr="00C31907">
          <w:rPr>
            <w:rStyle w:val="Hyperlink"/>
            <w:rFonts w:asciiTheme="minorEastAsia" w:hAnsiTheme="minorEastAsia" w:hint="eastAsia"/>
            <w:b/>
            <w:bCs/>
          </w:rPr>
          <w:t>七、基金合同的生效</w:t>
        </w:r>
        <w:r>
          <w:rPr>
            <w:webHidden/>
          </w:rPr>
          <w:tab/>
        </w:r>
        <w:r>
          <w:rPr>
            <w:webHidden/>
          </w:rPr>
          <w:fldChar w:fldCharType="begin"/>
        </w:r>
        <w:r>
          <w:rPr>
            <w:webHidden/>
          </w:rPr>
          <w:instrText xml:space="preserve"> PAGEREF _Toc114237394 \h </w:instrText>
        </w:r>
        <w:r>
          <w:rPr>
            <w:webHidden/>
          </w:rPr>
          <w:fldChar w:fldCharType="separate"/>
        </w:r>
        <w:r>
          <w:rPr>
            <w:webHidden/>
          </w:rPr>
          <w:t>23</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395" w:history="1">
        <w:r w:rsidRPr="00C31907">
          <w:rPr>
            <w:rStyle w:val="Hyperlink"/>
            <w:rFonts w:asciiTheme="minorEastAsia" w:hAnsiTheme="minorEastAsia" w:hint="eastAsia"/>
          </w:rPr>
          <w:t>（一）基金合同的生效</w:t>
        </w:r>
        <w:r>
          <w:rPr>
            <w:webHidden/>
          </w:rPr>
          <w:tab/>
        </w:r>
        <w:r>
          <w:rPr>
            <w:webHidden/>
          </w:rPr>
          <w:fldChar w:fldCharType="begin"/>
        </w:r>
        <w:r>
          <w:rPr>
            <w:webHidden/>
          </w:rPr>
          <w:instrText xml:space="preserve"> PAGEREF _Toc114237395 \h </w:instrText>
        </w:r>
        <w:r>
          <w:rPr>
            <w:webHidden/>
          </w:rPr>
          <w:fldChar w:fldCharType="separate"/>
        </w:r>
        <w:r>
          <w:rPr>
            <w:webHidden/>
          </w:rPr>
          <w:t>23</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396" w:history="1">
        <w:r w:rsidRPr="00C31907">
          <w:rPr>
            <w:rStyle w:val="Hyperlink"/>
            <w:rFonts w:asciiTheme="minorEastAsia" w:hAnsiTheme="minorEastAsia" w:hint="eastAsia"/>
          </w:rPr>
          <w:t>（二）基金存续期内的基金份额持有人数量和资金额</w:t>
        </w:r>
        <w:r>
          <w:rPr>
            <w:webHidden/>
          </w:rPr>
          <w:tab/>
        </w:r>
        <w:r>
          <w:rPr>
            <w:webHidden/>
          </w:rPr>
          <w:fldChar w:fldCharType="begin"/>
        </w:r>
        <w:r>
          <w:rPr>
            <w:webHidden/>
          </w:rPr>
          <w:instrText xml:space="preserve"> PAGEREF _Toc114237396 \h </w:instrText>
        </w:r>
        <w:r>
          <w:rPr>
            <w:webHidden/>
          </w:rPr>
          <w:fldChar w:fldCharType="separate"/>
        </w:r>
        <w:r>
          <w:rPr>
            <w:webHidden/>
          </w:rPr>
          <w:t>23</w:t>
        </w:r>
        <w:r>
          <w:rPr>
            <w:webHidden/>
          </w:rPr>
          <w:fldChar w:fldCharType="end"/>
        </w:r>
      </w:hyperlink>
    </w:p>
    <w:p w:rsidR="00490741">
      <w:pPr>
        <w:pStyle w:val="TOC1"/>
        <w:rPr>
          <w:rFonts w:asciiTheme="minorHAnsi" w:eastAsiaTheme="minorEastAsia" w:hAnsiTheme="minorHAnsi" w:cstheme="minorBidi"/>
          <w:caps w:val="0"/>
          <w:sz w:val="21"/>
          <w:szCs w:val="22"/>
        </w:rPr>
      </w:pPr>
      <w:hyperlink w:anchor="_Toc114237397" w:history="1">
        <w:r w:rsidRPr="00C31907">
          <w:rPr>
            <w:rStyle w:val="Hyperlink"/>
            <w:rFonts w:asciiTheme="minorEastAsia" w:hAnsiTheme="minorEastAsia" w:hint="eastAsia"/>
            <w:b/>
            <w:bCs/>
          </w:rPr>
          <w:t>八、基金份额的申购、赎回</w:t>
        </w:r>
        <w:r>
          <w:rPr>
            <w:webHidden/>
          </w:rPr>
          <w:tab/>
        </w:r>
        <w:r>
          <w:rPr>
            <w:webHidden/>
          </w:rPr>
          <w:fldChar w:fldCharType="begin"/>
        </w:r>
        <w:r>
          <w:rPr>
            <w:webHidden/>
          </w:rPr>
          <w:instrText xml:space="preserve"> PAGEREF _Toc114237397 \h </w:instrText>
        </w:r>
        <w:r>
          <w:rPr>
            <w:webHidden/>
          </w:rPr>
          <w:fldChar w:fldCharType="separate"/>
        </w:r>
        <w:r>
          <w:rPr>
            <w:webHidden/>
          </w:rPr>
          <w:t>24</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398" w:history="1">
        <w:r w:rsidRPr="00C31907">
          <w:rPr>
            <w:rStyle w:val="Hyperlink"/>
            <w:rFonts w:asciiTheme="minorEastAsia" w:hAnsiTheme="minorEastAsia" w:hint="eastAsia"/>
          </w:rPr>
          <w:t>（一）基金投资者范围</w:t>
        </w:r>
        <w:r>
          <w:rPr>
            <w:webHidden/>
          </w:rPr>
          <w:tab/>
        </w:r>
        <w:r>
          <w:rPr>
            <w:webHidden/>
          </w:rPr>
          <w:fldChar w:fldCharType="begin"/>
        </w:r>
        <w:r>
          <w:rPr>
            <w:webHidden/>
          </w:rPr>
          <w:instrText xml:space="preserve"> PAGEREF _Toc114237398 \h </w:instrText>
        </w:r>
        <w:r>
          <w:rPr>
            <w:webHidden/>
          </w:rPr>
          <w:fldChar w:fldCharType="separate"/>
        </w:r>
        <w:r>
          <w:rPr>
            <w:webHidden/>
          </w:rPr>
          <w:t>24</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399" w:history="1">
        <w:r w:rsidRPr="00C31907">
          <w:rPr>
            <w:rStyle w:val="Hyperlink"/>
            <w:rFonts w:asciiTheme="minorEastAsia" w:hAnsiTheme="minorEastAsia" w:hint="eastAsia"/>
          </w:rPr>
          <w:t>（二）申购、赎回的场所</w:t>
        </w:r>
        <w:r>
          <w:rPr>
            <w:webHidden/>
          </w:rPr>
          <w:tab/>
        </w:r>
        <w:r>
          <w:rPr>
            <w:webHidden/>
          </w:rPr>
          <w:fldChar w:fldCharType="begin"/>
        </w:r>
        <w:r>
          <w:rPr>
            <w:webHidden/>
          </w:rPr>
          <w:instrText xml:space="preserve"> PAGEREF _Toc114237399 \h </w:instrText>
        </w:r>
        <w:r>
          <w:rPr>
            <w:webHidden/>
          </w:rPr>
          <w:fldChar w:fldCharType="separate"/>
        </w:r>
        <w:r>
          <w:rPr>
            <w:webHidden/>
          </w:rPr>
          <w:t>24</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00" w:history="1">
        <w:r w:rsidRPr="00C31907">
          <w:rPr>
            <w:rStyle w:val="Hyperlink"/>
            <w:rFonts w:asciiTheme="minorEastAsia" w:hAnsiTheme="minorEastAsia" w:hint="eastAsia"/>
          </w:rPr>
          <w:t>（三）申购、赎回的时间</w:t>
        </w:r>
        <w:r>
          <w:rPr>
            <w:webHidden/>
          </w:rPr>
          <w:tab/>
        </w:r>
        <w:r>
          <w:rPr>
            <w:webHidden/>
          </w:rPr>
          <w:fldChar w:fldCharType="begin"/>
        </w:r>
        <w:r>
          <w:rPr>
            <w:webHidden/>
          </w:rPr>
          <w:instrText xml:space="preserve"> PAGEREF _Toc114237400 \h </w:instrText>
        </w:r>
        <w:r>
          <w:rPr>
            <w:webHidden/>
          </w:rPr>
          <w:fldChar w:fldCharType="separate"/>
        </w:r>
        <w:r>
          <w:rPr>
            <w:webHidden/>
          </w:rPr>
          <w:t>24</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01" w:history="1">
        <w:r w:rsidRPr="00C31907">
          <w:rPr>
            <w:rStyle w:val="Hyperlink"/>
            <w:rFonts w:asciiTheme="minorEastAsia" w:hAnsiTheme="minorEastAsia" w:hint="eastAsia"/>
          </w:rPr>
          <w:t>（四）申购、赎回的原则</w:t>
        </w:r>
        <w:r>
          <w:rPr>
            <w:webHidden/>
          </w:rPr>
          <w:tab/>
        </w:r>
        <w:r>
          <w:rPr>
            <w:webHidden/>
          </w:rPr>
          <w:fldChar w:fldCharType="begin"/>
        </w:r>
        <w:r>
          <w:rPr>
            <w:webHidden/>
          </w:rPr>
          <w:instrText xml:space="preserve"> PAGEREF _Toc114237401 \h </w:instrText>
        </w:r>
        <w:r>
          <w:rPr>
            <w:webHidden/>
          </w:rPr>
          <w:fldChar w:fldCharType="separate"/>
        </w:r>
        <w:r>
          <w:rPr>
            <w:webHidden/>
          </w:rPr>
          <w:t>24</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02" w:history="1">
        <w:r w:rsidRPr="00C31907">
          <w:rPr>
            <w:rStyle w:val="Hyperlink"/>
            <w:rFonts w:asciiTheme="minorEastAsia" w:hAnsiTheme="minorEastAsia" w:hint="eastAsia"/>
          </w:rPr>
          <w:t>（五）申购、赎回的程序</w:t>
        </w:r>
        <w:r>
          <w:rPr>
            <w:webHidden/>
          </w:rPr>
          <w:tab/>
        </w:r>
        <w:r>
          <w:rPr>
            <w:webHidden/>
          </w:rPr>
          <w:fldChar w:fldCharType="begin"/>
        </w:r>
        <w:r>
          <w:rPr>
            <w:webHidden/>
          </w:rPr>
          <w:instrText xml:space="preserve"> PAGEREF _Toc114237402 \h </w:instrText>
        </w:r>
        <w:r>
          <w:rPr>
            <w:webHidden/>
          </w:rPr>
          <w:fldChar w:fldCharType="separate"/>
        </w:r>
        <w:r>
          <w:rPr>
            <w:webHidden/>
          </w:rPr>
          <w:t>24</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03" w:history="1">
        <w:r w:rsidRPr="00C31907">
          <w:rPr>
            <w:rStyle w:val="Hyperlink"/>
            <w:rFonts w:asciiTheme="minorEastAsia" w:hAnsiTheme="minorEastAsia" w:hint="eastAsia"/>
          </w:rPr>
          <w:t>（六）申购、赎回的数额限制</w:t>
        </w:r>
        <w:r>
          <w:rPr>
            <w:webHidden/>
          </w:rPr>
          <w:tab/>
        </w:r>
        <w:r>
          <w:rPr>
            <w:webHidden/>
          </w:rPr>
          <w:fldChar w:fldCharType="begin"/>
        </w:r>
        <w:r>
          <w:rPr>
            <w:webHidden/>
          </w:rPr>
          <w:instrText xml:space="preserve"> PAGEREF _Toc114237403 \h </w:instrText>
        </w:r>
        <w:r>
          <w:rPr>
            <w:webHidden/>
          </w:rPr>
          <w:fldChar w:fldCharType="separate"/>
        </w:r>
        <w:r>
          <w:rPr>
            <w:webHidden/>
          </w:rPr>
          <w:t>25</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04" w:history="1">
        <w:r w:rsidRPr="00C31907">
          <w:rPr>
            <w:rStyle w:val="Hyperlink"/>
            <w:rFonts w:asciiTheme="minorEastAsia" w:hAnsiTheme="minorEastAsia" w:hint="eastAsia"/>
          </w:rPr>
          <w:t>（七）申购、赎回的费率</w:t>
        </w:r>
        <w:r>
          <w:rPr>
            <w:webHidden/>
          </w:rPr>
          <w:tab/>
        </w:r>
        <w:r>
          <w:rPr>
            <w:webHidden/>
          </w:rPr>
          <w:fldChar w:fldCharType="begin"/>
        </w:r>
        <w:r>
          <w:rPr>
            <w:webHidden/>
          </w:rPr>
          <w:instrText xml:space="preserve"> PAGEREF _Toc114237404 \h </w:instrText>
        </w:r>
        <w:r>
          <w:rPr>
            <w:webHidden/>
          </w:rPr>
          <w:fldChar w:fldCharType="separate"/>
        </w:r>
        <w:r>
          <w:rPr>
            <w:webHidden/>
          </w:rPr>
          <w:t>26</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05" w:history="1">
        <w:r w:rsidRPr="00C31907">
          <w:rPr>
            <w:rStyle w:val="Hyperlink"/>
            <w:rFonts w:asciiTheme="minorEastAsia" w:hAnsiTheme="minorEastAsia" w:hint="eastAsia"/>
          </w:rPr>
          <w:t>（八）申购份额、赎回金额的计算方式</w:t>
        </w:r>
        <w:r>
          <w:rPr>
            <w:webHidden/>
          </w:rPr>
          <w:tab/>
        </w:r>
        <w:r>
          <w:rPr>
            <w:webHidden/>
          </w:rPr>
          <w:fldChar w:fldCharType="begin"/>
        </w:r>
        <w:r>
          <w:rPr>
            <w:webHidden/>
          </w:rPr>
          <w:instrText xml:space="preserve"> PAGEREF _Toc114237405 \h </w:instrText>
        </w:r>
        <w:r>
          <w:rPr>
            <w:webHidden/>
          </w:rPr>
          <w:fldChar w:fldCharType="separate"/>
        </w:r>
        <w:r>
          <w:rPr>
            <w:webHidden/>
          </w:rPr>
          <w:t>27</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06" w:history="1">
        <w:r w:rsidRPr="00C31907">
          <w:rPr>
            <w:rStyle w:val="Hyperlink"/>
            <w:rFonts w:asciiTheme="minorEastAsia" w:hAnsiTheme="minorEastAsia" w:hint="eastAsia"/>
          </w:rPr>
          <w:t>（九）申购、赎回的注册登记</w:t>
        </w:r>
        <w:r>
          <w:rPr>
            <w:webHidden/>
          </w:rPr>
          <w:tab/>
        </w:r>
        <w:r>
          <w:rPr>
            <w:webHidden/>
          </w:rPr>
          <w:fldChar w:fldCharType="begin"/>
        </w:r>
        <w:r>
          <w:rPr>
            <w:webHidden/>
          </w:rPr>
          <w:instrText xml:space="preserve"> PAGEREF _Toc114237406 \h </w:instrText>
        </w:r>
        <w:r>
          <w:rPr>
            <w:webHidden/>
          </w:rPr>
          <w:fldChar w:fldCharType="separate"/>
        </w:r>
        <w:r>
          <w:rPr>
            <w:webHidden/>
          </w:rPr>
          <w:t>28</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07" w:history="1">
        <w:r w:rsidRPr="00C31907">
          <w:rPr>
            <w:rStyle w:val="Hyperlink"/>
            <w:rFonts w:asciiTheme="minorEastAsia" w:hAnsiTheme="minorEastAsia" w:hint="eastAsia"/>
          </w:rPr>
          <w:t>（十）巨额赎回的认定及处理方式</w:t>
        </w:r>
        <w:r>
          <w:rPr>
            <w:webHidden/>
          </w:rPr>
          <w:tab/>
        </w:r>
        <w:r>
          <w:rPr>
            <w:webHidden/>
          </w:rPr>
          <w:fldChar w:fldCharType="begin"/>
        </w:r>
        <w:r>
          <w:rPr>
            <w:webHidden/>
          </w:rPr>
          <w:instrText xml:space="preserve"> PAGEREF _Toc114237407 \h </w:instrText>
        </w:r>
        <w:r>
          <w:rPr>
            <w:webHidden/>
          </w:rPr>
          <w:fldChar w:fldCharType="separate"/>
        </w:r>
        <w:r>
          <w:rPr>
            <w:webHidden/>
          </w:rPr>
          <w:t>28</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08" w:history="1">
        <w:r w:rsidRPr="00C31907">
          <w:rPr>
            <w:rStyle w:val="Hyperlink"/>
            <w:rFonts w:asciiTheme="minorEastAsia" w:hAnsiTheme="minorEastAsia" w:hint="eastAsia"/>
          </w:rPr>
          <w:t>（十一）拒绝或暂停申购、赎回的情形及处理方式</w:t>
        </w:r>
        <w:r>
          <w:rPr>
            <w:webHidden/>
          </w:rPr>
          <w:tab/>
        </w:r>
        <w:r>
          <w:rPr>
            <w:webHidden/>
          </w:rPr>
          <w:fldChar w:fldCharType="begin"/>
        </w:r>
        <w:r>
          <w:rPr>
            <w:webHidden/>
          </w:rPr>
          <w:instrText xml:space="preserve"> PAGEREF _Toc114237408 \h </w:instrText>
        </w:r>
        <w:r>
          <w:rPr>
            <w:webHidden/>
          </w:rPr>
          <w:fldChar w:fldCharType="separate"/>
        </w:r>
        <w:r>
          <w:rPr>
            <w:webHidden/>
          </w:rPr>
          <w:t>29</w:t>
        </w:r>
        <w:r>
          <w:rPr>
            <w:webHidden/>
          </w:rPr>
          <w:fldChar w:fldCharType="end"/>
        </w:r>
      </w:hyperlink>
    </w:p>
    <w:p w:rsidR="00490741">
      <w:pPr>
        <w:pStyle w:val="TOC1"/>
        <w:rPr>
          <w:rFonts w:asciiTheme="minorHAnsi" w:eastAsiaTheme="minorEastAsia" w:hAnsiTheme="minorHAnsi" w:cstheme="minorBidi"/>
          <w:caps w:val="0"/>
          <w:sz w:val="21"/>
          <w:szCs w:val="22"/>
        </w:rPr>
      </w:pPr>
      <w:hyperlink w:anchor="_Toc114237409" w:history="1">
        <w:r w:rsidRPr="00C31907">
          <w:rPr>
            <w:rStyle w:val="Hyperlink"/>
            <w:rFonts w:asciiTheme="minorEastAsia" w:hAnsiTheme="minorEastAsia" w:hint="eastAsia"/>
            <w:b/>
            <w:bCs/>
          </w:rPr>
          <w:t>九、基金转换</w:t>
        </w:r>
        <w:r>
          <w:rPr>
            <w:webHidden/>
          </w:rPr>
          <w:tab/>
        </w:r>
        <w:r>
          <w:rPr>
            <w:webHidden/>
          </w:rPr>
          <w:fldChar w:fldCharType="begin"/>
        </w:r>
        <w:r>
          <w:rPr>
            <w:webHidden/>
          </w:rPr>
          <w:instrText xml:space="preserve"> PAGEREF _Toc114237409 \h </w:instrText>
        </w:r>
        <w:r>
          <w:rPr>
            <w:webHidden/>
          </w:rPr>
          <w:fldChar w:fldCharType="separate"/>
        </w:r>
        <w:r>
          <w:rPr>
            <w:webHidden/>
          </w:rPr>
          <w:t>31</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10" w:history="1">
        <w:r w:rsidRPr="00C31907">
          <w:rPr>
            <w:rStyle w:val="Hyperlink"/>
            <w:rFonts w:asciiTheme="minorEastAsia" w:hAnsiTheme="minorEastAsia" w:hint="eastAsia"/>
          </w:rPr>
          <w:t>（一）基金转换开始日及时间</w:t>
        </w:r>
        <w:r>
          <w:rPr>
            <w:webHidden/>
          </w:rPr>
          <w:tab/>
        </w:r>
        <w:r>
          <w:rPr>
            <w:webHidden/>
          </w:rPr>
          <w:fldChar w:fldCharType="begin"/>
        </w:r>
        <w:r>
          <w:rPr>
            <w:webHidden/>
          </w:rPr>
          <w:instrText xml:space="preserve"> PAGEREF _Toc114237410 \h </w:instrText>
        </w:r>
        <w:r>
          <w:rPr>
            <w:webHidden/>
          </w:rPr>
          <w:fldChar w:fldCharType="separate"/>
        </w:r>
        <w:r>
          <w:rPr>
            <w:webHidden/>
          </w:rPr>
          <w:t>31</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11" w:history="1">
        <w:r w:rsidRPr="00C31907">
          <w:rPr>
            <w:rStyle w:val="Hyperlink"/>
            <w:rFonts w:asciiTheme="minorEastAsia" w:hAnsiTheme="minorEastAsia" w:hint="eastAsia"/>
          </w:rPr>
          <w:t>（二）基金转换业务规则</w:t>
        </w:r>
        <w:r>
          <w:rPr>
            <w:webHidden/>
          </w:rPr>
          <w:tab/>
        </w:r>
        <w:r>
          <w:rPr>
            <w:webHidden/>
          </w:rPr>
          <w:fldChar w:fldCharType="begin"/>
        </w:r>
        <w:r>
          <w:rPr>
            <w:webHidden/>
          </w:rPr>
          <w:instrText xml:space="preserve"> PAGEREF _Toc114237411 \h </w:instrText>
        </w:r>
        <w:r>
          <w:rPr>
            <w:webHidden/>
          </w:rPr>
          <w:fldChar w:fldCharType="separate"/>
        </w:r>
        <w:r>
          <w:rPr>
            <w:webHidden/>
          </w:rPr>
          <w:t>31</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12" w:history="1">
        <w:r w:rsidRPr="00C31907">
          <w:rPr>
            <w:rStyle w:val="Hyperlink"/>
            <w:rFonts w:asciiTheme="minorEastAsia" w:hAnsiTheme="minorEastAsia" w:hint="eastAsia"/>
          </w:rPr>
          <w:t>（三）基金转换的程序</w:t>
        </w:r>
        <w:r>
          <w:rPr>
            <w:webHidden/>
          </w:rPr>
          <w:tab/>
        </w:r>
        <w:r>
          <w:rPr>
            <w:webHidden/>
          </w:rPr>
          <w:fldChar w:fldCharType="begin"/>
        </w:r>
        <w:r>
          <w:rPr>
            <w:webHidden/>
          </w:rPr>
          <w:instrText xml:space="preserve"> PAGEREF _Toc114237412 \h </w:instrText>
        </w:r>
        <w:r>
          <w:rPr>
            <w:webHidden/>
          </w:rPr>
          <w:fldChar w:fldCharType="separate"/>
        </w:r>
        <w:r>
          <w:rPr>
            <w:webHidden/>
          </w:rPr>
          <w:t>31</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13" w:history="1">
        <w:r w:rsidRPr="00C31907">
          <w:rPr>
            <w:rStyle w:val="Hyperlink"/>
            <w:rFonts w:asciiTheme="minorEastAsia" w:hAnsiTheme="minorEastAsia" w:hint="eastAsia"/>
          </w:rPr>
          <w:t>（四）基金转换的数额限制</w:t>
        </w:r>
        <w:r>
          <w:rPr>
            <w:webHidden/>
          </w:rPr>
          <w:tab/>
        </w:r>
        <w:r>
          <w:rPr>
            <w:webHidden/>
          </w:rPr>
          <w:fldChar w:fldCharType="begin"/>
        </w:r>
        <w:r>
          <w:rPr>
            <w:webHidden/>
          </w:rPr>
          <w:instrText xml:space="preserve"> PAGEREF _Toc114237413 \h </w:instrText>
        </w:r>
        <w:r>
          <w:rPr>
            <w:webHidden/>
          </w:rPr>
          <w:fldChar w:fldCharType="separate"/>
        </w:r>
        <w:r>
          <w:rPr>
            <w:webHidden/>
          </w:rPr>
          <w:t>32</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14" w:history="1">
        <w:r w:rsidRPr="00C31907">
          <w:rPr>
            <w:rStyle w:val="Hyperlink"/>
            <w:rFonts w:asciiTheme="minorEastAsia" w:hAnsiTheme="minorEastAsia" w:hint="eastAsia"/>
          </w:rPr>
          <w:t>（五）基金转换费率</w:t>
        </w:r>
        <w:r>
          <w:rPr>
            <w:webHidden/>
          </w:rPr>
          <w:tab/>
        </w:r>
        <w:r>
          <w:rPr>
            <w:webHidden/>
          </w:rPr>
          <w:fldChar w:fldCharType="begin"/>
        </w:r>
        <w:r>
          <w:rPr>
            <w:webHidden/>
          </w:rPr>
          <w:instrText xml:space="preserve"> PAGEREF _Toc114237414 \h </w:instrText>
        </w:r>
        <w:r>
          <w:rPr>
            <w:webHidden/>
          </w:rPr>
          <w:fldChar w:fldCharType="separate"/>
        </w:r>
        <w:r>
          <w:rPr>
            <w:webHidden/>
          </w:rPr>
          <w:t>32</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15" w:history="1">
        <w:r w:rsidRPr="00C31907">
          <w:rPr>
            <w:rStyle w:val="Hyperlink"/>
            <w:rFonts w:asciiTheme="minorEastAsia" w:hAnsiTheme="minorEastAsia" w:hint="eastAsia"/>
          </w:rPr>
          <w:t>（六）基金转换份额的计算方式</w:t>
        </w:r>
        <w:r>
          <w:rPr>
            <w:webHidden/>
          </w:rPr>
          <w:tab/>
        </w:r>
        <w:r>
          <w:rPr>
            <w:webHidden/>
          </w:rPr>
          <w:fldChar w:fldCharType="begin"/>
        </w:r>
        <w:r>
          <w:rPr>
            <w:webHidden/>
          </w:rPr>
          <w:instrText xml:space="preserve"> PAGEREF _Toc114237415 \h </w:instrText>
        </w:r>
        <w:r>
          <w:rPr>
            <w:webHidden/>
          </w:rPr>
          <w:fldChar w:fldCharType="separate"/>
        </w:r>
        <w:r>
          <w:rPr>
            <w:webHidden/>
          </w:rPr>
          <w:t>32</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16" w:history="1">
        <w:r w:rsidRPr="00C31907">
          <w:rPr>
            <w:rStyle w:val="Hyperlink"/>
            <w:rFonts w:asciiTheme="minorEastAsia" w:hAnsiTheme="minorEastAsia" w:hint="eastAsia"/>
          </w:rPr>
          <w:t>（七）基金转换的注册登记</w:t>
        </w:r>
        <w:r>
          <w:rPr>
            <w:webHidden/>
          </w:rPr>
          <w:tab/>
        </w:r>
        <w:r>
          <w:rPr>
            <w:webHidden/>
          </w:rPr>
          <w:fldChar w:fldCharType="begin"/>
        </w:r>
        <w:r>
          <w:rPr>
            <w:webHidden/>
          </w:rPr>
          <w:instrText xml:space="preserve"> PAGEREF _Toc114237416 \h </w:instrText>
        </w:r>
        <w:r>
          <w:rPr>
            <w:webHidden/>
          </w:rPr>
          <w:fldChar w:fldCharType="separate"/>
        </w:r>
        <w:r>
          <w:rPr>
            <w:webHidden/>
          </w:rPr>
          <w:t>34</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17" w:history="1">
        <w:r w:rsidRPr="00C31907">
          <w:rPr>
            <w:rStyle w:val="Hyperlink"/>
            <w:rFonts w:asciiTheme="minorEastAsia" w:hAnsiTheme="minorEastAsia" w:hint="eastAsia"/>
          </w:rPr>
          <w:t>（八）基金转换与巨额赎回</w:t>
        </w:r>
        <w:r>
          <w:rPr>
            <w:webHidden/>
          </w:rPr>
          <w:tab/>
        </w:r>
        <w:r>
          <w:rPr>
            <w:webHidden/>
          </w:rPr>
          <w:fldChar w:fldCharType="begin"/>
        </w:r>
        <w:r>
          <w:rPr>
            <w:webHidden/>
          </w:rPr>
          <w:instrText xml:space="preserve"> PAGEREF _Toc114237417 \h </w:instrText>
        </w:r>
        <w:r>
          <w:rPr>
            <w:webHidden/>
          </w:rPr>
          <w:fldChar w:fldCharType="separate"/>
        </w:r>
        <w:r>
          <w:rPr>
            <w:webHidden/>
          </w:rPr>
          <w:t>34</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18" w:history="1">
        <w:r w:rsidRPr="00C31907">
          <w:rPr>
            <w:rStyle w:val="Hyperlink"/>
            <w:rFonts w:asciiTheme="minorEastAsia" w:hAnsiTheme="minorEastAsia" w:hint="eastAsia"/>
          </w:rPr>
          <w:t>（九）暂停基金转换的情形</w:t>
        </w:r>
        <w:r>
          <w:rPr>
            <w:webHidden/>
          </w:rPr>
          <w:tab/>
        </w:r>
        <w:r>
          <w:rPr>
            <w:webHidden/>
          </w:rPr>
          <w:fldChar w:fldCharType="begin"/>
        </w:r>
        <w:r>
          <w:rPr>
            <w:webHidden/>
          </w:rPr>
          <w:instrText xml:space="preserve"> PAGEREF _Toc114237418 \h </w:instrText>
        </w:r>
        <w:r>
          <w:rPr>
            <w:webHidden/>
          </w:rPr>
          <w:fldChar w:fldCharType="separate"/>
        </w:r>
        <w:r>
          <w:rPr>
            <w:webHidden/>
          </w:rPr>
          <w:t>34</w:t>
        </w:r>
        <w:r>
          <w:rPr>
            <w:webHidden/>
          </w:rPr>
          <w:fldChar w:fldCharType="end"/>
        </w:r>
      </w:hyperlink>
    </w:p>
    <w:p w:rsidR="00490741">
      <w:pPr>
        <w:pStyle w:val="TOC1"/>
        <w:rPr>
          <w:rFonts w:asciiTheme="minorHAnsi" w:eastAsiaTheme="minorEastAsia" w:hAnsiTheme="minorHAnsi" w:cstheme="minorBidi"/>
          <w:caps w:val="0"/>
          <w:sz w:val="21"/>
          <w:szCs w:val="22"/>
        </w:rPr>
      </w:pPr>
      <w:hyperlink w:anchor="_Toc114237419" w:history="1">
        <w:r w:rsidRPr="00C31907">
          <w:rPr>
            <w:rStyle w:val="Hyperlink"/>
            <w:rFonts w:asciiTheme="minorEastAsia" w:hAnsiTheme="minorEastAsia" w:hint="eastAsia"/>
            <w:b/>
            <w:bCs/>
          </w:rPr>
          <w:t>十、基金的非交易过户、转托管、冻结与质押</w:t>
        </w:r>
        <w:r>
          <w:rPr>
            <w:webHidden/>
          </w:rPr>
          <w:tab/>
        </w:r>
        <w:r>
          <w:rPr>
            <w:webHidden/>
          </w:rPr>
          <w:fldChar w:fldCharType="begin"/>
        </w:r>
        <w:r>
          <w:rPr>
            <w:webHidden/>
          </w:rPr>
          <w:instrText xml:space="preserve"> PAGEREF _Toc114237419 \h </w:instrText>
        </w:r>
        <w:r>
          <w:rPr>
            <w:webHidden/>
          </w:rPr>
          <w:fldChar w:fldCharType="separate"/>
        </w:r>
        <w:r>
          <w:rPr>
            <w:webHidden/>
          </w:rPr>
          <w:t>36</w:t>
        </w:r>
        <w:r>
          <w:rPr>
            <w:webHidden/>
          </w:rPr>
          <w:fldChar w:fldCharType="end"/>
        </w:r>
      </w:hyperlink>
    </w:p>
    <w:p w:rsidR="00490741">
      <w:pPr>
        <w:pStyle w:val="TOC1"/>
        <w:rPr>
          <w:rFonts w:asciiTheme="minorHAnsi" w:eastAsiaTheme="minorEastAsia" w:hAnsiTheme="minorHAnsi" w:cstheme="minorBidi"/>
          <w:caps w:val="0"/>
          <w:sz w:val="21"/>
          <w:szCs w:val="22"/>
        </w:rPr>
      </w:pPr>
      <w:hyperlink w:anchor="_Toc114237420" w:history="1">
        <w:r w:rsidRPr="00C31907">
          <w:rPr>
            <w:rStyle w:val="Hyperlink"/>
            <w:rFonts w:asciiTheme="minorEastAsia" w:hAnsiTheme="minorEastAsia" w:hint="eastAsia"/>
            <w:b/>
            <w:bCs/>
          </w:rPr>
          <w:t>十一、基金的投资</w:t>
        </w:r>
        <w:r>
          <w:rPr>
            <w:webHidden/>
          </w:rPr>
          <w:tab/>
        </w:r>
        <w:r>
          <w:rPr>
            <w:webHidden/>
          </w:rPr>
          <w:fldChar w:fldCharType="begin"/>
        </w:r>
        <w:r>
          <w:rPr>
            <w:webHidden/>
          </w:rPr>
          <w:instrText xml:space="preserve"> PAGEREF _Toc114237420 \h </w:instrText>
        </w:r>
        <w:r>
          <w:rPr>
            <w:webHidden/>
          </w:rPr>
          <w:fldChar w:fldCharType="separate"/>
        </w:r>
        <w:r>
          <w:rPr>
            <w:webHidden/>
          </w:rPr>
          <w:t>37</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21" w:history="1">
        <w:r w:rsidRPr="00C31907">
          <w:rPr>
            <w:rStyle w:val="Hyperlink"/>
            <w:rFonts w:asciiTheme="minorEastAsia" w:hAnsiTheme="minorEastAsia" w:hint="eastAsia"/>
          </w:rPr>
          <w:t>（一）投资目标</w:t>
        </w:r>
        <w:r>
          <w:rPr>
            <w:webHidden/>
          </w:rPr>
          <w:tab/>
        </w:r>
        <w:r>
          <w:rPr>
            <w:webHidden/>
          </w:rPr>
          <w:fldChar w:fldCharType="begin"/>
        </w:r>
        <w:r>
          <w:rPr>
            <w:webHidden/>
          </w:rPr>
          <w:instrText xml:space="preserve"> PAGEREF _Toc114237421 \h </w:instrText>
        </w:r>
        <w:r>
          <w:rPr>
            <w:webHidden/>
          </w:rPr>
          <w:fldChar w:fldCharType="separate"/>
        </w:r>
        <w:r>
          <w:rPr>
            <w:webHidden/>
          </w:rPr>
          <w:t>37</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22" w:history="1">
        <w:r w:rsidRPr="00C31907">
          <w:rPr>
            <w:rStyle w:val="Hyperlink"/>
            <w:rFonts w:asciiTheme="minorEastAsia" w:hAnsiTheme="minorEastAsia" w:hint="eastAsia"/>
          </w:rPr>
          <w:t>（</w:t>
        </w:r>
        <w:r w:rsidRPr="00C31907">
          <w:rPr>
            <w:rStyle w:val="Hyperlink"/>
            <w:rFonts w:asciiTheme="minorEastAsia" w:hAnsiTheme="minorEastAsia" w:hint="eastAsia"/>
            <w:bCs/>
          </w:rPr>
          <w:t>二</w:t>
        </w:r>
        <w:r w:rsidRPr="00C31907">
          <w:rPr>
            <w:rStyle w:val="Hyperlink"/>
            <w:rFonts w:asciiTheme="minorEastAsia" w:hAnsiTheme="minorEastAsia" w:hint="eastAsia"/>
          </w:rPr>
          <w:t>）</w:t>
        </w:r>
        <w:r w:rsidRPr="00C31907">
          <w:rPr>
            <w:rStyle w:val="Hyperlink"/>
            <w:rFonts w:asciiTheme="minorEastAsia" w:hAnsiTheme="minorEastAsia" w:hint="eastAsia"/>
            <w:bCs/>
          </w:rPr>
          <w:t>投资范围</w:t>
        </w:r>
        <w:r>
          <w:rPr>
            <w:webHidden/>
          </w:rPr>
          <w:tab/>
        </w:r>
        <w:r>
          <w:rPr>
            <w:webHidden/>
          </w:rPr>
          <w:fldChar w:fldCharType="begin"/>
        </w:r>
        <w:r>
          <w:rPr>
            <w:webHidden/>
          </w:rPr>
          <w:instrText xml:space="preserve"> PAGEREF _Toc114237422 \h </w:instrText>
        </w:r>
        <w:r>
          <w:rPr>
            <w:webHidden/>
          </w:rPr>
          <w:fldChar w:fldCharType="separate"/>
        </w:r>
        <w:r>
          <w:rPr>
            <w:webHidden/>
          </w:rPr>
          <w:t>37</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23" w:history="1">
        <w:r w:rsidRPr="00C31907">
          <w:rPr>
            <w:rStyle w:val="Hyperlink"/>
            <w:rFonts w:asciiTheme="minorEastAsia" w:hAnsiTheme="minorEastAsia" w:hint="eastAsia"/>
            <w:bCs/>
          </w:rPr>
          <w:t>（三）投资理念</w:t>
        </w:r>
        <w:r>
          <w:rPr>
            <w:webHidden/>
          </w:rPr>
          <w:tab/>
        </w:r>
        <w:r>
          <w:rPr>
            <w:webHidden/>
          </w:rPr>
          <w:fldChar w:fldCharType="begin"/>
        </w:r>
        <w:r>
          <w:rPr>
            <w:webHidden/>
          </w:rPr>
          <w:instrText xml:space="preserve"> PAGEREF _Toc114237423 \h </w:instrText>
        </w:r>
        <w:r>
          <w:rPr>
            <w:webHidden/>
          </w:rPr>
          <w:fldChar w:fldCharType="separate"/>
        </w:r>
        <w:r>
          <w:rPr>
            <w:webHidden/>
          </w:rPr>
          <w:t>37</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24" w:history="1">
        <w:r w:rsidRPr="00C31907">
          <w:rPr>
            <w:rStyle w:val="Hyperlink"/>
            <w:rFonts w:asciiTheme="minorEastAsia" w:hAnsiTheme="minorEastAsia" w:hint="eastAsia"/>
            <w:bCs/>
          </w:rPr>
          <w:t>（四）投资策略</w:t>
        </w:r>
        <w:r>
          <w:rPr>
            <w:webHidden/>
          </w:rPr>
          <w:tab/>
        </w:r>
        <w:r>
          <w:rPr>
            <w:webHidden/>
          </w:rPr>
          <w:fldChar w:fldCharType="begin"/>
        </w:r>
        <w:r>
          <w:rPr>
            <w:webHidden/>
          </w:rPr>
          <w:instrText xml:space="preserve"> PAGEREF _Toc114237424 \h </w:instrText>
        </w:r>
        <w:r>
          <w:rPr>
            <w:webHidden/>
          </w:rPr>
          <w:fldChar w:fldCharType="separate"/>
        </w:r>
        <w:r>
          <w:rPr>
            <w:webHidden/>
          </w:rPr>
          <w:t>37</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25" w:history="1">
        <w:r w:rsidRPr="00C31907">
          <w:rPr>
            <w:rStyle w:val="Hyperlink"/>
            <w:rFonts w:asciiTheme="minorEastAsia" w:hAnsiTheme="minorEastAsia" w:hint="eastAsia"/>
            <w:bCs/>
          </w:rPr>
          <w:t>（五）业绩比较基准</w:t>
        </w:r>
        <w:r>
          <w:rPr>
            <w:webHidden/>
          </w:rPr>
          <w:tab/>
        </w:r>
        <w:r>
          <w:rPr>
            <w:webHidden/>
          </w:rPr>
          <w:fldChar w:fldCharType="begin"/>
        </w:r>
        <w:r>
          <w:rPr>
            <w:webHidden/>
          </w:rPr>
          <w:instrText xml:space="preserve"> PAGEREF _Toc114237425 \h </w:instrText>
        </w:r>
        <w:r>
          <w:rPr>
            <w:webHidden/>
          </w:rPr>
          <w:fldChar w:fldCharType="separate"/>
        </w:r>
        <w:r>
          <w:rPr>
            <w:webHidden/>
          </w:rPr>
          <w:t>40</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26" w:history="1">
        <w:r w:rsidRPr="00C31907">
          <w:rPr>
            <w:rStyle w:val="Hyperlink"/>
            <w:rFonts w:asciiTheme="minorEastAsia" w:hAnsiTheme="minorEastAsia" w:hint="eastAsia"/>
            <w:bCs/>
          </w:rPr>
          <w:t>（六）风险收益特征</w:t>
        </w:r>
        <w:r>
          <w:rPr>
            <w:webHidden/>
          </w:rPr>
          <w:tab/>
        </w:r>
        <w:r>
          <w:rPr>
            <w:webHidden/>
          </w:rPr>
          <w:fldChar w:fldCharType="begin"/>
        </w:r>
        <w:r>
          <w:rPr>
            <w:webHidden/>
          </w:rPr>
          <w:instrText xml:space="preserve"> PAGEREF _Toc114237426 \h </w:instrText>
        </w:r>
        <w:r>
          <w:rPr>
            <w:webHidden/>
          </w:rPr>
          <w:fldChar w:fldCharType="separate"/>
        </w:r>
        <w:r>
          <w:rPr>
            <w:webHidden/>
          </w:rPr>
          <w:t>40</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27" w:history="1">
        <w:r w:rsidRPr="00C31907">
          <w:rPr>
            <w:rStyle w:val="Hyperlink"/>
            <w:rFonts w:asciiTheme="minorEastAsia" w:hAnsiTheme="minorEastAsia" w:hint="eastAsia"/>
            <w:bCs/>
          </w:rPr>
          <w:t>（七）投资决策</w:t>
        </w:r>
        <w:r>
          <w:rPr>
            <w:webHidden/>
          </w:rPr>
          <w:tab/>
        </w:r>
        <w:r>
          <w:rPr>
            <w:webHidden/>
          </w:rPr>
          <w:fldChar w:fldCharType="begin"/>
        </w:r>
        <w:r>
          <w:rPr>
            <w:webHidden/>
          </w:rPr>
          <w:instrText xml:space="preserve"> PAGEREF _Toc114237427 \h </w:instrText>
        </w:r>
        <w:r>
          <w:rPr>
            <w:webHidden/>
          </w:rPr>
          <w:fldChar w:fldCharType="separate"/>
        </w:r>
        <w:r>
          <w:rPr>
            <w:webHidden/>
          </w:rPr>
          <w:t>40</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28" w:history="1">
        <w:r w:rsidRPr="00C31907">
          <w:rPr>
            <w:rStyle w:val="Hyperlink"/>
            <w:rFonts w:asciiTheme="minorEastAsia" w:hAnsiTheme="minorEastAsia" w:hint="eastAsia"/>
            <w:bCs/>
          </w:rPr>
          <w:t>（八）投资组合限制</w:t>
        </w:r>
        <w:r>
          <w:rPr>
            <w:webHidden/>
          </w:rPr>
          <w:tab/>
        </w:r>
        <w:r>
          <w:rPr>
            <w:webHidden/>
          </w:rPr>
          <w:fldChar w:fldCharType="begin"/>
        </w:r>
        <w:r>
          <w:rPr>
            <w:webHidden/>
          </w:rPr>
          <w:instrText xml:space="preserve"> PAGEREF _Toc114237428 \h </w:instrText>
        </w:r>
        <w:r>
          <w:rPr>
            <w:webHidden/>
          </w:rPr>
          <w:fldChar w:fldCharType="separate"/>
        </w:r>
        <w:r>
          <w:rPr>
            <w:webHidden/>
          </w:rPr>
          <w:t>41</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29" w:history="1">
        <w:r w:rsidRPr="00C31907">
          <w:rPr>
            <w:rStyle w:val="Hyperlink"/>
            <w:rFonts w:asciiTheme="minorEastAsia" w:hAnsiTheme="minorEastAsia" w:hint="eastAsia"/>
            <w:bCs/>
          </w:rPr>
          <w:t>（九）禁止行为</w:t>
        </w:r>
        <w:r>
          <w:rPr>
            <w:webHidden/>
          </w:rPr>
          <w:tab/>
        </w:r>
        <w:r>
          <w:rPr>
            <w:webHidden/>
          </w:rPr>
          <w:fldChar w:fldCharType="begin"/>
        </w:r>
        <w:r>
          <w:rPr>
            <w:webHidden/>
          </w:rPr>
          <w:instrText xml:space="preserve"> PAGEREF _Toc114237429 \h </w:instrText>
        </w:r>
        <w:r>
          <w:rPr>
            <w:webHidden/>
          </w:rPr>
          <w:fldChar w:fldCharType="separate"/>
        </w:r>
        <w:r>
          <w:rPr>
            <w:webHidden/>
          </w:rPr>
          <w:t>41</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30" w:history="1">
        <w:r w:rsidRPr="00C31907">
          <w:rPr>
            <w:rStyle w:val="Hyperlink"/>
            <w:rFonts w:asciiTheme="minorEastAsia" w:hAnsiTheme="minorEastAsia" w:hint="eastAsia"/>
            <w:bCs/>
          </w:rPr>
          <w:t>（十）基金管理人代表基金行使所投资证券产生权利的处理原则及方法</w:t>
        </w:r>
        <w:r>
          <w:rPr>
            <w:webHidden/>
          </w:rPr>
          <w:tab/>
        </w:r>
        <w:r>
          <w:rPr>
            <w:webHidden/>
          </w:rPr>
          <w:fldChar w:fldCharType="begin"/>
        </w:r>
        <w:r>
          <w:rPr>
            <w:webHidden/>
          </w:rPr>
          <w:instrText xml:space="preserve"> PAGEREF _Toc114237430 \h </w:instrText>
        </w:r>
        <w:r>
          <w:rPr>
            <w:webHidden/>
          </w:rPr>
          <w:fldChar w:fldCharType="separate"/>
        </w:r>
        <w:r>
          <w:rPr>
            <w:webHidden/>
          </w:rPr>
          <w:t>42</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31" w:history="1">
        <w:r w:rsidRPr="00C31907">
          <w:rPr>
            <w:rStyle w:val="Hyperlink"/>
            <w:rFonts w:asciiTheme="minorEastAsia" w:hAnsiTheme="minorEastAsia" w:hint="eastAsia"/>
            <w:bCs/>
          </w:rPr>
          <w:t>（十</w:t>
        </w:r>
        <w:r w:rsidRPr="00C31907">
          <w:rPr>
            <w:rStyle w:val="Hyperlink"/>
            <w:rFonts w:asciiTheme="minorEastAsia" w:hAnsiTheme="minorEastAsia" w:hint="eastAsia"/>
          </w:rPr>
          <w:t>一</w:t>
        </w:r>
        <w:r w:rsidRPr="00C31907">
          <w:rPr>
            <w:rStyle w:val="Hyperlink"/>
            <w:rFonts w:asciiTheme="minorEastAsia" w:hAnsiTheme="minorEastAsia" w:hint="eastAsia"/>
            <w:bCs/>
          </w:rPr>
          <w:t>）基金的融资</w:t>
        </w:r>
        <w:r>
          <w:rPr>
            <w:webHidden/>
          </w:rPr>
          <w:tab/>
        </w:r>
        <w:r>
          <w:rPr>
            <w:webHidden/>
          </w:rPr>
          <w:fldChar w:fldCharType="begin"/>
        </w:r>
        <w:r>
          <w:rPr>
            <w:webHidden/>
          </w:rPr>
          <w:instrText xml:space="preserve"> PAGEREF _Toc114237431 \h </w:instrText>
        </w:r>
        <w:r>
          <w:rPr>
            <w:webHidden/>
          </w:rPr>
          <w:fldChar w:fldCharType="separate"/>
        </w:r>
        <w:r>
          <w:rPr>
            <w:webHidden/>
          </w:rPr>
          <w:t>42</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32" w:history="1">
        <w:r w:rsidRPr="00C31907">
          <w:rPr>
            <w:rStyle w:val="Hyperlink"/>
            <w:rFonts w:asciiTheme="minorEastAsia" w:hAnsiTheme="minorEastAsia" w:hint="eastAsia"/>
            <w:bCs/>
          </w:rPr>
          <w:t>（十</w:t>
        </w:r>
        <w:r w:rsidRPr="00C31907">
          <w:rPr>
            <w:rStyle w:val="Hyperlink"/>
            <w:rFonts w:asciiTheme="minorEastAsia" w:hAnsiTheme="minorEastAsia" w:hint="eastAsia"/>
          </w:rPr>
          <w:t>二</w:t>
        </w:r>
        <w:r w:rsidRPr="00C31907">
          <w:rPr>
            <w:rStyle w:val="Hyperlink"/>
            <w:rFonts w:asciiTheme="minorEastAsia" w:hAnsiTheme="minorEastAsia" w:hint="eastAsia"/>
            <w:bCs/>
          </w:rPr>
          <w:t>）基金投资组合报告</w:t>
        </w:r>
        <w:r w:rsidRPr="00C31907">
          <w:rPr>
            <w:rStyle w:val="Hyperlink"/>
            <w:rFonts w:asciiTheme="minorEastAsia" w:hAnsiTheme="minorEastAsia"/>
            <w:bCs/>
          </w:rPr>
          <w:t>(</w:t>
        </w:r>
        <w:r w:rsidRPr="00C31907">
          <w:rPr>
            <w:rStyle w:val="Hyperlink"/>
            <w:rFonts w:asciiTheme="minorEastAsia" w:hAnsiTheme="minorEastAsia" w:hint="eastAsia"/>
            <w:bCs/>
          </w:rPr>
          <w:t>未经审计</w:t>
        </w:r>
        <w:r w:rsidRPr="00C31907">
          <w:rPr>
            <w:rStyle w:val="Hyperlink"/>
            <w:rFonts w:asciiTheme="minorEastAsia" w:hAnsiTheme="minorEastAsia"/>
            <w:bCs/>
          </w:rPr>
          <w:t>)</w:t>
        </w:r>
        <w:r>
          <w:rPr>
            <w:webHidden/>
          </w:rPr>
          <w:tab/>
        </w:r>
        <w:r>
          <w:rPr>
            <w:webHidden/>
          </w:rPr>
          <w:fldChar w:fldCharType="begin"/>
        </w:r>
        <w:r>
          <w:rPr>
            <w:webHidden/>
          </w:rPr>
          <w:instrText xml:space="preserve"> PAGEREF _Toc114237432 \h </w:instrText>
        </w:r>
        <w:r>
          <w:rPr>
            <w:webHidden/>
          </w:rPr>
          <w:fldChar w:fldCharType="separate"/>
        </w:r>
        <w:r>
          <w:rPr>
            <w:webHidden/>
          </w:rPr>
          <w:t>42</w:t>
        </w:r>
        <w:r>
          <w:rPr>
            <w:webHidden/>
          </w:rPr>
          <w:fldChar w:fldCharType="end"/>
        </w:r>
      </w:hyperlink>
    </w:p>
    <w:p w:rsidR="00490741">
      <w:pPr>
        <w:pStyle w:val="TOC1"/>
        <w:rPr>
          <w:rFonts w:asciiTheme="minorHAnsi" w:eastAsiaTheme="minorEastAsia" w:hAnsiTheme="minorHAnsi" w:cstheme="minorBidi"/>
          <w:caps w:val="0"/>
          <w:sz w:val="21"/>
          <w:szCs w:val="22"/>
        </w:rPr>
      </w:pPr>
      <w:hyperlink w:anchor="_Toc114237433" w:history="1">
        <w:r w:rsidRPr="00C31907">
          <w:rPr>
            <w:rStyle w:val="Hyperlink"/>
            <w:rFonts w:asciiTheme="minorEastAsia" w:hAnsiTheme="minorEastAsia" w:hint="eastAsia"/>
            <w:b/>
            <w:bCs/>
          </w:rPr>
          <w:t>十二、基金的业绩</w:t>
        </w:r>
        <w:r>
          <w:rPr>
            <w:webHidden/>
          </w:rPr>
          <w:tab/>
        </w:r>
        <w:r>
          <w:rPr>
            <w:webHidden/>
          </w:rPr>
          <w:fldChar w:fldCharType="begin"/>
        </w:r>
        <w:r>
          <w:rPr>
            <w:webHidden/>
          </w:rPr>
          <w:instrText xml:space="preserve"> PAGEREF _Toc114237433 \h </w:instrText>
        </w:r>
        <w:r>
          <w:rPr>
            <w:webHidden/>
          </w:rPr>
          <w:fldChar w:fldCharType="separate"/>
        </w:r>
        <w:r>
          <w:rPr>
            <w:webHidden/>
          </w:rPr>
          <w:t>46</w:t>
        </w:r>
        <w:r>
          <w:rPr>
            <w:webHidden/>
          </w:rPr>
          <w:fldChar w:fldCharType="end"/>
        </w:r>
      </w:hyperlink>
    </w:p>
    <w:p w:rsidR="00490741">
      <w:pPr>
        <w:pStyle w:val="TOC1"/>
        <w:rPr>
          <w:rFonts w:asciiTheme="minorHAnsi" w:eastAsiaTheme="minorEastAsia" w:hAnsiTheme="minorHAnsi" w:cstheme="minorBidi"/>
          <w:caps w:val="0"/>
          <w:sz w:val="21"/>
          <w:szCs w:val="22"/>
        </w:rPr>
      </w:pPr>
      <w:hyperlink w:anchor="_Toc114237434" w:history="1">
        <w:r w:rsidRPr="00C31907">
          <w:rPr>
            <w:rStyle w:val="Hyperlink"/>
            <w:rFonts w:asciiTheme="minorEastAsia" w:hAnsiTheme="minorEastAsia" w:hint="eastAsia"/>
            <w:b/>
            <w:bCs/>
          </w:rPr>
          <w:t>十三、基金的财产</w:t>
        </w:r>
        <w:r>
          <w:rPr>
            <w:webHidden/>
          </w:rPr>
          <w:tab/>
        </w:r>
        <w:r>
          <w:rPr>
            <w:webHidden/>
          </w:rPr>
          <w:fldChar w:fldCharType="begin"/>
        </w:r>
        <w:r>
          <w:rPr>
            <w:webHidden/>
          </w:rPr>
          <w:instrText xml:space="preserve"> PAGEREF _Toc114237434 \h </w:instrText>
        </w:r>
        <w:r>
          <w:rPr>
            <w:webHidden/>
          </w:rPr>
          <w:fldChar w:fldCharType="separate"/>
        </w:r>
        <w:r>
          <w:rPr>
            <w:webHidden/>
          </w:rPr>
          <w:t>47</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35" w:history="1">
        <w:r w:rsidRPr="00C31907">
          <w:rPr>
            <w:rStyle w:val="Hyperlink"/>
            <w:rFonts w:asciiTheme="minorEastAsia" w:hAnsiTheme="minorEastAsia" w:hint="eastAsia"/>
          </w:rPr>
          <w:t>（一）基金资产总值</w:t>
        </w:r>
        <w:r>
          <w:rPr>
            <w:webHidden/>
          </w:rPr>
          <w:tab/>
        </w:r>
        <w:r>
          <w:rPr>
            <w:webHidden/>
          </w:rPr>
          <w:fldChar w:fldCharType="begin"/>
        </w:r>
        <w:r>
          <w:rPr>
            <w:webHidden/>
          </w:rPr>
          <w:instrText xml:space="preserve"> PAGEREF _Toc114237435 \h </w:instrText>
        </w:r>
        <w:r>
          <w:rPr>
            <w:webHidden/>
          </w:rPr>
          <w:fldChar w:fldCharType="separate"/>
        </w:r>
        <w:r>
          <w:rPr>
            <w:webHidden/>
          </w:rPr>
          <w:t>47</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36" w:history="1">
        <w:r w:rsidRPr="00C31907">
          <w:rPr>
            <w:rStyle w:val="Hyperlink"/>
            <w:rFonts w:asciiTheme="minorEastAsia" w:hAnsiTheme="minorEastAsia" w:hint="eastAsia"/>
          </w:rPr>
          <w:t>（二）基金资产净值</w:t>
        </w:r>
        <w:r>
          <w:rPr>
            <w:webHidden/>
          </w:rPr>
          <w:tab/>
        </w:r>
        <w:r>
          <w:rPr>
            <w:webHidden/>
          </w:rPr>
          <w:fldChar w:fldCharType="begin"/>
        </w:r>
        <w:r>
          <w:rPr>
            <w:webHidden/>
          </w:rPr>
          <w:instrText xml:space="preserve"> PAGEREF _Toc114237436 \h </w:instrText>
        </w:r>
        <w:r>
          <w:rPr>
            <w:webHidden/>
          </w:rPr>
          <w:fldChar w:fldCharType="separate"/>
        </w:r>
        <w:r>
          <w:rPr>
            <w:webHidden/>
          </w:rPr>
          <w:t>47</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37" w:history="1">
        <w:r w:rsidRPr="00C31907">
          <w:rPr>
            <w:rStyle w:val="Hyperlink"/>
            <w:rFonts w:asciiTheme="minorEastAsia" w:hAnsiTheme="minorEastAsia" w:hint="eastAsia"/>
          </w:rPr>
          <w:t>（三）基金财产的帐户</w:t>
        </w:r>
        <w:r>
          <w:rPr>
            <w:webHidden/>
          </w:rPr>
          <w:tab/>
        </w:r>
        <w:r>
          <w:rPr>
            <w:webHidden/>
          </w:rPr>
          <w:fldChar w:fldCharType="begin"/>
        </w:r>
        <w:r>
          <w:rPr>
            <w:webHidden/>
          </w:rPr>
          <w:instrText xml:space="preserve"> PAGEREF _Toc114237437 \h </w:instrText>
        </w:r>
        <w:r>
          <w:rPr>
            <w:webHidden/>
          </w:rPr>
          <w:fldChar w:fldCharType="separate"/>
        </w:r>
        <w:r>
          <w:rPr>
            <w:webHidden/>
          </w:rPr>
          <w:t>47</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38" w:history="1">
        <w:r w:rsidRPr="00C31907">
          <w:rPr>
            <w:rStyle w:val="Hyperlink"/>
            <w:rFonts w:asciiTheme="minorEastAsia" w:hAnsiTheme="minorEastAsia" w:hint="eastAsia"/>
          </w:rPr>
          <w:t>（四）基金财产的保管与处分</w:t>
        </w:r>
        <w:r>
          <w:rPr>
            <w:webHidden/>
          </w:rPr>
          <w:tab/>
        </w:r>
        <w:r>
          <w:rPr>
            <w:webHidden/>
          </w:rPr>
          <w:fldChar w:fldCharType="begin"/>
        </w:r>
        <w:r>
          <w:rPr>
            <w:webHidden/>
          </w:rPr>
          <w:instrText xml:space="preserve"> PAGEREF _Toc114237438 \h </w:instrText>
        </w:r>
        <w:r>
          <w:rPr>
            <w:webHidden/>
          </w:rPr>
          <w:fldChar w:fldCharType="separate"/>
        </w:r>
        <w:r>
          <w:rPr>
            <w:webHidden/>
          </w:rPr>
          <w:t>47</w:t>
        </w:r>
        <w:r>
          <w:rPr>
            <w:webHidden/>
          </w:rPr>
          <w:fldChar w:fldCharType="end"/>
        </w:r>
      </w:hyperlink>
    </w:p>
    <w:p w:rsidR="00490741">
      <w:pPr>
        <w:pStyle w:val="TOC1"/>
        <w:rPr>
          <w:rFonts w:asciiTheme="minorHAnsi" w:eastAsiaTheme="minorEastAsia" w:hAnsiTheme="minorHAnsi" w:cstheme="minorBidi"/>
          <w:caps w:val="0"/>
          <w:sz w:val="21"/>
          <w:szCs w:val="22"/>
        </w:rPr>
      </w:pPr>
      <w:hyperlink w:anchor="_Toc114237439" w:history="1">
        <w:r w:rsidRPr="00C31907">
          <w:rPr>
            <w:rStyle w:val="Hyperlink"/>
            <w:rFonts w:asciiTheme="minorEastAsia" w:hAnsiTheme="minorEastAsia" w:hint="eastAsia"/>
            <w:b/>
            <w:bCs/>
          </w:rPr>
          <w:t>十四、基金资产估值</w:t>
        </w:r>
        <w:r>
          <w:rPr>
            <w:webHidden/>
          </w:rPr>
          <w:tab/>
        </w:r>
        <w:r>
          <w:rPr>
            <w:webHidden/>
          </w:rPr>
          <w:fldChar w:fldCharType="begin"/>
        </w:r>
        <w:r>
          <w:rPr>
            <w:webHidden/>
          </w:rPr>
          <w:instrText xml:space="preserve"> PAGEREF _Toc114237439 \h </w:instrText>
        </w:r>
        <w:r>
          <w:rPr>
            <w:webHidden/>
          </w:rPr>
          <w:fldChar w:fldCharType="separate"/>
        </w:r>
        <w:r>
          <w:rPr>
            <w:webHidden/>
          </w:rPr>
          <w:t>48</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40" w:history="1">
        <w:r w:rsidRPr="00C31907">
          <w:rPr>
            <w:rStyle w:val="Hyperlink"/>
            <w:rFonts w:asciiTheme="minorEastAsia" w:hAnsiTheme="minorEastAsia" w:hint="eastAsia"/>
          </w:rPr>
          <w:t>（一）估值目的</w:t>
        </w:r>
        <w:r>
          <w:rPr>
            <w:webHidden/>
          </w:rPr>
          <w:tab/>
        </w:r>
        <w:r>
          <w:rPr>
            <w:webHidden/>
          </w:rPr>
          <w:fldChar w:fldCharType="begin"/>
        </w:r>
        <w:r>
          <w:rPr>
            <w:webHidden/>
          </w:rPr>
          <w:instrText xml:space="preserve"> PAGEREF _Toc114237440 \h </w:instrText>
        </w:r>
        <w:r>
          <w:rPr>
            <w:webHidden/>
          </w:rPr>
          <w:fldChar w:fldCharType="separate"/>
        </w:r>
        <w:r>
          <w:rPr>
            <w:webHidden/>
          </w:rPr>
          <w:t>48</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41" w:history="1">
        <w:r w:rsidRPr="00C31907">
          <w:rPr>
            <w:rStyle w:val="Hyperlink"/>
            <w:rFonts w:asciiTheme="minorEastAsia" w:hAnsiTheme="minorEastAsia" w:hint="eastAsia"/>
          </w:rPr>
          <w:t>（二）估值日</w:t>
        </w:r>
        <w:r>
          <w:rPr>
            <w:webHidden/>
          </w:rPr>
          <w:tab/>
        </w:r>
        <w:r>
          <w:rPr>
            <w:webHidden/>
          </w:rPr>
          <w:fldChar w:fldCharType="begin"/>
        </w:r>
        <w:r>
          <w:rPr>
            <w:webHidden/>
          </w:rPr>
          <w:instrText xml:space="preserve"> PAGEREF _Toc114237441 \h </w:instrText>
        </w:r>
        <w:r>
          <w:rPr>
            <w:webHidden/>
          </w:rPr>
          <w:fldChar w:fldCharType="separate"/>
        </w:r>
        <w:r>
          <w:rPr>
            <w:webHidden/>
          </w:rPr>
          <w:t>48</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42" w:history="1">
        <w:r w:rsidRPr="00C31907">
          <w:rPr>
            <w:rStyle w:val="Hyperlink"/>
            <w:rFonts w:asciiTheme="minorEastAsia" w:hAnsiTheme="minorEastAsia" w:hint="eastAsia"/>
          </w:rPr>
          <w:t>（三）估值对象</w:t>
        </w:r>
        <w:r>
          <w:rPr>
            <w:webHidden/>
          </w:rPr>
          <w:tab/>
        </w:r>
        <w:r>
          <w:rPr>
            <w:webHidden/>
          </w:rPr>
          <w:fldChar w:fldCharType="begin"/>
        </w:r>
        <w:r>
          <w:rPr>
            <w:webHidden/>
          </w:rPr>
          <w:instrText xml:space="preserve"> PAGEREF _Toc114237442 \h </w:instrText>
        </w:r>
        <w:r>
          <w:rPr>
            <w:webHidden/>
          </w:rPr>
          <w:fldChar w:fldCharType="separate"/>
        </w:r>
        <w:r>
          <w:rPr>
            <w:webHidden/>
          </w:rPr>
          <w:t>48</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43" w:history="1">
        <w:r w:rsidRPr="00C31907">
          <w:rPr>
            <w:rStyle w:val="Hyperlink"/>
            <w:rFonts w:asciiTheme="minorEastAsia" w:hAnsiTheme="minorEastAsia" w:hint="eastAsia"/>
          </w:rPr>
          <w:t>（四）估值方法</w:t>
        </w:r>
        <w:r>
          <w:rPr>
            <w:webHidden/>
          </w:rPr>
          <w:tab/>
        </w:r>
        <w:r>
          <w:rPr>
            <w:webHidden/>
          </w:rPr>
          <w:fldChar w:fldCharType="begin"/>
        </w:r>
        <w:r>
          <w:rPr>
            <w:webHidden/>
          </w:rPr>
          <w:instrText xml:space="preserve"> PAGEREF _Toc114237443 \h </w:instrText>
        </w:r>
        <w:r>
          <w:rPr>
            <w:webHidden/>
          </w:rPr>
          <w:fldChar w:fldCharType="separate"/>
        </w:r>
        <w:r>
          <w:rPr>
            <w:webHidden/>
          </w:rPr>
          <w:t>48</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44" w:history="1">
        <w:r w:rsidRPr="00C31907">
          <w:rPr>
            <w:rStyle w:val="Hyperlink"/>
            <w:rFonts w:asciiTheme="minorEastAsia" w:hAnsiTheme="minorEastAsia" w:hint="eastAsia"/>
          </w:rPr>
          <w:t>（五）估值程序</w:t>
        </w:r>
        <w:r>
          <w:rPr>
            <w:webHidden/>
          </w:rPr>
          <w:tab/>
        </w:r>
        <w:r>
          <w:rPr>
            <w:webHidden/>
          </w:rPr>
          <w:fldChar w:fldCharType="begin"/>
        </w:r>
        <w:r>
          <w:rPr>
            <w:webHidden/>
          </w:rPr>
          <w:instrText xml:space="preserve"> PAGEREF _Toc114237444 \h </w:instrText>
        </w:r>
        <w:r>
          <w:rPr>
            <w:webHidden/>
          </w:rPr>
          <w:fldChar w:fldCharType="separate"/>
        </w:r>
        <w:r>
          <w:rPr>
            <w:webHidden/>
          </w:rPr>
          <w:t>49</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45" w:history="1">
        <w:r w:rsidRPr="00C31907">
          <w:rPr>
            <w:rStyle w:val="Hyperlink"/>
            <w:rFonts w:asciiTheme="minorEastAsia" w:hAnsiTheme="minorEastAsia" w:hint="eastAsia"/>
          </w:rPr>
          <w:t>（六）暂停估值的情形</w:t>
        </w:r>
        <w:r>
          <w:rPr>
            <w:webHidden/>
          </w:rPr>
          <w:tab/>
        </w:r>
        <w:r>
          <w:rPr>
            <w:webHidden/>
          </w:rPr>
          <w:fldChar w:fldCharType="begin"/>
        </w:r>
        <w:r>
          <w:rPr>
            <w:webHidden/>
          </w:rPr>
          <w:instrText xml:space="preserve"> PAGEREF _Toc114237445 \h </w:instrText>
        </w:r>
        <w:r>
          <w:rPr>
            <w:webHidden/>
          </w:rPr>
          <w:fldChar w:fldCharType="separate"/>
        </w:r>
        <w:r>
          <w:rPr>
            <w:webHidden/>
          </w:rPr>
          <w:t>49</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46" w:history="1">
        <w:r w:rsidRPr="00C31907">
          <w:rPr>
            <w:rStyle w:val="Hyperlink"/>
            <w:rFonts w:asciiTheme="minorEastAsia" w:hAnsiTheme="minorEastAsia" w:hint="eastAsia"/>
          </w:rPr>
          <w:t>（七）基金份额净值的确认和估值错误处理</w:t>
        </w:r>
        <w:r>
          <w:rPr>
            <w:webHidden/>
          </w:rPr>
          <w:tab/>
        </w:r>
        <w:r>
          <w:rPr>
            <w:webHidden/>
          </w:rPr>
          <w:fldChar w:fldCharType="begin"/>
        </w:r>
        <w:r>
          <w:rPr>
            <w:webHidden/>
          </w:rPr>
          <w:instrText xml:space="preserve"> PAGEREF _Toc114237446 \h </w:instrText>
        </w:r>
        <w:r>
          <w:rPr>
            <w:webHidden/>
          </w:rPr>
          <w:fldChar w:fldCharType="separate"/>
        </w:r>
        <w:r>
          <w:rPr>
            <w:webHidden/>
          </w:rPr>
          <w:t>49</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47" w:history="1">
        <w:r w:rsidRPr="00C31907">
          <w:rPr>
            <w:rStyle w:val="Hyperlink"/>
            <w:rFonts w:asciiTheme="minorEastAsia" w:hAnsiTheme="minorEastAsia" w:hint="eastAsia"/>
          </w:rPr>
          <w:t>（八）特殊情形的处理</w:t>
        </w:r>
        <w:r>
          <w:rPr>
            <w:webHidden/>
          </w:rPr>
          <w:tab/>
        </w:r>
        <w:r>
          <w:rPr>
            <w:webHidden/>
          </w:rPr>
          <w:fldChar w:fldCharType="begin"/>
        </w:r>
        <w:r>
          <w:rPr>
            <w:webHidden/>
          </w:rPr>
          <w:instrText xml:space="preserve"> PAGEREF _Toc114237447 \h </w:instrText>
        </w:r>
        <w:r>
          <w:rPr>
            <w:webHidden/>
          </w:rPr>
          <w:fldChar w:fldCharType="separate"/>
        </w:r>
        <w:r>
          <w:rPr>
            <w:webHidden/>
          </w:rPr>
          <w:t>51</w:t>
        </w:r>
        <w:r>
          <w:rPr>
            <w:webHidden/>
          </w:rPr>
          <w:fldChar w:fldCharType="end"/>
        </w:r>
      </w:hyperlink>
    </w:p>
    <w:p w:rsidR="00490741">
      <w:pPr>
        <w:pStyle w:val="TOC1"/>
        <w:rPr>
          <w:rFonts w:asciiTheme="minorHAnsi" w:eastAsiaTheme="minorEastAsia" w:hAnsiTheme="minorHAnsi" w:cstheme="minorBidi"/>
          <w:caps w:val="0"/>
          <w:sz w:val="21"/>
          <w:szCs w:val="22"/>
        </w:rPr>
      </w:pPr>
      <w:hyperlink w:anchor="_Toc114237448" w:history="1">
        <w:r w:rsidRPr="00C31907">
          <w:rPr>
            <w:rStyle w:val="Hyperlink"/>
            <w:rFonts w:asciiTheme="minorEastAsia" w:hAnsiTheme="minorEastAsia" w:hint="eastAsia"/>
            <w:b/>
            <w:bCs/>
          </w:rPr>
          <w:t>十五、基金的收益与分配</w:t>
        </w:r>
        <w:r>
          <w:rPr>
            <w:webHidden/>
          </w:rPr>
          <w:tab/>
        </w:r>
        <w:r>
          <w:rPr>
            <w:webHidden/>
          </w:rPr>
          <w:fldChar w:fldCharType="begin"/>
        </w:r>
        <w:r>
          <w:rPr>
            <w:webHidden/>
          </w:rPr>
          <w:instrText xml:space="preserve"> PAGEREF _Toc114237448 \h </w:instrText>
        </w:r>
        <w:r>
          <w:rPr>
            <w:webHidden/>
          </w:rPr>
          <w:fldChar w:fldCharType="separate"/>
        </w:r>
        <w:r>
          <w:rPr>
            <w:webHidden/>
          </w:rPr>
          <w:t>52</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49" w:history="1">
        <w:r w:rsidRPr="00C31907">
          <w:rPr>
            <w:rStyle w:val="Hyperlink"/>
            <w:rFonts w:asciiTheme="minorEastAsia" w:hAnsiTheme="minorEastAsia" w:hint="eastAsia"/>
          </w:rPr>
          <w:t>（一）收益的构成</w:t>
        </w:r>
        <w:r>
          <w:rPr>
            <w:webHidden/>
          </w:rPr>
          <w:tab/>
        </w:r>
        <w:r>
          <w:rPr>
            <w:webHidden/>
          </w:rPr>
          <w:fldChar w:fldCharType="begin"/>
        </w:r>
        <w:r>
          <w:rPr>
            <w:webHidden/>
          </w:rPr>
          <w:instrText xml:space="preserve"> PAGEREF _Toc114237449 \h </w:instrText>
        </w:r>
        <w:r>
          <w:rPr>
            <w:webHidden/>
          </w:rPr>
          <w:fldChar w:fldCharType="separate"/>
        </w:r>
        <w:r>
          <w:rPr>
            <w:webHidden/>
          </w:rPr>
          <w:t>52</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50" w:history="1">
        <w:r w:rsidRPr="00C31907">
          <w:rPr>
            <w:rStyle w:val="Hyperlink"/>
            <w:rFonts w:asciiTheme="minorEastAsia" w:hAnsiTheme="minorEastAsia" w:hint="eastAsia"/>
          </w:rPr>
          <w:t>（二）收益分配原则</w:t>
        </w:r>
        <w:r>
          <w:rPr>
            <w:webHidden/>
          </w:rPr>
          <w:tab/>
        </w:r>
        <w:r>
          <w:rPr>
            <w:webHidden/>
          </w:rPr>
          <w:fldChar w:fldCharType="begin"/>
        </w:r>
        <w:r>
          <w:rPr>
            <w:webHidden/>
          </w:rPr>
          <w:instrText xml:space="preserve"> PAGEREF _Toc114237450 \h </w:instrText>
        </w:r>
        <w:r>
          <w:rPr>
            <w:webHidden/>
          </w:rPr>
          <w:fldChar w:fldCharType="separate"/>
        </w:r>
        <w:r>
          <w:rPr>
            <w:webHidden/>
          </w:rPr>
          <w:t>52</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51" w:history="1">
        <w:r w:rsidRPr="00C31907">
          <w:rPr>
            <w:rStyle w:val="Hyperlink"/>
            <w:rFonts w:asciiTheme="minorEastAsia" w:hAnsiTheme="minorEastAsia" w:hint="eastAsia"/>
          </w:rPr>
          <w:t>（三）收益分配方案的确定与公告</w:t>
        </w:r>
        <w:r>
          <w:rPr>
            <w:webHidden/>
          </w:rPr>
          <w:tab/>
        </w:r>
        <w:r>
          <w:rPr>
            <w:webHidden/>
          </w:rPr>
          <w:fldChar w:fldCharType="begin"/>
        </w:r>
        <w:r>
          <w:rPr>
            <w:webHidden/>
          </w:rPr>
          <w:instrText xml:space="preserve"> PAGEREF _Toc114237451 \h </w:instrText>
        </w:r>
        <w:r>
          <w:rPr>
            <w:webHidden/>
          </w:rPr>
          <w:fldChar w:fldCharType="separate"/>
        </w:r>
        <w:r>
          <w:rPr>
            <w:webHidden/>
          </w:rPr>
          <w:t>52</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52" w:history="1">
        <w:r w:rsidRPr="00C31907">
          <w:rPr>
            <w:rStyle w:val="Hyperlink"/>
            <w:rFonts w:asciiTheme="minorEastAsia" w:hAnsiTheme="minorEastAsia" w:hint="eastAsia"/>
          </w:rPr>
          <w:t>（四）收益分配中发生的费用</w:t>
        </w:r>
        <w:r>
          <w:rPr>
            <w:webHidden/>
          </w:rPr>
          <w:tab/>
        </w:r>
        <w:r>
          <w:rPr>
            <w:webHidden/>
          </w:rPr>
          <w:fldChar w:fldCharType="begin"/>
        </w:r>
        <w:r>
          <w:rPr>
            <w:webHidden/>
          </w:rPr>
          <w:instrText xml:space="preserve"> PAGEREF _Toc114237452 \h </w:instrText>
        </w:r>
        <w:r>
          <w:rPr>
            <w:webHidden/>
          </w:rPr>
          <w:fldChar w:fldCharType="separate"/>
        </w:r>
        <w:r>
          <w:rPr>
            <w:webHidden/>
          </w:rPr>
          <w:t>52</w:t>
        </w:r>
        <w:r>
          <w:rPr>
            <w:webHidden/>
          </w:rPr>
          <w:fldChar w:fldCharType="end"/>
        </w:r>
      </w:hyperlink>
    </w:p>
    <w:p w:rsidR="00490741">
      <w:pPr>
        <w:pStyle w:val="TOC1"/>
        <w:rPr>
          <w:rFonts w:asciiTheme="minorHAnsi" w:eastAsiaTheme="minorEastAsia" w:hAnsiTheme="minorHAnsi" w:cstheme="minorBidi"/>
          <w:caps w:val="0"/>
          <w:sz w:val="21"/>
          <w:szCs w:val="22"/>
        </w:rPr>
      </w:pPr>
      <w:hyperlink w:anchor="_Toc114237453" w:history="1">
        <w:r w:rsidRPr="00C31907">
          <w:rPr>
            <w:rStyle w:val="Hyperlink"/>
            <w:rFonts w:asciiTheme="minorEastAsia" w:hAnsiTheme="minorEastAsia" w:hint="eastAsia"/>
            <w:b/>
            <w:bCs/>
          </w:rPr>
          <w:t>十六、基金的费用与税收</w:t>
        </w:r>
        <w:r>
          <w:rPr>
            <w:webHidden/>
          </w:rPr>
          <w:tab/>
        </w:r>
        <w:r>
          <w:rPr>
            <w:webHidden/>
          </w:rPr>
          <w:fldChar w:fldCharType="begin"/>
        </w:r>
        <w:r>
          <w:rPr>
            <w:webHidden/>
          </w:rPr>
          <w:instrText xml:space="preserve"> PAGEREF _Toc114237453 \h </w:instrText>
        </w:r>
        <w:r>
          <w:rPr>
            <w:webHidden/>
          </w:rPr>
          <w:fldChar w:fldCharType="separate"/>
        </w:r>
        <w:r>
          <w:rPr>
            <w:webHidden/>
          </w:rPr>
          <w:t>53</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54" w:history="1">
        <w:r w:rsidRPr="00C31907">
          <w:rPr>
            <w:rStyle w:val="Hyperlink"/>
            <w:rFonts w:asciiTheme="minorEastAsia" w:hAnsiTheme="minorEastAsia" w:hint="eastAsia"/>
          </w:rPr>
          <w:t>（一）与基金运作相关的费用</w:t>
        </w:r>
        <w:r>
          <w:rPr>
            <w:webHidden/>
          </w:rPr>
          <w:tab/>
        </w:r>
        <w:r>
          <w:rPr>
            <w:webHidden/>
          </w:rPr>
          <w:fldChar w:fldCharType="begin"/>
        </w:r>
        <w:r>
          <w:rPr>
            <w:webHidden/>
          </w:rPr>
          <w:instrText xml:space="preserve"> PAGEREF _Toc114237454 \h </w:instrText>
        </w:r>
        <w:r>
          <w:rPr>
            <w:webHidden/>
          </w:rPr>
          <w:fldChar w:fldCharType="separate"/>
        </w:r>
        <w:r>
          <w:rPr>
            <w:webHidden/>
          </w:rPr>
          <w:t>53</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55" w:history="1">
        <w:r w:rsidRPr="00C31907">
          <w:rPr>
            <w:rStyle w:val="Hyperlink"/>
            <w:rFonts w:asciiTheme="minorEastAsia" w:hAnsiTheme="minorEastAsia" w:hint="eastAsia"/>
          </w:rPr>
          <w:t>（二）与基金销售有关的费用</w:t>
        </w:r>
        <w:r>
          <w:rPr>
            <w:webHidden/>
          </w:rPr>
          <w:tab/>
        </w:r>
        <w:r>
          <w:rPr>
            <w:webHidden/>
          </w:rPr>
          <w:fldChar w:fldCharType="begin"/>
        </w:r>
        <w:r>
          <w:rPr>
            <w:webHidden/>
          </w:rPr>
          <w:instrText xml:space="preserve"> PAGEREF _Toc114237455 \h </w:instrText>
        </w:r>
        <w:r>
          <w:rPr>
            <w:webHidden/>
          </w:rPr>
          <w:fldChar w:fldCharType="separate"/>
        </w:r>
        <w:r>
          <w:rPr>
            <w:webHidden/>
          </w:rPr>
          <w:t>54</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56" w:history="1">
        <w:r w:rsidRPr="00C31907">
          <w:rPr>
            <w:rStyle w:val="Hyperlink"/>
            <w:rFonts w:asciiTheme="minorEastAsia" w:hAnsiTheme="minorEastAsia" w:hint="eastAsia"/>
          </w:rPr>
          <w:t>（三）基金税收</w:t>
        </w:r>
        <w:r>
          <w:rPr>
            <w:webHidden/>
          </w:rPr>
          <w:tab/>
        </w:r>
        <w:r>
          <w:rPr>
            <w:webHidden/>
          </w:rPr>
          <w:fldChar w:fldCharType="begin"/>
        </w:r>
        <w:r>
          <w:rPr>
            <w:webHidden/>
          </w:rPr>
          <w:instrText xml:space="preserve"> PAGEREF _Toc114237456 \h </w:instrText>
        </w:r>
        <w:r>
          <w:rPr>
            <w:webHidden/>
          </w:rPr>
          <w:fldChar w:fldCharType="separate"/>
        </w:r>
        <w:r>
          <w:rPr>
            <w:webHidden/>
          </w:rPr>
          <w:t>54</w:t>
        </w:r>
        <w:r>
          <w:rPr>
            <w:webHidden/>
          </w:rPr>
          <w:fldChar w:fldCharType="end"/>
        </w:r>
      </w:hyperlink>
    </w:p>
    <w:p w:rsidR="00490741">
      <w:pPr>
        <w:pStyle w:val="TOC1"/>
        <w:rPr>
          <w:rFonts w:asciiTheme="minorHAnsi" w:eastAsiaTheme="minorEastAsia" w:hAnsiTheme="minorHAnsi" w:cstheme="minorBidi"/>
          <w:caps w:val="0"/>
          <w:sz w:val="21"/>
          <w:szCs w:val="22"/>
        </w:rPr>
      </w:pPr>
      <w:hyperlink w:anchor="_Toc114237457" w:history="1">
        <w:r w:rsidRPr="00C31907">
          <w:rPr>
            <w:rStyle w:val="Hyperlink"/>
            <w:rFonts w:asciiTheme="minorEastAsia" w:hAnsiTheme="minorEastAsia" w:hint="eastAsia"/>
            <w:b/>
            <w:bCs/>
          </w:rPr>
          <w:t>十七、基金的会计与审计</w:t>
        </w:r>
        <w:r>
          <w:rPr>
            <w:webHidden/>
          </w:rPr>
          <w:tab/>
        </w:r>
        <w:r>
          <w:rPr>
            <w:webHidden/>
          </w:rPr>
          <w:fldChar w:fldCharType="begin"/>
        </w:r>
        <w:r>
          <w:rPr>
            <w:webHidden/>
          </w:rPr>
          <w:instrText xml:space="preserve"> PAGEREF _Toc114237457 \h </w:instrText>
        </w:r>
        <w:r>
          <w:rPr>
            <w:webHidden/>
          </w:rPr>
          <w:fldChar w:fldCharType="separate"/>
        </w:r>
        <w:r>
          <w:rPr>
            <w:webHidden/>
          </w:rPr>
          <w:t>55</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58" w:history="1">
        <w:r w:rsidRPr="00C31907">
          <w:rPr>
            <w:rStyle w:val="Hyperlink"/>
            <w:rFonts w:asciiTheme="minorEastAsia" w:hAnsiTheme="minorEastAsia" w:hint="eastAsia"/>
          </w:rPr>
          <w:t>（一）基金会计政策</w:t>
        </w:r>
        <w:r>
          <w:rPr>
            <w:webHidden/>
          </w:rPr>
          <w:tab/>
        </w:r>
        <w:r>
          <w:rPr>
            <w:webHidden/>
          </w:rPr>
          <w:fldChar w:fldCharType="begin"/>
        </w:r>
        <w:r>
          <w:rPr>
            <w:webHidden/>
          </w:rPr>
          <w:instrText xml:space="preserve"> PAGEREF _Toc114237458 \h </w:instrText>
        </w:r>
        <w:r>
          <w:rPr>
            <w:webHidden/>
          </w:rPr>
          <w:fldChar w:fldCharType="separate"/>
        </w:r>
        <w:r>
          <w:rPr>
            <w:webHidden/>
          </w:rPr>
          <w:t>55</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59" w:history="1">
        <w:r w:rsidRPr="00C31907">
          <w:rPr>
            <w:rStyle w:val="Hyperlink"/>
            <w:rFonts w:asciiTheme="minorEastAsia" w:hAnsiTheme="minorEastAsia" w:hint="eastAsia"/>
          </w:rPr>
          <w:t>（二）基金年度审计</w:t>
        </w:r>
        <w:r>
          <w:rPr>
            <w:webHidden/>
          </w:rPr>
          <w:tab/>
        </w:r>
        <w:r>
          <w:rPr>
            <w:webHidden/>
          </w:rPr>
          <w:fldChar w:fldCharType="begin"/>
        </w:r>
        <w:r>
          <w:rPr>
            <w:webHidden/>
          </w:rPr>
          <w:instrText xml:space="preserve"> PAGEREF _Toc114237459 \h </w:instrText>
        </w:r>
        <w:r>
          <w:rPr>
            <w:webHidden/>
          </w:rPr>
          <w:fldChar w:fldCharType="separate"/>
        </w:r>
        <w:r>
          <w:rPr>
            <w:webHidden/>
          </w:rPr>
          <w:t>55</w:t>
        </w:r>
        <w:r>
          <w:rPr>
            <w:webHidden/>
          </w:rPr>
          <w:fldChar w:fldCharType="end"/>
        </w:r>
      </w:hyperlink>
    </w:p>
    <w:p w:rsidR="00490741">
      <w:pPr>
        <w:pStyle w:val="TOC1"/>
        <w:rPr>
          <w:rFonts w:asciiTheme="minorHAnsi" w:eastAsiaTheme="minorEastAsia" w:hAnsiTheme="minorHAnsi" w:cstheme="minorBidi"/>
          <w:caps w:val="0"/>
          <w:sz w:val="21"/>
          <w:szCs w:val="22"/>
        </w:rPr>
      </w:pPr>
      <w:hyperlink w:anchor="_Toc114237460" w:history="1">
        <w:r w:rsidRPr="00C31907">
          <w:rPr>
            <w:rStyle w:val="Hyperlink"/>
            <w:rFonts w:asciiTheme="minorEastAsia" w:hAnsiTheme="minorEastAsia" w:hint="eastAsia"/>
            <w:b/>
            <w:bCs/>
          </w:rPr>
          <w:t>十八、基金的信息披露</w:t>
        </w:r>
        <w:r>
          <w:rPr>
            <w:webHidden/>
          </w:rPr>
          <w:tab/>
        </w:r>
        <w:r>
          <w:rPr>
            <w:webHidden/>
          </w:rPr>
          <w:fldChar w:fldCharType="begin"/>
        </w:r>
        <w:r>
          <w:rPr>
            <w:webHidden/>
          </w:rPr>
          <w:instrText xml:space="preserve"> PAGEREF _Toc114237460 \h </w:instrText>
        </w:r>
        <w:r>
          <w:rPr>
            <w:webHidden/>
          </w:rPr>
          <w:fldChar w:fldCharType="separate"/>
        </w:r>
        <w:r>
          <w:rPr>
            <w:webHidden/>
          </w:rPr>
          <w:t>56</w:t>
        </w:r>
        <w:r>
          <w:rPr>
            <w:webHidden/>
          </w:rPr>
          <w:fldChar w:fldCharType="end"/>
        </w:r>
      </w:hyperlink>
    </w:p>
    <w:p w:rsidR="00490741">
      <w:pPr>
        <w:pStyle w:val="TOC1"/>
        <w:rPr>
          <w:rFonts w:asciiTheme="minorHAnsi" w:eastAsiaTheme="minorEastAsia" w:hAnsiTheme="minorHAnsi" w:cstheme="minorBidi"/>
          <w:caps w:val="0"/>
          <w:sz w:val="21"/>
          <w:szCs w:val="22"/>
        </w:rPr>
      </w:pPr>
      <w:hyperlink w:anchor="_Toc114237461" w:history="1">
        <w:r w:rsidRPr="00C31907">
          <w:rPr>
            <w:rStyle w:val="Hyperlink"/>
            <w:rFonts w:asciiTheme="minorEastAsia" w:hAnsiTheme="minorEastAsia" w:hint="eastAsia"/>
            <w:b/>
            <w:bCs/>
          </w:rPr>
          <w:t>十九、风险揭示</w:t>
        </w:r>
        <w:r>
          <w:rPr>
            <w:webHidden/>
          </w:rPr>
          <w:tab/>
        </w:r>
        <w:r>
          <w:rPr>
            <w:webHidden/>
          </w:rPr>
          <w:fldChar w:fldCharType="begin"/>
        </w:r>
        <w:r>
          <w:rPr>
            <w:webHidden/>
          </w:rPr>
          <w:instrText xml:space="preserve"> PAGEREF _Toc114237461 \h </w:instrText>
        </w:r>
        <w:r>
          <w:rPr>
            <w:webHidden/>
          </w:rPr>
          <w:fldChar w:fldCharType="separate"/>
        </w:r>
        <w:r>
          <w:rPr>
            <w:webHidden/>
          </w:rPr>
          <w:t>61</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62" w:history="1">
        <w:r w:rsidRPr="00C31907">
          <w:rPr>
            <w:rStyle w:val="Hyperlink"/>
            <w:rFonts w:asciiTheme="minorEastAsia" w:hAnsiTheme="minorEastAsia" w:hint="eastAsia"/>
          </w:rPr>
          <w:t>（一）市场风险</w:t>
        </w:r>
        <w:r>
          <w:rPr>
            <w:webHidden/>
          </w:rPr>
          <w:tab/>
        </w:r>
        <w:r>
          <w:rPr>
            <w:webHidden/>
          </w:rPr>
          <w:fldChar w:fldCharType="begin"/>
        </w:r>
        <w:r>
          <w:rPr>
            <w:webHidden/>
          </w:rPr>
          <w:instrText xml:space="preserve"> PAGEREF _Toc114237462 \h </w:instrText>
        </w:r>
        <w:r>
          <w:rPr>
            <w:webHidden/>
          </w:rPr>
          <w:fldChar w:fldCharType="separate"/>
        </w:r>
        <w:r>
          <w:rPr>
            <w:webHidden/>
          </w:rPr>
          <w:t>61</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63" w:history="1">
        <w:r w:rsidRPr="00C31907">
          <w:rPr>
            <w:rStyle w:val="Hyperlink"/>
            <w:rFonts w:asciiTheme="minorEastAsia" w:hAnsiTheme="minorEastAsia" w:hint="eastAsia"/>
          </w:rPr>
          <w:t>（二）管理风险</w:t>
        </w:r>
        <w:r>
          <w:rPr>
            <w:webHidden/>
          </w:rPr>
          <w:tab/>
        </w:r>
        <w:r>
          <w:rPr>
            <w:webHidden/>
          </w:rPr>
          <w:fldChar w:fldCharType="begin"/>
        </w:r>
        <w:r>
          <w:rPr>
            <w:webHidden/>
          </w:rPr>
          <w:instrText xml:space="preserve"> PAGEREF _Toc114237463 \h </w:instrText>
        </w:r>
        <w:r>
          <w:rPr>
            <w:webHidden/>
          </w:rPr>
          <w:fldChar w:fldCharType="separate"/>
        </w:r>
        <w:r>
          <w:rPr>
            <w:webHidden/>
          </w:rPr>
          <w:t>61</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64" w:history="1">
        <w:r w:rsidRPr="00C31907">
          <w:rPr>
            <w:rStyle w:val="Hyperlink"/>
            <w:rFonts w:asciiTheme="minorEastAsia" w:hAnsiTheme="minorEastAsia" w:hint="eastAsia"/>
          </w:rPr>
          <w:t>（三）流动性风险</w:t>
        </w:r>
        <w:r>
          <w:rPr>
            <w:webHidden/>
          </w:rPr>
          <w:tab/>
        </w:r>
        <w:r>
          <w:rPr>
            <w:webHidden/>
          </w:rPr>
          <w:fldChar w:fldCharType="begin"/>
        </w:r>
        <w:r>
          <w:rPr>
            <w:webHidden/>
          </w:rPr>
          <w:instrText xml:space="preserve"> PAGEREF _Toc114237464 \h </w:instrText>
        </w:r>
        <w:r>
          <w:rPr>
            <w:webHidden/>
          </w:rPr>
          <w:fldChar w:fldCharType="separate"/>
        </w:r>
        <w:r>
          <w:rPr>
            <w:webHidden/>
          </w:rPr>
          <w:t>61</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65" w:history="1">
        <w:r w:rsidRPr="00C31907">
          <w:rPr>
            <w:rStyle w:val="Hyperlink"/>
            <w:rFonts w:asciiTheme="minorEastAsia" w:hAnsiTheme="minorEastAsia" w:hint="eastAsia"/>
          </w:rPr>
          <w:t>（四）本基金法律文件中涉及基金风险特征的表述与销售机构对基金的风险评级可能不一致的风险</w:t>
        </w:r>
        <w:r>
          <w:rPr>
            <w:webHidden/>
          </w:rPr>
          <w:tab/>
        </w:r>
        <w:r>
          <w:rPr>
            <w:webHidden/>
          </w:rPr>
          <w:fldChar w:fldCharType="begin"/>
        </w:r>
        <w:r>
          <w:rPr>
            <w:webHidden/>
          </w:rPr>
          <w:instrText xml:space="preserve"> PAGEREF _Toc114237465 \h </w:instrText>
        </w:r>
        <w:r>
          <w:rPr>
            <w:webHidden/>
          </w:rPr>
          <w:fldChar w:fldCharType="separate"/>
        </w:r>
        <w:r>
          <w:rPr>
            <w:webHidden/>
          </w:rPr>
          <w:t>63</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66" w:history="1">
        <w:r w:rsidRPr="00C31907">
          <w:rPr>
            <w:rStyle w:val="Hyperlink"/>
            <w:rFonts w:asciiTheme="minorEastAsia" w:hAnsiTheme="minorEastAsia" w:hint="eastAsia"/>
          </w:rPr>
          <w:t>（五）本基金特有的风险</w:t>
        </w:r>
        <w:r>
          <w:rPr>
            <w:webHidden/>
          </w:rPr>
          <w:tab/>
        </w:r>
        <w:r>
          <w:rPr>
            <w:webHidden/>
          </w:rPr>
          <w:fldChar w:fldCharType="begin"/>
        </w:r>
        <w:r>
          <w:rPr>
            <w:webHidden/>
          </w:rPr>
          <w:instrText xml:space="preserve"> PAGEREF _Toc114237466 \h </w:instrText>
        </w:r>
        <w:r>
          <w:rPr>
            <w:webHidden/>
          </w:rPr>
          <w:fldChar w:fldCharType="separate"/>
        </w:r>
        <w:r>
          <w:rPr>
            <w:webHidden/>
          </w:rPr>
          <w:t>63</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67" w:history="1">
        <w:r w:rsidRPr="00C31907">
          <w:rPr>
            <w:rStyle w:val="Hyperlink"/>
            <w:rFonts w:asciiTheme="minorEastAsia" w:hAnsiTheme="minorEastAsia" w:hint="eastAsia"/>
          </w:rPr>
          <w:t>（六）其他风险</w:t>
        </w:r>
        <w:r>
          <w:rPr>
            <w:webHidden/>
          </w:rPr>
          <w:tab/>
        </w:r>
        <w:r>
          <w:rPr>
            <w:webHidden/>
          </w:rPr>
          <w:fldChar w:fldCharType="begin"/>
        </w:r>
        <w:r>
          <w:rPr>
            <w:webHidden/>
          </w:rPr>
          <w:instrText xml:space="preserve"> PAGEREF _Toc114237467 \h </w:instrText>
        </w:r>
        <w:r>
          <w:rPr>
            <w:webHidden/>
          </w:rPr>
          <w:fldChar w:fldCharType="separate"/>
        </w:r>
        <w:r>
          <w:rPr>
            <w:webHidden/>
          </w:rPr>
          <w:t>64</w:t>
        </w:r>
        <w:r>
          <w:rPr>
            <w:webHidden/>
          </w:rPr>
          <w:fldChar w:fldCharType="end"/>
        </w:r>
      </w:hyperlink>
    </w:p>
    <w:p w:rsidR="00490741">
      <w:pPr>
        <w:pStyle w:val="TOC1"/>
        <w:rPr>
          <w:rFonts w:asciiTheme="minorHAnsi" w:eastAsiaTheme="minorEastAsia" w:hAnsiTheme="minorHAnsi" w:cstheme="minorBidi"/>
          <w:caps w:val="0"/>
          <w:sz w:val="21"/>
          <w:szCs w:val="22"/>
        </w:rPr>
      </w:pPr>
      <w:hyperlink w:anchor="_Toc114237468" w:history="1">
        <w:r w:rsidRPr="00C31907">
          <w:rPr>
            <w:rStyle w:val="Hyperlink"/>
            <w:rFonts w:asciiTheme="minorEastAsia" w:hAnsiTheme="minorEastAsia" w:hint="eastAsia"/>
            <w:b/>
            <w:bCs/>
          </w:rPr>
          <w:t>二十、基金合同的终止与基金财产的清算</w:t>
        </w:r>
        <w:r>
          <w:rPr>
            <w:webHidden/>
          </w:rPr>
          <w:tab/>
        </w:r>
        <w:r>
          <w:rPr>
            <w:webHidden/>
          </w:rPr>
          <w:fldChar w:fldCharType="begin"/>
        </w:r>
        <w:r>
          <w:rPr>
            <w:webHidden/>
          </w:rPr>
          <w:instrText xml:space="preserve"> PAGEREF _Toc114237468 \h </w:instrText>
        </w:r>
        <w:r>
          <w:rPr>
            <w:webHidden/>
          </w:rPr>
          <w:fldChar w:fldCharType="separate"/>
        </w:r>
        <w:r>
          <w:rPr>
            <w:webHidden/>
          </w:rPr>
          <w:t>65</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69" w:history="1">
        <w:r w:rsidRPr="00C31907">
          <w:rPr>
            <w:rStyle w:val="Hyperlink"/>
            <w:rFonts w:asciiTheme="minorEastAsia" w:hAnsiTheme="minorEastAsia" w:hint="eastAsia"/>
          </w:rPr>
          <w:t>（一）基金合同的终止</w:t>
        </w:r>
        <w:r>
          <w:rPr>
            <w:webHidden/>
          </w:rPr>
          <w:tab/>
        </w:r>
        <w:r>
          <w:rPr>
            <w:webHidden/>
          </w:rPr>
          <w:fldChar w:fldCharType="begin"/>
        </w:r>
        <w:r>
          <w:rPr>
            <w:webHidden/>
          </w:rPr>
          <w:instrText xml:space="preserve"> PAGEREF _Toc114237469 \h </w:instrText>
        </w:r>
        <w:r>
          <w:rPr>
            <w:webHidden/>
          </w:rPr>
          <w:fldChar w:fldCharType="separate"/>
        </w:r>
        <w:r>
          <w:rPr>
            <w:webHidden/>
          </w:rPr>
          <w:t>65</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70" w:history="1">
        <w:r w:rsidRPr="00C31907">
          <w:rPr>
            <w:rStyle w:val="Hyperlink"/>
            <w:rFonts w:asciiTheme="minorEastAsia" w:hAnsiTheme="minorEastAsia" w:hint="eastAsia"/>
          </w:rPr>
          <w:t>（二）基金财产的清算</w:t>
        </w:r>
        <w:r>
          <w:rPr>
            <w:webHidden/>
          </w:rPr>
          <w:tab/>
        </w:r>
        <w:r>
          <w:rPr>
            <w:webHidden/>
          </w:rPr>
          <w:fldChar w:fldCharType="begin"/>
        </w:r>
        <w:r>
          <w:rPr>
            <w:webHidden/>
          </w:rPr>
          <w:instrText xml:space="preserve"> PAGEREF _Toc114237470 \h </w:instrText>
        </w:r>
        <w:r>
          <w:rPr>
            <w:webHidden/>
          </w:rPr>
          <w:fldChar w:fldCharType="separate"/>
        </w:r>
        <w:r>
          <w:rPr>
            <w:webHidden/>
          </w:rPr>
          <w:t>65</w:t>
        </w:r>
        <w:r>
          <w:rPr>
            <w:webHidden/>
          </w:rPr>
          <w:fldChar w:fldCharType="end"/>
        </w:r>
      </w:hyperlink>
    </w:p>
    <w:p w:rsidR="00490741">
      <w:pPr>
        <w:pStyle w:val="TOC1"/>
        <w:rPr>
          <w:rFonts w:asciiTheme="minorHAnsi" w:eastAsiaTheme="minorEastAsia" w:hAnsiTheme="minorHAnsi" w:cstheme="minorBidi"/>
          <w:caps w:val="0"/>
          <w:sz w:val="21"/>
          <w:szCs w:val="22"/>
        </w:rPr>
      </w:pPr>
      <w:hyperlink w:anchor="_Toc114237471" w:history="1">
        <w:r w:rsidRPr="00C31907">
          <w:rPr>
            <w:rStyle w:val="Hyperlink"/>
            <w:rFonts w:asciiTheme="minorEastAsia" w:hAnsiTheme="minorEastAsia" w:hint="eastAsia"/>
            <w:b/>
            <w:bCs/>
          </w:rPr>
          <w:t>二十一、基金合同内容摘要</w:t>
        </w:r>
        <w:r>
          <w:rPr>
            <w:webHidden/>
          </w:rPr>
          <w:tab/>
        </w:r>
        <w:r>
          <w:rPr>
            <w:webHidden/>
          </w:rPr>
          <w:fldChar w:fldCharType="begin"/>
        </w:r>
        <w:r>
          <w:rPr>
            <w:webHidden/>
          </w:rPr>
          <w:instrText xml:space="preserve"> PAGEREF _Toc114237471 \h </w:instrText>
        </w:r>
        <w:r>
          <w:rPr>
            <w:webHidden/>
          </w:rPr>
          <w:fldChar w:fldCharType="separate"/>
        </w:r>
        <w:r>
          <w:rPr>
            <w:webHidden/>
          </w:rPr>
          <w:t>67</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72" w:history="1">
        <w:r w:rsidRPr="00C31907">
          <w:rPr>
            <w:rStyle w:val="Hyperlink"/>
            <w:rFonts w:asciiTheme="minorEastAsia" w:hAnsiTheme="minorEastAsia" w:hint="eastAsia"/>
            <w:bCs/>
          </w:rPr>
          <w:t>（一）前言</w:t>
        </w:r>
        <w:r>
          <w:rPr>
            <w:webHidden/>
          </w:rPr>
          <w:tab/>
        </w:r>
        <w:r>
          <w:rPr>
            <w:webHidden/>
          </w:rPr>
          <w:fldChar w:fldCharType="begin"/>
        </w:r>
        <w:r>
          <w:rPr>
            <w:webHidden/>
          </w:rPr>
          <w:instrText xml:space="preserve"> PAGEREF _Toc114237472 \h </w:instrText>
        </w:r>
        <w:r>
          <w:rPr>
            <w:webHidden/>
          </w:rPr>
          <w:fldChar w:fldCharType="separate"/>
        </w:r>
        <w:r>
          <w:rPr>
            <w:webHidden/>
          </w:rPr>
          <w:t>67</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73" w:history="1">
        <w:r w:rsidRPr="00C31907">
          <w:rPr>
            <w:rStyle w:val="Hyperlink"/>
            <w:rFonts w:asciiTheme="minorEastAsia" w:hAnsiTheme="minorEastAsia" w:hint="eastAsia"/>
            <w:bCs/>
          </w:rPr>
          <w:t>（二）基金管理人的权利与义务</w:t>
        </w:r>
        <w:r>
          <w:rPr>
            <w:webHidden/>
          </w:rPr>
          <w:tab/>
        </w:r>
        <w:r>
          <w:rPr>
            <w:webHidden/>
          </w:rPr>
          <w:fldChar w:fldCharType="begin"/>
        </w:r>
        <w:r>
          <w:rPr>
            <w:webHidden/>
          </w:rPr>
          <w:instrText xml:space="preserve"> PAGEREF _Toc114237473 \h </w:instrText>
        </w:r>
        <w:r>
          <w:rPr>
            <w:webHidden/>
          </w:rPr>
          <w:fldChar w:fldCharType="separate"/>
        </w:r>
        <w:r>
          <w:rPr>
            <w:webHidden/>
          </w:rPr>
          <w:t>67</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74" w:history="1">
        <w:r w:rsidRPr="00C31907">
          <w:rPr>
            <w:rStyle w:val="Hyperlink"/>
            <w:rFonts w:asciiTheme="minorEastAsia" w:hAnsiTheme="minorEastAsia" w:hint="eastAsia"/>
            <w:bCs/>
          </w:rPr>
          <w:t>（三）基金托管人的权利与义务</w:t>
        </w:r>
        <w:r>
          <w:rPr>
            <w:webHidden/>
          </w:rPr>
          <w:tab/>
        </w:r>
        <w:r>
          <w:rPr>
            <w:webHidden/>
          </w:rPr>
          <w:fldChar w:fldCharType="begin"/>
        </w:r>
        <w:r>
          <w:rPr>
            <w:webHidden/>
          </w:rPr>
          <w:instrText xml:space="preserve"> PAGEREF _Toc114237474 \h </w:instrText>
        </w:r>
        <w:r>
          <w:rPr>
            <w:webHidden/>
          </w:rPr>
          <w:fldChar w:fldCharType="separate"/>
        </w:r>
        <w:r>
          <w:rPr>
            <w:webHidden/>
          </w:rPr>
          <w:t>69</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75" w:history="1">
        <w:r w:rsidRPr="00C31907">
          <w:rPr>
            <w:rStyle w:val="Hyperlink"/>
            <w:rFonts w:asciiTheme="minorEastAsia" w:hAnsiTheme="minorEastAsia" w:hint="eastAsia"/>
            <w:bCs/>
          </w:rPr>
          <w:t>（四）基金份额持有人的权利与义务</w:t>
        </w:r>
        <w:r>
          <w:rPr>
            <w:webHidden/>
          </w:rPr>
          <w:tab/>
        </w:r>
        <w:r>
          <w:rPr>
            <w:webHidden/>
          </w:rPr>
          <w:fldChar w:fldCharType="begin"/>
        </w:r>
        <w:r>
          <w:rPr>
            <w:webHidden/>
          </w:rPr>
          <w:instrText xml:space="preserve"> PAGEREF _Toc114237475 \h </w:instrText>
        </w:r>
        <w:r>
          <w:rPr>
            <w:webHidden/>
          </w:rPr>
          <w:fldChar w:fldCharType="separate"/>
        </w:r>
        <w:r>
          <w:rPr>
            <w:webHidden/>
          </w:rPr>
          <w:t>71</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76" w:history="1">
        <w:r w:rsidRPr="00C31907">
          <w:rPr>
            <w:rStyle w:val="Hyperlink"/>
            <w:rFonts w:asciiTheme="minorEastAsia" w:hAnsiTheme="minorEastAsia" w:hint="eastAsia"/>
            <w:bCs/>
          </w:rPr>
          <w:t>（五）基金份额持有人大会</w:t>
        </w:r>
        <w:r>
          <w:rPr>
            <w:webHidden/>
          </w:rPr>
          <w:tab/>
        </w:r>
        <w:r>
          <w:rPr>
            <w:webHidden/>
          </w:rPr>
          <w:fldChar w:fldCharType="begin"/>
        </w:r>
        <w:r>
          <w:rPr>
            <w:webHidden/>
          </w:rPr>
          <w:instrText xml:space="preserve"> PAGEREF _Toc114237476 \h </w:instrText>
        </w:r>
        <w:r>
          <w:rPr>
            <w:webHidden/>
          </w:rPr>
          <w:fldChar w:fldCharType="separate"/>
        </w:r>
        <w:r>
          <w:rPr>
            <w:webHidden/>
          </w:rPr>
          <w:t>72</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77" w:history="1">
        <w:r w:rsidRPr="00C31907">
          <w:rPr>
            <w:rStyle w:val="Hyperlink"/>
            <w:rFonts w:asciiTheme="minorEastAsia" w:hAnsiTheme="minorEastAsia" w:hint="eastAsia"/>
            <w:bCs/>
          </w:rPr>
          <w:t>（六）基金合同的变更和终止</w:t>
        </w:r>
        <w:r>
          <w:rPr>
            <w:webHidden/>
          </w:rPr>
          <w:tab/>
        </w:r>
        <w:r>
          <w:rPr>
            <w:webHidden/>
          </w:rPr>
          <w:fldChar w:fldCharType="begin"/>
        </w:r>
        <w:r>
          <w:rPr>
            <w:webHidden/>
          </w:rPr>
          <w:instrText xml:space="preserve"> PAGEREF _Toc114237477 \h </w:instrText>
        </w:r>
        <w:r>
          <w:rPr>
            <w:webHidden/>
          </w:rPr>
          <w:fldChar w:fldCharType="separate"/>
        </w:r>
        <w:r>
          <w:rPr>
            <w:webHidden/>
          </w:rPr>
          <w:t>77</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78" w:history="1">
        <w:r w:rsidRPr="00C31907">
          <w:rPr>
            <w:rStyle w:val="Hyperlink"/>
            <w:rFonts w:asciiTheme="minorEastAsia" w:hAnsiTheme="minorEastAsia" w:hint="eastAsia"/>
            <w:bCs/>
          </w:rPr>
          <w:t>（七）争议的处理</w:t>
        </w:r>
        <w:r>
          <w:rPr>
            <w:webHidden/>
          </w:rPr>
          <w:tab/>
        </w:r>
        <w:r>
          <w:rPr>
            <w:webHidden/>
          </w:rPr>
          <w:fldChar w:fldCharType="begin"/>
        </w:r>
        <w:r>
          <w:rPr>
            <w:webHidden/>
          </w:rPr>
          <w:instrText xml:space="preserve"> PAGEREF _Toc114237478 \h </w:instrText>
        </w:r>
        <w:r>
          <w:rPr>
            <w:webHidden/>
          </w:rPr>
          <w:fldChar w:fldCharType="separate"/>
        </w:r>
        <w:r>
          <w:rPr>
            <w:webHidden/>
          </w:rPr>
          <w:t>77</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79" w:history="1">
        <w:r w:rsidRPr="00C31907">
          <w:rPr>
            <w:rStyle w:val="Hyperlink"/>
            <w:rFonts w:asciiTheme="minorEastAsia" w:hAnsiTheme="minorEastAsia" w:hint="eastAsia"/>
            <w:bCs/>
          </w:rPr>
          <w:t>（八）基金合同的存放及查阅方式</w:t>
        </w:r>
        <w:r>
          <w:rPr>
            <w:webHidden/>
          </w:rPr>
          <w:tab/>
        </w:r>
        <w:r>
          <w:rPr>
            <w:webHidden/>
          </w:rPr>
          <w:fldChar w:fldCharType="begin"/>
        </w:r>
        <w:r>
          <w:rPr>
            <w:webHidden/>
          </w:rPr>
          <w:instrText xml:space="preserve"> PAGEREF _Toc114237479 \h </w:instrText>
        </w:r>
        <w:r>
          <w:rPr>
            <w:webHidden/>
          </w:rPr>
          <w:fldChar w:fldCharType="separate"/>
        </w:r>
        <w:r>
          <w:rPr>
            <w:webHidden/>
          </w:rPr>
          <w:t>78</w:t>
        </w:r>
        <w:r>
          <w:rPr>
            <w:webHidden/>
          </w:rPr>
          <w:fldChar w:fldCharType="end"/>
        </w:r>
      </w:hyperlink>
    </w:p>
    <w:p w:rsidR="00490741">
      <w:pPr>
        <w:pStyle w:val="TOC1"/>
        <w:rPr>
          <w:rFonts w:asciiTheme="minorHAnsi" w:eastAsiaTheme="minorEastAsia" w:hAnsiTheme="minorHAnsi" w:cstheme="minorBidi"/>
          <w:caps w:val="0"/>
          <w:sz w:val="21"/>
          <w:szCs w:val="22"/>
        </w:rPr>
      </w:pPr>
      <w:hyperlink w:anchor="_Toc114237480" w:history="1">
        <w:r w:rsidRPr="00C31907">
          <w:rPr>
            <w:rStyle w:val="Hyperlink"/>
            <w:rFonts w:asciiTheme="minorEastAsia" w:hAnsiTheme="minorEastAsia" w:hint="eastAsia"/>
            <w:b/>
            <w:bCs/>
          </w:rPr>
          <w:t>二十二、基金托管协议的内容摘要</w:t>
        </w:r>
        <w:r>
          <w:rPr>
            <w:webHidden/>
          </w:rPr>
          <w:tab/>
        </w:r>
        <w:r>
          <w:rPr>
            <w:webHidden/>
          </w:rPr>
          <w:fldChar w:fldCharType="begin"/>
        </w:r>
        <w:r>
          <w:rPr>
            <w:webHidden/>
          </w:rPr>
          <w:instrText xml:space="preserve"> PAGEREF _Toc114237480 \h </w:instrText>
        </w:r>
        <w:r>
          <w:rPr>
            <w:webHidden/>
          </w:rPr>
          <w:fldChar w:fldCharType="separate"/>
        </w:r>
        <w:r>
          <w:rPr>
            <w:webHidden/>
          </w:rPr>
          <w:t>79</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81" w:history="1">
        <w:r w:rsidRPr="00C31907">
          <w:rPr>
            <w:rStyle w:val="Hyperlink"/>
            <w:rFonts w:asciiTheme="minorEastAsia" w:hAnsiTheme="minorEastAsia" w:hint="eastAsia"/>
            <w:bCs/>
          </w:rPr>
          <w:t>（一）基金托管协议当事人</w:t>
        </w:r>
        <w:r>
          <w:rPr>
            <w:webHidden/>
          </w:rPr>
          <w:tab/>
        </w:r>
        <w:r>
          <w:rPr>
            <w:webHidden/>
          </w:rPr>
          <w:fldChar w:fldCharType="begin"/>
        </w:r>
        <w:r>
          <w:rPr>
            <w:webHidden/>
          </w:rPr>
          <w:instrText xml:space="preserve"> PAGEREF _Toc114237481 \h </w:instrText>
        </w:r>
        <w:r>
          <w:rPr>
            <w:webHidden/>
          </w:rPr>
          <w:fldChar w:fldCharType="separate"/>
        </w:r>
        <w:r>
          <w:rPr>
            <w:webHidden/>
          </w:rPr>
          <w:t>79</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82" w:history="1">
        <w:r w:rsidRPr="00C31907">
          <w:rPr>
            <w:rStyle w:val="Hyperlink"/>
            <w:rFonts w:asciiTheme="minorEastAsia" w:hAnsiTheme="minorEastAsia" w:hint="eastAsia"/>
            <w:bCs/>
          </w:rPr>
          <w:t>（二）基金托管人和基金管理人之间的业务监督、核查</w:t>
        </w:r>
        <w:r>
          <w:rPr>
            <w:webHidden/>
          </w:rPr>
          <w:tab/>
        </w:r>
        <w:r>
          <w:rPr>
            <w:webHidden/>
          </w:rPr>
          <w:fldChar w:fldCharType="begin"/>
        </w:r>
        <w:r>
          <w:rPr>
            <w:webHidden/>
          </w:rPr>
          <w:instrText xml:space="preserve"> PAGEREF _Toc114237482 \h </w:instrText>
        </w:r>
        <w:r>
          <w:rPr>
            <w:webHidden/>
          </w:rPr>
          <w:fldChar w:fldCharType="separate"/>
        </w:r>
        <w:r>
          <w:rPr>
            <w:webHidden/>
          </w:rPr>
          <w:t>80</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83" w:history="1">
        <w:r w:rsidRPr="00C31907">
          <w:rPr>
            <w:rStyle w:val="Hyperlink"/>
            <w:rFonts w:asciiTheme="minorEastAsia" w:hAnsiTheme="minorEastAsia" w:hint="eastAsia"/>
            <w:bCs/>
          </w:rPr>
          <w:t>（三）基金财产保管</w:t>
        </w:r>
        <w:r>
          <w:rPr>
            <w:webHidden/>
          </w:rPr>
          <w:tab/>
        </w:r>
        <w:r>
          <w:rPr>
            <w:webHidden/>
          </w:rPr>
          <w:fldChar w:fldCharType="begin"/>
        </w:r>
        <w:r>
          <w:rPr>
            <w:webHidden/>
          </w:rPr>
          <w:instrText xml:space="preserve"> PAGEREF _Toc114237483 \h </w:instrText>
        </w:r>
        <w:r>
          <w:rPr>
            <w:webHidden/>
          </w:rPr>
          <w:fldChar w:fldCharType="separate"/>
        </w:r>
        <w:r>
          <w:rPr>
            <w:webHidden/>
          </w:rPr>
          <w:t>83</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84" w:history="1">
        <w:r w:rsidRPr="00C31907">
          <w:rPr>
            <w:rStyle w:val="Hyperlink"/>
            <w:rFonts w:asciiTheme="minorEastAsia" w:hAnsiTheme="minorEastAsia" w:hint="eastAsia"/>
            <w:bCs/>
          </w:rPr>
          <w:t>（四）基金资产净值计算与复核</w:t>
        </w:r>
        <w:r>
          <w:rPr>
            <w:webHidden/>
          </w:rPr>
          <w:tab/>
        </w:r>
        <w:r>
          <w:rPr>
            <w:webHidden/>
          </w:rPr>
          <w:fldChar w:fldCharType="begin"/>
        </w:r>
        <w:r>
          <w:rPr>
            <w:webHidden/>
          </w:rPr>
          <w:instrText xml:space="preserve"> PAGEREF _Toc114237484 \h </w:instrText>
        </w:r>
        <w:r>
          <w:rPr>
            <w:webHidden/>
          </w:rPr>
          <w:fldChar w:fldCharType="separate"/>
        </w:r>
        <w:r>
          <w:rPr>
            <w:webHidden/>
          </w:rPr>
          <w:t>85</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85" w:history="1">
        <w:r w:rsidRPr="00C31907">
          <w:rPr>
            <w:rStyle w:val="Hyperlink"/>
            <w:rFonts w:asciiTheme="minorEastAsia" w:hAnsiTheme="minorEastAsia" w:hint="eastAsia"/>
            <w:bCs/>
          </w:rPr>
          <w:t>（五）基金份额持有人名册的保管</w:t>
        </w:r>
        <w:r>
          <w:rPr>
            <w:webHidden/>
          </w:rPr>
          <w:tab/>
        </w:r>
        <w:r>
          <w:rPr>
            <w:webHidden/>
          </w:rPr>
          <w:fldChar w:fldCharType="begin"/>
        </w:r>
        <w:r>
          <w:rPr>
            <w:webHidden/>
          </w:rPr>
          <w:instrText xml:space="preserve"> PAGEREF _Toc114237485 \h </w:instrText>
        </w:r>
        <w:r>
          <w:rPr>
            <w:webHidden/>
          </w:rPr>
          <w:fldChar w:fldCharType="separate"/>
        </w:r>
        <w:r>
          <w:rPr>
            <w:webHidden/>
          </w:rPr>
          <w:t>88</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86" w:history="1">
        <w:r w:rsidRPr="00C31907">
          <w:rPr>
            <w:rStyle w:val="Hyperlink"/>
            <w:rFonts w:asciiTheme="minorEastAsia" w:hAnsiTheme="minorEastAsia" w:hint="eastAsia"/>
            <w:bCs/>
          </w:rPr>
          <w:t>（六）争议解决方式</w:t>
        </w:r>
        <w:r>
          <w:rPr>
            <w:webHidden/>
          </w:rPr>
          <w:tab/>
        </w:r>
        <w:r>
          <w:rPr>
            <w:webHidden/>
          </w:rPr>
          <w:fldChar w:fldCharType="begin"/>
        </w:r>
        <w:r>
          <w:rPr>
            <w:webHidden/>
          </w:rPr>
          <w:instrText xml:space="preserve"> PAGEREF _Toc114237486 \h </w:instrText>
        </w:r>
        <w:r>
          <w:rPr>
            <w:webHidden/>
          </w:rPr>
          <w:fldChar w:fldCharType="separate"/>
        </w:r>
        <w:r>
          <w:rPr>
            <w:webHidden/>
          </w:rPr>
          <w:t>89</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87" w:history="1">
        <w:r w:rsidRPr="00C31907">
          <w:rPr>
            <w:rStyle w:val="Hyperlink"/>
            <w:rFonts w:asciiTheme="minorEastAsia" w:hAnsiTheme="minorEastAsia" w:hint="eastAsia"/>
            <w:bCs/>
          </w:rPr>
          <w:t>（七）托管协议的修改与终止</w:t>
        </w:r>
        <w:r>
          <w:rPr>
            <w:webHidden/>
          </w:rPr>
          <w:tab/>
        </w:r>
        <w:r>
          <w:rPr>
            <w:webHidden/>
          </w:rPr>
          <w:fldChar w:fldCharType="begin"/>
        </w:r>
        <w:r>
          <w:rPr>
            <w:webHidden/>
          </w:rPr>
          <w:instrText xml:space="preserve"> PAGEREF _Toc114237487 \h </w:instrText>
        </w:r>
        <w:r>
          <w:rPr>
            <w:webHidden/>
          </w:rPr>
          <w:fldChar w:fldCharType="separate"/>
        </w:r>
        <w:r>
          <w:rPr>
            <w:webHidden/>
          </w:rPr>
          <w:t>89</w:t>
        </w:r>
        <w:r>
          <w:rPr>
            <w:webHidden/>
          </w:rPr>
          <w:fldChar w:fldCharType="end"/>
        </w:r>
      </w:hyperlink>
    </w:p>
    <w:p w:rsidR="00490741">
      <w:pPr>
        <w:pStyle w:val="TOC1"/>
        <w:rPr>
          <w:rFonts w:asciiTheme="minorHAnsi" w:eastAsiaTheme="minorEastAsia" w:hAnsiTheme="minorHAnsi" w:cstheme="minorBidi"/>
          <w:caps w:val="0"/>
          <w:sz w:val="21"/>
          <w:szCs w:val="22"/>
        </w:rPr>
      </w:pPr>
      <w:hyperlink w:anchor="_Toc114237488" w:history="1">
        <w:r w:rsidRPr="00C31907">
          <w:rPr>
            <w:rStyle w:val="Hyperlink"/>
            <w:rFonts w:asciiTheme="minorEastAsia" w:hAnsiTheme="minorEastAsia" w:hint="eastAsia"/>
            <w:b/>
            <w:bCs/>
          </w:rPr>
          <w:t>二十三、对基金份额持有人的服务</w:t>
        </w:r>
        <w:r>
          <w:rPr>
            <w:webHidden/>
          </w:rPr>
          <w:tab/>
        </w:r>
        <w:r>
          <w:rPr>
            <w:webHidden/>
          </w:rPr>
          <w:fldChar w:fldCharType="begin"/>
        </w:r>
        <w:r>
          <w:rPr>
            <w:webHidden/>
          </w:rPr>
          <w:instrText xml:space="preserve"> PAGEREF _Toc114237488 \h </w:instrText>
        </w:r>
        <w:r>
          <w:rPr>
            <w:webHidden/>
          </w:rPr>
          <w:fldChar w:fldCharType="separate"/>
        </w:r>
        <w:r>
          <w:rPr>
            <w:webHidden/>
          </w:rPr>
          <w:t>90</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89" w:history="1">
        <w:r w:rsidRPr="00C31907">
          <w:rPr>
            <w:rStyle w:val="Hyperlink"/>
            <w:rFonts w:asciiTheme="minorEastAsia" w:hAnsiTheme="minorEastAsia" w:hint="eastAsia"/>
            <w:bCs/>
          </w:rPr>
          <w:t>（一）基金份额持有人投资交易确认服务</w:t>
        </w:r>
        <w:r>
          <w:rPr>
            <w:webHidden/>
          </w:rPr>
          <w:tab/>
        </w:r>
        <w:r>
          <w:rPr>
            <w:webHidden/>
          </w:rPr>
          <w:fldChar w:fldCharType="begin"/>
        </w:r>
        <w:r>
          <w:rPr>
            <w:webHidden/>
          </w:rPr>
          <w:instrText xml:space="preserve"> PAGEREF _Toc114237489 \h </w:instrText>
        </w:r>
        <w:r>
          <w:rPr>
            <w:webHidden/>
          </w:rPr>
          <w:fldChar w:fldCharType="separate"/>
        </w:r>
        <w:r>
          <w:rPr>
            <w:webHidden/>
          </w:rPr>
          <w:t>90</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90" w:history="1">
        <w:r w:rsidRPr="00C31907">
          <w:rPr>
            <w:rStyle w:val="Hyperlink"/>
            <w:rFonts w:asciiTheme="minorEastAsia" w:hAnsiTheme="minorEastAsia" w:hint="eastAsia"/>
            <w:bCs/>
          </w:rPr>
          <w:t>（二）基金份额持有人交易记录查询服务</w:t>
        </w:r>
        <w:r>
          <w:rPr>
            <w:webHidden/>
          </w:rPr>
          <w:tab/>
        </w:r>
        <w:r>
          <w:rPr>
            <w:webHidden/>
          </w:rPr>
          <w:fldChar w:fldCharType="begin"/>
        </w:r>
        <w:r>
          <w:rPr>
            <w:webHidden/>
          </w:rPr>
          <w:instrText xml:space="preserve"> PAGEREF _Toc114237490 \h </w:instrText>
        </w:r>
        <w:r>
          <w:rPr>
            <w:webHidden/>
          </w:rPr>
          <w:fldChar w:fldCharType="separate"/>
        </w:r>
        <w:r>
          <w:rPr>
            <w:webHidden/>
          </w:rPr>
          <w:t>90</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91" w:history="1">
        <w:r w:rsidRPr="00C31907">
          <w:rPr>
            <w:rStyle w:val="Hyperlink"/>
            <w:rFonts w:asciiTheme="minorEastAsia" w:hAnsiTheme="minorEastAsia" w:hint="eastAsia"/>
            <w:bCs/>
          </w:rPr>
          <w:t>（三）基金份额持有人的对账单服务</w:t>
        </w:r>
        <w:r>
          <w:rPr>
            <w:webHidden/>
          </w:rPr>
          <w:tab/>
        </w:r>
        <w:r>
          <w:rPr>
            <w:webHidden/>
          </w:rPr>
          <w:fldChar w:fldCharType="begin"/>
        </w:r>
        <w:r>
          <w:rPr>
            <w:webHidden/>
          </w:rPr>
          <w:instrText xml:space="preserve"> PAGEREF _Toc114237491 \h </w:instrText>
        </w:r>
        <w:r>
          <w:rPr>
            <w:webHidden/>
          </w:rPr>
          <w:fldChar w:fldCharType="separate"/>
        </w:r>
        <w:r>
          <w:rPr>
            <w:webHidden/>
          </w:rPr>
          <w:t>90</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92" w:history="1">
        <w:r w:rsidRPr="00C31907">
          <w:rPr>
            <w:rStyle w:val="Hyperlink"/>
            <w:rFonts w:asciiTheme="minorEastAsia" w:hAnsiTheme="minorEastAsia" w:hint="eastAsia"/>
            <w:bCs/>
          </w:rPr>
          <w:t>（四）定期定额投资计划</w:t>
        </w:r>
        <w:r>
          <w:rPr>
            <w:webHidden/>
          </w:rPr>
          <w:tab/>
        </w:r>
        <w:r>
          <w:rPr>
            <w:webHidden/>
          </w:rPr>
          <w:fldChar w:fldCharType="begin"/>
        </w:r>
        <w:r>
          <w:rPr>
            <w:webHidden/>
          </w:rPr>
          <w:instrText xml:space="preserve"> PAGEREF _Toc114237492 \h </w:instrText>
        </w:r>
        <w:r>
          <w:rPr>
            <w:webHidden/>
          </w:rPr>
          <w:fldChar w:fldCharType="separate"/>
        </w:r>
        <w:r>
          <w:rPr>
            <w:webHidden/>
          </w:rPr>
          <w:t>90</w:t>
        </w:r>
        <w:r>
          <w:rPr>
            <w:webHidden/>
          </w:rPr>
          <w:fldChar w:fldCharType="end"/>
        </w:r>
      </w:hyperlink>
    </w:p>
    <w:p w:rsidR="00490741">
      <w:pPr>
        <w:pStyle w:val="TOC2"/>
        <w:rPr>
          <w:rFonts w:asciiTheme="minorHAnsi" w:eastAsiaTheme="minorEastAsia" w:hAnsiTheme="minorHAnsi" w:cstheme="minorBidi"/>
          <w:smallCaps w:val="0"/>
          <w:szCs w:val="22"/>
        </w:rPr>
      </w:pPr>
      <w:hyperlink w:anchor="_Toc114237493" w:history="1">
        <w:r w:rsidRPr="00C31907">
          <w:rPr>
            <w:rStyle w:val="Hyperlink"/>
            <w:rFonts w:asciiTheme="minorEastAsia" w:hAnsiTheme="minorEastAsia" w:hint="eastAsia"/>
            <w:bCs/>
          </w:rPr>
          <w:t>（五）资讯服务</w:t>
        </w:r>
        <w:r>
          <w:rPr>
            <w:webHidden/>
          </w:rPr>
          <w:tab/>
        </w:r>
        <w:r>
          <w:rPr>
            <w:webHidden/>
          </w:rPr>
          <w:fldChar w:fldCharType="begin"/>
        </w:r>
        <w:r>
          <w:rPr>
            <w:webHidden/>
          </w:rPr>
          <w:instrText xml:space="preserve"> PAGEREF _Toc114237493 \h </w:instrText>
        </w:r>
        <w:r>
          <w:rPr>
            <w:webHidden/>
          </w:rPr>
          <w:fldChar w:fldCharType="separate"/>
        </w:r>
        <w:r>
          <w:rPr>
            <w:webHidden/>
          </w:rPr>
          <w:t>90</w:t>
        </w:r>
        <w:r>
          <w:rPr>
            <w:webHidden/>
          </w:rPr>
          <w:fldChar w:fldCharType="end"/>
        </w:r>
      </w:hyperlink>
    </w:p>
    <w:p w:rsidR="00490741">
      <w:pPr>
        <w:pStyle w:val="TOC1"/>
        <w:rPr>
          <w:rFonts w:asciiTheme="minorHAnsi" w:eastAsiaTheme="minorEastAsia" w:hAnsiTheme="minorHAnsi" w:cstheme="minorBidi"/>
          <w:caps w:val="0"/>
          <w:sz w:val="21"/>
          <w:szCs w:val="22"/>
        </w:rPr>
      </w:pPr>
      <w:hyperlink w:anchor="_Toc114237494" w:history="1">
        <w:r w:rsidRPr="00C31907">
          <w:rPr>
            <w:rStyle w:val="Hyperlink"/>
            <w:rFonts w:asciiTheme="minorEastAsia" w:hAnsiTheme="minorEastAsia" w:hint="eastAsia"/>
            <w:b/>
            <w:bCs/>
          </w:rPr>
          <w:t>二十四、其他应披露事项</w:t>
        </w:r>
        <w:r>
          <w:rPr>
            <w:webHidden/>
          </w:rPr>
          <w:tab/>
        </w:r>
        <w:r>
          <w:rPr>
            <w:webHidden/>
          </w:rPr>
          <w:fldChar w:fldCharType="begin"/>
        </w:r>
        <w:r>
          <w:rPr>
            <w:webHidden/>
          </w:rPr>
          <w:instrText xml:space="preserve"> PAGEREF _Toc114237494 \h </w:instrText>
        </w:r>
        <w:r>
          <w:rPr>
            <w:webHidden/>
          </w:rPr>
          <w:fldChar w:fldCharType="separate"/>
        </w:r>
        <w:r>
          <w:rPr>
            <w:webHidden/>
          </w:rPr>
          <w:t>91</w:t>
        </w:r>
        <w:r>
          <w:rPr>
            <w:webHidden/>
          </w:rPr>
          <w:fldChar w:fldCharType="end"/>
        </w:r>
      </w:hyperlink>
    </w:p>
    <w:p w:rsidR="00490741">
      <w:pPr>
        <w:pStyle w:val="TOC1"/>
        <w:rPr>
          <w:rFonts w:asciiTheme="minorHAnsi" w:eastAsiaTheme="minorEastAsia" w:hAnsiTheme="minorHAnsi" w:cstheme="minorBidi"/>
          <w:caps w:val="0"/>
          <w:sz w:val="21"/>
          <w:szCs w:val="22"/>
        </w:rPr>
      </w:pPr>
      <w:hyperlink w:anchor="_Toc114237495" w:history="1">
        <w:r w:rsidRPr="00C31907">
          <w:rPr>
            <w:rStyle w:val="Hyperlink"/>
            <w:rFonts w:asciiTheme="minorEastAsia" w:hAnsiTheme="minorEastAsia" w:hint="eastAsia"/>
            <w:b/>
          </w:rPr>
          <w:t>二十五、</w:t>
        </w:r>
        <w:r w:rsidRPr="00C31907">
          <w:rPr>
            <w:rStyle w:val="Hyperlink"/>
            <w:rFonts w:asciiTheme="minorEastAsia" w:hAnsiTheme="minorEastAsia" w:hint="eastAsia"/>
            <w:b/>
            <w:bCs/>
          </w:rPr>
          <w:t>招募说明书存放及查阅方式</w:t>
        </w:r>
        <w:r>
          <w:rPr>
            <w:webHidden/>
          </w:rPr>
          <w:tab/>
        </w:r>
        <w:r>
          <w:rPr>
            <w:webHidden/>
          </w:rPr>
          <w:fldChar w:fldCharType="begin"/>
        </w:r>
        <w:r>
          <w:rPr>
            <w:webHidden/>
          </w:rPr>
          <w:instrText xml:space="preserve"> PAGEREF _Toc114237495 \h </w:instrText>
        </w:r>
        <w:r>
          <w:rPr>
            <w:webHidden/>
          </w:rPr>
          <w:fldChar w:fldCharType="separate"/>
        </w:r>
        <w:r>
          <w:rPr>
            <w:webHidden/>
          </w:rPr>
          <w:t>92</w:t>
        </w:r>
        <w:r>
          <w:rPr>
            <w:webHidden/>
          </w:rPr>
          <w:fldChar w:fldCharType="end"/>
        </w:r>
      </w:hyperlink>
    </w:p>
    <w:p w:rsidR="00490741">
      <w:pPr>
        <w:pStyle w:val="TOC1"/>
        <w:rPr>
          <w:rFonts w:asciiTheme="minorHAnsi" w:eastAsiaTheme="minorEastAsia" w:hAnsiTheme="minorHAnsi" w:cstheme="minorBidi"/>
          <w:caps w:val="0"/>
          <w:sz w:val="21"/>
          <w:szCs w:val="22"/>
        </w:rPr>
      </w:pPr>
      <w:hyperlink w:anchor="_Toc114237496" w:history="1">
        <w:r w:rsidRPr="00C31907">
          <w:rPr>
            <w:rStyle w:val="Hyperlink"/>
            <w:rFonts w:asciiTheme="minorEastAsia" w:hAnsiTheme="minorEastAsia" w:hint="eastAsia"/>
            <w:b/>
          </w:rPr>
          <w:t>二十六、备查文件</w:t>
        </w:r>
        <w:r>
          <w:rPr>
            <w:webHidden/>
          </w:rPr>
          <w:tab/>
        </w:r>
        <w:r>
          <w:rPr>
            <w:webHidden/>
          </w:rPr>
          <w:fldChar w:fldCharType="begin"/>
        </w:r>
        <w:r>
          <w:rPr>
            <w:webHidden/>
          </w:rPr>
          <w:instrText xml:space="preserve"> PAGEREF _Toc114237496 \h </w:instrText>
        </w:r>
        <w:r>
          <w:rPr>
            <w:webHidden/>
          </w:rPr>
          <w:fldChar w:fldCharType="separate"/>
        </w:r>
        <w:r>
          <w:rPr>
            <w:webHidden/>
          </w:rPr>
          <w:t>93</w:t>
        </w:r>
        <w:r>
          <w:rPr>
            <w:webHidden/>
          </w:rPr>
          <w:fldChar w:fldCharType="end"/>
        </w:r>
      </w:hyperlink>
    </w:p>
    <w:p w:rsidR="0002608C" w:rsidRPr="00490741" w:rsidP="00107648">
      <w:pPr>
        <w:snapToGrid w:val="0"/>
        <w:spacing w:line="360" w:lineRule="auto"/>
        <w:ind w:firstLine="560"/>
        <w:jc w:val="center"/>
        <w:rPr>
          <w:rFonts w:asciiTheme="minorEastAsia" w:eastAsiaTheme="minorEastAsia" w:hAnsiTheme="minorEastAsia"/>
          <w:color w:val="000000" w:themeColor="text1"/>
          <w:szCs w:val="21"/>
        </w:rPr>
        <w:sectPr w:rsidSect="0035472D">
          <w:footerReference w:type="default" r:id="rId11"/>
          <w:pgSz w:w="11906" w:h="16838" w:code="9"/>
          <w:pgMar w:top="1440" w:right="1800" w:bottom="1440" w:left="1800" w:header="1134" w:footer="1247" w:gutter="0"/>
          <w:pgNumType w:fmt="upperRoman" w:start="1"/>
          <w:cols w:space="425"/>
          <w:docGrid w:type="lines" w:linePitch="447"/>
        </w:sectPr>
      </w:pPr>
      <w:r w:rsidRPr="00490741">
        <w:rPr>
          <w:rFonts w:asciiTheme="minorEastAsia" w:eastAsiaTheme="minorEastAsia" w:hAnsiTheme="minorEastAsia"/>
          <w:b/>
          <w:caps/>
          <w:noProof/>
          <w:color w:val="000000" w:themeColor="text1"/>
          <w:sz w:val="24"/>
          <w:szCs w:val="21"/>
        </w:rPr>
        <w:fldChar w:fldCharType="end"/>
      </w:r>
    </w:p>
    <w:p w:rsidR="0002608C" w:rsidRPr="00490741" w:rsidP="00107648">
      <w:pPr>
        <w:pStyle w:val="1"/>
        <w:snapToGrid w:val="0"/>
        <w:spacing w:beforeLines="0" w:afterLines="0" w:line="360" w:lineRule="auto"/>
        <w:ind w:firstLine="643"/>
        <w:rPr>
          <w:rFonts w:asciiTheme="minorEastAsia" w:eastAsiaTheme="minorEastAsia" w:hAnsiTheme="minorEastAsia"/>
          <w:color w:val="000000" w:themeColor="text1"/>
        </w:rPr>
      </w:pPr>
      <w:bookmarkStart w:id="1" w:name="_Toc38432421"/>
      <w:bookmarkStart w:id="2" w:name="_Toc114237379"/>
      <w:r w:rsidRPr="00490741">
        <w:rPr>
          <w:rFonts w:asciiTheme="minorEastAsia" w:eastAsiaTheme="minorEastAsia" w:hAnsiTheme="minorEastAsia" w:hint="eastAsia"/>
          <w:color w:val="000000" w:themeColor="text1"/>
        </w:rPr>
        <w:t>一、绪言</w:t>
      </w:r>
      <w:bookmarkEnd w:id="1"/>
      <w:bookmarkEnd w:id="2"/>
    </w:p>
    <w:p w:rsidR="0002608C" w:rsidRPr="00490741" w:rsidP="00107648">
      <w:pPr>
        <w:snapToGrid w:val="0"/>
        <w:spacing w:line="360" w:lineRule="auto"/>
        <w:ind w:firstLine="482"/>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本《招募说明书》依据《中华人民共和国证券投资基金法》（以下简称《基金法</w:t>
      </w:r>
      <w:r w:rsidRPr="00490741">
        <w:rPr>
          <w:rFonts w:asciiTheme="minorEastAsia" w:eastAsiaTheme="minorEastAsia" w:hAnsiTheme="minorEastAsia" w:hint="eastAsia"/>
          <w:color w:val="000000" w:themeColor="text1"/>
        </w:rPr>
        <w:t>》）、《</w:t>
      </w:r>
      <w:r w:rsidRPr="00490741" w:rsidR="00B148D8">
        <w:rPr>
          <w:rFonts w:asciiTheme="minorEastAsia" w:eastAsiaTheme="minorEastAsia" w:hAnsiTheme="minorEastAsia" w:hint="eastAsia"/>
          <w:color w:val="000000" w:themeColor="text1"/>
        </w:rPr>
        <w:t>公开募集</w:t>
      </w:r>
      <w:r w:rsidRPr="00490741">
        <w:rPr>
          <w:rFonts w:asciiTheme="minorEastAsia" w:eastAsiaTheme="minorEastAsia" w:hAnsiTheme="minorEastAsia" w:hint="eastAsia"/>
          <w:color w:val="000000" w:themeColor="text1"/>
        </w:rPr>
        <w:t>证券投资基金运作管理办法》（以下简称《运作办法》）</w:t>
      </w:r>
      <w:r w:rsidRPr="00490741" w:rsidR="001E476C">
        <w:rPr>
          <w:rFonts w:asciiTheme="minorEastAsia" w:eastAsiaTheme="minorEastAsia" w:hAnsiTheme="minorEastAsia" w:hint="eastAsia"/>
          <w:color w:val="000000" w:themeColor="text1"/>
        </w:rPr>
        <w:t>、《公开募集开放式证券投资基金流动性风险管理规定》（以下简称“《管理规定》”）</w:t>
      </w:r>
      <w:r w:rsidRPr="00490741">
        <w:rPr>
          <w:rFonts w:asciiTheme="minorEastAsia" w:eastAsiaTheme="minorEastAsia" w:hAnsiTheme="minorEastAsia" w:hint="eastAsia"/>
          <w:color w:val="000000" w:themeColor="text1"/>
        </w:rPr>
        <w:t>、《证券投资基金销售管理办</w:t>
      </w:r>
      <w:r w:rsidRPr="00490741">
        <w:rPr>
          <w:rFonts w:asciiTheme="minorEastAsia" w:eastAsiaTheme="minorEastAsia" w:hAnsiTheme="minorEastAsia" w:hint="eastAsia"/>
          <w:color w:val="000000" w:themeColor="text1"/>
          <w:szCs w:val="21"/>
        </w:rPr>
        <w:t>法》（以下简称《销售办法》）、《</w:t>
      </w:r>
      <w:r w:rsidRPr="00490741" w:rsidR="008E5383">
        <w:rPr>
          <w:rFonts w:asciiTheme="minorEastAsia" w:eastAsiaTheme="minorEastAsia" w:hAnsiTheme="minorEastAsia" w:hint="eastAsia"/>
          <w:color w:val="000000" w:themeColor="text1"/>
          <w:szCs w:val="21"/>
        </w:rPr>
        <w:t>公开募集</w:t>
      </w:r>
      <w:r w:rsidRPr="00490741">
        <w:rPr>
          <w:rFonts w:asciiTheme="minorEastAsia" w:eastAsiaTheme="minorEastAsia" w:hAnsiTheme="minorEastAsia" w:hint="eastAsia"/>
          <w:color w:val="000000" w:themeColor="text1"/>
          <w:szCs w:val="21"/>
        </w:rPr>
        <w:t>证券投资基金信息披露管理办法》（以下简称《信息披露办法》）、</w:t>
      </w:r>
      <w:r w:rsidRPr="00490741">
        <w:rPr>
          <w:rFonts w:asciiTheme="minorEastAsia" w:eastAsiaTheme="minorEastAsia" w:hAnsiTheme="minorEastAsia" w:hint="eastAsia"/>
          <w:color w:val="000000" w:themeColor="text1"/>
        </w:rPr>
        <w:t>《证券投资基金信息披露内容与格式准则第</w:t>
      </w:r>
      <w:r w:rsidRPr="00490741">
        <w:rPr>
          <w:rFonts w:asciiTheme="minorEastAsia" w:eastAsiaTheme="minorEastAsia" w:hAnsiTheme="minorEastAsia"/>
          <w:color w:val="000000" w:themeColor="text1"/>
        </w:rPr>
        <w:t>5</w:t>
      </w:r>
      <w:r w:rsidRPr="00490741">
        <w:rPr>
          <w:rFonts w:asciiTheme="minorEastAsia" w:eastAsiaTheme="minorEastAsia" w:hAnsiTheme="minorEastAsia" w:hint="eastAsia"/>
          <w:color w:val="000000" w:themeColor="text1"/>
        </w:rPr>
        <w:t>号</w:t>
      </w:r>
      <w:r w:rsidRPr="00490741">
        <w:rPr>
          <w:rFonts w:asciiTheme="minorEastAsia" w:eastAsiaTheme="minorEastAsia" w:hAnsiTheme="minorEastAsia"/>
          <w:color w:val="000000" w:themeColor="text1"/>
        </w:rPr>
        <w:t>&lt;</w:t>
      </w:r>
      <w:r w:rsidRPr="00490741">
        <w:rPr>
          <w:rFonts w:asciiTheme="minorEastAsia" w:eastAsiaTheme="minorEastAsia" w:hAnsiTheme="minorEastAsia" w:hint="eastAsia"/>
          <w:color w:val="000000" w:themeColor="text1"/>
        </w:rPr>
        <w:t>招募说明书的内容与格式</w:t>
      </w:r>
      <w:r w:rsidRPr="00490741">
        <w:rPr>
          <w:rFonts w:asciiTheme="minorEastAsia" w:eastAsiaTheme="minorEastAsia" w:hAnsiTheme="minorEastAsia"/>
          <w:color w:val="000000" w:themeColor="text1"/>
        </w:rPr>
        <w:t>&gt;</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szCs w:val="21"/>
        </w:rPr>
        <w:t>等有关法律法规以及《</w:t>
      </w:r>
      <w:r w:rsidRPr="00490741" w:rsidR="00906A80">
        <w:rPr>
          <w:rFonts w:asciiTheme="minorEastAsia" w:eastAsiaTheme="minorEastAsia" w:hAnsiTheme="minorEastAsia" w:hint="eastAsia"/>
          <w:color w:val="000000" w:themeColor="text1"/>
          <w:szCs w:val="21"/>
        </w:rPr>
        <w:t>易方达价值精选混合型证券投资基金</w:t>
      </w:r>
      <w:r w:rsidRPr="00490741">
        <w:rPr>
          <w:rFonts w:asciiTheme="minorEastAsia" w:eastAsiaTheme="minorEastAsia" w:hAnsiTheme="minorEastAsia" w:hint="eastAsia"/>
          <w:color w:val="000000" w:themeColor="text1"/>
          <w:szCs w:val="21"/>
        </w:rPr>
        <w:t>基金合同》编写。</w:t>
      </w:r>
    </w:p>
    <w:p w:rsidR="0002608C" w:rsidRPr="00490741" w:rsidP="00107648">
      <w:pPr>
        <w:snapToGrid w:val="0"/>
        <w:spacing w:line="360" w:lineRule="auto"/>
        <w:ind w:firstLine="482"/>
        <w:rPr>
          <w:rStyle w:val="da"/>
          <w:rFonts w:asciiTheme="minorEastAsia" w:eastAsiaTheme="minorEastAsia" w:hAnsiTheme="minorEastAsia"/>
          <w:color w:val="000000" w:themeColor="text1"/>
        </w:rPr>
      </w:pPr>
      <w:r w:rsidRPr="00490741">
        <w:rPr>
          <w:rStyle w:val="da"/>
          <w:rFonts w:asciiTheme="minorEastAsia" w:eastAsiaTheme="minorEastAsia" w:hAnsiTheme="minorEastAsia"/>
          <w:color w:val="000000" w:themeColor="text1"/>
        </w:rPr>
        <w:t>基金管理人承诺本招募说明书不存在任何虚假记载、误导性陈述或者重大遗漏</w:t>
      </w:r>
      <w:r w:rsidRPr="00490741">
        <w:rPr>
          <w:rStyle w:val="da"/>
          <w:rFonts w:asciiTheme="minorEastAsia" w:eastAsiaTheme="minorEastAsia" w:hAnsiTheme="minorEastAsia"/>
          <w:color w:val="000000" w:themeColor="text1"/>
        </w:rPr>
        <w:t>,</w:t>
      </w:r>
      <w:r w:rsidRPr="00490741">
        <w:rPr>
          <w:rStyle w:val="da"/>
          <w:rFonts w:asciiTheme="minorEastAsia" w:eastAsiaTheme="minorEastAsia" w:hAnsiTheme="minorEastAsia"/>
          <w:color w:val="000000" w:themeColor="text1"/>
        </w:rPr>
        <w:t>并对其真实性、准确性、完整性承担法律责任。本基金是根据本招募说明书所载明的资料申请募集的。本基金管理人没有委托或授权任何其他人提供未在本招募说明书中载明的信息</w:t>
      </w:r>
      <w:r w:rsidRPr="00490741">
        <w:rPr>
          <w:rStyle w:val="da"/>
          <w:rFonts w:asciiTheme="minorEastAsia" w:eastAsiaTheme="minorEastAsia" w:hAnsiTheme="minorEastAsia" w:hint="eastAsia"/>
          <w:color w:val="000000" w:themeColor="text1"/>
        </w:rPr>
        <w:t>，</w:t>
      </w:r>
      <w:r w:rsidRPr="00490741">
        <w:rPr>
          <w:rStyle w:val="da"/>
          <w:rFonts w:asciiTheme="minorEastAsia" w:eastAsiaTheme="minorEastAsia" w:hAnsiTheme="minorEastAsia"/>
          <w:color w:val="000000" w:themeColor="text1"/>
        </w:rPr>
        <w:t>或对本招募说明书作任何解释或者说明。</w:t>
      </w:r>
    </w:p>
    <w:p w:rsidR="0002608C" w:rsidRPr="00490741" w:rsidP="00107648">
      <w:pPr>
        <w:snapToGrid w:val="0"/>
        <w:spacing w:line="360" w:lineRule="auto"/>
        <w:ind w:firstLine="482"/>
        <w:rPr>
          <w:rStyle w:val="da"/>
          <w:rFonts w:asciiTheme="minorEastAsia" w:eastAsiaTheme="minorEastAsia" w:hAnsiTheme="minorEastAsia"/>
          <w:color w:val="000000" w:themeColor="text1"/>
        </w:rPr>
      </w:pPr>
      <w:r w:rsidRPr="00490741">
        <w:rPr>
          <w:rStyle w:val="da"/>
          <w:rFonts w:asciiTheme="minorEastAsia" w:eastAsiaTheme="minorEastAsia" w:hAnsiTheme="minorEastAsia"/>
          <w:color w:val="000000" w:themeColor="text1"/>
        </w:rPr>
        <w:t>本招募说明书根据本基金的基金合同编写</w:t>
      </w:r>
      <w:r w:rsidRPr="00490741">
        <w:rPr>
          <w:rStyle w:val="da"/>
          <w:rFonts w:asciiTheme="minorEastAsia" w:eastAsiaTheme="minorEastAsia" w:hAnsiTheme="minorEastAsia" w:hint="eastAsia"/>
          <w:color w:val="000000" w:themeColor="text1"/>
        </w:rPr>
        <w:t>，</w:t>
      </w:r>
      <w:r w:rsidRPr="00490741">
        <w:rPr>
          <w:rStyle w:val="da"/>
          <w:rFonts w:asciiTheme="minorEastAsia" w:eastAsiaTheme="minorEastAsia" w:hAnsiTheme="minorEastAsia"/>
          <w:color w:val="000000" w:themeColor="text1"/>
        </w:rPr>
        <w:t>并经中国证监会核准。基金合同是约定基金当事人之间权利、义务的法律文件。基金投资人自依基金合同取得基金份额</w:t>
      </w:r>
      <w:r w:rsidRPr="00490741">
        <w:rPr>
          <w:rStyle w:val="da"/>
          <w:rFonts w:asciiTheme="minorEastAsia" w:eastAsiaTheme="minorEastAsia" w:hAnsiTheme="minorEastAsia" w:hint="eastAsia"/>
          <w:color w:val="000000" w:themeColor="text1"/>
        </w:rPr>
        <w:t>，</w:t>
      </w:r>
      <w:r w:rsidRPr="00490741">
        <w:rPr>
          <w:rStyle w:val="da"/>
          <w:rFonts w:asciiTheme="minorEastAsia" w:eastAsiaTheme="minorEastAsia" w:hAnsiTheme="minorEastAsia"/>
          <w:color w:val="000000" w:themeColor="text1"/>
        </w:rPr>
        <w:t>即成为基金份额持有人和本基金合同的当事人</w:t>
      </w:r>
      <w:r w:rsidRPr="00490741">
        <w:rPr>
          <w:rStyle w:val="da"/>
          <w:rFonts w:asciiTheme="minorEastAsia" w:eastAsiaTheme="minorEastAsia" w:hAnsiTheme="minorEastAsia" w:hint="eastAsia"/>
          <w:color w:val="000000" w:themeColor="text1"/>
        </w:rPr>
        <w:t>，</w:t>
      </w:r>
      <w:r w:rsidRPr="00490741">
        <w:rPr>
          <w:rStyle w:val="da"/>
          <w:rFonts w:asciiTheme="minorEastAsia" w:eastAsiaTheme="minorEastAsia" w:hAnsiTheme="minorEastAsia"/>
          <w:color w:val="000000" w:themeColor="text1"/>
        </w:rPr>
        <w:t>其持有基金份额的行为本身即表明其对基金合同的承认和接受</w:t>
      </w:r>
      <w:r w:rsidRPr="00490741">
        <w:rPr>
          <w:rStyle w:val="da"/>
          <w:rFonts w:asciiTheme="minorEastAsia" w:eastAsiaTheme="minorEastAsia" w:hAnsiTheme="minorEastAsia" w:hint="eastAsia"/>
          <w:color w:val="000000" w:themeColor="text1"/>
        </w:rPr>
        <w:t>，</w:t>
      </w:r>
      <w:r w:rsidRPr="00490741">
        <w:rPr>
          <w:rStyle w:val="da"/>
          <w:rFonts w:asciiTheme="minorEastAsia" w:eastAsiaTheme="minorEastAsia" w:hAnsiTheme="minorEastAsia"/>
          <w:color w:val="000000" w:themeColor="text1"/>
        </w:rPr>
        <w:t>并按照《基金法》、基金合同及其他有关规定享有权利、承担义务。基金投资人欲了解基金份额持有人的权利和义务</w:t>
      </w:r>
      <w:r w:rsidRPr="00490741">
        <w:rPr>
          <w:rStyle w:val="da"/>
          <w:rFonts w:asciiTheme="minorEastAsia" w:eastAsiaTheme="minorEastAsia" w:hAnsiTheme="minorEastAsia" w:hint="eastAsia"/>
          <w:color w:val="000000" w:themeColor="text1"/>
        </w:rPr>
        <w:t>，</w:t>
      </w:r>
      <w:r w:rsidRPr="00490741">
        <w:rPr>
          <w:rStyle w:val="da"/>
          <w:rFonts w:asciiTheme="minorEastAsia" w:eastAsiaTheme="minorEastAsia" w:hAnsiTheme="minorEastAsia"/>
          <w:color w:val="000000" w:themeColor="text1"/>
        </w:rPr>
        <w:t>应详细查阅基金合同</w:t>
      </w:r>
      <w:r w:rsidRPr="00490741">
        <w:rPr>
          <w:rStyle w:val="da"/>
          <w:rFonts w:asciiTheme="minorEastAsia" w:eastAsiaTheme="minorEastAsia" w:hAnsiTheme="minorEastAsia" w:hint="eastAsia"/>
          <w:color w:val="000000" w:themeColor="text1"/>
        </w:rPr>
        <w:t>。</w:t>
      </w:r>
    </w:p>
    <w:p w:rsidR="0002608C" w:rsidRPr="00490741" w:rsidP="00107648">
      <w:pPr>
        <w:snapToGrid w:val="0"/>
        <w:spacing w:line="360" w:lineRule="auto"/>
        <w:ind w:firstLine="482"/>
        <w:rPr>
          <w:rFonts w:asciiTheme="minorEastAsia" w:eastAsiaTheme="minorEastAsia" w:hAnsiTheme="minorEastAsia"/>
          <w:color w:val="000000" w:themeColor="text1"/>
          <w:szCs w:val="21"/>
        </w:rPr>
      </w:pPr>
    </w:p>
    <w:p w:rsidR="0002608C" w:rsidRPr="00490741" w:rsidP="00107648">
      <w:pPr>
        <w:snapToGrid w:val="0"/>
        <w:spacing w:line="360" w:lineRule="auto"/>
        <w:ind w:firstLine="482"/>
        <w:rPr>
          <w:rFonts w:asciiTheme="minorEastAsia" w:eastAsiaTheme="minorEastAsia" w:hAnsiTheme="minorEastAsia"/>
          <w:color w:val="000000" w:themeColor="text1"/>
          <w:szCs w:val="21"/>
        </w:rPr>
      </w:pPr>
    </w:p>
    <w:p w:rsidR="0002608C" w:rsidRPr="00490741" w:rsidP="00107648">
      <w:pPr>
        <w:snapToGrid w:val="0"/>
        <w:spacing w:line="360" w:lineRule="auto"/>
        <w:ind w:firstLine="482"/>
        <w:rPr>
          <w:rFonts w:asciiTheme="minorEastAsia" w:eastAsiaTheme="minorEastAsia" w:hAnsiTheme="minorEastAsia"/>
          <w:color w:val="000000" w:themeColor="text1"/>
          <w:szCs w:val="21"/>
        </w:rPr>
      </w:pPr>
    </w:p>
    <w:p w:rsidR="0002608C" w:rsidRPr="00490741" w:rsidP="00107648">
      <w:pPr>
        <w:snapToGrid w:val="0"/>
        <w:spacing w:line="360" w:lineRule="auto"/>
        <w:ind w:firstLine="482"/>
        <w:rPr>
          <w:rFonts w:asciiTheme="minorEastAsia" w:eastAsiaTheme="minorEastAsia" w:hAnsiTheme="minorEastAsia"/>
          <w:color w:val="000000" w:themeColor="text1"/>
          <w:szCs w:val="21"/>
        </w:rPr>
      </w:pPr>
    </w:p>
    <w:p w:rsidR="0002608C" w:rsidRPr="00490741" w:rsidP="00107648">
      <w:pPr>
        <w:snapToGrid w:val="0"/>
        <w:spacing w:line="360" w:lineRule="auto"/>
        <w:ind w:firstLine="482"/>
        <w:rPr>
          <w:rFonts w:asciiTheme="minorEastAsia" w:eastAsiaTheme="minorEastAsia" w:hAnsiTheme="minorEastAsia"/>
          <w:color w:val="000000" w:themeColor="text1"/>
          <w:szCs w:val="21"/>
        </w:rPr>
      </w:pPr>
    </w:p>
    <w:p w:rsidR="0002608C" w:rsidRPr="00490741" w:rsidP="00107648">
      <w:pPr>
        <w:pStyle w:val="111"/>
        <w:snapToGrid w:val="0"/>
        <w:spacing w:beforeLines="0" w:afterLines="0" w:line="360" w:lineRule="auto"/>
        <w:ind w:firstLine="643"/>
        <w:rPr>
          <w:rFonts w:asciiTheme="minorEastAsia" w:eastAsiaTheme="minorEastAsia" w:hAnsiTheme="minorEastAsia"/>
          <w:b/>
          <w:color w:val="000000" w:themeColor="text1"/>
          <w:szCs w:val="32"/>
        </w:rPr>
      </w:pPr>
      <w:bookmarkStart w:id="3" w:name="_Toc38432422"/>
      <w:bookmarkStart w:id="4" w:name="_Toc114237380"/>
      <w:r w:rsidRPr="00490741">
        <w:rPr>
          <w:rFonts w:asciiTheme="minorEastAsia" w:eastAsiaTheme="minorEastAsia" w:hAnsiTheme="minorEastAsia" w:hint="eastAsia"/>
          <w:b/>
          <w:color w:val="000000" w:themeColor="text1"/>
          <w:szCs w:val="32"/>
        </w:rPr>
        <w:t>二、释义</w:t>
      </w:r>
      <w:bookmarkEnd w:id="3"/>
      <w:bookmarkEnd w:id="4"/>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本《招募说明书》中除非文意另有所指</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hint="eastAsia"/>
          <w:color w:val="000000" w:themeColor="text1"/>
          <w:szCs w:val="21"/>
        </w:rPr>
        <w:t>下列词语有如下含义：</w:t>
      </w:r>
    </w:p>
    <w:tbl>
      <w:tblPr>
        <w:tblW w:w="0" w:type="auto"/>
        <w:tblInd w:w="250" w:type="dxa"/>
        <w:tblLayout w:type="fixed"/>
        <w:tblLook w:val="0000"/>
      </w:tblPr>
      <w:tblGrid>
        <w:gridCol w:w="2552"/>
        <w:gridCol w:w="5720"/>
      </w:tblGrid>
      <w:tr w:rsidTr="009520C1">
        <w:tblPrEx>
          <w:tblW w:w="0" w:type="auto"/>
          <w:tblInd w:w="250" w:type="dxa"/>
          <w:tblLayout w:type="fixed"/>
          <w:tblLook w:val="0000"/>
        </w:tblPrEx>
        <w:trPr>
          <w:trHeight w:val="762"/>
        </w:trPr>
        <w:tc>
          <w:tcPr>
            <w:tcW w:w="2552" w:type="dxa"/>
          </w:tcPr>
          <w:p w:rsidR="0002608C" w:rsidRPr="00490741" w:rsidP="00107648">
            <w:pPr>
              <w:snapToGrid w:val="0"/>
              <w:spacing w:line="360" w:lineRule="auto"/>
              <w:ind w:firstLine="210" w:firstLineChars="1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基金合同：</w:t>
            </w:r>
          </w:p>
        </w:tc>
        <w:tc>
          <w:tcPr>
            <w:tcW w:w="5720" w:type="dxa"/>
          </w:tcPr>
          <w:p w:rsidR="0002608C" w:rsidRPr="00490741" w:rsidP="00107648">
            <w:pPr>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w:t>
            </w:r>
            <w:r w:rsidRPr="00490741" w:rsidR="00906A80">
              <w:rPr>
                <w:rFonts w:asciiTheme="minorEastAsia" w:eastAsiaTheme="minorEastAsia" w:hAnsiTheme="minorEastAsia" w:hint="eastAsia"/>
                <w:color w:val="000000" w:themeColor="text1"/>
                <w:szCs w:val="21"/>
              </w:rPr>
              <w:t>易方达价值精选混合型证券投资基金</w:t>
            </w:r>
            <w:r w:rsidRPr="00490741">
              <w:rPr>
                <w:rFonts w:asciiTheme="minorEastAsia" w:eastAsiaTheme="minorEastAsia" w:hAnsiTheme="minorEastAsia" w:hint="eastAsia"/>
                <w:color w:val="000000" w:themeColor="text1"/>
                <w:szCs w:val="21"/>
              </w:rPr>
              <w:t>基金合同》及对该合同的任何修订和补充</w:t>
            </w:r>
          </w:p>
        </w:tc>
      </w:tr>
      <w:tr w:rsidTr="009520C1">
        <w:tblPrEx>
          <w:tblW w:w="0" w:type="auto"/>
          <w:tblInd w:w="250" w:type="dxa"/>
          <w:tblLayout w:type="fixed"/>
          <w:tblLook w:val="0000"/>
        </w:tblPrEx>
        <w:trPr>
          <w:trHeight w:val="770"/>
        </w:trPr>
        <w:tc>
          <w:tcPr>
            <w:tcW w:w="2552" w:type="dxa"/>
          </w:tcPr>
          <w:p w:rsidR="0002608C" w:rsidRPr="00490741" w:rsidP="00107648">
            <w:pPr>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《托管协议》</w:t>
            </w:r>
          </w:p>
        </w:tc>
        <w:tc>
          <w:tcPr>
            <w:tcW w:w="5720" w:type="dxa"/>
          </w:tcPr>
          <w:p w:rsidR="0002608C" w:rsidRPr="00490741" w:rsidP="00107648">
            <w:pPr>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w:t>
            </w:r>
            <w:r w:rsidRPr="00490741" w:rsidR="00906A80">
              <w:rPr>
                <w:rFonts w:asciiTheme="minorEastAsia" w:eastAsiaTheme="minorEastAsia" w:hAnsiTheme="minorEastAsia" w:hint="eastAsia"/>
                <w:color w:val="000000" w:themeColor="text1"/>
                <w:szCs w:val="21"/>
              </w:rPr>
              <w:t>易方达价值精选混合型证券投资基金</w:t>
            </w:r>
            <w:r w:rsidRPr="00490741">
              <w:rPr>
                <w:rFonts w:asciiTheme="minorEastAsia" w:eastAsiaTheme="minorEastAsia" w:hAnsiTheme="minorEastAsia" w:hint="eastAsia"/>
                <w:color w:val="000000" w:themeColor="text1"/>
                <w:szCs w:val="21"/>
              </w:rPr>
              <w:t>托管协议》及对该协议的任何修订和补充</w:t>
            </w:r>
          </w:p>
        </w:tc>
      </w:tr>
      <w:tr w:rsidTr="009520C1">
        <w:tblPrEx>
          <w:tblW w:w="0" w:type="auto"/>
          <w:tblInd w:w="250" w:type="dxa"/>
          <w:tblLayout w:type="fixed"/>
          <w:tblLook w:val="0000"/>
        </w:tblPrEx>
        <w:trPr>
          <w:trHeight w:val="425"/>
        </w:trPr>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《基金法》：</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w:t>
            </w:r>
            <w:bookmarkStart w:id="5" w:name="_Toc78339150"/>
            <w:r w:rsidRPr="00490741">
              <w:rPr>
                <w:rFonts w:asciiTheme="minorEastAsia" w:eastAsiaTheme="minorEastAsia" w:hAnsiTheme="minorEastAsia"/>
                <w:color w:val="000000" w:themeColor="text1"/>
                <w:szCs w:val="21"/>
              </w:rPr>
              <w:t>中华人民共和国证券投资基金法</w:t>
            </w:r>
            <w:bookmarkEnd w:id="5"/>
            <w:r w:rsidRPr="00490741">
              <w:rPr>
                <w:rFonts w:asciiTheme="minorEastAsia" w:eastAsiaTheme="minorEastAsia" w:hAnsiTheme="minorEastAsia" w:hint="eastAsia"/>
                <w:color w:val="000000" w:themeColor="text1"/>
                <w:szCs w:val="21"/>
              </w:rPr>
              <w:t>》</w:t>
            </w:r>
          </w:p>
        </w:tc>
      </w:tr>
      <w:tr w:rsidTr="009520C1">
        <w:tblPrEx>
          <w:tblW w:w="0" w:type="auto"/>
          <w:tblInd w:w="250" w:type="dxa"/>
          <w:tblLayout w:type="fixed"/>
          <w:tblLook w:val="0000"/>
        </w:tblPrEx>
        <w:trPr>
          <w:trHeight w:val="416"/>
        </w:trPr>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《运作办法》：</w:t>
            </w:r>
          </w:p>
          <w:p w:rsidR="001E476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《管理规定》</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w:t>
            </w:r>
            <w:r w:rsidRPr="00490741" w:rsidR="00B148D8">
              <w:rPr>
                <w:rFonts w:asciiTheme="minorEastAsia" w:eastAsiaTheme="minorEastAsia" w:hAnsiTheme="minorEastAsia" w:hint="eastAsia"/>
                <w:color w:val="000000" w:themeColor="text1"/>
                <w:szCs w:val="21"/>
              </w:rPr>
              <w:t>公开募集</w:t>
            </w:r>
            <w:r w:rsidRPr="00490741">
              <w:rPr>
                <w:rFonts w:asciiTheme="minorEastAsia" w:eastAsiaTheme="minorEastAsia" w:hAnsiTheme="minorEastAsia" w:hint="eastAsia"/>
                <w:color w:val="000000" w:themeColor="text1"/>
                <w:szCs w:val="21"/>
              </w:rPr>
              <w:t>证券投资基金运作管理办法》</w:t>
            </w:r>
          </w:p>
          <w:p w:rsidR="001E476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指中国证监会</w:t>
            </w:r>
            <w:r w:rsidRPr="00490741">
              <w:rPr>
                <w:rFonts w:asciiTheme="minorEastAsia" w:eastAsiaTheme="minorEastAsia" w:hAnsiTheme="minorEastAsia" w:hint="eastAsia"/>
                <w:color w:val="000000" w:themeColor="text1"/>
                <w:szCs w:val="21"/>
              </w:rPr>
              <w:t>2017</w:t>
            </w:r>
            <w:r w:rsidRPr="00490741">
              <w:rPr>
                <w:rFonts w:asciiTheme="minorEastAsia" w:eastAsiaTheme="minorEastAsia" w:hAnsiTheme="minorEastAsia" w:hint="eastAsia"/>
                <w:color w:val="000000" w:themeColor="text1"/>
                <w:szCs w:val="21"/>
              </w:rPr>
              <w:t>年</w:t>
            </w:r>
            <w:r w:rsidRPr="00490741">
              <w:rPr>
                <w:rFonts w:asciiTheme="minorEastAsia" w:eastAsiaTheme="minorEastAsia" w:hAnsiTheme="minorEastAsia" w:hint="eastAsia"/>
                <w:color w:val="000000" w:themeColor="text1"/>
                <w:szCs w:val="21"/>
              </w:rPr>
              <w:t>8</w:t>
            </w:r>
            <w:r w:rsidRPr="00490741">
              <w:rPr>
                <w:rFonts w:asciiTheme="minorEastAsia" w:eastAsiaTheme="minorEastAsia" w:hAnsiTheme="minorEastAsia" w:hint="eastAsia"/>
                <w:color w:val="000000" w:themeColor="text1"/>
                <w:szCs w:val="21"/>
              </w:rPr>
              <w:t>月</w:t>
            </w:r>
            <w:r w:rsidRPr="00490741">
              <w:rPr>
                <w:rFonts w:asciiTheme="minorEastAsia" w:eastAsiaTheme="minorEastAsia" w:hAnsiTheme="minorEastAsia" w:hint="eastAsia"/>
                <w:color w:val="000000" w:themeColor="text1"/>
                <w:szCs w:val="21"/>
              </w:rPr>
              <w:t>31</w:t>
            </w:r>
            <w:r w:rsidRPr="00490741">
              <w:rPr>
                <w:rFonts w:asciiTheme="minorEastAsia" w:eastAsiaTheme="minorEastAsia" w:hAnsiTheme="minorEastAsia" w:hint="eastAsia"/>
                <w:color w:val="000000" w:themeColor="text1"/>
                <w:szCs w:val="21"/>
              </w:rPr>
              <w:t>日颁布、同年</w:t>
            </w:r>
            <w:r w:rsidRPr="00490741">
              <w:rPr>
                <w:rFonts w:asciiTheme="minorEastAsia" w:eastAsiaTheme="minorEastAsia" w:hAnsiTheme="minorEastAsia" w:hint="eastAsia"/>
                <w:color w:val="000000" w:themeColor="text1"/>
                <w:szCs w:val="21"/>
              </w:rPr>
              <w:t>10</w:t>
            </w:r>
            <w:r w:rsidRPr="00490741">
              <w:rPr>
                <w:rFonts w:asciiTheme="minorEastAsia" w:eastAsiaTheme="minorEastAsia" w:hAnsiTheme="minorEastAsia" w:hint="eastAsia"/>
                <w:color w:val="000000" w:themeColor="text1"/>
                <w:szCs w:val="21"/>
              </w:rPr>
              <w:t>月</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日实施的《公开募集开放式证券投资基金流动性风险管理规定》及颁布机关对其不时做出的修订</w:t>
            </w:r>
          </w:p>
        </w:tc>
      </w:tr>
      <w:tr w:rsidTr="009520C1">
        <w:tblPrEx>
          <w:tblW w:w="0" w:type="auto"/>
          <w:tblInd w:w="250" w:type="dxa"/>
          <w:tblLayout w:type="fixed"/>
          <w:tblLook w:val="0000"/>
        </w:tblPrEx>
        <w:trPr>
          <w:trHeight w:val="409"/>
        </w:trPr>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《销售办法》：</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指《证券投资基金销售管理办法》</w:t>
            </w:r>
          </w:p>
        </w:tc>
      </w:tr>
      <w:tr w:rsidTr="009520C1">
        <w:tblPrEx>
          <w:tblW w:w="0" w:type="auto"/>
          <w:tblInd w:w="250" w:type="dxa"/>
          <w:tblLayout w:type="fixed"/>
          <w:tblLook w:val="0000"/>
        </w:tblPrEx>
        <w:trPr>
          <w:trHeight w:val="287"/>
        </w:trPr>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《信息披露办法》：</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指中国证监会</w:t>
            </w:r>
            <w:r w:rsidRPr="00490741">
              <w:rPr>
                <w:rFonts w:asciiTheme="minorEastAsia" w:eastAsiaTheme="minorEastAsia" w:hAnsiTheme="minorEastAsia" w:hint="eastAsia"/>
                <w:color w:val="000000" w:themeColor="text1"/>
                <w:szCs w:val="21"/>
              </w:rPr>
              <w:t>2019</w:t>
            </w:r>
            <w:r w:rsidRPr="00490741">
              <w:rPr>
                <w:rFonts w:asciiTheme="minorEastAsia" w:eastAsiaTheme="minorEastAsia" w:hAnsiTheme="minorEastAsia" w:hint="eastAsia"/>
                <w:color w:val="000000" w:themeColor="text1"/>
                <w:szCs w:val="21"/>
              </w:rPr>
              <w:t>年</w:t>
            </w:r>
            <w:r w:rsidRPr="00490741">
              <w:rPr>
                <w:rFonts w:asciiTheme="minorEastAsia" w:eastAsiaTheme="minorEastAsia" w:hAnsiTheme="minorEastAsia" w:hint="eastAsia"/>
                <w:color w:val="000000" w:themeColor="text1"/>
                <w:szCs w:val="21"/>
              </w:rPr>
              <w:t>7</w:t>
            </w:r>
            <w:r w:rsidRPr="00490741">
              <w:rPr>
                <w:rFonts w:asciiTheme="minorEastAsia" w:eastAsiaTheme="minorEastAsia" w:hAnsiTheme="minorEastAsia" w:hint="eastAsia"/>
                <w:color w:val="000000" w:themeColor="text1"/>
                <w:szCs w:val="21"/>
              </w:rPr>
              <w:t>月</w:t>
            </w:r>
            <w:r w:rsidRPr="00490741">
              <w:rPr>
                <w:rFonts w:asciiTheme="minorEastAsia" w:eastAsiaTheme="minorEastAsia" w:hAnsiTheme="minorEastAsia" w:hint="eastAsia"/>
                <w:color w:val="000000" w:themeColor="text1"/>
                <w:szCs w:val="21"/>
              </w:rPr>
              <w:t>26</w:t>
            </w:r>
            <w:r w:rsidRPr="00490741">
              <w:rPr>
                <w:rFonts w:asciiTheme="minorEastAsia" w:eastAsiaTheme="minorEastAsia" w:hAnsiTheme="minorEastAsia" w:hint="eastAsia"/>
                <w:color w:val="000000" w:themeColor="text1"/>
                <w:szCs w:val="21"/>
              </w:rPr>
              <w:t>日颁布、同年</w:t>
            </w:r>
            <w:r w:rsidRPr="00490741">
              <w:rPr>
                <w:rFonts w:asciiTheme="minorEastAsia" w:eastAsiaTheme="minorEastAsia" w:hAnsiTheme="minorEastAsia" w:hint="eastAsia"/>
                <w:color w:val="000000" w:themeColor="text1"/>
                <w:szCs w:val="21"/>
              </w:rPr>
              <w:t>9</w:t>
            </w:r>
            <w:r w:rsidRPr="00490741">
              <w:rPr>
                <w:rFonts w:asciiTheme="minorEastAsia" w:eastAsiaTheme="minorEastAsia" w:hAnsiTheme="minorEastAsia" w:hint="eastAsia"/>
                <w:color w:val="000000" w:themeColor="text1"/>
                <w:szCs w:val="21"/>
              </w:rPr>
              <w:t>月</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日实施的《公开募集证券投资基金信息披露管理办法》及颁布机关对其不时做出的修订</w:t>
            </w:r>
          </w:p>
        </w:tc>
      </w:tr>
      <w:tr w:rsidTr="009520C1">
        <w:tblPrEx>
          <w:tblW w:w="0" w:type="auto"/>
          <w:tblInd w:w="250" w:type="dxa"/>
          <w:tblLayout w:type="fixed"/>
          <w:tblLook w:val="0000"/>
        </w:tblPrEx>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元：</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指人民币元</w:t>
            </w:r>
          </w:p>
        </w:tc>
      </w:tr>
      <w:tr w:rsidTr="009520C1">
        <w:tblPrEx>
          <w:tblW w:w="0" w:type="auto"/>
          <w:tblInd w:w="250" w:type="dxa"/>
          <w:tblLayout w:type="fixed"/>
          <w:tblLook w:val="0000"/>
        </w:tblPrEx>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本基金、基金：</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指依据基金合同所募集的</w:t>
            </w:r>
            <w:r w:rsidRPr="00490741" w:rsidR="00906A80">
              <w:rPr>
                <w:rFonts w:asciiTheme="minorEastAsia" w:eastAsiaTheme="minorEastAsia" w:hAnsiTheme="minorEastAsia" w:hint="eastAsia"/>
                <w:color w:val="000000" w:themeColor="text1"/>
                <w:szCs w:val="21"/>
              </w:rPr>
              <w:t>易方达价值精选混合型证券投资基金</w:t>
            </w:r>
          </w:p>
        </w:tc>
      </w:tr>
      <w:tr w:rsidTr="009520C1">
        <w:tblPrEx>
          <w:tblW w:w="0" w:type="auto"/>
          <w:tblInd w:w="250" w:type="dxa"/>
          <w:tblLayout w:type="fixed"/>
          <w:tblLook w:val="0000"/>
        </w:tblPrEx>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中国证监会：</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指中国证券监督管理委员会</w:t>
            </w:r>
          </w:p>
        </w:tc>
      </w:tr>
      <w:tr w:rsidTr="009520C1">
        <w:tblPrEx>
          <w:tblW w:w="0" w:type="auto"/>
          <w:tblInd w:w="250" w:type="dxa"/>
          <w:tblLayout w:type="fixed"/>
          <w:tblLook w:val="0000"/>
        </w:tblPrEx>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基金管理人：</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指易方达基金管理有限公司</w:t>
            </w:r>
          </w:p>
        </w:tc>
      </w:tr>
      <w:tr w:rsidTr="009520C1">
        <w:tblPrEx>
          <w:tblW w:w="0" w:type="auto"/>
          <w:tblInd w:w="250" w:type="dxa"/>
          <w:tblLayout w:type="fixed"/>
          <w:tblLook w:val="0000"/>
        </w:tblPrEx>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基金托管人：</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指中国工商银行股份有限公司</w:t>
            </w:r>
          </w:p>
        </w:tc>
      </w:tr>
      <w:tr w:rsidTr="009520C1">
        <w:tblPrEx>
          <w:tblW w:w="0" w:type="auto"/>
          <w:tblInd w:w="250" w:type="dxa"/>
          <w:tblLayout w:type="fixed"/>
          <w:tblLook w:val="0000"/>
        </w:tblPrEx>
        <w:trPr>
          <w:trHeight w:val="754"/>
        </w:trPr>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基金注册登记机构：</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指基金管理人或接受基金管理人委托代为办理本基金注册与过户登记业务的机构</w:t>
            </w:r>
          </w:p>
        </w:tc>
      </w:tr>
      <w:tr w:rsidTr="009520C1">
        <w:tblPrEx>
          <w:tblW w:w="0" w:type="auto"/>
          <w:tblInd w:w="250" w:type="dxa"/>
          <w:tblLayout w:type="fixed"/>
          <w:tblLook w:val="0000"/>
        </w:tblPrEx>
        <w:trPr>
          <w:trHeight w:val="450"/>
        </w:trPr>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销售机构：</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指直销机构和非直销销售机构</w:t>
            </w:r>
          </w:p>
        </w:tc>
      </w:tr>
      <w:tr w:rsidTr="009520C1">
        <w:tblPrEx>
          <w:tblW w:w="0" w:type="auto"/>
          <w:tblInd w:w="250" w:type="dxa"/>
          <w:tblLayout w:type="fixed"/>
          <w:tblLook w:val="0000"/>
        </w:tblPrEx>
        <w:trPr>
          <w:trHeight w:val="450"/>
        </w:trPr>
        <w:tc>
          <w:tcPr>
            <w:tcW w:w="2552" w:type="dxa"/>
          </w:tcPr>
          <w:p w:rsidR="00D109A3"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直销机构：</w:t>
            </w:r>
          </w:p>
        </w:tc>
        <w:tc>
          <w:tcPr>
            <w:tcW w:w="5720" w:type="dxa"/>
          </w:tcPr>
          <w:p w:rsidR="00D109A3"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指易方达基金管理有限公司</w:t>
            </w:r>
          </w:p>
        </w:tc>
      </w:tr>
      <w:tr w:rsidTr="009520C1">
        <w:tblPrEx>
          <w:tblW w:w="0" w:type="auto"/>
          <w:tblInd w:w="250" w:type="dxa"/>
          <w:tblLayout w:type="fixed"/>
          <w:tblLook w:val="0000"/>
        </w:tblPrEx>
        <w:trPr>
          <w:trHeight w:val="450"/>
        </w:trPr>
        <w:tc>
          <w:tcPr>
            <w:tcW w:w="2552" w:type="dxa"/>
          </w:tcPr>
          <w:p w:rsidR="00D109A3"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Style w:val="da"/>
                <w:rFonts w:asciiTheme="minorEastAsia" w:eastAsiaTheme="minorEastAsia" w:hAnsiTheme="minorEastAsia" w:hint="eastAsia"/>
                <w:color w:val="000000" w:themeColor="text1"/>
                <w:szCs w:val="21"/>
              </w:rPr>
              <w:t>非直销销售机构：</w:t>
            </w:r>
          </w:p>
        </w:tc>
        <w:tc>
          <w:tcPr>
            <w:tcW w:w="5720" w:type="dxa"/>
          </w:tcPr>
          <w:p w:rsidR="00D109A3"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Style w:val="da"/>
                <w:rFonts w:asciiTheme="minorEastAsia" w:eastAsiaTheme="minorEastAsia" w:hAnsiTheme="minorEastAsia" w:hint="eastAsia"/>
                <w:color w:val="000000" w:themeColor="text1"/>
                <w:szCs w:val="21"/>
              </w:rPr>
              <w:t>指符合《销售办法》和中国证监会规定的其他条件，取得基金销售业务资格并</w:t>
            </w:r>
            <w:r w:rsidRPr="00490741" w:rsidR="00920EDD">
              <w:rPr>
                <w:rStyle w:val="da"/>
                <w:rFonts w:asciiTheme="minorEastAsia" w:eastAsiaTheme="minorEastAsia" w:hAnsiTheme="minorEastAsia" w:hint="eastAsia"/>
                <w:color w:val="000000" w:themeColor="text1"/>
                <w:szCs w:val="21"/>
              </w:rPr>
              <w:t>与基金管理人签订了基金销售服务协议</w:t>
            </w:r>
            <w:r w:rsidRPr="00490741">
              <w:rPr>
                <w:rStyle w:val="da"/>
                <w:rFonts w:asciiTheme="minorEastAsia" w:eastAsiaTheme="minorEastAsia" w:hAnsiTheme="minorEastAsia" w:hint="eastAsia"/>
                <w:color w:val="000000" w:themeColor="text1"/>
                <w:szCs w:val="21"/>
              </w:rPr>
              <w:t>，办理基金销售业务的机构</w:t>
            </w:r>
          </w:p>
        </w:tc>
      </w:tr>
      <w:tr w:rsidTr="009520C1">
        <w:tblPrEx>
          <w:tblW w:w="0" w:type="auto"/>
          <w:tblInd w:w="250" w:type="dxa"/>
          <w:tblLayout w:type="fixed"/>
          <w:tblLook w:val="0000"/>
        </w:tblPrEx>
        <w:trPr>
          <w:trHeight w:val="328"/>
        </w:trPr>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基金销售网点：</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指基金管理人的直销网点及</w:t>
            </w:r>
            <w:r w:rsidRPr="00490741" w:rsidR="00D109A3">
              <w:rPr>
                <w:rStyle w:val="da"/>
                <w:rFonts w:asciiTheme="minorEastAsia" w:eastAsiaTheme="minorEastAsia" w:hAnsiTheme="minorEastAsia" w:hint="eastAsia"/>
                <w:color w:val="000000" w:themeColor="text1"/>
                <w:szCs w:val="21"/>
              </w:rPr>
              <w:t>非直销销售机构</w:t>
            </w:r>
            <w:r w:rsidRPr="00490741" w:rsidR="00D109A3">
              <w:rPr>
                <w:rFonts w:asciiTheme="minorEastAsia" w:eastAsiaTheme="minorEastAsia" w:hAnsiTheme="minorEastAsia" w:hint="eastAsia"/>
                <w:color w:val="000000" w:themeColor="text1"/>
                <w:szCs w:val="21"/>
              </w:rPr>
              <w:t>的销售网点</w:t>
            </w:r>
          </w:p>
        </w:tc>
      </w:tr>
      <w:tr w:rsidTr="009520C1">
        <w:tblPrEx>
          <w:tblW w:w="0" w:type="auto"/>
          <w:tblInd w:w="250" w:type="dxa"/>
          <w:tblLayout w:type="fixed"/>
          <w:tblLook w:val="0000"/>
        </w:tblPrEx>
        <w:trPr>
          <w:trHeight w:val="335"/>
        </w:trPr>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指定媒介：</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指中国证监会指定的用以进行信息披露的全国性报刊及指定互联网网站（包括基金管理人网站、基金托管人网站、中国证监会基金电子披露网站）等媒介</w:t>
            </w:r>
          </w:p>
        </w:tc>
      </w:tr>
      <w:tr w:rsidTr="009520C1">
        <w:tblPrEx>
          <w:tblW w:w="0" w:type="auto"/>
          <w:tblInd w:w="250" w:type="dxa"/>
          <w:tblLayout w:type="fixed"/>
          <w:tblLook w:val="0000"/>
        </w:tblPrEx>
        <w:trPr>
          <w:trHeight w:val="480"/>
        </w:trPr>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招募说明书：</w:t>
            </w:r>
          </w:p>
        </w:tc>
        <w:tc>
          <w:tcPr>
            <w:tcW w:w="5720" w:type="dxa"/>
          </w:tcPr>
          <w:p w:rsidR="0002608C" w:rsidRPr="00490741" w:rsidP="008E5383">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指《易方达价值精选混合型证券投资基金招募说明书》及其</w:t>
            </w:r>
            <w:r w:rsidRPr="00490741">
              <w:rPr>
                <w:rFonts w:asciiTheme="minorEastAsia" w:eastAsiaTheme="minorEastAsia" w:hAnsiTheme="minorEastAsia" w:hint="eastAsia"/>
                <w:color w:val="000000" w:themeColor="text1"/>
                <w:szCs w:val="21"/>
              </w:rPr>
              <w:t>更新</w:t>
            </w:r>
          </w:p>
        </w:tc>
      </w:tr>
      <w:tr w:rsidTr="009520C1">
        <w:tblPrEx>
          <w:tblW w:w="0" w:type="auto"/>
          <w:tblInd w:w="250" w:type="dxa"/>
          <w:tblLayout w:type="fixed"/>
          <w:tblLook w:val="0000"/>
        </w:tblPrEx>
        <w:trPr>
          <w:trHeight w:val="480"/>
        </w:trPr>
        <w:tc>
          <w:tcPr>
            <w:tcW w:w="2552" w:type="dxa"/>
          </w:tcPr>
          <w:p w:rsidR="008E5383"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基金产品资料概要：</w:t>
            </w:r>
          </w:p>
        </w:tc>
        <w:tc>
          <w:tcPr>
            <w:tcW w:w="5720" w:type="dxa"/>
          </w:tcPr>
          <w:p w:rsidR="008E5383" w:rsidRPr="00490741" w:rsidP="008E5383">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指《易方达价值精选混合型证券投资基金基金产品资料概要》及其更新</w:t>
            </w:r>
          </w:p>
        </w:tc>
      </w:tr>
      <w:tr w:rsidTr="009520C1">
        <w:tblPrEx>
          <w:tblW w:w="0" w:type="auto"/>
          <w:tblInd w:w="250" w:type="dxa"/>
          <w:tblLayout w:type="fixed"/>
          <w:tblLook w:val="0000"/>
        </w:tblPrEx>
        <w:trPr>
          <w:trHeight w:val="615"/>
        </w:trPr>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基金合同当事人：</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指受基金合同约束，根据基金合同享受权利并承担义务的法律主体，包括基金管理人、基金托管人、基金份额持有人</w:t>
            </w:r>
          </w:p>
        </w:tc>
      </w:tr>
      <w:tr w:rsidTr="009520C1">
        <w:tblPrEx>
          <w:tblW w:w="0" w:type="auto"/>
          <w:tblInd w:w="250" w:type="dxa"/>
          <w:tblLayout w:type="fixed"/>
          <w:tblLook w:val="0000"/>
        </w:tblPrEx>
        <w:trPr>
          <w:trHeight w:val="682"/>
        </w:trPr>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个人投资者：</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指符合法律法规规定的条件可以投资开放式证券投资基金的自然人</w:t>
            </w:r>
          </w:p>
        </w:tc>
      </w:tr>
      <w:tr w:rsidTr="009520C1">
        <w:tblPrEx>
          <w:tblW w:w="0" w:type="auto"/>
          <w:tblInd w:w="250" w:type="dxa"/>
          <w:tblLayout w:type="fixed"/>
          <w:tblLook w:val="0000"/>
        </w:tblPrEx>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机构投资者：</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指符合法律法规规定可以投资开放式证券投资基金的在中国注册登记或经政府有关部门批准设立的法人、社会团体和其他组织、机构</w:t>
            </w:r>
          </w:p>
        </w:tc>
      </w:tr>
      <w:tr w:rsidTr="009520C1">
        <w:tblPrEx>
          <w:tblW w:w="0" w:type="auto"/>
          <w:tblInd w:w="250" w:type="dxa"/>
          <w:tblLayout w:type="fixed"/>
          <w:tblLook w:val="0000"/>
        </w:tblPrEx>
        <w:trPr>
          <w:trHeight w:val="779"/>
        </w:trPr>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合格境外机构投资者</w:t>
            </w:r>
            <w:r w:rsidRPr="00490741">
              <w:rPr>
                <w:rFonts w:asciiTheme="minorEastAsia" w:eastAsiaTheme="minorEastAsia" w:hAnsiTheme="minorEastAsia" w:hint="eastAsia"/>
                <w:color w:val="000000" w:themeColor="text1"/>
                <w:szCs w:val="21"/>
              </w:rPr>
              <w:t>:</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指符合法律法规规定的可投资于中国境内证券市场的中国境外机构投资者</w:t>
            </w:r>
          </w:p>
        </w:tc>
      </w:tr>
      <w:tr w:rsidTr="009520C1">
        <w:tblPrEx>
          <w:tblW w:w="0" w:type="auto"/>
          <w:tblInd w:w="250" w:type="dxa"/>
          <w:tblLayout w:type="fixed"/>
          <w:tblLook w:val="0000"/>
        </w:tblPrEx>
        <w:trPr>
          <w:trHeight w:val="447"/>
        </w:trPr>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投资者</w:t>
            </w:r>
            <w:r w:rsidRPr="00490741">
              <w:rPr>
                <w:rFonts w:asciiTheme="minorEastAsia" w:eastAsiaTheme="minorEastAsia" w:hAnsiTheme="minorEastAsia" w:hint="eastAsia"/>
                <w:color w:val="000000" w:themeColor="text1"/>
                <w:szCs w:val="21"/>
              </w:rPr>
              <w:t>:</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指个人投资者、机构投资者和合格境外机构投资者的总称</w:t>
            </w:r>
          </w:p>
        </w:tc>
      </w:tr>
      <w:tr w:rsidTr="009520C1">
        <w:tblPrEx>
          <w:tblW w:w="0" w:type="auto"/>
          <w:tblInd w:w="250" w:type="dxa"/>
          <w:tblLayout w:type="fixed"/>
          <w:tblLook w:val="0000"/>
        </w:tblPrEx>
        <w:trPr>
          <w:trHeight w:val="453"/>
        </w:trPr>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募集期：</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指自基金份额发售之日起不超过</w:t>
            </w: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个月的期限</w:t>
            </w:r>
          </w:p>
        </w:tc>
      </w:tr>
      <w:tr w:rsidTr="009520C1">
        <w:tblPrEx>
          <w:tblW w:w="0" w:type="auto"/>
          <w:tblInd w:w="250" w:type="dxa"/>
          <w:tblLayout w:type="fixed"/>
          <w:tblLook w:val="0000"/>
        </w:tblPrEx>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本基金合同生效日：</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指本基金达到规定的条件后，并按规定办理了验资和备案手续、得到中国证监会书面确认之日</w:t>
            </w:r>
          </w:p>
        </w:tc>
      </w:tr>
      <w:tr w:rsidTr="009520C1">
        <w:tblPrEx>
          <w:tblW w:w="0" w:type="auto"/>
          <w:tblInd w:w="250" w:type="dxa"/>
          <w:tblLayout w:type="fixed"/>
          <w:tblLook w:val="0000"/>
        </w:tblPrEx>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存续期限：</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指基金合同生效后合法存续的不定期之期间</w:t>
            </w:r>
          </w:p>
        </w:tc>
      </w:tr>
      <w:tr w:rsidTr="009520C1">
        <w:tblPrEx>
          <w:tblW w:w="0" w:type="auto"/>
          <w:tblInd w:w="250" w:type="dxa"/>
          <w:tblLayout w:type="fixed"/>
          <w:tblLook w:val="0000"/>
        </w:tblPrEx>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工作日：</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指上海证券交易所和深圳证券交易所的正常交易日</w:t>
            </w:r>
          </w:p>
        </w:tc>
      </w:tr>
      <w:tr w:rsidTr="009520C1">
        <w:tblPrEx>
          <w:tblW w:w="0" w:type="auto"/>
          <w:tblInd w:w="250" w:type="dxa"/>
          <w:tblLayout w:type="fixed"/>
          <w:tblLook w:val="0000"/>
        </w:tblPrEx>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开放日：</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指为投资者办理基金申购、赎回等业务的工作日</w:t>
            </w:r>
          </w:p>
        </w:tc>
      </w:tr>
      <w:tr w:rsidTr="009520C1">
        <w:tblPrEx>
          <w:tblW w:w="0" w:type="auto"/>
          <w:tblInd w:w="250" w:type="dxa"/>
          <w:tblLayout w:type="fixed"/>
          <w:tblLook w:val="0000"/>
        </w:tblPrEx>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T</w:t>
            </w:r>
            <w:r w:rsidRPr="00490741">
              <w:rPr>
                <w:rFonts w:asciiTheme="minorEastAsia" w:eastAsiaTheme="minorEastAsia" w:hAnsiTheme="minorEastAsia" w:hint="eastAsia"/>
                <w:color w:val="000000" w:themeColor="text1"/>
                <w:szCs w:val="21"/>
              </w:rPr>
              <w:t>日：</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指申购、赎回或其他交易的申请日</w:t>
            </w:r>
          </w:p>
        </w:tc>
      </w:tr>
      <w:tr w:rsidTr="009520C1">
        <w:tblPrEx>
          <w:tblW w:w="0" w:type="auto"/>
          <w:tblInd w:w="250" w:type="dxa"/>
          <w:tblLayout w:type="fixed"/>
          <w:tblLook w:val="0000"/>
        </w:tblPrEx>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认购：</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指在募集期内购买基金份额的行为</w:t>
            </w:r>
          </w:p>
        </w:tc>
      </w:tr>
      <w:tr w:rsidTr="009520C1">
        <w:tblPrEx>
          <w:tblW w:w="0" w:type="auto"/>
          <w:tblInd w:w="250" w:type="dxa"/>
          <w:tblLayout w:type="fixed"/>
          <w:tblLook w:val="0000"/>
        </w:tblPrEx>
        <w:tc>
          <w:tcPr>
            <w:tcW w:w="2552" w:type="dxa"/>
          </w:tcPr>
          <w:p w:rsidR="0002608C" w:rsidRPr="00490741" w:rsidP="00E1094C">
            <w:pPr>
              <w:autoSpaceDE w:val="0"/>
              <w:autoSpaceDN w:val="0"/>
              <w:adjustRightInd w:val="0"/>
              <w:snapToGrid w:val="0"/>
              <w:spacing w:line="360" w:lineRule="auto"/>
              <w:textAlignment w:val="bottom"/>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申购：</w:t>
            </w:r>
          </w:p>
        </w:tc>
        <w:tc>
          <w:tcPr>
            <w:tcW w:w="5720" w:type="dxa"/>
          </w:tcPr>
          <w:p w:rsidR="0002608C" w:rsidRPr="00490741" w:rsidP="00E1094C">
            <w:pPr>
              <w:autoSpaceDE w:val="0"/>
              <w:autoSpaceDN w:val="0"/>
              <w:adjustRightInd w:val="0"/>
              <w:snapToGrid w:val="0"/>
              <w:spacing w:line="360" w:lineRule="auto"/>
              <w:textAlignment w:val="bottom"/>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指本基金合同生效后，基金投资者购买基金份额的行为</w:t>
            </w:r>
          </w:p>
        </w:tc>
      </w:tr>
      <w:tr w:rsidTr="009520C1">
        <w:tblPrEx>
          <w:tblW w:w="0" w:type="auto"/>
          <w:tblInd w:w="250" w:type="dxa"/>
          <w:tblLayout w:type="fixed"/>
          <w:tblLook w:val="0000"/>
        </w:tblPrEx>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赎回：</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指本基金合同生效后，基金投资者卖出基金份额的行为</w:t>
            </w:r>
          </w:p>
        </w:tc>
      </w:tr>
      <w:tr w:rsidTr="009520C1">
        <w:tblPrEx>
          <w:tblW w:w="0" w:type="auto"/>
          <w:tblInd w:w="250" w:type="dxa"/>
          <w:tblLayout w:type="fixed"/>
          <w:tblLook w:val="0000"/>
        </w:tblPrEx>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转换：</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基金转换是指基金份额持有人按基金管理人规定的条件将其持有的某一基金的基金份额转为同一基金管理人管理的另一只基金的基金份额的行为</w:t>
            </w:r>
          </w:p>
        </w:tc>
      </w:tr>
      <w:tr w:rsidTr="009520C1">
        <w:tblPrEx>
          <w:tblW w:w="0" w:type="auto"/>
          <w:tblInd w:w="250" w:type="dxa"/>
          <w:tblLayout w:type="fixed"/>
          <w:tblLook w:val="0000"/>
        </w:tblPrEx>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基金收益：</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指基金投资所得股票红利、债券利息、票据投资收益、买卖证券差价、银行存款利息以及其他收益</w:t>
            </w:r>
          </w:p>
        </w:tc>
      </w:tr>
      <w:tr w:rsidTr="009520C1">
        <w:tblPrEx>
          <w:tblW w:w="0" w:type="auto"/>
          <w:tblInd w:w="250" w:type="dxa"/>
          <w:tblLayout w:type="fixed"/>
          <w:tblLook w:val="0000"/>
        </w:tblPrEx>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w:t>
            </w:r>
            <w:r w:rsidRPr="00490741">
              <w:rPr>
                <w:rFonts w:asciiTheme="minorEastAsia" w:eastAsiaTheme="minorEastAsia" w:hAnsiTheme="minorEastAsia"/>
                <w:color w:val="000000" w:themeColor="text1"/>
                <w:szCs w:val="21"/>
              </w:rPr>
              <w:t>资</w:t>
            </w:r>
            <w:r w:rsidRPr="00490741">
              <w:rPr>
                <w:rFonts w:asciiTheme="minorEastAsia" w:eastAsiaTheme="minorEastAsia" w:hAnsiTheme="minorEastAsia" w:hint="eastAsia"/>
                <w:color w:val="000000" w:themeColor="text1"/>
                <w:szCs w:val="21"/>
              </w:rPr>
              <w:t>产总值：</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指基金所拥有的各类证券价值、银行存款本息和本基金应收的申购基金款以及其他投资所形成的价值总和</w:t>
            </w:r>
          </w:p>
        </w:tc>
      </w:tr>
      <w:tr w:rsidTr="009520C1">
        <w:tblPrEx>
          <w:tblW w:w="0" w:type="auto"/>
          <w:tblInd w:w="250" w:type="dxa"/>
          <w:tblLayout w:type="fixed"/>
          <w:tblLook w:val="0000"/>
        </w:tblPrEx>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w:t>
            </w:r>
            <w:r w:rsidRPr="00490741">
              <w:rPr>
                <w:rFonts w:asciiTheme="minorEastAsia" w:eastAsiaTheme="minorEastAsia" w:hAnsiTheme="minorEastAsia"/>
                <w:color w:val="000000" w:themeColor="text1"/>
                <w:szCs w:val="21"/>
              </w:rPr>
              <w:t>资</w:t>
            </w:r>
            <w:r w:rsidRPr="00490741">
              <w:rPr>
                <w:rFonts w:asciiTheme="minorEastAsia" w:eastAsiaTheme="minorEastAsia" w:hAnsiTheme="minorEastAsia" w:hint="eastAsia"/>
                <w:color w:val="000000" w:themeColor="text1"/>
                <w:szCs w:val="21"/>
              </w:rPr>
              <w:t>产净值：</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指基金资产总值减去负债后的价值</w:t>
            </w:r>
          </w:p>
        </w:tc>
      </w:tr>
      <w:tr w:rsidTr="009520C1">
        <w:tblPrEx>
          <w:tblW w:w="0" w:type="auto"/>
          <w:tblInd w:w="250" w:type="dxa"/>
          <w:tblLayout w:type="fixed"/>
          <w:tblLook w:val="0000"/>
        </w:tblPrEx>
        <w:trPr>
          <w:trHeight w:val="765"/>
        </w:trPr>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基金资产估值：</w:t>
            </w:r>
          </w:p>
          <w:p w:rsidR="0002608C" w:rsidRPr="00490741" w:rsidP="00E1094C">
            <w:pPr>
              <w:autoSpaceDE w:val="0"/>
              <w:autoSpaceDN w:val="0"/>
              <w:adjustRightInd w:val="0"/>
              <w:snapToGrid w:val="0"/>
              <w:spacing w:line="360" w:lineRule="auto"/>
              <w:jc w:val="left"/>
              <w:rPr>
                <w:rFonts w:asciiTheme="minorEastAsia" w:eastAsiaTheme="minorEastAsia" w:hAnsiTheme="minorEastAsia"/>
                <w:color w:val="000000" w:themeColor="text1"/>
                <w:szCs w:val="21"/>
              </w:rPr>
            </w:pP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指计算评估基金资产和负债的价值，以确定基金资产净值和基金资产份额净值的过程</w:t>
            </w:r>
          </w:p>
        </w:tc>
      </w:tr>
      <w:tr w:rsidTr="009520C1">
        <w:tblPrEx>
          <w:tblW w:w="0" w:type="auto"/>
          <w:tblInd w:w="250" w:type="dxa"/>
          <w:tblLayout w:type="fixed"/>
          <w:tblLook w:val="0000"/>
        </w:tblPrEx>
        <w:tc>
          <w:tcPr>
            <w:tcW w:w="2552"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基金份额持有人服务：</w:t>
            </w:r>
          </w:p>
          <w:p w:rsidR="001E476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流动性受限资产</w:t>
            </w:r>
            <w:r w:rsidRPr="00490741">
              <w:rPr>
                <w:rFonts w:asciiTheme="minorEastAsia" w:eastAsiaTheme="minorEastAsia" w:hAnsiTheme="minorEastAsia" w:hint="eastAsia"/>
                <w:color w:val="000000" w:themeColor="text1"/>
                <w:szCs w:val="21"/>
              </w:rPr>
              <w:t>:</w:t>
            </w:r>
          </w:p>
        </w:tc>
        <w:tc>
          <w:tcPr>
            <w:tcW w:w="5720" w:type="dxa"/>
          </w:tcPr>
          <w:p w:rsidR="0002608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指基金管理人承诺为基金份额持有人提供的一系列服务</w:t>
            </w:r>
          </w:p>
          <w:p w:rsidR="001E476C" w:rsidRPr="00490741" w:rsidP="00E1094C">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指由于法律法规、监管、合同或操作障碍等原因无法以合理价格予以变现的资产，包括但不限于到期日在</w:t>
            </w:r>
            <w:r w:rsidRPr="00490741">
              <w:rPr>
                <w:rFonts w:asciiTheme="minorEastAsia" w:eastAsiaTheme="minorEastAsia" w:hAnsiTheme="minorEastAsia" w:hint="eastAsia"/>
                <w:color w:val="000000" w:themeColor="text1"/>
                <w:szCs w:val="21"/>
              </w:rPr>
              <w:t>10</w:t>
            </w:r>
            <w:r w:rsidRPr="00490741">
              <w:rPr>
                <w:rFonts w:asciiTheme="minorEastAsia" w:eastAsiaTheme="minorEastAsia" w:hAnsiTheme="minorEastAsia" w:hint="eastAsia"/>
                <w:color w:val="000000" w:themeColor="text1"/>
                <w:szCs w:val="21"/>
              </w:rPr>
              <w:t>个交易日以上的逆回购与银行定期存款（含协议约定有条件提前支取的银行存款）、停牌股票、流通受限的新股及非公开发行股票、资产支持证券、因发行人债务违约无法进行转让或交易的债券等</w:t>
            </w:r>
          </w:p>
        </w:tc>
      </w:tr>
    </w:tbl>
    <w:p w:rsidR="00E1094C" w:rsidRPr="00490741" w:rsidP="00E1094C">
      <w:pPr>
        <w:adjustRightInd w:val="0"/>
        <w:snapToGrid w:val="0"/>
        <w:spacing w:line="360" w:lineRule="auto"/>
        <w:ind w:firstLine="480"/>
        <w:jc w:val="center"/>
        <w:rPr>
          <w:rFonts w:asciiTheme="minorEastAsia" w:eastAsiaTheme="minorEastAsia" w:hAnsiTheme="minorEastAsia"/>
          <w:color w:val="000000" w:themeColor="text1"/>
          <w:szCs w:val="21"/>
        </w:rPr>
        <w:sectPr w:rsidSect="0035472D">
          <w:pgSz w:w="11906" w:h="16838" w:code="9"/>
          <w:pgMar w:top="1440" w:right="1800" w:bottom="1440" w:left="1800" w:header="851" w:footer="992" w:gutter="0"/>
          <w:pgNumType w:start="1"/>
          <w:cols w:space="425"/>
          <w:docGrid w:type="lines" w:linePitch="312"/>
        </w:sectPr>
      </w:pPr>
    </w:p>
    <w:p w:rsidR="0002608C" w:rsidRPr="00490741" w:rsidP="00107648">
      <w:pPr>
        <w:pStyle w:val="Heading1"/>
        <w:snapToGrid w:val="0"/>
        <w:spacing w:beforeLines="0" w:afterLines="0" w:line="360" w:lineRule="auto"/>
        <w:ind w:firstLine="643"/>
        <w:rPr>
          <w:rFonts w:asciiTheme="minorEastAsia" w:eastAsiaTheme="minorEastAsia" w:hAnsiTheme="minorEastAsia"/>
          <w:b/>
          <w:bCs/>
          <w:color w:val="000000" w:themeColor="text1"/>
          <w:kern w:val="44"/>
          <w:szCs w:val="44"/>
        </w:rPr>
      </w:pPr>
      <w:bookmarkStart w:id="6" w:name="_Toc114237381"/>
      <w:r w:rsidRPr="00490741">
        <w:rPr>
          <w:rFonts w:asciiTheme="minorEastAsia" w:eastAsiaTheme="minorEastAsia" w:hAnsiTheme="minorEastAsia" w:hint="eastAsia"/>
          <w:b/>
          <w:bCs/>
          <w:color w:val="000000" w:themeColor="text1"/>
        </w:rPr>
        <w:t>三、基金管理人</w:t>
      </w:r>
      <w:bookmarkEnd w:id="6"/>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color w:val="000000" w:themeColor="text1"/>
          <w:sz w:val="21"/>
        </w:rPr>
      </w:pPr>
      <w:bookmarkStart w:id="7" w:name="_Toc114237382"/>
      <w:r w:rsidRPr="00490741">
        <w:rPr>
          <w:rFonts w:asciiTheme="minorEastAsia" w:eastAsiaTheme="minorEastAsia" w:hAnsiTheme="minorEastAsia" w:cs="仿宋_GB2312" w:hint="eastAsia"/>
          <w:b w:val="0"/>
          <w:bCs/>
          <w:color w:val="000000" w:themeColor="text1"/>
          <w:kern w:val="0"/>
          <w:szCs w:val="24"/>
        </w:rPr>
        <w:t>（一）</w:t>
      </w:r>
      <w:r w:rsidRPr="00490741">
        <w:rPr>
          <w:rFonts w:asciiTheme="minorEastAsia" w:eastAsiaTheme="minorEastAsia" w:hAnsiTheme="minorEastAsia" w:cs="仿宋_GB2312"/>
          <w:b w:val="0"/>
          <w:bCs/>
          <w:color w:val="000000" w:themeColor="text1"/>
          <w:kern w:val="0"/>
          <w:szCs w:val="24"/>
        </w:rPr>
        <w:t>基金管理人</w:t>
      </w:r>
      <w:r w:rsidRPr="00490741">
        <w:rPr>
          <w:rFonts w:asciiTheme="minorEastAsia" w:eastAsiaTheme="minorEastAsia" w:hAnsiTheme="minorEastAsia" w:cs="仿宋_GB2312" w:hint="eastAsia"/>
          <w:b w:val="0"/>
          <w:bCs/>
          <w:color w:val="000000" w:themeColor="text1"/>
          <w:kern w:val="0"/>
          <w:szCs w:val="24"/>
        </w:rPr>
        <w:t>基本情况</w:t>
      </w:r>
      <w:bookmarkEnd w:id="7"/>
    </w:p>
    <w:p w:rsidR="0002608C" w:rsidRPr="00490741" w:rsidP="00107648">
      <w:pPr>
        <w:snapToGrid w:val="0"/>
        <w:spacing w:line="360" w:lineRule="auto"/>
        <w:ind w:firstLine="420" w:firstLineChars="200"/>
        <w:rPr>
          <w:rFonts w:asciiTheme="minorEastAsia" w:eastAsiaTheme="minorEastAsia" w:hAnsiTheme="minorEastAsia"/>
          <w:color w:val="000000" w:themeColor="text1"/>
          <w:kern w:val="0"/>
        </w:rPr>
      </w:pPr>
      <w:r w:rsidRPr="00490741">
        <w:rPr>
          <w:rFonts w:asciiTheme="minorEastAsia" w:eastAsiaTheme="minorEastAsia" w:hAnsiTheme="minorEastAsia" w:hint="eastAsia"/>
          <w:color w:val="000000" w:themeColor="text1"/>
          <w:kern w:val="0"/>
        </w:rPr>
        <w:t>1</w:t>
      </w:r>
      <w:r w:rsidRPr="00490741" w:rsidR="002A0070">
        <w:rPr>
          <w:rFonts w:asciiTheme="minorEastAsia" w:eastAsiaTheme="minorEastAsia" w:hAnsiTheme="minorEastAsia" w:hint="eastAsia"/>
          <w:color w:val="000000" w:themeColor="text1"/>
          <w:kern w:val="0"/>
        </w:rPr>
        <w:t>、</w:t>
      </w:r>
      <w:r w:rsidRPr="00490741">
        <w:rPr>
          <w:rFonts w:asciiTheme="minorEastAsia" w:eastAsiaTheme="minorEastAsia" w:hAnsiTheme="minorEastAsia"/>
          <w:color w:val="000000" w:themeColor="text1"/>
          <w:kern w:val="0"/>
        </w:rPr>
        <w:t>基金管理人：易方达基金管理有限公司</w:t>
      </w:r>
    </w:p>
    <w:p w:rsidR="0002608C" w:rsidRPr="00490741" w:rsidP="00107648">
      <w:pPr>
        <w:snapToGrid w:val="0"/>
        <w:spacing w:line="360" w:lineRule="auto"/>
        <w:ind w:firstLine="420" w:firstLineChars="200"/>
        <w:rPr>
          <w:rFonts w:asciiTheme="minorEastAsia" w:eastAsiaTheme="minorEastAsia" w:hAnsiTheme="minorEastAsia"/>
          <w:color w:val="000000" w:themeColor="text1"/>
          <w:kern w:val="0"/>
        </w:rPr>
      </w:pPr>
      <w:r w:rsidRPr="00490741">
        <w:rPr>
          <w:rFonts w:asciiTheme="minorEastAsia" w:eastAsiaTheme="minorEastAsia" w:hAnsiTheme="minorEastAsia"/>
          <w:color w:val="000000" w:themeColor="text1"/>
        </w:rPr>
        <w:t>注册地址：广东省珠海市横琴新区荣粤道</w:t>
      </w:r>
      <w:r w:rsidRPr="00490741">
        <w:rPr>
          <w:rFonts w:asciiTheme="minorEastAsia" w:eastAsiaTheme="minorEastAsia" w:hAnsiTheme="minorEastAsia"/>
          <w:color w:val="000000" w:themeColor="text1"/>
        </w:rPr>
        <w:t>188</w:t>
      </w:r>
      <w:r w:rsidRPr="00490741">
        <w:rPr>
          <w:rFonts w:asciiTheme="minorEastAsia" w:eastAsiaTheme="minorEastAsia" w:hAnsiTheme="minorEastAsia"/>
          <w:color w:val="000000" w:themeColor="text1"/>
        </w:rPr>
        <w:t>号</w:t>
      </w:r>
      <w:r w:rsidRPr="00490741">
        <w:rPr>
          <w:rFonts w:asciiTheme="minorEastAsia" w:eastAsiaTheme="minorEastAsia" w:hAnsiTheme="minorEastAsia"/>
          <w:color w:val="000000" w:themeColor="text1"/>
        </w:rPr>
        <w:t>6</w:t>
      </w:r>
      <w:r w:rsidRPr="00490741">
        <w:rPr>
          <w:rFonts w:asciiTheme="minorEastAsia" w:eastAsiaTheme="minorEastAsia" w:hAnsiTheme="minorEastAsia"/>
          <w:color w:val="000000" w:themeColor="text1"/>
        </w:rPr>
        <w:t>层</w:t>
      </w:r>
    </w:p>
    <w:p w:rsidR="0002608C" w:rsidRPr="00490741" w:rsidP="00107648">
      <w:pPr>
        <w:snapToGrid w:val="0"/>
        <w:spacing w:line="360" w:lineRule="auto"/>
        <w:ind w:firstLine="420" w:firstLineChars="200"/>
        <w:rPr>
          <w:rFonts w:asciiTheme="minorEastAsia" w:eastAsiaTheme="minorEastAsia" w:hAnsiTheme="minorEastAsia"/>
          <w:color w:val="000000" w:themeColor="text1"/>
          <w:kern w:val="0"/>
        </w:rPr>
      </w:pPr>
      <w:r w:rsidRPr="00490741">
        <w:rPr>
          <w:rFonts w:asciiTheme="minorEastAsia" w:eastAsiaTheme="minorEastAsia" w:hAnsiTheme="minorEastAsia"/>
          <w:color w:val="000000" w:themeColor="text1"/>
          <w:kern w:val="0"/>
        </w:rPr>
        <w:t>办公地址：广州市</w:t>
      </w:r>
      <w:r w:rsidRPr="00490741" w:rsidR="00E335DA">
        <w:rPr>
          <w:rFonts w:asciiTheme="minorEastAsia" w:eastAsiaTheme="minorEastAsia" w:hAnsiTheme="minorEastAsia" w:hint="eastAsia"/>
          <w:color w:val="000000" w:themeColor="text1"/>
          <w:kern w:val="0"/>
        </w:rPr>
        <w:t>天河区珠江新城珠江东路30号广州银行大厦40-43楼</w:t>
      </w:r>
    </w:p>
    <w:p w:rsidR="0002608C" w:rsidRPr="00490741" w:rsidP="00107648">
      <w:pPr>
        <w:snapToGrid w:val="0"/>
        <w:spacing w:line="360" w:lineRule="auto"/>
        <w:ind w:firstLine="420" w:firstLineChars="200"/>
        <w:rPr>
          <w:rFonts w:asciiTheme="minorEastAsia" w:eastAsiaTheme="minorEastAsia" w:hAnsiTheme="minorEastAsia"/>
          <w:color w:val="000000" w:themeColor="text1"/>
          <w:kern w:val="0"/>
        </w:rPr>
      </w:pPr>
      <w:r w:rsidRPr="00490741">
        <w:rPr>
          <w:rFonts w:asciiTheme="minorEastAsia" w:eastAsiaTheme="minorEastAsia" w:hAnsiTheme="minorEastAsia" w:hint="eastAsia"/>
          <w:color w:val="000000" w:themeColor="text1"/>
          <w:kern w:val="0"/>
        </w:rPr>
        <w:t>设立日期：</w:t>
      </w:r>
      <w:r w:rsidRPr="00490741">
        <w:rPr>
          <w:rFonts w:asciiTheme="minorEastAsia" w:eastAsiaTheme="minorEastAsia" w:hAnsiTheme="minorEastAsia" w:hint="eastAsia"/>
          <w:color w:val="000000" w:themeColor="text1"/>
          <w:kern w:val="0"/>
        </w:rPr>
        <w:t>2001</w:t>
      </w:r>
      <w:r w:rsidRPr="00490741">
        <w:rPr>
          <w:rFonts w:asciiTheme="minorEastAsia" w:eastAsiaTheme="minorEastAsia" w:hAnsiTheme="minorEastAsia" w:hint="eastAsia"/>
          <w:color w:val="000000" w:themeColor="text1"/>
          <w:kern w:val="0"/>
        </w:rPr>
        <w:t>年</w:t>
      </w:r>
      <w:r w:rsidRPr="00490741">
        <w:rPr>
          <w:rFonts w:asciiTheme="minorEastAsia" w:eastAsiaTheme="minorEastAsia" w:hAnsiTheme="minorEastAsia" w:hint="eastAsia"/>
          <w:color w:val="000000" w:themeColor="text1"/>
          <w:kern w:val="0"/>
        </w:rPr>
        <w:t>4</w:t>
      </w:r>
      <w:r w:rsidRPr="00490741">
        <w:rPr>
          <w:rFonts w:asciiTheme="minorEastAsia" w:eastAsiaTheme="minorEastAsia" w:hAnsiTheme="minorEastAsia" w:hint="eastAsia"/>
          <w:color w:val="000000" w:themeColor="text1"/>
          <w:kern w:val="0"/>
        </w:rPr>
        <w:t>月</w:t>
      </w:r>
      <w:r w:rsidRPr="00490741">
        <w:rPr>
          <w:rFonts w:asciiTheme="minorEastAsia" w:eastAsiaTheme="minorEastAsia" w:hAnsiTheme="minorEastAsia" w:hint="eastAsia"/>
          <w:color w:val="000000" w:themeColor="text1"/>
          <w:kern w:val="0"/>
        </w:rPr>
        <w:t>17</w:t>
      </w:r>
      <w:r w:rsidRPr="00490741">
        <w:rPr>
          <w:rFonts w:asciiTheme="minorEastAsia" w:eastAsiaTheme="minorEastAsia" w:hAnsiTheme="minorEastAsia" w:hint="eastAsia"/>
          <w:color w:val="000000" w:themeColor="text1"/>
          <w:kern w:val="0"/>
        </w:rPr>
        <w:t>日</w:t>
      </w:r>
      <w:r w:rsidRPr="00490741">
        <w:rPr>
          <w:rFonts w:asciiTheme="minorEastAsia" w:eastAsiaTheme="minorEastAsia" w:hAnsiTheme="minorEastAsia"/>
          <w:color w:val="000000" w:themeColor="text1"/>
          <w:kern w:val="0"/>
        </w:rPr>
        <w:tab/>
      </w:r>
    </w:p>
    <w:p w:rsidR="0002608C" w:rsidRPr="00490741" w:rsidP="00107648">
      <w:pPr>
        <w:snapToGrid w:val="0"/>
        <w:spacing w:line="360" w:lineRule="auto"/>
        <w:ind w:firstLine="420" w:firstLineChars="200"/>
        <w:rPr>
          <w:rFonts w:asciiTheme="minorEastAsia" w:eastAsiaTheme="minorEastAsia" w:hAnsiTheme="minorEastAsia"/>
          <w:color w:val="000000" w:themeColor="text1"/>
          <w:kern w:val="0"/>
        </w:rPr>
      </w:pPr>
      <w:r w:rsidRPr="00490741">
        <w:rPr>
          <w:rFonts w:asciiTheme="minorEastAsia" w:eastAsiaTheme="minorEastAsia" w:hAnsiTheme="minorEastAsia"/>
          <w:color w:val="000000" w:themeColor="text1"/>
          <w:kern w:val="0"/>
        </w:rPr>
        <w:t>法定代表人：</w:t>
      </w:r>
      <w:r w:rsidRPr="00490741" w:rsidR="00404A63">
        <w:rPr>
          <w:rFonts w:asciiTheme="minorEastAsia" w:eastAsiaTheme="minorEastAsia" w:hAnsiTheme="minorEastAsia" w:hint="eastAsia"/>
          <w:color w:val="000000" w:themeColor="text1"/>
          <w:kern w:val="0"/>
        </w:rPr>
        <w:t>刘晓艳</w:t>
      </w:r>
    </w:p>
    <w:p w:rsidR="0002608C" w:rsidRPr="00490741" w:rsidP="00107648">
      <w:pPr>
        <w:snapToGrid w:val="0"/>
        <w:spacing w:line="360" w:lineRule="auto"/>
        <w:ind w:firstLine="420" w:firstLineChars="200"/>
        <w:rPr>
          <w:rFonts w:asciiTheme="minorEastAsia" w:eastAsiaTheme="minorEastAsia" w:hAnsiTheme="minorEastAsia"/>
          <w:color w:val="000000" w:themeColor="text1"/>
          <w:kern w:val="0"/>
        </w:rPr>
      </w:pPr>
      <w:r w:rsidRPr="00490741">
        <w:rPr>
          <w:rFonts w:asciiTheme="minorEastAsia" w:eastAsiaTheme="minorEastAsia" w:hAnsiTheme="minorEastAsia" w:hint="eastAsia"/>
          <w:color w:val="000000" w:themeColor="text1"/>
          <w:kern w:val="0"/>
        </w:rPr>
        <w:t>联系</w:t>
      </w:r>
      <w:r w:rsidRPr="00490741">
        <w:rPr>
          <w:rFonts w:asciiTheme="minorEastAsia" w:eastAsiaTheme="minorEastAsia" w:hAnsiTheme="minorEastAsia"/>
          <w:color w:val="000000" w:themeColor="text1"/>
          <w:kern w:val="0"/>
        </w:rPr>
        <w:t>电话：</w:t>
      </w:r>
      <w:r w:rsidRPr="00490741">
        <w:rPr>
          <w:rFonts w:asciiTheme="minorEastAsia" w:eastAsiaTheme="minorEastAsia" w:hAnsiTheme="minorEastAsia"/>
          <w:color w:val="000000" w:themeColor="text1"/>
          <w:kern w:val="0"/>
        </w:rPr>
        <w:t>40088</w:t>
      </w:r>
      <w:r w:rsidRPr="00490741">
        <w:rPr>
          <w:rFonts w:asciiTheme="minorEastAsia" w:eastAsiaTheme="minorEastAsia" w:hAnsiTheme="minorEastAsia" w:hint="eastAsia"/>
          <w:color w:val="000000" w:themeColor="text1"/>
          <w:kern w:val="0"/>
        </w:rPr>
        <w:t>18088</w:t>
      </w:r>
    </w:p>
    <w:p w:rsidR="0002608C" w:rsidRPr="00490741" w:rsidP="00107648">
      <w:pPr>
        <w:snapToGrid w:val="0"/>
        <w:spacing w:line="360" w:lineRule="auto"/>
        <w:ind w:firstLine="420" w:firstLineChars="200"/>
        <w:rPr>
          <w:rFonts w:asciiTheme="minorEastAsia" w:eastAsiaTheme="minorEastAsia" w:hAnsiTheme="minorEastAsia"/>
          <w:color w:val="000000" w:themeColor="text1"/>
          <w:kern w:val="0"/>
        </w:rPr>
      </w:pPr>
      <w:r w:rsidRPr="00490741">
        <w:rPr>
          <w:rFonts w:asciiTheme="minorEastAsia" w:eastAsiaTheme="minorEastAsia" w:hAnsiTheme="minorEastAsia" w:hint="eastAsia"/>
          <w:color w:val="000000" w:themeColor="text1"/>
          <w:kern w:val="0"/>
        </w:rPr>
        <w:t>联系人：李红枫</w:t>
      </w:r>
    </w:p>
    <w:p w:rsidR="0002608C" w:rsidRPr="00490741" w:rsidP="00107648">
      <w:pPr>
        <w:snapToGrid w:val="0"/>
        <w:spacing w:line="360" w:lineRule="auto"/>
        <w:ind w:firstLine="420" w:firstLineChars="200"/>
        <w:rPr>
          <w:rFonts w:asciiTheme="minorEastAsia" w:eastAsiaTheme="minorEastAsia" w:hAnsiTheme="minorEastAsia"/>
          <w:color w:val="000000" w:themeColor="text1"/>
          <w:kern w:val="0"/>
        </w:rPr>
      </w:pPr>
      <w:r w:rsidRPr="00490741">
        <w:rPr>
          <w:rFonts w:asciiTheme="minorEastAsia" w:eastAsiaTheme="minorEastAsia" w:hAnsiTheme="minorEastAsia" w:hint="eastAsia"/>
          <w:color w:val="000000" w:themeColor="text1"/>
          <w:kern w:val="0"/>
        </w:rPr>
        <w:t>注册资本：</w:t>
      </w:r>
      <w:r w:rsidRPr="00490741">
        <w:rPr>
          <w:rFonts w:asciiTheme="minorEastAsia" w:eastAsiaTheme="minorEastAsia" w:hAnsiTheme="minorEastAsia" w:hint="eastAsia"/>
          <w:color w:val="000000" w:themeColor="text1"/>
          <w:kern w:val="0"/>
        </w:rPr>
        <w:t>13,244.2</w:t>
      </w:r>
      <w:r w:rsidRPr="00490741">
        <w:rPr>
          <w:rFonts w:asciiTheme="minorEastAsia" w:eastAsiaTheme="minorEastAsia" w:hAnsiTheme="minorEastAsia" w:hint="eastAsia"/>
          <w:color w:val="000000" w:themeColor="text1"/>
          <w:kern w:val="0"/>
        </w:rPr>
        <w:t>万元人民币</w:t>
      </w:r>
    </w:p>
    <w:p w:rsidR="0002608C" w:rsidRPr="00490741" w:rsidP="00107648">
      <w:pPr>
        <w:snapToGrid w:val="0"/>
        <w:spacing w:line="360" w:lineRule="auto"/>
        <w:ind w:firstLine="420" w:firstLineChars="200"/>
        <w:rPr>
          <w:rFonts w:asciiTheme="minorEastAsia" w:eastAsiaTheme="minorEastAsia" w:hAnsiTheme="minorEastAsia"/>
          <w:color w:val="000000" w:themeColor="text1"/>
          <w:kern w:val="0"/>
        </w:rPr>
      </w:pPr>
      <w:r w:rsidRPr="00490741">
        <w:rPr>
          <w:rFonts w:asciiTheme="minorEastAsia" w:eastAsiaTheme="minorEastAsia" w:hAnsiTheme="minorEastAsia" w:hint="eastAsia"/>
          <w:color w:val="000000" w:themeColor="text1"/>
          <w:kern w:val="0"/>
        </w:rPr>
        <w:t>2</w:t>
      </w:r>
      <w:r w:rsidRPr="00490741">
        <w:rPr>
          <w:rFonts w:asciiTheme="minorEastAsia" w:eastAsiaTheme="minorEastAsia" w:hAnsiTheme="minorEastAsia" w:hint="eastAsia"/>
          <w:color w:val="000000" w:themeColor="text1"/>
          <w:kern w:val="0"/>
        </w:rPr>
        <w:t>、股权结构：</w:t>
      </w:r>
    </w:p>
    <w:tbl>
      <w:tblPr>
        <w:tblW w:w="6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6"/>
        <w:gridCol w:w="1837"/>
      </w:tblGrid>
      <w:tr w:rsidTr="0002608C">
        <w:tblPrEx>
          <w:tblW w:w="6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4236" w:type="dxa"/>
          </w:tcPr>
          <w:p w:rsidR="0002608C" w:rsidRPr="00490741" w:rsidP="00E54FAA">
            <w:pPr>
              <w:snapToGrid w:val="0"/>
              <w:spacing w:line="360" w:lineRule="auto"/>
              <w:ind w:firstLine="52"/>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股东名称</w:t>
            </w:r>
          </w:p>
        </w:tc>
        <w:tc>
          <w:tcPr>
            <w:tcW w:w="1837" w:type="dxa"/>
          </w:tcPr>
          <w:p w:rsidR="0002608C" w:rsidRPr="00490741" w:rsidP="00107648">
            <w:pPr>
              <w:snapToGrid w:val="0"/>
              <w:spacing w:line="360" w:lineRule="auto"/>
              <w:ind w:firstLine="420"/>
              <w:jc w:val="center"/>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出资比例</w:t>
            </w:r>
          </w:p>
        </w:tc>
      </w:tr>
      <w:tr>
        <w:tblPrEx>
          <w:tblW w:w="6073" w:type="dxa"/>
          <w:jc w:val="center"/>
          <w:tblLayout w:type="fixed"/>
          <w:tblLook w:val="0000"/>
        </w:tblPrEx>
        <w:trPr>
          <w:jc w:val="center"/>
        </w:trPr>
        <w:tc>
          <w:tcPr>
            <w:tcW w:w="4236"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广东粤财信托有限公司</w:t>
            </w:r>
          </w:p>
        </w:tc>
        <w:tc>
          <w:tcPr>
            <w:tcW w:w="1837"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22.6514</w:t>
            </w:r>
            <w:r w:rsidRPr="00490741">
              <w:rPr>
                <w:rFonts w:asciiTheme="minorEastAsia" w:eastAsiaTheme="minorEastAsia" w:hAnsiTheme="minorEastAsia"/>
                <w:color w:val="000000" w:themeColor="text1"/>
              </w:rPr>
              <w:t>％</w:t>
            </w:r>
          </w:p>
        </w:tc>
      </w:tr>
      <w:tr>
        <w:tblPrEx>
          <w:tblW w:w="6073" w:type="dxa"/>
          <w:jc w:val="center"/>
          <w:tblLayout w:type="fixed"/>
          <w:tblLook w:val="0000"/>
        </w:tblPrEx>
        <w:trPr>
          <w:jc w:val="center"/>
        </w:trPr>
        <w:tc>
          <w:tcPr>
            <w:tcW w:w="4236"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广发证券股份有限公司</w:t>
            </w:r>
          </w:p>
        </w:tc>
        <w:tc>
          <w:tcPr>
            <w:tcW w:w="1837"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22.6514</w:t>
            </w:r>
            <w:r w:rsidRPr="00490741">
              <w:rPr>
                <w:rFonts w:asciiTheme="minorEastAsia" w:eastAsiaTheme="minorEastAsia" w:hAnsiTheme="minorEastAsia"/>
                <w:color w:val="000000" w:themeColor="text1"/>
              </w:rPr>
              <w:t>％</w:t>
            </w:r>
          </w:p>
        </w:tc>
      </w:tr>
      <w:tr>
        <w:tblPrEx>
          <w:tblW w:w="6073" w:type="dxa"/>
          <w:jc w:val="center"/>
          <w:tblLayout w:type="fixed"/>
          <w:tblLook w:val="0000"/>
        </w:tblPrEx>
        <w:trPr>
          <w:jc w:val="center"/>
        </w:trPr>
        <w:tc>
          <w:tcPr>
            <w:tcW w:w="4236"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盈峰集团有限公司</w:t>
            </w:r>
          </w:p>
        </w:tc>
        <w:tc>
          <w:tcPr>
            <w:tcW w:w="1837"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22.6514</w:t>
            </w:r>
            <w:r w:rsidRPr="00490741">
              <w:rPr>
                <w:rFonts w:asciiTheme="minorEastAsia" w:eastAsiaTheme="minorEastAsia" w:hAnsiTheme="minorEastAsia"/>
                <w:color w:val="000000" w:themeColor="text1"/>
              </w:rPr>
              <w:t>％</w:t>
            </w:r>
          </w:p>
        </w:tc>
      </w:tr>
      <w:tr>
        <w:tblPrEx>
          <w:tblW w:w="6073" w:type="dxa"/>
          <w:jc w:val="center"/>
          <w:tblLayout w:type="fixed"/>
          <w:tblLook w:val="0000"/>
        </w:tblPrEx>
        <w:trPr>
          <w:jc w:val="center"/>
        </w:trPr>
        <w:tc>
          <w:tcPr>
            <w:tcW w:w="4236"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广东省广晟控股集团有限公司</w:t>
            </w:r>
          </w:p>
        </w:tc>
        <w:tc>
          <w:tcPr>
            <w:tcW w:w="1837"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15.1010</w:t>
            </w:r>
            <w:r w:rsidRPr="00490741">
              <w:rPr>
                <w:rFonts w:asciiTheme="minorEastAsia" w:eastAsiaTheme="minorEastAsia" w:hAnsiTheme="minorEastAsia"/>
                <w:color w:val="000000" w:themeColor="text1"/>
              </w:rPr>
              <w:t>％</w:t>
            </w:r>
          </w:p>
        </w:tc>
      </w:tr>
      <w:tr>
        <w:tblPrEx>
          <w:tblW w:w="6073" w:type="dxa"/>
          <w:jc w:val="center"/>
          <w:tblLayout w:type="fixed"/>
          <w:tblLook w:val="0000"/>
        </w:tblPrEx>
        <w:trPr>
          <w:jc w:val="center"/>
        </w:trPr>
        <w:tc>
          <w:tcPr>
            <w:tcW w:w="4236"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广州市广永国有资产经营有限公司</w:t>
            </w:r>
          </w:p>
        </w:tc>
        <w:tc>
          <w:tcPr>
            <w:tcW w:w="1837"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7.5505</w:t>
            </w:r>
            <w:r w:rsidRPr="00490741">
              <w:rPr>
                <w:rFonts w:asciiTheme="minorEastAsia" w:eastAsiaTheme="minorEastAsia" w:hAnsiTheme="minorEastAsia"/>
                <w:color w:val="000000" w:themeColor="text1"/>
              </w:rPr>
              <w:t>％</w:t>
            </w:r>
          </w:p>
        </w:tc>
      </w:tr>
      <w:tr w:rsidTr="00490741">
        <w:tblPrEx>
          <w:tblW w:w="6073" w:type="dxa"/>
          <w:jc w:val="center"/>
          <w:tblLayout w:type="fixed"/>
          <w:tblLook w:val="0000"/>
        </w:tblPrEx>
        <w:trPr>
          <w:jc w:val="center"/>
        </w:trPr>
        <w:tc>
          <w:tcPr>
            <w:tcW w:w="4236" w:type="dxa"/>
            <w:vAlign w:val="center"/>
          </w:tcPr>
          <w:p w:rsidR="0062269A" w:rsidRPr="00490741" w:rsidP="0062269A">
            <w:pPr>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珠海祺荣宝投资合伙企业（有限合伙）</w:t>
            </w:r>
          </w:p>
        </w:tc>
        <w:tc>
          <w:tcPr>
            <w:tcW w:w="1837" w:type="dxa"/>
          </w:tcPr>
          <w:p w:rsidR="0062269A" w:rsidRPr="00490741" w:rsidP="0062269A">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1.5087</w:t>
            </w:r>
            <w:r w:rsidRPr="00490741">
              <w:rPr>
                <w:rFonts w:asciiTheme="minorEastAsia" w:eastAsiaTheme="minorEastAsia" w:hAnsiTheme="minorEastAsia"/>
                <w:color w:val="000000" w:themeColor="text1"/>
              </w:rPr>
              <w:t>％</w:t>
            </w:r>
          </w:p>
        </w:tc>
      </w:tr>
      <w:tr>
        <w:tblPrEx>
          <w:tblW w:w="6073" w:type="dxa"/>
          <w:jc w:val="center"/>
          <w:tblLayout w:type="fixed"/>
          <w:tblLook w:val="0000"/>
        </w:tblPrEx>
        <w:trPr>
          <w:jc w:val="center"/>
        </w:trPr>
        <w:tc>
          <w:tcPr>
            <w:tcW w:w="4236" w:type="dxa"/>
          </w:tcPr>
          <w:p w:rsidR="0062269A" w:rsidRPr="00490741" w:rsidP="0062269A">
            <w:pPr>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珠海祺泰宝投资合伙企业（有限合伙）</w:t>
            </w:r>
          </w:p>
        </w:tc>
        <w:tc>
          <w:tcPr>
            <w:tcW w:w="1837" w:type="dxa"/>
          </w:tcPr>
          <w:p w:rsidR="0062269A" w:rsidRPr="00490741" w:rsidP="0062269A">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1.6205</w:t>
            </w:r>
            <w:r w:rsidRPr="00490741">
              <w:rPr>
                <w:rFonts w:asciiTheme="minorEastAsia" w:eastAsiaTheme="minorEastAsia" w:hAnsiTheme="minorEastAsia"/>
                <w:color w:val="000000" w:themeColor="text1"/>
              </w:rPr>
              <w:t>％</w:t>
            </w:r>
          </w:p>
        </w:tc>
      </w:tr>
      <w:tr>
        <w:tblPrEx>
          <w:tblW w:w="6073" w:type="dxa"/>
          <w:jc w:val="center"/>
          <w:tblLayout w:type="fixed"/>
          <w:tblLook w:val="0000"/>
        </w:tblPrEx>
        <w:trPr>
          <w:jc w:val="center"/>
        </w:trPr>
        <w:tc>
          <w:tcPr>
            <w:tcW w:w="4236" w:type="dxa"/>
          </w:tcPr>
          <w:p w:rsidR="0062269A" w:rsidRPr="00490741" w:rsidP="0062269A">
            <w:pPr>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珠海祺丰宝投资合伙企业（有限合伙）</w:t>
            </w:r>
          </w:p>
        </w:tc>
        <w:tc>
          <w:tcPr>
            <w:tcW w:w="1837" w:type="dxa"/>
          </w:tcPr>
          <w:p w:rsidR="0062269A" w:rsidRPr="00490741" w:rsidP="0062269A">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1.5309</w:t>
            </w:r>
            <w:r w:rsidRPr="00490741">
              <w:rPr>
                <w:rFonts w:asciiTheme="minorEastAsia" w:eastAsiaTheme="minorEastAsia" w:hAnsiTheme="minorEastAsia"/>
                <w:color w:val="000000" w:themeColor="text1"/>
              </w:rPr>
              <w:t>％</w:t>
            </w:r>
          </w:p>
        </w:tc>
      </w:tr>
      <w:tr>
        <w:tblPrEx>
          <w:tblW w:w="6073" w:type="dxa"/>
          <w:jc w:val="center"/>
          <w:tblLayout w:type="fixed"/>
          <w:tblLook w:val="0000"/>
        </w:tblPrEx>
        <w:trPr>
          <w:jc w:val="center"/>
        </w:trPr>
        <w:tc>
          <w:tcPr>
            <w:tcW w:w="4236" w:type="dxa"/>
          </w:tcPr>
          <w:p w:rsidR="0062269A" w:rsidRPr="00490741" w:rsidP="0062269A">
            <w:pPr>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珠海聚莱康投资合伙企业（有限合伙）</w:t>
            </w:r>
          </w:p>
        </w:tc>
        <w:tc>
          <w:tcPr>
            <w:tcW w:w="1837" w:type="dxa"/>
          </w:tcPr>
          <w:p w:rsidR="0062269A" w:rsidRPr="00490741" w:rsidP="0062269A">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1.7558</w:t>
            </w:r>
            <w:r w:rsidRPr="00490741">
              <w:rPr>
                <w:rFonts w:asciiTheme="minorEastAsia" w:eastAsiaTheme="minorEastAsia" w:hAnsiTheme="minorEastAsia"/>
                <w:color w:val="000000" w:themeColor="text1"/>
              </w:rPr>
              <w:t>％</w:t>
            </w:r>
          </w:p>
        </w:tc>
      </w:tr>
      <w:tr>
        <w:tblPrEx>
          <w:tblW w:w="6073" w:type="dxa"/>
          <w:jc w:val="center"/>
          <w:tblLayout w:type="fixed"/>
          <w:tblLook w:val="0000"/>
        </w:tblPrEx>
        <w:trPr>
          <w:jc w:val="center"/>
        </w:trPr>
        <w:tc>
          <w:tcPr>
            <w:tcW w:w="4236" w:type="dxa"/>
          </w:tcPr>
          <w:p w:rsidR="0062269A" w:rsidRPr="00490741" w:rsidP="0062269A">
            <w:pPr>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珠海聚宁康投资合伙企业（有限合伙）</w:t>
            </w:r>
          </w:p>
        </w:tc>
        <w:tc>
          <w:tcPr>
            <w:tcW w:w="1837" w:type="dxa"/>
          </w:tcPr>
          <w:p w:rsidR="0062269A" w:rsidRPr="00490741" w:rsidP="0062269A">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1.4396</w:t>
            </w:r>
            <w:r w:rsidRPr="00490741">
              <w:rPr>
                <w:rFonts w:asciiTheme="minorEastAsia" w:eastAsiaTheme="minorEastAsia" w:hAnsiTheme="minorEastAsia"/>
                <w:color w:val="000000" w:themeColor="text1"/>
              </w:rPr>
              <w:t>％</w:t>
            </w:r>
          </w:p>
        </w:tc>
      </w:tr>
      <w:tr>
        <w:tblPrEx>
          <w:tblW w:w="6073" w:type="dxa"/>
          <w:jc w:val="center"/>
          <w:tblLayout w:type="fixed"/>
          <w:tblLook w:val="0000"/>
        </w:tblPrEx>
        <w:trPr>
          <w:jc w:val="center"/>
        </w:trPr>
        <w:tc>
          <w:tcPr>
            <w:tcW w:w="4236" w:type="dxa"/>
          </w:tcPr>
          <w:p w:rsidR="0062269A" w:rsidRPr="00490741" w:rsidP="0062269A">
            <w:pPr>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珠海聚弘康投资合伙企业（有限合伙）</w:t>
            </w:r>
          </w:p>
        </w:tc>
        <w:tc>
          <w:tcPr>
            <w:tcW w:w="1837" w:type="dxa"/>
          </w:tcPr>
          <w:p w:rsidR="0062269A" w:rsidRPr="00490741" w:rsidP="0062269A">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1.5388</w:t>
            </w:r>
            <w:r w:rsidRPr="00490741">
              <w:rPr>
                <w:rFonts w:asciiTheme="minorEastAsia" w:eastAsiaTheme="minorEastAsia" w:hAnsiTheme="minorEastAsia"/>
                <w:color w:val="000000" w:themeColor="text1"/>
              </w:rPr>
              <w:t>％</w:t>
            </w:r>
          </w:p>
        </w:tc>
      </w:tr>
      <w:tr>
        <w:tblPrEx>
          <w:tblW w:w="6073" w:type="dxa"/>
          <w:jc w:val="center"/>
          <w:tblLayout w:type="fixed"/>
          <w:tblLook w:val="0000"/>
        </w:tblPrEx>
        <w:trPr>
          <w:jc w:val="center"/>
        </w:trPr>
        <w:tc>
          <w:tcPr>
            <w:tcW w:w="4236"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总</w:t>
            </w:r>
            <w:r w:rsidRPr="00490741">
              <w:rPr>
                <w:rFonts w:asciiTheme="minorEastAsia" w:eastAsiaTheme="minorEastAsia" w:hAnsiTheme="minorEastAsia"/>
                <w:color w:val="000000" w:themeColor="text1"/>
              </w:rPr>
              <w:t xml:space="preserve">   </w:t>
            </w:r>
            <w:r w:rsidRPr="00490741">
              <w:rPr>
                <w:rFonts w:asciiTheme="minorEastAsia" w:eastAsiaTheme="minorEastAsia" w:hAnsiTheme="minorEastAsia"/>
                <w:color w:val="000000" w:themeColor="text1"/>
              </w:rPr>
              <w:t>计</w:t>
            </w:r>
          </w:p>
        </w:tc>
        <w:tc>
          <w:tcPr>
            <w:tcW w:w="1837"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100%</w:t>
            </w:r>
          </w:p>
        </w:tc>
      </w:tr>
    </w:tbl>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cs="仿宋_GB2312"/>
          <w:b w:val="0"/>
          <w:bCs/>
          <w:color w:val="000000" w:themeColor="text1"/>
          <w:kern w:val="0"/>
          <w:szCs w:val="24"/>
        </w:rPr>
      </w:pPr>
      <w:bookmarkStart w:id="8" w:name="_Toc114237383"/>
      <w:r w:rsidRPr="00490741">
        <w:rPr>
          <w:rFonts w:asciiTheme="minorEastAsia" w:eastAsiaTheme="minorEastAsia" w:hAnsiTheme="minorEastAsia" w:hint="eastAsia"/>
          <w:b w:val="0"/>
          <w:bCs/>
          <w:color w:val="000000" w:themeColor="text1"/>
          <w:szCs w:val="21"/>
        </w:rPr>
        <w:t>（二）</w:t>
      </w:r>
      <w:r w:rsidRPr="00490741">
        <w:rPr>
          <w:rFonts w:asciiTheme="minorEastAsia" w:eastAsiaTheme="minorEastAsia" w:hAnsiTheme="minorEastAsia"/>
          <w:b w:val="0"/>
          <w:bCs/>
          <w:color w:val="000000" w:themeColor="text1"/>
          <w:szCs w:val="21"/>
        </w:rPr>
        <w:t>主要人员情况</w:t>
      </w:r>
      <w:bookmarkEnd w:id="8"/>
    </w:p>
    <w:p w:rsidR="0002608C"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w:t>
      </w:r>
      <w:r w:rsidRPr="00490741" w:rsidR="002A0070">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董事、监事及高级管理人员</w:t>
      </w:r>
    </w:p>
    <w:p w:rsidR="00BF412F" w:rsidRPr="00490741" w:rsidP="00490741">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詹</w:t>
      </w:r>
      <w:r w:rsidRPr="00490741">
        <w:rPr>
          <w:rFonts w:asciiTheme="minorEastAsia" w:eastAsiaTheme="minorEastAsia" w:hAnsiTheme="minorEastAsia" w:hint="eastAsia"/>
          <w:color w:val="000000" w:themeColor="text1"/>
        </w:rPr>
        <w:t>余引先生，工商管理博士。现任易方达基金管理有限公司董事长，易方达国际控股有限公司董事长。曾任中国平安保险公司证券部研究咨询室总经理助理，平安证券有限责任公司研究咨询部副总经理（主持工作）、国债部副总经理（主持工作）、资产管理部副总经理、资产管理部总经理，中国平安保险股份有限公司投资管理部副总经理（主持工作），全国社会保障基金理事会投资部资产配置处处长、投资部副主任、境外投资部主任、投资部主任、证券投资部主任。</w:t>
      </w:r>
    </w:p>
    <w:p w:rsidR="00BF412F" w:rsidRPr="00490741" w:rsidP="00490741">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刘</w:t>
      </w:r>
      <w:r w:rsidRPr="00490741">
        <w:rPr>
          <w:rFonts w:asciiTheme="minorEastAsia" w:eastAsiaTheme="minorEastAsia" w:hAnsiTheme="minorEastAsia" w:hint="eastAsia"/>
          <w:color w:val="000000" w:themeColor="text1"/>
        </w:rPr>
        <w:t>晓艳女士，经济学博士。现任易方达基金管理有限公司副董事长、总</w:t>
      </w:r>
      <w:r w:rsidRPr="00490741">
        <w:rPr>
          <w:rFonts w:asciiTheme="minorEastAsia" w:eastAsiaTheme="minorEastAsia" w:hAnsiTheme="minorEastAsia"/>
          <w:color w:val="000000" w:themeColor="text1"/>
        </w:rPr>
        <w:t>经理</w:t>
      </w:r>
      <w:r w:rsidRPr="00490741">
        <w:rPr>
          <w:rFonts w:asciiTheme="minorEastAsia" w:eastAsiaTheme="minorEastAsia" w:hAnsiTheme="minorEastAsia" w:hint="eastAsia"/>
          <w:color w:val="000000" w:themeColor="text1"/>
        </w:rPr>
        <w:t>，易方达国际控股有限公司董事。曾任广发证券有限责任公司投资理财部副经理、基金经理</w:t>
      </w:r>
      <w:r w:rsidRPr="00490741">
        <w:rPr>
          <w:rFonts w:asciiTheme="minorEastAsia" w:eastAsiaTheme="minorEastAsia" w:hAnsiTheme="minorEastAsia"/>
          <w:color w:val="000000" w:themeColor="text1"/>
        </w:rPr>
        <w:t>、</w:t>
      </w:r>
      <w:r w:rsidRPr="00490741">
        <w:rPr>
          <w:rFonts w:asciiTheme="minorEastAsia" w:eastAsiaTheme="minorEastAsia" w:hAnsiTheme="minorEastAsia" w:hint="eastAsia"/>
          <w:color w:val="000000" w:themeColor="text1"/>
        </w:rPr>
        <w:t>基金投资</w:t>
      </w:r>
      <w:r w:rsidRPr="00490741">
        <w:rPr>
          <w:rFonts w:asciiTheme="minorEastAsia" w:eastAsiaTheme="minorEastAsia" w:hAnsiTheme="minorEastAsia" w:hint="eastAsia"/>
          <w:color w:val="000000" w:themeColor="text1"/>
        </w:rPr>
        <w:t>理财部副总经理，易方达基金管理有限公司督察员、监察部总经理、总裁助理、市场</w:t>
      </w:r>
      <w:r w:rsidRPr="00490741">
        <w:rPr>
          <w:rFonts w:asciiTheme="minorEastAsia" w:eastAsiaTheme="minorEastAsia" w:hAnsiTheme="minorEastAsia" w:hint="eastAsia"/>
          <w:color w:val="000000" w:themeColor="text1"/>
        </w:rPr>
        <w:t>总监</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公司</w:t>
      </w:r>
      <w:r w:rsidRPr="00490741">
        <w:rPr>
          <w:rFonts w:asciiTheme="minorEastAsia" w:eastAsiaTheme="minorEastAsia" w:hAnsiTheme="minorEastAsia" w:hint="eastAsia"/>
          <w:color w:val="000000" w:themeColor="text1"/>
        </w:rPr>
        <w:t>副总</w:t>
      </w:r>
      <w:r w:rsidRPr="00490741">
        <w:rPr>
          <w:rFonts w:asciiTheme="minorEastAsia" w:eastAsiaTheme="minorEastAsia" w:hAnsiTheme="minorEastAsia" w:hint="eastAsia"/>
          <w:color w:val="000000" w:themeColor="text1"/>
        </w:rPr>
        <w:t>经理</w:t>
      </w:r>
      <w:r w:rsidRPr="00490741">
        <w:rPr>
          <w:rFonts w:asciiTheme="minorEastAsia" w:eastAsiaTheme="minorEastAsia" w:hAnsiTheme="minorEastAsia" w:hint="eastAsia"/>
          <w:color w:val="000000" w:themeColor="text1"/>
        </w:rPr>
        <w:t>，易方达资产管理有限公司董事，易方达资产管理</w:t>
      </w:r>
      <w:r w:rsidRPr="00490741">
        <w:rPr>
          <w:rFonts w:asciiTheme="minorEastAsia" w:eastAsiaTheme="minorEastAsia" w:hAnsiTheme="minorEastAsia" w:hint="eastAsia"/>
          <w:color w:val="000000" w:themeColor="text1"/>
        </w:rPr>
        <w:t>（香港）</w:t>
      </w:r>
      <w:r w:rsidRPr="00490741">
        <w:rPr>
          <w:rFonts w:asciiTheme="minorEastAsia" w:eastAsiaTheme="minorEastAsia" w:hAnsiTheme="minorEastAsia" w:hint="eastAsia"/>
          <w:color w:val="000000" w:themeColor="text1"/>
        </w:rPr>
        <w:t>有限公司董事</w:t>
      </w:r>
      <w:r w:rsidRPr="00490741">
        <w:rPr>
          <w:rFonts w:asciiTheme="minorEastAsia" w:eastAsiaTheme="minorEastAsia" w:hAnsiTheme="minorEastAsia" w:hint="eastAsia"/>
          <w:color w:val="000000" w:themeColor="text1"/>
        </w:rPr>
        <w:t>长</w:t>
      </w:r>
      <w:r w:rsidRPr="00490741">
        <w:rPr>
          <w:rFonts w:asciiTheme="minorEastAsia" w:eastAsiaTheme="minorEastAsia" w:hAnsiTheme="minorEastAsia" w:hint="eastAsia"/>
          <w:color w:val="000000" w:themeColor="text1"/>
        </w:rPr>
        <w:t>。</w:t>
      </w:r>
    </w:p>
    <w:p w:rsidR="00BF412F" w:rsidRPr="00490741" w:rsidP="00490741">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周泽群先生，高级管理人员工商管理硕士（</w:t>
      </w:r>
      <w:r w:rsidRPr="00490741">
        <w:rPr>
          <w:rFonts w:asciiTheme="minorEastAsia" w:eastAsiaTheme="minorEastAsia" w:hAnsiTheme="minorEastAsia" w:hint="eastAsia"/>
          <w:color w:val="000000" w:themeColor="text1"/>
        </w:rPr>
        <w:t>EMBA</w:t>
      </w:r>
      <w:r w:rsidRPr="00490741">
        <w:rPr>
          <w:rFonts w:asciiTheme="minorEastAsia" w:eastAsiaTheme="minorEastAsia" w:hAnsiTheme="minorEastAsia" w:hint="eastAsia"/>
          <w:color w:val="000000" w:themeColor="text1"/>
        </w:rPr>
        <w:t>）。现任</w:t>
      </w:r>
      <w:r w:rsidRPr="00490741">
        <w:rPr>
          <w:rFonts w:asciiTheme="minorEastAsia" w:eastAsiaTheme="minorEastAsia" w:hAnsiTheme="minorEastAsia" w:hint="eastAsia"/>
          <w:color w:val="000000" w:themeColor="text1"/>
        </w:rPr>
        <w:t>易方达</w:t>
      </w:r>
      <w:r w:rsidRPr="00490741">
        <w:rPr>
          <w:rFonts w:asciiTheme="minorEastAsia" w:eastAsiaTheme="minorEastAsia" w:hAnsiTheme="minorEastAsia" w:hint="eastAsia"/>
          <w:color w:val="000000" w:themeColor="text1"/>
        </w:rPr>
        <w:t>基金管理有限公司董事</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广东粤财投资控股有限公司董事、总经理</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中航通用飞机有限责任公司副董事长</w:t>
      </w:r>
      <w:r w:rsidRPr="00490741">
        <w:rPr>
          <w:rFonts w:asciiTheme="minorEastAsia" w:eastAsiaTheme="minorEastAsia" w:hAnsiTheme="minorEastAsia" w:hint="eastAsia"/>
          <w:color w:val="000000" w:themeColor="text1"/>
        </w:rPr>
        <w:t>。曾任珠海粤财实业有限公司董事长</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粤财控股（</w:t>
      </w:r>
      <w:r w:rsidRPr="00490741">
        <w:rPr>
          <w:rFonts w:asciiTheme="minorEastAsia" w:eastAsiaTheme="minorEastAsia" w:hAnsiTheme="minorEastAsia" w:hint="eastAsia"/>
          <w:color w:val="000000" w:themeColor="text1"/>
        </w:rPr>
        <w:t>北京）有限公司总经理、董事长</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广东粤财投资控股有限公司总经理助理</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办公室主任</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广东粤财投资控股有限公司</w:t>
      </w:r>
      <w:r w:rsidRPr="00490741">
        <w:rPr>
          <w:rFonts w:asciiTheme="minorEastAsia" w:eastAsiaTheme="minorEastAsia" w:hAnsiTheme="minorEastAsia" w:hint="eastAsia"/>
          <w:color w:val="000000" w:themeColor="text1"/>
        </w:rPr>
        <w:t>副总经理。</w:t>
      </w:r>
    </w:p>
    <w:p w:rsidR="00BF412F" w:rsidRPr="00490741" w:rsidP="00490741">
      <w:pPr>
        <w:spacing w:line="360" w:lineRule="auto"/>
        <w:ind w:firstLine="420" w:firstLineChars="200"/>
        <w:rPr>
          <w:rFonts w:asciiTheme="minorEastAsia" w:eastAsiaTheme="minorEastAsia" w:hAnsiTheme="minorEastAsia"/>
          <w:color w:val="000000" w:themeColor="text1"/>
          <w:sz w:val="20"/>
          <w:szCs w:val="20"/>
        </w:rPr>
      </w:pPr>
      <w:r w:rsidRPr="00490741">
        <w:rPr>
          <w:rFonts w:asciiTheme="minorEastAsia" w:eastAsiaTheme="minorEastAsia" w:hAnsiTheme="minorEastAsia" w:hint="eastAsia"/>
          <w:color w:val="000000" w:themeColor="text1"/>
        </w:rPr>
        <w:t>秦力先生，经济学博士。现任易方达基金管理有限公司董事，广发证券股份有限公司执行董事、公司</w:t>
      </w:r>
      <w:r w:rsidRPr="00490741">
        <w:rPr>
          <w:rFonts w:asciiTheme="minorEastAsia" w:eastAsiaTheme="minorEastAsia" w:hAnsiTheme="minorEastAsia" w:hint="eastAsia"/>
          <w:color w:val="000000" w:themeColor="text1"/>
        </w:rPr>
        <w:t>总监</w:t>
      </w:r>
      <w:r w:rsidRPr="00490741">
        <w:rPr>
          <w:rFonts w:asciiTheme="minorEastAsia" w:eastAsiaTheme="minorEastAsia" w:hAnsiTheme="minorEastAsia"/>
          <w:color w:val="000000" w:themeColor="text1"/>
        </w:rPr>
        <w:t xml:space="preserve">, </w:t>
      </w:r>
      <w:r w:rsidRPr="00490741">
        <w:rPr>
          <w:rFonts w:asciiTheme="minorEastAsia" w:eastAsiaTheme="minorEastAsia" w:hAnsiTheme="minorEastAsia" w:hint="eastAsia"/>
          <w:color w:val="000000" w:themeColor="text1"/>
        </w:rPr>
        <w:t>广发证券资产管理（广东）有限公司董事长、总经理。曾任广发证券投资银行部常务副总经理、投资理财部总经理、资金营运部总经理、规划管理部总经理、投资部总经理、公司总经理助理、副总经理、常务副总经理，广东金融高新区股权交易中心有限公司董事长，广发控股（香港）有限公司董事长。</w:t>
      </w:r>
    </w:p>
    <w:p w:rsidR="00BF412F" w:rsidRPr="00490741" w:rsidP="00490741">
      <w:pPr>
        <w:spacing w:line="360" w:lineRule="auto"/>
        <w:ind w:firstLine="420" w:firstLineChars="200"/>
        <w:rPr>
          <w:rFonts w:asciiTheme="minorEastAsia" w:eastAsiaTheme="minorEastAsia" w:hAnsiTheme="minorEastAsia"/>
          <w:color w:val="000000" w:themeColor="text1"/>
          <w:sz w:val="20"/>
          <w:szCs w:val="20"/>
        </w:rPr>
      </w:pPr>
      <w:r w:rsidRPr="00490741">
        <w:rPr>
          <w:rFonts w:asciiTheme="minorEastAsia" w:eastAsiaTheme="minorEastAsia" w:hAnsiTheme="minorEastAsia" w:hint="eastAsia"/>
          <w:color w:val="000000" w:themeColor="text1"/>
        </w:rPr>
        <w:t>苏斌先生，管理学硕士。现任易方达基金管理有限公司董事，盈峰集团有限公司董事、联席总裁，广东民营投资股份有限公司董事，宁波盈峰股权投资基金管理有限公司经理、执行董事，北京百纳千成影视股份有限公司董事，南京柯勒复合材料有限责任公司总经理，盈峰环境科技集团股份有限公司董事，广州华艺国际拍卖有限公司董事。曾任中富证券有限责任公司投行部经理，鸿商产业控股集团有限公司产业投资部执行董事，名力中国成长基金合伙人，复星能源环境与智能装备集团总裁，盈合（深圳）机器人与自动化科技有限公司董事长。</w:t>
      </w:r>
    </w:p>
    <w:p w:rsidR="00BF412F" w:rsidRPr="00490741" w:rsidP="00490741">
      <w:pPr>
        <w:spacing w:line="360" w:lineRule="auto"/>
        <w:ind w:firstLine="420" w:firstLineChars="200"/>
        <w:rPr>
          <w:rFonts w:asciiTheme="minorEastAsia" w:eastAsiaTheme="minorEastAsia" w:hAnsiTheme="minorEastAsia"/>
          <w:color w:val="000000" w:themeColor="text1"/>
          <w:sz w:val="20"/>
          <w:szCs w:val="20"/>
        </w:rPr>
      </w:pPr>
      <w:r w:rsidRPr="00490741">
        <w:rPr>
          <w:rFonts w:asciiTheme="minorEastAsia" w:eastAsiaTheme="minorEastAsia" w:hAnsiTheme="minorEastAsia" w:hint="eastAsia"/>
          <w:color w:val="000000" w:themeColor="text1"/>
        </w:rPr>
        <w:t>刘韧先生，经济学硕士。现任易方</w:t>
      </w:r>
      <w:r w:rsidRPr="00490741">
        <w:rPr>
          <w:rFonts w:asciiTheme="minorEastAsia" w:eastAsiaTheme="minorEastAsia" w:hAnsiTheme="minorEastAsia" w:hint="eastAsia"/>
          <w:color w:val="000000" w:themeColor="text1"/>
        </w:rPr>
        <w:t>达基金管理有限公司董事，广东省广晟控股集团有限公司资本运营部负责人。曾任湖南证券股份有限公司投资银行部经理助理，湘财证券有限责任公司投资银行总部副总经理，二十三冶建设集团有限公司副总裁兼矿业事业部部长、党委委员，广东省广晟资产经营有限公司总经理助理兼资本运营部部长、战略委员会委员，东江环保股份有限公司党委书记、董事长，广东风华高新科技股份有限公司党委委员、副总裁、财务负责人。</w:t>
      </w:r>
    </w:p>
    <w:p w:rsidR="00BF412F" w:rsidRPr="00490741" w:rsidP="00490741">
      <w:pPr>
        <w:spacing w:line="360" w:lineRule="auto"/>
        <w:ind w:firstLine="420" w:firstLineChars="200"/>
        <w:rPr>
          <w:rFonts w:asciiTheme="minorEastAsia" w:eastAsiaTheme="minorEastAsia" w:hAnsiTheme="minorEastAsia"/>
          <w:color w:val="000000" w:themeColor="text1"/>
          <w:sz w:val="20"/>
          <w:szCs w:val="20"/>
        </w:rPr>
      </w:pPr>
      <w:r w:rsidRPr="00490741">
        <w:rPr>
          <w:rFonts w:asciiTheme="minorEastAsia" w:eastAsiaTheme="minorEastAsia" w:hAnsiTheme="minorEastAsia" w:hint="eastAsia"/>
          <w:color w:val="000000" w:themeColor="text1"/>
        </w:rPr>
        <w:t>王承志先生，法学博士。现任易方达基金管理有限公司独立董事，中山大学法学院副教授、博士生导师，广东省法学会国际法学研究会秘书长，中国国</w:t>
      </w:r>
      <w:r w:rsidRPr="00490741">
        <w:rPr>
          <w:rFonts w:asciiTheme="minorEastAsia" w:eastAsiaTheme="minorEastAsia" w:hAnsiTheme="minorEastAsia" w:hint="eastAsia"/>
          <w:color w:val="000000" w:themeColor="text1"/>
        </w:rPr>
        <w:t>际私法学会理事，江苏凯强医学检验有限公司董事，广东茉莉数字科技集团股份有限公司独立董事，广东神朗律师事务所兼职律师，深圳市美之高科技股份有限公司独立董事，广东凯金新能源科技股份有限公司独立董事，艾尔玛科技股份有限公司独立董事。曾任美国天普大学法学院访问副教授。</w:t>
      </w:r>
    </w:p>
    <w:p w:rsidR="00BF412F" w:rsidRPr="00490741" w:rsidP="00490741">
      <w:pPr>
        <w:spacing w:line="360" w:lineRule="auto"/>
        <w:ind w:firstLine="420" w:firstLineChars="200"/>
        <w:rPr>
          <w:rFonts w:asciiTheme="minorEastAsia" w:eastAsiaTheme="minorEastAsia" w:hAnsiTheme="minorEastAsia"/>
          <w:color w:val="000000" w:themeColor="text1"/>
          <w:sz w:val="20"/>
          <w:szCs w:val="20"/>
        </w:rPr>
      </w:pPr>
      <w:r w:rsidRPr="00490741">
        <w:rPr>
          <w:rFonts w:asciiTheme="minorEastAsia" w:eastAsiaTheme="minorEastAsia" w:hAnsiTheme="minorEastAsia" w:hint="eastAsia"/>
          <w:color w:val="000000" w:themeColor="text1"/>
        </w:rPr>
        <w:t>高建先生，工学博士。现任易方达基金管理有限公司独立董事，清华大学经济管理学院</w:t>
      </w:r>
      <w:r w:rsidRPr="00490741">
        <w:rPr>
          <w:rFonts w:asciiTheme="minorEastAsia" w:eastAsiaTheme="minorEastAsia" w:hAnsiTheme="minorEastAsia" w:hint="eastAsia"/>
          <w:color w:val="000000" w:themeColor="text1"/>
        </w:rPr>
        <w:t>教授、博士生导师、学术委员会副主任，深圳市力合科创股份有限公司独立董事、固生堂控股有限公司非执行董事。曾任重庆建筑工程学院建筑管理工程系助教、讲师、教研室副主任，清华大学经济</w:t>
      </w:r>
      <w:r w:rsidRPr="00490741">
        <w:rPr>
          <w:rFonts w:asciiTheme="minorEastAsia" w:eastAsiaTheme="minorEastAsia" w:hAnsiTheme="minorEastAsia" w:hint="eastAsia"/>
          <w:color w:val="000000" w:themeColor="text1"/>
        </w:rPr>
        <w:t>管理学院讲师、副教授、技术经济与管理系主任、创新创业与战略系主任、院长助理、副院长、党委书记，山东新北洋信息技术股份有限公司独立董事，中融人寿保险股份有限公司独立董事。</w:t>
      </w:r>
    </w:p>
    <w:p w:rsidR="00BF412F" w:rsidRPr="00490741" w:rsidP="00490741">
      <w:pPr>
        <w:spacing w:line="360" w:lineRule="auto"/>
        <w:ind w:firstLine="420" w:firstLineChars="200"/>
        <w:rPr>
          <w:rFonts w:asciiTheme="minorEastAsia" w:eastAsiaTheme="minorEastAsia" w:hAnsiTheme="minorEastAsia"/>
          <w:color w:val="000000" w:themeColor="text1"/>
          <w:sz w:val="20"/>
          <w:szCs w:val="20"/>
        </w:rPr>
      </w:pPr>
      <w:r w:rsidRPr="00490741">
        <w:rPr>
          <w:rFonts w:asciiTheme="minorEastAsia" w:eastAsiaTheme="minorEastAsia" w:hAnsiTheme="minorEastAsia" w:hint="eastAsia"/>
          <w:color w:val="000000" w:themeColor="text1"/>
        </w:rPr>
        <w:t>刘劲先生，工商管理博士。现任易方达基金管理有限公司独立董事，长江商学院会计与金融教授、投资研究中心主任、教授管理委员会主席，中国天伦燃气控股有限公司独立非执行董事。曾任哥伦比亚大学经济学讲师，加州大学洛杉矶分校安德森管理学院助理教授、副教授、终身教授，长江商学院行政副院长、</w:t>
      </w:r>
      <w:r w:rsidRPr="00490741">
        <w:rPr>
          <w:rFonts w:asciiTheme="minorEastAsia" w:eastAsiaTheme="minorEastAsia" w:hAnsiTheme="minorEastAsia"/>
          <w:color w:val="000000" w:themeColor="text1"/>
        </w:rPr>
        <w:t>DBA</w:t>
      </w:r>
      <w:r w:rsidRPr="00490741">
        <w:rPr>
          <w:rFonts w:asciiTheme="minorEastAsia" w:eastAsiaTheme="minorEastAsia" w:hAnsiTheme="minorEastAsia" w:hint="eastAsia"/>
          <w:color w:val="000000" w:themeColor="text1"/>
        </w:rPr>
        <w:t>项目副院长、创创社区项目发起人兼副院长，云南白药集团股份有限公</w:t>
      </w:r>
      <w:r w:rsidRPr="00490741">
        <w:rPr>
          <w:rFonts w:asciiTheme="minorEastAsia" w:eastAsiaTheme="minorEastAsia" w:hAnsiTheme="minorEastAsia" w:hint="eastAsia"/>
          <w:color w:val="000000" w:themeColor="text1"/>
        </w:rPr>
        <w:t>司独立董事，瑞士银行（中国）有限公司独立董事，秦川机床工具集团股份公司独立董事，浙江红蜻蜓鞋业股份有限公司独立董事。</w:t>
      </w:r>
    </w:p>
    <w:p w:rsidR="00BF412F" w:rsidRPr="00490741" w:rsidP="00490741">
      <w:pPr>
        <w:spacing w:line="360" w:lineRule="auto"/>
        <w:ind w:firstLine="420" w:firstLineChars="200"/>
        <w:rPr>
          <w:rFonts w:asciiTheme="minorEastAsia" w:eastAsiaTheme="minorEastAsia" w:hAnsiTheme="minorEastAsia"/>
          <w:color w:val="000000" w:themeColor="text1"/>
          <w:sz w:val="20"/>
          <w:szCs w:val="20"/>
        </w:rPr>
      </w:pPr>
      <w:r w:rsidRPr="00490741">
        <w:rPr>
          <w:rFonts w:asciiTheme="minorEastAsia" w:eastAsiaTheme="minorEastAsia" w:hAnsiTheme="minorEastAsia" w:hint="eastAsia"/>
          <w:color w:val="000000" w:themeColor="text1"/>
        </w:rPr>
        <w:t>刘发宏先生，工商管理硕士。现任易方达基金管理有限公司监事会主席，广东省融资再担保有限公司监事长。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w:t>
      </w:r>
      <w:r w:rsidRPr="00490741">
        <w:rPr>
          <w:rFonts w:asciiTheme="minorEastAsia" w:eastAsiaTheme="minorEastAsia" w:hAnsiTheme="minorEastAsia" w:hint="eastAsia"/>
          <w:color w:val="000000" w:themeColor="text1"/>
        </w:rPr>
        <w:t>务总监，珠海市国资委（派驻国有企业）财务总监，珠海港置业开发有限公司总经理，酒鬼酒股份有限公司副总经理，广东粤财投资控股有限公司审计部总经理、党委办主任、人力资源部总经理，广东粤财信托有限公司党委委员、副书记、董事。</w:t>
      </w:r>
    </w:p>
    <w:p w:rsidR="00BF412F" w:rsidRPr="00490741" w:rsidP="00490741">
      <w:pPr>
        <w:spacing w:line="360" w:lineRule="auto"/>
        <w:ind w:firstLine="420" w:firstLineChars="200"/>
        <w:rPr>
          <w:rFonts w:asciiTheme="minorEastAsia" w:eastAsiaTheme="minorEastAsia" w:hAnsiTheme="minorEastAsia"/>
          <w:color w:val="000000" w:themeColor="text1"/>
          <w:sz w:val="20"/>
          <w:szCs w:val="20"/>
        </w:rPr>
      </w:pPr>
      <w:r w:rsidRPr="00490741">
        <w:rPr>
          <w:rFonts w:asciiTheme="minorEastAsia" w:eastAsiaTheme="minorEastAsia" w:hAnsiTheme="minorEastAsia" w:hint="eastAsia"/>
          <w:color w:val="000000" w:themeColor="text1"/>
        </w:rPr>
        <w:t>危勇先生，经济学博士。现任易方达基金管理有限公司监事，广州市广永国有资产经营有限公司董事长、总裁，广州赛马娱乐总公司董事，万联证券股份有限公司监事，广州银行股份有限公司董事，广州广永投资管理有限公司董事长，广州广永股权投资基金管理有限公司董事长，广州广永科技发展有限公司代理董事长、总经理。曾任</w:t>
      </w:r>
      <w:r w:rsidRPr="00490741">
        <w:rPr>
          <w:rFonts w:asciiTheme="minorEastAsia" w:eastAsiaTheme="minorEastAsia" w:hAnsiTheme="minorEastAsia" w:hint="eastAsia"/>
          <w:color w:val="000000" w:themeColor="text1"/>
        </w:rPr>
        <w:t>中国水利水电第八工程局三产实业开发部秘书，中国人民银行广州分行统计研究处干部、货币信贷管理处主任科员、营管部综合处助理调研员，广州金融控股集团有限公司行政办公室主任，广州金融资产交易中心有限公司董事，广州股权交易中心有限公司董事，广州广永丽都酒店有限公司董事长。</w:t>
      </w:r>
    </w:p>
    <w:p w:rsidR="00BF412F" w:rsidRPr="00490741" w:rsidP="00490741">
      <w:pPr>
        <w:spacing w:line="360" w:lineRule="auto"/>
        <w:ind w:firstLine="420" w:firstLineChars="200"/>
        <w:rPr>
          <w:rFonts w:asciiTheme="minorEastAsia" w:eastAsiaTheme="minorEastAsia" w:hAnsiTheme="minorEastAsia"/>
          <w:color w:val="000000" w:themeColor="text1"/>
          <w:sz w:val="20"/>
          <w:szCs w:val="20"/>
        </w:rPr>
      </w:pPr>
      <w:r w:rsidRPr="00490741">
        <w:rPr>
          <w:rFonts w:asciiTheme="minorEastAsia" w:eastAsiaTheme="minorEastAsia" w:hAnsiTheme="minorEastAsia" w:hint="eastAsia"/>
          <w:color w:val="000000" w:themeColor="text1"/>
        </w:rPr>
        <w:t>廖智先生，经济学硕士。现任易方达基金管理有限公司监事、总裁助理、党群工作部联席总经理，广东粤财互联网金融股份有限公司董事。曾任广东证券股份有限公司基金部主管，易方达基金管理有限公司综合管理部副总经理、人力资源部副总经理、市场部总经理、互联网金融部总</w:t>
      </w:r>
      <w:r w:rsidRPr="00490741">
        <w:rPr>
          <w:rFonts w:asciiTheme="minorEastAsia" w:eastAsiaTheme="minorEastAsia" w:hAnsiTheme="minorEastAsia" w:hint="eastAsia"/>
          <w:color w:val="000000" w:themeColor="text1"/>
        </w:rPr>
        <w:t>经理、综合管理部总经理、行政管理部总经理。</w:t>
      </w:r>
    </w:p>
    <w:p w:rsidR="00BF412F" w:rsidRPr="00490741" w:rsidP="00490741">
      <w:pPr>
        <w:spacing w:line="360" w:lineRule="auto"/>
        <w:ind w:firstLine="420" w:firstLineChars="200"/>
        <w:rPr>
          <w:rFonts w:asciiTheme="minorEastAsia" w:eastAsiaTheme="minorEastAsia" w:hAnsiTheme="minorEastAsia"/>
          <w:color w:val="000000" w:themeColor="text1"/>
          <w:sz w:val="20"/>
          <w:szCs w:val="20"/>
        </w:rPr>
      </w:pPr>
      <w:r w:rsidRPr="00490741">
        <w:rPr>
          <w:rFonts w:asciiTheme="minorEastAsia" w:eastAsiaTheme="minorEastAsia" w:hAnsiTheme="minorEastAsia" w:hint="eastAsia"/>
          <w:color w:val="000000" w:themeColor="text1"/>
        </w:rPr>
        <w:t>刘炜先生，工商管理硕士（</w:t>
      </w:r>
      <w:r w:rsidRPr="00490741">
        <w:rPr>
          <w:rFonts w:asciiTheme="minorEastAsia" w:eastAsiaTheme="minorEastAsia" w:hAnsiTheme="minorEastAsia"/>
          <w:color w:val="000000" w:themeColor="text1"/>
        </w:rPr>
        <w:t>EMBA</w:t>
      </w:r>
      <w:r w:rsidRPr="00490741">
        <w:rPr>
          <w:rFonts w:asciiTheme="minorEastAsia" w:eastAsiaTheme="minorEastAsia" w:hAnsiTheme="minorEastAsia" w:hint="eastAsia"/>
          <w:color w:val="000000" w:themeColor="text1"/>
        </w:rPr>
        <w:t>）、法学硕士。现任易方达基金管理有限公司监事、人力资源部总经理。曾任易方达基金管理有限公司监察部监察员、上海分公司销售经理、市场部总经理助理、人力资源部副总经理、综合管理部总经理。</w:t>
      </w:r>
    </w:p>
    <w:p w:rsidR="00BF412F" w:rsidRPr="00490741" w:rsidP="00490741">
      <w:pPr>
        <w:spacing w:line="360" w:lineRule="auto"/>
        <w:ind w:firstLine="420" w:firstLineChars="200"/>
        <w:rPr>
          <w:rFonts w:asciiTheme="minorEastAsia" w:eastAsiaTheme="minorEastAsia" w:hAnsiTheme="minorEastAsia"/>
          <w:color w:val="000000" w:themeColor="text1"/>
          <w:sz w:val="20"/>
          <w:szCs w:val="20"/>
        </w:rPr>
      </w:pPr>
      <w:r w:rsidRPr="00490741">
        <w:rPr>
          <w:rFonts w:asciiTheme="minorEastAsia" w:eastAsiaTheme="minorEastAsia" w:hAnsiTheme="minorEastAsia" w:hint="eastAsia"/>
          <w:color w:val="000000" w:themeColor="text1"/>
        </w:rPr>
        <w:t>付浩先生，经济学硕士。现任易方达基金管理有限公司监事、权益投资管理部总经理、权益投资决策委员会委员。曾任广东粤财信托投资有限公司国际金融部职员，深圳和君创业研究咨询有限公司管理咨询项目经理，湖南证券投资银行总部项目经理，融通基金管理有限公司研究策划部研究</w:t>
      </w:r>
      <w:r w:rsidRPr="00490741">
        <w:rPr>
          <w:rFonts w:asciiTheme="minorEastAsia" w:eastAsiaTheme="minorEastAsia" w:hAnsiTheme="minorEastAsia" w:hint="eastAsia"/>
          <w:color w:val="000000" w:themeColor="text1"/>
        </w:rPr>
        <w:t>员，易方达基金管理有限公司权益投资总部副总经理、养老金与专户权益投资部副总经理、公募基金投资部总经理、基金经理助理、投资经理、基金经理。</w:t>
      </w:r>
    </w:p>
    <w:p w:rsidR="00BF412F" w:rsidRPr="00490741" w:rsidP="00490741">
      <w:pPr>
        <w:spacing w:line="360" w:lineRule="auto"/>
        <w:ind w:firstLine="420" w:firstLineChars="200"/>
        <w:rPr>
          <w:rFonts w:asciiTheme="minorEastAsia" w:eastAsiaTheme="minorEastAsia" w:hAnsiTheme="minorEastAsia"/>
          <w:color w:val="000000" w:themeColor="text1"/>
          <w:sz w:val="20"/>
          <w:szCs w:val="20"/>
        </w:rPr>
      </w:pPr>
      <w:r w:rsidRPr="00490741">
        <w:rPr>
          <w:rFonts w:asciiTheme="minorEastAsia" w:eastAsiaTheme="minorEastAsia" w:hAnsiTheme="minorEastAsia" w:hint="eastAsia"/>
          <w:color w:val="000000" w:themeColor="text1"/>
        </w:rPr>
        <w:t>马骏先生，工商管理硕士（</w:t>
      </w:r>
      <w:r w:rsidRPr="00490741">
        <w:rPr>
          <w:rFonts w:asciiTheme="minorEastAsia" w:eastAsiaTheme="minorEastAsia" w:hAnsiTheme="minorEastAsia"/>
          <w:color w:val="000000" w:themeColor="text1"/>
        </w:rPr>
        <w:t>EMBA</w:t>
      </w:r>
      <w:r w:rsidRPr="00490741">
        <w:rPr>
          <w:rFonts w:asciiTheme="minorEastAsia" w:eastAsiaTheme="minorEastAsia" w:hAnsiTheme="minorEastAsia" w:hint="eastAsia"/>
          <w:color w:val="000000" w:themeColor="text1"/>
        </w:rPr>
        <w:t>）。现任易方达基金管理有限公司副总经理级高级管理人员、固定收益投资决策委员会委员、基础设施资产管理委员会委员，易方达资产管理（香港）有限公司董事长、人民币合格境外投资者（</w:t>
      </w:r>
      <w:r w:rsidRPr="00490741">
        <w:rPr>
          <w:rFonts w:asciiTheme="minorEastAsia" w:eastAsiaTheme="minorEastAsia" w:hAnsiTheme="minorEastAsia"/>
          <w:color w:val="000000" w:themeColor="text1"/>
        </w:rPr>
        <w:t>RQFII</w:t>
      </w:r>
      <w:r w:rsidRPr="00490741">
        <w:rPr>
          <w:rFonts w:asciiTheme="minorEastAsia" w:eastAsiaTheme="minorEastAsia" w:hAnsiTheme="minorEastAsia" w:hint="eastAsia"/>
          <w:color w:val="000000" w:themeColor="text1"/>
        </w:rPr>
        <w:t>）业务负责人、证券交易负责人员（</w:t>
      </w:r>
      <w:r w:rsidRPr="00490741">
        <w:rPr>
          <w:rFonts w:asciiTheme="minorEastAsia" w:eastAsiaTheme="minorEastAsia" w:hAnsiTheme="minorEastAsia"/>
          <w:color w:val="000000" w:themeColor="text1"/>
        </w:rPr>
        <w:t>RO</w:t>
      </w:r>
      <w:r w:rsidRPr="00490741">
        <w:rPr>
          <w:rFonts w:asciiTheme="minorEastAsia" w:eastAsiaTheme="minorEastAsia" w:hAnsiTheme="minorEastAsia" w:hint="eastAsia"/>
          <w:color w:val="000000" w:themeColor="text1"/>
        </w:rPr>
        <w:t>）、就证券提供意见负责人员（</w:t>
      </w:r>
      <w:r w:rsidRPr="00490741">
        <w:rPr>
          <w:rFonts w:asciiTheme="minorEastAsia" w:eastAsiaTheme="minorEastAsia" w:hAnsiTheme="minorEastAsia"/>
          <w:color w:val="000000" w:themeColor="text1"/>
        </w:rPr>
        <w:t>RO</w:t>
      </w:r>
      <w:r w:rsidRPr="00490741">
        <w:rPr>
          <w:rFonts w:asciiTheme="minorEastAsia" w:eastAsiaTheme="minorEastAsia" w:hAnsiTheme="minorEastAsia" w:hint="eastAsia"/>
          <w:color w:val="000000" w:themeColor="text1"/>
        </w:rPr>
        <w:t>）、提供资产管理负责人员（</w:t>
      </w:r>
      <w:r w:rsidRPr="00490741">
        <w:rPr>
          <w:rFonts w:asciiTheme="minorEastAsia" w:eastAsiaTheme="minorEastAsia" w:hAnsiTheme="minorEastAsia"/>
          <w:color w:val="000000" w:themeColor="text1"/>
        </w:rPr>
        <w:t>RO</w:t>
      </w:r>
      <w:r w:rsidRPr="00490741">
        <w:rPr>
          <w:rFonts w:asciiTheme="minorEastAsia" w:eastAsiaTheme="minorEastAsia" w:hAnsiTheme="minorEastAsia" w:hint="eastAsia"/>
          <w:color w:val="000000" w:themeColor="text1"/>
        </w:rPr>
        <w:t>）、市场及产品委员会委员。曾任君安证券有限公司营业部职员，深圳众</w:t>
      </w:r>
      <w:r w:rsidRPr="00490741">
        <w:rPr>
          <w:rFonts w:asciiTheme="minorEastAsia" w:eastAsiaTheme="minorEastAsia" w:hAnsiTheme="minorEastAsia" w:hint="eastAsia"/>
          <w:color w:val="000000" w:themeColor="text1"/>
        </w:rPr>
        <w:t>大投资有限公司投资部副总经理，广发证券有限责任公司研究员，易方达基金管理有限公司基金经理、固定收益部总经理、现金管理部总经理、固定收益总部总经理、总裁助理、固定收益投资总监、固定收益首席投资官，易方达资产管理有限公司董事。</w:t>
      </w:r>
    </w:p>
    <w:p w:rsidR="00BF412F" w:rsidRPr="00490741" w:rsidP="00490741">
      <w:pPr>
        <w:spacing w:line="360" w:lineRule="auto"/>
        <w:ind w:firstLine="420" w:firstLineChars="200"/>
        <w:rPr>
          <w:rFonts w:asciiTheme="minorEastAsia" w:eastAsiaTheme="minorEastAsia" w:hAnsiTheme="minorEastAsia"/>
          <w:color w:val="000000" w:themeColor="text1"/>
          <w:sz w:val="20"/>
          <w:szCs w:val="20"/>
        </w:rPr>
      </w:pPr>
      <w:r w:rsidRPr="00490741">
        <w:rPr>
          <w:rFonts w:asciiTheme="minorEastAsia" w:eastAsiaTheme="minorEastAsia" w:hAnsiTheme="minorEastAsia" w:hint="eastAsia"/>
          <w:color w:val="000000" w:themeColor="text1"/>
        </w:rPr>
        <w:t>吴欣荣先生，工学硕士。现任易方达基金管理有限公司副总经理级高级管理人员、权益投资决策委员会委员，易方达资产管理（香港）有限公司董事。曾任易方达基金管理有限公司研究员、投资管理部经理、基金经理、基金投资部副总经理、研究部副总经理、研究部总经理、基金投资部总经理、公募基金投资部总经理、权益投</w:t>
      </w:r>
      <w:r w:rsidRPr="00490741">
        <w:rPr>
          <w:rFonts w:asciiTheme="minorEastAsia" w:eastAsiaTheme="minorEastAsia" w:hAnsiTheme="minorEastAsia" w:hint="eastAsia"/>
          <w:color w:val="000000" w:themeColor="text1"/>
        </w:rPr>
        <w:t>资总部总经理、总裁助理、权益投资总监，易方达国际控股有限公司董事。</w:t>
      </w:r>
    </w:p>
    <w:p w:rsidR="00BF412F" w:rsidRPr="00490741" w:rsidP="00490741">
      <w:pPr>
        <w:spacing w:line="360" w:lineRule="auto"/>
        <w:ind w:firstLine="420" w:firstLineChars="200"/>
        <w:rPr>
          <w:rFonts w:asciiTheme="minorEastAsia" w:eastAsiaTheme="minorEastAsia" w:hAnsiTheme="minorEastAsia"/>
          <w:color w:val="000000" w:themeColor="text1"/>
          <w:sz w:val="20"/>
          <w:szCs w:val="20"/>
        </w:rPr>
      </w:pPr>
      <w:r w:rsidRPr="00490741">
        <w:rPr>
          <w:rFonts w:asciiTheme="minorEastAsia" w:eastAsiaTheme="minorEastAsia" w:hAnsiTheme="minorEastAsia" w:hint="eastAsia"/>
          <w:color w:val="000000" w:themeColor="text1"/>
        </w:rPr>
        <w:t>娄利舟女士，工商管理硕士（</w:t>
      </w:r>
      <w:r w:rsidRPr="00490741">
        <w:rPr>
          <w:rFonts w:asciiTheme="minorEastAsia" w:eastAsiaTheme="minorEastAsia" w:hAnsiTheme="minorEastAsia"/>
          <w:color w:val="000000" w:themeColor="text1"/>
        </w:rPr>
        <w:t>EMBA</w:t>
      </w:r>
      <w:r w:rsidRPr="00490741">
        <w:rPr>
          <w:rFonts w:asciiTheme="minorEastAsia" w:eastAsiaTheme="minorEastAsia" w:hAnsiTheme="minorEastAsia" w:hint="eastAsia"/>
          <w:color w:val="000000" w:themeColor="text1"/>
        </w:rPr>
        <w:t>）、经济学硕士。现任易方达基金管理有限公司副总经理级高级管理人员、</w:t>
      </w:r>
      <w:r w:rsidRPr="00490741">
        <w:rPr>
          <w:rFonts w:asciiTheme="minorEastAsia" w:eastAsiaTheme="minorEastAsia" w:hAnsiTheme="minorEastAsia"/>
          <w:color w:val="000000" w:themeColor="text1"/>
        </w:rPr>
        <w:t>FOF</w:t>
      </w:r>
      <w:r w:rsidRPr="00490741">
        <w:rPr>
          <w:rFonts w:asciiTheme="minorEastAsia" w:eastAsiaTheme="minorEastAsia" w:hAnsiTheme="minorEastAsia" w:hint="eastAsia"/>
          <w:color w:val="000000" w:themeColor="text1"/>
        </w:rPr>
        <w:t>投资决策委员会委员，易方达资产管理有限公司董事长，易方达资产管理（香港）有限公司董事。曾任联合证券有限责任公司证券营业部分析师、研究所策略研究员、经纪业务部高级经理，易方达基金管理有限公司销售支持中心经理、市场部总经理助理、市场部副总经理、广州分公司总经理、北京分公司总经理、总裁助理，易方达资产管理有限公司总经理。</w:t>
      </w:r>
    </w:p>
    <w:p w:rsidR="00BF412F" w:rsidRPr="00490741" w:rsidP="00490741">
      <w:pPr>
        <w:spacing w:line="360" w:lineRule="auto"/>
        <w:ind w:firstLine="420" w:firstLineChars="200"/>
        <w:rPr>
          <w:rFonts w:asciiTheme="minorEastAsia" w:eastAsiaTheme="minorEastAsia" w:hAnsiTheme="minorEastAsia"/>
          <w:color w:val="000000" w:themeColor="text1"/>
          <w:sz w:val="20"/>
          <w:szCs w:val="20"/>
        </w:rPr>
      </w:pPr>
      <w:r w:rsidRPr="00490741">
        <w:rPr>
          <w:rFonts w:asciiTheme="minorEastAsia" w:eastAsiaTheme="minorEastAsia" w:hAnsiTheme="minorEastAsia" w:hint="eastAsia"/>
          <w:color w:val="000000" w:themeColor="text1"/>
        </w:rPr>
        <w:t>陈彤先生，经济学博士</w:t>
      </w:r>
      <w:r w:rsidRPr="00490741">
        <w:rPr>
          <w:rFonts w:asciiTheme="minorEastAsia" w:eastAsiaTheme="minorEastAsia" w:hAnsiTheme="minorEastAsia" w:hint="eastAsia"/>
          <w:color w:val="000000" w:themeColor="text1"/>
        </w:rPr>
        <w:t>。现任易方达基金管理有限公司副总经理级高级管理人员，易方达国际控股有限公司董事。曾任中国经济开发信托投资公司成都营业部研发部副经理、交易部经理、研发部经理、证券总部研究部行业研究员，易方达基金管理有限公司市场拓展部主</w:t>
      </w:r>
      <w:r w:rsidRPr="00490741">
        <w:rPr>
          <w:rFonts w:asciiTheme="minorEastAsia" w:eastAsiaTheme="minorEastAsia" w:hAnsiTheme="minorEastAsia" w:hint="eastAsia"/>
          <w:color w:val="000000" w:themeColor="text1"/>
        </w:rPr>
        <w:t>管、基金经理、市场部华东区大区销售经理、市场部总经理助理、南京分公司总经理、成都分公司总经理、上海分公司总经理、总裁助理、市场总监。</w:t>
      </w:r>
    </w:p>
    <w:p w:rsidR="00BF412F" w:rsidRPr="00490741" w:rsidP="00490741">
      <w:pPr>
        <w:spacing w:line="360" w:lineRule="auto"/>
        <w:ind w:firstLine="420" w:firstLineChars="200"/>
        <w:rPr>
          <w:rFonts w:asciiTheme="minorEastAsia" w:eastAsiaTheme="minorEastAsia" w:hAnsiTheme="minorEastAsia"/>
          <w:color w:val="000000" w:themeColor="text1"/>
          <w:sz w:val="20"/>
          <w:szCs w:val="20"/>
        </w:rPr>
      </w:pPr>
      <w:r w:rsidRPr="00490741">
        <w:rPr>
          <w:rFonts w:asciiTheme="minorEastAsia" w:eastAsiaTheme="minorEastAsia" w:hAnsiTheme="minorEastAsia" w:hint="eastAsia"/>
          <w:color w:val="000000" w:themeColor="text1"/>
        </w:rPr>
        <w:t>张南女士，经济学博士。现任易方达基金管理有限公司副总经理级高级管理人员。曾任广东省经济贸易委员会主任科员、副处长，易方达基金管理有限公司市场拓展部副总经理、监察部</w:t>
      </w:r>
      <w:r w:rsidRPr="00490741">
        <w:rPr>
          <w:rFonts w:asciiTheme="minorEastAsia" w:eastAsiaTheme="minorEastAsia" w:hAnsiTheme="minorEastAsia" w:hint="eastAsia"/>
          <w:color w:val="000000" w:themeColor="text1"/>
        </w:rPr>
        <w:t>总经理、督察长。</w:t>
      </w:r>
    </w:p>
    <w:p w:rsidR="00BF412F" w:rsidRPr="00490741" w:rsidP="00490741">
      <w:pPr>
        <w:spacing w:line="360" w:lineRule="auto"/>
        <w:ind w:firstLine="420" w:firstLineChars="200"/>
        <w:rPr>
          <w:rFonts w:asciiTheme="minorEastAsia" w:eastAsiaTheme="minorEastAsia" w:hAnsiTheme="minorEastAsia"/>
          <w:color w:val="000000" w:themeColor="text1"/>
          <w:sz w:val="20"/>
          <w:szCs w:val="20"/>
        </w:rPr>
      </w:pPr>
      <w:r w:rsidRPr="00490741">
        <w:rPr>
          <w:rFonts w:asciiTheme="minorEastAsia" w:eastAsiaTheme="minorEastAsia" w:hAnsiTheme="minorEastAsia" w:hint="eastAsia"/>
          <w:color w:val="000000" w:themeColor="text1"/>
        </w:rPr>
        <w:t>范岳先生，工商管理硕士。现任易方达基金管理有限公司副总经理级高级管理人员、基础设施资产管理委员会委员，易方达资产管理（香港）有限公司董事。曾任中国工商银行深圳分行国际业务部科员，深圳证券登记结算公司办公室经理、国际部经理，深圳证券交易所北京中心助理主任、上市部副总监、基金债券部副总监、基金管理部总监。</w:t>
      </w:r>
    </w:p>
    <w:p w:rsidR="00BF412F" w:rsidRPr="00490741" w:rsidP="00490741">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高松凡先生</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工商管理硕士（</w:t>
      </w:r>
      <w:r w:rsidRPr="00490741">
        <w:rPr>
          <w:rFonts w:asciiTheme="minorEastAsia" w:eastAsiaTheme="minorEastAsia" w:hAnsiTheme="minorEastAsia"/>
          <w:color w:val="000000" w:themeColor="text1"/>
        </w:rPr>
        <w:t>EMBA</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现任易方达基金管理有限公司</w:t>
      </w:r>
      <w:r w:rsidRPr="00490741">
        <w:rPr>
          <w:rFonts w:asciiTheme="minorEastAsia" w:eastAsiaTheme="minorEastAsia" w:hAnsiTheme="minorEastAsia" w:hint="eastAsia"/>
          <w:color w:val="000000" w:themeColor="text1"/>
        </w:rPr>
        <w:t>副总经理级</w:t>
      </w:r>
      <w:r w:rsidRPr="00490741">
        <w:rPr>
          <w:rFonts w:asciiTheme="minorEastAsia" w:eastAsiaTheme="minorEastAsia" w:hAnsiTheme="minorEastAsia" w:hint="eastAsia"/>
          <w:color w:val="000000" w:themeColor="text1"/>
        </w:rPr>
        <w:t>高级管理人员（首席养老金业务官）。</w:t>
      </w:r>
      <w:r w:rsidRPr="00490741">
        <w:rPr>
          <w:rFonts w:asciiTheme="minorEastAsia" w:eastAsiaTheme="minorEastAsia" w:hAnsiTheme="minorEastAsia" w:hint="eastAsia"/>
          <w:color w:val="000000" w:themeColor="text1"/>
        </w:rPr>
        <w:t>曾任</w:t>
      </w:r>
      <w:r w:rsidRPr="00490741">
        <w:rPr>
          <w:rFonts w:asciiTheme="minorEastAsia" w:eastAsiaTheme="minorEastAsia" w:hAnsiTheme="minorEastAsia" w:hint="eastAsia"/>
          <w:color w:val="000000" w:themeColor="text1"/>
        </w:rPr>
        <w:t>招商银行总行人事部高级经理、企业年金中心副主任，浦东发展银行总行企业年金部总经理，长江养老保险公司首席市场总监，易方达基金管理有限公司养老金业务总监。</w:t>
      </w:r>
    </w:p>
    <w:p w:rsidR="00BF412F" w:rsidRPr="00490741" w:rsidP="00490741">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关秀霞女士，工商管理硕士、</w:t>
      </w:r>
      <w:r w:rsidRPr="00490741">
        <w:rPr>
          <w:rFonts w:asciiTheme="minorEastAsia" w:eastAsiaTheme="minorEastAsia" w:hAnsiTheme="minorEastAsia" w:hint="eastAsia"/>
          <w:color w:val="000000" w:themeColor="text1"/>
        </w:rPr>
        <w:t>金融学硕士</w:t>
      </w:r>
      <w:r w:rsidRPr="00490741">
        <w:rPr>
          <w:rFonts w:asciiTheme="minorEastAsia" w:eastAsiaTheme="minorEastAsia" w:hAnsiTheme="minorEastAsia" w:hint="eastAsia"/>
          <w:color w:val="000000" w:themeColor="text1"/>
        </w:rPr>
        <w:t>。现任易方达基金管理有限公司</w:t>
      </w:r>
      <w:r w:rsidRPr="00490741">
        <w:rPr>
          <w:rFonts w:asciiTheme="minorEastAsia" w:eastAsiaTheme="minorEastAsia" w:hAnsiTheme="minorEastAsia" w:hint="eastAsia"/>
          <w:color w:val="000000" w:themeColor="text1"/>
        </w:rPr>
        <w:t>副总经理级</w:t>
      </w:r>
      <w:r w:rsidRPr="00490741">
        <w:rPr>
          <w:rFonts w:asciiTheme="minorEastAsia" w:eastAsiaTheme="minorEastAsia" w:hAnsiTheme="minorEastAsia" w:hint="eastAsia"/>
          <w:color w:val="000000" w:themeColor="text1"/>
        </w:rPr>
        <w:t>高级管理人员（首席国际业务官）</w:t>
      </w:r>
      <w:r w:rsidRPr="00490741">
        <w:rPr>
          <w:rFonts w:asciiTheme="minorEastAsia" w:eastAsiaTheme="minorEastAsia" w:hAnsiTheme="minorEastAsia" w:hint="eastAsia"/>
          <w:color w:val="000000" w:themeColor="text1"/>
        </w:rPr>
        <w:t>。曾任中国银行（香港）</w:t>
      </w:r>
      <w:r w:rsidRPr="00490741">
        <w:rPr>
          <w:rFonts w:asciiTheme="minorEastAsia" w:eastAsiaTheme="minorEastAsia" w:hAnsiTheme="minorEastAsia" w:hint="eastAsia"/>
          <w:color w:val="000000" w:themeColor="text1"/>
        </w:rPr>
        <w:t>有限公司</w:t>
      </w:r>
      <w:r w:rsidRPr="00490741">
        <w:rPr>
          <w:rFonts w:asciiTheme="minorEastAsia" w:eastAsiaTheme="minorEastAsia" w:hAnsiTheme="minorEastAsia" w:hint="eastAsia"/>
          <w:color w:val="000000" w:themeColor="text1"/>
        </w:rPr>
        <w:t>分析员，</w:t>
      </w:r>
      <w:r w:rsidRPr="00490741">
        <w:rPr>
          <w:rFonts w:asciiTheme="minorEastAsia" w:eastAsiaTheme="minorEastAsia" w:hAnsiTheme="minorEastAsia"/>
          <w:color w:val="000000" w:themeColor="text1"/>
        </w:rPr>
        <w:t>Daniel Dennis</w:t>
      </w:r>
      <w:r w:rsidRPr="00490741">
        <w:rPr>
          <w:rFonts w:asciiTheme="minorEastAsia" w:eastAsiaTheme="minorEastAsia" w:hAnsiTheme="minorEastAsia" w:hint="eastAsia"/>
          <w:color w:val="000000" w:themeColor="text1"/>
        </w:rPr>
        <w:t>高级审计师，美国道富银行公司内部审计部高级审计师、美国共同基金业务风险经理、亚洲区（除日本外）机构服务主管、亚洲区（除日本外）副总裁、大中华地区</w:t>
      </w:r>
      <w:r w:rsidRPr="00490741">
        <w:rPr>
          <w:rFonts w:asciiTheme="minorEastAsia" w:eastAsiaTheme="minorEastAsia" w:hAnsiTheme="minorEastAsia" w:hint="eastAsia"/>
          <w:color w:val="000000" w:themeColor="text1"/>
        </w:rPr>
        <w:t>董事总经理</w:t>
      </w:r>
      <w:r w:rsidRPr="00490741">
        <w:rPr>
          <w:rFonts w:asciiTheme="minorEastAsia" w:eastAsiaTheme="minorEastAsia" w:hAnsiTheme="minorEastAsia" w:hint="eastAsia"/>
          <w:color w:val="000000" w:themeColor="text1"/>
        </w:rPr>
        <w:t>、大中华地区</w:t>
      </w:r>
      <w:r w:rsidRPr="00490741">
        <w:rPr>
          <w:rFonts w:asciiTheme="minorEastAsia" w:eastAsiaTheme="minorEastAsia" w:hAnsiTheme="minorEastAsia" w:hint="eastAsia"/>
          <w:color w:val="000000" w:themeColor="text1"/>
        </w:rPr>
        <w:t>高级副总裁</w:t>
      </w:r>
      <w:r w:rsidRPr="00490741">
        <w:rPr>
          <w:rFonts w:asciiTheme="minorEastAsia" w:eastAsiaTheme="minorEastAsia" w:hAnsiTheme="minorEastAsia" w:hint="eastAsia"/>
          <w:color w:val="000000" w:themeColor="text1"/>
        </w:rPr>
        <w:t>、中国区行长。</w:t>
      </w:r>
    </w:p>
    <w:p w:rsidR="00BF412F" w:rsidRPr="00490741" w:rsidP="00490741">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陈荣女士，经济学博士。</w:t>
      </w:r>
      <w:r w:rsidRPr="00490741">
        <w:rPr>
          <w:rFonts w:asciiTheme="minorEastAsia" w:eastAsiaTheme="minorEastAsia" w:hAnsiTheme="minorEastAsia" w:hint="eastAsia"/>
          <w:color w:val="000000" w:themeColor="text1"/>
        </w:rPr>
        <w:t>现任易方达基金管理有限公司</w:t>
      </w:r>
      <w:r w:rsidRPr="00490741">
        <w:rPr>
          <w:rFonts w:asciiTheme="minorEastAsia" w:eastAsiaTheme="minorEastAsia" w:hAnsiTheme="minorEastAsia" w:hint="eastAsia"/>
          <w:color w:val="000000" w:themeColor="text1"/>
        </w:rPr>
        <w:t>副总经理级</w:t>
      </w:r>
      <w:r w:rsidRPr="00490741">
        <w:rPr>
          <w:rFonts w:asciiTheme="minorEastAsia" w:eastAsiaTheme="minorEastAsia" w:hAnsiTheme="minorEastAsia" w:hint="eastAsia"/>
          <w:color w:val="000000" w:themeColor="text1"/>
        </w:rPr>
        <w:t>高级管理人员</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易方达国际控股有限公司董事，</w:t>
      </w:r>
      <w:r w:rsidRPr="00490741">
        <w:rPr>
          <w:rFonts w:asciiTheme="minorEastAsia" w:eastAsiaTheme="minorEastAsia" w:hAnsiTheme="minorEastAsia" w:hint="eastAsia"/>
          <w:color w:val="000000" w:themeColor="text1"/>
        </w:rPr>
        <w:t>易方达资产管理（香港）有限公司董事，易方达资产管理有限公司监事，易方达</w:t>
      </w:r>
      <w:r w:rsidRPr="00490741">
        <w:rPr>
          <w:rFonts w:asciiTheme="minorEastAsia" w:eastAsiaTheme="minorEastAsia" w:hAnsiTheme="minorEastAsia" w:hint="eastAsia"/>
          <w:color w:val="000000" w:themeColor="text1"/>
        </w:rPr>
        <w:t>私募基金管理（上海）有限</w:t>
      </w:r>
      <w:r w:rsidRPr="00490741">
        <w:rPr>
          <w:rFonts w:asciiTheme="minorEastAsia" w:eastAsiaTheme="minorEastAsia" w:hAnsiTheme="minorEastAsia" w:hint="eastAsia"/>
          <w:color w:val="000000" w:themeColor="text1"/>
        </w:rPr>
        <w:t>公司监事。</w:t>
      </w:r>
      <w:r w:rsidRPr="00490741">
        <w:rPr>
          <w:rFonts w:asciiTheme="minorEastAsia" w:eastAsiaTheme="minorEastAsia" w:hAnsiTheme="minorEastAsia" w:hint="eastAsia"/>
          <w:color w:val="000000" w:themeColor="text1"/>
        </w:rPr>
        <w:t>曾任中国人民银行广州分行统计研究处科员</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易方达基金管理有限公司运作支持部经理、核算部总经理助理、核算部副总经理、核算部总经理、投资风险管理部总经理、</w:t>
      </w:r>
      <w:r w:rsidRPr="00490741">
        <w:rPr>
          <w:rFonts w:asciiTheme="minorEastAsia" w:eastAsiaTheme="minorEastAsia" w:hAnsiTheme="minorEastAsia" w:hint="eastAsia"/>
          <w:color w:val="000000" w:themeColor="text1"/>
        </w:rPr>
        <w:t>总裁助理、董事会秘书、公</w:t>
      </w:r>
      <w:r w:rsidRPr="00490741">
        <w:rPr>
          <w:rFonts w:asciiTheme="minorEastAsia" w:eastAsiaTheme="minorEastAsia" w:hAnsiTheme="minorEastAsia" w:hint="eastAsia"/>
          <w:color w:val="000000" w:themeColor="text1"/>
        </w:rPr>
        <w:t>司财务中心主任。</w:t>
      </w:r>
    </w:p>
    <w:p w:rsidR="00BF412F" w:rsidRPr="00490741" w:rsidP="00490741">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张坤先生，理学硕士。现任易方达基金管理有限公司</w:t>
      </w:r>
      <w:r w:rsidRPr="00490741">
        <w:rPr>
          <w:rFonts w:asciiTheme="minorEastAsia" w:eastAsiaTheme="minorEastAsia" w:hAnsiTheme="minorEastAsia" w:hint="eastAsia"/>
          <w:color w:val="000000" w:themeColor="text1"/>
        </w:rPr>
        <w:t>副总经理级</w:t>
      </w:r>
      <w:r w:rsidRPr="00490741">
        <w:rPr>
          <w:rFonts w:asciiTheme="minorEastAsia" w:eastAsiaTheme="minorEastAsia" w:hAnsiTheme="minorEastAsia" w:hint="eastAsia"/>
          <w:color w:val="000000" w:themeColor="text1"/>
        </w:rPr>
        <w:t>高级管理人员、权益投资决策委员会委员、基金经理。曾任易方达基金管理有限公司行业研究员、基金经理助理、研究部总经理助理。</w:t>
      </w:r>
    </w:p>
    <w:p w:rsidR="00BF412F" w:rsidRPr="00490741" w:rsidP="00490741">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胡剑先生，经济学硕士。现任易方达基金管理有限公司副总经理级高级管理人员、固定收益投资决策委员会委员、基础设施资产管理委员会委员、基金经理。曾任易方达基金管理有限公司债券研究员、基金经理助理、固定收益研究部负责人、固定收益总部总经理助理、固定收益研究部总经理、固定收益投资部总经理、固定收益投资业务总部总经理。</w:t>
      </w:r>
    </w:p>
    <w:p w:rsidR="00BF412F" w:rsidRPr="00490741" w:rsidP="00BF412F">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张清华先生，物理学硕士。现任易方达基金管理有限公司副总经理级高级管理人员、固定收益</w:t>
      </w:r>
      <w:r w:rsidRPr="00490741">
        <w:rPr>
          <w:rFonts w:asciiTheme="minorEastAsia" w:eastAsiaTheme="minorEastAsia" w:hAnsiTheme="minorEastAsia" w:hint="eastAsia"/>
          <w:color w:val="000000" w:themeColor="text1"/>
        </w:rPr>
        <w:t>投资决策委员会委员、基金经理。曾任晨星资讯（深圳）有限公司数量分析师，中信证券股份有限公司研究员，易方达基金管理有限公司投资经理、固定收益基金投资部总经理、混合资产投资部总经理、多资产投资业务总部总经理。</w:t>
      </w:r>
    </w:p>
    <w:p w:rsidR="00BF412F" w:rsidRPr="00490741" w:rsidP="00BF412F">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冯波先生，经济学硕士。现任易方达基金管理有限公司副总经理级高级管理人员、研究部总经理、权益投资决策委员会委员、基金经理。曾任广东发展银行行员，易方达基金管理有限公司市场拓展部研究员、市场拓展部副经理、市场部大区销售经理、北京分公司副总经理、行业研究员、基金经理助理、研究部总经理助理、研究部副总经理。</w:t>
      </w:r>
    </w:p>
    <w:p w:rsidR="00BF412F" w:rsidRPr="00490741" w:rsidP="00BF412F">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陈皓</w:t>
      </w:r>
      <w:r w:rsidRPr="00490741">
        <w:rPr>
          <w:rFonts w:asciiTheme="minorEastAsia" w:eastAsiaTheme="minorEastAsia" w:hAnsiTheme="minorEastAsia" w:hint="eastAsia"/>
          <w:color w:val="000000" w:themeColor="text1"/>
        </w:rPr>
        <w:t>先生，管理学硕士。现任易方达基金管理有限公司副总经理级高级管理人员、投资一部总经理、权益投资决策委员会委员、基金经理。曾任易方达基金管理有限公司行业研究员、基金经理助理、投资一部总经理助理、投资一部副总经理、投资经理。</w:t>
      </w:r>
    </w:p>
    <w:p w:rsidR="00BF412F" w:rsidRPr="00490741" w:rsidP="00BF412F">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萧楠先生，经济学硕士。现任易方达基金管理有限公司副总经理级高级管理人员、投资三部总经理、研究部副总经理、基金经理。曾任易方达基金管理有限公司行业研究员、基金经理助理、投资经理。</w:t>
      </w:r>
    </w:p>
    <w:p w:rsidR="00BF412F" w:rsidRPr="00490741" w:rsidP="00BF412F">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管勇先生，理学硕士。现任易方达基金管理有限公司首席信息官、信息安全与运维中心总经理。曾任长城证券有限责任公司信息技</w:t>
      </w:r>
      <w:r w:rsidRPr="00490741">
        <w:rPr>
          <w:rFonts w:asciiTheme="minorEastAsia" w:eastAsiaTheme="minorEastAsia" w:hAnsiTheme="minorEastAsia" w:hint="eastAsia"/>
          <w:color w:val="000000" w:themeColor="text1"/>
        </w:rPr>
        <w:t>术中心职员、营业部电脑部经理，金鹰基金管理有限公司运作保障部经理、总监助理、副总监、总监，国泰基金管理有限公司信息技术部副总监（主持工作）、总监，易方达基金管理有限公司信息技术部副总经理、系统研发部副总经理、技术运营部总经理、数据平台研发中心总经理、规划与支持中心总经理。</w:t>
      </w:r>
    </w:p>
    <w:p w:rsidR="00BF412F" w:rsidRPr="00490741" w:rsidP="00BF412F">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杨冬梅女士，工商管理硕士、经济学硕士。现任易方达基金管理有限公司副总经理级高级管理人员、董事会秘书、宣传策划部总经理、全球投资客户部总经理，易方达资产管理（香港）有限公司董事。曾任广发证券有限责任公司投资理财部职员、发展研究中心市场研究部</w:t>
      </w:r>
      <w:r w:rsidRPr="00490741">
        <w:rPr>
          <w:rFonts w:asciiTheme="minorEastAsia" w:eastAsiaTheme="minorEastAsia" w:hAnsiTheme="minorEastAsia" w:hint="eastAsia"/>
          <w:color w:val="000000" w:themeColor="text1"/>
        </w:rPr>
        <w:t>负责人，南方证券股份有限公司研究所高级研究员，招商基金管理有限公司机构理财部高级经理、股票投资部高级经理，易方达基金管理有限公司宣传策划专员、市场部总经理助理、市场部副总经理。</w:t>
      </w:r>
    </w:p>
    <w:p w:rsidR="00BF412F" w:rsidRPr="00490741" w:rsidP="00BF412F">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刘世军先生，理学硕士。现任易方达基金管理有限公司副总经理级高级管理人员（首席数据与风险监测官）、投资风险管理部总经理。曾任易方达基金管理有限公司金融工程研究员、绩效与风险评估研究员、投资发展部总经理助理、投资风险管理部总经理助理、投资风险管理部副总经理、投资风险管理与数据服务总部总经理。</w:t>
      </w:r>
    </w:p>
    <w:p w:rsidR="00BF412F" w:rsidRPr="00490741" w:rsidP="00BF412F">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王玉女士，法学硕士。现任易方达基金管理有限公司督察长、内审稽核部总经理，易方</w:t>
      </w:r>
      <w:r w:rsidRPr="00490741">
        <w:rPr>
          <w:rFonts w:asciiTheme="minorEastAsia" w:eastAsiaTheme="minorEastAsia" w:hAnsiTheme="minorEastAsia" w:hint="eastAsia"/>
          <w:color w:val="000000" w:themeColor="text1"/>
        </w:rPr>
        <w:t>达资产管理有限公司董事。曾在北京市国枫律师事务所、中国证监会工作，曾任易方达基金管理有限公司公司法律事务部总经理。</w:t>
      </w:r>
    </w:p>
    <w:p w:rsidR="009B73E9" w:rsidRPr="00490741" w:rsidP="00052F0E">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w:t>
      </w:r>
      <w:r w:rsidRPr="00490741">
        <w:rPr>
          <w:rFonts w:asciiTheme="minorEastAsia" w:eastAsiaTheme="minorEastAsia" w:hAnsiTheme="minorEastAsia"/>
          <w:color w:val="000000" w:themeColor="text1"/>
        </w:rPr>
        <w:t>、基金经理</w:t>
      </w:r>
    </w:p>
    <w:p w:rsidR="0062269A" w:rsidRPr="00490741" w:rsidP="0062269A">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包正钰先生，金融硕士，本基金的基金经理。现任易方达基金管理有限公司易方</w:t>
      </w:r>
      <w:r w:rsidRPr="00490741">
        <w:rPr>
          <w:rFonts w:asciiTheme="minorEastAsia" w:eastAsiaTheme="minorEastAsia" w:hAnsiTheme="minorEastAsia" w:hint="eastAsia"/>
          <w:color w:val="000000" w:themeColor="text1"/>
        </w:rPr>
        <w:t>达价值精选混合型证券投资基金基金经理（自</w:t>
      </w:r>
      <w:r w:rsidRPr="00490741">
        <w:rPr>
          <w:rFonts w:asciiTheme="minorEastAsia" w:eastAsiaTheme="minorEastAsia" w:hAnsiTheme="minorEastAsia" w:hint="eastAsia"/>
          <w:color w:val="000000" w:themeColor="text1"/>
        </w:rPr>
        <w:t>2022</w:t>
      </w:r>
      <w:r w:rsidRPr="00490741">
        <w:rPr>
          <w:rFonts w:asciiTheme="minorEastAsia" w:eastAsiaTheme="minorEastAsia" w:hAnsiTheme="minorEastAsia" w:hint="eastAsia"/>
          <w:color w:val="000000" w:themeColor="text1"/>
        </w:rPr>
        <w:t>年</w:t>
      </w:r>
      <w:r w:rsidRPr="00490741">
        <w:rPr>
          <w:rFonts w:asciiTheme="minorEastAsia" w:eastAsiaTheme="minorEastAsia" w:hAnsiTheme="minorEastAsia" w:hint="eastAsia"/>
          <w:color w:val="000000" w:themeColor="text1"/>
        </w:rPr>
        <w:t>9</w:t>
      </w:r>
      <w:r w:rsidRPr="00490741">
        <w:rPr>
          <w:rFonts w:asciiTheme="minorEastAsia" w:eastAsiaTheme="minorEastAsia" w:hAnsiTheme="minorEastAsia" w:hint="eastAsia"/>
          <w:color w:val="000000" w:themeColor="text1"/>
        </w:rPr>
        <w:t>月</w:t>
      </w:r>
      <w:r w:rsidRPr="00490741">
        <w:rPr>
          <w:rFonts w:asciiTheme="minorEastAsia" w:eastAsiaTheme="minorEastAsia" w:hAnsiTheme="minorEastAsia" w:hint="eastAsia"/>
          <w:color w:val="000000" w:themeColor="text1"/>
        </w:rPr>
        <w:t>14</w:t>
      </w:r>
      <w:r w:rsidRPr="00490741">
        <w:rPr>
          <w:rFonts w:asciiTheme="minorEastAsia" w:eastAsiaTheme="minorEastAsia" w:hAnsiTheme="minorEastAsia" w:hint="eastAsia"/>
          <w:color w:val="000000" w:themeColor="text1"/>
        </w:rPr>
        <w:t>日起任职）、研究员。</w:t>
      </w:r>
    </w:p>
    <w:p w:rsidR="0062269A" w:rsidRPr="00490741" w:rsidP="0062269A">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本基金历任基金经理情况：吴欣荣，管理时间为</w:t>
      </w:r>
      <w:r w:rsidRPr="00490741">
        <w:rPr>
          <w:rFonts w:asciiTheme="minorEastAsia" w:eastAsiaTheme="minorEastAsia" w:hAnsiTheme="minorEastAsia" w:hint="eastAsia"/>
          <w:color w:val="000000" w:themeColor="text1"/>
        </w:rPr>
        <w:t>2006</w:t>
      </w:r>
      <w:r w:rsidRPr="00490741">
        <w:rPr>
          <w:rFonts w:asciiTheme="minorEastAsia" w:eastAsiaTheme="minorEastAsia" w:hAnsiTheme="minorEastAsia" w:hint="eastAsia"/>
          <w:color w:val="000000" w:themeColor="text1"/>
        </w:rPr>
        <w:t>年</w:t>
      </w:r>
      <w:r w:rsidRPr="00490741">
        <w:rPr>
          <w:rFonts w:asciiTheme="minorEastAsia" w:eastAsiaTheme="minorEastAsia" w:hAnsiTheme="minorEastAsia" w:hint="eastAsia"/>
          <w:color w:val="000000" w:themeColor="text1"/>
        </w:rPr>
        <w:t>6</w:t>
      </w:r>
      <w:r w:rsidRPr="00490741">
        <w:rPr>
          <w:rFonts w:asciiTheme="minorEastAsia" w:eastAsiaTheme="minorEastAsia" w:hAnsiTheme="minorEastAsia" w:hint="eastAsia"/>
          <w:color w:val="000000" w:themeColor="text1"/>
        </w:rPr>
        <w:t>月</w:t>
      </w:r>
      <w:r w:rsidRPr="00490741">
        <w:rPr>
          <w:rFonts w:asciiTheme="minorEastAsia" w:eastAsiaTheme="minorEastAsia" w:hAnsiTheme="minorEastAsia" w:hint="eastAsia"/>
          <w:color w:val="000000" w:themeColor="text1"/>
        </w:rPr>
        <w:t>13</w:t>
      </w:r>
      <w:r w:rsidRPr="00490741">
        <w:rPr>
          <w:rFonts w:asciiTheme="minorEastAsia" w:eastAsiaTheme="minorEastAsia" w:hAnsiTheme="minorEastAsia" w:hint="eastAsia"/>
          <w:color w:val="000000" w:themeColor="text1"/>
        </w:rPr>
        <w:t>日至</w:t>
      </w:r>
      <w:r w:rsidRPr="00490741">
        <w:rPr>
          <w:rFonts w:asciiTheme="minorEastAsia" w:eastAsiaTheme="minorEastAsia" w:hAnsiTheme="minorEastAsia" w:hint="eastAsia"/>
          <w:color w:val="000000" w:themeColor="text1"/>
        </w:rPr>
        <w:t>2014</w:t>
      </w:r>
      <w:r w:rsidRPr="00490741">
        <w:rPr>
          <w:rFonts w:asciiTheme="minorEastAsia" w:eastAsiaTheme="minorEastAsia" w:hAnsiTheme="minorEastAsia" w:hint="eastAsia"/>
          <w:color w:val="000000" w:themeColor="text1"/>
        </w:rPr>
        <w:t>年</w:t>
      </w:r>
      <w:r w:rsidRPr="00490741">
        <w:rPr>
          <w:rFonts w:asciiTheme="minorEastAsia" w:eastAsiaTheme="minorEastAsia" w:hAnsiTheme="minorEastAsia" w:hint="eastAsia"/>
          <w:color w:val="000000" w:themeColor="text1"/>
        </w:rPr>
        <w:t>4</w:t>
      </w:r>
      <w:r w:rsidRPr="00490741">
        <w:rPr>
          <w:rFonts w:asciiTheme="minorEastAsia" w:eastAsiaTheme="minorEastAsia" w:hAnsiTheme="minorEastAsia" w:hint="eastAsia"/>
          <w:color w:val="000000" w:themeColor="text1"/>
        </w:rPr>
        <w:t>月</w:t>
      </w:r>
      <w:r w:rsidRPr="00490741">
        <w:rPr>
          <w:rFonts w:asciiTheme="minorEastAsia" w:eastAsiaTheme="minorEastAsia" w:hAnsiTheme="minorEastAsia" w:hint="eastAsia"/>
          <w:color w:val="000000" w:themeColor="text1"/>
        </w:rPr>
        <w:t>7</w:t>
      </w:r>
      <w:r w:rsidRPr="00490741">
        <w:rPr>
          <w:rFonts w:asciiTheme="minorEastAsia" w:eastAsiaTheme="minorEastAsia" w:hAnsiTheme="minorEastAsia" w:hint="eastAsia"/>
          <w:color w:val="000000" w:themeColor="text1"/>
        </w:rPr>
        <w:t>日；陈皓，管理时间为</w:t>
      </w:r>
      <w:r w:rsidRPr="00490741">
        <w:rPr>
          <w:rFonts w:asciiTheme="minorEastAsia" w:eastAsiaTheme="minorEastAsia" w:hAnsiTheme="minorEastAsia" w:hint="eastAsia"/>
          <w:color w:val="000000" w:themeColor="text1"/>
        </w:rPr>
        <w:t>2014</w:t>
      </w:r>
      <w:r w:rsidRPr="00490741">
        <w:rPr>
          <w:rFonts w:asciiTheme="minorEastAsia" w:eastAsiaTheme="minorEastAsia" w:hAnsiTheme="minorEastAsia" w:hint="eastAsia"/>
          <w:color w:val="000000" w:themeColor="text1"/>
        </w:rPr>
        <w:t>年</w:t>
      </w:r>
      <w:r w:rsidRPr="00490741">
        <w:rPr>
          <w:rFonts w:asciiTheme="minorEastAsia" w:eastAsiaTheme="minorEastAsia" w:hAnsiTheme="minorEastAsia" w:hint="eastAsia"/>
          <w:color w:val="000000" w:themeColor="text1"/>
        </w:rPr>
        <w:t>11</w:t>
      </w:r>
      <w:r w:rsidRPr="00490741">
        <w:rPr>
          <w:rFonts w:asciiTheme="minorEastAsia" w:eastAsiaTheme="minorEastAsia" w:hAnsiTheme="minorEastAsia" w:hint="eastAsia"/>
          <w:color w:val="000000" w:themeColor="text1"/>
        </w:rPr>
        <w:t>月</w:t>
      </w:r>
      <w:r w:rsidRPr="00490741">
        <w:rPr>
          <w:rFonts w:asciiTheme="minorEastAsia" w:eastAsiaTheme="minorEastAsia" w:hAnsiTheme="minorEastAsia" w:hint="eastAsia"/>
          <w:color w:val="000000" w:themeColor="text1"/>
        </w:rPr>
        <w:t>22</w:t>
      </w:r>
      <w:r w:rsidRPr="00490741">
        <w:rPr>
          <w:rFonts w:asciiTheme="minorEastAsia" w:eastAsiaTheme="minorEastAsia" w:hAnsiTheme="minorEastAsia" w:hint="eastAsia"/>
          <w:color w:val="000000" w:themeColor="text1"/>
        </w:rPr>
        <w:t>日至</w:t>
      </w:r>
      <w:r w:rsidRPr="00490741">
        <w:rPr>
          <w:rFonts w:asciiTheme="minorEastAsia" w:eastAsiaTheme="minorEastAsia" w:hAnsiTheme="minorEastAsia" w:hint="eastAsia"/>
          <w:color w:val="000000" w:themeColor="text1"/>
        </w:rPr>
        <w:t>2017</w:t>
      </w:r>
      <w:r w:rsidRPr="00490741">
        <w:rPr>
          <w:rFonts w:asciiTheme="minorEastAsia" w:eastAsiaTheme="minorEastAsia" w:hAnsiTheme="minorEastAsia" w:hint="eastAsia"/>
          <w:color w:val="000000" w:themeColor="text1"/>
        </w:rPr>
        <w:t>年</w:t>
      </w:r>
      <w:r w:rsidRPr="00490741">
        <w:rPr>
          <w:rFonts w:asciiTheme="minorEastAsia" w:eastAsiaTheme="minorEastAsia" w:hAnsiTheme="minorEastAsia" w:hint="eastAsia"/>
          <w:color w:val="000000" w:themeColor="text1"/>
        </w:rPr>
        <w:t>5</w:t>
      </w:r>
      <w:r w:rsidRPr="00490741">
        <w:rPr>
          <w:rFonts w:asciiTheme="minorEastAsia" w:eastAsiaTheme="minorEastAsia" w:hAnsiTheme="minorEastAsia" w:hint="eastAsia"/>
          <w:color w:val="000000" w:themeColor="text1"/>
        </w:rPr>
        <w:t>月</w:t>
      </w:r>
      <w:r w:rsidRPr="00490741">
        <w:rPr>
          <w:rFonts w:asciiTheme="minorEastAsia" w:eastAsiaTheme="minorEastAsia" w:hAnsiTheme="minorEastAsia" w:hint="eastAsia"/>
          <w:color w:val="000000" w:themeColor="text1"/>
        </w:rPr>
        <w:t>10</w:t>
      </w:r>
      <w:r w:rsidRPr="00490741">
        <w:rPr>
          <w:rFonts w:asciiTheme="minorEastAsia" w:eastAsiaTheme="minorEastAsia" w:hAnsiTheme="minorEastAsia" w:hint="eastAsia"/>
          <w:color w:val="000000" w:themeColor="text1"/>
        </w:rPr>
        <w:t>日；郑希，管理时间为</w:t>
      </w:r>
      <w:r w:rsidRPr="00490741">
        <w:rPr>
          <w:rFonts w:asciiTheme="minorEastAsia" w:eastAsiaTheme="minorEastAsia" w:hAnsiTheme="minorEastAsia" w:hint="eastAsia"/>
          <w:color w:val="000000" w:themeColor="text1"/>
        </w:rPr>
        <w:t>2014</w:t>
      </w:r>
      <w:r w:rsidRPr="00490741">
        <w:rPr>
          <w:rFonts w:asciiTheme="minorEastAsia" w:eastAsiaTheme="minorEastAsia" w:hAnsiTheme="minorEastAsia" w:hint="eastAsia"/>
          <w:color w:val="000000" w:themeColor="text1"/>
        </w:rPr>
        <w:t>年</w:t>
      </w:r>
      <w:r w:rsidRPr="00490741">
        <w:rPr>
          <w:rFonts w:asciiTheme="minorEastAsia" w:eastAsiaTheme="minorEastAsia" w:hAnsiTheme="minorEastAsia" w:hint="eastAsia"/>
          <w:color w:val="000000" w:themeColor="text1"/>
        </w:rPr>
        <w:t>1</w:t>
      </w:r>
      <w:r w:rsidRPr="00490741">
        <w:rPr>
          <w:rFonts w:asciiTheme="minorEastAsia" w:eastAsiaTheme="minorEastAsia" w:hAnsiTheme="minorEastAsia" w:hint="eastAsia"/>
          <w:color w:val="000000" w:themeColor="text1"/>
        </w:rPr>
        <w:t>月</w:t>
      </w:r>
      <w:r w:rsidRPr="00490741">
        <w:rPr>
          <w:rFonts w:asciiTheme="minorEastAsia" w:eastAsiaTheme="minorEastAsia" w:hAnsiTheme="minorEastAsia" w:hint="eastAsia"/>
          <w:color w:val="000000" w:themeColor="text1"/>
        </w:rPr>
        <w:t>2</w:t>
      </w:r>
      <w:r w:rsidRPr="00490741">
        <w:rPr>
          <w:rFonts w:asciiTheme="minorEastAsia" w:eastAsiaTheme="minorEastAsia" w:hAnsiTheme="minorEastAsia" w:hint="eastAsia"/>
          <w:color w:val="000000" w:themeColor="text1"/>
        </w:rPr>
        <w:t>日至</w:t>
      </w:r>
      <w:r w:rsidRPr="00490741">
        <w:rPr>
          <w:rFonts w:asciiTheme="minorEastAsia" w:eastAsiaTheme="minorEastAsia" w:hAnsiTheme="minorEastAsia" w:hint="eastAsia"/>
          <w:color w:val="000000" w:themeColor="text1"/>
        </w:rPr>
        <w:t>2018</w:t>
      </w:r>
      <w:r w:rsidRPr="00490741">
        <w:rPr>
          <w:rFonts w:asciiTheme="minorEastAsia" w:eastAsiaTheme="minorEastAsia" w:hAnsiTheme="minorEastAsia" w:hint="eastAsia"/>
          <w:color w:val="000000" w:themeColor="text1"/>
        </w:rPr>
        <w:t>年</w:t>
      </w:r>
      <w:r w:rsidRPr="00490741">
        <w:rPr>
          <w:rFonts w:asciiTheme="minorEastAsia" w:eastAsiaTheme="minorEastAsia" w:hAnsiTheme="minorEastAsia" w:hint="eastAsia"/>
          <w:color w:val="000000" w:themeColor="text1"/>
        </w:rPr>
        <w:t>12</w:t>
      </w:r>
      <w:r w:rsidRPr="00490741">
        <w:rPr>
          <w:rFonts w:asciiTheme="minorEastAsia" w:eastAsiaTheme="minorEastAsia" w:hAnsiTheme="minorEastAsia" w:hint="eastAsia"/>
          <w:color w:val="000000" w:themeColor="text1"/>
        </w:rPr>
        <w:t>月</w:t>
      </w:r>
      <w:r w:rsidRPr="00490741">
        <w:rPr>
          <w:rFonts w:asciiTheme="minorEastAsia" w:eastAsiaTheme="minorEastAsia" w:hAnsiTheme="minorEastAsia" w:hint="eastAsia"/>
          <w:color w:val="000000" w:themeColor="text1"/>
        </w:rPr>
        <w:t>10</w:t>
      </w:r>
      <w:r w:rsidRPr="00490741">
        <w:rPr>
          <w:rFonts w:asciiTheme="minorEastAsia" w:eastAsiaTheme="minorEastAsia" w:hAnsiTheme="minorEastAsia" w:hint="eastAsia"/>
          <w:color w:val="000000" w:themeColor="text1"/>
        </w:rPr>
        <w:t>日；葛秋石，管理时间为</w:t>
      </w:r>
      <w:r w:rsidRPr="00490741">
        <w:rPr>
          <w:rFonts w:asciiTheme="minorEastAsia" w:eastAsiaTheme="minorEastAsia" w:hAnsiTheme="minorEastAsia" w:hint="eastAsia"/>
          <w:color w:val="000000" w:themeColor="text1"/>
        </w:rPr>
        <w:t>2018</w:t>
      </w:r>
      <w:r w:rsidRPr="00490741">
        <w:rPr>
          <w:rFonts w:asciiTheme="minorEastAsia" w:eastAsiaTheme="minorEastAsia" w:hAnsiTheme="minorEastAsia" w:hint="eastAsia"/>
          <w:color w:val="000000" w:themeColor="text1"/>
        </w:rPr>
        <w:t>年</w:t>
      </w:r>
      <w:r w:rsidRPr="00490741">
        <w:rPr>
          <w:rFonts w:asciiTheme="minorEastAsia" w:eastAsiaTheme="minorEastAsia" w:hAnsiTheme="minorEastAsia" w:hint="eastAsia"/>
          <w:color w:val="000000" w:themeColor="text1"/>
        </w:rPr>
        <w:t>12</w:t>
      </w:r>
      <w:r w:rsidRPr="00490741">
        <w:rPr>
          <w:rFonts w:asciiTheme="minorEastAsia" w:eastAsiaTheme="minorEastAsia" w:hAnsiTheme="minorEastAsia" w:hint="eastAsia"/>
          <w:color w:val="000000" w:themeColor="text1"/>
        </w:rPr>
        <w:t>月</w:t>
      </w:r>
      <w:r w:rsidRPr="00490741">
        <w:rPr>
          <w:rFonts w:asciiTheme="minorEastAsia" w:eastAsiaTheme="minorEastAsia" w:hAnsiTheme="minorEastAsia" w:hint="eastAsia"/>
          <w:color w:val="000000" w:themeColor="text1"/>
        </w:rPr>
        <w:t>11</w:t>
      </w:r>
      <w:r w:rsidRPr="00490741">
        <w:rPr>
          <w:rFonts w:asciiTheme="minorEastAsia" w:eastAsiaTheme="minorEastAsia" w:hAnsiTheme="minorEastAsia" w:hint="eastAsia"/>
          <w:color w:val="000000" w:themeColor="text1"/>
        </w:rPr>
        <w:t>日至</w:t>
      </w:r>
      <w:r w:rsidRPr="00490741">
        <w:rPr>
          <w:rFonts w:asciiTheme="minorEastAsia" w:eastAsiaTheme="minorEastAsia" w:hAnsiTheme="minorEastAsia" w:hint="eastAsia"/>
          <w:color w:val="000000" w:themeColor="text1"/>
        </w:rPr>
        <w:t>2022</w:t>
      </w:r>
      <w:r w:rsidRPr="00490741">
        <w:rPr>
          <w:rFonts w:asciiTheme="minorEastAsia" w:eastAsiaTheme="minorEastAsia" w:hAnsiTheme="minorEastAsia" w:hint="eastAsia"/>
          <w:color w:val="000000" w:themeColor="text1"/>
        </w:rPr>
        <w:t>年</w:t>
      </w:r>
      <w:r w:rsidRPr="00490741">
        <w:rPr>
          <w:rFonts w:asciiTheme="minorEastAsia" w:eastAsiaTheme="minorEastAsia" w:hAnsiTheme="minorEastAsia" w:hint="eastAsia"/>
          <w:color w:val="000000" w:themeColor="text1"/>
        </w:rPr>
        <w:t>9</w:t>
      </w:r>
      <w:r w:rsidRPr="00490741">
        <w:rPr>
          <w:rFonts w:asciiTheme="minorEastAsia" w:eastAsiaTheme="minorEastAsia" w:hAnsiTheme="minorEastAsia" w:hint="eastAsia"/>
          <w:color w:val="000000" w:themeColor="text1"/>
        </w:rPr>
        <w:t>月</w:t>
      </w:r>
      <w:r w:rsidRPr="00490741">
        <w:rPr>
          <w:rFonts w:asciiTheme="minorEastAsia" w:eastAsiaTheme="minorEastAsia" w:hAnsiTheme="minorEastAsia" w:hint="eastAsia"/>
          <w:color w:val="000000" w:themeColor="text1"/>
        </w:rPr>
        <w:t>13</w:t>
      </w:r>
      <w:r w:rsidRPr="00490741">
        <w:rPr>
          <w:rFonts w:asciiTheme="minorEastAsia" w:eastAsiaTheme="minorEastAsia" w:hAnsiTheme="minorEastAsia" w:hint="eastAsia"/>
          <w:color w:val="000000" w:themeColor="text1"/>
        </w:rPr>
        <w:t>日。</w:t>
      </w:r>
    </w:p>
    <w:p w:rsidR="0062269A" w:rsidRPr="00490741" w:rsidP="0062269A">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3</w:t>
      </w:r>
      <w:r w:rsidRPr="00490741">
        <w:rPr>
          <w:rFonts w:asciiTheme="minorEastAsia" w:eastAsiaTheme="minorEastAsia" w:hAnsiTheme="minorEastAsia" w:hint="eastAsia"/>
          <w:color w:val="000000" w:themeColor="text1"/>
        </w:rPr>
        <w:t>、权益投资决策委员会成员</w:t>
      </w:r>
    </w:p>
    <w:p w:rsidR="0062269A" w:rsidRPr="00490741" w:rsidP="0062269A">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本公司权益投资决策委员会成员包括：吴欣荣先生、冯波先生、陈皓先生、张坤先生、孙松先生、付浩先生。</w:t>
      </w:r>
    </w:p>
    <w:p w:rsidR="0062269A" w:rsidRPr="00490741" w:rsidP="0062269A">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吴欣荣先生，同上。</w:t>
      </w:r>
    </w:p>
    <w:p w:rsidR="0062269A" w:rsidRPr="00490741" w:rsidP="0062269A">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冯波先生，同上。</w:t>
      </w:r>
    </w:p>
    <w:p w:rsidR="0062269A" w:rsidRPr="00490741" w:rsidP="0062269A">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陈皓先生，同上。</w:t>
      </w:r>
    </w:p>
    <w:p w:rsidR="0062269A" w:rsidRPr="00490741" w:rsidP="0062269A">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张坤先生，同上。</w:t>
      </w:r>
    </w:p>
    <w:p w:rsidR="0062269A" w:rsidRPr="00490741" w:rsidP="0062269A">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孙松先生，易方达基金管理有限公司投资二部总经理、基金经理。</w:t>
      </w:r>
    </w:p>
    <w:p w:rsidR="0062269A" w:rsidRPr="00490741" w:rsidP="00052F0E">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付浩先生，同上。</w:t>
      </w:r>
    </w:p>
    <w:p w:rsidR="0002608C" w:rsidRPr="00490741" w:rsidP="00052F0E">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4</w:t>
      </w:r>
      <w:r w:rsidRPr="00490741">
        <w:rPr>
          <w:rFonts w:asciiTheme="minorEastAsia" w:eastAsiaTheme="minorEastAsia" w:hAnsiTheme="minorEastAsia"/>
          <w:color w:val="000000" w:themeColor="text1"/>
        </w:rPr>
        <w:t>、</w:t>
      </w:r>
      <w:r w:rsidRPr="00490741">
        <w:rPr>
          <w:rFonts w:asciiTheme="minorEastAsia" w:eastAsiaTheme="minorEastAsia" w:hAnsiTheme="minorEastAsia" w:hint="eastAsia"/>
          <w:color w:val="000000" w:themeColor="text1"/>
        </w:rPr>
        <w:t>上</w:t>
      </w:r>
      <w:r w:rsidRPr="00490741">
        <w:rPr>
          <w:rFonts w:asciiTheme="minorEastAsia" w:eastAsiaTheme="minorEastAsia" w:hAnsiTheme="minorEastAsia" w:hint="eastAsia"/>
          <w:color w:val="000000" w:themeColor="text1"/>
        </w:rPr>
        <w:t>述人员之间均不存在近亲属关系。</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cs="仿宋_GB2312"/>
          <w:b w:val="0"/>
          <w:bCs/>
          <w:color w:val="000000" w:themeColor="text1"/>
        </w:rPr>
      </w:pPr>
      <w:bookmarkStart w:id="9" w:name="_Toc114237384"/>
      <w:r w:rsidRPr="00490741">
        <w:rPr>
          <w:rFonts w:asciiTheme="minorEastAsia" w:eastAsiaTheme="minorEastAsia" w:hAnsiTheme="minorEastAsia" w:hint="eastAsia"/>
          <w:b w:val="0"/>
          <w:bCs/>
          <w:color w:val="000000" w:themeColor="text1"/>
          <w:szCs w:val="21"/>
        </w:rPr>
        <w:t>（三）</w:t>
      </w:r>
      <w:r w:rsidRPr="00490741">
        <w:rPr>
          <w:rFonts w:asciiTheme="minorEastAsia" w:eastAsiaTheme="minorEastAsia" w:hAnsiTheme="minorEastAsia"/>
          <w:b w:val="0"/>
          <w:bCs/>
          <w:color w:val="000000" w:themeColor="text1"/>
          <w:szCs w:val="21"/>
        </w:rPr>
        <w:t>基金管理人的职责</w:t>
      </w:r>
      <w:bookmarkEnd w:id="9"/>
    </w:p>
    <w:p w:rsidR="0002608C" w:rsidRPr="00490741" w:rsidP="00107648">
      <w:pPr>
        <w:snapToGrid w:val="0"/>
        <w:spacing w:line="360" w:lineRule="auto"/>
        <w:ind w:firstLine="420"/>
        <w:rPr>
          <w:rFonts w:asciiTheme="minorEastAsia" w:eastAsiaTheme="minorEastAsia" w:hAnsiTheme="minorEastAsia" w:cs="仿宋_GB2312"/>
          <w:color w:val="000000" w:themeColor="text1"/>
        </w:rPr>
      </w:pPr>
      <w:r w:rsidRPr="00490741">
        <w:rPr>
          <w:rFonts w:asciiTheme="minorEastAsia" w:eastAsiaTheme="minorEastAsia" w:hAnsiTheme="minorEastAsia" w:cs="仿宋_GB2312" w:hint="eastAsia"/>
          <w:color w:val="000000" w:themeColor="text1"/>
        </w:rPr>
        <w:t>1</w:t>
      </w:r>
      <w:r w:rsidRPr="00490741">
        <w:rPr>
          <w:rFonts w:asciiTheme="minorEastAsia" w:eastAsiaTheme="minorEastAsia" w:hAnsiTheme="minorEastAsia" w:cs="仿宋_GB2312" w:hint="eastAsia"/>
          <w:color w:val="000000" w:themeColor="text1"/>
        </w:rPr>
        <w:t>、</w:t>
      </w:r>
      <w:r w:rsidRPr="00490741" w:rsidR="009D6797">
        <w:rPr>
          <w:rFonts w:asciiTheme="minorEastAsia" w:eastAsiaTheme="minorEastAsia" w:hAnsiTheme="minorEastAsia" w:cs="仿宋_GB2312" w:hint="eastAsia"/>
          <w:color w:val="000000" w:themeColor="text1"/>
        </w:rPr>
        <w:t>依法募集资金，办理基金份额的发售和登记事宜</w:t>
      </w:r>
      <w:r w:rsidRPr="00490741">
        <w:rPr>
          <w:rFonts w:asciiTheme="minorEastAsia" w:eastAsiaTheme="minorEastAsia" w:hAnsiTheme="minorEastAsia" w:cs="仿宋_GB2312"/>
          <w:color w:val="000000" w:themeColor="text1"/>
        </w:rPr>
        <w:t>；</w:t>
      </w:r>
    </w:p>
    <w:p w:rsidR="0002608C" w:rsidRPr="00490741" w:rsidP="00107648">
      <w:pPr>
        <w:snapToGrid w:val="0"/>
        <w:spacing w:line="360" w:lineRule="auto"/>
        <w:ind w:firstLine="420"/>
        <w:rPr>
          <w:rFonts w:asciiTheme="minorEastAsia" w:eastAsiaTheme="minorEastAsia" w:hAnsiTheme="minorEastAsia" w:cs="仿宋_GB2312"/>
          <w:color w:val="000000" w:themeColor="text1"/>
        </w:rPr>
      </w:pPr>
      <w:r w:rsidRPr="00490741">
        <w:rPr>
          <w:rFonts w:asciiTheme="minorEastAsia" w:eastAsiaTheme="minorEastAsia" w:hAnsiTheme="minorEastAsia" w:cs="仿宋_GB2312" w:hint="eastAsia"/>
          <w:color w:val="000000" w:themeColor="text1"/>
        </w:rPr>
        <w:t>2</w:t>
      </w:r>
      <w:r w:rsidRPr="00490741">
        <w:rPr>
          <w:rFonts w:asciiTheme="minorEastAsia" w:eastAsiaTheme="minorEastAsia" w:hAnsiTheme="minorEastAsia" w:cs="仿宋_GB2312" w:hint="eastAsia"/>
          <w:color w:val="000000" w:themeColor="text1"/>
        </w:rPr>
        <w:t>、</w:t>
      </w:r>
      <w:r w:rsidRPr="00490741">
        <w:rPr>
          <w:rFonts w:asciiTheme="minorEastAsia" w:eastAsiaTheme="minorEastAsia" w:hAnsiTheme="minorEastAsia" w:cs="仿宋_GB2312"/>
          <w:color w:val="000000" w:themeColor="text1"/>
        </w:rPr>
        <w:t>办理基金备案手续；</w:t>
      </w:r>
    </w:p>
    <w:p w:rsidR="0002608C" w:rsidRPr="00490741" w:rsidP="00107648">
      <w:pPr>
        <w:snapToGrid w:val="0"/>
        <w:spacing w:line="360" w:lineRule="auto"/>
        <w:ind w:firstLine="420"/>
        <w:rPr>
          <w:rFonts w:asciiTheme="minorEastAsia" w:eastAsiaTheme="minorEastAsia" w:hAnsiTheme="minorEastAsia" w:cs="仿宋_GB2312"/>
          <w:color w:val="000000" w:themeColor="text1"/>
        </w:rPr>
      </w:pPr>
      <w:r w:rsidRPr="00490741">
        <w:rPr>
          <w:rFonts w:asciiTheme="minorEastAsia" w:eastAsiaTheme="minorEastAsia" w:hAnsiTheme="minorEastAsia" w:cs="仿宋_GB2312" w:hint="eastAsia"/>
          <w:color w:val="000000" w:themeColor="text1"/>
        </w:rPr>
        <w:t>3</w:t>
      </w:r>
      <w:r w:rsidRPr="00490741">
        <w:rPr>
          <w:rFonts w:asciiTheme="minorEastAsia" w:eastAsiaTheme="minorEastAsia" w:hAnsiTheme="minorEastAsia" w:cs="仿宋_GB2312" w:hint="eastAsia"/>
          <w:color w:val="000000" w:themeColor="text1"/>
        </w:rPr>
        <w:t>、</w:t>
      </w:r>
      <w:r w:rsidRPr="00490741">
        <w:rPr>
          <w:rFonts w:asciiTheme="minorEastAsia" w:eastAsiaTheme="minorEastAsia" w:hAnsiTheme="minorEastAsia" w:cs="仿宋_GB2312"/>
          <w:color w:val="000000" w:themeColor="text1"/>
        </w:rPr>
        <w:t>对所管理的不同基金财产分别管理、分别记账，进行证券投资；</w:t>
      </w:r>
    </w:p>
    <w:p w:rsidR="0002608C" w:rsidRPr="00490741" w:rsidP="00107648">
      <w:pPr>
        <w:snapToGrid w:val="0"/>
        <w:spacing w:line="360" w:lineRule="auto"/>
        <w:ind w:firstLine="420"/>
        <w:rPr>
          <w:rFonts w:asciiTheme="minorEastAsia" w:eastAsiaTheme="minorEastAsia" w:hAnsiTheme="minorEastAsia" w:cs="仿宋_GB2312"/>
          <w:color w:val="000000" w:themeColor="text1"/>
        </w:rPr>
      </w:pPr>
      <w:r w:rsidRPr="00490741">
        <w:rPr>
          <w:rFonts w:asciiTheme="minorEastAsia" w:eastAsiaTheme="minorEastAsia" w:hAnsiTheme="minorEastAsia" w:cs="仿宋_GB2312" w:hint="eastAsia"/>
          <w:color w:val="000000" w:themeColor="text1"/>
        </w:rPr>
        <w:t>4</w:t>
      </w:r>
      <w:r w:rsidRPr="00490741">
        <w:rPr>
          <w:rFonts w:asciiTheme="minorEastAsia" w:eastAsiaTheme="minorEastAsia" w:hAnsiTheme="minorEastAsia" w:cs="仿宋_GB2312" w:hint="eastAsia"/>
          <w:color w:val="000000" w:themeColor="text1"/>
        </w:rPr>
        <w:t>、</w:t>
      </w:r>
      <w:r w:rsidRPr="00490741">
        <w:rPr>
          <w:rFonts w:asciiTheme="minorEastAsia" w:eastAsiaTheme="minorEastAsia" w:hAnsiTheme="minorEastAsia" w:cs="仿宋_GB2312"/>
          <w:color w:val="000000" w:themeColor="text1"/>
        </w:rPr>
        <w:t>按照基金合同的约定确定基金收益分配方案，及时向基金份额持有人分配收益；</w:t>
      </w:r>
    </w:p>
    <w:p w:rsidR="0002608C" w:rsidRPr="00490741" w:rsidP="00107648">
      <w:pPr>
        <w:snapToGrid w:val="0"/>
        <w:spacing w:line="360" w:lineRule="auto"/>
        <w:ind w:firstLine="420"/>
        <w:rPr>
          <w:rFonts w:asciiTheme="minorEastAsia" w:eastAsiaTheme="minorEastAsia" w:hAnsiTheme="minorEastAsia" w:cs="仿宋_GB2312"/>
          <w:color w:val="000000" w:themeColor="text1"/>
        </w:rPr>
      </w:pPr>
      <w:r w:rsidRPr="00490741">
        <w:rPr>
          <w:rFonts w:asciiTheme="minorEastAsia" w:eastAsiaTheme="minorEastAsia" w:hAnsiTheme="minorEastAsia" w:cs="仿宋_GB2312" w:hint="eastAsia"/>
          <w:color w:val="000000" w:themeColor="text1"/>
        </w:rPr>
        <w:t>5</w:t>
      </w:r>
      <w:r w:rsidRPr="00490741">
        <w:rPr>
          <w:rFonts w:asciiTheme="minorEastAsia" w:eastAsiaTheme="minorEastAsia" w:hAnsiTheme="minorEastAsia" w:cs="仿宋_GB2312" w:hint="eastAsia"/>
          <w:color w:val="000000" w:themeColor="text1"/>
        </w:rPr>
        <w:t>、</w:t>
      </w:r>
      <w:r w:rsidRPr="00490741">
        <w:rPr>
          <w:rFonts w:asciiTheme="minorEastAsia" w:eastAsiaTheme="minorEastAsia" w:hAnsiTheme="minorEastAsia" w:cs="仿宋_GB2312"/>
          <w:color w:val="000000" w:themeColor="text1"/>
        </w:rPr>
        <w:t>进行基金会计核算并编制基金财务会计报告；</w:t>
      </w:r>
    </w:p>
    <w:p w:rsidR="0002608C" w:rsidRPr="00490741" w:rsidP="00107648">
      <w:pPr>
        <w:snapToGrid w:val="0"/>
        <w:spacing w:line="360" w:lineRule="auto"/>
        <w:ind w:firstLine="420"/>
        <w:rPr>
          <w:rFonts w:asciiTheme="minorEastAsia" w:eastAsiaTheme="minorEastAsia" w:hAnsiTheme="minorEastAsia" w:cs="仿宋_GB2312"/>
          <w:color w:val="000000" w:themeColor="text1"/>
        </w:rPr>
      </w:pPr>
      <w:r w:rsidRPr="00490741">
        <w:rPr>
          <w:rFonts w:asciiTheme="minorEastAsia" w:eastAsiaTheme="minorEastAsia" w:hAnsiTheme="minorEastAsia" w:cs="仿宋_GB2312" w:hint="eastAsia"/>
          <w:color w:val="000000" w:themeColor="text1"/>
        </w:rPr>
        <w:t>6</w:t>
      </w:r>
      <w:r w:rsidRPr="00490741">
        <w:rPr>
          <w:rFonts w:asciiTheme="minorEastAsia" w:eastAsiaTheme="minorEastAsia" w:hAnsiTheme="minorEastAsia" w:cs="仿宋_GB2312" w:hint="eastAsia"/>
          <w:color w:val="000000" w:themeColor="text1"/>
        </w:rPr>
        <w:t>、</w:t>
      </w:r>
      <w:r w:rsidRPr="00490741">
        <w:rPr>
          <w:rFonts w:asciiTheme="minorEastAsia" w:eastAsiaTheme="minorEastAsia" w:hAnsiTheme="minorEastAsia" w:cs="仿宋_GB2312"/>
          <w:color w:val="000000" w:themeColor="text1"/>
        </w:rPr>
        <w:t>编制</w:t>
      </w:r>
      <w:r w:rsidRPr="00490741" w:rsidR="008E5383">
        <w:rPr>
          <w:rFonts w:asciiTheme="minorEastAsia" w:eastAsiaTheme="minorEastAsia" w:hAnsiTheme="minorEastAsia" w:cs="仿宋_GB2312" w:hint="eastAsia"/>
          <w:color w:val="000000" w:themeColor="text1"/>
        </w:rPr>
        <w:t>季度报告、中期报告和年度报告</w:t>
      </w:r>
      <w:r w:rsidRPr="00490741">
        <w:rPr>
          <w:rFonts w:asciiTheme="minorEastAsia" w:eastAsiaTheme="minorEastAsia" w:hAnsiTheme="minorEastAsia" w:cs="仿宋_GB2312"/>
          <w:color w:val="000000" w:themeColor="text1"/>
        </w:rPr>
        <w:t>；</w:t>
      </w:r>
    </w:p>
    <w:p w:rsidR="0002608C" w:rsidRPr="00490741" w:rsidP="00107648">
      <w:pPr>
        <w:snapToGrid w:val="0"/>
        <w:spacing w:line="360" w:lineRule="auto"/>
        <w:ind w:firstLine="420"/>
        <w:rPr>
          <w:rFonts w:asciiTheme="minorEastAsia" w:eastAsiaTheme="minorEastAsia" w:hAnsiTheme="minorEastAsia" w:cs="仿宋_GB2312"/>
          <w:color w:val="000000" w:themeColor="text1"/>
        </w:rPr>
      </w:pPr>
      <w:r w:rsidRPr="00490741">
        <w:rPr>
          <w:rFonts w:asciiTheme="minorEastAsia" w:eastAsiaTheme="minorEastAsia" w:hAnsiTheme="minorEastAsia" w:cs="仿宋_GB2312" w:hint="eastAsia"/>
          <w:color w:val="000000" w:themeColor="text1"/>
        </w:rPr>
        <w:t>7</w:t>
      </w:r>
      <w:r w:rsidRPr="00490741">
        <w:rPr>
          <w:rFonts w:asciiTheme="minorEastAsia" w:eastAsiaTheme="minorEastAsia" w:hAnsiTheme="minorEastAsia" w:cs="仿宋_GB2312" w:hint="eastAsia"/>
          <w:color w:val="000000" w:themeColor="text1"/>
        </w:rPr>
        <w:t>、</w:t>
      </w:r>
      <w:r w:rsidRPr="00490741">
        <w:rPr>
          <w:rFonts w:asciiTheme="minorEastAsia" w:eastAsiaTheme="minorEastAsia" w:hAnsiTheme="minorEastAsia" w:cs="仿宋_GB2312"/>
          <w:color w:val="000000" w:themeColor="text1"/>
        </w:rPr>
        <w:t>计算并公告基金</w:t>
      </w:r>
      <w:r w:rsidRPr="00490741" w:rsidR="008E5383">
        <w:rPr>
          <w:rFonts w:asciiTheme="minorEastAsia" w:eastAsiaTheme="minorEastAsia" w:hAnsiTheme="minorEastAsia" w:cs="仿宋_GB2312" w:hint="eastAsia"/>
          <w:color w:val="000000" w:themeColor="text1"/>
        </w:rPr>
        <w:t>净值信息</w:t>
      </w:r>
      <w:r w:rsidRPr="00490741">
        <w:rPr>
          <w:rFonts w:asciiTheme="minorEastAsia" w:eastAsiaTheme="minorEastAsia" w:hAnsiTheme="minorEastAsia" w:cs="仿宋_GB2312"/>
          <w:color w:val="000000" w:themeColor="text1"/>
        </w:rPr>
        <w:t>，确定基金份额申购、赎回价格；</w:t>
      </w:r>
    </w:p>
    <w:p w:rsidR="0002608C" w:rsidRPr="00490741" w:rsidP="00107648">
      <w:pPr>
        <w:snapToGrid w:val="0"/>
        <w:spacing w:line="360" w:lineRule="auto"/>
        <w:ind w:firstLine="420"/>
        <w:rPr>
          <w:rFonts w:asciiTheme="minorEastAsia" w:eastAsiaTheme="minorEastAsia" w:hAnsiTheme="minorEastAsia" w:cs="仿宋_GB2312"/>
          <w:color w:val="000000" w:themeColor="text1"/>
        </w:rPr>
      </w:pPr>
      <w:r w:rsidRPr="00490741">
        <w:rPr>
          <w:rFonts w:asciiTheme="minorEastAsia" w:eastAsiaTheme="minorEastAsia" w:hAnsiTheme="minorEastAsia" w:cs="仿宋_GB2312" w:hint="eastAsia"/>
          <w:color w:val="000000" w:themeColor="text1"/>
        </w:rPr>
        <w:t>8</w:t>
      </w:r>
      <w:r w:rsidRPr="00490741">
        <w:rPr>
          <w:rFonts w:asciiTheme="minorEastAsia" w:eastAsiaTheme="minorEastAsia" w:hAnsiTheme="minorEastAsia" w:cs="仿宋_GB2312" w:hint="eastAsia"/>
          <w:color w:val="000000" w:themeColor="text1"/>
        </w:rPr>
        <w:t>、</w:t>
      </w:r>
      <w:r w:rsidRPr="00490741">
        <w:rPr>
          <w:rFonts w:asciiTheme="minorEastAsia" w:eastAsiaTheme="minorEastAsia" w:hAnsiTheme="minorEastAsia" w:cs="仿宋_GB2312"/>
          <w:color w:val="000000" w:themeColor="text1"/>
        </w:rPr>
        <w:t>办理与基金财产管理业务活动有关的信息披露事项；</w:t>
      </w:r>
    </w:p>
    <w:p w:rsidR="0002608C" w:rsidRPr="00490741" w:rsidP="00107648">
      <w:pPr>
        <w:snapToGrid w:val="0"/>
        <w:spacing w:line="360" w:lineRule="auto"/>
        <w:ind w:firstLine="420"/>
        <w:rPr>
          <w:rFonts w:asciiTheme="minorEastAsia" w:eastAsiaTheme="minorEastAsia" w:hAnsiTheme="minorEastAsia" w:cs="仿宋_GB2312"/>
          <w:color w:val="000000" w:themeColor="text1"/>
        </w:rPr>
      </w:pPr>
      <w:r w:rsidRPr="00490741">
        <w:rPr>
          <w:rFonts w:asciiTheme="minorEastAsia" w:eastAsiaTheme="minorEastAsia" w:hAnsiTheme="minorEastAsia" w:cs="仿宋_GB2312" w:hint="eastAsia"/>
          <w:color w:val="000000" w:themeColor="text1"/>
        </w:rPr>
        <w:t>9</w:t>
      </w:r>
      <w:r w:rsidRPr="00490741">
        <w:rPr>
          <w:rFonts w:asciiTheme="minorEastAsia" w:eastAsiaTheme="minorEastAsia" w:hAnsiTheme="minorEastAsia" w:cs="仿宋_GB2312" w:hint="eastAsia"/>
          <w:color w:val="000000" w:themeColor="text1"/>
        </w:rPr>
        <w:t>、</w:t>
      </w:r>
      <w:r w:rsidRPr="00490741" w:rsidR="009D6797">
        <w:rPr>
          <w:rFonts w:asciiTheme="minorEastAsia" w:eastAsiaTheme="minorEastAsia" w:hAnsiTheme="minorEastAsia" w:cs="仿宋_GB2312" w:hint="eastAsia"/>
          <w:color w:val="000000" w:themeColor="text1"/>
        </w:rPr>
        <w:t>按照规定</w:t>
      </w:r>
      <w:r w:rsidRPr="00490741">
        <w:rPr>
          <w:rFonts w:asciiTheme="minorEastAsia" w:eastAsiaTheme="minorEastAsia" w:hAnsiTheme="minorEastAsia" w:cs="仿宋_GB2312"/>
          <w:color w:val="000000" w:themeColor="text1"/>
        </w:rPr>
        <w:t>召集基金份额持有人大会；</w:t>
      </w:r>
    </w:p>
    <w:p w:rsidR="0002608C" w:rsidRPr="00490741" w:rsidP="00107648">
      <w:pPr>
        <w:snapToGrid w:val="0"/>
        <w:spacing w:line="360" w:lineRule="auto"/>
        <w:ind w:firstLine="420"/>
        <w:rPr>
          <w:rFonts w:asciiTheme="minorEastAsia" w:eastAsiaTheme="minorEastAsia" w:hAnsiTheme="minorEastAsia" w:cs="仿宋_GB2312"/>
          <w:color w:val="000000" w:themeColor="text1"/>
        </w:rPr>
      </w:pPr>
      <w:r w:rsidRPr="00490741">
        <w:rPr>
          <w:rFonts w:asciiTheme="minorEastAsia" w:eastAsiaTheme="minorEastAsia" w:hAnsiTheme="minorEastAsia" w:cs="仿宋_GB2312" w:hint="eastAsia"/>
          <w:color w:val="000000" w:themeColor="text1"/>
        </w:rPr>
        <w:t>10</w:t>
      </w:r>
      <w:r w:rsidRPr="00490741">
        <w:rPr>
          <w:rFonts w:asciiTheme="minorEastAsia" w:eastAsiaTheme="minorEastAsia" w:hAnsiTheme="minorEastAsia" w:cs="仿宋_GB2312" w:hint="eastAsia"/>
          <w:color w:val="000000" w:themeColor="text1"/>
        </w:rPr>
        <w:t>、</w:t>
      </w:r>
      <w:r w:rsidRPr="00490741" w:rsidR="00E1094C">
        <w:rPr>
          <w:rFonts w:asciiTheme="minorEastAsia" w:eastAsiaTheme="minorEastAsia" w:hAnsiTheme="minorEastAsia" w:cs="仿宋_GB2312" w:hint="eastAsia"/>
          <w:color w:val="000000" w:themeColor="text1"/>
        </w:rPr>
        <w:t>保存</w:t>
      </w:r>
      <w:r w:rsidRPr="00490741">
        <w:rPr>
          <w:rFonts w:asciiTheme="minorEastAsia" w:eastAsiaTheme="minorEastAsia" w:hAnsiTheme="minorEastAsia" w:cs="仿宋_GB2312" w:hint="eastAsia"/>
          <w:color w:val="000000" w:themeColor="text1"/>
        </w:rPr>
        <w:t>基</w:t>
      </w:r>
      <w:r w:rsidRPr="00490741">
        <w:rPr>
          <w:rFonts w:asciiTheme="minorEastAsia" w:eastAsiaTheme="minorEastAsia" w:hAnsiTheme="minorEastAsia" w:cs="仿宋_GB2312"/>
          <w:color w:val="000000" w:themeColor="text1"/>
        </w:rPr>
        <w:t>金财产管理业务活动的记录、账册、报表和其他相关资料；</w:t>
      </w:r>
    </w:p>
    <w:p w:rsidR="0002608C" w:rsidRPr="00490741" w:rsidP="00107648">
      <w:pPr>
        <w:snapToGrid w:val="0"/>
        <w:spacing w:line="360" w:lineRule="auto"/>
        <w:ind w:firstLine="420"/>
        <w:rPr>
          <w:rFonts w:asciiTheme="minorEastAsia" w:eastAsiaTheme="minorEastAsia" w:hAnsiTheme="minorEastAsia" w:cs="仿宋_GB2312"/>
          <w:color w:val="000000" w:themeColor="text1"/>
        </w:rPr>
      </w:pPr>
      <w:r w:rsidRPr="00490741">
        <w:rPr>
          <w:rFonts w:asciiTheme="minorEastAsia" w:eastAsiaTheme="minorEastAsia" w:hAnsiTheme="minorEastAsia" w:cs="仿宋_GB2312" w:hint="eastAsia"/>
          <w:color w:val="000000" w:themeColor="text1"/>
        </w:rPr>
        <w:t>11</w:t>
      </w:r>
      <w:r w:rsidRPr="00490741">
        <w:rPr>
          <w:rFonts w:asciiTheme="minorEastAsia" w:eastAsiaTheme="minorEastAsia" w:hAnsiTheme="minorEastAsia" w:cs="仿宋_GB2312" w:hint="eastAsia"/>
          <w:color w:val="000000" w:themeColor="text1"/>
        </w:rPr>
        <w:t>、</w:t>
      </w:r>
      <w:r w:rsidRPr="00490741">
        <w:rPr>
          <w:rFonts w:asciiTheme="minorEastAsia" w:eastAsiaTheme="minorEastAsia" w:hAnsiTheme="minorEastAsia" w:cs="仿宋_GB2312"/>
          <w:color w:val="000000" w:themeColor="text1"/>
        </w:rPr>
        <w:t>以基金管理人名义，代表基金份额持有人利益行使诉讼权利或者实施其他法律行为；</w:t>
      </w:r>
    </w:p>
    <w:p w:rsidR="0002608C" w:rsidRPr="00490741" w:rsidP="00107648">
      <w:pPr>
        <w:snapToGrid w:val="0"/>
        <w:spacing w:line="360" w:lineRule="auto"/>
        <w:ind w:firstLine="420"/>
        <w:rPr>
          <w:rFonts w:asciiTheme="minorEastAsia" w:eastAsiaTheme="minorEastAsia" w:hAnsiTheme="minorEastAsia" w:cs="仿宋_GB2312"/>
          <w:color w:val="000000" w:themeColor="text1"/>
        </w:rPr>
      </w:pPr>
      <w:r w:rsidRPr="00490741">
        <w:rPr>
          <w:rFonts w:asciiTheme="minorEastAsia" w:eastAsiaTheme="minorEastAsia" w:hAnsiTheme="minorEastAsia" w:cs="仿宋_GB2312" w:hint="eastAsia"/>
          <w:color w:val="000000" w:themeColor="text1"/>
        </w:rPr>
        <w:t>12</w:t>
      </w:r>
      <w:r w:rsidRPr="00490741">
        <w:rPr>
          <w:rFonts w:asciiTheme="minorEastAsia" w:eastAsiaTheme="minorEastAsia" w:hAnsiTheme="minorEastAsia" w:cs="仿宋_GB2312" w:hint="eastAsia"/>
          <w:color w:val="000000" w:themeColor="text1"/>
        </w:rPr>
        <w:t>、</w:t>
      </w:r>
      <w:r w:rsidRPr="00490741">
        <w:rPr>
          <w:rFonts w:asciiTheme="minorEastAsia" w:eastAsiaTheme="minorEastAsia" w:hAnsiTheme="minorEastAsia" w:cs="仿宋_GB2312"/>
          <w:color w:val="000000" w:themeColor="text1"/>
        </w:rPr>
        <w:t>国务院证券监督管理机构规定的其他职责。</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color w:val="000000" w:themeColor="text1"/>
          <w:sz w:val="21"/>
        </w:rPr>
      </w:pPr>
      <w:bookmarkStart w:id="10" w:name="_Toc114237385"/>
      <w:r w:rsidRPr="00490741">
        <w:rPr>
          <w:rFonts w:asciiTheme="minorEastAsia" w:eastAsiaTheme="minorEastAsia" w:hAnsiTheme="minorEastAsia" w:hint="eastAsia"/>
          <w:b w:val="0"/>
          <w:bCs/>
          <w:color w:val="000000" w:themeColor="text1"/>
          <w:szCs w:val="21"/>
        </w:rPr>
        <w:t>（四）</w:t>
      </w:r>
      <w:r w:rsidRPr="00490741">
        <w:rPr>
          <w:rFonts w:asciiTheme="minorEastAsia" w:eastAsiaTheme="minorEastAsia" w:hAnsiTheme="minorEastAsia"/>
          <w:b w:val="0"/>
          <w:bCs/>
          <w:color w:val="000000" w:themeColor="text1"/>
          <w:szCs w:val="21"/>
        </w:rPr>
        <w:t>基金管理人的承诺</w:t>
      </w:r>
      <w:bookmarkEnd w:id="10"/>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490741">
        <w:rPr>
          <w:rFonts w:asciiTheme="minorEastAsia" w:eastAsiaTheme="minorEastAsia" w:hAnsiTheme="minorEastAsia" w:cs="Arial"/>
          <w:color w:val="000000" w:themeColor="text1"/>
          <w:kern w:val="0"/>
          <w:szCs w:val="21"/>
        </w:rPr>
        <w:t>1</w:t>
      </w:r>
      <w:r w:rsidRPr="00490741" w:rsidR="002A0070">
        <w:rPr>
          <w:rFonts w:asciiTheme="minorEastAsia" w:eastAsiaTheme="minorEastAsia" w:hAnsiTheme="minorEastAsia" w:hint="eastAsia"/>
          <w:color w:val="000000" w:themeColor="text1"/>
          <w:kern w:val="0"/>
          <w:szCs w:val="21"/>
        </w:rPr>
        <w:t>、</w:t>
      </w:r>
      <w:r w:rsidRPr="00490741">
        <w:rPr>
          <w:rFonts w:asciiTheme="minorEastAsia" w:eastAsiaTheme="minorEastAsia" w:hAnsiTheme="minorEastAsia" w:hint="eastAsia"/>
          <w:color w:val="000000" w:themeColor="text1"/>
        </w:rPr>
        <w:t>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olor w:val="000000" w:themeColor="text1"/>
        </w:rPr>
      </w:pPr>
      <w:r w:rsidRPr="00490741">
        <w:rPr>
          <w:rFonts w:asciiTheme="minorEastAsia" w:eastAsiaTheme="minorEastAsia" w:hAnsiTheme="minorEastAsia" w:cs="Arial" w:hint="eastAsia"/>
          <w:color w:val="000000" w:themeColor="text1"/>
          <w:kern w:val="0"/>
          <w:szCs w:val="21"/>
        </w:rPr>
        <w:t>2</w:t>
      </w:r>
      <w:r w:rsidRPr="00490741" w:rsidR="002A0070">
        <w:rPr>
          <w:rFonts w:asciiTheme="minorEastAsia" w:eastAsiaTheme="minorEastAsia" w:hAnsiTheme="minorEastAsia" w:cs="Arial" w:hint="eastAsia"/>
          <w:color w:val="000000" w:themeColor="text1"/>
          <w:kern w:val="0"/>
          <w:szCs w:val="21"/>
        </w:rPr>
        <w:t>、</w:t>
      </w:r>
      <w:r w:rsidRPr="00490741">
        <w:rPr>
          <w:rFonts w:asciiTheme="minorEastAsia" w:eastAsiaTheme="minorEastAsia" w:hAnsiTheme="minorEastAsia" w:hint="eastAsia"/>
          <w:color w:val="000000" w:themeColor="text1"/>
        </w:rPr>
        <w:t>本基金管理人承诺严格遵守《中华人民共和国证券法》、《基金法》及有关法律法规，建立健全的内部控制制度，采取有效措施，防止下列行为发生：</w:t>
      </w:r>
    </w:p>
    <w:p w:rsidR="0002608C" w:rsidRPr="00490741" w:rsidP="00107648">
      <w:pPr>
        <w:numPr>
          <w:ilvl w:val="1"/>
          <w:numId w:val="5"/>
        </w:numPr>
        <w:tabs>
          <w:tab w:val="left" w:pos="735"/>
          <w:tab w:val="num" w:pos="1320"/>
        </w:tabs>
        <w:snapToGrid w:val="0"/>
        <w:spacing w:line="360" w:lineRule="auto"/>
        <w:ind w:left="0"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将其固有财产或者他人财产混同于基金财产从事证券投资；</w:t>
      </w:r>
    </w:p>
    <w:p w:rsidR="0002608C" w:rsidRPr="00490741" w:rsidP="00107648">
      <w:pPr>
        <w:numPr>
          <w:ilvl w:val="1"/>
          <w:numId w:val="5"/>
        </w:numPr>
        <w:tabs>
          <w:tab w:val="left" w:pos="735"/>
          <w:tab w:val="num" w:pos="1320"/>
        </w:tabs>
        <w:snapToGrid w:val="0"/>
        <w:spacing w:line="360" w:lineRule="auto"/>
        <w:ind w:left="0"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不公平地对待其管理的不同基金财产；</w:t>
      </w:r>
    </w:p>
    <w:p w:rsidR="0002608C" w:rsidRPr="00490741" w:rsidP="00107648">
      <w:pPr>
        <w:numPr>
          <w:ilvl w:val="1"/>
          <w:numId w:val="5"/>
        </w:numPr>
        <w:tabs>
          <w:tab w:val="left" w:pos="735"/>
          <w:tab w:val="num" w:pos="1320"/>
        </w:tabs>
        <w:snapToGrid w:val="0"/>
        <w:spacing w:line="360" w:lineRule="auto"/>
        <w:ind w:left="0"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利用基金财产</w:t>
      </w:r>
      <w:r w:rsidRPr="00490741" w:rsidR="009D6797">
        <w:rPr>
          <w:rStyle w:val="da"/>
          <w:rFonts w:asciiTheme="minorEastAsia" w:eastAsiaTheme="minorEastAsia" w:hAnsiTheme="minorEastAsia" w:hint="eastAsia"/>
          <w:color w:val="000000" w:themeColor="text1"/>
        </w:rPr>
        <w:t>或者职务之便</w:t>
      </w:r>
      <w:r w:rsidRPr="00490741">
        <w:rPr>
          <w:rFonts w:asciiTheme="minorEastAsia" w:eastAsiaTheme="minorEastAsia" w:hAnsiTheme="minorEastAsia" w:hint="eastAsia"/>
          <w:color w:val="000000" w:themeColor="text1"/>
        </w:rPr>
        <w:t>为基金份额持有人以外的第三人谋取利益；</w:t>
      </w:r>
    </w:p>
    <w:p w:rsidR="0002608C" w:rsidRPr="00490741" w:rsidP="00107648">
      <w:pPr>
        <w:numPr>
          <w:ilvl w:val="1"/>
          <w:numId w:val="5"/>
        </w:numPr>
        <w:tabs>
          <w:tab w:val="left" w:pos="735"/>
          <w:tab w:val="num" w:pos="1320"/>
        </w:tabs>
        <w:snapToGrid w:val="0"/>
        <w:spacing w:line="360" w:lineRule="auto"/>
        <w:ind w:left="0"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向基金份额持有人违规承诺收益或者承担损失；</w:t>
      </w:r>
    </w:p>
    <w:p w:rsidR="009D6797" w:rsidRPr="00490741" w:rsidP="00107648">
      <w:pPr>
        <w:numPr>
          <w:ilvl w:val="1"/>
          <w:numId w:val="5"/>
        </w:numPr>
        <w:tabs>
          <w:tab w:val="left" w:pos="735"/>
          <w:tab w:val="num" w:pos="1320"/>
        </w:tabs>
        <w:snapToGrid w:val="0"/>
        <w:spacing w:line="360" w:lineRule="auto"/>
        <w:ind w:left="0"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侵占、挪用基金财产；</w:t>
      </w:r>
    </w:p>
    <w:p w:rsidR="009D6797" w:rsidRPr="00490741" w:rsidP="00107648">
      <w:pPr>
        <w:numPr>
          <w:ilvl w:val="1"/>
          <w:numId w:val="5"/>
        </w:numPr>
        <w:tabs>
          <w:tab w:val="left" w:pos="735"/>
          <w:tab w:val="num" w:pos="1320"/>
        </w:tabs>
        <w:snapToGrid w:val="0"/>
        <w:spacing w:line="360" w:lineRule="auto"/>
        <w:ind w:left="0"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泄露因职务便利获取的未公开信息、利用该信息从事或者明示、暗示他人从事相关的交易活动；</w:t>
      </w:r>
    </w:p>
    <w:p w:rsidR="009D6797" w:rsidRPr="00490741" w:rsidP="00107648">
      <w:pPr>
        <w:numPr>
          <w:ilvl w:val="1"/>
          <w:numId w:val="5"/>
        </w:numPr>
        <w:tabs>
          <w:tab w:val="left" w:pos="735"/>
          <w:tab w:val="num" w:pos="1320"/>
        </w:tabs>
        <w:snapToGrid w:val="0"/>
        <w:spacing w:line="360" w:lineRule="auto"/>
        <w:ind w:left="0"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玩忽职守，不按照规定履行职责；</w:t>
      </w:r>
    </w:p>
    <w:p w:rsidR="0002608C" w:rsidRPr="00490741" w:rsidP="00107648">
      <w:pPr>
        <w:numPr>
          <w:ilvl w:val="1"/>
          <w:numId w:val="5"/>
        </w:numPr>
        <w:tabs>
          <w:tab w:val="left" w:pos="735"/>
          <w:tab w:val="num" w:pos="1320"/>
        </w:tabs>
        <w:snapToGrid w:val="0"/>
        <w:spacing w:line="360" w:lineRule="auto"/>
        <w:ind w:left="0"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法律、行政法规和中国证监会规定禁止的其他行为。</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490741">
        <w:rPr>
          <w:rFonts w:asciiTheme="minorEastAsia" w:eastAsiaTheme="minorEastAsia" w:hAnsiTheme="minorEastAsia" w:cs="Arial"/>
          <w:color w:val="000000" w:themeColor="text1"/>
          <w:kern w:val="0"/>
          <w:szCs w:val="21"/>
        </w:rPr>
        <w:t>3</w:t>
      </w:r>
      <w:r w:rsidRPr="00490741" w:rsidR="002A0070">
        <w:rPr>
          <w:rFonts w:asciiTheme="minorEastAsia" w:eastAsiaTheme="minorEastAsia" w:hAnsiTheme="minorEastAsia" w:hint="eastAsia"/>
          <w:color w:val="000000" w:themeColor="text1"/>
          <w:kern w:val="0"/>
          <w:szCs w:val="21"/>
        </w:rPr>
        <w:t>、</w:t>
      </w:r>
      <w:r w:rsidRPr="00490741">
        <w:rPr>
          <w:rFonts w:asciiTheme="minorEastAsia" w:eastAsiaTheme="minorEastAsia" w:hAnsiTheme="minorEastAsia" w:hint="eastAsia"/>
          <w:color w:val="000000" w:themeColor="text1"/>
          <w:kern w:val="0"/>
          <w:szCs w:val="21"/>
        </w:rPr>
        <w:t>本基金管理人承诺加强人员管理，强化职业操守，督促和约束员工遵守国家有关法律、法规及行业规范，诚实信用、勤勉尽责，不从事以下活动：</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490741">
        <w:rPr>
          <w:rFonts w:asciiTheme="minorEastAsia" w:eastAsiaTheme="minorEastAsia" w:hAnsiTheme="minorEastAsia" w:hint="eastAsia"/>
          <w:color w:val="000000" w:themeColor="text1"/>
          <w:kern w:val="0"/>
          <w:szCs w:val="21"/>
        </w:rPr>
        <w:t>（</w:t>
      </w:r>
      <w:r w:rsidRPr="00490741">
        <w:rPr>
          <w:rFonts w:asciiTheme="minorEastAsia" w:eastAsiaTheme="minorEastAsia" w:hAnsiTheme="minorEastAsia" w:cs="Arial"/>
          <w:color w:val="000000" w:themeColor="text1"/>
          <w:kern w:val="0"/>
          <w:szCs w:val="21"/>
        </w:rPr>
        <w:t>1</w:t>
      </w:r>
      <w:r w:rsidRPr="00490741">
        <w:rPr>
          <w:rFonts w:asciiTheme="minorEastAsia" w:eastAsiaTheme="minorEastAsia" w:hAnsiTheme="minorEastAsia" w:hint="eastAsia"/>
          <w:color w:val="000000" w:themeColor="text1"/>
          <w:kern w:val="0"/>
          <w:szCs w:val="21"/>
        </w:rPr>
        <w:t>）越权或违规经营；</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490741">
        <w:rPr>
          <w:rFonts w:asciiTheme="minorEastAsia" w:eastAsiaTheme="minorEastAsia" w:hAnsiTheme="minorEastAsia" w:hint="eastAsia"/>
          <w:color w:val="000000" w:themeColor="text1"/>
          <w:kern w:val="0"/>
          <w:szCs w:val="21"/>
        </w:rPr>
        <w:t>（</w:t>
      </w:r>
      <w:r w:rsidRPr="00490741">
        <w:rPr>
          <w:rFonts w:asciiTheme="minorEastAsia" w:eastAsiaTheme="minorEastAsia" w:hAnsiTheme="minorEastAsia" w:cs="Arial"/>
          <w:color w:val="000000" w:themeColor="text1"/>
          <w:kern w:val="0"/>
          <w:szCs w:val="21"/>
        </w:rPr>
        <w:t>2</w:t>
      </w:r>
      <w:r w:rsidRPr="00490741">
        <w:rPr>
          <w:rFonts w:asciiTheme="minorEastAsia" w:eastAsiaTheme="minorEastAsia" w:hAnsiTheme="minorEastAsia" w:hint="eastAsia"/>
          <w:color w:val="000000" w:themeColor="text1"/>
          <w:kern w:val="0"/>
          <w:szCs w:val="21"/>
        </w:rPr>
        <w:t>）违反基金合同或托管协议；</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490741">
        <w:rPr>
          <w:rFonts w:asciiTheme="minorEastAsia" w:eastAsiaTheme="minorEastAsia" w:hAnsiTheme="minorEastAsia" w:hint="eastAsia"/>
          <w:color w:val="000000" w:themeColor="text1"/>
          <w:kern w:val="0"/>
          <w:szCs w:val="21"/>
        </w:rPr>
        <w:t>（</w:t>
      </w:r>
      <w:r w:rsidRPr="00490741">
        <w:rPr>
          <w:rFonts w:asciiTheme="minorEastAsia" w:eastAsiaTheme="minorEastAsia" w:hAnsiTheme="minorEastAsia" w:cs="Arial"/>
          <w:color w:val="000000" w:themeColor="text1"/>
          <w:kern w:val="0"/>
          <w:szCs w:val="21"/>
        </w:rPr>
        <w:t>3</w:t>
      </w:r>
      <w:r w:rsidRPr="00490741">
        <w:rPr>
          <w:rFonts w:asciiTheme="minorEastAsia" w:eastAsiaTheme="minorEastAsia" w:hAnsiTheme="minorEastAsia" w:hint="eastAsia"/>
          <w:color w:val="000000" w:themeColor="text1"/>
          <w:kern w:val="0"/>
          <w:szCs w:val="21"/>
        </w:rPr>
        <w:t>）故意损害基金份额持有人或其他基金相关机构的合法利益；</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490741">
        <w:rPr>
          <w:rFonts w:asciiTheme="minorEastAsia" w:eastAsiaTheme="minorEastAsia" w:hAnsiTheme="minorEastAsia" w:hint="eastAsia"/>
          <w:color w:val="000000" w:themeColor="text1"/>
          <w:kern w:val="0"/>
          <w:szCs w:val="21"/>
        </w:rPr>
        <w:t>（</w:t>
      </w:r>
      <w:r w:rsidRPr="00490741">
        <w:rPr>
          <w:rFonts w:asciiTheme="minorEastAsia" w:eastAsiaTheme="minorEastAsia" w:hAnsiTheme="minorEastAsia" w:cs="Arial"/>
          <w:color w:val="000000" w:themeColor="text1"/>
          <w:kern w:val="0"/>
          <w:szCs w:val="21"/>
        </w:rPr>
        <w:t>4</w:t>
      </w:r>
      <w:r w:rsidRPr="00490741">
        <w:rPr>
          <w:rFonts w:asciiTheme="minorEastAsia" w:eastAsiaTheme="minorEastAsia" w:hAnsiTheme="minorEastAsia" w:hint="eastAsia"/>
          <w:color w:val="000000" w:themeColor="text1"/>
          <w:kern w:val="0"/>
          <w:szCs w:val="21"/>
        </w:rPr>
        <w:t>）在向中国证监会报送的资料中弄虚作假；</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490741">
        <w:rPr>
          <w:rFonts w:asciiTheme="minorEastAsia" w:eastAsiaTheme="minorEastAsia" w:hAnsiTheme="minorEastAsia" w:hint="eastAsia"/>
          <w:color w:val="000000" w:themeColor="text1"/>
          <w:kern w:val="0"/>
          <w:szCs w:val="21"/>
        </w:rPr>
        <w:t>（</w:t>
      </w:r>
      <w:r w:rsidRPr="00490741">
        <w:rPr>
          <w:rFonts w:asciiTheme="minorEastAsia" w:eastAsiaTheme="minorEastAsia" w:hAnsiTheme="minorEastAsia" w:cs="Arial"/>
          <w:color w:val="000000" w:themeColor="text1"/>
          <w:kern w:val="0"/>
          <w:szCs w:val="21"/>
        </w:rPr>
        <w:t>5</w:t>
      </w:r>
      <w:r w:rsidRPr="00490741">
        <w:rPr>
          <w:rFonts w:asciiTheme="minorEastAsia" w:eastAsiaTheme="minorEastAsia" w:hAnsiTheme="minorEastAsia" w:hint="eastAsia"/>
          <w:color w:val="000000" w:themeColor="text1"/>
          <w:kern w:val="0"/>
          <w:szCs w:val="21"/>
        </w:rPr>
        <w:t>）拒绝、干扰、阻挠或严重影响中国证监会依法监管；</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490741">
        <w:rPr>
          <w:rFonts w:asciiTheme="minorEastAsia" w:eastAsiaTheme="minorEastAsia" w:hAnsiTheme="minorEastAsia" w:hint="eastAsia"/>
          <w:color w:val="000000" w:themeColor="text1"/>
          <w:kern w:val="0"/>
          <w:szCs w:val="21"/>
        </w:rPr>
        <w:t>（</w:t>
      </w:r>
      <w:r w:rsidRPr="00490741">
        <w:rPr>
          <w:rFonts w:asciiTheme="minorEastAsia" w:eastAsiaTheme="minorEastAsia" w:hAnsiTheme="minorEastAsia" w:cs="Arial"/>
          <w:color w:val="000000" w:themeColor="text1"/>
          <w:kern w:val="0"/>
          <w:szCs w:val="21"/>
        </w:rPr>
        <w:t>6</w:t>
      </w:r>
      <w:r w:rsidRPr="00490741">
        <w:rPr>
          <w:rFonts w:asciiTheme="minorEastAsia" w:eastAsiaTheme="minorEastAsia" w:hAnsiTheme="minorEastAsia" w:hint="eastAsia"/>
          <w:color w:val="000000" w:themeColor="text1"/>
          <w:kern w:val="0"/>
          <w:szCs w:val="21"/>
        </w:rPr>
        <w:t>）玩忽职守、滥用职权；</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490741">
        <w:rPr>
          <w:rFonts w:asciiTheme="minorEastAsia" w:eastAsiaTheme="minorEastAsia" w:hAnsiTheme="minorEastAsia" w:hint="eastAsia"/>
          <w:color w:val="000000" w:themeColor="text1"/>
          <w:kern w:val="0"/>
          <w:szCs w:val="21"/>
        </w:rPr>
        <w:t>（</w:t>
      </w:r>
      <w:r w:rsidRPr="00490741">
        <w:rPr>
          <w:rFonts w:asciiTheme="minorEastAsia" w:eastAsiaTheme="minorEastAsia" w:hAnsiTheme="minorEastAsia" w:cs="Arial"/>
          <w:color w:val="000000" w:themeColor="text1"/>
          <w:kern w:val="0"/>
          <w:szCs w:val="21"/>
        </w:rPr>
        <w:t>7</w:t>
      </w:r>
      <w:r w:rsidRPr="00490741">
        <w:rPr>
          <w:rFonts w:asciiTheme="minorEastAsia" w:eastAsiaTheme="minorEastAsia" w:hAnsiTheme="minorEastAsia" w:hint="eastAsia"/>
          <w:color w:val="000000" w:themeColor="text1"/>
          <w:kern w:val="0"/>
          <w:szCs w:val="21"/>
        </w:rPr>
        <w:t>）违反现行有效的有关法律、法规、规章、基金合同和中国证监会的有关规定，泄漏在任职期间知悉的有关证券、基金的商业秘密，尚未依法公开的基金投资内容、基金投资计划等信息；</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490741">
        <w:rPr>
          <w:rFonts w:asciiTheme="minorEastAsia" w:eastAsiaTheme="minorEastAsia" w:hAnsiTheme="minorEastAsia" w:hint="eastAsia"/>
          <w:color w:val="000000" w:themeColor="text1"/>
          <w:kern w:val="0"/>
          <w:szCs w:val="21"/>
        </w:rPr>
        <w:t>（</w:t>
      </w:r>
      <w:r w:rsidRPr="00490741">
        <w:rPr>
          <w:rFonts w:asciiTheme="minorEastAsia" w:eastAsiaTheme="minorEastAsia" w:hAnsiTheme="minorEastAsia" w:hint="eastAsia"/>
          <w:color w:val="000000" w:themeColor="text1"/>
          <w:kern w:val="0"/>
          <w:szCs w:val="21"/>
        </w:rPr>
        <w:t>8</w:t>
      </w:r>
      <w:r w:rsidRPr="00490741">
        <w:rPr>
          <w:rFonts w:asciiTheme="minorEastAsia" w:eastAsiaTheme="minorEastAsia" w:hAnsiTheme="minorEastAsia" w:hint="eastAsia"/>
          <w:color w:val="000000" w:themeColor="text1"/>
          <w:kern w:val="0"/>
          <w:szCs w:val="21"/>
        </w:rPr>
        <w:t>）违反证券交易场所业务规则，利用对敲、倒仓等手段操纵市场价格，扰乱市场秩序；</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490741">
        <w:rPr>
          <w:rFonts w:asciiTheme="minorEastAsia" w:eastAsiaTheme="minorEastAsia" w:hAnsiTheme="minorEastAsia" w:hint="eastAsia"/>
          <w:color w:val="000000" w:themeColor="text1"/>
          <w:kern w:val="0"/>
          <w:szCs w:val="21"/>
        </w:rPr>
        <w:t>（</w:t>
      </w:r>
      <w:r w:rsidRPr="00490741">
        <w:rPr>
          <w:rFonts w:asciiTheme="minorEastAsia" w:eastAsiaTheme="minorEastAsia" w:hAnsiTheme="minorEastAsia" w:hint="eastAsia"/>
          <w:color w:val="000000" w:themeColor="text1"/>
          <w:kern w:val="0"/>
          <w:szCs w:val="21"/>
        </w:rPr>
        <w:t>9</w:t>
      </w:r>
      <w:r w:rsidRPr="00490741">
        <w:rPr>
          <w:rFonts w:asciiTheme="minorEastAsia" w:eastAsiaTheme="minorEastAsia" w:hAnsiTheme="minorEastAsia" w:hint="eastAsia"/>
          <w:color w:val="000000" w:themeColor="text1"/>
          <w:kern w:val="0"/>
          <w:szCs w:val="21"/>
        </w:rPr>
        <w:t>）贬损同行，以抬高自己；</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490741">
        <w:rPr>
          <w:rFonts w:asciiTheme="minorEastAsia" w:eastAsiaTheme="minorEastAsia" w:hAnsiTheme="minorEastAsia" w:hint="eastAsia"/>
          <w:color w:val="000000" w:themeColor="text1"/>
          <w:kern w:val="0"/>
          <w:szCs w:val="21"/>
        </w:rPr>
        <w:t>（</w:t>
      </w:r>
      <w:r w:rsidRPr="00490741">
        <w:rPr>
          <w:rFonts w:asciiTheme="minorEastAsia" w:eastAsiaTheme="minorEastAsia" w:hAnsiTheme="minorEastAsia"/>
          <w:color w:val="000000" w:themeColor="text1"/>
          <w:kern w:val="0"/>
          <w:szCs w:val="21"/>
        </w:rPr>
        <w:t>1</w:t>
      </w:r>
      <w:r w:rsidRPr="00490741">
        <w:rPr>
          <w:rFonts w:asciiTheme="minorEastAsia" w:eastAsiaTheme="minorEastAsia" w:hAnsiTheme="minorEastAsia" w:hint="eastAsia"/>
          <w:color w:val="000000" w:themeColor="text1"/>
          <w:kern w:val="0"/>
          <w:szCs w:val="21"/>
        </w:rPr>
        <w:t>0</w:t>
      </w:r>
      <w:r w:rsidRPr="00490741">
        <w:rPr>
          <w:rFonts w:asciiTheme="minorEastAsia" w:eastAsiaTheme="minorEastAsia" w:hAnsiTheme="minorEastAsia" w:hint="eastAsia"/>
          <w:color w:val="000000" w:themeColor="text1"/>
          <w:kern w:val="0"/>
          <w:szCs w:val="21"/>
        </w:rPr>
        <w:t>）以不正当手段谋求业务发展；</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490741">
        <w:rPr>
          <w:rFonts w:asciiTheme="minorEastAsia" w:eastAsiaTheme="minorEastAsia" w:hAnsiTheme="minorEastAsia" w:hint="eastAsia"/>
          <w:color w:val="000000" w:themeColor="text1"/>
          <w:kern w:val="0"/>
          <w:szCs w:val="21"/>
        </w:rPr>
        <w:t>（</w:t>
      </w:r>
      <w:r w:rsidRPr="00490741">
        <w:rPr>
          <w:rFonts w:asciiTheme="minorEastAsia" w:eastAsiaTheme="minorEastAsia" w:hAnsiTheme="minorEastAsia"/>
          <w:color w:val="000000" w:themeColor="text1"/>
          <w:kern w:val="0"/>
          <w:szCs w:val="21"/>
        </w:rPr>
        <w:t>1</w:t>
      </w:r>
      <w:r w:rsidRPr="00490741">
        <w:rPr>
          <w:rFonts w:asciiTheme="minorEastAsia" w:eastAsiaTheme="minorEastAsia" w:hAnsiTheme="minorEastAsia" w:hint="eastAsia"/>
          <w:color w:val="000000" w:themeColor="text1"/>
          <w:kern w:val="0"/>
          <w:szCs w:val="21"/>
        </w:rPr>
        <w:t>1</w:t>
      </w:r>
      <w:r w:rsidRPr="00490741">
        <w:rPr>
          <w:rFonts w:asciiTheme="minorEastAsia" w:eastAsiaTheme="minorEastAsia" w:hAnsiTheme="minorEastAsia" w:hint="eastAsia"/>
          <w:color w:val="000000" w:themeColor="text1"/>
          <w:kern w:val="0"/>
          <w:szCs w:val="21"/>
        </w:rPr>
        <w:t>）有悖社会公德，损害证券投资基金人员形象；</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490741">
        <w:rPr>
          <w:rFonts w:asciiTheme="minorEastAsia" w:eastAsiaTheme="minorEastAsia" w:hAnsiTheme="minorEastAsia" w:hint="eastAsia"/>
          <w:color w:val="000000" w:themeColor="text1"/>
          <w:kern w:val="0"/>
          <w:szCs w:val="21"/>
        </w:rPr>
        <w:t>（</w:t>
      </w:r>
      <w:r w:rsidRPr="00490741">
        <w:rPr>
          <w:rFonts w:asciiTheme="minorEastAsia" w:eastAsiaTheme="minorEastAsia" w:hAnsiTheme="minorEastAsia" w:hint="eastAsia"/>
          <w:color w:val="000000" w:themeColor="text1"/>
          <w:kern w:val="0"/>
          <w:szCs w:val="21"/>
        </w:rPr>
        <w:t>12</w:t>
      </w:r>
      <w:r w:rsidRPr="00490741">
        <w:rPr>
          <w:rFonts w:asciiTheme="minorEastAsia" w:eastAsiaTheme="minorEastAsia" w:hAnsiTheme="minorEastAsia" w:hint="eastAsia"/>
          <w:color w:val="000000" w:themeColor="text1"/>
          <w:kern w:val="0"/>
          <w:szCs w:val="21"/>
        </w:rPr>
        <w:t>）在公开信息披露和广告中故意含有虚假、误导、欺诈成分；</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490741">
        <w:rPr>
          <w:rFonts w:asciiTheme="minorEastAsia" w:eastAsiaTheme="minorEastAsia" w:hAnsiTheme="minorEastAsia" w:hint="eastAsia"/>
          <w:color w:val="000000" w:themeColor="text1"/>
          <w:kern w:val="0"/>
          <w:szCs w:val="21"/>
        </w:rPr>
        <w:t>（</w:t>
      </w:r>
      <w:r w:rsidRPr="00490741">
        <w:rPr>
          <w:rFonts w:asciiTheme="minorEastAsia" w:eastAsiaTheme="minorEastAsia" w:hAnsiTheme="minorEastAsia"/>
          <w:color w:val="000000" w:themeColor="text1"/>
          <w:kern w:val="0"/>
          <w:szCs w:val="21"/>
        </w:rPr>
        <w:t>1</w:t>
      </w:r>
      <w:r w:rsidRPr="00490741">
        <w:rPr>
          <w:rFonts w:asciiTheme="minorEastAsia" w:eastAsiaTheme="minorEastAsia" w:hAnsiTheme="minorEastAsia" w:hint="eastAsia"/>
          <w:color w:val="000000" w:themeColor="text1"/>
          <w:kern w:val="0"/>
          <w:szCs w:val="21"/>
        </w:rPr>
        <w:t>3</w:t>
      </w:r>
      <w:r w:rsidRPr="00490741">
        <w:rPr>
          <w:rFonts w:asciiTheme="minorEastAsia" w:eastAsiaTheme="minorEastAsia" w:hAnsiTheme="minorEastAsia" w:hint="eastAsia"/>
          <w:color w:val="000000" w:themeColor="text1"/>
          <w:kern w:val="0"/>
          <w:szCs w:val="21"/>
        </w:rPr>
        <w:t>）其他法律、行政法规以及中国证监会禁止的行为。</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490741">
        <w:rPr>
          <w:rFonts w:asciiTheme="minorEastAsia" w:eastAsiaTheme="minorEastAsia" w:hAnsiTheme="minorEastAsia" w:cs="Arial"/>
          <w:color w:val="000000" w:themeColor="text1"/>
          <w:kern w:val="0"/>
          <w:szCs w:val="21"/>
        </w:rPr>
        <w:t>4</w:t>
      </w:r>
      <w:r w:rsidRPr="00490741" w:rsidR="002A0070">
        <w:rPr>
          <w:rFonts w:asciiTheme="minorEastAsia" w:eastAsiaTheme="minorEastAsia" w:hAnsiTheme="minorEastAsia" w:hint="eastAsia"/>
          <w:color w:val="000000" w:themeColor="text1"/>
          <w:kern w:val="0"/>
          <w:szCs w:val="21"/>
        </w:rPr>
        <w:t>、</w:t>
      </w:r>
      <w:r w:rsidRPr="00490741">
        <w:rPr>
          <w:rFonts w:asciiTheme="minorEastAsia" w:eastAsiaTheme="minorEastAsia" w:hAnsiTheme="minorEastAsia" w:hint="eastAsia"/>
          <w:color w:val="000000" w:themeColor="text1"/>
          <w:kern w:val="0"/>
          <w:szCs w:val="21"/>
        </w:rPr>
        <w:t>基金经理承诺</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490741">
        <w:rPr>
          <w:rFonts w:asciiTheme="minorEastAsia" w:eastAsiaTheme="minorEastAsia" w:hAnsiTheme="minorEastAsia" w:hint="eastAsia"/>
          <w:color w:val="000000" w:themeColor="text1"/>
          <w:kern w:val="0"/>
          <w:szCs w:val="21"/>
        </w:rPr>
        <w:t>（</w:t>
      </w:r>
      <w:r w:rsidRPr="00490741">
        <w:rPr>
          <w:rFonts w:asciiTheme="minorEastAsia" w:eastAsiaTheme="minorEastAsia" w:hAnsiTheme="minorEastAsia" w:cs="Arial"/>
          <w:color w:val="000000" w:themeColor="text1"/>
          <w:kern w:val="0"/>
          <w:szCs w:val="21"/>
        </w:rPr>
        <w:t>1</w:t>
      </w:r>
      <w:r w:rsidRPr="00490741">
        <w:rPr>
          <w:rFonts w:asciiTheme="minorEastAsia" w:eastAsiaTheme="minorEastAsia" w:hAnsiTheme="minorEastAsia" w:hint="eastAsia"/>
          <w:color w:val="000000" w:themeColor="text1"/>
          <w:kern w:val="0"/>
          <w:szCs w:val="21"/>
        </w:rPr>
        <w:t>）依照有关</w:t>
      </w:r>
      <w:r w:rsidRPr="00490741">
        <w:rPr>
          <w:rFonts w:asciiTheme="minorEastAsia" w:eastAsiaTheme="minorEastAsia" w:hAnsiTheme="minorEastAsia" w:hint="eastAsia"/>
          <w:color w:val="000000" w:themeColor="text1"/>
          <w:kern w:val="0"/>
          <w:szCs w:val="21"/>
        </w:rPr>
        <w:t>法律、法规和基金合同的规定，本着谨慎的原则为基金份额持有人谋取最大利益；</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490741">
        <w:rPr>
          <w:rFonts w:asciiTheme="minorEastAsia" w:eastAsiaTheme="minorEastAsia" w:hAnsiTheme="minorEastAsia" w:hint="eastAsia"/>
          <w:color w:val="000000" w:themeColor="text1"/>
          <w:kern w:val="0"/>
          <w:szCs w:val="21"/>
        </w:rPr>
        <w:t>（</w:t>
      </w:r>
      <w:r w:rsidRPr="00490741">
        <w:rPr>
          <w:rFonts w:asciiTheme="minorEastAsia" w:eastAsiaTheme="minorEastAsia" w:hAnsiTheme="minorEastAsia" w:cs="Arial"/>
          <w:color w:val="000000" w:themeColor="text1"/>
          <w:kern w:val="0"/>
          <w:szCs w:val="21"/>
        </w:rPr>
        <w:t>2</w:t>
      </w:r>
      <w:r w:rsidRPr="00490741">
        <w:rPr>
          <w:rFonts w:asciiTheme="minorEastAsia" w:eastAsiaTheme="minorEastAsia" w:hAnsiTheme="minorEastAsia" w:hint="eastAsia"/>
          <w:color w:val="000000" w:themeColor="text1"/>
          <w:kern w:val="0"/>
          <w:szCs w:val="21"/>
        </w:rPr>
        <w:t>）不利用职务之便为自己及其代理人、受雇人或任何第三人谋取利益；</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olor w:val="000000" w:themeColor="text1"/>
          <w:kern w:val="0"/>
        </w:rPr>
      </w:pPr>
      <w:r w:rsidRPr="00490741">
        <w:rPr>
          <w:rFonts w:asciiTheme="minorEastAsia" w:eastAsiaTheme="minorEastAsia" w:hAnsiTheme="minorEastAsia" w:hint="eastAsia"/>
          <w:color w:val="000000" w:themeColor="text1"/>
          <w:kern w:val="0"/>
        </w:rPr>
        <w:t>（</w:t>
      </w:r>
      <w:r w:rsidRPr="00490741">
        <w:rPr>
          <w:rFonts w:asciiTheme="minorEastAsia" w:eastAsiaTheme="minorEastAsia" w:hAnsiTheme="minorEastAsia" w:cs="Arial"/>
          <w:color w:val="000000" w:themeColor="text1"/>
          <w:kern w:val="0"/>
        </w:rPr>
        <w:t>3</w:t>
      </w:r>
      <w:r w:rsidRPr="00490741">
        <w:rPr>
          <w:rFonts w:asciiTheme="minorEastAsia" w:eastAsiaTheme="minorEastAsia" w:hAnsiTheme="minorEastAsia" w:hint="eastAsia"/>
          <w:color w:val="000000" w:themeColor="text1"/>
          <w:kern w:val="0"/>
        </w:rPr>
        <w:t>）不</w:t>
      </w:r>
      <w:r w:rsidRPr="00490741">
        <w:rPr>
          <w:rFonts w:asciiTheme="minorEastAsia" w:eastAsiaTheme="minorEastAsia" w:hAnsiTheme="minorEastAsia" w:hint="eastAsia"/>
          <w:color w:val="000000" w:themeColor="text1"/>
          <w:kern w:val="0"/>
          <w:szCs w:val="21"/>
        </w:rPr>
        <w:t>违反现行有效的有关法律、法规、规章、基金合同和中国证监会的有关规定，</w:t>
      </w:r>
      <w:r w:rsidRPr="00490741">
        <w:rPr>
          <w:rFonts w:asciiTheme="minorEastAsia" w:eastAsiaTheme="minorEastAsia" w:hAnsiTheme="minorEastAsia" w:hint="eastAsia"/>
          <w:color w:val="000000" w:themeColor="text1"/>
          <w:kern w:val="0"/>
        </w:rPr>
        <w:t>泄漏在任职期间知悉的有关证券、基金的商业秘密、尚未依法公开的基金投资内容、基金投资计划等信息；</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olor w:val="000000" w:themeColor="text1"/>
          <w:kern w:val="0"/>
        </w:rPr>
      </w:pPr>
      <w:r w:rsidRPr="00490741">
        <w:rPr>
          <w:rFonts w:asciiTheme="minorEastAsia" w:eastAsiaTheme="minorEastAsia" w:hAnsiTheme="minorEastAsia" w:hint="eastAsia"/>
          <w:color w:val="000000" w:themeColor="text1"/>
          <w:kern w:val="0"/>
        </w:rPr>
        <w:t>（</w:t>
      </w:r>
      <w:r w:rsidRPr="00490741">
        <w:rPr>
          <w:rFonts w:asciiTheme="minorEastAsia" w:eastAsiaTheme="minorEastAsia" w:hAnsiTheme="minorEastAsia" w:hint="eastAsia"/>
          <w:color w:val="000000" w:themeColor="text1"/>
          <w:kern w:val="0"/>
        </w:rPr>
        <w:t>4</w:t>
      </w:r>
      <w:r w:rsidRPr="00490741">
        <w:rPr>
          <w:rFonts w:asciiTheme="minorEastAsia" w:eastAsiaTheme="minorEastAsia" w:hAnsiTheme="minorEastAsia" w:hint="eastAsia"/>
          <w:color w:val="000000" w:themeColor="text1"/>
          <w:kern w:val="0"/>
        </w:rPr>
        <w:t>）不</w:t>
      </w:r>
      <w:r w:rsidRPr="00490741">
        <w:rPr>
          <w:rFonts w:asciiTheme="minorEastAsia" w:eastAsiaTheme="minorEastAsia" w:hAnsiTheme="minorEastAsia"/>
          <w:color w:val="000000" w:themeColor="text1"/>
          <w:kern w:val="0"/>
        </w:rPr>
        <w:t>从事损害基金财产和基金份额持有人利益的证券交易及其他活动。</w:t>
      </w:r>
    </w:p>
    <w:p w:rsidR="0002608C" w:rsidRPr="00490741" w:rsidP="00107648">
      <w:pPr>
        <w:pStyle w:val="Heading2"/>
        <w:snapToGrid w:val="0"/>
        <w:spacing w:beforeLines="0" w:afterLines="0" w:line="360" w:lineRule="auto"/>
        <w:ind w:firstLine="0" w:firstLineChars="0"/>
        <w:rPr>
          <w:rStyle w:val="da"/>
          <w:rFonts w:asciiTheme="minorEastAsia" w:eastAsiaTheme="minorEastAsia" w:hAnsiTheme="minorEastAsia"/>
          <w:color w:val="000000" w:themeColor="text1"/>
          <w:sz w:val="21"/>
        </w:rPr>
      </w:pPr>
      <w:bookmarkStart w:id="11" w:name="_Toc114237386"/>
      <w:r w:rsidRPr="00490741">
        <w:rPr>
          <w:rFonts w:asciiTheme="minorEastAsia" w:eastAsiaTheme="minorEastAsia" w:hAnsiTheme="minorEastAsia" w:hint="eastAsia"/>
          <w:b w:val="0"/>
          <w:bCs/>
          <w:color w:val="000000" w:themeColor="text1"/>
          <w:szCs w:val="21"/>
        </w:rPr>
        <w:t>（五）</w:t>
      </w:r>
      <w:r w:rsidRPr="00490741">
        <w:rPr>
          <w:rFonts w:asciiTheme="minorEastAsia" w:eastAsiaTheme="minorEastAsia" w:hAnsiTheme="minorEastAsia"/>
          <w:b w:val="0"/>
          <w:bCs/>
          <w:color w:val="000000" w:themeColor="text1"/>
          <w:szCs w:val="21"/>
        </w:rPr>
        <w:t>基金管理人的内部控制制度</w:t>
      </w:r>
      <w:bookmarkEnd w:id="11"/>
    </w:p>
    <w:p w:rsidR="0002608C" w:rsidRPr="00490741" w:rsidP="00107648">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szCs w:val="21"/>
        </w:rPr>
        <w:t>为保证公司规范化运作，有效地防范和化解经营风险，促进公司诚信、合法、有效经营，保障基金份额持有人利益，维护公司及公司股东的合法权益，本基金管理人建立了科学、严密、高效的内部控制体系。</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、公司内部控制的总体目标</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）保证公司经营管理活动的合法合规性；</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2</w:t>
      </w:r>
      <w:r w:rsidRPr="00490741">
        <w:rPr>
          <w:rFonts w:asciiTheme="minorEastAsia" w:eastAsiaTheme="minorEastAsia" w:hAnsiTheme="minorEastAsia"/>
          <w:color w:val="000000" w:themeColor="text1"/>
        </w:rPr>
        <w:t>）保证各类基金份额持有人及委托人的合法权益不受侵犯；</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3</w:t>
      </w:r>
      <w:r w:rsidRPr="00490741">
        <w:rPr>
          <w:rFonts w:asciiTheme="minorEastAsia" w:eastAsiaTheme="minorEastAsia" w:hAnsiTheme="minorEastAsia"/>
          <w:color w:val="000000" w:themeColor="text1"/>
        </w:rPr>
        <w:t>）防范和化解经营风险，提高经营管理效率，确保业务稳健经营运行和受托资产安全完整，实现公司的持续、健康发展，促进公司实现发展战略；</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4</w:t>
      </w:r>
      <w:r w:rsidRPr="00490741">
        <w:rPr>
          <w:rFonts w:asciiTheme="minorEastAsia" w:eastAsiaTheme="minorEastAsia" w:hAnsiTheme="minorEastAsia"/>
          <w:color w:val="000000" w:themeColor="text1"/>
        </w:rPr>
        <w:t>）督促公司全体员工恪守职业操守，正直诚信，廉洁自律，勤勉尽责；</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5</w:t>
      </w:r>
      <w:r w:rsidRPr="00490741">
        <w:rPr>
          <w:rFonts w:asciiTheme="minorEastAsia" w:eastAsiaTheme="minorEastAsia" w:hAnsiTheme="minorEastAsia"/>
          <w:color w:val="000000" w:themeColor="text1"/>
        </w:rPr>
        <w:t>）维护公司的声誉，保持公司的良好形象。</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w:t>
      </w:r>
      <w:r w:rsidRPr="00490741">
        <w:rPr>
          <w:rFonts w:asciiTheme="minorEastAsia" w:eastAsiaTheme="minorEastAsia" w:hAnsiTheme="minorEastAsia"/>
          <w:color w:val="000000" w:themeColor="text1"/>
        </w:rPr>
        <w:t>、公司内部控制遵循的原则</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）健全性原则。内部控制应当包括公司的各项业务、各个部门或机构和各级人员</w:t>
      </w: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并涵盖到决策、执行、监督、反馈等各个环节。</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2</w:t>
      </w:r>
      <w:r w:rsidRPr="00490741">
        <w:rPr>
          <w:rFonts w:asciiTheme="minorEastAsia" w:eastAsiaTheme="minorEastAsia" w:hAnsiTheme="minorEastAsia"/>
          <w:color w:val="000000" w:themeColor="text1"/>
        </w:rPr>
        <w:t>）有效性原则。通过科学的内控手段和方法，建立合理的内控程序，维护内控制度的有效执行。</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3</w:t>
      </w:r>
      <w:r w:rsidRPr="00490741">
        <w:rPr>
          <w:rFonts w:asciiTheme="minorEastAsia" w:eastAsiaTheme="minorEastAsia" w:hAnsiTheme="minorEastAsia"/>
          <w:color w:val="000000" w:themeColor="text1"/>
        </w:rPr>
        <w:t>）独立性原则。公司机构、部门和岗位职责应当保持相对独立，除非法律法规另有规定，公司基金资产、自有资产、其他资产的运作应当分离。</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4</w:t>
      </w:r>
      <w:r w:rsidRPr="00490741">
        <w:rPr>
          <w:rFonts w:asciiTheme="minorEastAsia" w:eastAsiaTheme="minorEastAsia" w:hAnsiTheme="minorEastAsia"/>
          <w:color w:val="000000" w:themeColor="text1"/>
        </w:rPr>
        <w:t>）相互制约原则。公司内部部门和岗位的设置应当体现权责分明、相互制衡。</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5</w:t>
      </w:r>
      <w:r w:rsidRPr="00490741">
        <w:rPr>
          <w:rFonts w:asciiTheme="minorEastAsia" w:eastAsiaTheme="minorEastAsia" w:hAnsiTheme="minorEastAsia"/>
          <w:color w:val="000000" w:themeColor="text1"/>
        </w:rPr>
        <w:t>）成本效益原则。公</w:t>
      </w:r>
      <w:r w:rsidRPr="00490741">
        <w:rPr>
          <w:rFonts w:asciiTheme="minorEastAsia" w:eastAsiaTheme="minorEastAsia" w:hAnsiTheme="minorEastAsia"/>
          <w:color w:val="000000" w:themeColor="text1"/>
        </w:rPr>
        <w:t>司运用科学化的经营管理方法降低运作成本，提高经济效益，力争以合理的控制成本达到最佳的内部控制效果。</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3</w:t>
      </w:r>
      <w:r w:rsidRPr="00490741">
        <w:rPr>
          <w:rFonts w:asciiTheme="minorEastAsia" w:eastAsiaTheme="minorEastAsia" w:hAnsiTheme="minorEastAsia"/>
          <w:color w:val="000000" w:themeColor="text1"/>
        </w:rPr>
        <w:t>、内部控制的制度体系</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公司制定了合理、完备、有效并易于执行的制度体系。公司制度体系由不同层面的制度</w:t>
      </w:r>
      <w:r w:rsidRPr="00490741">
        <w:rPr>
          <w:rFonts w:asciiTheme="minorEastAsia" w:eastAsiaTheme="minorEastAsia" w:hAnsiTheme="minorEastAsia"/>
          <w:color w:val="000000" w:themeColor="text1"/>
        </w:rPr>
        <w:t>构成。按照其效力大小分为四个层面：第一个层面是公司章程；第二个层面是公司内部控制大纲，它是公司制定各项规章制度的基础和依据；第三个层面是公司基本管理制度；第四个层面是部门和业务管理制度。它们的制订、修改、实施、废止应该遵循相应的程序，每一层面的内容不得与其以上层面的内容相违背。公司重视对制度的持续检验，结合业务</w:t>
      </w:r>
      <w:r w:rsidRPr="00490741">
        <w:rPr>
          <w:rFonts w:asciiTheme="minorEastAsia" w:eastAsiaTheme="minorEastAsia" w:hAnsiTheme="minorEastAsia"/>
          <w:color w:val="000000" w:themeColor="text1"/>
        </w:rPr>
        <w:t>的发展、法规及监管环境的变化以及公司风险控制的要求，不断检讨和增强公司制度的完备性、有效性。</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4</w:t>
      </w:r>
      <w:r w:rsidRPr="00490741">
        <w:rPr>
          <w:rFonts w:asciiTheme="minorEastAsia" w:eastAsiaTheme="minorEastAsia" w:hAnsiTheme="minorEastAsia"/>
          <w:color w:val="000000" w:themeColor="text1"/>
        </w:rPr>
        <w:t>、关于授权、研究、投资、交易等方面的控制点</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）授权制度</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公司的授权制度贯穿于整个公司活动。股东会、董事会、监事会和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公司授权应适当，对已获授权的部门和人员应建立有效的评价</w:t>
      </w:r>
      <w:r w:rsidRPr="00490741">
        <w:rPr>
          <w:rFonts w:asciiTheme="minorEastAsia" w:eastAsiaTheme="minorEastAsia" w:hAnsiTheme="minorEastAsia"/>
          <w:color w:val="000000" w:themeColor="text1"/>
        </w:rPr>
        <w:t>和反馈机制，对已不适用的授权应及时修改或取消授权。</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2</w:t>
      </w:r>
      <w:r w:rsidRPr="00490741">
        <w:rPr>
          <w:rFonts w:asciiTheme="minorEastAsia" w:eastAsiaTheme="minorEastAsia" w:hAnsiTheme="minorEastAsia"/>
          <w:color w:val="000000" w:themeColor="text1"/>
        </w:rPr>
        <w:t>）公司研究业务</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研究工作应保持独立、客观，不受任何部门及个人的不正当影响；建立严谨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3</w:t>
      </w:r>
      <w:r w:rsidRPr="00490741">
        <w:rPr>
          <w:rFonts w:asciiTheme="minorEastAsia" w:eastAsiaTheme="minorEastAsia" w:hAnsiTheme="minorEastAsia"/>
          <w:color w:val="000000" w:themeColor="text1"/>
        </w:rPr>
        <w:t>）基金投资业务</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基金投资应确立科学的投资理念，根据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范围内；建立科学的投资业绩评价体系，及时回顾分析和评估投资结果。</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4</w:t>
      </w:r>
      <w:r w:rsidRPr="00490741">
        <w:rPr>
          <w:rFonts w:asciiTheme="minorEastAsia" w:eastAsiaTheme="minorEastAsia" w:hAnsiTheme="minorEastAsia"/>
          <w:color w:val="000000" w:themeColor="text1"/>
        </w:rPr>
        <w:t>）交易业务</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建立集中交易部门和集中交易制度，投资指令通过集中交易部门完成；建立交易监测系统、预警系统和交易反馈系统，完善相关的安全设施；集中交易部门应对交易指令进行审核，建立公平的交易分配制度，确保公平对待不同基金；完善交易记录，并及时进行反馈、核对和存档保管；建立科学的投资交易绩效评价体系。</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5</w:t>
      </w:r>
      <w:r w:rsidRPr="00490741">
        <w:rPr>
          <w:rFonts w:asciiTheme="minorEastAsia" w:eastAsiaTheme="minorEastAsia" w:hAnsiTheme="minorEastAsia"/>
          <w:color w:val="000000" w:themeColor="text1"/>
        </w:rPr>
        <w:t>）基金会计核算</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公司根据法律法规及业务的要求建立会计制度，并根据风险控制点建立健全规范的系统和流程，以基金为会计核算主体，独立建账、独立核算。通过合理的估值方法和估值程序等会计措施，真实、完整、及时地记载每一笔业务并正确进行</w:t>
      </w:r>
      <w:r w:rsidRPr="00490741">
        <w:rPr>
          <w:rFonts w:asciiTheme="minorEastAsia" w:eastAsiaTheme="minorEastAsia" w:hAnsiTheme="minorEastAsia"/>
          <w:color w:val="000000" w:themeColor="text1"/>
        </w:rPr>
        <w:t>会计核算和业务核算。同时建立会计档案保管制度，确保档案真实完整。</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6</w:t>
      </w:r>
      <w:r w:rsidRPr="00490741">
        <w:rPr>
          <w:rFonts w:asciiTheme="minorEastAsia" w:eastAsiaTheme="minorEastAsia" w:hAnsiTheme="minorEastAsia"/>
          <w:color w:val="000000" w:themeColor="text1"/>
        </w:rPr>
        <w:t>）信息披露</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公司建立了完备的信息披露制度，指定了信息披露负责人，并建立了相应的制度流程规范相关信息的收集、组织、审核和发布，努力确保公开披露的信息真实、准确、完整、及时。</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7</w:t>
      </w:r>
      <w:r w:rsidRPr="00490741">
        <w:rPr>
          <w:rFonts w:asciiTheme="minorEastAsia" w:eastAsiaTheme="minorEastAsia" w:hAnsiTheme="minorEastAsia"/>
          <w:color w:val="000000" w:themeColor="text1"/>
        </w:rPr>
        <w:t>）监察与合规管理</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公司设立督察长，由董事会聘任，向董事会负责。根据公司监察与合规管理工作的需要和董事会授权，督察长可以列席公司相关会议，调阅公司相关档案资料，就内部控制制度的执行情况独立地履行检查、评价、报告、建议职能。督察长定期和不定期向董事会报告公司内部控制执行</w:t>
      </w:r>
      <w:r w:rsidRPr="00490741">
        <w:rPr>
          <w:rFonts w:asciiTheme="minorEastAsia" w:eastAsiaTheme="minorEastAsia" w:hAnsiTheme="minorEastAsia"/>
          <w:color w:val="000000" w:themeColor="text1"/>
        </w:rPr>
        <w:t>情况，董事会对督察长的报告进行审议。</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公司设立监察合规管理部门，并保障其独立性。监察合规管理部门按照公司规定和督察长的安排履行监察与合规管理职责。</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监察合规管理部门通过定期或不定期检查内部控制制度的执行情况，督促公司和旗下基金的管理运作规范进行。</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公司董事会和管理层充分重视和支持监察与合规管理工作，对违反法律、法规和公司内部控制制度的，追究有关部门和人员的责任。</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5</w:t>
      </w:r>
      <w:r w:rsidRPr="00490741">
        <w:rPr>
          <w:rFonts w:asciiTheme="minorEastAsia" w:eastAsiaTheme="minorEastAsia" w:hAnsiTheme="minorEastAsia"/>
          <w:color w:val="000000" w:themeColor="text1"/>
        </w:rPr>
        <w:t>、基金管理人关于内部控制制度声明书</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）本公司承诺以上关于内部控制制度的披露真实、准确；</w:t>
      </w:r>
    </w:p>
    <w:p w:rsidR="0002608C"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2</w:t>
      </w:r>
      <w:r w:rsidRPr="00490741">
        <w:rPr>
          <w:rFonts w:asciiTheme="minorEastAsia" w:eastAsiaTheme="minorEastAsia" w:hAnsiTheme="minorEastAsia" w:hint="eastAsia"/>
          <w:color w:val="000000" w:themeColor="text1"/>
        </w:rPr>
        <w:t>）本公司承诺根据市场变化和公司业务发展不断完善内</w:t>
      </w:r>
      <w:r w:rsidRPr="00490741">
        <w:rPr>
          <w:rFonts w:asciiTheme="minorEastAsia" w:eastAsiaTheme="minorEastAsia" w:hAnsiTheme="minorEastAsia" w:hint="eastAsia"/>
          <w:color w:val="000000" w:themeColor="text1"/>
        </w:rPr>
        <w:t>部控制制度。</w:t>
      </w:r>
    </w:p>
    <w:p w:rsidR="00E1094C" w:rsidRPr="00490741" w:rsidP="0027407C">
      <w:pPr>
        <w:spacing w:line="360" w:lineRule="auto"/>
        <w:ind w:firstLine="420"/>
        <w:rPr>
          <w:rFonts w:asciiTheme="minorEastAsia" w:eastAsiaTheme="minorEastAsia" w:hAnsiTheme="minorEastAsia"/>
          <w:color w:val="000000" w:themeColor="text1"/>
        </w:rPr>
        <w:sectPr w:rsidSect="0035472D">
          <w:pgSz w:w="11906" w:h="16838" w:code="9"/>
          <w:pgMar w:top="1440" w:right="1800" w:bottom="1440" w:left="1800" w:header="851" w:footer="992" w:gutter="0"/>
          <w:cols w:space="425"/>
          <w:docGrid w:type="lines" w:linePitch="312"/>
        </w:sectPr>
      </w:pPr>
    </w:p>
    <w:p w:rsidR="0002608C" w:rsidRPr="00490741" w:rsidP="00107648">
      <w:pPr>
        <w:pStyle w:val="Heading1"/>
        <w:snapToGrid w:val="0"/>
        <w:spacing w:beforeLines="0" w:afterLines="0" w:line="360" w:lineRule="auto"/>
        <w:ind w:firstLine="643"/>
        <w:rPr>
          <w:rFonts w:asciiTheme="minorEastAsia" w:eastAsiaTheme="minorEastAsia" w:hAnsiTheme="minorEastAsia"/>
          <w:color w:val="000000" w:themeColor="text1"/>
        </w:rPr>
      </w:pPr>
      <w:bookmarkStart w:id="12" w:name="_Toc114237387"/>
      <w:r w:rsidRPr="00490741">
        <w:rPr>
          <w:rFonts w:asciiTheme="minorEastAsia" w:eastAsiaTheme="minorEastAsia" w:hAnsiTheme="minorEastAsia" w:hint="eastAsia"/>
          <w:b/>
          <w:bCs/>
          <w:color w:val="000000" w:themeColor="text1"/>
        </w:rPr>
        <w:t>四、基金托管人</w:t>
      </w:r>
      <w:bookmarkEnd w:id="12"/>
    </w:p>
    <w:p w:rsidR="00D83048"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（一）基金托管人基本情况</w:t>
      </w:r>
      <w:r w:rsidRPr="00490741">
        <w:rPr>
          <w:rFonts w:asciiTheme="minorEastAsia" w:eastAsiaTheme="minorEastAsia" w:hAnsiTheme="minorEastAsia" w:hint="eastAsia"/>
          <w:color w:val="000000" w:themeColor="text1"/>
        </w:rPr>
        <w:t xml:space="preserve"> </w:t>
      </w:r>
    </w:p>
    <w:p w:rsidR="00D83048"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名称：中国工商银行股份有限公司</w:t>
      </w:r>
    </w:p>
    <w:p w:rsidR="00D83048"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注册地址：北京市西城区复兴门内大街</w:t>
      </w:r>
      <w:r w:rsidRPr="00490741">
        <w:rPr>
          <w:rFonts w:asciiTheme="minorEastAsia" w:eastAsiaTheme="minorEastAsia" w:hAnsiTheme="minorEastAsia" w:hint="eastAsia"/>
          <w:color w:val="000000" w:themeColor="text1"/>
        </w:rPr>
        <w:t>55</w:t>
      </w:r>
      <w:r w:rsidRPr="00490741">
        <w:rPr>
          <w:rFonts w:asciiTheme="minorEastAsia" w:eastAsiaTheme="minorEastAsia" w:hAnsiTheme="minorEastAsia" w:hint="eastAsia"/>
          <w:color w:val="000000" w:themeColor="text1"/>
        </w:rPr>
        <w:t>号</w:t>
      </w:r>
    </w:p>
    <w:p w:rsidR="00D83048"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成立时间：</w:t>
      </w:r>
      <w:r w:rsidRPr="00490741" w:rsidR="00731B05">
        <w:rPr>
          <w:rFonts w:asciiTheme="minorEastAsia" w:eastAsiaTheme="minorEastAsia" w:hAnsiTheme="minorEastAsia"/>
          <w:color w:val="000000" w:themeColor="text1"/>
        </w:rPr>
        <w:t>198</w:t>
      </w:r>
      <w:r w:rsidRPr="00490741" w:rsidR="00731B05">
        <w:rPr>
          <w:rFonts w:asciiTheme="minorEastAsia" w:eastAsiaTheme="minorEastAsia" w:hAnsiTheme="minorEastAsia" w:hint="eastAsia"/>
          <w:color w:val="000000" w:themeColor="text1"/>
        </w:rPr>
        <w:t>4</w:t>
      </w:r>
      <w:r w:rsidRPr="00490741" w:rsidR="00731B05">
        <w:rPr>
          <w:rFonts w:asciiTheme="minorEastAsia" w:eastAsiaTheme="minorEastAsia" w:hAnsiTheme="minorEastAsia"/>
          <w:color w:val="000000" w:themeColor="text1"/>
        </w:rPr>
        <w:t>年</w:t>
      </w:r>
      <w:r w:rsidRPr="00490741" w:rsidR="00731B05">
        <w:rPr>
          <w:rFonts w:asciiTheme="minorEastAsia" w:eastAsiaTheme="minorEastAsia" w:hAnsiTheme="minorEastAsia" w:hint="eastAsia"/>
          <w:color w:val="000000" w:themeColor="text1"/>
        </w:rPr>
        <w:t>1</w:t>
      </w:r>
      <w:r w:rsidRPr="00490741" w:rsidR="00731B05">
        <w:rPr>
          <w:rFonts w:asciiTheme="minorEastAsia" w:eastAsiaTheme="minorEastAsia" w:hAnsiTheme="minorEastAsia"/>
          <w:color w:val="000000" w:themeColor="text1"/>
        </w:rPr>
        <w:t>月</w:t>
      </w:r>
      <w:r w:rsidRPr="00490741" w:rsidR="00731B05">
        <w:rPr>
          <w:rFonts w:asciiTheme="minorEastAsia" w:eastAsiaTheme="minorEastAsia" w:hAnsiTheme="minorEastAsia" w:hint="eastAsia"/>
          <w:color w:val="000000" w:themeColor="text1"/>
        </w:rPr>
        <w:t>1</w:t>
      </w:r>
      <w:r w:rsidRPr="00490741" w:rsidR="00731B05">
        <w:rPr>
          <w:rFonts w:asciiTheme="minorEastAsia" w:eastAsiaTheme="minorEastAsia" w:hAnsiTheme="minorEastAsia"/>
          <w:color w:val="000000" w:themeColor="text1"/>
        </w:rPr>
        <w:t>日</w:t>
      </w:r>
    </w:p>
    <w:p w:rsidR="00D83048"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法定代表人：</w:t>
      </w:r>
      <w:r w:rsidRPr="00490741" w:rsidR="007B082E">
        <w:rPr>
          <w:rFonts w:asciiTheme="minorEastAsia" w:eastAsiaTheme="minorEastAsia" w:hAnsiTheme="minorEastAsia" w:hint="eastAsia"/>
          <w:color w:val="000000" w:themeColor="text1"/>
        </w:rPr>
        <w:t>陈四清</w:t>
      </w:r>
    </w:p>
    <w:p w:rsidR="00D83048"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注册资本：</w:t>
      </w:r>
      <w:r w:rsidRPr="00490741" w:rsidR="008864C4">
        <w:rPr>
          <w:rFonts w:asciiTheme="minorEastAsia" w:eastAsiaTheme="minorEastAsia" w:hAnsiTheme="minorEastAsia" w:hint="eastAsia"/>
          <w:color w:val="000000" w:themeColor="text1"/>
        </w:rPr>
        <w:t>人民币35,640,625.7089万元</w:t>
      </w:r>
    </w:p>
    <w:p w:rsidR="00D83048"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联系电话：</w:t>
      </w:r>
      <w:r w:rsidRPr="00490741">
        <w:rPr>
          <w:rFonts w:asciiTheme="minorEastAsia" w:eastAsiaTheme="minorEastAsia" w:hAnsiTheme="minorEastAsia" w:hint="eastAsia"/>
          <w:color w:val="000000" w:themeColor="text1"/>
        </w:rPr>
        <w:t>010-66105799</w:t>
      </w:r>
    </w:p>
    <w:p w:rsidR="00D83048"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联系人：郭明</w:t>
      </w:r>
    </w:p>
    <w:p w:rsidR="00D83048"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（二）主要人员情况</w:t>
      </w:r>
    </w:p>
    <w:p w:rsidR="00D83048"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截至</w:t>
      </w:r>
      <w:r w:rsidRPr="00490741">
        <w:rPr>
          <w:rFonts w:asciiTheme="minorEastAsia" w:eastAsiaTheme="minorEastAsia" w:hAnsiTheme="minorEastAsia" w:hint="eastAsia"/>
          <w:color w:val="000000" w:themeColor="text1"/>
        </w:rPr>
        <w:t>2021</w:t>
      </w:r>
      <w:r w:rsidRPr="00490741">
        <w:rPr>
          <w:rFonts w:asciiTheme="minorEastAsia" w:eastAsiaTheme="minorEastAsia" w:hAnsiTheme="minorEastAsia" w:hint="eastAsia"/>
          <w:color w:val="000000" w:themeColor="text1"/>
        </w:rPr>
        <w:t>年</w:t>
      </w:r>
      <w:r w:rsidRPr="00490741">
        <w:rPr>
          <w:rFonts w:asciiTheme="minorEastAsia" w:eastAsiaTheme="minorEastAsia" w:hAnsiTheme="minorEastAsia" w:hint="eastAsia"/>
          <w:color w:val="000000" w:themeColor="text1"/>
        </w:rPr>
        <w:t>12</w:t>
      </w:r>
      <w:r w:rsidRPr="00490741">
        <w:rPr>
          <w:rFonts w:asciiTheme="minorEastAsia" w:eastAsiaTheme="minorEastAsia" w:hAnsiTheme="minorEastAsia" w:hint="eastAsia"/>
          <w:color w:val="000000" w:themeColor="text1"/>
        </w:rPr>
        <w:t>月，中国工商银行资产托管部共有员工</w:t>
      </w:r>
      <w:r w:rsidRPr="00490741">
        <w:rPr>
          <w:rFonts w:asciiTheme="minorEastAsia" w:eastAsiaTheme="minorEastAsia" w:hAnsiTheme="minorEastAsia" w:hint="eastAsia"/>
          <w:color w:val="000000" w:themeColor="text1"/>
        </w:rPr>
        <w:t>214</w:t>
      </w:r>
      <w:r w:rsidRPr="00490741">
        <w:rPr>
          <w:rFonts w:asciiTheme="minorEastAsia" w:eastAsiaTheme="minorEastAsia" w:hAnsiTheme="minorEastAsia" w:hint="eastAsia"/>
          <w:color w:val="000000" w:themeColor="text1"/>
        </w:rPr>
        <w:t>人，平均年龄</w:t>
      </w:r>
      <w:r w:rsidRPr="00490741">
        <w:rPr>
          <w:rFonts w:asciiTheme="minorEastAsia" w:eastAsiaTheme="minorEastAsia" w:hAnsiTheme="minorEastAsia" w:hint="eastAsia"/>
          <w:color w:val="000000" w:themeColor="text1"/>
        </w:rPr>
        <w:t>34</w:t>
      </w:r>
      <w:r w:rsidRPr="00490741">
        <w:rPr>
          <w:rFonts w:asciiTheme="minorEastAsia" w:eastAsiaTheme="minorEastAsia" w:hAnsiTheme="minorEastAsia" w:hint="eastAsia"/>
          <w:color w:val="000000" w:themeColor="text1"/>
        </w:rPr>
        <w:t>岁，</w:t>
      </w:r>
      <w:r w:rsidRPr="00490741">
        <w:rPr>
          <w:rFonts w:asciiTheme="minorEastAsia" w:eastAsiaTheme="minorEastAsia" w:hAnsiTheme="minorEastAsia" w:hint="eastAsia"/>
          <w:color w:val="000000" w:themeColor="text1"/>
        </w:rPr>
        <w:t>95%</w:t>
      </w:r>
      <w:r w:rsidRPr="00490741">
        <w:rPr>
          <w:rFonts w:asciiTheme="minorEastAsia" w:eastAsiaTheme="minorEastAsia" w:hAnsiTheme="minorEastAsia" w:hint="eastAsia"/>
          <w:color w:val="000000" w:themeColor="text1"/>
        </w:rPr>
        <w:t>以上员工拥有大学本科以上学历，高管人员均拥有研究生以上学历或高级技术职称</w:t>
      </w:r>
      <w:r w:rsidRPr="00490741" w:rsidR="00125366">
        <w:rPr>
          <w:rFonts w:asciiTheme="minorEastAsia" w:eastAsiaTheme="minorEastAsia" w:hAnsiTheme="minorEastAsia" w:hint="eastAsia"/>
          <w:color w:val="000000" w:themeColor="text1"/>
        </w:rPr>
        <w:t>。</w:t>
      </w:r>
    </w:p>
    <w:p w:rsidR="00D83048"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（三）基金托管业务经营情况</w:t>
      </w:r>
    </w:p>
    <w:p w:rsidR="00AD0AAE"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作为中国大陆托管服务的先行者，中国工商银行自</w:t>
      </w:r>
      <w:r w:rsidRPr="00490741">
        <w:rPr>
          <w:rFonts w:asciiTheme="minorEastAsia" w:eastAsiaTheme="minorEastAsia" w:hAnsiTheme="minorEastAsia" w:hint="eastAsia"/>
          <w:color w:val="000000" w:themeColor="text1"/>
        </w:rPr>
        <w:t>1998</w:t>
      </w:r>
      <w:r w:rsidRPr="00490741">
        <w:rPr>
          <w:rFonts w:asciiTheme="minorEastAsia" w:eastAsiaTheme="minorEastAsia" w:hAnsiTheme="minorEastAsia" w:hint="eastAsia"/>
          <w:color w:val="000000" w:themeColor="text1"/>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w:t>
      </w:r>
      <w:r w:rsidRPr="00490741">
        <w:rPr>
          <w:rFonts w:asciiTheme="minorEastAsia" w:eastAsiaTheme="minorEastAsia" w:hAnsiTheme="minorEastAsia" w:hint="eastAsia"/>
          <w:color w:val="000000" w:themeColor="text1"/>
        </w:rPr>
        <w:t>QFII</w:t>
      </w:r>
      <w:r w:rsidRPr="00490741">
        <w:rPr>
          <w:rFonts w:asciiTheme="minorEastAsia" w:eastAsiaTheme="minorEastAsia" w:hAnsiTheme="minorEastAsia" w:hint="eastAsia"/>
          <w:color w:val="000000" w:themeColor="text1"/>
        </w:rPr>
        <w:t>资产、</w:t>
      </w:r>
      <w:r w:rsidRPr="00490741">
        <w:rPr>
          <w:rFonts w:asciiTheme="minorEastAsia" w:eastAsiaTheme="minorEastAsia" w:hAnsiTheme="minorEastAsia" w:hint="eastAsia"/>
          <w:color w:val="000000" w:themeColor="text1"/>
        </w:rPr>
        <w:t>QDII</w:t>
      </w:r>
      <w:r w:rsidRPr="00490741">
        <w:rPr>
          <w:rFonts w:asciiTheme="minorEastAsia" w:eastAsiaTheme="minorEastAsia" w:hAnsiTheme="minorEastAsia" w:hint="eastAsia"/>
          <w:color w:val="000000" w:themeColor="text1"/>
        </w:rPr>
        <w:t>资</w:t>
      </w:r>
      <w:r w:rsidRPr="00490741">
        <w:rPr>
          <w:rFonts w:asciiTheme="minorEastAsia" w:eastAsiaTheme="minorEastAsia" w:hAnsiTheme="minorEastAsia" w:hint="eastAsia"/>
          <w:color w:val="000000" w:themeColor="text1"/>
        </w:rPr>
        <w:t>产、股权投资基金、证券公司集合资产管理计划、证券公司定向资产管理计划、商业银行信贷资产证券化、基金公司特定客户资产管理、</w:t>
      </w:r>
      <w:r w:rsidRPr="00490741">
        <w:rPr>
          <w:rFonts w:asciiTheme="minorEastAsia" w:eastAsiaTheme="minorEastAsia" w:hAnsiTheme="minorEastAsia" w:hint="eastAsia"/>
          <w:color w:val="000000" w:themeColor="text1"/>
        </w:rPr>
        <w:t>QDII</w:t>
      </w:r>
      <w:r w:rsidRPr="00490741">
        <w:rPr>
          <w:rFonts w:asciiTheme="minorEastAsia" w:eastAsiaTheme="minorEastAsia" w:hAnsiTheme="minorEastAsia" w:hint="eastAsia"/>
          <w:color w:val="000000" w:themeColor="text1"/>
        </w:rPr>
        <w:t>专户资产、</w:t>
      </w:r>
      <w:r w:rsidRPr="00490741">
        <w:rPr>
          <w:rFonts w:asciiTheme="minorEastAsia" w:eastAsiaTheme="minorEastAsia" w:hAnsiTheme="minorEastAsia" w:hint="eastAsia"/>
          <w:color w:val="000000" w:themeColor="text1"/>
        </w:rPr>
        <w:t>ESCROW</w:t>
      </w:r>
      <w:r w:rsidRPr="00490741">
        <w:rPr>
          <w:rFonts w:asciiTheme="minorEastAsia" w:eastAsiaTheme="minorEastAsia" w:hAnsiTheme="minorEastAsia" w:hint="eastAsia"/>
          <w:color w:val="000000" w:themeColor="text1"/>
        </w:rPr>
        <w:t>等门类齐全的托管产品体系，同时在国内率先开展绩效评估、风险管理等增值服务，可以为各类客户提供个性化的托管服务。截至</w:t>
      </w:r>
      <w:r w:rsidRPr="00490741">
        <w:rPr>
          <w:rFonts w:asciiTheme="minorEastAsia" w:eastAsiaTheme="minorEastAsia" w:hAnsiTheme="minorEastAsia" w:hint="eastAsia"/>
          <w:color w:val="000000" w:themeColor="text1"/>
        </w:rPr>
        <w:t>2021</w:t>
      </w:r>
      <w:r w:rsidRPr="00490741">
        <w:rPr>
          <w:rFonts w:asciiTheme="minorEastAsia" w:eastAsiaTheme="minorEastAsia" w:hAnsiTheme="minorEastAsia" w:hint="eastAsia"/>
          <w:color w:val="000000" w:themeColor="text1"/>
        </w:rPr>
        <w:t>年</w:t>
      </w:r>
      <w:r w:rsidRPr="00490741">
        <w:rPr>
          <w:rFonts w:asciiTheme="minorEastAsia" w:eastAsiaTheme="minorEastAsia" w:hAnsiTheme="minorEastAsia" w:hint="eastAsia"/>
          <w:color w:val="000000" w:themeColor="text1"/>
        </w:rPr>
        <w:t>12</w:t>
      </w:r>
      <w:r w:rsidRPr="00490741">
        <w:rPr>
          <w:rFonts w:asciiTheme="minorEastAsia" w:eastAsiaTheme="minorEastAsia" w:hAnsiTheme="minorEastAsia" w:hint="eastAsia"/>
          <w:color w:val="000000" w:themeColor="text1"/>
        </w:rPr>
        <w:t>月，中国工商银行共托管证券投资基金</w:t>
      </w:r>
      <w:r w:rsidRPr="00490741">
        <w:rPr>
          <w:rFonts w:asciiTheme="minorEastAsia" w:eastAsiaTheme="minorEastAsia" w:hAnsiTheme="minorEastAsia" w:hint="eastAsia"/>
          <w:color w:val="000000" w:themeColor="text1"/>
        </w:rPr>
        <w:t>1288</w:t>
      </w:r>
      <w:r w:rsidRPr="00490741">
        <w:rPr>
          <w:rFonts w:asciiTheme="minorEastAsia" w:eastAsiaTheme="minorEastAsia" w:hAnsiTheme="minorEastAsia" w:hint="eastAsia"/>
          <w:color w:val="000000" w:themeColor="text1"/>
        </w:rPr>
        <w:t>只。自</w:t>
      </w:r>
      <w:r w:rsidRPr="00490741">
        <w:rPr>
          <w:rFonts w:asciiTheme="minorEastAsia" w:eastAsiaTheme="minorEastAsia" w:hAnsiTheme="minorEastAsia" w:hint="eastAsia"/>
          <w:color w:val="000000" w:themeColor="text1"/>
        </w:rPr>
        <w:t>2003</w:t>
      </w:r>
      <w:r w:rsidRPr="00490741">
        <w:rPr>
          <w:rFonts w:asciiTheme="minorEastAsia" w:eastAsiaTheme="minorEastAsia" w:hAnsiTheme="minorEastAsia" w:hint="eastAsia"/>
          <w:color w:val="000000" w:themeColor="text1"/>
        </w:rPr>
        <w:t>年以来，本行连续十八年获得香港《亚洲货币》、英国《全球托管人》、香港《财资》、美国《环球金融》、内地《证券时报》、《上海证券报》等境内外权威财经媒体评选的</w:t>
      </w:r>
      <w:r w:rsidRPr="00490741">
        <w:rPr>
          <w:rFonts w:asciiTheme="minorEastAsia" w:eastAsiaTheme="minorEastAsia" w:hAnsiTheme="minorEastAsia" w:hint="eastAsia"/>
          <w:color w:val="000000" w:themeColor="text1"/>
        </w:rPr>
        <w:t>80</w:t>
      </w:r>
      <w:r w:rsidRPr="00490741">
        <w:rPr>
          <w:rFonts w:asciiTheme="minorEastAsia" w:eastAsiaTheme="minorEastAsia" w:hAnsiTheme="minorEastAsia" w:hint="eastAsia"/>
          <w:color w:val="000000" w:themeColor="text1"/>
        </w:rPr>
        <w:t>项最佳托管银行大奖；</w:t>
      </w:r>
      <w:r w:rsidRPr="00490741">
        <w:rPr>
          <w:rFonts w:asciiTheme="minorEastAsia" w:eastAsiaTheme="minorEastAsia" w:hAnsiTheme="minorEastAsia" w:hint="eastAsia"/>
          <w:color w:val="000000" w:themeColor="text1"/>
        </w:rPr>
        <w:t>是获得奖项最多的国内托管银行，优良的服务品质获得国内外金融领域的持续认可和广泛好评</w:t>
      </w:r>
      <w:r w:rsidRPr="00490741" w:rsidR="00125366">
        <w:rPr>
          <w:rFonts w:asciiTheme="minorEastAsia" w:eastAsiaTheme="minorEastAsia" w:hAnsiTheme="minorEastAsia"/>
          <w:color w:val="000000" w:themeColor="text1"/>
        </w:rPr>
        <w:t>。</w:t>
      </w:r>
    </w:p>
    <w:p w:rsidR="004D3B26"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（四）基金托管人的内部控制制度</w:t>
      </w:r>
    </w:p>
    <w:p w:rsidR="004D3B26"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中国工商银行资产托管部自成立以来，各项业务飞速发展，始终保持在资产托管行业的</w:t>
      </w:r>
      <w:r w:rsidRPr="00490741">
        <w:rPr>
          <w:rFonts w:asciiTheme="minorEastAsia" w:eastAsiaTheme="minorEastAsia" w:hAnsiTheme="minorEastAsia" w:hint="eastAsia"/>
          <w:color w:val="000000" w:themeColor="text1"/>
        </w:rPr>
        <w:t>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w:t>
      </w:r>
      <w:r w:rsidRPr="00490741">
        <w:rPr>
          <w:rFonts w:asciiTheme="minorEastAsia" w:eastAsiaTheme="minorEastAsia" w:hAnsiTheme="minorEastAsia" w:hint="eastAsia"/>
          <w:color w:val="000000" w:themeColor="text1"/>
        </w:rPr>
        <w:t>2005</w:t>
      </w:r>
      <w:r w:rsidRPr="00490741">
        <w:rPr>
          <w:rFonts w:asciiTheme="minorEastAsia" w:eastAsiaTheme="minorEastAsia" w:hAnsiTheme="minorEastAsia" w:hint="eastAsia"/>
          <w:color w:val="000000" w:themeColor="text1"/>
        </w:rPr>
        <w:t>年至今共</w:t>
      </w:r>
      <w:r w:rsidRPr="00490741" w:rsidR="00040DAE">
        <w:rPr>
          <w:rFonts w:asciiTheme="minorEastAsia" w:eastAsiaTheme="minorEastAsia" w:hAnsiTheme="minorEastAsia" w:hint="eastAsia"/>
          <w:color w:val="000000" w:themeColor="text1"/>
        </w:rPr>
        <w:t>十四</w:t>
      </w:r>
      <w:r w:rsidRPr="00490741">
        <w:rPr>
          <w:rFonts w:asciiTheme="minorEastAsia" w:eastAsiaTheme="minorEastAsia" w:hAnsiTheme="minorEastAsia" w:hint="eastAsia"/>
          <w:color w:val="000000" w:themeColor="text1"/>
        </w:rPr>
        <w:t>次顺利通过评估组织内</w:t>
      </w:r>
      <w:r w:rsidRPr="00490741">
        <w:rPr>
          <w:rFonts w:asciiTheme="minorEastAsia" w:eastAsiaTheme="minorEastAsia" w:hAnsiTheme="minorEastAsia" w:hint="eastAsia"/>
          <w:color w:val="000000" w:themeColor="text1"/>
        </w:rPr>
        <w:t>部控制和安全措施最权威的</w:t>
      </w:r>
      <w:r w:rsidRPr="00490741">
        <w:rPr>
          <w:rFonts w:asciiTheme="minorEastAsia" w:eastAsiaTheme="minorEastAsia" w:hAnsiTheme="minorEastAsia" w:hint="eastAsia"/>
          <w:color w:val="000000" w:themeColor="text1"/>
        </w:rPr>
        <w:t>ISAE3402</w:t>
      </w:r>
      <w:r w:rsidRPr="00490741">
        <w:rPr>
          <w:rFonts w:asciiTheme="minorEastAsia" w:eastAsiaTheme="minorEastAsia" w:hAnsiTheme="minorEastAsia" w:hint="eastAsia"/>
          <w:color w:val="000000" w:themeColor="text1"/>
        </w:rPr>
        <w:t>审阅，全部获得无保留意见的控制及有效性报告。充分表明独立第三方对我行托管服务在风险管理、内部控制方面的健全性和有效性的全面认可</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也证明中国工商银行托管服务的风险控制能力已经与国际大型托管银行接轨，达到国际先进水平。目前，</w:t>
      </w:r>
      <w:r w:rsidRPr="00490741">
        <w:rPr>
          <w:rFonts w:asciiTheme="minorEastAsia" w:eastAsiaTheme="minorEastAsia" w:hAnsiTheme="minorEastAsia" w:hint="eastAsia"/>
          <w:color w:val="000000" w:themeColor="text1"/>
        </w:rPr>
        <w:t>ISAE3402</w:t>
      </w:r>
      <w:r w:rsidRPr="00490741" w:rsidR="00DD2F95">
        <w:rPr>
          <w:rFonts w:asciiTheme="minorEastAsia" w:eastAsiaTheme="minorEastAsia" w:hAnsiTheme="minorEastAsia" w:hint="eastAsia"/>
          <w:color w:val="000000" w:themeColor="text1"/>
        </w:rPr>
        <w:t>审阅已经成为年度化、常规化的内控工作手段。</w:t>
      </w:r>
    </w:p>
    <w:p w:rsidR="004D3B26"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1</w:t>
      </w:r>
      <w:r w:rsidRPr="00490741">
        <w:rPr>
          <w:rFonts w:asciiTheme="minorEastAsia" w:eastAsiaTheme="minorEastAsia" w:hAnsiTheme="minorEastAsia" w:hint="eastAsia"/>
          <w:color w:val="000000" w:themeColor="text1"/>
        </w:rPr>
        <w:t>、内部风险控制目标</w:t>
      </w:r>
    </w:p>
    <w:p w:rsidR="004D3B26"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保证业务运作严格遵守国家有关法律法规和行业监管规则，强化和建立守法经营、规范运作的经营思想和经营风格，形成一个运作规范化、管理科学化、监控制度化的内控体系；防范和化解经营</w:t>
      </w:r>
      <w:r w:rsidRPr="00490741">
        <w:rPr>
          <w:rFonts w:asciiTheme="minorEastAsia" w:eastAsiaTheme="minorEastAsia" w:hAnsiTheme="minorEastAsia" w:hint="eastAsia"/>
          <w:color w:val="000000" w:themeColor="text1"/>
        </w:rPr>
        <w:t>风险，保证托管资产的安全完整；维护持有人的权益；保障资产托管业务安全、有效、稳健运行。</w:t>
      </w:r>
    </w:p>
    <w:p w:rsidR="004D3B26"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2</w:t>
      </w:r>
      <w:r w:rsidRPr="00490741">
        <w:rPr>
          <w:rFonts w:asciiTheme="minorEastAsia" w:eastAsiaTheme="minorEastAsia" w:hAnsiTheme="minorEastAsia" w:hint="eastAsia"/>
          <w:color w:val="000000" w:themeColor="text1"/>
        </w:rPr>
        <w:t>、内部风险控制组织结构</w:t>
      </w:r>
    </w:p>
    <w:p w:rsidR="004D3B26"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w:t>
      </w:r>
      <w:r w:rsidRPr="00490741">
        <w:rPr>
          <w:rFonts w:asciiTheme="minorEastAsia" w:eastAsiaTheme="minorEastAsia" w:hAnsiTheme="minorEastAsia" w:hint="eastAsia"/>
          <w:color w:val="000000" w:themeColor="text1"/>
        </w:rPr>
        <w:t>在各自职责范围内实施具体的风险控制措施。</w:t>
      </w:r>
    </w:p>
    <w:p w:rsidR="004D3B26"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3</w:t>
      </w:r>
      <w:r w:rsidRPr="00490741">
        <w:rPr>
          <w:rFonts w:asciiTheme="minorEastAsia" w:eastAsiaTheme="minorEastAsia" w:hAnsiTheme="minorEastAsia" w:hint="eastAsia"/>
          <w:color w:val="000000" w:themeColor="text1"/>
        </w:rPr>
        <w:t>、内部风险控制原则</w:t>
      </w:r>
    </w:p>
    <w:p w:rsidR="004D3B26"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1</w:t>
      </w:r>
      <w:r w:rsidRPr="00490741">
        <w:rPr>
          <w:rFonts w:asciiTheme="minorEastAsia" w:eastAsiaTheme="minorEastAsia" w:hAnsiTheme="minorEastAsia" w:hint="eastAsia"/>
          <w:color w:val="000000" w:themeColor="text1"/>
        </w:rPr>
        <w:t>）合法性原则。内控制度应当符合国家法律法规及监管机构的监管要求，并贯穿于托管业务经营管理活动的始终。</w:t>
      </w:r>
    </w:p>
    <w:p w:rsidR="004D3B26"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2</w:t>
      </w:r>
      <w:r w:rsidRPr="00490741">
        <w:rPr>
          <w:rFonts w:asciiTheme="minorEastAsia" w:eastAsiaTheme="minorEastAsia" w:hAnsiTheme="minorEastAsia" w:hint="eastAsia"/>
          <w:color w:val="000000" w:themeColor="text1"/>
        </w:rPr>
        <w:t>）完整性原则。托管业务的各项经营管理活动都必须有相应的规范程序和监督制约；监督制约应渗透到托管业务的全过程和各个操作环节，覆盖所有的部门、岗位和人员。</w:t>
      </w:r>
    </w:p>
    <w:p w:rsidR="004D3B26"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3</w:t>
      </w:r>
      <w:r w:rsidRPr="00490741">
        <w:rPr>
          <w:rFonts w:asciiTheme="minorEastAsia" w:eastAsiaTheme="minorEastAsia" w:hAnsiTheme="minorEastAsia" w:hint="eastAsia"/>
          <w:color w:val="000000" w:themeColor="text1"/>
        </w:rPr>
        <w:t>）及时性原则。托管业务经营活动必须在发生时能准确及时地记录；按照“内控优先”的原则，新设机构或新增业务品种时，必须做到已建立相关的规章制度。</w:t>
      </w:r>
    </w:p>
    <w:p w:rsidR="004D3B26"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4</w:t>
      </w:r>
      <w:r w:rsidRPr="00490741">
        <w:rPr>
          <w:rFonts w:asciiTheme="minorEastAsia" w:eastAsiaTheme="minorEastAsia" w:hAnsiTheme="minorEastAsia" w:hint="eastAsia"/>
          <w:color w:val="000000" w:themeColor="text1"/>
        </w:rPr>
        <w:t>）审慎性原则。各项业务经营活动必须防</w:t>
      </w:r>
      <w:r w:rsidRPr="00490741">
        <w:rPr>
          <w:rFonts w:asciiTheme="minorEastAsia" w:eastAsiaTheme="minorEastAsia" w:hAnsiTheme="minorEastAsia" w:hint="eastAsia"/>
          <w:color w:val="000000" w:themeColor="text1"/>
        </w:rPr>
        <w:t>范风险，审慎经营，保证基金资产和其他委托资产的安全与完整。</w:t>
      </w:r>
    </w:p>
    <w:p w:rsidR="004D3B26"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5</w:t>
      </w:r>
      <w:r w:rsidRPr="00490741">
        <w:rPr>
          <w:rFonts w:asciiTheme="minorEastAsia" w:eastAsiaTheme="minorEastAsia" w:hAnsiTheme="minorEastAsia" w:hint="eastAsia"/>
          <w:color w:val="000000" w:themeColor="text1"/>
        </w:rPr>
        <w:t>）有效性原则。内控制度应根据国家政策、法律及经营管理的需要适时修改完善，</w:t>
      </w:r>
      <w:r w:rsidRPr="00490741">
        <w:rPr>
          <w:rFonts w:asciiTheme="minorEastAsia" w:eastAsiaTheme="minorEastAsia" w:hAnsiTheme="minorEastAsia" w:hint="eastAsia"/>
          <w:color w:val="000000" w:themeColor="text1"/>
        </w:rPr>
        <w:t>并保证得到全面落实执行，不得有任何空间、时限及人员的例外。</w:t>
      </w:r>
    </w:p>
    <w:p w:rsidR="004D3B26"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6</w:t>
      </w:r>
      <w:r w:rsidRPr="00490741">
        <w:rPr>
          <w:rFonts w:asciiTheme="minorEastAsia" w:eastAsiaTheme="minorEastAsia" w:hAnsiTheme="minorEastAsia" w:hint="eastAsia"/>
          <w:color w:val="000000" w:themeColor="text1"/>
        </w:rPr>
        <w:t>）独立性原则。设立专门履行托管人职责的管理部门；直接操作人员和控制人员必须相对独立，适当分离；内控制度的检查、评价部门必须独立于内控制度的制定和执行部门。</w:t>
      </w:r>
    </w:p>
    <w:p w:rsidR="004D3B26"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4</w:t>
      </w:r>
      <w:r w:rsidRPr="00490741">
        <w:rPr>
          <w:rFonts w:asciiTheme="minorEastAsia" w:eastAsiaTheme="minorEastAsia" w:hAnsiTheme="minorEastAsia" w:hint="eastAsia"/>
          <w:color w:val="000000" w:themeColor="text1"/>
        </w:rPr>
        <w:t>、内部风险控制措施实施</w:t>
      </w:r>
    </w:p>
    <w:p w:rsidR="004D3B26"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1</w:t>
      </w:r>
      <w:r w:rsidRPr="00490741">
        <w:rPr>
          <w:rFonts w:asciiTheme="minorEastAsia" w:eastAsiaTheme="minorEastAsia" w:hAnsiTheme="minorEastAsia" w:hint="eastAsia"/>
          <w:color w:val="000000" w:themeColor="text1"/>
        </w:rPr>
        <w:t>）严格的隔离制度。资产托管业务与传统业务实行严格分离，建立了明确的岗位职责、科学的业务流程、详细的操作手册、严格的人员行为规范</w:t>
      </w:r>
      <w:r w:rsidRPr="00490741">
        <w:rPr>
          <w:rFonts w:asciiTheme="minorEastAsia" w:eastAsiaTheme="minorEastAsia" w:hAnsiTheme="minorEastAsia" w:hint="eastAsia"/>
          <w:color w:val="000000" w:themeColor="text1"/>
        </w:rPr>
        <w:t>等一系列规章制度，并采取了良好的防火墙隔离制度，能够确保资产独立、环境独立、人员独立、业务制度和管理独立、网络独立。</w:t>
      </w:r>
    </w:p>
    <w:p w:rsidR="004D3B26"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2</w:t>
      </w:r>
      <w:r w:rsidRPr="00490741">
        <w:rPr>
          <w:rFonts w:asciiTheme="minorEastAsia" w:eastAsiaTheme="minorEastAsia" w:hAnsiTheme="minorEastAsia" w:hint="eastAsia"/>
          <w:color w:val="000000" w:themeColor="text1"/>
        </w:rPr>
        <w:t>）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4D3B26"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3</w:t>
      </w:r>
      <w:r w:rsidRPr="00490741">
        <w:rPr>
          <w:rFonts w:asciiTheme="minorEastAsia" w:eastAsiaTheme="minorEastAsia" w:hAnsiTheme="minorEastAsia" w:hint="eastAsia"/>
          <w:color w:val="000000" w:themeColor="text1"/>
        </w:rPr>
        <w:t>）人事控制。资产托管部严格落实岗位责任制，建立“自控防线”、“互控防线”、“监控防线”三道控制防线，健全绩效考核和激励机制，树立“以人为本”的内控文化，增强员</w:t>
      </w:r>
      <w:r w:rsidRPr="00490741">
        <w:rPr>
          <w:rFonts w:asciiTheme="minorEastAsia" w:eastAsiaTheme="minorEastAsia" w:hAnsiTheme="minorEastAsia" w:hint="eastAsia"/>
          <w:color w:val="000000" w:themeColor="text1"/>
        </w:rPr>
        <w:t>工的责任心和荣誉感，培育团队精神和核心竞争力。并通过进行定期、定向的业务与职业道德培训、签订承诺书，使员工树立风险防范与控制理念。</w:t>
      </w:r>
    </w:p>
    <w:p w:rsidR="004D3B26"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4</w:t>
      </w:r>
      <w:r w:rsidRPr="00490741">
        <w:rPr>
          <w:rFonts w:asciiTheme="minorEastAsia" w:eastAsiaTheme="minorEastAsia" w:hAnsiTheme="minorEastAsia" w:hint="eastAsia"/>
          <w:color w:val="000000" w:themeColor="text1"/>
        </w:rPr>
        <w:t>）经营控制。资产托管部通过制定计划、编制预算等方法开展各种业务营销活动、处理各项事务，从而有效地控制和配置组织资源，达到资源利用和效益最大化目的。</w:t>
      </w:r>
    </w:p>
    <w:p w:rsidR="004D3B26"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5</w:t>
      </w:r>
      <w:r w:rsidRPr="00490741">
        <w:rPr>
          <w:rFonts w:asciiTheme="minorEastAsia" w:eastAsiaTheme="minorEastAsia" w:hAnsiTheme="minorEastAsia" w:hint="eastAsia"/>
          <w:color w:val="000000" w:themeColor="text1"/>
        </w:rPr>
        <w:t>）内部风险管理。资产托管部通过稽核监察、风险评估等方式加强内部风险管理，定期或不定期地对业务运作状况进行检查、监控，指导业务部门进行风险识别、评估，制定并实施风险控制措施，排查风险隐患。</w:t>
      </w:r>
    </w:p>
    <w:p w:rsidR="004D3B26"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6</w:t>
      </w:r>
      <w:r w:rsidRPr="00490741">
        <w:rPr>
          <w:rFonts w:asciiTheme="minorEastAsia" w:eastAsiaTheme="minorEastAsia" w:hAnsiTheme="minorEastAsia" w:hint="eastAsia"/>
          <w:color w:val="000000" w:themeColor="text1"/>
        </w:rPr>
        <w:t>）数据安全控制。我们通过业务操作</w:t>
      </w:r>
      <w:r w:rsidRPr="00490741">
        <w:rPr>
          <w:rFonts w:asciiTheme="minorEastAsia" w:eastAsiaTheme="minorEastAsia" w:hAnsiTheme="minorEastAsia" w:hint="eastAsia"/>
          <w:color w:val="000000" w:themeColor="text1"/>
        </w:rPr>
        <w:t>区相对独立、数据和传真加密、数据传输线路的冗余备份、监控设施的运用和保障等措施来保障数据安全。</w:t>
      </w:r>
    </w:p>
    <w:p w:rsidR="004D3B26"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7</w:t>
      </w:r>
      <w:r w:rsidRPr="00490741">
        <w:rPr>
          <w:rFonts w:asciiTheme="minorEastAsia" w:eastAsiaTheme="minorEastAsia" w:hAnsiTheme="minorEastAsia" w:hint="eastAsia"/>
          <w:color w:val="000000" w:themeColor="text1"/>
        </w:rPr>
        <w:t>）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4D3B26"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5</w:t>
      </w:r>
      <w:r w:rsidRPr="00490741">
        <w:rPr>
          <w:rFonts w:asciiTheme="minorEastAsia" w:eastAsiaTheme="minorEastAsia" w:hAnsiTheme="minorEastAsia" w:hint="eastAsia"/>
          <w:color w:val="000000" w:themeColor="text1"/>
        </w:rPr>
        <w:t>、资产托管部内部风险控制情况</w:t>
      </w:r>
    </w:p>
    <w:p w:rsidR="004D3B26"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1</w:t>
      </w:r>
      <w:r w:rsidRPr="00490741">
        <w:rPr>
          <w:rFonts w:asciiTheme="minorEastAsia" w:eastAsiaTheme="minorEastAsia" w:hAnsiTheme="minorEastAsia" w:hint="eastAsia"/>
          <w:color w:val="000000" w:themeColor="text1"/>
        </w:rPr>
        <w:t>）资产托管部内部设置专职稽核监察部门，配备专职稽核监察人员，在总经</w:t>
      </w:r>
      <w:r w:rsidRPr="00490741">
        <w:rPr>
          <w:rFonts w:asciiTheme="minorEastAsia" w:eastAsiaTheme="minorEastAsia" w:hAnsiTheme="minorEastAsia" w:hint="eastAsia"/>
          <w:color w:val="000000" w:themeColor="text1"/>
        </w:rPr>
        <w:t>理的直接领导下，依照有关法律规章，全面贯彻落实全程监控思想，确保资产托管业务健康、稳定地发展。</w:t>
      </w:r>
    </w:p>
    <w:p w:rsidR="004D3B26"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2</w:t>
      </w:r>
      <w:r w:rsidRPr="00490741">
        <w:rPr>
          <w:rFonts w:asciiTheme="minorEastAsia" w:eastAsiaTheme="minorEastAsia" w:hAnsiTheme="minorEastAsia" w:hint="eastAsia"/>
          <w:color w:val="000000" w:themeColor="text1"/>
        </w:rPr>
        <w:t>）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4D3B26"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3</w:t>
      </w:r>
      <w:r w:rsidRPr="00490741">
        <w:rPr>
          <w:rFonts w:asciiTheme="minorEastAsia" w:eastAsiaTheme="minorEastAsia" w:hAnsiTheme="minorEastAsia" w:hint="eastAsia"/>
          <w:color w:val="000000" w:themeColor="text1"/>
        </w:rPr>
        <w:t>）建立健全规章制度。资产托管部十分重视内控制度的建设，一贯坚持把风险防范和控</w:t>
      </w:r>
      <w:r w:rsidRPr="00490741">
        <w:rPr>
          <w:rFonts w:asciiTheme="minorEastAsia" w:eastAsiaTheme="minorEastAsia" w:hAnsiTheme="minorEastAsia" w:hint="eastAsia"/>
          <w:color w:val="000000" w:themeColor="text1"/>
        </w:rPr>
        <w:t>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4D3B26"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4</w:t>
      </w:r>
      <w:r w:rsidRPr="00490741">
        <w:rPr>
          <w:rFonts w:asciiTheme="minorEastAsia" w:eastAsiaTheme="minorEastAsia" w:hAnsiTheme="minorEastAsia" w:hint="eastAsia"/>
          <w:color w:val="000000" w:themeColor="text1"/>
        </w:rPr>
        <w:t>）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w:t>
      </w:r>
      <w:r w:rsidRPr="00490741">
        <w:rPr>
          <w:rFonts w:asciiTheme="minorEastAsia" w:eastAsiaTheme="minorEastAsia" w:hAnsiTheme="minorEastAsia" w:hint="eastAsia"/>
          <w:color w:val="000000" w:themeColor="text1"/>
        </w:rPr>
        <w:t>，资产托管部始终将风险管理放在与业务发展同等重要的位置，视风险防范和控制为托管业务生存和发展的生命线。</w:t>
      </w:r>
    </w:p>
    <w:p w:rsidR="004D3B26"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（五）基金托管人对基金管理人运作基金进行监督的方法和程序</w:t>
      </w:r>
    </w:p>
    <w:p w:rsidR="004D3B26"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4D3B26"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基金托管人发现基金管理人违反《基金法》、基金合同、基金托管协议或有关基金法律法规规定的行为，应及时以书面形式通知基金管理人限期纠正，基金</w:t>
      </w:r>
      <w:r w:rsidRPr="00490741">
        <w:rPr>
          <w:rFonts w:asciiTheme="minorEastAsia" w:eastAsiaTheme="minorEastAsia" w:hAnsiTheme="minorEastAsia" w:hint="eastAsia"/>
          <w:color w:val="000000" w:themeColor="text1"/>
        </w:rPr>
        <w:t>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4D3B26" w:rsidRPr="00490741" w:rsidP="0027407C">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基金托管人发现基金管理人有重大违规行为，应立即报告中国证监会，同时通知基金管理人限期纠正。</w:t>
      </w:r>
      <w:r w:rsidRPr="00490741">
        <w:rPr>
          <w:rFonts w:asciiTheme="minorEastAsia" w:eastAsiaTheme="minorEastAsia" w:hAnsiTheme="minorEastAsia" w:hint="eastAsia"/>
          <w:color w:val="000000" w:themeColor="text1"/>
        </w:rPr>
        <w:br w:type="page"/>
      </w:r>
    </w:p>
    <w:p w:rsidR="0002608C" w:rsidRPr="00490741" w:rsidP="00107648">
      <w:pPr>
        <w:pStyle w:val="111"/>
        <w:snapToGrid w:val="0"/>
        <w:spacing w:beforeLines="0" w:afterLines="0" w:line="360" w:lineRule="auto"/>
        <w:ind w:firstLine="643"/>
        <w:rPr>
          <w:rFonts w:asciiTheme="minorEastAsia" w:eastAsiaTheme="minorEastAsia" w:hAnsiTheme="minorEastAsia"/>
          <w:b/>
          <w:color w:val="000000" w:themeColor="text1"/>
          <w:szCs w:val="32"/>
        </w:rPr>
      </w:pPr>
      <w:bookmarkStart w:id="13" w:name="_Toc114237388"/>
      <w:r w:rsidRPr="00490741">
        <w:rPr>
          <w:rFonts w:asciiTheme="minorEastAsia" w:eastAsiaTheme="minorEastAsia" w:hAnsiTheme="minorEastAsia" w:hint="eastAsia"/>
          <w:b/>
          <w:color w:val="000000" w:themeColor="text1"/>
          <w:szCs w:val="21"/>
        </w:rPr>
        <w:t>五、相关服务机构</w:t>
      </w:r>
      <w:bookmarkEnd w:id="13"/>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Cs w:val="21"/>
        </w:rPr>
      </w:pPr>
      <w:bookmarkStart w:id="14" w:name="_Toc114237389"/>
      <w:r w:rsidRPr="00490741">
        <w:rPr>
          <w:rFonts w:asciiTheme="minorEastAsia" w:eastAsiaTheme="minorEastAsia" w:hAnsiTheme="minorEastAsia" w:hint="eastAsia"/>
          <w:b w:val="0"/>
          <w:bCs/>
          <w:color w:val="000000" w:themeColor="text1"/>
          <w:szCs w:val="21"/>
        </w:rPr>
        <w:t>（一）基金份额</w:t>
      </w:r>
      <w:r w:rsidRPr="00490741" w:rsidR="00640238">
        <w:rPr>
          <w:rFonts w:asciiTheme="minorEastAsia" w:eastAsiaTheme="minorEastAsia" w:hAnsiTheme="minorEastAsia" w:hint="eastAsia"/>
          <w:b w:val="0"/>
          <w:bCs/>
          <w:color w:val="000000" w:themeColor="text1"/>
          <w:szCs w:val="21"/>
        </w:rPr>
        <w:t>销售</w:t>
      </w:r>
      <w:r w:rsidRPr="00490741">
        <w:rPr>
          <w:rFonts w:asciiTheme="minorEastAsia" w:eastAsiaTheme="minorEastAsia" w:hAnsiTheme="minorEastAsia" w:hint="eastAsia"/>
          <w:b w:val="0"/>
          <w:bCs/>
          <w:color w:val="000000" w:themeColor="text1"/>
          <w:szCs w:val="21"/>
        </w:rPr>
        <w:t>机构</w:t>
      </w:r>
      <w:bookmarkEnd w:id="14"/>
    </w:p>
    <w:p w:rsidR="0002608C" w:rsidRPr="00490741" w:rsidP="00107648">
      <w:pPr>
        <w:tabs>
          <w:tab w:val="num" w:pos="840"/>
        </w:tabs>
        <w:snapToGrid w:val="0"/>
        <w:spacing w:line="360" w:lineRule="auto"/>
        <w:ind w:left="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、直销机构：易方达基金管理有限公司</w:t>
      </w:r>
    </w:p>
    <w:p w:rsidR="0002608C" w:rsidRPr="00490741" w:rsidP="00107648">
      <w:pPr>
        <w:tabs>
          <w:tab w:val="num" w:pos="840"/>
        </w:tabs>
        <w:snapToGrid w:val="0"/>
        <w:spacing w:line="360" w:lineRule="auto"/>
        <w:ind w:left="42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rPr>
        <w:t>注册地址：广东省珠海市横琴新区荣粤道</w:t>
      </w:r>
      <w:r w:rsidRPr="00490741">
        <w:rPr>
          <w:rFonts w:asciiTheme="minorEastAsia" w:eastAsiaTheme="minorEastAsia" w:hAnsiTheme="minorEastAsia"/>
          <w:color w:val="000000" w:themeColor="text1"/>
        </w:rPr>
        <w:t>188</w:t>
      </w:r>
      <w:r w:rsidRPr="00490741">
        <w:rPr>
          <w:rFonts w:asciiTheme="minorEastAsia" w:eastAsiaTheme="minorEastAsia" w:hAnsiTheme="minorEastAsia"/>
          <w:color w:val="000000" w:themeColor="text1"/>
        </w:rPr>
        <w:t>号</w:t>
      </w:r>
      <w:r w:rsidRPr="00490741">
        <w:rPr>
          <w:rFonts w:asciiTheme="minorEastAsia" w:eastAsiaTheme="minorEastAsia" w:hAnsiTheme="minorEastAsia"/>
          <w:color w:val="000000" w:themeColor="text1"/>
        </w:rPr>
        <w:t>6</w:t>
      </w:r>
      <w:r w:rsidRPr="00490741">
        <w:rPr>
          <w:rFonts w:asciiTheme="minorEastAsia" w:eastAsiaTheme="minorEastAsia" w:hAnsiTheme="minorEastAsia"/>
          <w:color w:val="000000" w:themeColor="text1"/>
        </w:rPr>
        <w:t>层</w:t>
      </w:r>
    </w:p>
    <w:p w:rsidR="0002608C" w:rsidRPr="00490741" w:rsidP="00107648">
      <w:pPr>
        <w:tabs>
          <w:tab w:val="num" w:pos="840"/>
        </w:tabs>
        <w:snapToGrid w:val="0"/>
        <w:spacing w:line="360" w:lineRule="auto"/>
        <w:ind w:left="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办公地址：</w:t>
      </w:r>
      <w:r w:rsidRPr="00490741" w:rsidR="006741E8">
        <w:rPr>
          <w:rFonts w:asciiTheme="minorEastAsia" w:eastAsiaTheme="minorEastAsia" w:hAnsiTheme="minorEastAsia" w:hint="eastAsia"/>
          <w:color w:val="000000" w:themeColor="text1"/>
          <w:szCs w:val="21"/>
        </w:rPr>
        <w:t>广州市天河区珠江新城珠江东路30号广州银行大厦40-43</w:t>
      </w:r>
      <w:r w:rsidRPr="00490741" w:rsidR="00C64F4D">
        <w:rPr>
          <w:rFonts w:asciiTheme="minorEastAsia" w:eastAsiaTheme="minorEastAsia" w:hAnsiTheme="minorEastAsia" w:hint="eastAsia"/>
          <w:color w:val="000000" w:themeColor="text1"/>
          <w:szCs w:val="21"/>
        </w:rPr>
        <w:t>楼</w:t>
      </w:r>
    </w:p>
    <w:p w:rsidR="0002608C" w:rsidRPr="00490741" w:rsidP="00107648">
      <w:pPr>
        <w:tabs>
          <w:tab w:val="num" w:pos="840"/>
        </w:tabs>
        <w:snapToGrid w:val="0"/>
        <w:spacing w:line="360" w:lineRule="auto"/>
        <w:ind w:left="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法定代表人：</w:t>
      </w:r>
      <w:r w:rsidRPr="00490741" w:rsidR="0054506C">
        <w:rPr>
          <w:rFonts w:asciiTheme="minorEastAsia" w:eastAsiaTheme="minorEastAsia" w:hAnsiTheme="minorEastAsia" w:hint="eastAsia"/>
          <w:color w:val="000000" w:themeColor="text1"/>
          <w:szCs w:val="21"/>
        </w:rPr>
        <w:t>刘晓艳</w:t>
      </w:r>
    </w:p>
    <w:p w:rsidR="0002608C" w:rsidRPr="00490741" w:rsidP="00107648">
      <w:pPr>
        <w:tabs>
          <w:tab w:val="num" w:pos="840"/>
        </w:tabs>
        <w:snapToGrid w:val="0"/>
        <w:spacing w:line="360" w:lineRule="auto"/>
        <w:ind w:left="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电话：</w:t>
      </w:r>
      <w:r w:rsidRPr="00490741">
        <w:rPr>
          <w:rFonts w:asciiTheme="minorEastAsia" w:eastAsiaTheme="minorEastAsia" w:hAnsiTheme="minorEastAsia" w:hint="eastAsia"/>
          <w:color w:val="000000" w:themeColor="text1"/>
          <w:szCs w:val="21"/>
        </w:rPr>
        <w:t>020-85102506</w:t>
      </w:r>
    </w:p>
    <w:p w:rsidR="0002608C" w:rsidRPr="00490741" w:rsidP="00107648">
      <w:pPr>
        <w:tabs>
          <w:tab w:val="num" w:pos="840"/>
        </w:tabs>
        <w:snapToGrid w:val="0"/>
        <w:spacing w:line="360" w:lineRule="auto"/>
        <w:ind w:left="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传真：</w:t>
      </w:r>
      <w:r w:rsidRPr="00490741">
        <w:rPr>
          <w:rFonts w:asciiTheme="minorEastAsia" w:eastAsiaTheme="minorEastAsia" w:hAnsiTheme="minorEastAsia" w:hint="eastAsia"/>
          <w:color w:val="000000" w:themeColor="text1"/>
          <w:szCs w:val="21"/>
        </w:rPr>
        <w:t>4008818099</w:t>
      </w:r>
    </w:p>
    <w:p w:rsidR="0002608C" w:rsidRPr="00490741" w:rsidP="00107648">
      <w:pPr>
        <w:tabs>
          <w:tab w:val="num" w:pos="840"/>
        </w:tabs>
        <w:snapToGrid w:val="0"/>
        <w:spacing w:line="360" w:lineRule="auto"/>
        <w:ind w:left="42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rPr>
        <w:t>联系人：梁美</w:t>
      </w:r>
    </w:p>
    <w:p w:rsidR="0002608C" w:rsidRPr="00490741" w:rsidP="00107648">
      <w:pPr>
        <w:tabs>
          <w:tab w:val="num" w:pos="840"/>
        </w:tabs>
        <w:snapToGrid w:val="0"/>
        <w:spacing w:line="360" w:lineRule="auto"/>
        <w:ind w:left="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网址：</w:t>
      </w:r>
      <w:r w:rsidRPr="00490741">
        <w:rPr>
          <w:rFonts w:asciiTheme="minorEastAsia" w:eastAsiaTheme="minorEastAsia" w:hAnsiTheme="minorEastAsia" w:hint="eastAsia"/>
          <w:color w:val="000000" w:themeColor="text1"/>
          <w:szCs w:val="21"/>
        </w:rPr>
        <w:t>www.efunds.com.cn</w:t>
      </w:r>
    </w:p>
    <w:p w:rsidR="0002608C" w:rsidRPr="00490741" w:rsidP="00107648">
      <w:pPr>
        <w:tabs>
          <w:tab w:val="num" w:pos="840"/>
        </w:tabs>
        <w:snapToGrid w:val="0"/>
        <w:spacing w:line="360" w:lineRule="auto"/>
        <w:ind w:left="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直销机构网点信息：</w:t>
      </w:r>
    </w:p>
    <w:p w:rsidR="0002608C" w:rsidRPr="00490741" w:rsidP="00107648">
      <w:pPr>
        <w:tabs>
          <w:tab w:val="num" w:pos="840"/>
        </w:tabs>
        <w:snapToGrid w:val="0"/>
        <w:spacing w:line="360" w:lineRule="auto"/>
        <w:ind w:left="42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）易方达基金管理有限公司直销中心</w:t>
      </w:r>
    </w:p>
    <w:p w:rsidR="0002608C" w:rsidRPr="00490741" w:rsidP="00107648">
      <w:pPr>
        <w:tabs>
          <w:tab w:val="num" w:pos="840"/>
        </w:tabs>
        <w:snapToGrid w:val="0"/>
        <w:spacing w:line="360" w:lineRule="auto"/>
        <w:ind w:left="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办公地址：</w:t>
      </w:r>
      <w:r w:rsidRPr="00490741" w:rsidR="006741E8">
        <w:rPr>
          <w:rFonts w:asciiTheme="minorEastAsia" w:eastAsiaTheme="minorEastAsia" w:hAnsiTheme="minorEastAsia" w:hint="eastAsia"/>
          <w:color w:val="000000" w:themeColor="text1"/>
          <w:szCs w:val="21"/>
        </w:rPr>
        <w:t>广州市天河区珠江新城珠江东路30号广州银行大厦40</w:t>
      </w:r>
      <w:r w:rsidRPr="00490741" w:rsidR="00C64F4D">
        <w:rPr>
          <w:rFonts w:asciiTheme="minorEastAsia" w:eastAsiaTheme="minorEastAsia" w:hAnsiTheme="minorEastAsia" w:hint="eastAsia"/>
          <w:color w:val="000000" w:themeColor="text1"/>
          <w:szCs w:val="21"/>
        </w:rPr>
        <w:t>楼</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电话：</w:t>
      </w:r>
      <w:r w:rsidRPr="00490741">
        <w:rPr>
          <w:rFonts w:asciiTheme="minorEastAsia" w:eastAsiaTheme="minorEastAsia" w:hAnsiTheme="minorEastAsia"/>
          <w:color w:val="000000" w:themeColor="text1"/>
        </w:rPr>
        <w:t>020-85102506</w:t>
      </w:r>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传真：</w:t>
      </w:r>
      <w:r w:rsidRPr="00490741">
        <w:rPr>
          <w:rFonts w:asciiTheme="minorEastAsia" w:eastAsiaTheme="minorEastAsia" w:hAnsiTheme="minorEastAsia"/>
          <w:color w:val="000000" w:themeColor="text1"/>
        </w:rPr>
        <w:t>4008818099</w:t>
      </w:r>
    </w:p>
    <w:p w:rsidR="0002608C" w:rsidRPr="00490741" w:rsidP="00107648">
      <w:pPr>
        <w:tabs>
          <w:tab w:val="num" w:pos="840"/>
        </w:tabs>
        <w:snapToGrid w:val="0"/>
        <w:spacing w:line="360" w:lineRule="auto"/>
        <w:ind w:left="42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rPr>
        <w:t>联系人：梁美</w:t>
      </w:r>
    </w:p>
    <w:p w:rsidR="0002608C" w:rsidRPr="00490741" w:rsidP="00107648">
      <w:pPr>
        <w:tabs>
          <w:tab w:val="num" w:pos="840"/>
        </w:tabs>
        <w:snapToGrid w:val="0"/>
        <w:spacing w:line="360" w:lineRule="auto"/>
        <w:ind w:left="42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2</w:t>
      </w:r>
      <w:r w:rsidRPr="00490741">
        <w:rPr>
          <w:rFonts w:asciiTheme="minorEastAsia" w:eastAsiaTheme="minorEastAsia" w:hAnsiTheme="minorEastAsia"/>
          <w:color w:val="000000" w:themeColor="text1"/>
        </w:rPr>
        <w:t>）易方达基金管理有限公司网上交易系统</w:t>
      </w:r>
    </w:p>
    <w:p w:rsidR="0002608C" w:rsidRPr="00490741" w:rsidP="00107648">
      <w:pPr>
        <w:snapToGrid w:val="0"/>
        <w:spacing w:line="360" w:lineRule="auto"/>
        <w:ind w:left="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网址：</w:t>
      </w:r>
      <w:hyperlink r:id="rId12" w:history="1">
        <w:r w:rsidRPr="00490741" w:rsidR="007B29B3">
          <w:rPr>
            <w:rStyle w:val="Hyperlink"/>
            <w:rFonts w:asciiTheme="minorEastAsia" w:eastAsiaTheme="minorEastAsia" w:hAnsiTheme="minorEastAsia" w:hint="eastAsia"/>
            <w:color w:val="000000" w:themeColor="text1"/>
            <w:szCs w:val="21"/>
            <w:u w:val="none"/>
          </w:rPr>
          <w:t>www.efunds.com.cn</w:t>
        </w:r>
      </w:hyperlink>
    </w:p>
    <w:p w:rsidR="00A554B4" w:rsidRPr="00490741" w:rsidP="00107648">
      <w:pPr>
        <w:snapToGrid w:val="0"/>
        <w:spacing w:line="360" w:lineRule="auto"/>
        <w:ind w:left="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w:t>
      </w:r>
      <w:r w:rsidRPr="00490741" w:rsidR="00D109A3">
        <w:rPr>
          <w:rFonts w:asciiTheme="minorEastAsia" w:eastAsiaTheme="minorEastAsia" w:hAnsiTheme="minorEastAsia" w:hint="eastAsia"/>
          <w:color w:val="000000" w:themeColor="text1"/>
          <w:szCs w:val="21"/>
        </w:rPr>
        <w:t>非直销销售机构</w:t>
      </w:r>
      <w:bookmarkStart w:id="15" w:name="_Toc38432429"/>
    </w:p>
    <w:p w:rsidR="00267126" w:rsidRPr="00490741">
      <w:pPr>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本基金非直销销售机构信息详见基金管理人网站公示。</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Cs w:val="21"/>
        </w:rPr>
      </w:pPr>
      <w:bookmarkStart w:id="16" w:name="_Toc114237390"/>
      <w:r w:rsidRPr="00490741">
        <w:rPr>
          <w:rFonts w:asciiTheme="minorEastAsia" w:eastAsiaTheme="minorEastAsia" w:hAnsiTheme="minorEastAsia" w:hint="eastAsia"/>
          <w:b w:val="0"/>
          <w:bCs/>
          <w:color w:val="000000" w:themeColor="text1"/>
          <w:szCs w:val="21"/>
        </w:rPr>
        <w:t>（二）基金注册登记机构</w:t>
      </w:r>
      <w:bookmarkEnd w:id="15"/>
      <w:bookmarkEnd w:id="16"/>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易方达基金管理有限公司</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rPr>
        <w:t>注册地址：广东省珠海市横琴新区荣粤道</w:t>
      </w:r>
      <w:r w:rsidRPr="00490741">
        <w:rPr>
          <w:rFonts w:asciiTheme="minorEastAsia" w:eastAsiaTheme="minorEastAsia" w:hAnsiTheme="minorEastAsia"/>
          <w:color w:val="000000" w:themeColor="text1"/>
        </w:rPr>
        <w:t>188</w:t>
      </w:r>
      <w:r w:rsidRPr="00490741">
        <w:rPr>
          <w:rFonts w:asciiTheme="minorEastAsia" w:eastAsiaTheme="minorEastAsia" w:hAnsiTheme="minorEastAsia"/>
          <w:color w:val="000000" w:themeColor="text1"/>
        </w:rPr>
        <w:t>号</w:t>
      </w:r>
      <w:r w:rsidRPr="00490741">
        <w:rPr>
          <w:rFonts w:asciiTheme="minorEastAsia" w:eastAsiaTheme="minorEastAsia" w:hAnsiTheme="minorEastAsia"/>
          <w:color w:val="000000" w:themeColor="text1"/>
        </w:rPr>
        <w:t>6</w:t>
      </w:r>
      <w:r w:rsidRPr="00490741">
        <w:rPr>
          <w:rFonts w:asciiTheme="minorEastAsia" w:eastAsiaTheme="minorEastAsia" w:hAnsiTheme="minorEastAsia"/>
          <w:color w:val="000000" w:themeColor="text1"/>
        </w:rPr>
        <w:t>层</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rPr>
        <w:t>办公</w:t>
      </w:r>
      <w:r w:rsidRPr="00490741">
        <w:rPr>
          <w:rFonts w:asciiTheme="minorEastAsia" w:eastAsiaTheme="minorEastAsia" w:hAnsiTheme="minorEastAsia" w:hint="eastAsia"/>
          <w:color w:val="000000" w:themeColor="text1"/>
          <w:szCs w:val="21"/>
        </w:rPr>
        <w:t>地址：</w:t>
      </w:r>
      <w:r w:rsidRPr="00490741" w:rsidR="00FD5EAC">
        <w:rPr>
          <w:rFonts w:asciiTheme="minorEastAsia" w:eastAsiaTheme="minorEastAsia" w:hAnsiTheme="minorEastAsia" w:cs="仿宋_GB2312" w:hint="eastAsia"/>
          <w:color w:val="000000" w:themeColor="text1"/>
          <w:kern w:val="0"/>
        </w:rPr>
        <w:t>广州市天河区珠江新城珠江东路30号广州银行大厦40-43楼</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法定代表人：</w:t>
      </w:r>
      <w:r w:rsidRPr="00490741" w:rsidR="006F490A">
        <w:rPr>
          <w:rFonts w:asciiTheme="minorEastAsia" w:eastAsiaTheme="minorEastAsia" w:hAnsiTheme="minorEastAsia" w:hint="eastAsia"/>
          <w:color w:val="000000" w:themeColor="text1"/>
          <w:szCs w:val="21"/>
        </w:rPr>
        <w:t>刘晓艳</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电话：</w:t>
      </w:r>
      <w:r w:rsidRPr="00490741">
        <w:rPr>
          <w:rFonts w:asciiTheme="minorEastAsia" w:eastAsiaTheme="minorEastAsia" w:hAnsiTheme="minorEastAsia" w:hint="eastAsia"/>
          <w:color w:val="000000" w:themeColor="text1"/>
          <w:szCs w:val="21"/>
        </w:rPr>
        <w:t>4008818088</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传真：</w:t>
      </w:r>
      <w:r w:rsidRPr="00490741">
        <w:rPr>
          <w:rFonts w:asciiTheme="minorEastAsia" w:eastAsiaTheme="minorEastAsia" w:hAnsiTheme="minorEastAsia"/>
          <w:color w:val="000000" w:themeColor="text1"/>
          <w:szCs w:val="21"/>
        </w:rPr>
        <w:t>020</w:t>
      </w:r>
      <w:r w:rsidRPr="00490741">
        <w:rPr>
          <w:rFonts w:asciiTheme="minorEastAsia" w:eastAsiaTheme="minorEastAsia" w:hAnsiTheme="minorEastAsia" w:hint="eastAsia"/>
          <w:color w:val="000000" w:themeColor="text1"/>
          <w:szCs w:val="21"/>
        </w:rPr>
        <w:t>-38799249</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联系人：</w:t>
      </w:r>
      <w:r w:rsidRPr="00490741">
        <w:rPr>
          <w:rFonts w:asciiTheme="minorEastAsia" w:eastAsiaTheme="minorEastAsia" w:hAnsiTheme="minorEastAsia" w:hint="eastAsia"/>
          <w:color w:val="000000" w:themeColor="text1"/>
        </w:rPr>
        <w:t>余贤高</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Cs w:val="21"/>
        </w:rPr>
      </w:pPr>
      <w:bookmarkStart w:id="17" w:name="_Toc38432430"/>
      <w:bookmarkStart w:id="18" w:name="_Toc114237391"/>
      <w:r w:rsidRPr="00490741">
        <w:rPr>
          <w:rFonts w:asciiTheme="minorEastAsia" w:eastAsiaTheme="minorEastAsia" w:hAnsiTheme="minorEastAsia" w:hint="eastAsia"/>
          <w:b w:val="0"/>
          <w:bCs/>
          <w:color w:val="000000" w:themeColor="text1"/>
          <w:szCs w:val="21"/>
        </w:rPr>
        <w:t>（三）律师事务所和经办律师</w:t>
      </w:r>
      <w:bookmarkEnd w:id="17"/>
      <w:bookmarkEnd w:id="18"/>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律师事务所：北京市天元律师事务所</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地址：北京市西城区丰盛胡同</w:t>
      </w:r>
      <w:r w:rsidRPr="00490741">
        <w:rPr>
          <w:rFonts w:asciiTheme="minorEastAsia" w:eastAsiaTheme="minorEastAsia" w:hAnsiTheme="minorEastAsia"/>
          <w:color w:val="000000" w:themeColor="text1"/>
        </w:rPr>
        <w:t>28</w:t>
      </w:r>
      <w:r w:rsidRPr="00490741">
        <w:rPr>
          <w:rFonts w:asciiTheme="minorEastAsia" w:eastAsiaTheme="minorEastAsia" w:hAnsiTheme="minorEastAsia" w:hint="eastAsia"/>
          <w:color w:val="000000" w:themeColor="text1"/>
        </w:rPr>
        <w:t>号太平洋保险大厦</w:t>
      </w:r>
      <w:r w:rsidRPr="00490741">
        <w:rPr>
          <w:rFonts w:asciiTheme="minorEastAsia" w:eastAsiaTheme="minorEastAsia" w:hAnsiTheme="minorEastAsia"/>
          <w:color w:val="000000" w:themeColor="text1"/>
        </w:rPr>
        <w:t>10</w:t>
      </w:r>
      <w:r w:rsidRPr="00490741">
        <w:rPr>
          <w:rFonts w:asciiTheme="minorEastAsia" w:eastAsiaTheme="minorEastAsia" w:hAnsiTheme="minorEastAsia" w:hint="eastAsia"/>
          <w:color w:val="000000" w:themeColor="text1"/>
        </w:rPr>
        <w:t>层</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负责人：王立华</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电话：</w:t>
      </w:r>
      <w:r w:rsidRPr="00490741">
        <w:rPr>
          <w:rFonts w:asciiTheme="minorEastAsia" w:eastAsiaTheme="minorEastAsia" w:hAnsiTheme="minorEastAsia" w:hint="eastAsia"/>
          <w:color w:val="000000" w:themeColor="text1"/>
        </w:rPr>
        <w:t>010-88092188</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传真：</w:t>
      </w:r>
      <w:r w:rsidRPr="00490741">
        <w:rPr>
          <w:rFonts w:asciiTheme="minorEastAsia" w:eastAsiaTheme="minorEastAsia" w:hAnsiTheme="minorEastAsia" w:hint="eastAsia"/>
          <w:color w:val="000000" w:themeColor="text1"/>
        </w:rPr>
        <w:t>010-88092150</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经办律师：朱小辉、陈华</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联系人：王立华</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Cs w:val="21"/>
        </w:rPr>
      </w:pPr>
      <w:bookmarkStart w:id="19" w:name="_Toc38432431"/>
      <w:bookmarkStart w:id="20" w:name="_Toc114237392"/>
      <w:r w:rsidRPr="00490741">
        <w:rPr>
          <w:rFonts w:asciiTheme="minorEastAsia" w:eastAsiaTheme="minorEastAsia" w:hAnsiTheme="minorEastAsia" w:hint="eastAsia"/>
          <w:b w:val="0"/>
          <w:bCs/>
          <w:color w:val="000000" w:themeColor="text1"/>
          <w:szCs w:val="21"/>
        </w:rPr>
        <w:t>（四）会计师事务所和经办注册会计师</w:t>
      </w:r>
      <w:bookmarkEnd w:id="19"/>
      <w:bookmarkEnd w:id="20"/>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会计师事务所：</w:t>
      </w:r>
      <w:r w:rsidRPr="00490741" w:rsidR="00CF3ACE">
        <w:rPr>
          <w:rFonts w:asciiTheme="minorEastAsia" w:eastAsiaTheme="minorEastAsia" w:hAnsiTheme="minorEastAsia" w:hint="eastAsia"/>
          <w:color w:val="000000" w:themeColor="text1"/>
          <w:kern w:val="0"/>
        </w:rPr>
        <w:t>安永华明会计师事务所（特殊普通合伙）</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kern w:val="0"/>
          <w:szCs w:val="21"/>
        </w:rPr>
        <w:t>主要经营场所</w:t>
      </w:r>
      <w:r w:rsidRPr="00490741">
        <w:rPr>
          <w:rFonts w:asciiTheme="minorEastAsia" w:eastAsiaTheme="minorEastAsia" w:hAnsiTheme="minorEastAsia" w:hint="eastAsia"/>
          <w:color w:val="000000" w:themeColor="text1"/>
          <w:szCs w:val="21"/>
        </w:rPr>
        <w:t>：</w:t>
      </w:r>
      <w:r w:rsidRPr="00490741" w:rsidR="00CF3ACE">
        <w:rPr>
          <w:rFonts w:asciiTheme="minorEastAsia" w:eastAsiaTheme="minorEastAsia" w:hAnsiTheme="minorEastAsia" w:hint="eastAsia"/>
          <w:color w:val="000000" w:themeColor="text1"/>
          <w:kern w:val="0"/>
        </w:rPr>
        <w:t>北京市东城区东长安街1号东方广场安永大楼17层01-12室</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kern w:val="0"/>
        </w:rPr>
        <w:t>执行事务合伙人：</w:t>
      </w:r>
      <w:r w:rsidRPr="00490741" w:rsidR="00091480">
        <w:rPr>
          <w:rFonts w:asciiTheme="minorEastAsia" w:eastAsiaTheme="minorEastAsia" w:hAnsiTheme="minorEastAsia" w:hint="eastAsia"/>
          <w:color w:val="000000" w:themeColor="text1"/>
          <w:kern w:val="0"/>
          <w:szCs w:val="21"/>
        </w:rPr>
        <w:t>TonyMao毛鞍宁</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电话：</w:t>
      </w:r>
      <w:r w:rsidRPr="00490741">
        <w:rPr>
          <w:rFonts w:asciiTheme="minorEastAsia" w:eastAsiaTheme="minorEastAsia" w:hAnsiTheme="minorEastAsia" w:hint="eastAsia"/>
          <w:color w:val="000000" w:themeColor="text1"/>
          <w:szCs w:val="21"/>
        </w:rPr>
        <w:t>010-58153000</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传真：</w:t>
      </w:r>
      <w:r w:rsidRPr="00490741">
        <w:rPr>
          <w:rFonts w:asciiTheme="minorEastAsia" w:eastAsiaTheme="minorEastAsia" w:hAnsiTheme="minorEastAsia" w:hint="eastAsia"/>
          <w:color w:val="000000" w:themeColor="text1"/>
          <w:szCs w:val="21"/>
        </w:rPr>
        <w:t>010-85188298</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经办注册会计师：</w:t>
      </w:r>
      <w:r w:rsidRPr="00490741" w:rsidR="00951935">
        <w:rPr>
          <w:rFonts w:asciiTheme="minorEastAsia" w:eastAsiaTheme="minorEastAsia" w:hAnsiTheme="minorEastAsia" w:hint="eastAsia"/>
          <w:color w:val="000000" w:themeColor="text1"/>
          <w:szCs w:val="21"/>
        </w:rPr>
        <w:t>昌华</w:t>
      </w:r>
      <w:r w:rsidRPr="00490741" w:rsidR="009064FE">
        <w:rPr>
          <w:rFonts w:asciiTheme="minorEastAsia" w:eastAsiaTheme="minorEastAsia" w:hAnsiTheme="minorEastAsia" w:hint="eastAsia"/>
          <w:color w:val="000000" w:themeColor="text1"/>
          <w:szCs w:val="21"/>
        </w:rPr>
        <w:t>、马婧</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联系人：</w:t>
      </w:r>
      <w:r w:rsidRPr="00490741" w:rsidR="00431DCF">
        <w:rPr>
          <w:rFonts w:asciiTheme="minorEastAsia" w:eastAsiaTheme="minorEastAsia" w:hAnsiTheme="minorEastAsia" w:hint="eastAsia"/>
          <w:color w:val="000000" w:themeColor="text1"/>
          <w:szCs w:val="21"/>
        </w:rPr>
        <w:t>昌华</w:t>
      </w:r>
    </w:p>
    <w:p w:rsidR="003920FC" w:rsidRPr="00490741" w:rsidP="00107648">
      <w:pPr>
        <w:snapToGrid w:val="0"/>
        <w:spacing w:line="360" w:lineRule="auto"/>
        <w:ind w:firstLine="480"/>
        <w:rPr>
          <w:rFonts w:asciiTheme="minorEastAsia" w:eastAsiaTheme="minorEastAsia" w:hAnsiTheme="minorEastAsia"/>
          <w:color w:val="000000" w:themeColor="text1"/>
          <w:szCs w:val="21"/>
        </w:rPr>
        <w:sectPr w:rsidSect="0035472D">
          <w:pgSz w:w="11906" w:h="16838" w:code="9"/>
          <w:pgMar w:top="1440" w:right="1800" w:bottom="1440" w:left="1800" w:header="851" w:footer="992" w:gutter="0"/>
          <w:cols w:space="425"/>
          <w:docGrid w:type="lines" w:linePitch="312"/>
        </w:sectPr>
      </w:pPr>
    </w:p>
    <w:p w:rsidR="0002608C" w:rsidRPr="00490741" w:rsidP="00107648">
      <w:pPr>
        <w:pStyle w:val="Heading1"/>
        <w:snapToGrid w:val="0"/>
        <w:spacing w:beforeLines="0" w:afterLines="0" w:line="360" w:lineRule="auto"/>
        <w:ind w:firstLine="643"/>
        <w:rPr>
          <w:rFonts w:asciiTheme="minorEastAsia" w:eastAsiaTheme="minorEastAsia" w:hAnsiTheme="minorEastAsia"/>
          <w:bCs/>
          <w:color w:val="000000" w:themeColor="text1"/>
        </w:rPr>
      </w:pPr>
      <w:bookmarkStart w:id="21" w:name="_Toc38432432"/>
      <w:bookmarkStart w:id="22" w:name="_Toc114237393"/>
      <w:r w:rsidRPr="00490741">
        <w:rPr>
          <w:rFonts w:asciiTheme="minorEastAsia" w:eastAsiaTheme="minorEastAsia" w:hAnsiTheme="minorEastAsia" w:hint="eastAsia"/>
          <w:b/>
          <w:bCs/>
          <w:color w:val="000000" w:themeColor="text1"/>
        </w:rPr>
        <w:t>六、基金的募集</w:t>
      </w:r>
      <w:bookmarkEnd w:id="21"/>
      <w:bookmarkEnd w:id="22"/>
    </w:p>
    <w:p w:rsidR="0002608C" w:rsidRPr="00490741" w:rsidP="00107648">
      <w:pPr>
        <w:snapToGrid w:val="0"/>
        <w:spacing w:line="360" w:lineRule="auto"/>
        <w:ind w:firstLine="420" w:firstLineChars="200"/>
        <w:rPr>
          <w:rFonts w:asciiTheme="minorEastAsia" w:eastAsiaTheme="minorEastAsia" w:hAnsiTheme="minorEastAsia"/>
          <w:color w:val="000000" w:themeColor="text1"/>
        </w:rPr>
      </w:pPr>
      <w:bookmarkStart w:id="23" w:name="_Toc38432433"/>
      <w:r w:rsidRPr="00490741">
        <w:rPr>
          <w:rFonts w:asciiTheme="minorEastAsia" w:eastAsiaTheme="minorEastAsia" w:hAnsiTheme="minorEastAsia" w:hint="eastAsia"/>
          <w:color w:val="000000" w:themeColor="text1"/>
        </w:rPr>
        <w:t>本基金由基金管理人依照《基金法》、《运作办法》、《销售办法》、基金合同的相关规定、并经中国证券监督管理委员会</w:t>
      </w:r>
      <w:r w:rsidRPr="00490741" w:rsidR="00AF5493">
        <w:rPr>
          <w:rFonts w:asciiTheme="minorEastAsia" w:eastAsiaTheme="minorEastAsia" w:hAnsiTheme="minorEastAsia" w:hint="eastAsia"/>
          <w:color w:val="000000" w:themeColor="text1"/>
        </w:rPr>
        <w:t>2006年5月25日</w:t>
      </w:r>
      <w:r w:rsidRPr="00490741">
        <w:rPr>
          <w:rFonts w:asciiTheme="minorEastAsia" w:eastAsiaTheme="minorEastAsia" w:hAnsiTheme="minorEastAsia" w:hint="eastAsia"/>
          <w:color w:val="000000" w:themeColor="text1"/>
        </w:rPr>
        <w:t>《关于同意易方达价值精选股票型证券投资基金募集的批复》（证监基金字</w:t>
      </w:r>
      <w:r w:rsidRPr="00490741">
        <w:rPr>
          <w:rFonts w:asciiTheme="minorEastAsia" w:eastAsiaTheme="minorEastAsia" w:hAnsiTheme="minorEastAsia"/>
          <w:color w:val="000000" w:themeColor="text1"/>
        </w:rPr>
        <w:t>[</w:t>
      </w:r>
      <w:r w:rsidRPr="00490741">
        <w:rPr>
          <w:rFonts w:asciiTheme="minorEastAsia" w:eastAsiaTheme="minorEastAsia" w:hAnsiTheme="minorEastAsia" w:hint="eastAsia"/>
          <w:color w:val="000000" w:themeColor="text1"/>
        </w:rPr>
        <w:t>2006]97</w:t>
      </w:r>
      <w:r w:rsidRPr="00490741">
        <w:rPr>
          <w:rFonts w:asciiTheme="minorEastAsia" w:eastAsiaTheme="minorEastAsia" w:hAnsiTheme="minorEastAsia" w:hint="eastAsia"/>
          <w:color w:val="000000" w:themeColor="text1"/>
        </w:rPr>
        <w:t>号）核准</w:t>
      </w:r>
      <w:r w:rsidRPr="00490741">
        <w:rPr>
          <w:rFonts w:asciiTheme="minorEastAsia" w:eastAsiaTheme="minorEastAsia" w:hAnsiTheme="minorEastAsia" w:hint="eastAsia"/>
          <w:color w:val="000000" w:themeColor="text1"/>
          <w:szCs w:val="21"/>
        </w:rPr>
        <w:t>募集</w:t>
      </w:r>
      <w:r w:rsidRPr="00490741">
        <w:rPr>
          <w:rFonts w:asciiTheme="minorEastAsia" w:eastAsiaTheme="minorEastAsia" w:hAnsiTheme="minorEastAsia" w:hint="eastAsia"/>
          <w:color w:val="000000" w:themeColor="text1"/>
        </w:rPr>
        <w:t>。</w:t>
      </w:r>
    </w:p>
    <w:p w:rsidR="0002608C" w:rsidRPr="00490741" w:rsidP="00107648">
      <w:pPr>
        <w:snapToGrid w:val="0"/>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本基金为契约型开放式基金，基金存续期为不定期。</w:t>
      </w:r>
    </w:p>
    <w:p w:rsidR="0002608C" w:rsidRPr="00490741" w:rsidP="00107648">
      <w:pPr>
        <w:snapToGrid w:val="0"/>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本基金募集期自</w:t>
      </w:r>
      <w:r w:rsidRPr="00490741">
        <w:rPr>
          <w:rFonts w:asciiTheme="minorEastAsia" w:eastAsiaTheme="minorEastAsia" w:hAnsiTheme="minorEastAsia"/>
          <w:color w:val="000000" w:themeColor="text1"/>
        </w:rPr>
        <w:t>2006</w:t>
      </w:r>
      <w:r w:rsidRPr="00490741">
        <w:rPr>
          <w:rFonts w:asciiTheme="minorEastAsia" w:eastAsiaTheme="minorEastAsia" w:hAnsiTheme="minorEastAsia" w:hint="eastAsia"/>
          <w:color w:val="000000" w:themeColor="text1"/>
        </w:rPr>
        <w:t>年</w:t>
      </w:r>
      <w:r w:rsidRPr="00490741">
        <w:rPr>
          <w:rFonts w:asciiTheme="minorEastAsia" w:eastAsiaTheme="minorEastAsia" w:hAnsiTheme="minorEastAsia" w:hint="eastAsia"/>
          <w:color w:val="000000" w:themeColor="text1"/>
        </w:rPr>
        <w:t>6</w:t>
      </w:r>
      <w:r w:rsidRPr="00490741">
        <w:rPr>
          <w:rFonts w:asciiTheme="minorEastAsia" w:eastAsiaTheme="minorEastAsia" w:hAnsiTheme="minorEastAsia" w:hint="eastAsia"/>
          <w:color w:val="000000" w:themeColor="text1"/>
        </w:rPr>
        <w:t>月</w:t>
      </w:r>
      <w:r w:rsidRPr="00490741">
        <w:rPr>
          <w:rFonts w:asciiTheme="minorEastAsia" w:eastAsiaTheme="minorEastAsia" w:hAnsiTheme="minorEastAsia" w:hint="eastAsia"/>
          <w:color w:val="000000" w:themeColor="text1"/>
        </w:rPr>
        <w:t>5</w:t>
      </w:r>
      <w:r w:rsidRPr="00490741">
        <w:rPr>
          <w:rFonts w:asciiTheme="minorEastAsia" w:eastAsiaTheme="minorEastAsia" w:hAnsiTheme="minorEastAsia" w:hint="eastAsia"/>
          <w:color w:val="000000" w:themeColor="text1"/>
        </w:rPr>
        <w:t>日至</w:t>
      </w:r>
      <w:r w:rsidRPr="00490741">
        <w:rPr>
          <w:rFonts w:asciiTheme="minorEastAsia" w:eastAsiaTheme="minorEastAsia" w:hAnsiTheme="minorEastAsia"/>
          <w:color w:val="000000" w:themeColor="text1"/>
        </w:rPr>
        <w:t>2006</w:t>
      </w:r>
      <w:r w:rsidRPr="00490741">
        <w:rPr>
          <w:rFonts w:asciiTheme="minorEastAsia" w:eastAsiaTheme="minorEastAsia" w:hAnsiTheme="minorEastAsia" w:hint="eastAsia"/>
          <w:color w:val="000000" w:themeColor="text1"/>
        </w:rPr>
        <w:t>年</w:t>
      </w:r>
      <w:r w:rsidRPr="00490741">
        <w:rPr>
          <w:rFonts w:asciiTheme="minorEastAsia" w:eastAsiaTheme="minorEastAsia" w:hAnsiTheme="minorEastAsia"/>
          <w:color w:val="000000" w:themeColor="text1"/>
        </w:rPr>
        <w:t>6</w:t>
      </w:r>
      <w:r w:rsidRPr="00490741">
        <w:rPr>
          <w:rFonts w:asciiTheme="minorEastAsia" w:eastAsiaTheme="minorEastAsia" w:hAnsiTheme="minorEastAsia"/>
          <w:color w:val="000000" w:themeColor="text1"/>
        </w:rPr>
        <w:t>月</w:t>
      </w:r>
      <w:r w:rsidRPr="00490741">
        <w:rPr>
          <w:rFonts w:asciiTheme="minorEastAsia" w:eastAsiaTheme="minorEastAsia" w:hAnsiTheme="minorEastAsia"/>
          <w:color w:val="000000" w:themeColor="text1"/>
        </w:rPr>
        <w:t>8</w:t>
      </w:r>
      <w:r w:rsidRPr="00490741">
        <w:rPr>
          <w:rFonts w:asciiTheme="minorEastAsia" w:eastAsiaTheme="minorEastAsia" w:hAnsiTheme="minorEastAsia"/>
          <w:color w:val="000000" w:themeColor="text1"/>
        </w:rPr>
        <w:t>日</w:t>
      </w:r>
      <w:r w:rsidRPr="00490741">
        <w:rPr>
          <w:rFonts w:asciiTheme="minorEastAsia" w:eastAsiaTheme="minorEastAsia" w:hAnsiTheme="minorEastAsia" w:hint="eastAsia"/>
          <w:color w:val="000000" w:themeColor="text1"/>
        </w:rPr>
        <w:t>。募集对象为符合法律法规规定的个人投资者、机构投资者及合格境外机构投资者。</w:t>
      </w:r>
    </w:p>
    <w:p w:rsidR="0002608C" w:rsidRPr="00490741" w:rsidP="00107648">
      <w:pPr>
        <w:snapToGrid w:val="0"/>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本基金的面值为每份基金份额人民币</w:t>
      </w:r>
      <w:r w:rsidRPr="00490741">
        <w:rPr>
          <w:rFonts w:asciiTheme="minorEastAsia" w:eastAsiaTheme="minorEastAsia" w:hAnsiTheme="minorEastAsia"/>
          <w:color w:val="000000" w:themeColor="text1"/>
        </w:rPr>
        <w:t>1.00</w:t>
      </w:r>
      <w:r w:rsidRPr="00490741">
        <w:rPr>
          <w:rFonts w:asciiTheme="minorEastAsia" w:eastAsiaTheme="minorEastAsia" w:hAnsiTheme="minorEastAsia"/>
          <w:color w:val="000000" w:themeColor="text1"/>
        </w:rPr>
        <w:t>元。</w:t>
      </w:r>
    </w:p>
    <w:p w:rsidR="00E1094C" w:rsidRPr="00490741" w:rsidP="00107648">
      <w:pPr>
        <w:snapToGrid w:val="0"/>
        <w:spacing w:line="360" w:lineRule="auto"/>
        <w:ind w:firstLine="420" w:firstLineChars="200"/>
        <w:rPr>
          <w:rFonts w:asciiTheme="minorEastAsia" w:eastAsiaTheme="minorEastAsia" w:hAnsiTheme="minorEastAsia"/>
          <w:color w:val="000000" w:themeColor="text1"/>
        </w:rPr>
        <w:sectPr w:rsidSect="0035472D">
          <w:pgSz w:w="11906" w:h="16838" w:code="9"/>
          <w:pgMar w:top="1440" w:right="1800" w:bottom="1440" w:left="1800" w:header="851" w:footer="992" w:gutter="0"/>
          <w:cols w:space="425"/>
          <w:docGrid w:type="lines" w:linePitch="312"/>
        </w:sectPr>
      </w:pPr>
    </w:p>
    <w:p w:rsidR="0002608C" w:rsidRPr="00490741" w:rsidP="00107648">
      <w:pPr>
        <w:pStyle w:val="Heading1"/>
        <w:snapToGrid w:val="0"/>
        <w:spacing w:beforeLines="0" w:afterLines="0" w:line="360" w:lineRule="auto"/>
        <w:ind w:firstLine="643"/>
        <w:rPr>
          <w:rFonts w:asciiTheme="minorEastAsia" w:eastAsiaTheme="minorEastAsia" w:hAnsiTheme="minorEastAsia"/>
          <w:color w:val="000000" w:themeColor="text1"/>
        </w:rPr>
      </w:pPr>
      <w:bookmarkStart w:id="24" w:name="_Toc114237394"/>
      <w:bookmarkEnd w:id="23"/>
      <w:r w:rsidRPr="00490741">
        <w:rPr>
          <w:rFonts w:asciiTheme="minorEastAsia" w:eastAsiaTheme="minorEastAsia" w:hAnsiTheme="minorEastAsia" w:hint="eastAsia"/>
          <w:b/>
          <w:bCs/>
          <w:color w:val="000000" w:themeColor="text1"/>
        </w:rPr>
        <w:t>七、基金合同的生效</w:t>
      </w:r>
      <w:bookmarkEnd w:id="24"/>
    </w:p>
    <w:p w:rsidR="006150DD"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25" w:name="_Toc114237395"/>
      <w:r w:rsidRPr="00490741">
        <w:rPr>
          <w:rFonts w:asciiTheme="minorEastAsia" w:eastAsiaTheme="minorEastAsia" w:hAnsiTheme="minorEastAsia" w:hint="eastAsia"/>
          <w:b w:val="0"/>
          <w:color w:val="000000" w:themeColor="text1"/>
        </w:rPr>
        <w:t>（一）基金合同的生效</w:t>
      </w:r>
      <w:bookmarkEnd w:id="25"/>
    </w:p>
    <w:p w:rsidR="0002608C" w:rsidRPr="00490741" w:rsidP="00107648">
      <w:pPr>
        <w:snapToGrid w:val="0"/>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本基金基金合同于</w:t>
      </w:r>
      <w:r w:rsidRPr="00490741">
        <w:rPr>
          <w:rFonts w:asciiTheme="minorEastAsia" w:eastAsiaTheme="minorEastAsia" w:hAnsiTheme="minorEastAsia" w:hint="eastAsia"/>
          <w:color w:val="000000" w:themeColor="text1"/>
        </w:rPr>
        <w:t>2006</w:t>
      </w:r>
      <w:r w:rsidRPr="00490741">
        <w:rPr>
          <w:rFonts w:asciiTheme="minorEastAsia" w:eastAsiaTheme="minorEastAsia" w:hAnsiTheme="minorEastAsia" w:hint="eastAsia"/>
          <w:color w:val="000000" w:themeColor="text1"/>
        </w:rPr>
        <w:t>年</w:t>
      </w:r>
      <w:r w:rsidRPr="00490741">
        <w:rPr>
          <w:rFonts w:asciiTheme="minorEastAsia" w:eastAsiaTheme="minorEastAsia" w:hAnsiTheme="minorEastAsia" w:hint="eastAsia"/>
          <w:color w:val="000000" w:themeColor="text1"/>
        </w:rPr>
        <w:t>6</w:t>
      </w:r>
      <w:r w:rsidRPr="00490741">
        <w:rPr>
          <w:rFonts w:asciiTheme="minorEastAsia" w:eastAsiaTheme="minorEastAsia" w:hAnsiTheme="minorEastAsia" w:hint="eastAsia"/>
          <w:color w:val="000000" w:themeColor="text1"/>
        </w:rPr>
        <w:t>月</w:t>
      </w:r>
      <w:r w:rsidRPr="00490741">
        <w:rPr>
          <w:rFonts w:asciiTheme="minorEastAsia" w:eastAsiaTheme="minorEastAsia" w:hAnsiTheme="minorEastAsia" w:hint="eastAsia"/>
          <w:color w:val="000000" w:themeColor="text1"/>
        </w:rPr>
        <w:t>13</w:t>
      </w:r>
      <w:r w:rsidRPr="00490741">
        <w:rPr>
          <w:rFonts w:asciiTheme="minorEastAsia" w:eastAsiaTheme="minorEastAsia" w:hAnsiTheme="minorEastAsia" w:hint="eastAsia"/>
          <w:color w:val="000000" w:themeColor="text1"/>
        </w:rPr>
        <w:t>日正式生效。自基金合同生效之日起，本基金管理人正式开始管理本基金。</w:t>
      </w:r>
    </w:p>
    <w:p w:rsidR="006150DD"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26" w:name="_Toc114237396"/>
      <w:r w:rsidRPr="00490741">
        <w:rPr>
          <w:rFonts w:asciiTheme="minorEastAsia" w:eastAsiaTheme="minorEastAsia" w:hAnsiTheme="minorEastAsia" w:hint="eastAsia"/>
          <w:b w:val="0"/>
          <w:color w:val="000000" w:themeColor="text1"/>
        </w:rPr>
        <w:t>（二）</w:t>
      </w:r>
      <w:r w:rsidRPr="00490741" w:rsidR="004C6445">
        <w:rPr>
          <w:rFonts w:asciiTheme="minorEastAsia" w:eastAsiaTheme="minorEastAsia" w:hAnsiTheme="minorEastAsia" w:hint="eastAsia"/>
          <w:b w:val="0"/>
          <w:color w:val="000000" w:themeColor="text1"/>
        </w:rPr>
        <w:t>基金存续期内的基金份额持有人数量和资金额</w:t>
      </w:r>
      <w:bookmarkEnd w:id="26"/>
    </w:p>
    <w:p w:rsidR="00E1094C" w:rsidRPr="00490741" w:rsidP="00107648">
      <w:pPr>
        <w:snapToGrid w:val="0"/>
        <w:spacing w:line="360" w:lineRule="auto"/>
        <w:ind w:firstLine="420" w:firstLineChars="200"/>
        <w:rPr>
          <w:rFonts w:asciiTheme="minorEastAsia" w:eastAsiaTheme="minorEastAsia" w:hAnsiTheme="minorEastAsia"/>
          <w:color w:val="000000" w:themeColor="text1"/>
        </w:rPr>
        <w:sectPr w:rsidSect="0035472D">
          <w:pgSz w:w="11906" w:h="16838" w:code="9"/>
          <w:pgMar w:top="1440" w:right="1800" w:bottom="1440" w:left="1800" w:header="851" w:footer="992" w:gutter="0"/>
          <w:cols w:space="425"/>
          <w:docGrid w:type="lines" w:linePitch="312"/>
        </w:sectPr>
      </w:pPr>
      <w:r w:rsidRPr="00490741">
        <w:rPr>
          <w:rFonts w:asciiTheme="minorEastAsia" w:eastAsiaTheme="minorEastAsia" w:hAnsiTheme="minorEastAsia" w:hint="eastAsia"/>
          <w:color w:val="000000" w:themeColor="text1"/>
        </w:rPr>
        <w:t>《基金合同》生效后，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r w:rsidRPr="00490741">
        <w:rPr>
          <w:rFonts w:asciiTheme="minorEastAsia" w:eastAsiaTheme="minorEastAsia" w:hAnsiTheme="minorEastAsia" w:hint="eastAsia"/>
          <w:color w:val="000000" w:themeColor="text1"/>
        </w:rPr>
        <w:t>。</w:t>
      </w:r>
    </w:p>
    <w:p w:rsidR="0002608C" w:rsidRPr="00490741" w:rsidP="00107648">
      <w:pPr>
        <w:pStyle w:val="Heading1"/>
        <w:snapToGrid w:val="0"/>
        <w:spacing w:beforeLines="0" w:afterLines="0" w:line="360" w:lineRule="auto"/>
        <w:ind w:firstLine="643"/>
        <w:rPr>
          <w:rFonts w:asciiTheme="minorEastAsia" w:eastAsiaTheme="minorEastAsia" w:hAnsiTheme="minorEastAsia"/>
          <w:b/>
          <w:bCs/>
          <w:color w:val="000000" w:themeColor="text1"/>
        </w:rPr>
      </w:pPr>
      <w:bookmarkStart w:id="27" w:name="_Toc114237397"/>
      <w:r w:rsidRPr="00490741">
        <w:rPr>
          <w:rFonts w:asciiTheme="minorEastAsia" w:eastAsiaTheme="minorEastAsia" w:hAnsiTheme="minorEastAsia" w:hint="eastAsia"/>
          <w:b/>
          <w:bCs/>
          <w:color w:val="000000" w:themeColor="text1"/>
        </w:rPr>
        <w:t>八、基金份额的申购、赎回</w:t>
      </w:r>
      <w:bookmarkEnd w:id="27"/>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28" w:name="_Toc114237398"/>
      <w:r w:rsidRPr="00490741">
        <w:rPr>
          <w:rFonts w:asciiTheme="minorEastAsia" w:eastAsiaTheme="minorEastAsia" w:hAnsiTheme="minorEastAsia" w:hint="eastAsia"/>
          <w:b w:val="0"/>
          <w:color w:val="000000" w:themeColor="text1"/>
        </w:rPr>
        <w:t>（一）基金投资者范围</w:t>
      </w:r>
      <w:bookmarkEnd w:id="28"/>
    </w:p>
    <w:p w:rsidR="0002608C" w:rsidRPr="00490741" w:rsidP="00107648">
      <w:pPr>
        <w:pStyle w:val="20"/>
        <w:autoSpaceDE w:val="0"/>
        <w:autoSpaceDN w:val="0"/>
        <w:snapToGrid w:val="0"/>
        <w:spacing w:before="0" w:beforeAutospacing="0" w:after="0" w:afterAutospacing="0"/>
        <w:ind w:firstLine="420" w:firstLineChars="0"/>
        <w:textAlignment w:val="bottom"/>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符合法律法规规定的个人投资者、机构投资者及合格境外机构投资者。</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color w:val="000000" w:themeColor="text1"/>
        </w:rPr>
      </w:pPr>
      <w:bookmarkStart w:id="29" w:name="_Toc114237399"/>
      <w:r w:rsidRPr="00490741">
        <w:rPr>
          <w:rFonts w:asciiTheme="minorEastAsia" w:eastAsiaTheme="minorEastAsia" w:hAnsiTheme="minorEastAsia" w:hint="eastAsia"/>
          <w:b w:val="0"/>
          <w:color w:val="000000" w:themeColor="text1"/>
        </w:rPr>
        <w:t>（二）申购、赎回的场所</w:t>
      </w:r>
      <w:bookmarkEnd w:id="29"/>
    </w:p>
    <w:p w:rsidR="0002608C" w:rsidRPr="00490741" w:rsidP="00107648">
      <w:pPr>
        <w:pStyle w:val="20"/>
        <w:autoSpaceDE w:val="0"/>
        <w:autoSpaceDN w:val="0"/>
        <w:snapToGrid w:val="0"/>
        <w:spacing w:before="0" w:beforeAutospacing="0" w:after="0" w:afterAutospacing="0"/>
        <w:ind w:firstLine="420" w:firstLineChars="0"/>
        <w:textAlignment w:val="bottom"/>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w:t>
      </w:r>
      <w:r w:rsidRPr="00490741" w:rsidR="00C15CD6">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基金管理</w:t>
      </w:r>
      <w:r w:rsidRPr="00490741">
        <w:rPr>
          <w:rFonts w:asciiTheme="minorEastAsia" w:eastAsiaTheme="minorEastAsia" w:hAnsiTheme="minorEastAsia" w:hint="eastAsia"/>
          <w:color w:val="000000" w:themeColor="text1"/>
        </w:rPr>
        <w:t>人的直销中心、网上交易系统</w:t>
      </w:r>
      <w:r w:rsidRPr="00490741">
        <w:rPr>
          <w:rFonts w:asciiTheme="minorEastAsia" w:eastAsiaTheme="minorEastAsia" w:hAnsiTheme="minorEastAsia" w:hint="eastAsia"/>
          <w:color w:val="000000" w:themeColor="text1"/>
        </w:rPr>
        <w:t>(www.efunds.com.cn)</w:t>
      </w:r>
      <w:r w:rsidRPr="00490741">
        <w:rPr>
          <w:rFonts w:asciiTheme="minorEastAsia" w:eastAsiaTheme="minorEastAsia" w:hAnsiTheme="minorEastAsia"/>
          <w:color w:val="000000" w:themeColor="text1"/>
        </w:rPr>
        <w:t>；</w:t>
      </w:r>
    </w:p>
    <w:p w:rsidR="0002608C" w:rsidRPr="00490741" w:rsidP="00107648">
      <w:pPr>
        <w:pStyle w:val="20"/>
        <w:autoSpaceDE w:val="0"/>
        <w:autoSpaceDN w:val="0"/>
        <w:snapToGrid w:val="0"/>
        <w:spacing w:before="0" w:beforeAutospacing="0" w:after="0" w:afterAutospacing="0"/>
        <w:ind w:firstLine="420" w:firstLineChars="0"/>
        <w:textAlignment w:val="bottom"/>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w:t>
      </w:r>
      <w:r w:rsidRPr="00490741" w:rsidR="00C15CD6">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各</w:t>
      </w:r>
      <w:r w:rsidRPr="00490741" w:rsidR="00D109A3">
        <w:rPr>
          <w:rFonts w:asciiTheme="minorEastAsia" w:eastAsiaTheme="minorEastAsia" w:hAnsiTheme="minorEastAsia" w:hint="eastAsia"/>
          <w:color w:val="000000" w:themeColor="text1"/>
          <w:szCs w:val="21"/>
        </w:rPr>
        <w:t>非直销销售</w:t>
      </w:r>
      <w:r w:rsidRPr="00490741">
        <w:rPr>
          <w:rFonts w:asciiTheme="minorEastAsia" w:eastAsiaTheme="minorEastAsia" w:hAnsiTheme="minorEastAsia" w:hint="eastAsia"/>
          <w:color w:val="000000" w:themeColor="text1"/>
        </w:rPr>
        <w:t>机构</w:t>
      </w:r>
      <w:r w:rsidRPr="00490741">
        <w:rPr>
          <w:rFonts w:asciiTheme="minorEastAsia" w:eastAsiaTheme="minorEastAsia" w:hAnsiTheme="minorEastAsia"/>
          <w:color w:val="000000" w:themeColor="text1"/>
        </w:rPr>
        <w:t>开办开放式基金业务的营业网点。</w:t>
      </w:r>
    </w:p>
    <w:p w:rsidR="0002608C" w:rsidRPr="00490741" w:rsidP="00107648">
      <w:pPr>
        <w:pStyle w:val="20"/>
        <w:autoSpaceDE w:val="0"/>
        <w:autoSpaceDN w:val="0"/>
        <w:snapToGrid w:val="0"/>
        <w:spacing w:before="0" w:beforeAutospacing="0" w:after="0" w:afterAutospacing="0"/>
        <w:ind w:firstLine="420" w:firstLineChars="0"/>
        <w:textAlignment w:val="bottom"/>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基金管理人可根据情况变更基金的销售机构，</w:t>
      </w:r>
      <w:r w:rsidRPr="00490741" w:rsidR="008E5383">
        <w:rPr>
          <w:rFonts w:asciiTheme="minorEastAsia" w:eastAsiaTheme="minorEastAsia" w:hAnsiTheme="minorEastAsia" w:hint="eastAsia"/>
          <w:color w:val="000000" w:themeColor="text1"/>
        </w:rPr>
        <w:t>并在基金管理人网站公示</w:t>
      </w:r>
      <w:r w:rsidRPr="00490741">
        <w:rPr>
          <w:rFonts w:asciiTheme="minorEastAsia" w:eastAsiaTheme="minorEastAsia" w:hAnsiTheme="minorEastAsia" w:hint="eastAsia"/>
          <w:color w:val="000000" w:themeColor="text1"/>
        </w:rPr>
        <w:t>。</w:t>
      </w:r>
    </w:p>
    <w:p w:rsidR="0002608C" w:rsidRPr="00490741" w:rsidP="00107648">
      <w:pPr>
        <w:pStyle w:val="20"/>
        <w:autoSpaceDE w:val="0"/>
        <w:autoSpaceDN w:val="0"/>
        <w:snapToGrid w:val="0"/>
        <w:spacing w:before="0" w:beforeAutospacing="0" w:after="0" w:afterAutospacing="0"/>
        <w:ind w:firstLine="420" w:firstLineChars="0"/>
        <w:textAlignment w:val="bottom"/>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szCs w:val="21"/>
        </w:rPr>
        <w:t>投资者还可通过基金管理人或者指定的基金</w:t>
      </w:r>
      <w:r w:rsidRPr="00490741" w:rsidR="00C070D4">
        <w:rPr>
          <w:rFonts w:asciiTheme="minorEastAsia" w:eastAsiaTheme="minorEastAsia" w:hAnsiTheme="minorEastAsia" w:hint="eastAsia"/>
          <w:color w:val="000000" w:themeColor="text1"/>
          <w:szCs w:val="21"/>
        </w:rPr>
        <w:t>销售</w:t>
      </w:r>
      <w:r w:rsidRPr="00490741">
        <w:rPr>
          <w:rFonts w:asciiTheme="minorEastAsia" w:eastAsiaTheme="minorEastAsia" w:hAnsiTheme="minorEastAsia" w:hint="eastAsia"/>
          <w:color w:val="000000" w:themeColor="text1"/>
          <w:szCs w:val="21"/>
        </w:rPr>
        <w:t>机构以电话或互联网或其他电子交易方式进行申购、赎回</w:t>
      </w:r>
      <w:r w:rsidRPr="00490741">
        <w:rPr>
          <w:rFonts w:asciiTheme="minorEastAsia" w:eastAsiaTheme="minorEastAsia" w:hAnsiTheme="minorEastAsia" w:hint="eastAsia"/>
          <w:color w:val="000000" w:themeColor="text1"/>
        </w:rPr>
        <w:t>，具体以各销售机构的规定为准</w:t>
      </w:r>
      <w:r w:rsidRPr="00490741">
        <w:rPr>
          <w:rFonts w:asciiTheme="minorEastAsia" w:eastAsiaTheme="minorEastAsia" w:hAnsiTheme="minorEastAsia" w:hint="eastAsia"/>
          <w:color w:val="000000" w:themeColor="text1"/>
          <w:szCs w:val="21"/>
        </w:rPr>
        <w:t>。</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30" w:name="_Toc114237400"/>
      <w:r w:rsidRPr="00490741">
        <w:rPr>
          <w:rFonts w:asciiTheme="minorEastAsia" w:eastAsiaTheme="minorEastAsia" w:hAnsiTheme="minorEastAsia" w:hint="eastAsia"/>
          <w:b w:val="0"/>
          <w:color w:val="000000" w:themeColor="text1"/>
        </w:rPr>
        <w:t>（三）申购、赎回的时间</w:t>
      </w:r>
      <w:bookmarkEnd w:id="30"/>
    </w:p>
    <w:p w:rsidR="0002608C" w:rsidRPr="00490741" w:rsidP="00107648">
      <w:pPr>
        <w:pStyle w:val="20"/>
        <w:autoSpaceDE w:val="0"/>
        <w:autoSpaceDN w:val="0"/>
        <w:snapToGrid w:val="0"/>
        <w:spacing w:before="0" w:beforeAutospacing="0" w:after="0" w:afterAutospacing="0"/>
        <w:ind w:firstLine="420"/>
        <w:textAlignment w:val="bottom"/>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w:t>
      </w:r>
      <w:r w:rsidRPr="00490741">
        <w:rPr>
          <w:rFonts w:asciiTheme="minorEastAsia" w:eastAsiaTheme="minorEastAsia" w:hAnsiTheme="minorEastAsia" w:hint="eastAsia"/>
          <w:color w:val="000000" w:themeColor="text1"/>
        </w:rPr>
        <w:t>已于</w:t>
      </w:r>
      <w:r w:rsidRPr="00490741">
        <w:rPr>
          <w:rFonts w:asciiTheme="minorEastAsia" w:eastAsiaTheme="minorEastAsia" w:hAnsiTheme="minorEastAsia"/>
          <w:color w:val="000000" w:themeColor="text1"/>
          <w:szCs w:val="21"/>
        </w:rPr>
        <w:t>200</w:t>
      </w:r>
      <w:r w:rsidRPr="00490741">
        <w:rPr>
          <w:rFonts w:asciiTheme="minorEastAsia" w:eastAsiaTheme="minorEastAsia" w:hAnsiTheme="minorEastAsia" w:hint="eastAsia"/>
          <w:color w:val="000000" w:themeColor="text1"/>
          <w:szCs w:val="21"/>
        </w:rPr>
        <w:t>6</w:t>
      </w:r>
      <w:r w:rsidRPr="00490741">
        <w:rPr>
          <w:rFonts w:asciiTheme="minorEastAsia" w:eastAsiaTheme="minorEastAsia" w:hAnsiTheme="minorEastAsia"/>
          <w:color w:val="000000" w:themeColor="text1"/>
          <w:szCs w:val="21"/>
        </w:rPr>
        <w:t>年</w:t>
      </w:r>
      <w:r w:rsidRPr="00490741">
        <w:rPr>
          <w:rFonts w:asciiTheme="minorEastAsia" w:eastAsiaTheme="minorEastAsia" w:hAnsiTheme="minorEastAsia" w:hint="eastAsia"/>
          <w:color w:val="000000" w:themeColor="text1"/>
          <w:szCs w:val="21"/>
        </w:rPr>
        <w:t>9</w:t>
      </w:r>
      <w:r w:rsidRPr="00490741">
        <w:rPr>
          <w:rFonts w:asciiTheme="minorEastAsia" w:eastAsiaTheme="minorEastAsia" w:hAnsiTheme="minorEastAsia"/>
          <w:color w:val="000000" w:themeColor="text1"/>
          <w:szCs w:val="21"/>
        </w:rPr>
        <w:t>月</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color w:val="000000" w:themeColor="text1"/>
          <w:szCs w:val="21"/>
        </w:rPr>
        <w:t>日开始办理</w:t>
      </w:r>
      <w:r w:rsidRPr="00490741">
        <w:rPr>
          <w:rFonts w:asciiTheme="minorEastAsia" w:eastAsiaTheme="minorEastAsia" w:hAnsiTheme="minorEastAsia" w:hint="eastAsia"/>
          <w:color w:val="000000" w:themeColor="text1"/>
        </w:rPr>
        <w:t>日常</w:t>
      </w:r>
      <w:r w:rsidRPr="00490741">
        <w:rPr>
          <w:rFonts w:asciiTheme="minorEastAsia" w:eastAsiaTheme="minorEastAsia" w:hAnsiTheme="minorEastAsia"/>
          <w:color w:val="000000" w:themeColor="text1"/>
          <w:szCs w:val="21"/>
        </w:rPr>
        <w:t>申购</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赎回</w:t>
      </w:r>
      <w:r w:rsidRPr="00490741">
        <w:rPr>
          <w:rFonts w:asciiTheme="minorEastAsia" w:eastAsiaTheme="minorEastAsia" w:hAnsiTheme="minorEastAsia" w:hint="eastAsia"/>
          <w:color w:val="000000" w:themeColor="text1"/>
          <w:szCs w:val="21"/>
        </w:rPr>
        <w:t>业务。</w:t>
      </w:r>
    </w:p>
    <w:p w:rsidR="0002608C" w:rsidRPr="00490741" w:rsidP="00107648">
      <w:pPr>
        <w:autoSpaceDE w:val="0"/>
        <w:autoSpaceDN w:val="0"/>
        <w:snapToGrid w:val="0"/>
        <w:spacing w:line="360" w:lineRule="auto"/>
        <w:ind w:firstLine="420" w:firstLineChars="200"/>
        <w:textAlignment w:val="bottom"/>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申购、赎回的开放日为证券交易所交易日（基金管理人公告暂停申购、赎回时除外）。</w:t>
      </w:r>
      <w:r w:rsidRPr="00490741">
        <w:rPr>
          <w:rFonts w:asciiTheme="minorEastAsia" w:eastAsiaTheme="minorEastAsia" w:hAnsiTheme="minorEastAsia"/>
          <w:color w:val="000000" w:themeColor="text1"/>
        </w:rPr>
        <w:t>具体业务办理时间</w:t>
      </w:r>
      <w:r w:rsidRPr="00490741">
        <w:rPr>
          <w:rFonts w:asciiTheme="minorEastAsia" w:eastAsiaTheme="minorEastAsia" w:hAnsiTheme="minorEastAsia" w:hint="eastAsia"/>
          <w:color w:val="000000" w:themeColor="text1"/>
          <w:szCs w:val="21"/>
        </w:rPr>
        <w:t>为上海证券交易所、深圳证券交易所交易日的交易时间</w:t>
      </w:r>
      <w:r w:rsidRPr="00490741">
        <w:rPr>
          <w:rFonts w:asciiTheme="minorEastAsia" w:eastAsiaTheme="minorEastAsia" w:hAnsiTheme="minorEastAsia"/>
          <w:color w:val="000000" w:themeColor="text1"/>
        </w:rPr>
        <w:t>。</w:t>
      </w:r>
      <w:r w:rsidRPr="00490741">
        <w:rPr>
          <w:rFonts w:asciiTheme="minorEastAsia" w:eastAsiaTheme="minorEastAsia" w:hAnsiTheme="minorEastAsia" w:hint="eastAsia"/>
          <w:color w:val="000000" w:themeColor="text1"/>
          <w:szCs w:val="21"/>
        </w:rPr>
        <w:t>若出现新的证券交易市场或交易所交易时间更改或其它原因，基金管理人将根据法律法规和基金合同规定的原则视情况进行相应的调整并公告。</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31" w:name="_Toc114237401"/>
      <w:r w:rsidRPr="00490741">
        <w:rPr>
          <w:rFonts w:asciiTheme="minorEastAsia" w:eastAsiaTheme="minorEastAsia" w:hAnsiTheme="minorEastAsia" w:hint="eastAsia"/>
          <w:b w:val="0"/>
          <w:color w:val="000000" w:themeColor="text1"/>
        </w:rPr>
        <w:t>（四）申购、赎回的原则</w:t>
      </w:r>
      <w:bookmarkEnd w:id="31"/>
    </w:p>
    <w:p w:rsidR="0002608C" w:rsidRPr="00490741" w:rsidP="00107648">
      <w:pPr>
        <w:pStyle w:val="20"/>
        <w:autoSpaceDE w:val="0"/>
        <w:autoSpaceDN w:val="0"/>
        <w:snapToGrid w:val="0"/>
        <w:spacing w:before="0" w:beforeAutospacing="0" w:after="0" w:afterAutospacing="0"/>
        <w:ind w:firstLine="420"/>
        <w:textAlignment w:val="bottom"/>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未知价原则</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hint="eastAsia"/>
          <w:color w:val="000000" w:themeColor="text1"/>
          <w:szCs w:val="21"/>
        </w:rPr>
        <w:t>即本基金的申购与赎回价格以受理申请当日收市后计算的基金份额净值为基准进行计算；</w:t>
      </w:r>
    </w:p>
    <w:p w:rsidR="0002608C" w:rsidRPr="00490741" w:rsidP="00107648">
      <w:pPr>
        <w:pStyle w:val="20"/>
        <w:autoSpaceDE w:val="0"/>
        <w:autoSpaceDN w:val="0"/>
        <w:snapToGrid w:val="0"/>
        <w:spacing w:before="0" w:beforeAutospacing="0" w:after="0" w:afterAutospacing="0"/>
        <w:ind w:firstLine="420"/>
        <w:textAlignment w:val="bottom"/>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、本基金采用</w:t>
      </w:r>
      <w:r w:rsidRPr="00490741">
        <w:rPr>
          <w:rFonts w:asciiTheme="minorEastAsia" w:eastAsiaTheme="minorEastAsia" w:hAnsiTheme="minorEastAsia"/>
          <w:color w:val="000000" w:themeColor="text1"/>
          <w:szCs w:val="21"/>
        </w:rPr>
        <w:t>金额申购、份额赎回原则</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即申购以金额申请</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赎回以份额申请；</w:t>
      </w:r>
    </w:p>
    <w:p w:rsidR="0002608C" w:rsidRPr="00490741" w:rsidP="00107648">
      <w:pPr>
        <w:pStyle w:val="20"/>
        <w:autoSpaceDE w:val="0"/>
        <w:autoSpaceDN w:val="0"/>
        <w:snapToGrid w:val="0"/>
        <w:spacing w:before="0" w:beforeAutospacing="0" w:after="0" w:afterAutospacing="0"/>
        <w:ind w:firstLine="420"/>
        <w:textAlignment w:val="bottom"/>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、基金份额</w:t>
      </w:r>
      <w:r w:rsidRPr="00490741">
        <w:rPr>
          <w:rFonts w:asciiTheme="minorEastAsia" w:eastAsiaTheme="minorEastAsia" w:hAnsiTheme="minorEastAsia" w:hint="eastAsia"/>
          <w:color w:val="000000" w:themeColor="text1"/>
          <w:szCs w:val="21"/>
        </w:rPr>
        <w:t>持有人在赎回基金份额时，除指定赎回外，基金管理人按先进先出的原则，即对该基金份额持有人在该销售机构托管的基金份额进行赎回处理时，注册日期在先的基金份额先赎回，注册日期在后的基金份额后赎回，以确定所适用的赎回费率；</w:t>
      </w:r>
    </w:p>
    <w:p w:rsidR="0002608C" w:rsidRPr="00490741" w:rsidP="00107648">
      <w:pPr>
        <w:pStyle w:val="20"/>
        <w:autoSpaceDE w:val="0"/>
        <w:autoSpaceDN w:val="0"/>
        <w:snapToGrid w:val="0"/>
        <w:spacing w:before="0" w:beforeAutospacing="0" w:after="0" w:afterAutospacing="0"/>
        <w:ind w:firstLine="420"/>
        <w:textAlignment w:val="bottom"/>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、当日的申购、赎回申请可以在当日交易时间结束前撤销，在当日的交易时间结束后不得撤销；</w:t>
      </w:r>
    </w:p>
    <w:p w:rsidR="0002608C" w:rsidRPr="00490741" w:rsidP="00107648">
      <w:pPr>
        <w:pStyle w:val="20"/>
        <w:autoSpaceDE w:val="0"/>
        <w:autoSpaceDN w:val="0"/>
        <w:snapToGrid w:val="0"/>
        <w:spacing w:before="0" w:beforeAutospacing="0" w:after="0" w:afterAutospacing="0"/>
        <w:ind w:firstLine="420"/>
        <w:textAlignment w:val="bottom"/>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5</w:t>
      </w:r>
      <w:r w:rsidRPr="00490741">
        <w:rPr>
          <w:rFonts w:asciiTheme="minorEastAsia" w:eastAsiaTheme="minorEastAsia" w:hAnsiTheme="minorEastAsia" w:hint="eastAsia"/>
          <w:color w:val="000000" w:themeColor="text1"/>
          <w:szCs w:val="21"/>
        </w:rPr>
        <w:t>、基金管理人在不损害基金份额持有人权益的情况下可更改上述原则，但应最迟在新的原则实施前二个工作日予以公告。</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32" w:name="_Toc114237402"/>
      <w:r w:rsidRPr="00490741">
        <w:rPr>
          <w:rFonts w:asciiTheme="minorEastAsia" w:eastAsiaTheme="minorEastAsia" w:hAnsiTheme="minorEastAsia" w:hint="eastAsia"/>
          <w:b w:val="0"/>
          <w:color w:val="000000" w:themeColor="text1"/>
        </w:rPr>
        <w:t>（五）申购、赎回的程序</w:t>
      </w:r>
      <w:bookmarkEnd w:id="32"/>
    </w:p>
    <w:p w:rsidR="0002608C" w:rsidRPr="00490741" w:rsidP="00107648">
      <w:pPr>
        <w:tabs>
          <w:tab w:val="left" w:pos="735"/>
        </w:tabs>
        <w:snapToGrid w:val="0"/>
        <w:spacing w:line="360" w:lineRule="auto"/>
        <w:ind w:left="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1</w:t>
      </w:r>
      <w:r w:rsidRPr="00490741">
        <w:rPr>
          <w:rFonts w:asciiTheme="minorEastAsia" w:eastAsiaTheme="minorEastAsia" w:hAnsiTheme="minorEastAsia" w:hint="eastAsia"/>
          <w:color w:val="000000" w:themeColor="text1"/>
        </w:rPr>
        <w:t>、申购、赎回的申请方式</w:t>
      </w:r>
    </w:p>
    <w:p w:rsidR="0002608C" w:rsidRPr="00490741" w:rsidP="00107648">
      <w:pPr>
        <w:autoSpaceDE w:val="0"/>
        <w:autoSpaceDN w:val="0"/>
        <w:snapToGrid w:val="0"/>
        <w:spacing w:line="360" w:lineRule="auto"/>
        <w:ind w:firstLine="420"/>
        <w:textAlignment w:val="bottom"/>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基金投资者必须根据基金管理人和基金</w:t>
      </w:r>
      <w:r w:rsidRPr="00490741" w:rsidR="00D109A3">
        <w:rPr>
          <w:rFonts w:asciiTheme="minorEastAsia" w:eastAsiaTheme="minorEastAsia" w:hAnsiTheme="minorEastAsia" w:hint="eastAsia"/>
          <w:color w:val="000000" w:themeColor="text1"/>
        </w:rPr>
        <w:t>销售</w:t>
      </w:r>
      <w:r w:rsidRPr="00490741">
        <w:rPr>
          <w:rFonts w:asciiTheme="minorEastAsia" w:eastAsiaTheme="minorEastAsia" w:hAnsiTheme="minorEastAsia" w:hint="eastAsia"/>
          <w:color w:val="000000" w:themeColor="text1"/>
        </w:rPr>
        <w:t>机构规定的手续，在开放日的</w:t>
      </w:r>
      <w:r w:rsidRPr="00490741">
        <w:rPr>
          <w:rFonts w:asciiTheme="minorEastAsia" w:eastAsiaTheme="minorEastAsia" w:hAnsiTheme="minorEastAsia" w:hint="eastAsia"/>
          <w:color w:val="000000" w:themeColor="text1"/>
          <w:szCs w:val="21"/>
        </w:rPr>
        <w:t>业务办理时间</w:t>
      </w:r>
      <w:r w:rsidRPr="00490741">
        <w:rPr>
          <w:rFonts w:asciiTheme="minorEastAsia" w:eastAsiaTheme="minorEastAsia" w:hAnsiTheme="minorEastAsia" w:hint="eastAsia"/>
          <w:color w:val="000000" w:themeColor="text1"/>
        </w:rPr>
        <w:t>提出申购、赎回的申请。</w:t>
      </w:r>
    </w:p>
    <w:p w:rsidR="0002608C" w:rsidRPr="00490741" w:rsidP="00107648">
      <w:pPr>
        <w:autoSpaceDE w:val="0"/>
        <w:autoSpaceDN w:val="0"/>
        <w:snapToGrid w:val="0"/>
        <w:spacing w:line="360" w:lineRule="auto"/>
        <w:ind w:firstLine="420"/>
        <w:textAlignment w:val="bottom"/>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szCs w:val="21"/>
        </w:rPr>
        <w:t>投资者在提交申购申请时</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须按销售机构规定的方式备足申购资金；提交赎回申请时</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color w:val="000000" w:themeColor="text1"/>
          <w:szCs w:val="21"/>
        </w:rPr>
        <w:t>帐户中必须有足够的基金</w:t>
      </w:r>
      <w:r w:rsidRPr="00490741">
        <w:rPr>
          <w:rFonts w:asciiTheme="minorEastAsia" w:eastAsiaTheme="minorEastAsia" w:hAnsiTheme="minorEastAsia" w:hint="eastAsia"/>
          <w:color w:val="000000" w:themeColor="text1"/>
          <w:szCs w:val="21"/>
        </w:rPr>
        <w:t>份额</w:t>
      </w:r>
      <w:r w:rsidRPr="00490741">
        <w:rPr>
          <w:rFonts w:asciiTheme="minorEastAsia" w:eastAsiaTheme="minorEastAsia" w:hAnsiTheme="minorEastAsia"/>
          <w:color w:val="000000" w:themeColor="text1"/>
          <w:szCs w:val="21"/>
        </w:rPr>
        <w:t>余额</w:t>
      </w:r>
      <w:r w:rsidRPr="00490741">
        <w:rPr>
          <w:rFonts w:asciiTheme="minorEastAsia" w:eastAsiaTheme="minorEastAsia" w:hAnsiTheme="minorEastAsia" w:hint="eastAsia"/>
          <w:color w:val="000000" w:themeColor="text1"/>
          <w:szCs w:val="21"/>
        </w:rPr>
        <w:t>，否则所提交的申购、赎回的申请无效而不予成交。</w:t>
      </w:r>
    </w:p>
    <w:p w:rsidR="0002608C" w:rsidRPr="00490741" w:rsidP="00107648">
      <w:pPr>
        <w:tabs>
          <w:tab w:val="left" w:pos="735"/>
        </w:tabs>
        <w:snapToGrid w:val="0"/>
        <w:spacing w:line="360" w:lineRule="auto"/>
        <w:ind w:left="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2</w:t>
      </w:r>
      <w:r w:rsidRPr="00490741">
        <w:rPr>
          <w:rFonts w:asciiTheme="minorEastAsia" w:eastAsiaTheme="minorEastAsia" w:hAnsiTheme="minorEastAsia" w:hint="eastAsia"/>
          <w:color w:val="000000" w:themeColor="text1"/>
        </w:rPr>
        <w:t>、申购、赎回申请的确认</w:t>
      </w:r>
    </w:p>
    <w:p w:rsidR="0002608C" w:rsidRPr="00490741" w:rsidP="00107648">
      <w:pPr>
        <w:autoSpaceDE w:val="0"/>
        <w:autoSpaceDN w:val="0"/>
        <w:snapToGrid w:val="0"/>
        <w:spacing w:line="360" w:lineRule="auto"/>
        <w:ind w:firstLine="420"/>
        <w:textAlignment w:val="bottom"/>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基金管理人应当于受理基金投资人申购、赎回申请之日起三个工作日内</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color w:val="000000" w:themeColor="text1"/>
          <w:szCs w:val="21"/>
        </w:rPr>
        <w:t>对申请的有效性进行确认。</w:t>
      </w:r>
      <w:r w:rsidRPr="00490741">
        <w:rPr>
          <w:rFonts w:asciiTheme="minorEastAsia" w:eastAsiaTheme="minorEastAsia" w:hAnsiTheme="minorEastAsia" w:hint="eastAsia"/>
          <w:color w:val="000000" w:themeColor="text1"/>
          <w:szCs w:val="21"/>
        </w:rPr>
        <w:t>正常情况下，投资者可在</w:t>
      </w:r>
      <w:r w:rsidRPr="00490741">
        <w:rPr>
          <w:rFonts w:asciiTheme="minorEastAsia" w:eastAsiaTheme="minorEastAsia" w:hAnsiTheme="minorEastAsia" w:hint="eastAsia"/>
          <w:color w:val="000000" w:themeColor="text1"/>
          <w:szCs w:val="21"/>
        </w:rPr>
        <w:t>T+2</w:t>
      </w:r>
      <w:r w:rsidRPr="00490741">
        <w:rPr>
          <w:rFonts w:asciiTheme="minorEastAsia" w:eastAsiaTheme="minorEastAsia" w:hAnsiTheme="minorEastAsia" w:hint="eastAsia"/>
          <w:color w:val="000000" w:themeColor="text1"/>
          <w:szCs w:val="21"/>
        </w:rPr>
        <w:t>工作日及之后到其提出</w:t>
      </w:r>
      <w:r w:rsidRPr="00490741">
        <w:rPr>
          <w:rFonts w:asciiTheme="minorEastAsia" w:eastAsiaTheme="minorEastAsia" w:hAnsiTheme="minorEastAsia"/>
          <w:color w:val="000000" w:themeColor="text1"/>
          <w:szCs w:val="21"/>
        </w:rPr>
        <w:t>申请的网点或按销售机构规定的其他方式进行成交查询。</w:t>
      </w:r>
    </w:p>
    <w:p w:rsidR="0002608C" w:rsidRPr="00490741" w:rsidP="00107648">
      <w:pPr>
        <w:tabs>
          <w:tab w:val="left" w:pos="735"/>
        </w:tabs>
        <w:snapToGrid w:val="0"/>
        <w:spacing w:line="360" w:lineRule="auto"/>
        <w:ind w:left="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3</w:t>
      </w:r>
      <w:r w:rsidRPr="00490741">
        <w:rPr>
          <w:rFonts w:asciiTheme="minorEastAsia" w:eastAsiaTheme="minorEastAsia" w:hAnsiTheme="minorEastAsia" w:hint="eastAsia"/>
          <w:color w:val="000000" w:themeColor="text1"/>
        </w:rPr>
        <w:t>、申购和赎回的款项支付</w:t>
      </w:r>
    </w:p>
    <w:p w:rsidR="0002608C" w:rsidRPr="00490741" w:rsidP="00107648">
      <w:pPr>
        <w:pStyle w:val="BodyTextIndent3"/>
        <w:snapToGrid w:val="0"/>
        <w:spacing w:after="0" w:line="360" w:lineRule="auto"/>
        <w:ind w:left="0" w:firstLine="420" w:firstLineChars="200"/>
        <w:rPr>
          <w:rFonts w:asciiTheme="minorEastAsia" w:eastAsiaTheme="minorEastAsia" w:hAnsiTheme="minorEastAsia"/>
          <w:color w:val="000000" w:themeColor="text1"/>
          <w:sz w:val="21"/>
          <w:szCs w:val="21"/>
        </w:rPr>
      </w:pPr>
      <w:r w:rsidRPr="00490741">
        <w:rPr>
          <w:rFonts w:asciiTheme="minorEastAsia" w:eastAsiaTheme="minorEastAsia" w:hAnsiTheme="minorEastAsia" w:hint="eastAsia"/>
          <w:color w:val="000000" w:themeColor="text1"/>
          <w:sz w:val="21"/>
          <w:szCs w:val="24"/>
        </w:rPr>
        <w:t>申购采用全额缴款方式，</w:t>
      </w:r>
      <w:r w:rsidRPr="00490741">
        <w:rPr>
          <w:rFonts w:asciiTheme="minorEastAsia" w:eastAsiaTheme="minorEastAsia" w:hAnsiTheme="minorEastAsia"/>
          <w:color w:val="000000" w:themeColor="text1"/>
          <w:sz w:val="21"/>
          <w:szCs w:val="24"/>
        </w:rPr>
        <w:t>若申购不成功或无效，</w:t>
      </w:r>
      <w:r w:rsidRPr="00490741">
        <w:rPr>
          <w:rFonts w:asciiTheme="minorEastAsia" w:eastAsiaTheme="minorEastAsia" w:hAnsiTheme="minorEastAsia" w:hint="eastAsia"/>
          <w:color w:val="000000" w:themeColor="text1"/>
          <w:sz w:val="21"/>
          <w:szCs w:val="24"/>
        </w:rPr>
        <w:t>基金管理人或基</w:t>
      </w:r>
      <w:r w:rsidRPr="00490741">
        <w:rPr>
          <w:rFonts w:asciiTheme="minorEastAsia" w:eastAsiaTheme="minorEastAsia" w:hAnsiTheme="minorEastAsia" w:hint="eastAsia"/>
          <w:color w:val="000000" w:themeColor="text1"/>
          <w:sz w:val="21"/>
          <w:szCs w:val="24"/>
        </w:rPr>
        <w:t>金管理人指定的</w:t>
      </w:r>
      <w:r w:rsidRPr="00490741" w:rsidR="00D109A3">
        <w:rPr>
          <w:rFonts w:asciiTheme="minorEastAsia" w:eastAsiaTheme="minorEastAsia" w:hAnsiTheme="minorEastAsia" w:hint="eastAsia"/>
          <w:color w:val="000000" w:themeColor="text1"/>
          <w:sz w:val="21"/>
          <w:szCs w:val="24"/>
        </w:rPr>
        <w:t>销售</w:t>
      </w:r>
      <w:r w:rsidRPr="00490741">
        <w:rPr>
          <w:rFonts w:asciiTheme="minorEastAsia" w:eastAsiaTheme="minorEastAsia" w:hAnsiTheme="minorEastAsia" w:hint="eastAsia"/>
          <w:color w:val="000000" w:themeColor="text1"/>
          <w:sz w:val="21"/>
          <w:szCs w:val="24"/>
        </w:rPr>
        <w:t>机</w:t>
      </w:r>
      <w:r w:rsidRPr="00490741">
        <w:rPr>
          <w:rFonts w:asciiTheme="minorEastAsia" w:eastAsiaTheme="minorEastAsia" w:hAnsiTheme="minorEastAsia" w:hint="eastAsia"/>
          <w:color w:val="000000" w:themeColor="text1"/>
          <w:sz w:val="21"/>
          <w:szCs w:val="21"/>
        </w:rPr>
        <w:t>构将投资者已缴付的申购款项本金退还给投资者。</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szCs w:val="21"/>
        </w:rPr>
        <w:t>投资者赎回申请成功后</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赎回金额将由基金管理人通常在</w:t>
      </w:r>
      <w:r w:rsidRPr="00490741">
        <w:rPr>
          <w:rFonts w:asciiTheme="minorEastAsia" w:eastAsiaTheme="minorEastAsia" w:hAnsiTheme="minorEastAsia"/>
          <w:color w:val="000000" w:themeColor="text1"/>
          <w:szCs w:val="21"/>
        </w:rPr>
        <w:t>T</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color w:val="000000" w:themeColor="text1"/>
          <w:szCs w:val="21"/>
        </w:rPr>
        <w:t>3</w:t>
      </w:r>
      <w:r w:rsidRPr="00490741">
        <w:rPr>
          <w:rFonts w:asciiTheme="minorEastAsia" w:eastAsiaTheme="minorEastAsia" w:hAnsiTheme="minorEastAsia"/>
          <w:color w:val="000000" w:themeColor="text1"/>
          <w:szCs w:val="21"/>
        </w:rPr>
        <w:t>个工作日但不超过</w:t>
      </w:r>
      <w:r w:rsidRPr="00490741">
        <w:rPr>
          <w:rFonts w:asciiTheme="minorEastAsia" w:eastAsiaTheme="minorEastAsia" w:hAnsiTheme="minorEastAsia"/>
          <w:color w:val="000000" w:themeColor="text1"/>
          <w:szCs w:val="21"/>
        </w:rPr>
        <w:t>T</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color w:val="000000" w:themeColor="text1"/>
          <w:szCs w:val="21"/>
        </w:rPr>
        <w:t>7</w:t>
      </w:r>
      <w:r w:rsidRPr="00490741">
        <w:rPr>
          <w:rFonts w:asciiTheme="minorEastAsia" w:eastAsiaTheme="minorEastAsia" w:hAnsiTheme="minorEastAsia"/>
          <w:color w:val="000000" w:themeColor="text1"/>
          <w:szCs w:val="21"/>
        </w:rPr>
        <w:t>个工作日之内从基金托管人划出。在发生巨额赎回并延期支付时</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款项和份额的支付办法参照有关巨额赎回的条款处理。在发生巨额赎回时，款项的支付办法按基金</w:t>
      </w:r>
      <w:r w:rsidRPr="00490741">
        <w:rPr>
          <w:rFonts w:asciiTheme="minorEastAsia" w:eastAsiaTheme="minorEastAsia" w:hAnsiTheme="minorEastAsia" w:hint="eastAsia"/>
          <w:color w:val="000000" w:themeColor="text1"/>
          <w:szCs w:val="21"/>
        </w:rPr>
        <w:t>合同</w:t>
      </w:r>
      <w:r w:rsidRPr="00490741">
        <w:rPr>
          <w:rFonts w:asciiTheme="minorEastAsia" w:eastAsiaTheme="minorEastAsia" w:hAnsiTheme="minorEastAsia"/>
          <w:color w:val="000000" w:themeColor="text1"/>
          <w:szCs w:val="21"/>
        </w:rPr>
        <w:t>及本招募说明书有关规定处理。</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33" w:name="_Toc114237403"/>
      <w:r w:rsidRPr="00490741">
        <w:rPr>
          <w:rFonts w:asciiTheme="minorEastAsia" w:eastAsiaTheme="minorEastAsia" w:hAnsiTheme="minorEastAsia" w:hint="eastAsia"/>
          <w:b w:val="0"/>
          <w:color w:val="000000" w:themeColor="text1"/>
        </w:rPr>
        <w:t>（六）申购、赎回的数额限制</w:t>
      </w:r>
      <w:bookmarkEnd w:id="33"/>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sidR="00C15CD6">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申购基金的金额限制</w:t>
      </w:r>
    </w:p>
    <w:p w:rsidR="00C070D4" w:rsidRPr="00490741" w:rsidP="00107648">
      <w:pPr>
        <w:autoSpaceDE w:val="0"/>
        <w:autoSpaceDN w:val="0"/>
        <w:snapToGrid w:val="0"/>
        <w:spacing w:line="360" w:lineRule="auto"/>
        <w:ind w:firstLine="420"/>
        <w:textAlignment w:val="bottom"/>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szCs w:val="21"/>
        </w:rPr>
        <w:t>投资者通过</w:t>
      </w:r>
      <w:r w:rsidRPr="00490741" w:rsidR="00D109A3">
        <w:rPr>
          <w:rStyle w:val="da"/>
          <w:rFonts w:asciiTheme="minorEastAsia" w:eastAsiaTheme="minorEastAsia" w:hAnsiTheme="minorEastAsia" w:hint="eastAsia"/>
          <w:color w:val="000000" w:themeColor="text1"/>
        </w:rPr>
        <w:t>非直销销售机构</w:t>
      </w:r>
      <w:r w:rsidRPr="00490741">
        <w:rPr>
          <w:rFonts w:asciiTheme="minorEastAsia" w:eastAsiaTheme="minorEastAsia" w:hAnsiTheme="minorEastAsia" w:hint="eastAsia"/>
          <w:color w:val="000000" w:themeColor="text1"/>
          <w:szCs w:val="21"/>
        </w:rPr>
        <w:t>或本公司网上交易系统首次申购的单笔最低金额为</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元人民币，</w:t>
      </w:r>
      <w:r w:rsidRPr="00490741" w:rsidR="00166576">
        <w:rPr>
          <w:rFonts w:asciiTheme="minorEastAsia" w:eastAsiaTheme="minorEastAsia" w:hAnsiTheme="minorEastAsia" w:hint="eastAsia"/>
          <w:color w:val="000000" w:themeColor="text1"/>
          <w:szCs w:val="21"/>
        </w:rPr>
        <w:t>追加申购单笔最低金额为1元人民币；</w:t>
      </w:r>
      <w:r w:rsidRPr="00490741">
        <w:rPr>
          <w:rFonts w:asciiTheme="minorEastAsia" w:eastAsiaTheme="minorEastAsia" w:hAnsiTheme="minorEastAsia" w:hint="eastAsia"/>
          <w:color w:val="000000" w:themeColor="text1"/>
          <w:szCs w:val="21"/>
        </w:rPr>
        <w:t>通过本公司直销中心首次申购的单笔最低金额为</w:t>
      </w:r>
      <w:r w:rsidRPr="00490741">
        <w:rPr>
          <w:rFonts w:asciiTheme="minorEastAsia" w:eastAsiaTheme="minorEastAsia" w:hAnsiTheme="minorEastAsia" w:hint="eastAsia"/>
          <w:color w:val="000000" w:themeColor="text1"/>
          <w:szCs w:val="21"/>
        </w:rPr>
        <w:t>50000</w:t>
      </w:r>
      <w:r w:rsidRPr="00490741">
        <w:rPr>
          <w:rFonts w:asciiTheme="minorEastAsia" w:eastAsiaTheme="minorEastAsia" w:hAnsiTheme="minorEastAsia" w:hint="eastAsia"/>
          <w:color w:val="000000" w:themeColor="text1"/>
          <w:szCs w:val="21"/>
        </w:rPr>
        <w:t>元人民币，追加申购单笔最低金额为</w:t>
      </w:r>
      <w:r w:rsidRPr="00490741">
        <w:rPr>
          <w:rFonts w:asciiTheme="minorEastAsia" w:eastAsiaTheme="minorEastAsia" w:hAnsiTheme="minorEastAsia" w:hint="eastAsia"/>
          <w:color w:val="000000" w:themeColor="text1"/>
          <w:szCs w:val="21"/>
        </w:rPr>
        <w:t>1000</w:t>
      </w:r>
      <w:r w:rsidRPr="00490741">
        <w:rPr>
          <w:rFonts w:asciiTheme="minorEastAsia" w:eastAsiaTheme="minorEastAsia" w:hAnsiTheme="minorEastAsia" w:hint="eastAsia"/>
          <w:color w:val="000000" w:themeColor="text1"/>
          <w:szCs w:val="21"/>
        </w:rPr>
        <w:t>元人民币。</w:t>
      </w:r>
      <w:r w:rsidRPr="00490741" w:rsidR="00535526">
        <w:rPr>
          <w:rFonts w:asciiTheme="minorEastAsia" w:eastAsiaTheme="minorEastAsia" w:hAnsiTheme="minorEastAsia" w:hint="eastAsia"/>
          <w:color w:val="000000" w:themeColor="text1"/>
          <w:szCs w:val="21"/>
        </w:rPr>
        <w:t>在符合法律法规规定的前提下，</w:t>
      </w:r>
      <w:r w:rsidRPr="00490741">
        <w:rPr>
          <w:rFonts w:asciiTheme="minorEastAsia" w:eastAsiaTheme="minorEastAsia" w:hAnsiTheme="minorEastAsia" w:hint="eastAsia"/>
          <w:color w:val="000000" w:themeColor="text1"/>
          <w:szCs w:val="21"/>
        </w:rPr>
        <w:t>各销售机构对最低申购限额及交易级差有其他规定的</w:t>
      </w:r>
      <w:r w:rsidRPr="00490741">
        <w:rPr>
          <w:rFonts w:asciiTheme="minorEastAsia" w:eastAsiaTheme="minorEastAsia" w:hAnsiTheme="minorEastAsia" w:hint="eastAsia"/>
          <w:color w:val="000000" w:themeColor="text1"/>
          <w:szCs w:val="21"/>
        </w:rPr>
        <w:t>,</w:t>
      </w:r>
      <w:r w:rsidRPr="00490741" w:rsidR="00920EDD">
        <w:rPr>
          <w:rFonts w:asciiTheme="minorEastAsia" w:eastAsiaTheme="minorEastAsia" w:hAnsiTheme="minorEastAsia" w:hint="eastAsia"/>
          <w:color w:val="000000" w:themeColor="text1"/>
          <w:szCs w:val="21"/>
        </w:rPr>
        <w:t>需同时遵循该销售机构的相关规定</w:t>
      </w:r>
      <w:r w:rsidRPr="00490741">
        <w:rPr>
          <w:rFonts w:asciiTheme="minorEastAsia" w:eastAsiaTheme="minorEastAsia" w:hAnsiTheme="minorEastAsia" w:hint="eastAsia"/>
          <w:color w:val="000000" w:themeColor="text1"/>
          <w:szCs w:val="21"/>
        </w:rPr>
        <w:t>。</w:t>
      </w:r>
      <w:r w:rsidRPr="00490741" w:rsidR="00166576">
        <w:rPr>
          <w:rFonts w:asciiTheme="minorEastAsia" w:eastAsiaTheme="minorEastAsia" w:hAnsiTheme="minorEastAsia" w:hint="eastAsia"/>
          <w:color w:val="000000" w:themeColor="text1"/>
          <w:szCs w:val="21"/>
        </w:rPr>
        <w:t>(以上金额均含申购费)</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投资者将当期分配的基金收益转购基金份额或采用定期定额投资计划时，不受最低申购金额的限制。</w:t>
      </w:r>
    </w:p>
    <w:p w:rsidR="0002608C" w:rsidRPr="00490741" w:rsidP="00107648">
      <w:pPr>
        <w:pStyle w:val="20"/>
        <w:autoSpaceDE w:val="0"/>
        <w:autoSpaceDN w:val="0"/>
        <w:snapToGrid w:val="0"/>
        <w:spacing w:before="0" w:beforeAutospacing="0" w:after="0" w:afterAutospacing="0"/>
        <w:ind w:firstLine="420"/>
        <w:textAlignment w:val="bottom"/>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投资者可多次申购，对单个投资者累计持有份额不设上限限制。</w:t>
      </w:r>
      <w:r w:rsidRPr="00490741" w:rsidR="001E476C">
        <w:rPr>
          <w:rFonts w:asciiTheme="minorEastAsia" w:eastAsiaTheme="minorEastAsia" w:hAnsiTheme="minorEastAsia" w:hint="eastAsia"/>
          <w:color w:val="000000" w:themeColor="text1"/>
          <w:szCs w:val="21"/>
        </w:rPr>
        <w:t>但对于可能导致单一投资者持有基金份额的比例达到或者超过50%，或者变相规避50%集中度的情形，基金管理人有权采取控制措施。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r w:rsidRPr="00490741">
        <w:rPr>
          <w:rFonts w:asciiTheme="minorEastAsia" w:eastAsiaTheme="minorEastAsia" w:hAnsiTheme="minorEastAsia" w:hint="eastAsia"/>
          <w:color w:val="000000" w:themeColor="text1"/>
          <w:szCs w:val="21"/>
        </w:rPr>
        <w:t>法律法规、中国证监会另有规定的除外。</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bookmarkStart w:id="34" w:name="OLE_LINK2"/>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、赎回的份额限制</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投资者可将其全部或部分基金</w:t>
      </w:r>
      <w:r w:rsidRPr="00490741">
        <w:rPr>
          <w:rFonts w:asciiTheme="minorEastAsia" w:eastAsiaTheme="minorEastAsia" w:hAnsiTheme="minorEastAsia" w:hint="eastAsia"/>
          <w:color w:val="000000" w:themeColor="text1"/>
          <w:szCs w:val="21"/>
        </w:rPr>
        <w:t>份额</w:t>
      </w:r>
      <w:r w:rsidRPr="00490741">
        <w:rPr>
          <w:rFonts w:asciiTheme="minorEastAsia" w:eastAsiaTheme="minorEastAsia" w:hAnsiTheme="minorEastAsia"/>
          <w:color w:val="000000" w:themeColor="text1"/>
          <w:szCs w:val="21"/>
        </w:rPr>
        <w:t>赎回。单笔赎回或转换不得少于</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color w:val="000000" w:themeColor="text1"/>
          <w:szCs w:val="21"/>
        </w:rPr>
        <w:t>份</w:t>
      </w:r>
      <w:r w:rsidRPr="00490741">
        <w:rPr>
          <w:rFonts w:asciiTheme="minorEastAsia" w:eastAsiaTheme="minorEastAsia" w:hAnsiTheme="minorEastAsia"/>
          <w:color w:val="000000" w:themeColor="text1"/>
          <w:szCs w:val="21"/>
        </w:rPr>
        <w:t>(</w:t>
      </w:r>
      <w:r w:rsidRPr="00490741" w:rsidR="00087E56">
        <w:rPr>
          <w:rFonts w:asciiTheme="minorEastAsia" w:eastAsiaTheme="minorEastAsia" w:hAnsiTheme="minorEastAsia"/>
          <w:color w:val="000000" w:themeColor="text1"/>
          <w:szCs w:val="21"/>
        </w:rPr>
        <w:t>如该</w:t>
      </w:r>
      <w:r w:rsidRPr="00490741" w:rsidR="00087E56">
        <w:rPr>
          <w:rFonts w:asciiTheme="minorEastAsia" w:eastAsiaTheme="minorEastAsia" w:hAnsiTheme="minorEastAsia" w:hint="eastAsia"/>
          <w:color w:val="000000" w:themeColor="text1"/>
          <w:szCs w:val="21"/>
        </w:rPr>
        <w:t>账户</w:t>
      </w:r>
      <w:r w:rsidRPr="00490741" w:rsidR="00087E56">
        <w:rPr>
          <w:rFonts w:asciiTheme="minorEastAsia" w:eastAsiaTheme="minorEastAsia" w:hAnsiTheme="minorEastAsia"/>
          <w:color w:val="000000" w:themeColor="text1"/>
          <w:szCs w:val="21"/>
        </w:rPr>
        <w:t>在该销售机构托管的</w:t>
      </w:r>
      <w:r w:rsidRPr="00490741" w:rsidR="00087E56">
        <w:rPr>
          <w:rFonts w:asciiTheme="minorEastAsia" w:eastAsiaTheme="minorEastAsia" w:hAnsiTheme="minorEastAsia" w:hint="eastAsia"/>
          <w:color w:val="000000" w:themeColor="text1"/>
          <w:szCs w:val="21"/>
        </w:rPr>
        <w:t>该</w:t>
      </w:r>
      <w:r w:rsidRPr="00490741" w:rsidR="00087E56">
        <w:rPr>
          <w:rFonts w:asciiTheme="minorEastAsia" w:eastAsiaTheme="minorEastAsia" w:hAnsiTheme="minorEastAsia"/>
          <w:color w:val="000000" w:themeColor="text1"/>
          <w:szCs w:val="21"/>
        </w:rPr>
        <w:t>基金余额不足</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color w:val="000000" w:themeColor="text1"/>
          <w:szCs w:val="21"/>
        </w:rPr>
        <w:t>份</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则必须一次性赎回或转出该基金全部份额</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color w:val="000000" w:themeColor="text1"/>
          <w:szCs w:val="21"/>
        </w:rPr>
        <w:t>；若某笔赎回将导致投资者在</w:t>
      </w:r>
      <w:r w:rsidRPr="00490741" w:rsidR="00087E56">
        <w:rPr>
          <w:rFonts w:asciiTheme="minorEastAsia" w:eastAsiaTheme="minorEastAsia" w:hAnsiTheme="minorEastAsia" w:hint="eastAsia"/>
          <w:color w:val="000000" w:themeColor="text1"/>
          <w:szCs w:val="21"/>
        </w:rPr>
        <w:t>该</w:t>
      </w:r>
      <w:r w:rsidRPr="00490741">
        <w:rPr>
          <w:rFonts w:asciiTheme="minorEastAsia" w:eastAsiaTheme="minorEastAsia" w:hAnsiTheme="minorEastAsia"/>
          <w:color w:val="000000" w:themeColor="text1"/>
          <w:szCs w:val="21"/>
        </w:rPr>
        <w:t>销售机构托管的</w:t>
      </w:r>
      <w:r w:rsidRPr="00490741" w:rsidR="00087E56">
        <w:rPr>
          <w:rFonts w:asciiTheme="minorEastAsia" w:eastAsiaTheme="minorEastAsia" w:hAnsiTheme="minorEastAsia" w:hint="eastAsia"/>
          <w:color w:val="000000" w:themeColor="text1"/>
          <w:szCs w:val="21"/>
        </w:rPr>
        <w:t>该</w:t>
      </w:r>
      <w:r w:rsidRPr="00490741">
        <w:rPr>
          <w:rFonts w:asciiTheme="minorEastAsia" w:eastAsiaTheme="minorEastAsia" w:hAnsiTheme="minorEastAsia"/>
          <w:color w:val="000000" w:themeColor="text1"/>
          <w:szCs w:val="21"/>
        </w:rPr>
        <w:t>基金余额不足</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color w:val="000000" w:themeColor="text1"/>
          <w:szCs w:val="21"/>
        </w:rPr>
        <w:t>份时</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基金管理人有权将投资者在该销售机构托管的该基金剩余份额一次性全部赎回。</w:t>
      </w:r>
      <w:r w:rsidRPr="00490741" w:rsidR="00D51240">
        <w:rPr>
          <w:rFonts w:asciiTheme="minorEastAsia" w:eastAsiaTheme="minorEastAsia" w:hAnsiTheme="minorEastAsia" w:hint="eastAsia"/>
          <w:color w:val="000000" w:themeColor="text1"/>
          <w:szCs w:val="21"/>
        </w:rPr>
        <w:t>在符合法律法规规定的前提下，各销售机构对赎回份额限制有其他规定的，需同时遵循该销售机构的相关规定。</w:t>
      </w:r>
    </w:p>
    <w:bookmarkEnd w:id="34"/>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3</w:t>
      </w:r>
      <w:r w:rsidRPr="00490741" w:rsidR="00C15CD6">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基金管理人可根据市场情况制定或调整上述申购、赎回的程序及有关限制，</w:t>
      </w:r>
      <w:r w:rsidRPr="00490741" w:rsidR="001E476C">
        <w:rPr>
          <w:rFonts w:asciiTheme="minorEastAsia" w:eastAsiaTheme="minorEastAsia" w:hAnsiTheme="minorEastAsia" w:hint="eastAsia"/>
          <w:color w:val="000000" w:themeColor="text1"/>
          <w:szCs w:val="21"/>
        </w:rPr>
        <w:t>或者新增基金规模控制措施,</w:t>
      </w:r>
      <w:r w:rsidRPr="00490741">
        <w:rPr>
          <w:rFonts w:asciiTheme="minorEastAsia" w:eastAsiaTheme="minorEastAsia" w:hAnsiTheme="minorEastAsia" w:hint="eastAsia"/>
          <w:color w:val="000000" w:themeColor="text1"/>
          <w:szCs w:val="21"/>
        </w:rPr>
        <w:t>但应最迟在调整生效前二个工作日在指定</w:t>
      </w:r>
      <w:r w:rsidRPr="00490741" w:rsidR="008E5383">
        <w:rPr>
          <w:rFonts w:asciiTheme="minorEastAsia" w:eastAsiaTheme="minorEastAsia" w:hAnsiTheme="minorEastAsia" w:hint="eastAsia"/>
          <w:color w:val="000000" w:themeColor="text1"/>
          <w:szCs w:val="21"/>
        </w:rPr>
        <w:t>媒介</w:t>
      </w:r>
      <w:r w:rsidRPr="00490741">
        <w:rPr>
          <w:rFonts w:asciiTheme="minorEastAsia" w:eastAsiaTheme="minorEastAsia" w:hAnsiTheme="minorEastAsia" w:hint="eastAsia"/>
          <w:color w:val="000000" w:themeColor="text1"/>
          <w:szCs w:val="21"/>
        </w:rPr>
        <w:t>公告。</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35" w:name="_Toc114237404"/>
      <w:r w:rsidRPr="00490741">
        <w:rPr>
          <w:rFonts w:asciiTheme="minorEastAsia" w:eastAsiaTheme="minorEastAsia" w:hAnsiTheme="minorEastAsia" w:hint="eastAsia"/>
          <w:b w:val="0"/>
          <w:color w:val="000000" w:themeColor="text1"/>
        </w:rPr>
        <w:t>（七）申购、赎回的费率</w:t>
      </w:r>
      <w:bookmarkEnd w:id="35"/>
    </w:p>
    <w:p w:rsidR="0002608C" w:rsidRPr="00490741" w:rsidP="00107648">
      <w:pPr>
        <w:autoSpaceDE w:val="0"/>
        <w:autoSpaceDN w:val="0"/>
        <w:snapToGrid w:val="0"/>
        <w:spacing w:line="360" w:lineRule="auto"/>
        <w:ind w:firstLine="420" w:firstLineChars="200"/>
        <w:textAlignment w:val="bottom"/>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1</w:t>
      </w:r>
      <w:r w:rsidRPr="00490741" w:rsidR="00C15CD6">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本基金的申购、赎回费率</w:t>
      </w:r>
    </w:p>
    <w:p w:rsidR="0002608C" w:rsidRPr="00490741" w:rsidP="00107648">
      <w:pPr>
        <w:autoSpaceDE w:val="0"/>
        <w:autoSpaceDN w:val="0"/>
        <w:adjustRightInd w:val="0"/>
        <w:snapToGrid w:val="0"/>
        <w:spacing w:line="360" w:lineRule="auto"/>
        <w:ind w:left="420"/>
        <w:jc w:val="lef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本基金的申购、赎回费率设置如下表所示：</w:t>
      </w:r>
    </w:p>
    <w:p w:rsidR="00694807" w:rsidRPr="00490741" w:rsidP="00107648">
      <w:pPr>
        <w:autoSpaceDE w:val="0"/>
        <w:autoSpaceDN w:val="0"/>
        <w:adjustRightInd w:val="0"/>
        <w:snapToGrid w:val="0"/>
        <w:spacing w:line="360" w:lineRule="auto"/>
        <w:ind w:firstLine="315" w:firstLineChars="150"/>
        <w:jc w:val="lef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本基金对通过本公司直销中心申购的特定投资群体与除此之外的其他投资者实施差别的申购费率。</w:t>
      </w:r>
    </w:p>
    <w:p w:rsidR="00694807" w:rsidRPr="00490741" w:rsidP="00107648">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694807" w:rsidRPr="00490741" w:rsidP="00107648">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通过基金管理人的直销中心申购本基金的特定投资群体申购费率为：</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915"/>
        <w:gridCol w:w="4260"/>
      </w:tblGrid>
      <w:tr w:rsidTr="00BB283C">
        <w:tblPrEx>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Ex>
        <w:trPr>
          <w:tblCellSpacing w:w="15" w:type="dxa"/>
          <w:jc w:val="center"/>
        </w:trPr>
        <w:tc>
          <w:tcPr>
            <w:tcW w:w="3870" w:type="dxa"/>
          </w:tcPr>
          <w:p w:rsidR="00694807" w:rsidRPr="00490741" w:rsidP="00107648">
            <w:pPr>
              <w:widowControl/>
              <w:snapToGrid w:val="0"/>
              <w:spacing w:line="360" w:lineRule="auto"/>
              <w:jc w:val="center"/>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s="宋体"/>
                <w:color w:val="000000" w:themeColor="text1"/>
                <w:kern w:val="0"/>
                <w:szCs w:val="21"/>
              </w:rPr>
              <w:t>申购金额</w:t>
            </w:r>
            <w:r w:rsidRPr="00490741">
              <w:rPr>
                <w:rFonts w:asciiTheme="minorEastAsia" w:eastAsiaTheme="minorEastAsia" w:hAnsiTheme="minorEastAsia" w:cs="宋体" w:hint="eastAsia"/>
                <w:color w:val="000000" w:themeColor="text1"/>
                <w:kern w:val="0"/>
                <w:szCs w:val="21"/>
              </w:rPr>
              <w:t>M</w:t>
            </w:r>
            <w:r w:rsidRPr="00490741">
              <w:rPr>
                <w:rFonts w:asciiTheme="minorEastAsia" w:eastAsiaTheme="minorEastAsia" w:hAnsiTheme="minorEastAsia" w:cs="宋体"/>
                <w:color w:val="000000" w:themeColor="text1"/>
                <w:kern w:val="0"/>
                <w:szCs w:val="21"/>
              </w:rPr>
              <w:t>(</w:t>
            </w:r>
            <w:r w:rsidRPr="00490741">
              <w:rPr>
                <w:rFonts w:asciiTheme="minorEastAsia" w:eastAsiaTheme="minorEastAsia" w:hAnsiTheme="minorEastAsia" w:cs="宋体"/>
                <w:color w:val="000000" w:themeColor="text1"/>
                <w:kern w:val="0"/>
                <w:szCs w:val="21"/>
              </w:rPr>
              <w:t>元</w:t>
            </w:r>
            <w:r w:rsidRPr="00490741">
              <w:rPr>
                <w:rFonts w:asciiTheme="minorEastAsia" w:eastAsiaTheme="minorEastAsia" w:hAnsiTheme="minorEastAsia" w:cs="宋体"/>
                <w:color w:val="000000" w:themeColor="text1"/>
                <w:kern w:val="0"/>
                <w:szCs w:val="21"/>
              </w:rPr>
              <w:t>)</w:t>
            </w:r>
            <w:r w:rsidRPr="00490741">
              <w:rPr>
                <w:rFonts w:asciiTheme="minorEastAsia" w:eastAsiaTheme="minorEastAsia" w:hAnsiTheme="minorEastAsia" w:cs="宋体" w:hint="eastAsia"/>
                <w:color w:val="000000" w:themeColor="text1"/>
                <w:kern w:val="0"/>
                <w:szCs w:val="21"/>
              </w:rPr>
              <w:t>（含申购费）</w:t>
            </w:r>
          </w:p>
        </w:tc>
        <w:tc>
          <w:tcPr>
            <w:tcW w:w="4215" w:type="dxa"/>
          </w:tcPr>
          <w:p w:rsidR="00694807" w:rsidRPr="00490741" w:rsidP="00107648">
            <w:pPr>
              <w:widowControl/>
              <w:snapToGrid w:val="0"/>
              <w:spacing w:line="360" w:lineRule="auto"/>
              <w:jc w:val="center"/>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s="宋体"/>
                <w:color w:val="000000" w:themeColor="text1"/>
                <w:kern w:val="0"/>
                <w:szCs w:val="21"/>
              </w:rPr>
              <w:t>申购费率</w:t>
            </w:r>
          </w:p>
        </w:tc>
      </w:tr>
      <w:tr w:rsidTr="00BB283C">
        <w:tblPrEx>
          <w:tblW w:w="0" w:type="auto"/>
          <w:jc w:val="center"/>
          <w:tblCellSpacing w:w="15" w:type="dxa"/>
          <w:tblCellMar>
            <w:top w:w="15" w:type="dxa"/>
            <w:left w:w="15" w:type="dxa"/>
            <w:bottom w:w="15" w:type="dxa"/>
            <w:right w:w="15" w:type="dxa"/>
          </w:tblCellMar>
          <w:tblLook w:val="0000"/>
        </w:tblPrEx>
        <w:trPr>
          <w:tblCellSpacing w:w="15" w:type="dxa"/>
          <w:jc w:val="center"/>
        </w:trPr>
        <w:tc>
          <w:tcPr>
            <w:tcW w:w="3870" w:type="dxa"/>
            <w:vAlign w:val="center"/>
          </w:tcPr>
          <w:p w:rsidR="00694807" w:rsidRPr="00490741" w:rsidP="00107648">
            <w:pPr>
              <w:widowControl/>
              <w:snapToGrid w:val="0"/>
              <w:spacing w:line="360" w:lineRule="auto"/>
              <w:jc w:val="center"/>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olor w:val="000000" w:themeColor="text1"/>
                <w:szCs w:val="21"/>
              </w:rPr>
              <w:t>M</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1000</w:t>
            </w:r>
            <w:r w:rsidRPr="00490741">
              <w:rPr>
                <w:rFonts w:asciiTheme="minorEastAsia" w:eastAsiaTheme="minorEastAsia" w:hAnsiTheme="minorEastAsia" w:hint="eastAsia"/>
                <w:color w:val="000000" w:themeColor="text1"/>
                <w:szCs w:val="21"/>
              </w:rPr>
              <w:t>万</w:t>
            </w:r>
          </w:p>
        </w:tc>
        <w:tc>
          <w:tcPr>
            <w:tcW w:w="4215" w:type="dxa"/>
            <w:vAlign w:val="center"/>
          </w:tcPr>
          <w:p w:rsidR="00694807" w:rsidRPr="00490741" w:rsidP="00107648">
            <w:pPr>
              <w:widowControl/>
              <w:snapToGrid w:val="0"/>
              <w:spacing w:line="360" w:lineRule="auto"/>
              <w:jc w:val="center"/>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hint="eastAsia"/>
                <w:color w:val="000000" w:themeColor="text1"/>
                <w:szCs w:val="21"/>
              </w:rPr>
              <w:t>按笔收取，</w:t>
            </w:r>
            <w:r w:rsidRPr="00490741">
              <w:rPr>
                <w:rFonts w:asciiTheme="minorEastAsia" w:eastAsiaTheme="minorEastAsia" w:hAnsiTheme="minorEastAsia"/>
                <w:color w:val="000000" w:themeColor="text1"/>
                <w:szCs w:val="21"/>
              </w:rPr>
              <w:t>1000</w:t>
            </w:r>
            <w:r w:rsidRPr="00490741">
              <w:rPr>
                <w:rFonts w:asciiTheme="minorEastAsia" w:eastAsiaTheme="minorEastAsia" w:hAnsiTheme="minorEastAsia" w:hint="eastAsia"/>
                <w:color w:val="000000" w:themeColor="text1"/>
                <w:szCs w:val="21"/>
              </w:rPr>
              <w:t>元</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hint="eastAsia"/>
                <w:color w:val="000000" w:themeColor="text1"/>
                <w:szCs w:val="21"/>
              </w:rPr>
              <w:t>笔</w:t>
            </w:r>
          </w:p>
        </w:tc>
      </w:tr>
      <w:tr w:rsidTr="00BB283C">
        <w:tblPrEx>
          <w:tblW w:w="0" w:type="auto"/>
          <w:jc w:val="center"/>
          <w:tblCellSpacing w:w="15" w:type="dxa"/>
          <w:tblCellMar>
            <w:top w:w="15" w:type="dxa"/>
            <w:left w:w="15" w:type="dxa"/>
            <w:bottom w:w="15" w:type="dxa"/>
            <w:right w:w="15" w:type="dxa"/>
          </w:tblCellMar>
          <w:tblLook w:val="0000"/>
        </w:tblPrEx>
        <w:trPr>
          <w:tblCellSpacing w:w="15" w:type="dxa"/>
          <w:jc w:val="center"/>
        </w:trPr>
        <w:tc>
          <w:tcPr>
            <w:tcW w:w="3870" w:type="dxa"/>
            <w:vAlign w:val="center"/>
          </w:tcPr>
          <w:p w:rsidR="00694807" w:rsidRPr="00490741" w:rsidP="00107648">
            <w:pPr>
              <w:widowControl/>
              <w:snapToGrid w:val="0"/>
              <w:spacing w:line="360" w:lineRule="auto"/>
              <w:jc w:val="center"/>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olor w:val="000000" w:themeColor="text1"/>
                <w:szCs w:val="21"/>
              </w:rPr>
              <w:t>500</w:t>
            </w:r>
            <w:r w:rsidRPr="00490741">
              <w:rPr>
                <w:rFonts w:asciiTheme="minorEastAsia" w:eastAsiaTheme="minorEastAsia" w:hAnsiTheme="minorEastAsia" w:hint="eastAsia"/>
                <w:color w:val="000000" w:themeColor="text1"/>
                <w:szCs w:val="21"/>
              </w:rPr>
              <w:t>万≤</w:t>
            </w:r>
            <w:r w:rsidRPr="00490741">
              <w:rPr>
                <w:rFonts w:asciiTheme="minorEastAsia" w:eastAsiaTheme="minorEastAsia" w:hAnsiTheme="minorEastAsia"/>
                <w:color w:val="000000" w:themeColor="text1"/>
                <w:szCs w:val="21"/>
              </w:rPr>
              <w:t>M</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1000</w:t>
            </w:r>
            <w:r w:rsidRPr="00490741">
              <w:rPr>
                <w:rFonts w:asciiTheme="minorEastAsia" w:eastAsiaTheme="minorEastAsia" w:hAnsiTheme="minorEastAsia" w:hint="eastAsia"/>
                <w:color w:val="000000" w:themeColor="text1"/>
                <w:szCs w:val="21"/>
              </w:rPr>
              <w:t>万</w:t>
            </w:r>
          </w:p>
        </w:tc>
        <w:tc>
          <w:tcPr>
            <w:tcW w:w="4215" w:type="dxa"/>
            <w:vAlign w:val="center"/>
          </w:tcPr>
          <w:p w:rsidR="00694807" w:rsidRPr="00490741" w:rsidP="00107648">
            <w:pPr>
              <w:widowControl/>
              <w:snapToGrid w:val="0"/>
              <w:spacing w:line="360" w:lineRule="auto"/>
              <w:jc w:val="center"/>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olor w:val="000000" w:themeColor="text1"/>
                <w:szCs w:val="21"/>
              </w:rPr>
              <w:t>0.</w:t>
            </w:r>
            <w:r w:rsidRPr="00490741">
              <w:rPr>
                <w:rFonts w:asciiTheme="minorEastAsia" w:eastAsiaTheme="minorEastAsia" w:hAnsiTheme="minorEastAsia" w:hint="eastAsia"/>
                <w:color w:val="000000" w:themeColor="text1"/>
                <w:szCs w:val="21"/>
              </w:rPr>
              <w:t>0</w:t>
            </w:r>
            <w:r w:rsidRPr="00490741">
              <w:rPr>
                <w:rFonts w:asciiTheme="minorEastAsia" w:eastAsiaTheme="minorEastAsia" w:hAnsiTheme="minorEastAsia"/>
                <w:color w:val="000000" w:themeColor="text1"/>
                <w:szCs w:val="21"/>
              </w:rPr>
              <w:t>3%</w:t>
            </w:r>
          </w:p>
        </w:tc>
      </w:tr>
      <w:tr w:rsidTr="00BB283C">
        <w:tblPrEx>
          <w:tblW w:w="0" w:type="auto"/>
          <w:jc w:val="center"/>
          <w:tblCellSpacing w:w="15" w:type="dxa"/>
          <w:tblCellMar>
            <w:top w:w="15" w:type="dxa"/>
            <w:left w:w="15" w:type="dxa"/>
            <w:bottom w:w="15" w:type="dxa"/>
            <w:right w:w="15" w:type="dxa"/>
          </w:tblCellMar>
          <w:tblLook w:val="0000"/>
        </w:tblPrEx>
        <w:trPr>
          <w:tblCellSpacing w:w="15" w:type="dxa"/>
          <w:jc w:val="center"/>
        </w:trPr>
        <w:tc>
          <w:tcPr>
            <w:tcW w:w="3870" w:type="dxa"/>
            <w:vAlign w:val="center"/>
          </w:tcPr>
          <w:p w:rsidR="00694807" w:rsidRPr="00490741" w:rsidP="00107648">
            <w:pPr>
              <w:widowControl/>
              <w:snapToGrid w:val="0"/>
              <w:spacing w:line="360" w:lineRule="auto"/>
              <w:jc w:val="center"/>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olor w:val="000000" w:themeColor="text1"/>
                <w:szCs w:val="21"/>
              </w:rPr>
              <w:t>100</w:t>
            </w:r>
            <w:r w:rsidRPr="00490741">
              <w:rPr>
                <w:rFonts w:asciiTheme="minorEastAsia" w:eastAsiaTheme="minorEastAsia" w:hAnsiTheme="minorEastAsia" w:hint="eastAsia"/>
                <w:color w:val="000000" w:themeColor="text1"/>
                <w:szCs w:val="21"/>
              </w:rPr>
              <w:t>万≤</w:t>
            </w:r>
            <w:r w:rsidRPr="00490741">
              <w:rPr>
                <w:rFonts w:asciiTheme="minorEastAsia" w:eastAsiaTheme="minorEastAsia" w:hAnsiTheme="minorEastAsia"/>
                <w:color w:val="000000" w:themeColor="text1"/>
                <w:szCs w:val="21"/>
              </w:rPr>
              <w:t>M</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500</w:t>
            </w:r>
            <w:r w:rsidRPr="00490741">
              <w:rPr>
                <w:rFonts w:asciiTheme="minorEastAsia" w:eastAsiaTheme="minorEastAsia" w:hAnsiTheme="minorEastAsia" w:hint="eastAsia"/>
                <w:color w:val="000000" w:themeColor="text1"/>
                <w:szCs w:val="21"/>
              </w:rPr>
              <w:t>万</w:t>
            </w:r>
          </w:p>
        </w:tc>
        <w:tc>
          <w:tcPr>
            <w:tcW w:w="4215" w:type="dxa"/>
            <w:vAlign w:val="center"/>
          </w:tcPr>
          <w:p w:rsidR="00694807" w:rsidRPr="00490741" w:rsidP="00107648">
            <w:pPr>
              <w:widowControl/>
              <w:snapToGrid w:val="0"/>
              <w:spacing w:line="360" w:lineRule="auto"/>
              <w:jc w:val="center"/>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hint="eastAsia"/>
                <w:color w:val="000000" w:themeColor="text1"/>
                <w:szCs w:val="21"/>
              </w:rPr>
              <w:t>0</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color w:val="000000" w:themeColor="text1"/>
                <w:szCs w:val="21"/>
              </w:rPr>
              <w:t>2%</w:t>
            </w:r>
          </w:p>
        </w:tc>
      </w:tr>
      <w:tr w:rsidTr="00BB283C">
        <w:tblPrEx>
          <w:tblW w:w="0" w:type="auto"/>
          <w:jc w:val="center"/>
          <w:tblCellSpacing w:w="15" w:type="dxa"/>
          <w:tblCellMar>
            <w:top w:w="15" w:type="dxa"/>
            <w:left w:w="15" w:type="dxa"/>
            <w:bottom w:w="15" w:type="dxa"/>
            <w:right w:w="15" w:type="dxa"/>
          </w:tblCellMar>
          <w:tblLook w:val="0000"/>
        </w:tblPrEx>
        <w:trPr>
          <w:tblCellSpacing w:w="15" w:type="dxa"/>
          <w:jc w:val="center"/>
        </w:trPr>
        <w:tc>
          <w:tcPr>
            <w:tcW w:w="3870" w:type="dxa"/>
            <w:vAlign w:val="center"/>
          </w:tcPr>
          <w:p w:rsidR="00694807" w:rsidRPr="00490741" w:rsidP="00107648">
            <w:pPr>
              <w:widowControl/>
              <w:snapToGrid w:val="0"/>
              <w:spacing w:line="360" w:lineRule="auto"/>
              <w:jc w:val="center"/>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olor w:val="000000" w:themeColor="text1"/>
                <w:szCs w:val="21"/>
              </w:rPr>
              <w:t>M</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100</w:t>
            </w:r>
            <w:r w:rsidRPr="00490741">
              <w:rPr>
                <w:rFonts w:asciiTheme="minorEastAsia" w:eastAsiaTheme="minorEastAsia" w:hAnsiTheme="minorEastAsia" w:hint="eastAsia"/>
                <w:color w:val="000000" w:themeColor="text1"/>
                <w:szCs w:val="21"/>
              </w:rPr>
              <w:t>万</w:t>
            </w:r>
          </w:p>
        </w:tc>
        <w:tc>
          <w:tcPr>
            <w:tcW w:w="4215" w:type="dxa"/>
            <w:vAlign w:val="center"/>
          </w:tcPr>
          <w:p w:rsidR="00694807" w:rsidRPr="00490741" w:rsidP="00107648">
            <w:pPr>
              <w:widowControl/>
              <w:snapToGrid w:val="0"/>
              <w:spacing w:line="360" w:lineRule="auto"/>
              <w:jc w:val="center"/>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hint="eastAsia"/>
                <w:color w:val="000000" w:themeColor="text1"/>
                <w:szCs w:val="21"/>
              </w:rPr>
              <w:t>0</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color w:val="000000" w:themeColor="text1"/>
                <w:szCs w:val="21"/>
              </w:rPr>
              <w:t>5%</w:t>
            </w:r>
          </w:p>
        </w:tc>
      </w:tr>
    </w:tbl>
    <w:p w:rsidR="0002608C" w:rsidRPr="00490741" w:rsidP="00107648">
      <w:pPr>
        <w:widowControl/>
        <w:snapToGrid w:val="0"/>
        <w:spacing w:line="360" w:lineRule="auto"/>
        <w:ind w:firstLine="420" w:firstLineChars="200"/>
        <w:jc w:val="lef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其他投资者申购本基金的</w:t>
      </w:r>
      <w:r w:rsidRPr="00490741">
        <w:rPr>
          <w:rFonts w:asciiTheme="minorEastAsia" w:eastAsiaTheme="minorEastAsia" w:hAnsiTheme="minorEastAsia"/>
          <w:color w:val="000000" w:themeColor="text1"/>
          <w:szCs w:val="21"/>
        </w:rPr>
        <w:t>申购费率为：</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915"/>
        <w:gridCol w:w="4260"/>
      </w:tblGrid>
      <w:tr w:rsidTr="0002608C">
        <w:tblPrEx>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Ex>
        <w:trPr>
          <w:tblCellSpacing w:w="15" w:type="dxa"/>
          <w:jc w:val="center"/>
        </w:trPr>
        <w:tc>
          <w:tcPr>
            <w:tcW w:w="3870" w:type="dxa"/>
          </w:tcPr>
          <w:p w:rsidR="0002608C" w:rsidRPr="00490741" w:rsidP="00107648">
            <w:pPr>
              <w:widowControl/>
              <w:snapToGrid w:val="0"/>
              <w:spacing w:line="360" w:lineRule="auto"/>
              <w:jc w:val="center"/>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s="宋体"/>
                <w:color w:val="000000" w:themeColor="text1"/>
                <w:kern w:val="0"/>
                <w:szCs w:val="21"/>
              </w:rPr>
              <w:t>申购金额</w:t>
            </w:r>
            <w:r w:rsidRPr="00490741">
              <w:rPr>
                <w:rFonts w:asciiTheme="minorEastAsia" w:eastAsiaTheme="minorEastAsia" w:hAnsiTheme="minorEastAsia" w:cs="宋体" w:hint="eastAsia"/>
                <w:color w:val="000000" w:themeColor="text1"/>
                <w:kern w:val="0"/>
                <w:szCs w:val="21"/>
              </w:rPr>
              <w:t>M</w:t>
            </w:r>
            <w:r w:rsidRPr="00490741">
              <w:rPr>
                <w:rFonts w:asciiTheme="minorEastAsia" w:eastAsiaTheme="minorEastAsia" w:hAnsiTheme="minorEastAsia" w:cs="宋体"/>
                <w:color w:val="000000" w:themeColor="text1"/>
                <w:kern w:val="0"/>
                <w:szCs w:val="21"/>
              </w:rPr>
              <w:t>(</w:t>
            </w:r>
            <w:r w:rsidRPr="00490741">
              <w:rPr>
                <w:rFonts w:asciiTheme="minorEastAsia" w:eastAsiaTheme="minorEastAsia" w:hAnsiTheme="minorEastAsia" w:cs="宋体"/>
                <w:color w:val="000000" w:themeColor="text1"/>
                <w:kern w:val="0"/>
                <w:szCs w:val="21"/>
              </w:rPr>
              <w:t>元</w:t>
            </w:r>
            <w:r w:rsidRPr="00490741">
              <w:rPr>
                <w:rFonts w:asciiTheme="minorEastAsia" w:eastAsiaTheme="minorEastAsia" w:hAnsiTheme="minorEastAsia" w:cs="宋体"/>
                <w:color w:val="000000" w:themeColor="text1"/>
                <w:kern w:val="0"/>
                <w:szCs w:val="21"/>
              </w:rPr>
              <w:t>)</w:t>
            </w:r>
            <w:r w:rsidRPr="00490741">
              <w:rPr>
                <w:rFonts w:asciiTheme="minorEastAsia" w:eastAsiaTheme="minorEastAsia" w:hAnsiTheme="minorEastAsia" w:cs="宋体" w:hint="eastAsia"/>
                <w:color w:val="000000" w:themeColor="text1"/>
                <w:kern w:val="0"/>
                <w:szCs w:val="21"/>
              </w:rPr>
              <w:t>（含申购费）</w:t>
            </w:r>
          </w:p>
        </w:tc>
        <w:tc>
          <w:tcPr>
            <w:tcW w:w="4215" w:type="dxa"/>
          </w:tcPr>
          <w:p w:rsidR="0002608C" w:rsidRPr="00490741" w:rsidP="00107648">
            <w:pPr>
              <w:widowControl/>
              <w:snapToGrid w:val="0"/>
              <w:spacing w:line="360" w:lineRule="auto"/>
              <w:jc w:val="center"/>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s="宋体"/>
                <w:color w:val="000000" w:themeColor="text1"/>
                <w:kern w:val="0"/>
                <w:szCs w:val="21"/>
              </w:rPr>
              <w:t>申购费率</w:t>
            </w:r>
          </w:p>
        </w:tc>
      </w:tr>
      <w:tr w:rsidTr="0002608C">
        <w:tblPrEx>
          <w:tblW w:w="0" w:type="auto"/>
          <w:jc w:val="center"/>
          <w:tblCellSpacing w:w="15" w:type="dxa"/>
          <w:tblCellMar>
            <w:top w:w="15" w:type="dxa"/>
            <w:left w:w="15" w:type="dxa"/>
            <w:bottom w:w="15" w:type="dxa"/>
            <w:right w:w="15" w:type="dxa"/>
          </w:tblCellMar>
          <w:tblLook w:val="0000"/>
        </w:tblPrEx>
        <w:trPr>
          <w:tblCellSpacing w:w="15" w:type="dxa"/>
          <w:jc w:val="center"/>
        </w:trPr>
        <w:tc>
          <w:tcPr>
            <w:tcW w:w="3870" w:type="dxa"/>
            <w:vAlign w:val="center"/>
          </w:tcPr>
          <w:p w:rsidR="0002608C" w:rsidRPr="00490741" w:rsidP="00107648">
            <w:pPr>
              <w:widowControl/>
              <w:snapToGrid w:val="0"/>
              <w:spacing w:line="360" w:lineRule="auto"/>
              <w:jc w:val="center"/>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olor w:val="000000" w:themeColor="text1"/>
                <w:szCs w:val="21"/>
              </w:rPr>
              <w:t>M</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1000</w:t>
            </w:r>
            <w:r w:rsidRPr="00490741">
              <w:rPr>
                <w:rFonts w:asciiTheme="minorEastAsia" w:eastAsiaTheme="minorEastAsia" w:hAnsiTheme="minorEastAsia" w:hint="eastAsia"/>
                <w:color w:val="000000" w:themeColor="text1"/>
                <w:szCs w:val="21"/>
              </w:rPr>
              <w:t>万</w:t>
            </w:r>
          </w:p>
        </w:tc>
        <w:tc>
          <w:tcPr>
            <w:tcW w:w="4215" w:type="dxa"/>
            <w:vAlign w:val="center"/>
          </w:tcPr>
          <w:p w:rsidR="0002608C" w:rsidRPr="00490741" w:rsidP="00107648">
            <w:pPr>
              <w:widowControl/>
              <w:snapToGrid w:val="0"/>
              <w:spacing w:line="360" w:lineRule="auto"/>
              <w:jc w:val="center"/>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hint="eastAsia"/>
                <w:color w:val="000000" w:themeColor="text1"/>
                <w:szCs w:val="21"/>
              </w:rPr>
              <w:t>按笔收取，</w:t>
            </w:r>
            <w:r w:rsidRPr="00490741">
              <w:rPr>
                <w:rFonts w:asciiTheme="minorEastAsia" w:eastAsiaTheme="minorEastAsia" w:hAnsiTheme="minorEastAsia"/>
                <w:color w:val="000000" w:themeColor="text1"/>
                <w:szCs w:val="21"/>
              </w:rPr>
              <w:t>1000</w:t>
            </w:r>
            <w:r w:rsidRPr="00490741">
              <w:rPr>
                <w:rFonts w:asciiTheme="minorEastAsia" w:eastAsiaTheme="minorEastAsia" w:hAnsiTheme="minorEastAsia" w:hint="eastAsia"/>
                <w:color w:val="000000" w:themeColor="text1"/>
                <w:szCs w:val="21"/>
              </w:rPr>
              <w:t>元</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hint="eastAsia"/>
                <w:color w:val="000000" w:themeColor="text1"/>
                <w:szCs w:val="21"/>
              </w:rPr>
              <w:t>笔</w:t>
            </w:r>
          </w:p>
        </w:tc>
      </w:tr>
      <w:tr w:rsidTr="0002608C">
        <w:tblPrEx>
          <w:tblW w:w="0" w:type="auto"/>
          <w:jc w:val="center"/>
          <w:tblCellSpacing w:w="15" w:type="dxa"/>
          <w:tblCellMar>
            <w:top w:w="15" w:type="dxa"/>
            <w:left w:w="15" w:type="dxa"/>
            <w:bottom w:w="15" w:type="dxa"/>
            <w:right w:w="15" w:type="dxa"/>
          </w:tblCellMar>
          <w:tblLook w:val="0000"/>
        </w:tblPrEx>
        <w:trPr>
          <w:tblCellSpacing w:w="15" w:type="dxa"/>
          <w:jc w:val="center"/>
        </w:trPr>
        <w:tc>
          <w:tcPr>
            <w:tcW w:w="3870" w:type="dxa"/>
            <w:vAlign w:val="center"/>
          </w:tcPr>
          <w:p w:rsidR="0002608C" w:rsidRPr="00490741" w:rsidP="00107648">
            <w:pPr>
              <w:widowControl/>
              <w:snapToGrid w:val="0"/>
              <w:spacing w:line="360" w:lineRule="auto"/>
              <w:jc w:val="center"/>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olor w:val="000000" w:themeColor="text1"/>
                <w:szCs w:val="21"/>
              </w:rPr>
              <w:t>500</w:t>
            </w:r>
            <w:r w:rsidRPr="00490741">
              <w:rPr>
                <w:rFonts w:asciiTheme="minorEastAsia" w:eastAsiaTheme="minorEastAsia" w:hAnsiTheme="minorEastAsia" w:hint="eastAsia"/>
                <w:color w:val="000000" w:themeColor="text1"/>
                <w:szCs w:val="21"/>
              </w:rPr>
              <w:t>万≤</w:t>
            </w:r>
            <w:r w:rsidRPr="00490741">
              <w:rPr>
                <w:rFonts w:asciiTheme="minorEastAsia" w:eastAsiaTheme="minorEastAsia" w:hAnsiTheme="minorEastAsia"/>
                <w:color w:val="000000" w:themeColor="text1"/>
                <w:szCs w:val="21"/>
              </w:rPr>
              <w:t>M</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1000</w:t>
            </w:r>
            <w:r w:rsidRPr="00490741">
              <w:rPr>
                <w:rFonts w:asciiTheme="minorEastAsia" w:eastAsiaTheme="minorEastAsia" w:hAnsiTheme="minorEastAsia" w:hint="eastAsia"/>
                <w:color w:val="000000" w:themeColor="text1"/>
                <w:szCs w:val="21"/>
              </w:rPr>
              <w:t>万</w:t>
            </w:r>
          </w:p>
        </w:tc>
        <w:tc>
          <w:tcPr>
            <w:tcW w:w="4215" w:type="dxa"/>
            <w:vAlign w:val="center"/>
          </w:tcPr>
          <w:p w:rsidR="0002608C" w:rsidRPr="00490741" w:rsidP="00107648">
            <w:pPr>
              <w:widowControl/>
              <w:snapToGrid w:val="0"/>
              <w:spacing w:line="360" w:lineRule="auto"/>
              <w:jc w:val="center"/>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olor w:val="000000" w:themeColor="text1"/>
                <w:szCs w:val="21"/>
              </w:rPr>
              <w:t>0.3%</w:t>
            </w:r>
          </w:p>
        </w:tc>
      </w:tr>
      <w:tr w:rsidTr="0002608C">
        <w:tblPrEx>
          <w:tblW w:w="0" w:type="auto"/>
          <w:jc w:val="center"/>
          <w:tblCellSpacing w:w="15" w:type="dxa"/>
          <w:tblCellMar>
            <w:top w:w="15" w:type="dxa"/>
            <w:left w:w="15" w:type="dxa"/>
            <w:bottom w:w="15" w:type="dxa"/>
            <w:right w:w="15" w:type="dxa"/>
          </w:tblCellMar>
          <w:tblLook w:val="0000"/>
        </w:tblPrEx>
        <w:trPr>
          <w:tblCellSpacing w:w="15" w:type="dxa"/>
          <w:jc w:val="center"/>
        </w:trPr>
        <w:tc>
          <w:tcPr>
            <w:tcW w:w="3870" w:type="dxa"/>
            <w:vAlign w:val="center"/>
          </w:tcPr>
          <w:p w:rsidR="0002608C" w:rsidRPr="00490741" w:rsidP="00107648">
            <w:pPr>
              <w:widowControl/>
              <w:snapToGrid w:val="0"/>
              <w:spacing w:line="360" w:lineRule="auto"/>
              <w:jc w:val="center"/>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olor w:val="000000" w:themeColor="text1"/>
                <w:szCs w:val="21"/>
              </w:rPr>
              <w:t>100</w:t>
            </w:r>
            <w:r w:rsidRPr="00490741">
              <w:rPr>
                <w:rFonts w:asciiTheme="minorEastAsia" w:eastAsiaTheme="minorEastAsia" w:hAnsiTheme="minorEastAsia" w:hint="eastAsia"/>
                <w:color w:val="000000" w:themeColor="text1"/>
                <w:szCs w:val="21"/>
              </w:rPr>
              <w:t>万≤</w:t>
            </w:r>
            <w:r w:rsidRPr="00490741">
              <w:rPr>
                <w:rFonts w:asciiTheme="minorEastAsia" w:eastAsiaTheme="minorEastAsia" w:hAnsiTheme="minorEastAsia"/>
                <w:color w:val="000000" w:themeColor="text1"/>
                <w:szCs w:val="21"/>
              </w:rPr>
              <w:t>M</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500</w:t>
            </w:r>
            <w:r w:rsidRPr="00490741">
              <w:rPr>
                <w:rFonts w:asciiTheme="minorEastAsia" w:eastAsiaTheme="minorEastAsia" w:hAnsiTheme="minorEastAsia" w:hint="eastAsia"/>
                <w:color w:val="000000" w:themeColor="text1"/>
                <w:szCs w:val="21"/>
              </w:rPr>
              <w:t>万</w:t>
            </w:r>
          </w:p>
        </w:tc>
        <w:tc>
          <w:tcPr>
            <w:tcW w:w="4215" w:type="dxa"/>
            <w:vAlign w:val="center"/>
          </w:tcPr>
          <w:p w:rsidR="0002608C" w:rsidRPr="00490741" w:rsidP="00107648">
            <w:pPr>
              <w:widowControl/>
              <w:snapToGrid w:val="0"/>
              <w:spacing w:line="360" w:lineRule="auto"/>
              <w:jc w:val="center"/>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olor w:val="000000" w:themeColor="text1"/>
                <w:szCs w:val="21"/>
              </w:rPr>
              <w:t>1.2%</w:t>
            </w:r>
          </w:p>
        </w:tc>
      </w:tr>
      <w:tr w:rsidTr="0002608C">
        <w:tblPrEx>
          <w:tblW w:w="0" w:type="auto"/>
          <w:jc w:val="center"/>
          <w:tblCellSpacing w:w="15" w:type="dxa"/>
          <w:tblCellMar>
            <w:top w:w="15" w:type="dxa"/>
            <w:left w:w="15" w:type="dxa"/>
            <w:bottom w:w="15" w:type="dxa"/>
            <w:right w:w="15" w:type="dxa"/>
          </w:tblCellMar>
          <w:tblLook w:val="0000"/>
        </w:tblPrEx>
        <w:trPr>
          <w:tblCellSpacing w:w="15" w:type="dxa"/>
          <w:jc w:val="center"/>
        </w:trPr>
        <w:tc>
          <w:tcPr>
            <w:tcW w:w="3870" w:type="dxa"/>
            <w:vAlign w:val="center"/>
          </w:tcPr>
          <w:p w:rsidR="0002608C" w:rsidRPr="00490741" w:rsidP="00107648">
            <w:pPr>
              <w:widowControl/>
              <w:snapToGrid w:val="0"/>
              <w:spacing w:line="360" w:lineRule="auto"/>
              <w:jc w:val="center"/>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olor w:val="000000" w:themeColor="text1"/>
                <w:szCs w:val="21"/>
              </w:rPr>
              <w:t>M</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100</w:t>
            </w:r>
            <w:r w:rsidRPr="00490741">
              <w:rPr>
                <w:rFonts w:asciiTheme="minorEastAsia" w:eastAsiaTheme="minorEastAsia" w:hAnsiTheme="minorEastAsia" w:hint="eastAsia"/>
                <w:color w:val="000000" w:themeColor="text1"/>
                <w:szCs w:val="21"/>
              </w:rPr>
              <w:t>万</w:t>
            </w:r>
          </w:p>
        </w:tc>
        <w:tc>
          <w:tcPr>
            <w:tcW w:w="4215" w:type="dxa"/>
            <w:vAlign w:val="center"/>
          </w:tcPr>
          <w:p w:rsidR="0002608C" w:rsidRPr="00490741" w:rsidP="00107648">
            <w:pPr>
              <w:widowControl/>
              <w:snapToGrid w:val="0"/>
              <w:spacing w:line="360" w:lineRule="auto"/>
              <w:jc w:val="center"/>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olor w:val="000000" w:themeColor="text1"/>
                <w:szCs w:val="21"/>
              </w:rPr>
              <w:t>1.5%</w:t>
            </w:r>
          </w:p>
        </w:tc>
      </w:tr>
    </w:tbl>
    <w:p w:rsidR="0002608C" w:rsidRPr="00490741" w:rsidP="00107648">
      <w:pPr>
        <w:widowControl/>
        <w:snapToGrid w:val="0"/>
        <w:spacing w:line="360" w:lineRule="auto"/>
        <w:ind w:firstLine="420" w:firstLineChars="200"/>
        <w:jc w:val="lef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本基金的申购费由申购人承担，不计入基金财产。在申购费按金额分档的情况下，如果投资者多次申购，申购费适用单笔申购金额所对应的费率。</w:t>
      </w:r>
    </w:p>
    <w:p w:rsidR="0002608C" w:rsidRPr="00490741" w:rsidP="00107648">
      <w:pPr>
        <w:widowControl/>
        <w:snapToGrid w:val="0"/>
        <w:spacing w:line="360" w:lineRule="auto"/>
        <w:jc w:val="left"/>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赎回</w:t>
      </w:r>
      <w:r w:rsidRPr="00490741">
        <w:rPr>
          <w:rFonts w:asciiTheme="minorEastAsia" w:eastAsiaTheme="minorEastAsia" w:hAnsiTheme="minorEastAsia" w:hint="eastAsia"/>
          <w:color w:val="000000" w:themeColor="text1"/>
          <w:szCs w:val="21"/>
        </w:rPr>
        <w:t>费率为</w:t>
      </w:r>
      <w:r w:rsidRPr="00490741">
        <w:rPr>
          <w:rFonts w:asciiTheme="minorEastAsia" w:eastAsiaTheme="minorEastAsia" w:hAnsiTheme="minorEastAsia"/>
          <w:color w:val="000000" w:themeColor="text1"/>
          <w:szCs w:val="21"/>
        </w:rPr>
        <w: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915"/>
        <w:gridCol w:w="4260"/>
      </w:tblGrid>
      <w:tr w:rsidTr="0002608C">
        <w:tblPrEx>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Ex>
        <w:trPr>
          <w:tblCellSpacing w:w="15" w:type="dxa"/>
          <w:jc w:val="center"/>
        </w:trPr>
        <w:tc>
          <w:tcPr>
            <w:tcW w:w="3870" w:type="dxa"/>
          </w:tcPr>
          <w:p w:rsidR="0002608C" w:rsidRPr="00490741" w:rsidP="00107648">
            <w:pPr>
              <w:widowControl/>
              <w:snapToGrid w:val="0"/>
              <w:spacing w:line="360" w:lineRule="auto"/>
              <w:jc w:val="center"/>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s="宋体"/>
                <w:color w:val="000000" w:themeColor="text1"/>
                <w:kern w:val="0"/>
                <w:szCs w:val="21"/>
              </w:rPr>
              <w:t>持有时间</w:t>
            </w:r>
            <w:r w:rsidRPr="00490741">
              <w:rPr>
                <w:rFonts w:asciiTheme="minorEastAsia" w:eastAsiaTheme="minorEastAsia" w:hAnsiTheme="minorEastAsia" w:cs="宋体" w:hint="eastAsia"/>
                <w:color w:val="000000" w:themeColor="text1"/>
                <w:kern w:val="0"/>
                <w:szCs w:val="21"/>
              </w:rPr>
              <w:t>（天）</w:t>
            </w:r>
          </w:p>
        </w:tc>
        <w:tc>
          <w:tcPr>
            <w:tcW w:w="4215" w:type="dxa"/>
          </w:tcPr>
          <w:p w:rsidR="0002608C" w:rsidRPr="00490741" w:rsidP="00107648">
            <w:pPr>
              <w:widowControl/>
              <w:snapToGrid w:val="0"/>
              <w:spacing w:line="360" w:lineRule="auto"/>
              <w:jc w:val="center"/>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s="宋体"/>
                <w:color w:val="000000" w:themeColor="text1"/>
                <w:kern w:val="0"/>
                <w:szCs w:val="21"/>
              </w:rPr>
              <w:t>赎回费率</w:t>
            </w:r>
          </w:p>
        </w:tc>
      </w:tr>
      <w:tr w:rsidTr="0002608C">
        <w:tblPrEx>
          <w:tblW w:w="0" w:type="auto"/>
          <w:jc w:val="center"/>
          <w:tblCellSpacing w:w="15" w:type="dxa"/>
          <w:tblCellMar>
            <w:top w:w="15" w:type="dxa"/>
            <w:left w:w="15" w:type="dxa"/>
            <w:bottom w:w="15" w:type="dxa"/>
            <w:right w:w="15" w:type="dxa"/>
          </w:tblCellMar>
          <w:tblLook w:val="0000"/>
        </w:tblPrEx>
        <w:trPr>
          <w:tblCellSpacing w:w="15" w:type="dxa"/>
          <w:jc w:val="center"/>
        </w:trPr>
        <w:tc>
          <w:tcPr>
            <w:tcW w:w="3870" w:type="dxa"/>
            <w:vAlign w:val="center"/>
          </w:tcPr>
          <w:p w:rsidR="001E476C" w:rsidRPr="00490741" w:rsidP="00107648">
            <w:pPr>
              <w:widowControl/>
              <w:snapToGrid w:val="0"/>
              <w:spacing w:line="360" w:lineRule="auto"/>
              <w:jc w:val="center"/>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0</w:t>
            </w:r>
            <w:r w:rsidRPr="00490741">
              <w:rPr>
                <w:rFonts w:asciiTheme="minorEastAsia" w:eastAsiaTheme="minorEastAsia" w:hAnsiTheme="minorEastAsia"/>
                <w:color w:val="000000" w:themeColor="text1"/>
                <w:szCs w:val="21"/>
              </w:rPr>
              <w:t>-6</w:t>
            </w:r>
          </w:p>
        </w:tc>
        <w:tc>
          <w:tcPr>
            <w:tcW w:w="4215" w:type="dxa"/>
            <w:vAlign w:val="center"/>
          </w:tcPr>
          <w:p w:rsidR="001E476C" w:rsidRPr="00490741" w:rsidP="00107648">
            <w:pPr>
              <w:widowControl/>
              <w:snapToGrid w:val="0"/>
              <w:spacing w:line="360" w:lineRule="auto"/>
              <w:jc w:val="center"/>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color w:val="000000" w:themeColor="text1"/>
                <w:szCs w:val="21"/>
              </w:rPr>
              <w:t>.50</w:t>
            </w:r>
            <w:r w:rsidRPr="00490741">
              <w:rPr>
                <w:rFonts w:asciiTheme="minorEastAsia" w:eastAsiaTheme="minorEastAsia" w:hAnsiTheme="minorEastAsia" w:hint="eastAsia"/>
                <w:color w:val="000000" w:themeColor="text1"/>
                <w:szCs w:val="21"/>
              </w:rPr>
              <w:t>%</w:t>
            </w:r>
          </w:p>
        </w:tc>
      </w:tr>
      <w:tr w:rsidTr="0002608C">
        <w:tblPrEx>
          <w:tblW w:w="0" w:type="auto"/>
          <w:jc w:val="center"/>
          <w:tblCellSpacing w:w="15" w:type="dxa"/>
          <w:tblCellMar>
            <w:top w:w="15" w:type="dxa"/>
            <w:left w:w="15" w:type="dxa"/>
            <w:bottom w:w="15" w:type="dxa"/>
            <w:right w:w="15" w:type="dxa"/>
          </w:tblCellMar>
          <w:tblLook w:val="0000"/>
        </w:tblPrEx>
        <w:trPr>
          <w:tblCellSpacing w:w="15" w:type="dxa"/>
          <w:jc w:val="center"/>
        </w:trPr>
        <w:tc>
          <w:tcPr>
            <w:tcW w:w="3870" w:type="dxa"/>
            <w:vAlign w:val="center"/>
          </w:tcPr>
          <w:p w:rsidR="0002608C" w:rsidRPr="00490741" w:rsidP="00107648">
            <w:pPr>
              <w:widowControl/>
              <w:snapToGrid w:val="0"/>
              <w:spacing w:line="360" w:lineRule="auto"/>
              <w:jc w:val="center"/>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olor w:val="000000" w:themeColor="text1"/>
                <w:szCs w:val="21"/>
              </w:rPr>
              <w:t>7-364</w:t>
            </w:r>
          </w:p>
        </w:tc>
        <w:tc>
          <w:tcPr>
            <w:tcW w:w="4215" w:type="dxa"/>
            <w:vAlign w:val="center"/>
          </w:tcPr>
          <w:p w:rsidR="0002608C" w:rsidRPr="00490741" w:rsidP="00107648">
            <w:pPr>
              <w:widowControl/>
              <w:snapToGrid w:val="0"/>
              <w:spacing w:line="360" w:lineRule="auto"/>
              <w:jc w:val="center"/>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olor w:val="000000" w:themeColor="text1"/>
                <w:szCs w:val="21"/>
              </w:rPr>
              <w:t>0.50%</w:t>
            </w:r>
          </w:p>
        </w:tc>
      </w:tr>
      <w:tr w:rsidTr="0002608C">
        <w:tblPrEx>
          <w:tblW w:w="0" w:type="auto"/>
          <w:jc w:val="center"/>
          <w:tblCellSpacing w:w="15" w:type="dxa"/>
          <w:tblCellMar>
            <w:top w:w="15" w:type="dxa"/>
            <w:left w:w="15" w:type="dxa"/>
            <w:bottom w:w="15" w:type="dxa"/>
            <w:right w:w="15" w:type="dxa"/>
          </w:tblCellMar>
          <w:tblLook w:val="0000"/>
        </w:tblPrEx>
        <w:trPr>
          <w:tblCellSpacing w:w="15" w:type="dxa"/>
          <w:jc w:val="center"/>
        </w:trPr>
        <w:tc>
          <w:tcPr>
            <w:tcW w:w="3870" w:type="dxa"/>
            <w:vAlign w:val="center"/>
          </w:tcPr>
          <w:p w:rsidR="0002608C" w:rsidRPr="00490741" w:rsidP="00107648">
            <w:pPr>
              <w:widowControl/>
              <w:snapToGrid w:val="0"/>
              <w:spacing w:line="360" w:lineRule="auto"/>
              <w:jc w:val="center"/>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olor w:val="000000" w:themeColor="text1"/>
                <w:szCs w:val="21"/>
              </w:rPr>
              <w:t>365-729</w:t>
            </w:r>
          </w:p>
        </w:tc>
        <w:tc>
          <w:tcPr>
            <w:tcW w:w="4215" w:type="dxa"/>
            <w:vAlign w:val="center"/>
          </w:tcPr>
          <w:p w:rsidR="0002608C" w:rsidRPr="00490741" w:rsidP="00107648">
            <w:pPr>
              <w:widowControl/>
              <w:snapToGrid w:val="0"/>
              <w:spacing w:line="360" w:lineRule="auto"/>
              <w:jc w:val="center"/>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olor w:val="000000" w:themeColor="text1"/>
                <w:szCs w:val="21"/>
              </w:rPr>
              <w:t>0.25%</w:t>
            </w:r>
          </w:p>
        </w:tc>
      </w:tr>
      <w:tr w:rsidTr="0002608C">
        <w:tblPrEx>
          <w:tblW w:w="0" w:type="auto"/>
          <w:jc w:val="center"/>
          <w:tblCellSpacing w:w="15" w:type="dxa"/>
          <w:tblCellMar>
            <w:top w:w="15" w:type="dxa"/>
            <w:left w:w="15" w:type="dxa"/>
            <w:bottom w:w="15" w:type="dxa"/>
            <w:right w:w="15" w:type="dxa"/>
          </w:tblCellMar>
          <w:tblLook w:val="0000"/>
        </w:tblPrEx>
        <w:trPr>
          <w:tblCellSpacing w:w="15" w:type="dxa"/>
          <w:jc w:val="center"/>
        </w:trPr>
        <w:tc>
          <w:tcPr>
            <w:tcW w:w="3870" w:type="dxa"/>
            <w:vAlign w:val="center"/>
          </w:tcPr>
          <w:p w:rsidR="0002608C" w:rsidRPr="00490741" w:rsidP="00107648">
            <w:pPr>
              <w:widowControl/>
              <w:snapToGrid w:val="0"/>
              <w:spacing w:line="360" w:lineRule="auto"/>
              <w:jc w:val="center"/>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olor w:val="000000" w:themeColor="text1"/>
                <w:szCs w:val="21"/>
              </w:rPr>
              <w:t>730</w:t>
            </w:r>
            <w:r w:rsidRPr="00490741">
              <w:rPr>
                <w:rFonts w:asciiTheme="minorEastAsia" w:eastAsiaTheme="minorEastAsia" w:hAnsiTheme="minorEastAsia" w:hint="eastAsia"/>
                <w:color w:val="000000" w:themeColor="text1"/>
                <w:szCs w:val="21"/>
              </w:rPr>
              <w:t>及以上</w:t>
            </w:r>
          </w:p>
        </w:tc>
        <w:tc>
          <w:tcPr>
            <w:tcW w:w="4215" w:type="dxa"/>
            <w:vAlign w:val="center"/>
          </w:tcPr>
          <w:p w:rsidR="0002608C" w:rsidRPr="00490741" w:rsidP="00107648">
            <w:pPr>
              <w:widowControl/>
              <w:snapToGrid w:val="0"/>
              <w:spacing w:line="360" w:lineRule="auto"/>
              <w:jc w:val="center"/>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olor w:val="000000" w:themeColor="text1"/>
                <w:szCs w:val="21"/>
              </w:rPr>
              <w:t>0.00%</w:t>
            </w:r>
          </w:p>
        </w:tc>
      </w:tr>
    </w:tbl>
    <w:p w:rsidR="0002608C" w:rsidRPr="00490741" w:rsidP="00107648">
      <w:pPr>
        <w:snapToGrid w:val="0"/>
        <w:spacing w:line="360" w:lineRule="auto"/>
        <w:ind w:firstLine="435"/>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本基金的赎回费由赎回人承担，</w:t>
      </w:r>
      <w:r w:rsidRPr="00490741" w:rsidR="001E476C">
        <w:rPr>
          <w:rFonts w:asciiTheme="minorEastAsia" w:eastAsiaTheme="minorEastAsia" w:hAnsiTheme="minorEastAsia" w:hint="eastAsia"/>
          <w:color w:val="000000" w:themeColor="text1"/>
          <w:szCs w:val="21"/>
        </w:rPr>
        <w:t>对于持有期大于或等于</w:t>
      </w:r>
      <w:r w:rsidRPr="00490741" w:rsidR="001E476C">
        <w:rPr>
          <w:rFonts w:asciiTheme="minorEastAsia" w:eastAsiaTheme="minorEastAsia" w:hAnsiTheme="minorEastAsia"/>
          <w:color w:val="000000" w:themeColor="text1"/>
          <w:szCs w:val="21"/>
        </w:rPr>
        <w:t>7</w:t>
      </w:r>
      <w:r w:rsidRPr="00490741" w:rsidR="001E476C">
        <w:rPr>
          <w:rFonts w:asciiTheme="minorEastAsia" w:eastAsiaTheme="minorEastAsia" w:hAnsiTheme="minorEastAsia" w:hint="eastAsia"/>
          <w:color w:val="000000" w:themeColor="text1"/>
          <w:szCs w:val="21"/>
        </w:rPr>
        <w:t>天的基金</w:t>
      </w:r>
      <w:r w:rsidRPr="00490741" w:rsidR="001E476C">
        <w:rPr>
          <w:rFonts w:asciiTheme="minorEastAsia" w:eastAsiaTheme="minorEastAsia" w:hAnsiTheme="minorEastAsia"/>
          <w:color w:val="000000" w:themeColor="text1"/>
          <w:szCs w:val="21"/>
        </w:rPr>
        <w:t>份额所收取</w:t>
      </w:r>
      <w:r w:rsidRPr="00490741">
        <w:rPr>
          <w:rFonts w:asciiTheme="minorEastAsia" w:eastAsiaTheme="minorEastAsia" w:hAnsiTheme="minorEastAsia" w:hint="eastAsia"/>
          <w:color w:val="000000" w:themeColor="text1"/>
          <w:szCs w:val="21"/>
        </w:rPr>
        <w:t>赎回费的</w:t>
      </w:r>
      <w:r w:rsidRPr="00490741">
        <w:rPr>
          <w:rFonts w:asciiTheme="minorEastAsia" w:eastAsiaTheme="minorEastAsia" w:hAnsiTheme="minorEastAsia" w:hint="eastAsia"/>
          <w:color w:val="000000" w:themeColor="text1"/>
          <w:szCs w:val="21"/>
        </w:rPr>
        <w:t>25%</w:t>
      </w:r>
      <w:r w:rsidRPr="00490741">
        <w:rPr>
          <w:rFonts w:asciiTheme="minorEastAsia" w:eastAsiaTheme="minorEastAsia" w:hAnsiTheme="minorEastAsia" w:hint="eastAsia"/>
          <w:color w:val="000000" w:themeColor="text1"/>
          <w:szCs w:val="21"/>
        </w:rPr>
        <w:t>归入基金财产，余额为注册登记费和其他手续费</w:t>
      </w:r>
      <w:r w:rsidRPr="00490741" w:rsidR="001E476C">
        <w:rPr>
          <w:rFonts w:asciiTheme="minorEastAsia" w:eastAsiaTheme="minorEastAsia" w:hAnsiTheme="minorEastAsia" w:hint="eastAsia"/>
          <w:color w:val="000000" w:themeColor="text1"/>
          <w:szCs w:val="21"/>
        </w:rPr>
        <w:t>；对于持有期小于7天的基金份额所收取的赎回费，</w:t>
      </w:r>
      <w:r w:rsidRPr="00490741" w:rsidR="001E476C">
        <w:rPr>
          <w:rFonts w:asciiTheme="minorEastAsia" w:eastAsiaTheme="minorEastAsia" w:hAnsiTheme="minorEastAsia"/>
          <w:color w:val="000000" w:themeColor="text1"/>
          <w:szCs w:val="21"/>
        </w:rPr>
        <w:t>全额计入基金财产。</w:t>
      </w:r>
    </w:p>
    <w:p w:rsidR="0002608C" w:rsidRPr="00490741" w:rsidP="00107648">
      <w:pPr>
        <w:snapToGrid w:val="0"/>
        <w:spacing w:line="360" w:lineRule="auto"/>
        <w:ind w:firstLine="435"/>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基金管理人可以在基金合同规定的范围内调整申购费率和赎回费率，调整后的申购费率和赎回费率在</w:t>
      </w:r>
      <w:r w:rsidRPr="00490741">
        <w:rPr>
          <w:rFonts w:asciiTheme="minorEastAsia" w:eastAsiaTheme="minorEastAsia" w:hAnsiTheme="minorEastAsia" w:hint="eastAsia"/>
          <w:color w:val="000000" w:themeColor="text1"/>
          <w:szCs w:val="21"/>
        </w:rPr>
        <w:t>《更新的招募说明书》</w:t>
      </w:r>
      <w:r w:rsidRPr="00490741">
        <w:rPr>
          <w:rFonts w:asciiTheme="minorEastAsia" w:eastAsiaTheme="minorEastAsia" w:hAnsiTheme="minorEastAsia"/>
          <w:color w:val="000000" w:themeColor="text1"/>
          <w:szCs w:val="21"/>
        </w:rPr>
        <w:t>中列示。上述费率如发生变更，基金管理人</w:t>
      </w:r>
      <w:r w:rsidRPr="00490741">
        <w:rPr>
          <w:rFonts w:asciiTheme="minorEastAsia" w:eastAsiaTheme="minorEastAsia" w:hAnsiTheme="minorEastAsia" w:hint="eastAsia"/>
          <w:color w:val="000000" w:themeColor="text1"/>
          <w:szCs w:val="21"/>
        </w:rPr>
        <w:t>还</w:t>
      </w:r>
      <w:r w:rsidRPr="00490741">
        <w:rPr>
          <w:rFonts w:asciiTheme="minorEastAsia" w:eastAsiaTheme="minorEastAsia" w:hAnsiTheme="minorEastAsia"/>
          <w:color w:val="000000" w:themeColor="text1"/>
          <w:szCs w:val="21"/>
        </w:rPr>
        <w:t>应最迟于新的费率实施前</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color w:val="000000" w:themeColor="text1"/>
          <w:szCs w:val="21"/>
        </w:rPr>
        <w:t>个工作日在指定</w:t>
      </w:r>
      <w:r w:rsidRPr="00490741" w:rsidR="008E5383">
        <w:rPr>
          <w:rFonts w:asciiTheme="minorEastAsia" w:eastAsiaTheme="minorEastAsia" w:hAnsiTheme="minorEastAsia" w:hint="eastAsia"/>
          <w:color w:val="000000" w:themeColor="text1"/>
          <w:szCs w:val="21"/>
        </w:rPr>
        <w:t>媒介</w:t>
      </w:r>
      <w:r w:rsidRPr="00490741">
        <w:rPr>
          <w:rFonts w:asciiTheme="minorEastAsia" w:eastAsiaTheme="minorEastAsia" w:hAnsiTheme="minorEastAsia"/>
          <w:color w:val="000000" w:themeColor="text1"/>
          <w:szCs w:val="21"/>
        </w:rPr>
        <w:t>公告。</w:t>
      </w:r>
    </w:p>
    <w:p w:rsidR="0002608C" w:rsidRPr="00490741" w:rsidP="00107648">
      <w:pPr>
        <w:snapToGrid w:val="0"/>
        <w:spacing w:line="360" w:lineRule="auto"/>
        <w:ind w:firstLine="435"/>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36" w:name="_Toc114237405"/>
      <w:r w:rsidRPr="00490741">
        <w:rPr>
          <w:rFonts w:asciiTheme="minorEastAsia" w:eastAsiaTheme="minorEastAsia" w:hAnsiTheme="minorEastAsia" w:hint="eastAsia"/>
          <w:b w:val="0"/>
          <w:color w:val="000000" w:themeColor="text1"/>
        </w:rPr>
        <w:t>（八）申购份额、赎回金额的计算方式</w:t>
      </w:r>
      <w:bookmarkEnd w:id="36"/>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sidR="00C15CD6">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申购份额的计算</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本基金的申购金额包括申购费用和净申购金额，其中：</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申购费用</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color w:val="000000" w:themeColor="text1"/>
          <w:szCs w:val="21"/>
        </w:rPr>
        <w:t>申购金额</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color w:val="000000" w:themeColor="text1"/>
          <w:szCs w:val="21"/>
        </w:rPr>
        <w:t>1</w:t>
      </w:r>
      <w:r w:rsidRPr="00490741">
        <w:rPr>
          <w:rFonts w:asciiTheme="minorEastAsia" w:eastAsiaTheme="minorEastAsia" w:hAnsiTheme="minorEastAsia"/>
          <w:color w:val="000000" w:themeColor="text1"/>
          <w:szCs w:val="21"/>
        </w:rPr>
        <w:t>＋申购费率）</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color w:val="000000" w:themeColor="text1"/>
          <w:szCs w:val="21"/>
        </w:rPr>
        <w:t>申购费率</w:t>
      </w:r>
      <w:r w:rsidRPr="00490741">
        <w:rPr>
          <w:rFonts w:asciiTheme="minorEastAsia" w:eastAsiaTheme="minorEastAsia" w:hAnsiTheme="minorEastAsia" w:hint="eastAsia"/>
          <w:color w:val="000000" w:themeColor="text1"/>
          <w:szCs w:val="21"/>
        </w:rPr>
        <w:t>，对于</w:t>
      </w:r>
      <w:r w:rsidRPr="00490741">
        <w:rPr>
          <w:rFonts w:asciiTheme="minorEastAsia" w:eastAsiaTheme="minorEastAsia" w:hAnsiTheme="minorEastAsia" w:hint="eastAsia"/>
          <w:color w:val="000000" w:themeColor="text1"/>
          <w:szCs w:val="21"/>
        </w:rPr>
        <w:t>1000</w:t>
      </w:r>
      <w:r w:rsidRPr="00490741">
        <w:rPr>
          <w:rFonts w:asciiTheme="minorEastAsia" w:eastAsiaTheme="minorEastAsia" w:hAnsiTheme="minorEastAsia" w:hint="eastAsia"/>
          <w:color w:val="000000" w:themeColor="text1"/>
          <w:szCs w:val="21"/>
        </w:rPr>
        <w:t>万元以上的申购适用绝对数额的申购费金额</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净申购金额</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color w:val="000000" w:themeColor="text1"/>
          <w:szCs w:val="21"/>
        </w:rPr>
        <w:t>申购金额</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color w:val="000000" w:themeColor="text1"/>
          <w:szCs w:val="21"/>
        </w:rPr>
        <w:t>申购费用</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申购份数</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color w:val="000000" w:themeColor="text1"/>
          <w:szCs w:val="21"/>
        </w:rPr>
        <w:t>净申购金额</w:t>
      </w:r>
      <w:r w:rsidRPr="00490741">
        <w:rPr>
          <w:rFonts w:asciiTheme="minorEastAsia" w:eastAsiaTheme="minorEastAsia" w:hAnsiTheme="minorEastAsia"/>
          <w:color w:val="000000" w:themeColor="text1"/>
          <w:szCs w:val="21"/>
        </w:rPr>
        <w:t>÷T</w:t>
      </w:r>
      <w:r w:rsidRPr="00490741">
        <w:rPr>
          <w:rFonts w:asciiTheme="minorEastAsia" w:eastAsiaTheme="minorEastAsia" w:hAnsiTheme="minorEastAsia"/>
          <w:color w:val="000000" w:themeColor="text1"/>
          <w:szCs w:val="21"/>
        </w:rPr>
        <w:t>日基金份额净值</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举例说明：</w:t>
      </w:r>
    </w:p>
    <w:p w:rsidR="00694807"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例一：某投资者（非特定投资群体）申购本基金：</w:t>
      </w:r>
    </w:p>
    <w:tbl>
      <w:tblPr>
        <w:tblW w:w="9032"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tblPr>
      <w:tblGrid>
        <w:gridCol w:w="1581"/>
        <w:gridCol w:w="1134"/>
        <w:gridCol w:w="1357"/>
        <w:gridCol w:w="1691"/>
        <w:gridCol w:w="1590"/>
        <w:gridCol w:w="1679"/>
      </w:tblGrid>
      <w:tr w:rsidTr="0002608C">
        <w:tblPrEx>
          <w:tblW w:w="9032"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tblPrEx>
        <w:trPr>
          <w:jc w:val="center"/>
        </w:trPr>
        <w:tc>
          <w:tcPr>
            <w:tcW w:w="1581" w:type="dxa"/>
          </w:tcPr>
          <w:p w:rsidR="0002608C" w:rsidRPr="00490741" w:rsidP="00107648">
            <w:pPr>
              <w:snapToGrid w:val="0"/>
              <w:spacing w:line="360" w:lineRule="auto"/>
              <w:jc w:val="center"/>
              <w:rPr>
                <w:rFonts w:asciiTheme="minorEastAsia" w:eastAsiaTheme="minorEastAsia" w:hAnsiTheme="minorEastAsia"/>
                <w:bCs/>
                <w:color w:val="000000" w:themeColor="text1"/>
                <w:szCs w:val="21"/>
              </w:rPr>
            </w:pPr>
            <w:r w:rsidRPr="00490741">
              <w:rPr>
                <w:rFonts w:asciiTheme="minorEastAsia" w:eastAsiaTheme="minorEastAsia" w:hAnsiTheme="minorEastAsia" w:hint="eastAsia"/>
                <w:bCs/>
                <w:color w:val="000000" w:themeColor="text1"/>
                <w:szCs w:val="21"/>
              </w:rPr>
              <w:t>申购金额</w:t>
            </w:r>
          </w:p>
        </w:tc>
        <w:tc>
          <w:tcPr>
            <w:tcW w:w="1134" w:type="dxa"/>
          </w:tcPr>
          <w:p w:rsidR="0002608C" w:rsidRPr="00490741" w:rsidP="00107648">
            <w:pPr>
              <w:snapToGrid w:val="0"/>
              <w:spacing w:line="360" w:lineRule="auto"/>
              <w:jc w:val="center"/>
              <w:rPr>
                <w:rFonts w:asciiTheme="minorEastAsia" w:eastAsiaTheme="minorEastAsia" w:hAnsiTheme="minorEastAsia"/>
                <w:bCs/>
                <w:color w:val="000000" w:themeColor="text1"/>
                <w:szCs w:val="21"/>
              </w:rPr>
            </w:pPr>
            <w:r w:rsidRPr="00490741">
              <w:rPr>
                <w:rFonts w:asciiTheme="minorEastAsia" w:eastAsiaTheme="minorEastAsia" w:hAnsiTheme="minorEastAsia" w:hint="eastAsia"/>
                <w:bCs/>
                <w:color w:val="000000" w:themeColor="text1"/>
                <w:szCs w:val="21"/>
              </w:rPr>
              <w:t>申购费率</w:t>
            </w:r>
          </w:p>
        </w:tc>
        <w:tc>
          <w:tcPr>
            <w:tcW w:w="1357" w:type="dxa"/>
          </w:tcPr>
          <w:p w:rsidR="0002608C" w:rsidRPr="00490741" w:rsidP="00107648">
            <w:pPr>
              <w:snapToGrid w:val="0"/>
              <w:spacing w:line="360" w:lineRule="auto"/>
              <w:jc w:val="center"/>
              <w:rPr>
                <w:rFonts w:asciiTheme="minorEastAsia" w:eastAsiaTheme="minorEastAsia" w:hAnsiTheme="minorEastAsia"/>
                <w:bCs/>
                <w:color w:val="000000" w:themeColor="text1"/>
                <w:szCs w:val="21"/>
              </w:rPr>
            </w:pPr>
            <w:r w:rsidRPr="00490741">
              <w:rPr>
                <w:rFonts w:asciiTheme="minorEastAsia" w:eastAsiaTheme="minorEastAsia" w:hAnsiTheme="minorEastAsia" w:hint="eastAsia"/>
                <w:bCs/>
                <w:color w:val="000000" w:themeColor="text1"/>
                <w:szCs w:val="21"/>
              </w:rPr>
              <w:t>申购费用</w:t>
            </w:r>
          </w:p>
        </w:tc>
        <w:tc>
          <w:tcPr>
            <w:tcW w:w="1691" w:type="dxa"/>
          </w:tcPr>
          <w:p w:rsidR="0002608C" w:rsidRPr="00490741" w:rsidP="00107648">
            <w:pPr>
              <w:snapToGrid w:val="0"/>
              <w:spacing w:line="360" w:lineRule="auto"/>
              <w:jc w:val="center"/>
              <w:rPr>
                <w:rFonts w:asciiTheme="minorEastAsia" w:eastAsiaTheme="minorEastAsia" w:hAnsiTheme="minorEastAsia"/>
                <w:bCs/>
                <w:color w:val="000000" w:themeColor="text1"/>
                <w:szCs w:val="21"/>
              </w:rPr>
            </w:pPr>
            <w:r w:rsidRPr="00490741">
              <w:rPr>
                <w:rFonts w:asciiTheme="minorEastAsia" w:eastAsiaTheme="minorEastAsia" w:hAnsiTheme="minorEastAsia" w:hint="eastAsia"/>
                <w:bCs/>
                <w:color w:val="000000" w:themeColor="text1"/>
                <w:szCs w:val="21"/>
              </w:rPr>
              <w:t>净申购金额</w:t>
            </w:r>
          </w:p>
        </w:tc>
        <w:tc>
          <w:tcPr>
            <w:tcW w:w="1590" w:type="dxa"/>
          </w:tcPr>
          <w:p w:rsidR="0002608C" w:rsidRPr="00490741" w:rsidP="00107648">
            <w:pPr>
              <w:snapToGrid w:val="0"/>
              <w:spacing w:line="360" w:lineRule="auto"/>
              <w:jc w:val="center"/>
              <w:rPr>
                <w:rFonts w:asciiTheme="minorEastAsia" w:eastAsiaTheme="minorEastAsia" w:hAnsiTheme="minorEastAsia"/>
                <w:bCs/>
                <w:color w:val="000000" w:themeColor="text1"/>
                <w:szCs w:val="21"/>
              </w:rPr>
            </w:pPr>
            <w:r w:rsidRPr="00490741">
              <w:rPr>
                <w:rFonts w:asciiTheme="minorEastAsia" w:eastAsiaTheme="minorEastAsia" w:hAnsiTheme="minorEastAsia" w:hint="eastAsia"/>
                <w:bCs/>
                <w:color w:val="000000" w:themeColor="text1"/>
                <w:szCs w:val="21"/>
              </w:rPr>
              <w:t>基金份额净值</w:t>
            </w:r>
          </w:p>
        </w:tc>
        <w:tc>
          <w:tcPr>
            <w:tcW w:w="1679" w:type="dxa"/>
          </w:tcPr>
          <w:p w:rsidR="0002608C" w:rsidRPr="00490741" w:rsidP="00107648">
            <w:pPr>
              <w:snapToGrid w:val="0"/>
              <w:spacing w:line="360" w:lineRule="auto"/>
              <w:jc w:val="center"/>
              <w:rPr>
                <w:rFonts w:asciiTheme="minorEastAsia" w:eastAsiaTheme="minorEastAsia" w:hAnsiTheme="minorEastAsia"/>
                <w:bCs/>
                <w:color w:val="000000" w:themeColor="text1"/>
                <w:szCs w:val="21"/>
              </w:rPr>
            </w:pPr>
            <w:r w:rsidRPr="00490741">
              <w:rPr>
                <w:rFonts w:asciiTheme="minorEastAsia" w:eastAsiaTheme="minorEastAsia" w:hAnsiTheme="minorEastAsia" w:hint="eastAsia"/>
                <w:bCs/>
                <w:color w:val="000000" w:themeColor="text1"/>
                <w:szCs w:val="21"/>
              </w:rPr>
              <w:t>申购份数</w:t>
            </w:r>
          </w:p>
        </w:tc>
      </w:tr>
      <w:tr w:rsidTr="0002608C">
        <w:tblPrEx>
          <w:tblW w:w="9032" w:type="dxa"/>
          <w:jc w:val="center"/>
          <w:tblLayout w:type="fixed"/>
          <w:tblLook w:val="01E0"/>
        </w:tblPrEx>
        <w:trPr>
          <w:jc w:val="center"/>
        </w:trPr>
        <w:tc>
          <w:tcPr>
            <w:tcW w:w="1581" w:type="dxa"/>
          </w:tcPr>
          <w:p w:rsidR="0002608C" w:rsidRPr="00490741" w:rsidP="00107648">
            <w:pPr>
              <w:snapToGrid w:val="0"/>
              <w:spacing w:line="360" w:lineRule="auto"/>
              <w:jc w:val="righ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10,000</w:t>
            </w:r>
            <w:r w:rsidRPr="00490741">
              <w:rPr>
                <w:rFonts w:asciiTheme="minorEastAsia" w:eastAsiaTheme="minorEastAsia" w:hAnsiTheme="minorEastAsia" w:hint="eastAsia"/>
                <w:color w:val="000000" w:themeColor="text1"/>
                <w:szCs w:val="21"/>
              </w:rPr>
              <w:t>元</w:t>
            </w:r>
          </w:p>
        </w:tc>
        <w:tc>
          <w:tcPr>
            <w:tcW w:w="1134" w:type="dxa"/>
          </w:tcPr>
          <w:p w:rsidR="0002608C" w:rsidRPr="00490741" w:rsidP="00107648">
            <w:pPr>
              <w:snapToGrid w:val="0"/>
              <w:spacing w:line="360" w:lineRule="auto"/>
              <w:ind w:firstLine="420"/>
              <w:jc w:val="righ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1.5%</w:t>
            </w:r>
          </w:p>
        </w:tc>
        <w:tc>
          <w:tcPr>
            <w:tcW w:w="1357" w:type="dxa"/>
          </w:tcPr>
          <w:p w:rsidR="0002608C" w:rsidRPr="00490741" w:rsidP="00107648">
            <w:pPr>
              <w:snapToGrid w:val="0"/>
              <w:spacing w:line="360" w:lineRule="auto"/>
              <w:ind w:firstLine="200" w:firstLineChars="95"/>
              <w:jc w:val="righ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rPr>
              <w:t>147.78</w:t>
            </w:r>
            <w:r w:rsidRPr="00490741">
              <w:rPr>
                <w:rFonts w:asciiTheme="minorEastAsia" w:eastAsiaTheme="minorEastAsia" w:hAnsiTheme="minorEastAsia" w:hint="eastAsia"/>
                <w:color w:val="000000" w:themeColor="text1"/>
              </w:rPr>
              <w:t>元</w:t>
            </w:r>
          </w:p>
        </w:tc>
        <w:tc>
          <w:tcPr>
            <w:tcW w:w="1691" w:type="dxa"/>
          </w:tcPr>
          <w:p w:rsidR="0002608C" w:rsidRPr="00490741" w:rsidP="00107648">
            <w:pPr>
              <w:snapToGrid w:val="0"/>
              <w:spacing w:line="360" w:lineRule="auto"/>
              <w:ind w:left="-130" w:firstLine="420" w:leftChars="-62"/>
              <w:jc w:val="righ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rPr>
              <w:t>9,852.22</w:t>
            </w:r>
            <w:r w:rsidRPr="00490741">
              <w:rPr>
                <w:rFonts w:asciiTheme="minorEastAsia" w:eastAsiaTheme="minorEastAsia" w:hAnsiTheme="minorEastAsia" w:hint="eastAsia"/>
                <w:color w:val="000000" w:themeColor="text1"/>
              </w:rPr>
              <w:t>元</w:t>
            </w:r>
          </w:p>
        </w:tc>
        <w:tc>
          <w:tcPr>
            <w:tcW w:w="1590" w:type="dxa"/>
          </w:tcPr>
          <w:p w:rsidR="0002608C" w:rsidRPr="00490741" w:rsidP="00107648">
            <w:pPr>
              <w:snapToGrid w:val="0"/>
              <w:spacing w:line="360" w:lineRule="auto"/>
              <w:ind w:firstLine="420"/>
              <w:jc w:val="righ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rPr>
              <w:t>1.0000</w:t>
            </w:r>
            <w:r w:rsidRPr="00490741">
              <w:rPr>
                <w:rFonts w:asciiTheme="minorEastAsia" w:eastAsiaTheme="minorEastAsia" w:hAnsiTheme="minorEastAsia" w:hint="eastAsia"/>
                <w:color w:val="000000" w:themeColor="text1"/>
              </w:rPr>
              <w:t>元</w:t>
            </w:r>
          </w:p>
        </w:tc>
        <w:tc>
          <w:tcPr>
            <w:tcW w:w="1679" w:type="dxa"/>
          </w:tcPr>
          <w:p w:rsidR="0002608C" w:rsidRPr="00490741" w:rsidP="00107648">
            <w:pPr>
              <w:snapToGrid w:val="0"/>
              <w:spacing w:line="360" w:lineRule="auto"/>
              <w:jc w:val="righ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rPr>
              <w:t>9,852.22</w:t>
            </w:r>
            <w:r w:rsidRPr="00490741">
              <w:rPr>
                <w:rFonts w:asciiTheme="minorEastAsia" w:eastAsiaTheme="minorEastAsia" w:hAnsiTheme="minorEastAsia" w:hint="eastAsia"/>
                <w:color w:val="000000" w:themeColor="text1"/>
              </w:rPr>
              <w:t>份</w:t>
            </w:r>
          </w:p>
        </w:tc>
      </w:tr>
      <w:tr w:rsidTr="0002608C">
        <w:tblPrEx>
          <w:tblW w:w="9032" w:type="dxa"/>
          <w:jc w:val="center"/>
          <w:tblLayout w:type="fixed"/>
          <w:tblLook w:val="01E0"/>
        </w:tblPrEx>
        <w:trPr>
          <w:jc w:val="center"/>
        </w:trPr>
        <w:tc>
          <w:tcPr>
            <w:tcW w:w="1581" w:type="dxa"/>
          </w:tcPr>
          <w:p w:rsidR="0002608C" w:rsidRPr="00490741" w:rsidP="00107648">
            <w:pPr>
              <w:snapToGrid w:val="0"/>
              <w:spacing w:line="360" w:lineRule="auto"/>
              <w:jc w:val="righ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10,000,000</w:t>
            </w:r>
            <w:r w:rsidRPr="00490741">
              <w:rPr>
                <w:rFonts w:asciiTheme="minorEastAsia" w:eastAsiaTheme="minorEastAsia" w:hAnsiTheme="minorEastAsia" w:hint="eastAsia"/>
                <w:color w:val="000000" w:themeColor="text1"/>
                <w:szCs w:val="21"/>
              </w:rPr>
              <w:t>元</w:t>
            </w:r>
          </w:p>
        </w:tc>
        <w:tc>
          <w:tcPr>
            <w:tcW w:w="1134" w:type="dxa"/>
          </w:tcPr>
          <w:p w:rsidR="0002608C" w:rsidRPr="00490741" w:rsidP="00107648">
            <w:pPr>
              <w:snapToGrid w:val="0"/>
              <w:spacing w:line="360" w:lineRule="auto"/>
              <w:jc w:val="righ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1000</w:t>
            </w:r>
            <w:r w:rsidRPr="00490741">
              <w:rPr>
                <w:rFonts w:asciiTheme="minorEastAsia" w:eastAsiaTheme="minorEastAsia" w:hAnsiTheme="minorEastAsia" w:hint="eastAsia"/>
                <w:color w:val="000000" w:themeColor="text1"/>
                <w:szCs w:val="21"/>
              </w:rPr>
              <w:t>元</w:t>
            </w:r>
          </w:p>
        </w:tc>
        <w:tc>
          <w:tcPr>
            <w:tcW w:w="1357" w:type="dxa"/>
          </w:tcPr>
          <w:p w:rsidR="0002608C" w:rsidRPr="00490741" w:rsidP="00107648">
            <w:pPr>
              <w:snapToGrid w:val="0"/>
              <w:spacing w:line="360" w:lineRule="auto"/>
              <w:jc w:val="righ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1000</w:t>
            </w:r>
            <w:r w:rsidRPr="00490741">
              <w:rPr>
                <w:rFonts w:asciiTheme="minorEastAsia" w:eastAsiaTheme="minorEastAsia" w:hAnsiTheme="minorEastAsia" w:hint="eastAsia"/>
                <w:color w:val="000000" w:themeColor="text1"/>
                <w:szCs w:val="21"/>
              </w:rPr>
              <w:t>元</w:t>
            </w:r>
          </w:p>
        </w:tc>
        <w:tc>
          <w:tcPr>
            <w:tcW w:w="1691" w:type="dxa"/>
          </w:tcPr>
          <w:p w:rsidR="0002608C" w:rsidRPr="00490741" w:rsidP="00107648">
            <w:pPr>
              <w:snapToGrid w:val="0"/>
              <w:spacing w:line="360" w:lineRule="auto"/>
              <w:jc w:val="righ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9,999,000</w:t>
            </w:r>
            <w:r w:rsidRPr="00490741">
              <w:rPr>
                <w:rFonts w:asciiTheme="minorEastAsia" w:eastAsiaTheme="minorEastAsia" w:hAnsiTheme="minorEastAsia" w:hint="eastAsia"/>
                <w:color w:val="000000" w:themeColor="text1"/>
                <w:szCs w:val="21"/>
              </w:rPr>
              <w:t>元</w:t>
            </w:r>
          </w:p>
        </w:tc>
        <w:tc>
          <w:tcPr>
            <w:tcW w:w="1590" w:type="dxa"/>
          </w:tcPr>
          <w:p w:rsidR="0002608C" w:rsidRPr="00490741" w:rsidP="00107648">
            <w:pPr>
              <w:snapToGrid w:val="0"/>
              <w:spacing w:line="360" w:lineRule="auto"/>
              <w:ind w:firstLine="420"/>
              <w:jc w:val="righ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1.0000</w:t>
            </w:r>
            <w:r w:rsidRPr="00490741">
              <w:rPr>
                <w:rFonts w:asciiTheme="minorEastAsia" w:eastAsiaTheme="minorEastAsia" w:hAnsiTheme="minorEastAsia" w:hint="eastAsia"/>
                <w:color w:val="000000" w:themeColor="text1"/>
                <w:szCs w:val="21"/>
              </w:rPr>
              <w:t>元</w:t>
            </w:r>
          </w:p>
        </w:tc>
        <w:tc>
          <w:tcPr>
            <w:tcW w:w="1679" w:type="dxa"/>
          </w:tcPr>
          <w:p w:rsidR="0002608C" w:rsidRPr="00490741" w:rsidP="00107648">
            <w:pPr>
              <w:snapToGrid w:val="0"/>
              <w:spacing w:line="360" w:lineRule="auto"/>
              <w:jc w:val="righ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9,999,000</w:t>
            </w:r>
            <w:r w:rsidRPr="00490741">
              <w:rPr>
                <w:rFonts w:asciiTheme="minorEastAsia" w:eastAsiaTheme="minorEastAsia" w:hAnsiTheme="minorEastAsia" w:hint="eastAsia"/>
                <w:color w:val="000000" w:themeColor="text1"/>
                <w:szCs w:val="21"/>
              </w:rPr>
              <w:t>份</w:t>
            </w:r>
          </w:p>
        </w:tc>
      </w:tr>
    </w:tbl>
    <w:p w:rsidR="00694807"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例二：某投资者（特定投资群体）通过基金管理人的直销中心申购本基金：</w:t>
      </w:r>
    </w:p>
    <w:tbl>
      <w:tblPr>
        <w:tblW w:w="9030"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tblPr>
      <w:tblGrid>
        <w:gridCol w:w="1580"/>
        <w:gridCol w:w="1133"/>
        <w:gridCol w:w="1357"/>
        <w:gridCol w:w="1691"/>
        <w:gridCol w:w="1590"/>
        <w:gridCol w:w="1679"/>
      </w:tblGrid>
      <w:tr w:rsidTr="00694807">
        <w:tblPrEx>
          <w:tblW w:w="9030"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tblPrEx>
        <w:trPr>
          <w:jc w:val="center"/>
        </w:trPr>
        <w:tc>
          <w:tcPr>
            <w:tcW w:w="1580" w:type="dxa"/>
            <w:tcBorders>
              <w:top w:val="thinThickLargeGap" w:sz="6" w:space="0" w:color="808080"/>
              <w:left w:val="thinThickLargeGap" w:sz="6" w:space="0" w:color="808080"/>
              <w:bottom w:val="thinThickLargeGap" w:sz="6" w:space="0" w:color="808080"/>
              <w:right w:val="thinThickLargeGap" w:sz="6" w:space="0" w:color="808080"/>
            </w:tcBorders>
          </w:tcPr>
          <w:p w:rsidR="00694807" w:rsidRPr="00490741" w:rsidP="00107648">
            <w:pPr>
              <w:snapToGrid w:val="0"/>
              <w:spacing w:line="360" w:lineRule="auto"/>
              <w:jc w:val="center"/>
              <w:rPr>
                <w:rFonts w:asciiTheme="minorEastAsia" w:eastAsiaTheme="minorEastAsia" w:hAnsiTheme="minorEastAsia"/>
                <w:bCs/>
                <w:color w:val="000000" w:themeColor="text1"/>
                <w:szCs w:val="21"/>
              </w:rPr>
            </w:pPr>
            <w:r w:rsidRPr="00490741">
              <w:rPr>
                <w:rFonts w:asciiTheme="minorEastAsia" w:eastAsiaTheme="minorEastAsia" w:hAnsiTheme="minorEastAsia" w:hint="eastAsia"/>
                <w:bCs/>
                <w:color w:val="000000" w:themeColor="text1"/>
                <w:szCs w:val="21"/>
              </w:rPr>
              <w:t>申购金额</w:t>
            </w:r>
          </w:p>
        </w:tc>
        <w:tc>
          <w:tcPr>
            <w:tcW w:w="1133" w:type="dxa"/>
            <w:tcBorders>
              <w:top w:val="thinThickLargeGap" w:sz="6" w:space="0" w:color="808080"/>
              <w:left w:val="thinThickLargeGap" w:sz="6" w:space="0" w:color="808080"/>
              <w:bottom w:val="thinThickLargeGap" w:sz="6" w:space="0" w:color="808080"/>
              <w:right w:val="thinThickLargeGap" w:sz="6" w:space="0" w:color="808080"/>
            </w:tcBorders>
          </w:tcPr>
          <w:p w:rsidR="00694807" w:rsidRPr="00490741" w:rsidP="00107648">
            <w:pPr>
              <w:snapToGrid w:val="0"/>
              <w:spacing w:line="360" w:lineRule="auto"/>
              <w:jc w:val="center"/>
              <w:rPr>
                <w:rFonts w:asciiTheme="minorEastAsia" w:eastAsiaTheme="minorEastAsia" w:hAnsiTheme="minorEastAsia"/>
                <w:bCs/>
                <w:color w:val="000000" w:themeColor="text1"/>
                <w:szCs w:val="21"/>
              </w:rPr>
            </w:pPr>
            <w:r w:rsidRPr="00490741">
              <w:rPr>
                <w:rFonts w:asciiTheme="minorEastAsia" w:eastAsiaTheme="minorEastAsia" w:hAnsiTheme="minorEastAsia" w:hint="eastAsia"/>
                <w:bCs/>
                <w:color w:val="000000" w:themeColor="text1"/>
                <w:szCs w:val="21"/>
              </w:rPr>
              <w:t>申购费率</w:t>
            </w:r>
          </w:p>
        </w:tc>
        <w:tc>
          <w:tcPr>
            <w:tcW w:w="1357" w:type="dxa"/>
            <w:tcBorders>
              <w:top w:val="thinThickLargeGap" w:sz="6" w:space="0" w:color="808080"/>
              <w:left w:val="thinThickLargeGap" w:sz="6" w:space="0" w:color="808080"/>
              <w:bottom w:val="thinThickLargeGap" w:sz="6" w:space="0" w:color="808080"/>
              <w:right w:val="thinThickLargeGap" w:sz="6" w:space="0" w:color="808080"/>
            </w:tcBorders>
          </w:tcPr>
          <w:p w:rsidR="00694807" w:rsidRPr="00490741" w:rsidP="00107648">
            <w:pPr>
              <w:snapToGrid w:val="0"/>
              <w:spacing w:line="360" w:lineRule="auto"/>
              <w:jc w:val="center"/>
              <w:rPr>
                <w:rFonts w:asciiTheme="minorEastAsia" w:eastAsiaTheme="minorEastAsia" w:hAnsiTheme="minorEastAsia"/>
                <w:bCs/>
                <w:color w:val="000000" w:themeColor="text1"/>
                <w:szCs w:val="21"/>
              </w:rPr>
            </w:pPr>
            <w:r w:rsidRPr="00490741">
              <w:rPr>
                <w:rFonts w:asciiTheme="minorEastAsia" w:eastAsiaTheme="minorEastAsia" w:hAnsiTheme="minorEastAsia" w:hint="eastAsia"/>
                <w:bCs/>
                <w:color w:val="000000" w:themeColor="text1"/>
                <w:szCs w:val="21"/>
              </w:rPr>
              <w:t>申购费用</w:t>
            </w:r>
          </w:p>
        </w:tc>
        <w:tc>
          <w:tcPr>
            <w:tcW w:w="1691" w:type="dxa"/>
            <w:tcBorders>
              <w:top w:val="thinThickLargeGap" w:sz="6" w:space="0" w:color="808080"/>
              <w:left w:val="thinThickLargeGap" w:sz="6" w:space="0" w:color="808080"/>
              <w:bottom w:val="thinThickLargeGap" w:sz="6" w:space="0" w:color="808080"/>
              <w:right w:val="thinThickLargeGap" w:sz="6" w:space="0" w:color="808080"/>
            </w:tcBorders>
          </w:tcPr>
          <w:p w:rsidR="00694807" w:rsidRPr="00490741" w:rsidP="00107648">
            <w:pPr>
              <w:snapToGrid w:val="0"/>
              <w:spacing w:line="360" w:lineRule="auto"/>
              <w:jc w:val="center"/>
              <w:rPr>
                <w:rFonts w:asciiTheme="minorEastAsia" w:eastAsiaTheme="minorEastAsia" w:hAnsiTheme="minorEastAsia"/>
                <w:bCs/>
                <w:color w:val="000000" w:themeColor="text1"/>
                <w:szCs w:val="21"/>
              </w:rPr>
            </w:pPr>
            <w:r w:rsidRPr="00490741">
              <w:rPr>
                <w:rFonts w:asciiTheme="minorEastAsia" w:eastAsiaTheme="minorEastAsia" w:hAnsiTheme="minorEastAsia" w:hint="eastAsia"/>
                <w:bCs/>
                <w:color w:val="000000" w:themeColor="text1"/>
                <w:szCs w:val="21"/>
              </w:rPr>
              <w:t>净申购金额</w:t>
            </w:r>
          </w:p>
        </w:tc>
        <w:tc>
          <w:tcPr>
            <w:tcW w:w="1590" w:type="dxa"/>
            <w:tcBorders>
              <w:top w:val="thinThickLargeGap" w:sz="6" w:space="0" w:color="808080"/>
              <w:left w:val="thinThickLargeGap" w:sz="6" w:space="0" w:color="808080"/>
              <w:bottom w:val="thinThickLargeGap" w:sz="6" w:space="0" w:color="808080"/>
              <w:right w:val="thinThickLargeGap" w:sz="6" w:space="0" w:color="808080"/>
            </w:tcBorders>
          </w:tcPr>
          <w:p w:rsidR="00694807" w:rsidRPr="00490741" w:rsidP="00107648">
            <w:pPr>
              <w:snapToGrid w:val="0"/>
              <w:spacing w:line="360" w:lineRule="auto"/>
              <w:jc w:val="center"/>
              <w:rPr>
                <w:rFonts w:asciiTheme="minorEastAsia" w:eastAsiaTheme="minorEastAsia" w:hAnsiTheme="minorEastAsia"/>
                <w:bCs/>
                <w:color w:val="000000" w:themeColor="text1"/>
                <w:szCs w:val="21"/>
              </w:rPr>
            </w:pPr>
            <w:r w:rsidRPr="00490741">
              <w:rPr>
                <w:rFonts w:asciiTheme="minorEastAsia" w:eastAsiaTheme="minorEastAsia" w:hAnsiTheme="minorEastAsia" w:hint="eastAsia"/>
                <w:bCs/>
                <w:color w:val="000000" w:themeColor="text1"/>
                <w:szCs w:val="21"/>
              </w:rPr>
              <w:t>基金份额净值</w:t>
            </w:r>
          </w:p>
        </w:tc>
        <w:tc>
          <w:tcPr>
            <w:tcW w:w="1679" w:type="dxa"/>
            <w:tcBorders>
              <w:top w:val="thinThickLargeGap" w:sz="6" w:space="0" w:color="808080"/>
              <w:left w:val="thinThickLargeGap" w:sz="6" w:space="0" w:color="808080"/>
              <w:bottom w:val="thinThickLargeGap" w:sz="6" w:space="0" w:color="808080"/>
              <w:right w:val="thinThickLargeGap" w:sz="6" w:space="0" w:color="808080"/>
            </w:tcBorders>
          </w:tcPr>
          <w:p w:rsidR="00694807" w:rsidRPr="00490741" w:rsidP="00107648">
            <w:pPr>
              <w:snapToGrid w:val="0"/>
              <w:spacing w:line="360" w:lineRule="auto"/>
              <w:jc w:val="center"/>
              <w:rPr>
                <w:rFonts w:asciiTheme="minorEastAsia" w:eastAsiaTheme="minorEastAsia" w:hAnsiTheme="minorEastAsia"/>
                <w:bCs/>
                <w:color w:val="000000" w:themeColor="text1"/>
                <w:szCs w:val="21"/>
              </w:rPr>
            </w:pPr>
            <w:r w:rsidRPr="00490741">
              <w:rPr>
                <w:rFonts w:asciiTheme="minorEastAsia" w:eastAsiaTheme="minorEastAsia" w:hAnsiTheme="minorEastAsia" w:hint="eastAsia"/>
                <w:bCs/>
                <w:color w:val="000000" w:themeColor="text1"/>
                <w:szCs w:val="21"/>
              </w:rPr>
              <w:t>申购份数</w:t>
            </w:r>
          </w:p>
        </w:tc>
      </w:tr>
      <w:tr w:rsidTr="00694807">
        <w:tblPrEx>
          <w:tblW w:w="9030" w:type="dxa"/>
          <w:jc w:val="center"/>
          <w:tblLayout w:type="fixed"/>
          <w:tblLook w:val="01E0"/>
        </w:tblPrEx>
        <w:trPr>
          <w:jc w:val="center"/>
        </w:trPr>
        <w:tc>
          <w:tcPr>
            <w:tcW w:w="1580" w:type="dxa"/>
            <w:tcBorders>
              <w:top w:val="thinThickLargeGap" w:sz="6" w:space="0" w:color="808080"/>
              <w:left w:val="thinThickLargeGap" w:sz="6" w:space="0" w:color="808080"/>
              <w:bottom w:val="thinThickLargeGap" w:sz="6" w:space="0" w:color="808080"/>
              <w:right w:val="thinThickLargeGap" w:sz="6" w:space="0" w:color="808080"/>
            </w:tcBorders>
          </w:tcPr>
          <w:p w:rsidR="00694807" w:rsidRPr="00490741" w:rsidP="00107648">
            <w:pPr>
              <w:snapToGrid w:val="0"/>
              <w:spacing w:line="360" w:lineRule="auto"/>
              <w:jc w:val="righ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50,000</w:t>
            </w:r>
            <w:r w:rsidRPr="00490741">
              <w:rPr>
                <w:rFonts w:asciiTheme="minorEastAsia" w:eastAsiaTheme="minorEastAsia" w:hAnsiTheme="minorEastAsia" w:hint="eastAsia"/>
                <w:color w:val="000000" w:themeColor="text1"/>
                <w:szCs w:val="21"/>
              </w:rPr>
              <w:t>元</w:t>
            </w:r>
          </w:p>
        </w:tc>
        <w:tc>
          <w:tcPr>
            <w:tcW w:w="1133" w:type="dxa"/>
            <w:tcBorders>
              <w:top w:val="thinThickLargeGap" w:sz="6" w:space="0" w:color="808080"/>
              <w:left w:val="thinThickLargeGap" w:sz="6" w:space="0" w:color="808080"/>
              <w:bottom w:val="thinThickLargeGap" w:sz="6" w:space="0" w:color="808080"/>
              <w:right w:val="thinThickLargeGap" w:sz="6" w:space="0" w:color="808080"/>
            </w:tcBorders>
          </w:tcPr>
          <w:p w:rsidR="00694807" w:rsidRPr="00490741" w:rsidP="00107648">
            <w:pPr>
              <w:snapToGrid w:val="0"/>
              <w:spacing w:line="360" w:lineRule="auto"/>
              <w:jc w:val="righ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0.15%</w:t>
            </w:r>
          </w:p>
        </w:tc>
        <w:tc>
          <w:tcPr>
            <w:tcW w:w="1357" w:type="dxa"/>
            <w:tcBorders>
              <w:top w:val="thinThickLargeGap" w:sz="6" w:space="0" w:color="808080"/>
              <w:left w:val="thinThickLargeGap" w:sz="6" w:space="0" w:color="808080"/>
              <w:bottom w:val="thinThickLargeGap" w:sz="6" w:space="0" w:color="808080"/>
              <w:right w:val="thinThickLargeGap" w:sz="6" w:space="0" w:color="808080"/>
            </w:tcBorders>
          </w:tcPr>
          <w:p w:rsidR="00694807" w:rsidRPr="00490741" w:rsidP="00107648">
            <w:pPr>
              <w:snapToGrid w:val="0"/>
              <w:spacing w:line="360" w:lineRule="auto"/>
              <w:jc w:val="righ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74.89</w:t>
            </w:r>
            <w:r w:rsidRPr="00490741">
              <w:rPr>
                <w:rFonts w:asciiTheme="minorEastAsia" w:eastAsiaTheme="minorEastAsia" w:hAnsiTheme="minorEastAsia" w:hint="eastAsia"/>
                <w:color w:val="000000" w:themeColor="text1"/>
                <w:szCs w:val="21"/>
              </w:rPr>
              <w:t>元</w:t>
            </w:r>
          </w:p>
        </w:tc>
        <w:tc>
          <w:tcPr>
            <w:tcW w:w="1691" w:type="dxa"/>
            <w:tcBorders>
              <w:top w:val="thinThickLargeGap" w:sz="6" w:space="0" w:color="808080"/>
              <w:left w:val="thinThickLargeGap" w:sz="6" w:space="0" w:color="808080"/>
              <w:bottom w:val="thinThickLargeGap" w:sz="6" w:space="0" w:color="808080"/>
              <w:right w:val="thinThickLargeGap" w:sz="6" w:space="0" w:color="808080"/>
            </w:tcBorders>
          </w:tcPr>
          <w:p w:rsidR="00694807" w:rsidRPr="00490741" w:rsidP="00107648">
            <w:pPr>
              <w:snapToGrid w:val="0"/>
              <w:spacing w:line="360" w:lineRule="auto"/>
              <w:jc w:val="righ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49,925.11</w:t>
            </w:r>
            <w:r w:rsidRPr="00490741">
              <w:rPr>
                <w:rFonts w:asciiTheme="minorEastAsia" w:eastAsiaTheme="minorEastAsia" w:hAnsiTheme="minorEastAsia" w:hint="eastAsia"/>
                <w:color w:val="000000" w:themeColor="text1"/>
                <w:szCs w:val="21"/>
              </w:rPr>
              <w:t>元</w:t>
            </w:r>
          </w:p>
        </w:tc>
        <w:tc>
          <w:tcPr>
            <w:tcW w:w="1590" w:type="dxa"/>
            <w:tcBorders>
              <w:top w:val="thinThickLargeGap" w:sz="6" w:space="0" w:color="808080"/>
              <w:left w:val="thinThickLargeGap" w:sz="6" w:space="0" w:color="808080"/>
              <w:bottom w:val="thinThickLargeGap" w:sz="6" w:space="0" w:color="808080"/>
              <w:right w:val="thinThickLargeGap" w:sz="6" w:space="0" w:color="808080"/>
            </w:tcBorders>
          </w:tcPr>
          <w:p w:rsidR="00694807" w:rsidRPr="00490741" w:rsidP="00107648">
            <w:pPr>
              <w:snapToGrid w:val="0"/>
              <w:spacing w:line="360" w:lineRule="auto"/>
              <w:ind w:firstLine="420"/>
              <w:jc w:val="righ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1.0000</w:t>
            </w:r>
            <w:r w:rsidRPr="00490741">
              <w:rPr>
                <w:rFonts w:asciiTheme="minorEastAsia" w:eastAsiaTheme="minorEastAsia" w:hAnsiTheme="minorEastAsia" w:hint="eastAsia"/>
                <w:color w:val="000000" w:themeColor="text1"/>
                <w:szCs w:val="21"/>
              </w:rPr>
              <w:t>元</w:t>
            </w:r>
          </w:p>
        </w:tc>
        <w:tc>
          <w:tcPr>
            <w:tcW w:w="1679" w:type="dxa"/>
            <w:tcBorders>
              <w:top w:val="thinThickLargeGap" w:sz="6" w:space="0" w:color="808080"/>
              <w:left w:val="thinThickLargeGap" w:sz="6" w:space="0" w:color="808080"/>
              <w:bottom w:val="thinThickLargeGap" w:sz="6" w:space="0" w:color="808080"/>
              <w:right w:val="thinThickLargeGap" w:sz="6" w:space="0" w:color="808080"/>
            </w:tcBorders>
          </w:tcPr>
          <w:p w:rsidR="00694807" w:rsidRPr="00490741" w:rsidP="00107648">
            <w:pPr>
              <w:snapToGrid w:val="0"/>
              <w:spacing w:line="360" w:lineRule="auto"/>
              <w:jc w:val="righ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49,925.11</w:t>
            </w:r>
            <w:r w:rsidRPr="00490741">
              <w:rPr>
                <w:rFonts w:asciiTheme="minorEastAsia" w:eastAsiaTheme="minorEastAsia" w:hAnsiTheme="minorEastAsia" w:hint="eastAsia"/>
                <w:color w:val="000000" w:themeColor="text1"/>
                <w:szCs w:val="21"/>
              </w:rPr>
              <w:t>份</w:t>
            </w:r>
          </w:p>
        </w:tc>
      </w:tr>
      <w:tr w:rsidTr="00694807">
        <w:tblPrEx>
          <w:tblW w:w="9030" w:type="dxa"/>
          <w:jc w:val="center"/>
          <w:tblLayout w:type="fixed"/>
          <w:tblLook w:val="01E0"/>
        </w:tblPrEx>
        <w:trPr>
          <w:jc w:val="center"/>
        </w:trPr>
        <w:tc>
          <w:tcPr>
            <w:tcW w:w="1580" w:type="dxa"/>
            <w:tcBorders>
              <w:top w:val="thinThickLargeGap" w:sz="6" w:space="0" w:color="808080"/>
              <w:left w:val="thinThickLargeGap" w:sz="6" w:space="0" w:color="808080"/>
              <w:bottom w:val="thinThickLargeGap" w:sz="6" w:space="0" w:color="808080"/>
              <w:right w:val="thinThickLargeGap" w:sz="6" w:space="0" w:color="808080"/>
            </w:tcBorders>
          </w:tcPr>
          <w:p w:rsidR="00694807" w:rsidRPr="00490741" w:rsidP="00107648">
            <w:pPr>
              <w:snapToGrid w:val="0"/>
              <w:spacing w:line="360" w:lineRule="auto"/>
              <w:jc w:val="righ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10,000,000</w:t>
            </w:r>
            <w:r w:rsidRPr="00490741">
              <w:rPr>
                <w:rFonts w:asciiTheme="minorEastAsia" w:eastAsiaTheme="minorEastAsia" w:hAnsiTheme="minorEastAsia" w:hint="eastAsia"/>
                <w:color w:val="000000" w:themeColor="text1"/>
                <w:szCs w:val="21"/>
              </w:rPr>
              <w:t>元</w:t>
            </w:r>
          </w:p>
        </w:tc>
        <w:tc>
          <w:tcPr>
            <w:tcW w:w="1133" w:type="dxa"/>
            <w:tcBorders>
              <w:top w:val="thinThickLargeGap" w:sz="6" w:space="0" w:color="808080"/>
              <w:left w:val="thinThickLargeGap" w:sz="6" w:space="0" w:color="808080"/>
              <w:bottom w:val="thinThickLargeGap" w:sz="6" w:space="0" w:color="808080"/>
              <w:right w:val="thinThickLargeGap" w:sz="6" w:space="0" w:color="808080"/>
            </w:tcBorders>
          </w:tcPr>
          <w:p w:rsidR="00694807" w:rsidRPr="00490741" w:rsidP="00107648">
            <w:pPr>
              <w:snapToGrid w:val="0"/>
              <w:spacing w:line="360" w:lineRule="auto"/>
              <w:jc w:val="righ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1000</w:t>
            </w:r>
            <w:r w:rsidRPr="00490741">
              <w:rPr>
                <w:rFonts w:asciiTheme="minorEastAsia" w:eastAsiaTheme="minorEastAsia" w:hAnsiTheme="minorEastAsia" w:hint="eastAsia"/>
                <w:color w:val="000000" w:themeColor="text1"/>
                <w:szCs w:val="21"/>
              </w:rPr>
              <w:t>元</w:t>
            </w:r>
          </w:p>
        </w:tc>
        <w:tc>
          <w:tcPr>
            <w:tcW w:w="1357" w:type="dxa"/>
            <w:tcBorders>
              <w:top w:val="thinThickLargeGap" w:sz="6" w:space="0" w:color="808080"/>
              <w:left w:val="thinThickLargeGap" w:sz="6" w:space="0" w:color="808080"/>
              <w:bottom w:val="thinThickLargeGap" w:sz="6" w:space="0" w:color="808080"/>
              <w:right w:val="thinThickLargeGap" w:sz="6" w:space="0" w:color="808080"/>
            </w:tcBorders>
          </w:tcPr>
          <w:p w:rsidR="00694807" w:rsidRPr="00490741" w:rsidP="00107648">
            <w:pPr>
              <w:snapToGrid w:val="0"/>
              <w:spacing w:line="360" w:lineRule="auto"/>
              <w:jc w:val="righ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1000</w:t>
            </w:r>
            <w:r w:rsidRPr="00490741">
              <w:rPr>
                <w:rFonts w:asciiTheme="minorEastAsia" w:eastAsiaTheme="minorEastAsia" w:hAnsiTheme="minorEastAsia" w:hint="eastAsia"/>
                <w:color w:val="000000" w:themeColor="text1"/>
                <w:szCs w:val="21"/>
              </w:rPr>
              <w:t>元</w:t>
            </w:r>
          </w:p>
        </w:tc>
        <w:tc>
          <w:tcPr>
            <w:tcW w:w="1691" w:type="dxa"/>
            <w:tcBorders>
              <w:top w:val="thinThickLargeGap" w:sz="6" w:space="0" w:color="808080"/>
              <w:left w:val="thinThickLargeGap" w:sz="6" w:space="0" w:color="808080"/>
              <w:bottom w:val="thinThickLargeGap" w:sz="6" w:space="0" w:color="808080"/>
              <w:right w:val="thinThickLargeGap" w:sz="6" w:space="0" w:color="808080"/>
            </w:tcBorders>
          </w:tcPr>
          <w:p w:rsidR="00694807" w:rsidRPr="00490741" w:rsidP="00107648">
            <w:pPr>
              <w:snapToGrid w:val="0"/>
              <w:spacing w:line="360" w:lineRule="auto"/>
              <w:jc w:val="righ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9,999,000</w:t>
            </w:r>
            <w:r w:rsidRPr="00490741">
              <w:rPr>
                <w:rFonts w:asciiTheme="minorEastAsia" w:eastAsiaTheme="minorEastAsia" w:hAnsiTheme="minorEastAsia" w:hint="eastAsia"/>
                <w:color w:val="000000" w:themeColor="text1"/>
                <w:szCs w:val="21"/>
              </w:rPr>
              <w:t>元</w:t>
            </w:r>
          </w:p>
        </w:tc>
        <w:tc>
          <w:tcPr>
            <w:tcW w:w="1590" w:type="dxa"/>
            <w:tcBorders>
              <w:top w:val="thinThickLargeGap" w:sz="6" w:space="0" w:color="808080"/>
              <w:left w:val="thinThickLargeGap" w:sz="6" w:space="0" w:color="808080"/>
              <w:bottom w:val="thinThickLargeGap" w:sz="6" w:space="0" w:color="808080"/>
              <w:right w:val="thinThickLargeGap" w:sz="6" w:space="0" w:color="808080"/>
            </w:tcBorders>
          </w:tcPr>
          <w:p w:rsidR="00694807" w:rsidRPr="00490741" w:rsidP="00107648">
            <w:pPr>
              <w:snapToGrid w:val="0"/>
              <w:spacing w:line="360" w:lineRule="auto"/>
              <w:ind w:firstLine="420"/>
              <w:jc w:val="righ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1.0000</w:t>
            </w:r>
            <w:r w:rsidRPr="00490741">
              <w:rPr>
                <w:rFonts w:asciiTheme="minorEastAsia" w:eastAsiaTheme="minorEastAsia" w:hAnsiTheme="minorEastAsia" w:hint="eastAsia"/>
                <w:color w:val="000000" w:themeColor="text1"/>
                <w:szCs w:val="21"/>
              </w:rPr>
              <w:t>元</w:t>
            </w:r>
          </w:p>
        </w:tc>
        <w:tc>
          <w:tcPr>
            <w:tcW w:w="1679" w:type="dxa"/>
            <w:tcBorders>
              <w:top w:val="thinThickLargeGap" w:sz="6" w:space="0" w:color="808080"/>
              <w:left w:val="thinThickLargeGap" w:sz="6" w:space="0" w:color="808080"/>
              <w:bottom w:val="thinThickLargeGap" w:sz="6" w:space="0" w:color="808080"/>
              <w:right w:val="thinThickLargeGap" w:sz="6" w:space="0" w:color="808080"/>
            </w:tcBorders>
          </w:tcPr>
          <w:p w:rsidR="00694807" w:rsidRPr="00490741" w:rsidP="00107648">
            <w:pPr>
              <w:snapToGrid w:val="0"/>
              <w:spacing w:line="360" w:lineRule="auto"/>
              <w:jc w:val="righ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9,999,000</w:t>
            </w:r>
            <w:r w:rsidRPr="00490741">
              <w:rPr>
                <w:rFonts w:asciiTheme="minorEastAsia" w:eastAsiaTheme="minorEastAsia" w:hAnsiTheme="minorEastAsia" w:hint="eastAsia"/>
                <w:color w:val="000000" w:themeColor="text1"/>
                <w:szCs w:val="21"/>
              </w:rPr>
              <w:t>份</w:t>
            </w:r>
          </w:p>
        </w:tc>
      </w:tr>
    </w:tbl>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申购费用以人民币元为单位，四舍五入，保留至小数点后二位；申购份数保留至小数点后两位，小数点后两位以后的部分四舍五入，由此产生的误差计入基金财产</w:t>
      </w:r>
      <w:r w:rsidRPr="00490741">
        <w:rPr>
          <w:rFonts w:asciiTheme="minorEastAsia" w:eastAsiaTheme="minorEastAsia" w:hAnsiTheme="minorEastAsia"/>
          <w:color w:val="000000" w:themeColor="text1"/>
          <w:szCs w:val="21"/>
        </w:rPr>
        <w:t>。</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sidR="00C15CD6">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基金赎回金额的计算</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本基金的赎回金额为赎回总额扣减赎回费用，其中：</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赎回总额</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赎回数量</w:t>
      </w:r>
      <w:r w:rsidRPr="00490741">
        <w:rPr>
          <w:rFonts w:ascii="Symbol" w:hAnsi="Symbol" w:eastAsiaTheme="minorEastAsia"/>
          <w:color w:val="000000" w:themeColor="text1"/>
          <w:szCs w:val="21"/>
        </w:rPr>
        <w:sym w:font="Symbol" w:char="F0B4"/>
      </w:r>
      <w:r w:rsidRPr="00490741">
        <w:rPr>
          <w:rFonts w:asciiTheme="minorEastAsia" w:eastAsiaTheme="minorEastAsia" w:hAnsiTheme="minorEastAsia" w:hint="eastAsia"/>
          <w:color w:val="000000" w:themeColor="text1"/>
          <w:szCs w:val="21"/>
        </w:rPr>
        <w:t>T</w:t>
      </w:r>
      <w:r w:rsidRPr="00490741">
        <w:rPr>
          <w:rFonts w:asciiTheme="minorEastAsia" w:eastAsiaTheme="minorEastAsia" w:hAnsiTheme="minorEastAsia" w:hint="eastAsia"/>
          <w:color w:val="000000" w:themeColor="text1"/>
          <w:szCs w:val="21"/>
        </w:rPr>
        <w:t>日基金份额净值</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赎回费用</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赎回总额</w:t>
      </w:r>
      <w:r w:rsidRPr="00490741">
        <w:rPr>
          <w:rFonts w:ascii="Symbol" w:hAnsi="Symbol" w:eastAsiaTheme="minorEastAsia"/>
          <w:color w:val="000000" w:themeColor="text1"/>
          <w:szCs w:val="21"/>
        </w:rPr>
        <w:sym w:font="Symbol" w:char="F0B4"/>
      </w:r>
      <w:r w:rsidRPr="00490741">
        <w:rPr>
          <w:rFonts w:asciiTheme="minorEastAsia" w:eastAsiaTheme="minorEastAsia" w:hAnsiTheme="minorEastAsia" w:hint="eastAsia"/>
          <w:color w:val="000000" w:themeColor="text1"/>
          <w:szCs w:val="21"/>
        </w:rPr>
        <w:t>赎回费率</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赎回金额</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赎回总额</w:t>
      </w:r>
      <w:r w:rsidRPr="00490741">
        <w:rPr>
          <w:rFonts w:ascii="Symbol" w:hAnsi="Symbol" w:eastAsiaTheme="minorEastAsia"/>
          <w:color w:val="000000" w:themeColor="text1"/>
          <w:szCs w:val="21"/>
        </w:rPr>
        <w:sym w:font="Symbol" w:char="F02D"/>
      </w:r>
      <w:r w:rsidRPr="00490741">
        <w:rPr>
          <w:rFonts w:asciiTheme="minorEastAsia" w:eastAsiaTheme="minorEastAsia" w:hAnsiTheme="minorEastAsia" w:hint="eastAsia"/>
          <w:color w:val="000000" w:themeColor="text1"/>
          <w:szCs w:val="21"/>
        </w:rPr>
        <w:t>赎回费用</w:t>
      </w:r>
    </w:p>
    <w:p w:rsidR="0002608C" w:rsidRPr="00490741" w:rsidP="00107648">
      <w:pPr>
        <w:pStyle w:val="20"/>
        <w:snapToGrid w:val="0"/>
        <w:spacing w:before="0" w:beforeAutospacing="0" w:after="0" w:afterAutospacing="0"/>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举例说明：</w:t>
      </w:r>
    </w:p>
    <w:tbl>
      <w:tblPr>
        <w:tblW w:w="8632"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60"/>
      </w:tblPr>
      <w:tblGrid>
        <w:gridCol w:w="1243"/>
        <w:gridCol w:w="1650"/>
        <w:gridCol w:w="1436"/>
        <w:gridCol w:w="1437"/>
        <w:gridCol w:w="1409"/>
        <w:gridCol w:w="1457"/>
      </w:tblGrid>
      <w:tr w:rsidTr="0002608C">
        <w:tblPrEx>
          <w:tblW w:w="8632"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60"/>
        </w:tblPrEx>
        <w:trPr>
          <w:jc w:val="center"/>
        </w:trPr>
        <w:tc>
          <w:tcPr>
            <w:tcW w:w="1243" w:type="dxa"/>
          </w:tcPr>
          <w:p w:rsidR="0002608C" w:rsidRPr="00490741" w:rsidP="00107648">
            <w:pPr>
              <w:snapToGrid w:val="0"/>
              <w:spacing w:line="360" w:lineRule="auto"/>
              <w:jc w:val="center"/>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赎回份额</w:t>
            </w:r>
          </w:p>
        </w:tc>
        <w:tc>
          <w:tcPr>
            <w:tcW w:w="1650" w:type="dxa"/>
          </w:tcPr>
          <w:p w:rsidR="0002608C" w:rsidRPr="00490741" w:rsidP="00107648">
            <w:pPr>
              <w:snapToGrid w:val="0"/>
              <w:spacing w:line="360" w:lineRule="auto"/>
              <w:jc w:val="center"/>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基金份额净值</w:t>
            </w:r>
          </w:p>
        </w:tc>
        <w:tc>
          <w:tcPr>
            <w:tcW w:w="1436" w:type="dxa"/>
          </w:tcPr>
          <w:p w:rsidR="0002608C" w:rsidRPr="00490741" w:rsidP="00107648">
            <w:pPr>
              <w:snapToGrid w:val="0"/>
              <w:spacing w:line="360" w:lineRule="auto"/>
              <w:jc w:val="center"/>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持有时间</w:t>
            </w:r>
          </w:p>
        </w:tc>
        <w:tc>
          <w:tcPr>
            <w:tcW w:w="1437" w:type="dxa"/>
          </w:tcPr>
          <w:p w:rsidR="0002608C" w:rsidRPr="00490741" w:rsidP="00107648">
            <w:pPr>
              <w:snapToGrid w:val="0"/>
              <w:spacing w:line="360" w:lineRule="auto"/>
              <w:jc w:val="center"/>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赎回费率</w:t>
            </w:r>
          </w:p>
        </w:tc>
        <w:tc>
          <w:tcPr>
            <w:tcW w:w="1409" w:type="dxa"/>
          </w:tcPr>
          <w:p w:rsidR="0002608C" w:rsidRPr="00490741" w:rsidP="00107648">
            <w:pPr>
              <w:snapToGrid w:val="0"/>
              <w:spacing w:line="360" w:lineRule="auto"/>
              <w:jc w:val="center"/>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赎回费</w:t>
            </w:r>
            <w:r w:rsidRPr="00490741">
              <w:rPr>
                <w:rFonts w:asciiTheme="minorEastAsia" w:eastAsiaTheme="minorEastAsia" w:hAnsiTheme="minorEastAsia" w:hint="eastAsia"/>
                <w:color w:val="000000" w:themeColor="text1"/>
                <w:szCs w:val="21"/>
              </w:rPr>
              <w:t>用</w:t>
            </w:r>
          </w:p>
        </w:tc>
        <w:tc>
          <w:tcPr>
            <w:tcW w:w="1457" w:type="dxa"/>
          </w:tcPr>
          <w:p w:rsidR="0002608C" w:rsidRPr="00490741" w:rsidP="00107648">
            <w:pPr>
              <w:snapToGrid w:val="0"/>
              <w:spacing w:line="360" w:lineRule="auto"/>
              <w:jc w:val="center"/>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赎回</w:t>
            </w:r>
            <w:r w:rsidRPr="00490741">
              <w:rPr>
                <w:rFonts w:asciiTheme="minorEastAsia" w:eastAsiaTheme="minorEastAsia" w:hAnsiTheme="minorEastAsia" w:hint="eastAsia"/>
                <w:color w:val="000000" w:themeColor="text1"/>
                <w:szCs w:val="21"/>
              </w:rPr>
              <w:t>金</w:t>
            </w:r>
            <w:r w:rsidRPr="00490741">
              <w:rPr>
                <w:rFonts w:asciiTheme="minorEastAsia" w:eastAsiaTheme="minorEastAsia" w:hAnsiTheme="minorEastAsia"/>
                <w:color w:val="000000" w:themeColor="text1"/>
                <w:szCs w:val="21"/>
              </w:rPr>
              <w:t>额</w:t>
            </w:r>
          </w:p>
        </w:tc>
      </w:tr>
      <w:tr w:rsidTr="0002608C">
        <w:tblPrEx>
          <w:tblW w:w="8632" w:type="dxa"/>
          <w:jc w:val="center"/>
          <w:tblLayout w:type="fixed"/>
          <w:tblLook w:val="0160"/>
        </w:tblPrEx>
        <w:trPr>
          <w:jc w:val="center"/>
        </w:trPr>
        <w:tc>
          <w:tcPr>
            <w:tcW w:w="1243" w:type="dxa"/>
          </w:tcPr>
          <w:p w:rsidR="0002608C" w:rsidRPr="00490741" w:rsidP="00107648">
            <w:pPr>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10,000</w:t>
            </w:r>
          </w:p>
        </w:tc>
        <w:tc>
          <w:tcPr>
            <w:tcW w:w="1650" w:type="dxa"/>
          </w:tcPr>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1.00</w:t>
            </w:r>
            <w:r w:rsidRPr="00490741">
              <w:rPr>
                <w:rFonts w:asciiTheme="minorEastAsia" w:eastAsiaTheme="minorEastAsia" w:hAnsiTheme="minorEastAsia" w:hint="eastAsia"/>
                <w:color w:val="000000" w:themeColor="text1"/>
                <w:szCs w:val="21"/>
              </w:rPr>
              <w:t>00</w:t>
            </w:r>
            <w:r w:rsidRPr="00490741">
              <w:rPr>
                <w:rFonts w:asciiTheme="minorEastAsia" w:eastAsiaTheme="minorEastAsia" w:hAnsiTheme="minorEastAsia"/>
                <w:color w:val="000000" w:themeColor="text1"/>
                <w:szCs w:val="21"/>
              </w:rPr>
              <w:t>元</w:t>
            </w:r>
          </w:p>
        </w:tc>
        <w:tc>
          <w:tcPr>
            <w:tcW w:w="1436" w:type="dxa"/>
          </w:tcPr>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100</w:t>
            </w:r>
            <w:r w:rsidRPr="00490741">
              <w:rPr>
                <w:rFonts w:asciiTheme="minorEastAsia" w:eastAsiaTheme="minorEastAsia" w:hAnsiTheme="minorEastAsia" w:hint="eastAsia"/>
                <w:color w:val="000000" w:themeColor="text1"/>
                <w:szCs w:val="21"/>
              </w:rPr>
              <w:t>天</w:t>
            </w:r>
          </w:p>
        </w:tc>
        <w:tc>
          <w:tcPr>
            <w:tcW w:w="1437" w:type="dxa"/>
          </w:tcPr>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0.5%</w:t>
            </w:r>
          </w:p>
        </w:tc>
        <w:tc>
          <w:tcPr>
            <w:tcW w:w="1409" w:type="dxa"/>
          </w:tcPr>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50</w:t>
            </w:r>
            <w:r w:rsidRPr="00490741">
              <w:rPr>
                <w:rFonts w:asciiTheme="minorEastAsia" w:eastAsiaTheme="minorEastAsia" w:hAnsiTheme="minorEastAsia"/>
                <w:color w:val="000000" w:themeColor="text1"/>
                <w:szCs w:val="21"/>
              </w:rPr>
              <w:t>元</w:t>
            </w:r>
          </w:p>
        </w:tc>
        <w:tc>
          <w:tcPr>
            <w:tcW w:w="1457" w:type="dxa"/>
          </w:tcPr>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9,950</w:t>
            </w:r>
            <w:r w:rsidRPr="00490741">
              <w:rPr>
                <w:rFonts w:asciiTheme="minorEastAsia" w:eastAsiaTheme="minorEastAsia" w:hAnsiTheme="minorEastAsia"/>
                <w:color w:val="000000" w:themeColor="text1"/>
                <w:szCs w:val="21"/>
              </w:rPr>
              <w:t>元</w:t>
            </w:r>
          </w:p>
        </w:tc>
      </w:tr>
      <w:tr w:rsidTr="0002608C">
        <w:tblPrEx>
          <w:tblW w:w="8632" w:type="dxa"/>
          <w:jc w:val="center"/>
          <w:tblLayout w:type="fixed"/>
          <w:tblLook w:val="0160"/>
        </w:tblPrEx>
        <w:trPr>
          <w:jc w:val="center"/>
        </w:trPr>
        <w:tc>
          <w:tcPr>
            <w:tcW w:w="1243" w:type="dxa"/>
          </w:tcPr>
          <w:p w:rsidR="0002608C" w:rsidRPr="00490741" w:rsidP="00107648">
            <w:pPr>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10,000</w:t>
            </w:r>
          </w:p>
        </w:tc>
        <w:tc>
          <w:tcPr>
            <w:tcW w:w="1650" w:type="dxa"/>
          </w:tcPr>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1.00</w:t>
            </w:r>
            <w:r w:rsidRPr="00490741">
              <w:rPr>
                <w:rFonts w:asciiTheme="minorEastAsia" w:eastAsiaTheme="minorEastAsia" w:hAnsiTheme="minorEastAsia" w:hint="eastAsia"/>
                <w:color w:val="000000" w:themeColor="text1"/>
                <w:szCs w:val="21"/>
              </w:rPr>
              <w:t>00</w:t>
            </w:r>
            <w:r w:rsidRPr="00490741">
              <w:rPr>
                <w:rFonts w:asciiTheme="minorEastAsia" w:eastAsiaTheme="minorEastAsia" w:hAnsiTheme="minorEastAsia"/>
                <w:color w:val="000000" w:themeColor="text1"/>
                <w:szCs w:val="21"/>
              </w:rPr>
              <w:t>元</w:t>
            </w:r>
          </w:p>
        </w:tc>
        <w:tc>
          <w:tcPr>
            <w:tcW w:w="1436" w:type="dxa"/>
          </w:tcPr>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500</w:t>
            </w:r>
            <w:r w:rsidRPr="00490741">
              <w:rPr>
                <w:rFonts w:asciiTheme="minorEastAsia" w:eastAsiaTheme="minorEastAsia" w:hAnsiTheme="minorEastAsia" w:hint="eastAsia"/>
                <w:color w:val="000000" w:themeColor="text1"/>
                <w:szCs w:val="21"/>
              </w:rPr>
              <w:t>天</w:t>
            </w:r>
          </w:p>
        </w:tc>
        <w:tc>
          <w:tcPr>
            <w:tcW w:w="1437" w:type="dxa"/>
          </w:tcPr>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0.</w:t>
            </w:r>
            <w:r w:rsidRPr="00490741">
              <w:rPr>
                <w:rFonts w:asciiTheme="minorEastAsia" w:eastAsiaTheme="minorEastAsia" w:hAnsiTheme="minorEastAsia" w:hint="eastAsia"/>
                <w:color w:val="000000" w:themeColor="text1"/>
                <w:szCs w:val="21"/>
              </w:rPr>
              <w:t>25</w:t>
            </w:r>
            <w:r w:rsidRPr="00490741">
              <w:rPr>
                <w:rFonts w:asciiTheme="minorEastAsia" w:eastAsiaTheme="minorEastAsia" w:hAnsiTheme="minorEastAsia"/>
                <w:color w:val="000000" w:themeColor="text1"/>
                <w:szCs w:val="21"/>
              </w:rPr>
              <w:t>%</w:t>
            </w:r>
          </w:p>
        </w:tc>
        <w:tc>
          <w:tcPr>
            <w:tcW w:w="1409" w:type="dxa"/>
          </w:tcPr>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25</w:t>
            </w:r>
            <w:r w:rsidRPr="00490741">
              <w:rPr>
                <w:rFonts w:asciiTheme="minorEastAsia" w:eastAsiaTheme="minorEastAsia" w:hAnsiTheme="minorEastAsia"/>
                <w:color w:val="000000" w:themeColor="text1"/>
                <w:szCs w:val="21"/>
              </w:rPr>
              <w:t>元</w:t>
            </w:r>
          </w:p>
        </w:tc>
        <w:tc>
          <w:tcPr>
            <w:tcW w:w="1457" w:type="dxa"/>
          </w:tcPr>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9,97</w:t>
            </w:r>
            <w:r w:rsidRPr="00490741">
              <w:rPr>
                <w:rFonts w:asciiTheme="minorEastAsia" w:eastAsiaTheme="minorEastAsia" w:hAnsiTheme="minorEastAsia" w:hint="eastAsia"/>
                <w:color w:val="000000" w:themeColor="text1"/>
                <w:szCs w:val="21"/>
              </w:rPr>
              <w:t>5</w:t>
            </w:r>
            <w:r w:rsidRPr="00490741">
              <w:rPr>
                <w:rFonts w:asciiTheme="minorEastAsia" w:eastAsiaTheme="minorEastAsia" w:hAnsiTheme="minorEastAsia"/>
                <w:color w:val="000000" w:themeColor="text1"/>
                <w:szCs w:val="21"/>
              </w:rPr>
              <w:t>元</w:t>
            </w:r>
          </w:p>
        </w:tc>
      </w:tr>
      <w:tr w:rsidTr="0002608C">
        <w:tblPrEx>
          <w:tblW w:w="8632" w:type="dxa"/>
          <w:jc w:val="center"/>
          <w:tblLayout w:type="fixed"/>
          <w:tblLook w:val="0160"/>
        </w:tblPrEx>
        <w:trPr>
          <w:jc w:val="center"/>
        </w:trPr>
        <w:tc>
          <w:tcPr>
            <w:tcW w:w="1243" w:type="dxa"/>
          </w:tcPr>
          <w:p w:rsidR="0002608C" w:rsidRPr="00490741" w:rsidP="00107648">
            <w:pPr>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10,000</w:t>
            </w:r>
          </w:p>
        </w:tc>
        <w:tc>
          <w:tcPr>
            <w:tcW w:w="1650" w:type="dxa"/>
          </w:tcPr>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1.00</w:t>
            </w:r>
            <w:r w:rsidRPr="00490741">
              <w:rPr>
                <w:rFonts w:asciiTheme="minorEastAsia" w:eastAsiaTheme="minorEastAsia" w:hAnsiTheme="minorEastAsia" w:hint="eastAsia"/>
                <w:color w:val="000000" w:themeColor="text1"/>
                <w:szCs w:val="21"/>
              </w:rPr>
              <w:t>00</w:t>
            </w:r>
            <w:r w:rsidRPr="00490741">
              <w:rPr>
                <w:rFonts w:asciiTheme="minorEastAsia" w:eastAsiaTheme="minorEastAsia" w:hAnsiTheme="minorEastAsia"/>
                <w:color w:val="000000" w:themeColor="text1"/>
                <w:szCs w:val="21"/>
              </w:rPr>
              <w:t>元</w:t>
            </w:r>
          </w:p>
        </w:tc>
        <w:tc>
          <w:tcPr>
            <w:tcW w:w="1436" w:type="dxa"/>
          </w:tcPr>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800</w:t>
            </w:r>
            <w:r w:rsidRPr="00490741">
              <w:rPr>
                <w:rFonts w:asciiTheme="minorEastAsia" w:eastAsiaTheme="minorEastAsia" w:hAnsiTheme="minorEastAsia" w:hint="eastAsia"/>
                <w:color w:val="000000" w:themeColor="text1"/>
                <w:szCs w:val="21"/>
              </w:rPr>
              <w:t>天</w:t>
            </w:r>
          </w:p>
        </w:tc>
        <w:tc>
          <w:tcPr>
            <w:tcW w:w="1437" w:type="dxa"/>
          </w:tcPr>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0%</w:t>
            </w:r>
          </w:p>
        </w:tc>
        <w:tc>
          <w:tcPr>
            <w:tcW w:w="1409" w:type="dxa"/>
          </w:tcPr>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0</w:t>
            </w:r>
          </w:p>
        </w:tc>
        <w:tc>
          <w:tcPr>
            <w:tcW w:w="1457" w:type="dxa"/>
          </w:tcPr>
          <w:p w:rsidR="0002608C" w:rsidRPr="00490741" w:rsidP="00107648">
            <w:pPr>
              <w:snapToGrid w:val="0"/>
              <w:spacing w:line="360" w:lineRule="auto"/>
              <w:ind w:firstLine="210" w:firstLineChars="1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10,000</w:t>
            </w:r>
            <w:r w:rsidRPr="00490741">
              <w:rPr>
                <w:rFonts w:asciiTheme="minorEastAsia" w:eastAsiaTheme="minorEastAsia" w:hAnsiTheme="minorEastAsia"/>
                <w:color w:val="000000" w:themeColor="text1"/>
                <w:szCs w:val="21"/>
              </w:rPr>
              <w:t>元</w:t>
            </w:r>
          </w:p>
        </w:tc>
      </w:tr>
    </w:tbl>
    <w:p w:rsidR="0002608C" w:rsidRPr="00490741" w:rsidP="00107648">
      <w:pPr>
        <w:pStyle w:val="a"/>
        <w:snapToGrid w:val="0"/>
        <w:spacing w:line="360" w:lineRule="auto"/>
        <w:ind w:firstLine="420" w:firstLineChars="200"/>
        <w:rPr>
          <w:rFonts w:asciiTheme="minorEastAsia" w:eastAsiaTheme="minorEastAsia" w:hAnsiTheme="minorEastAsia"/>
          <w:b/>
          <w:color w:val="000000" w:themeColor="text1"/>
          <w:szCs w:val="21"/>
        </w:rPr>
      </w:pPr>
      <w:r w:rsidRPr="00490741">
        <w:rPr>
          <w:rFonts w:asciiTheme="minorEastAsia" w:eastAsiaTheme="minorEastAsia" w:hAnsiTheme="minorEastAsia" w:hint="eastAsia"/>
          <w:color w:val="000000" w:themeColor="text1"/>
          <w:szCs w:val="21"/>
        </w:rPr>
        <w:t>赎回总额、赎回费以人民币元为单位，四舍五入，保留小数点后两位。</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3</w:t>
      </w:r>
      <w:r w:rsidRPr="00490741" w:rsidR="00C15CD6">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T</w:t>
      </w:r>
      <w:r w:rsidRPr="00490741">
        <w:rPr>
          <w:rFonts w:asciiTheme="minorEastAsia" w:eastAsiaTheme="minorEastAsia" w:hAnsiTheme="minorEastAsia" w:hint="eastAsia"/>
          <w:color w:val="000000" w:themeColor="text1"/>
          <w:szCs w:val="21"/>
        </w:rPr>
        <w:t>日的基金份额净值在当天收市后计算，并在</w:t>
      </w:r>
      <w:r w:rsidRPr="00490741">
        <w:rPr>
          <w:rFonts w:asciiTheme="minorEastAsia" w:eastAsiaTheme="minorEastAsia" w:hAnsiTheme="minorEastAsia" w:hint="eastAsia"/>
          <w:color w:val="000000" w:themeColor="text1"/>
          <w:szCs w:val="21"/>
        </w:rPr>
        <w:t>T+1</w:t>
      </w:r>
      <w:r w:rsidRPr="00490741">
        <w:rPr>
          <w:rFonts w:asciiTheme="minorEastAsia" w:eastAsiaTheme="minorEastAsia" w:hAnsiTheme="minorEastAsia" w:hint="eastAsia"/>
          <w:color w:val="000000" w:themeColor="text1"/>
          <w:szCs w:val="21"/>
        </w:rPr>
        <w:t>日内公告。遇特殊情况，可以适当延迟计算或公告。其计算公式为：</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基金份额净值</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计算日基金资产净值÷计算日基金总份额</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4</w:t>
      </w:r>
      <w:r w:rsidRPr="00490741" w:rsidR="00C15CD6">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本基金的申购费由申购人承担，不计入基金财产；本基金的赎回费由赎回人承担，赎回费的</w:t>
      </w:r>
      <w:r w:rsidRPr="00490741">
        <w:rPr>
          <w:rFonts w:asciiTheme="minorEastAsia" w:eastAsiaTheme="minorEastAsia" w:hAnsiTheme="minorEastAsia" w:hint="eastAsia"/>
          <w:color w:val="000000" w:themeColor="text1"/>
          <w:szCs w:val="21"/>
        </w:rPr>
        <w:t>25%</w:t>
      </w:r>
      <w:r w:rsidRPr="00490741">
        <w:rPr>
          <w:rFonts w:asciiTheme="minorEastAsia" w:eastAsiaTheme="minorEastAsia" w:hAnsiTheme="minorEastAsia" w:hint="eastAsia"/>
          <w:color w:val="000000" w:themeColor="text1"/>
          <w:szCs w:val="21"/>
        </w:rPr>
        <w:t>归入基金财产，余额为注册登记费和其他手续费。</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color w:val="000000" w:themeColor="text1"/>
          <w:szCs w:val="21"/>
        </w:rPr>
      </w:pPr>
      <w:bookmarkStart w:id="37" w:name="_Toc114237406"/>
      <w:r w:rsidRPr="00490741">
        <w:rPr>
          <w:rFonts w:asciiTheme="minorEastAsia" w:eastAsiaTheme="minorEastAsia" w:hAnsiTheme="minorEastAsia" w:hint="eastAsia"/>
          <w:b w:val="0"/>
          <w:color w:val="000000" w:themeColor="text1"/>
        </w:rPr>
        <w:t>（九）申购、赎回的注册登记</w:t>
      </w:r>
      <w:bookmarkEnd w:id="37"/>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sidR="00C15CD6">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投资者申购基金成功后，正常情况下，基金注册登记机构在</w:t>
      </w:r>
      <w:r w:rsidRPr="00490741">
        <w:rPr>
          <w:rFonts w:asciiTheme="minorEastAsia" w:eastAsiaTheme="minorEastAsia" w:hAnsiTheme="minorEastAsia" w:hint="eastAsia"/>
          <w:color w:val="000000" w:themeColor="text1"/>
          <w:szCs w:val="21"/>
        </w:rPr>
        <w:t>T+1</w:t>
      </w:r>
      <w:r w:rsidRPr="00490741">
        <w:rPr>
          <w:rFonts w:asciiTheme="minorEastAsia" w:eastAsiaTheme="minorEastAsia" w:hAnsiTheme="minorEastAsia" w:hint="eastAsia"/>
          <w:color w:val="000000" w:themeColor="text1"/>
          <w:szCs w:val="21"/>
        </w:rPr>
        <w:t>工作日为投资者增加权益并办理注册登记手续，投资者自</w:t>
      </w:r>
      <w:r w:rsidRPr="00490741">
        <w:rPr>
          <w:rFonts w:asciiTheme="minorEastAsia" w:eastAsiaTheme="minorEastAsia" w:hAnsiTheme="minorEastAsia" w:hint="eastAsia"/>
          <w:color w:val="000000" w:themeColor="text1"/>
          <w:szCs w:val="21"/>
        </w:rPr>
        <w:t>T+2</w:t>
      </w:r>
      <w:r w:rsidRPr="00490741">
        <w:rPr>
          <w:rFonts w:asciiTheme="minorEastAsia" w:eastAsiaTheme="minorEastAsia" w:hAnsiTheme="minorEastAsia" w:hint="eastAsia"/>
          <w:color w:val="000000" w:themeColor="text1"/>
          <w:szCs w:val="21"/>
        </w:rPr>
        <w:t>工作日起有权赎回该部分基金份额。</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sidR="00C15CD6">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投资者赎回基金成功后，正常情况下，基金注册登记机构在</w:t>
      </w:r>
      <w:r w:rsidRPr="00490741">
        <w:rPr>
          <w:rFonts w:asciiTheme="minorEastAsia" w:eastAsiaTheme="minorEastAsia" w:hAnsiTheme="minorEastAsia" w:hint="eastAsia"/>
          <w:color w:val="000000" w:themeColor="text1"/>
          <w:szCs w:val="21"/>
        </w:rPr>
        <w:t>T+1</w:t>
      </w:r>
      <w:r w:rsidRPr="00490741">
        <w:rPr>
          <w:rFonts w:asciiTheme="minorEastAsia" w:eastAsiaTheme="minorEastAsia" w:hAnsiTheme="minorEastAsia" w:hint="eastAsia"/>
          <w:color w:val="000000" w:themeColor="text1"/>
          <w:szCs w:val="21"/>
        </w:rPr>
        <w:t>工作日为投资者扣除权益并办理相应的注册登记手续。</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基金管理人可在法律法规允许的范围内，对上述注册登记办理时间进行调整，并最迟于开始实施前二个工作日予以公告。</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38" w:name="_Toc114237407"/>
      <w:r w:rsidRPr="00490741">
        <w:rPr>
          <w:rFonts w:asciiTheme="minorEastAsia" w:eastAsiaTheme="minorEastAsia" w:hAnsiTheme="minorEastAsia" w:hint="eastAsia"/>
          <w:b w:val="0"/>
          <w:color w:val="000000" w:themeColor="text1"/>
        </w:rPr>
        <w:t>（十）巨额赎回的认定及处理方式</w:t>
      </w:r>
      <w:bookmarkEnd w:id="38"/>
    </w:p>
    <w:p w:rsidR="0002608C" w:rsidRPr="00490741" w:rsidP="00107648">
      <w:pPr>
        <w:adjustRightInd w:val="0"/>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1</w:t>
      </w:r>
      <w:r w:rsidRPr="00490741" w:rsidR="00C15CD6">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巨额赎回的认定</w:t>
      </w:r>
    </w:p>
    <w:p w:rsidR="0002608C" w:rsidRPr="00490741" w:rsidP="00107648">
      <w:pPr>
        <w:adjustRightInd w:val="0"/>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本基金单个开放日，基金净赎回申请（赎回申请总数加上基金转换中转出申请份额总数后扣除申购申请总数及基金转换中转入申请份额总数后的余额）超过上一日基金总份额的</w:t>
      </w:r>
      <w:r w:rsidRPr="00490741">
        <w:rPr>
          <w:rFonts w:asciiTheme="minorEastAsia" w:eastAsiaTheme="minorEastAsia" w:hAnsiTheme="minorEastAsia"/>
          <w:color w:val="000000" w:themeColor="text1"/>
        </w:rPr>
        <w:t>10%</w:t>
      </w:r>
      <w:r w:rsidRPr="00490741">
        <w:rPr>
          <w:rFonts w:asciiTheme="minorEastAsia" w:eastAsiaTheme="minorEastAsia" w:hAnsiTheme="minorEastAsia" w:hint="eastAsia"/>
          <w:color w:val="000000" w:themeColor="text1"/>
        </w:rPr>
        <w:t>时，即认为发生了巨额赎回。</w:t>
      </w:r>
    </w:p>
    <w:p w:rsidR="0002608C" w:rsidRPr="00490741" w:rsidP="00107648">
      <w:pPr>
        <w:adjustRightInd w:val="0"/>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2</w:t>
      </w:r>
      <w:r w:rsidRPr="00490741" w:rsidR="00C15CD6">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巨额赎回的处理方式</w:t>
      </w:r>
    </w:p>
    <w:p w:rsidR="0002608C" w:rsidRPr="00490741" w:rsidP="00107648">
      <w:pPr>
        <w:adjustRightInd w:val="0"/>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当出现巨额赎回时，基金管理人可以根据该基金当时的资产组合状况决定全额赎回或部分顺延赎回。</w:t>
      </w:r>
    </w:p>
    <w:p w:rsidR="0002608C" w:rsidRPr="00490741" w:rsidP="00107648">
      <w:pPr>
        <w:adjustRightInd w:val="0"/>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1</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全额赎回：当基金管理人认为有能力支付投资者的赎回申请时，按正常赎回程序执行。</w:t>
      </w:r>
    </w:p>
    <w:p w:rsidR="0002608C" w:rsidRPr="00490741" w:rsidP="00107648">
      <w:pPr>
        <w:adjustRightInd w:val="0"/>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2</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部分顺延赎回：当基金管理人认为支付投资者的赎回申请有困难或认为支付投资者的赎回申请可能会对该基金的资产净值造成较大波动时</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基金管理人可在当日接受赎回比例不低于该基金总份额的</w:t>
      </w:r>
      <w:r w:rsidRPr="00490741">
        <w:rPr>
          <w:rFonts w:asciiTheme="minorEastAsia" w:eastAsiaTheme="minorEastAsia" w:hAnsiTheme="minorEastAsia"/>
          <w:color w:val="000000" w:themeColor="text1"/>
        </w:rPr>
        <w:t>10%</w:t>
      </w:r>
      <w:r w:rsidRPr="00490741">
        <w:rPr>
          <w:rFonts w:asciiTheme="minorEastAsia" w:eastAsiaTheme="minorEastAsia" w:hAnsiTheme="minorEastAsia"/>
          <w:color w:val="000000" w:themeColor="text1"/>
        </w:rPr>
        <w:t>的前提下</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对其余赎回申请延期办理。对于当日的赎回申请</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应当按单个帐户赎回申请量占赎回申请总量的比例</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确定其当日受理的赎回份额；投资者的</w:t>
      </w:r>
      <w:r w:rsidRPr="00490741">
        <w:rPr>
          <w:rFonts w:asciiTheme="minorEastAsia" w:eastAsiaTheme="minorEastAsia" w:hAnsiTheme="minorEastAsia"/>
          <w:color w:val="000000" w:themeColor="text1"/>
        </w:rPr>
        <w:t>赎回申请未能受理部分</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除投资者在提交赎回申请时明确作出不参加顺延下一个开放日赎回的表示外</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将自动顺延至下一个开放日赎回处理。转入下一个开放日的赎回不享有赎回优先权并将以下一个开放日的基金单位净值为准进行计算</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以此类推</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直到其赎回申请全部得到满足为止。投资者在提出赎回申请时也可选择将当日未获受理部分予以撤销。</w:t>
      </w:r>
    </w:p>
    <w:p w:rsidR="002112A0" w:rsidRPr="00490741" w:rsidP="00107648">
      <w:pPr>
        <w:adjustRightInd w:val="0"/>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若本基金发</w:t>
      </w:r>
      <w:r w:rsidRPr="00490741">
        <w:rPr>
          <w:rFonts w:asciiTheme="minorEastAsia" w:eastAsiaTheme="minorEastAsia" w:hAnsiTheme="minorEastAsia" w:hint="eastAsia"/>
          <w:color w:val="000000" w:themeColor="text1"/>
        </w:rPr>
        <w:t>生巨额赎回且单个基金份额持有人的赎回申请超过上一开放日基金总份额</w:t>
      </w:r>
      <w:r w:rsidRPr="00490741">
        <w:rPr>
          <w:rFonts w:asciiTheme="minorEastAsia" w:eastAsiaTheme="minorEastAsia" w:hAnsiTheme="minorEastAsia" w:hint="eastAsia"/>
          <w:color w:val="000000" w:themeColor="text1"/>
        </w:rPr>
        <w:t>10%</w:t>
      </w:r>
      <w:r w:rsidRPr="00490741">
        <w:rPr>
          <w:rFonts w:asciiTheme="minorEastAsia" w:eastAsiaTheme="minorEastAsia" w:hAnsiTheme="minorEastAsia" w:hint="eastAsia"/>
          <w:color w:val="000000" w:themeColor="text1"/>
        </w:rPr>
        <w:t>的，基金管理人有权对该单个基金份额持有人超出该比例的赎回申请实施延期办理，对该单个基金份额持有人剩余赎回申请与其他账户赎回申请按前述条款处理。</w:t>
      </w:r>
    </w:p>
    <w:p w:rsidR="0002608C" w:rsidRPr="00490741" w:rsidP="00107648">
      <w:pPr>
        <w:adjustRightInd w:val="0"/>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w:t>
      </w:r>
      <w:r w:rsidRPr="00490741">
        <w:rPr>
          <w:rFonts w:asciiTheme="minorEastAsia" w:eastAsiaTheme="minorEastAsia" w:hAnsiTheme="minorEastAsia" w:hint="eastAsia"/>
          <w:color w:val="000000" w:themeColor="text1"/>
        </w:rPr>
        <w:t>3</w:t>
      </w:r>
      <w:r w:rsidRPr="00490741">
        <w:rPr>
          <w:rFonts w:asciiTheme="minorEastAsia" w:eastAsiaTheme="minorEastAsia" w:hAnsiTheme="minorEastAsia"/>
          <w:color w:val="000000" w:themeColor="text1"/>
        </w:rPr>
        <w:t>）</w:t>
      </w:r>
      <w:r w:rsidRPr="00490741" w:rsidR="00DE5F25">
        <w:rPr>
          <w:rFonts w:asciiTheme="minorEastAsia" w:eastAsiaTheme="minorEastAsia" w:hAnsiTheme="minorEastAsia" w:hint="eastAsia"/>
          <w:color w:val="000000" w:themeColor="text1"/>
        </w:rPr>
        <w:t>当发生上述巨额赎回并延期办理时，基金管理人应当通过邮寄、传真或者招募说明书规定的其他方式在3个交易日内通知基金份额持有人，说明有关处理方法，并在2日内在指定媒介上刊登公告。</w:t>
      </w:r>
    </w:p>
    <w:p w:rsidR="0002608C" w:rsidRPr="00490741" w:rsidP="00107648">
      <w:pPr>
        <w:adjustRightInd w:val="0"/>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4</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本基金连续两日以上</w:t>
      </w: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含本数</w:t>
      </w: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发生巨额赎回时</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如基金管理人认为有必要</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可暂停接受赎回和转出申请；已经接受的赎回申请</w:t>
      </w:r>
      <w:r w:rsidRPr="00490741">
        <w:rPr>
          <w:rFonts w:asciiTheme="minorEastAsia" w:eastAsiaTheme="minorEastAsia" w:hAnsiTheme="minorEastAsia"/>
          <w:color w:val="000000" w:themeColor="text1"/>
        </w:rPr>
        <w:t>可以延缓支付赎回款项</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但不得超过正常支付时间</w:t>
      </w:r>
      <w:r w:rsidRPr="00490741">
        <w:rPr>
          <w:rFonts w:asciiTheme="minorEastAsia" w:eastAsiaTheme="minorEastAsia" w:hAnsiTheme="minorEastAsia"/>
          <w:color w:val="000000" w:themeColor="text1"/>
        </w:rPr>
        <w:t>20</w:t>
      </w:r>
      <w:r w:rsidRPr="00490741">
        <w:rPr>
          <w:rFonts w:asciiTheme="minorEastAsia" w:eastAsiaTheme="minorEastAsia" w:hAnsiTheme="minorEastAsia"/>
          <w:color w:val="000000" w:themeColor="text1"/>
        </w:rPr>
        <w:t>个工作日</w:t>
      </w:r>
      <w:r w:rsidRPr="00490741">
        <w:rPr>
          <w:rFonts w:asciiTheme="minorEastAsia" w:eastAsiaTheme="minorEastAsia" w:hAnsiTheme="minorEastAsia" w:hint="eastAsia"/>
          <w:color w:val="000000" w:themeColor="text1"/>
        </w:rPr>
        <w:t>，并应当在</w:t>
      </w:r>
      <w:r w:rsidRPr="00490741" w:rsidR="00DE5F25">
        <w:rPr>
          <w:rFonts w:asciiTheme="minorEastAsia" w:eastAsiaTheme="minorEastAsia" w:hAnsiTheme="minorEastAsia" w:hint="eastAsia"/>
          <w:color w:val="000000" w:themeColor="text1"/>
        </w:rPr>
        <w:t>指定媒介</w:t>
      </w:r>
      <w:r w:rsidRPr="00490741">
        <w:rPr>
          <w:rFonts w:asciiTheme="minorEastAsia" w:eastAsiaTheme="minorEastAsia" w:hAnsiTheme="minorEastAsia" w:hint="eastAsia"/>
          <w:color w:val="000000" w:themeColor="text1"/>
        </w:rPr>
        <w:t>上公告。</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39" w:name="_Toc114237408"/>
      <w:r w:rsidRPr="00490741">
        <w:rPr>
          <w:rFonts w:asciiTheme="minorEastAsia" w:eastAsiaTheme="minorEastAsia" w:hAnsiTheme="minorEastAsia" w:hint="eastAsia"/>
          <w:b w:val="0"/>
          <w:color w:val="000000" w:themeColor="text1"/>
        </w:rPr>
        <w:t>（十一）拒绝或暂停申购、赎回的情形及处理方式</w:t>
      </w:r>
      <w:bookmarkEnd w:id="39"/>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1</w:t>
      </w:r>
      <w:r w:rsidRPr="00490741" w:rsidR="00C15CD6">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除出现如下情形，基金管理人不得拒绝或暂停接受基金投资者的申购申请：</w:t>
      </w:r>
    </w:p>
    <w:p w:rsidR="0002608C" w:rsidRPr="00490741" w:rsidP="00107648">
      <w:pPr>
        <w:snapToGrid w:val="0"/>
        <w:spacing w:line="360" w:lineRule="auto"/>
        <w:ind w:left="420" w:leftChars="20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）不可抗力的原因导致基金无法正常运作；</w:t>
      </w:r>
    </w:p>
    <w:p w:rsidR="0002608C" w:rsidRPr="00490741" w:rsidP="00107648">
      <w:pPr>
        <w:snapToGrid w:val="0"/>
        <w:spacing w:line="360" w:lineRule="auto"/>
        <w:ind w:left="420" w:left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2</w:t>
      </w:r>
      <w:r w:rsidRPr="00490741">
        <w:rPr>
          <w:rFonts w:asciiTheme="minorEastAsia" w:eastAsiaTheme="minorEastAsia" w:hAnsiTheme="minorEastAsia" w:hint="eastAsia"/>
          <w:color w:val="000000" w:themeColor="text1"/>
        </w:rPr>
        <w:t>）证券交易场所在交易时间非正常停市，导致当日基金资产净值无法计算；</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3</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基金资产规模过大，使基金管理人无法找到合适的投资品种，或可能对基金业绩产生负面影响，从而损害现有基金份额持有人的利益；</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4</w:t>
      </w:r>
      <w:r w:rsidRPr="00490741">
        <w:rPr>
          <w:rFonts w:asciiTheme="minorEastAsia" w:eastAsiaTheme="minorEastAsia" w:hAnsiTheme="minorEastAsia" w:hint="eastAsia"/>
          <w:color w:val="000000" w:themeColor="text1"/>
        </w:rPr>
        <w:t>）基金管理人认为会有损于现有基金份额持有人利益的某笔申购；</w:t>
      </w:r>
    </w:p>
    <w:p w:rsidR="00E56C3D" w:rsidRPr="00490741" w:rsidP="00E56C3D">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5</w:t>
      </w:r>
      <w:r w:rsidRPr="00490741">
        <w:rPr>
          <w:rFonts w:asciiTheme="minorEastAsia" w:eastAsiaTheme="minorEastAsia" w:hAnsiTheme="minorEastAsia" w:hint="eastAsia"/>
          <w:color w:val="000000" w:themeColor="text1"/>
        </w:rPr>
        <w:t>）基金管理人接受某笔或者某些申购申请有可能导致单一投资者持有基金份额的比例达到或者超过</w:t>
      </w:r>
      <w:r w:rsidRPr="00490741">
        <w:rPr>
          <w:rFonts w:asciiTheme="minorEastAsia" w:eastAsiaTheme="minorEastAsia" w:hAnsiTheme="minorEastAsia" w:hint="eastAsia"/>
          <w:color w:val="000000" w:themeColor="text1"/>
        </w:rPr>
        <w:t>50%</w:t>
      </w:r>
      <w:r w:rsidRPr="00490741">
        <w:rPr>
          <w:rFonts w:asciiTheme="minorEastAsia" w:eastAsiaTheme="minorEastAsia" w:hAnsiTheme="minorEastAsia" w:hint="eastAsia"/>
          <w:color w:val="000000" w:themeColor="text1"/>
        </w:rPr>
        <w:t>，或者变相规避</w:t>
      </w:r>
      <w:r w:rsidRPr="00490741">
        <w:rPr>
          <w:rFonts w:asciiTheme="minorEastAsia" w:eastAsiaTheme="minorEastAsia" w:hAnsiTheme="minorEastAsia" w:hint="eastAsia"/>
          <w:color w:val="000000" w:themeColor="text1"/>
        </w:rPr>
        <w:t>50%</w:t>
      </w:r>
      <w:r w:rsidRPr="00490741">
        <w:rPr>
          <w:rFonts w:asciiTheme="minorEastAsia" w:eastAsiaTheme="minorEastAsia" w:hAnsiTheme="minorEastAsia" w:hint="eastAsia"/>
          <w:color w:val="000000" w:themeColor="text1"/>
        </w:rPr>
        <w:t>集中度的情形时。</w:t>
      </w:r>
    </w:p>
    <w:p w:rsidR="00E56C3D" w:rsidRPr="00490741" w:rsidP="00E56C3D">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6</w:t>
      </w:r>
      <w:r w:rsidRPr="00490741">
        <w:rPr>
          <w:rFonts w:asciiTheme="minorEastAsia" w:eastAsiaTheme="minorEastAsia" w:hAnsiTheme="minorEastAsia" w:hint="eastAsia"/>
          <w:color w:val="000000" w:themeColor="text1"/>
        </w:rPr>
        <w:t>）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E56C3D" w:rsidRPr="00490741" w:rsidP="00E56C3D">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7</w:t>
      </w:r>
      <w:r w:rsidRPr="00490741">
        <w:rPr>
          <w:rFonts w:asciiTheme="minorEastAsia" w:eastAsiaTheme="minorEastAsia" w:hAnsiTheme="minorEastAsia" w:hint="eastAsia"/>
          <w:color w:val="000000" w:themeColor="text1"/>
        </w:rPr>
        <w:t>）当前一估值日基金资产净值</w:t>
      </w:r>
      <w:r w:rsidRPr="00490741">
        <w:rPr>
          <w:rFonts w:asciiTheme="minorEastAsia" w:eastAsiaTheme="minorEastAsia" w:hAnsiTheme="minorEastAsia" w:hint="eastAsia"/>
          <w:color w:val="000000" w:themeColor="text1"/>
        </w:rPr>
        <w:t>50%</w:t>
      </w:r>
      <w:r w:rsidRPr="00490741">
        <w:rPr>
          <w:rFonts w:asciiTheme="minorEastAsia" w:eastAsiaTheme="minorEastAsia" w:hAnsiTheme="minorEastAsia" w:hint="eastAsia"/>
          <w:color w:val="000000" w:themeColor="text1"/>
        </w:rPr>
        <w:t>以上的资产出现无可参考的活跃市场价格且采用</w:t>
      </w:r>
      <w:r w:rsidRPr="00490741">
        <w:rPr>
          <w:rFonts w:asciiTheme="minorEastAsia" w:eastAsiaTheme="minorEastAsia" w:hAnsiTheme="minorEastAsia" w:hint="eastAsia"/>
          <w:color w:val="000000" w:themeColor="text1"/>
        </w:rPr>
        <w:t>估值技术仍导致公允价值存在重大不确定性时，经与基金托管人协商确认后，基金管理人应当采取暂停接受基金申购申请的措施。</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8</w:t>
      </w:r>
      <w:r w:rsidRPr="00490741">
        <w:rPr>
          <w:rFonts w:asciiTheme="minorEastAsia" w:eastAsiaTheme="minorEastAsia" w:hAnsiTheme="minorEastAsia" w:hint="eastAsia"/>
          <w:color w:val="000000" w:themeColor="text1"/>
        </w:rPr>
        <w:t>）法律法规规定或中国证监会认定的其他可暂停申购的情形。</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发生上述情形之一且基金管理人决定暂停或拒绝基金投资者的申购申请的，申购款项将全额退还投资者。</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基金管理人拒绝或暂停接受申购的方式包括：</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1</w:t>
      </w:r>
      <w:r w:rsidRPr="00490741">
        <w:rPr>
          <w:rFonts w:asciiTheme="minorEastAsia" w:eastAsiaTheme="minorEastAsia" w:hAnsiTheme="minorEastAsia" w:hint="eastAsia"/>
          <w:color w:val="000000" w:themeColor="text1"/>
        </w:rPr>
        <w:t>）拒绝接受、暂停接受某笔或某数笔申购申请；</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2</w:t>
      </w:r>
      <w:r w:rsidRPr="00490741">
        <w:rPr>
          <w:rFonts w:asciiTheme="minorEastAsia" w:eastAsiaTheme="minorEastAsia" w:hAnsiTheme="minorEastAsia" w:hint="eastAsia"/>
          <w:color w:val="000000" w:themeColor="text1"/>
        </w:rPr>
        <w:t>）拒绝接受、暂停接受某个或某数个工作日的全部申购申请；</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3</w:t>
      </w:r>
      <w:r w:rsidRPr="00490741">
        <w:rPr>
          <w:rFonts w:asciiTheme="minorEastAsia" w:eastAsiaTheme="minorEastAsia" w:hAnsiTheme="minorEastAsia" w:hint="eastAsia"/>
          <w:color w:val="000000" w:themeColor="text1"/>
        </w:rPr>
        <w:t>）按比例拒绝接受、暂停接受某个或某数个工作日的申购申请。</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2</w:t>
      </w:r>
      <w:r w:rsidRPr="00490741" w:rsidR="00C15CD6">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除下列情形外，基金管理人不得拒绝接受或暂停接受投资者的赎回申请：</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1</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不可抗力的原因导致基金无法正常运作；</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2</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证券交易场所交易时间非正常停市；</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3</w:t>
      </w:r>
      <w:r w:rsidRPr="00490741">
        <w:rPr>
          <w:rFonts w:asciiTheme="minorEastAsia" w:eastAsiaTheme="minorEastAsia" w:hAnsiTheme="minorEastAsia"/>
          <w:color w:val="000000" w:themeColor="text1"/>
        </w:rPr>
        <w:t>）因市场剧烈波动或其它原因而出现连续巨额赎回，导致本基金的现金支付出现困难；</w:t>
      </w:r>
    </w:p>
    <w:p w:rsidR="00E56C3D"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w:t>
      </w:r>
      <w:r w:rsidRPr="00490741">
        <w:rPr>
          <w:rFonts w:asciiTheme="minorEastAsia" w:eastAsiaTheme="minorEastAsia" w:hAnsiTheme="minorEastAsia" w:hint="eastAsia"/>
          <w:color w:val="000000" w:themeColor="text1"/>
        </w:rPr>
        <w:t>4</w:t>
      </w:r>
      <w:r w:rsidRPr="00490741">
        <w:rPr>
          <w:rFonts w:asciiTheme="minorEastAsia" w:eastAsiaTheme="minorEastAsia" w:hAnsiTheme="minorEastAsia"/>
          <w:color w:val="000000" w:themeColor="text1"/>
        </w:rPr>
        <w:t>）</w:t>
      </w:r>
      <w:r w:rsidRPr="00490741">
        <w:rPr>
          <w:rFonts w:asciiTheme="minorEastAsia" w:eastAsiaTheme="minorEastAsia" w:hAnsiTheme="minorEastAsia" w:hint="eastAsia"/>
          <w:color w:val="000000" w:themeColor="text1"/>
        </w:rPr>
        <w:t>当前一估值日基金资产净值</w:t>
      </w:r>
      <w:r w:rsidRPr="00490741">
        <w:rPr>
          <w:rFonts w:asciiTheme="minorEastAsia" w:eastAsiaTheme="minorEastAsia" w:hAnsiTheme="minorEastAsia" w:hint="eastAsia"/>
          <w:color w:val="000000" w:themeColor="text1"/>
        </w:rPr>
        <w:t>50%</w:t>
      </w:r>
      <w:r w:rsidRPr="00490741">
        <w:rPr>
          <w:rFonts w:asciiTheme="minorEastAsia" w:eastAsiaTheme="minorEastAsia" w:hAnsiTheme="minorEastAsia" w:hint="eastAsia"/>
          <w:color w:val="000000" w:themeColor="text1"/>
        </w:rPr>
        <w:t>以上的资产出现无可参考的活跃市场价格且采用估值技术仍导致公允价值存在重大不确定性时，经与基金托管人协商确认后，基金管理人应当采取延缓支付赎回款项或暂停接受基金赎回申请的措施；</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5</w:t>
      </w:r>
      <w:r w:rsidRPr="00490741">
        <w:rPr>
          <w:rFonts w:asciiTheme="minorEastAsia" w:eastAsiaTheme="minorEastAsia" w:hAnsiTheme="minorEastAsia"/>
          <w:color w:val="000000" w:themeColor="text1"/>
        </w:rPr>
        <w:t>）法律、法规规定或中国证监会认定的其它情形。</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发生上述情形之一的</w:t>
      </w:r>
      <w:r w:rsidRPr="00490741">
        <w:rPr>
          <w:rFonts w:asciiTheme="minorEastAsia" w:eastAsiaTheme="minorEastAsia" w:hAnsiTheme="minorEastAsia" w:hint="eastAsia"/>
          <w:color w:val="000000" w:themeColor="text1"/>
        </w:rPr>
        <w:t>，基金管理人应立即向中国证监会备案。已接受的赎回申请，基金管理人将足额支付；如暂时不能支付时，将按每个赎回申请人已被接受的赎回申请量占已接受赎回申请总量的比例分配给赎回申请人，其余部分</w:t>
      </w:r>
      <w:r w:rsidRPr="00490741">
        <w:rPr>
          <w:rFonts w:asciiTheme="minorEastAsia" w:eastAsiaTheme="minorEastAsia" w:hAnsiTheme="minorEastAsia"/>
          <w:color w:val="000000" w:themeColor="text1"/>
        </w:rPr>
        <w:t>由基金管理人按照相应的处理办法在后续开放日予以</w:t>
      </w:r>
      <w:r w:rsidRPr="00490741">
        <w:rPr>
          <w:rFonts w:asciiTheme="minorEastAsia" w:eastAsiaTheme="minorEastAsia" w:hAnsiTheme="minorEastAsia" w:hint="eastAsia"/>
          <w:color w:val="000000" w:themeColor="text1"/>
        </w:rPr>
        <w:t>兑</w:t>
      </w:r>
      <w:r w:rsidRPr="00490741">
        <w:rPr>
          <w:rFonts w:asciiTheme="minorEastAsia" w:eastAsiaTheme="minorEastAsia" w:hAnsiTheme="minorEastAsia"/>
          <w:color w:val="000000" w:themeColor="text1"/>
        </w:rPr>
        <w:t>付</w:t>
      </w:r>
      <w:r w:rsidRPr="00490741">
        <w:rPr>
          <w:rFonts w:asciiTheme="minorEastAsia" w:eastAsiaTheme="minorEastAsia" w:hAnsiTheme="minorEastAsia" w:hint="eastAsia"/>
          <w:color w:val="000000" w:themeColor="text1"/>
        </w:rPr>
        <w:t>。</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3</w:t>
      </w:r>
      <w:r w:rsidRPr="00490741" w:rsidR="00C15CD6">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基金暂停申购、赎回，基金管理人</w:t>
      </w:r>
      <w:r w:rsidRPr="00490741">
        <w:rPr>
          <w:rFonts w:asciiTheme="minorEastAsia" w:eastAsiaTheme="minorEastAsia" w:hAnsiTheme="minorEastAsia" w:hint="eastAsia"/>
          <w:color w:val="000000" w:themeColor="text1"/>
          <w:szCs w:val="21"/>
        </w:rPr>
        <w:t>应立即</w:t>
      </w:r>
      <w:r w:rsidRPr="00490741">
        <w:rPr>
          <w:rFonts w:asciiTheme="minorEastAsia" w:eastAsiaTheme="minorEastAsia" w:hAnsiTheme="minorEastAsia"/>
          <w:color w:val="000000" w:themeColor="text1"/>
          <w:szCs w:val="21"/>
        </w:rPr>
        <w:t>在</w:t>
      </w:r>
      <w:r w:rsidRPr="00490741" w:rsidR="008E5383">
        <w:rPr>
          <w:rFonts w:asciiTheme="minorEastAsia" w:eastAsiaTheme="minorEastAsia" w:hAnsiTheme="minorEastAsia" w:hint="eastAsia"/>
          <w:color w:val="000000" w:themeColor="text1"/>
          <w:szCs w:val="21"/>
        </w:rPr>
        <w:t>指定媒介</w:t>
      </w:r>
      <w:r w:rsidRPr="00490741">
        <w:rPr>
          <w:rFonts w:asciiTheme="minorEastAsia" w:eastAsiaTheme="minorEastAsia" w:hAnsiTheme="minorEastAsia" w:hint="eastAsia"/>
          <w:color w:val="000000" w:themeColor="text1"/>
          <w:szCs w:val="21"/>
        </w:rPr>
        <w:t>上</w:t>
      </w:r>
      <w:r w:rsidRPr="00490741">
        <w:rPr>
          <w:rFonts w:asciiTheme="minorEastAsia" w:eastAsiaTheme="minorEastAsia" w:hAnsiTheme="minorEastAsia"/>
          <w:color w:val="000000" w:themeColor="text1"/>
          <w:szCs w:val="21"/>
        </w:rPr>
        <w:t>公告。</w:t>
      </w:r>
      <w:r w:rsidRPr="00490741">
        <w:rPr>
          <w:rFonts w:asciiTheme="minorEastAsia" w:eastAsiaTheme="minorEastAsia" w:hAnsiTheme="minorEastAsia" w:hint="eastAsia"/>
          <w:color w:val="000000" w:themeColor="text1"/>
          <w:szCs w:val="21"/>
        </w:rPr>
        <w:t>暂停期间结束基金重新开放时，基金管理人应当公告最新的基金份额净值。</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如果发生暂停的时间为</w:t>
      </w:r>
      <w:r w:rsidRPr="00490741">
        <w:rPr>
          <w:rFonts w:asciiTheme="minorEastAsia" w:eastAsiaTheme="minorEastAsia" w:hAnsiTheme="minorEastAsia"/>
          <w:color w:val="000000" w:themeColor="text1"/>
          <w:szCs w:val="21"/>
        </w:rPr>
        <w:t>1</w:t>
      </w:r>
      <w:r w:rsidRPr="00490741">
        <w:rPr>
          <w:rFonts w:asciiTheme="minorEastAsia" w:eastAsiaTheme="minorEastAsia" w:hAnsiTheme="minorEastAsia" w:hint="eastAsia"/>
          <w:color w:val="000000" w:themeColor="text1"/>
          <w:szCs w:val="21"/>
        </w:rPr>
        <w:t>天，基金管理人应于重新开放日在</w:t>
      </w:r>
      <w:r w:rsidRPr="00490741" w:rsidR="008E5383">
        <w:rPr>
          <w:rFonts w:asciiTheme="minorEastAsia" w:eastAsiaTheme="minorEastAsia" w:hAnsiTheme="minorEastAsia" w:hint="eastAsia"/>
          <w:color w:val="000000" w:themeColor="text1"/>
          <w:szCs w:val="21"/>
        </w:rPr>
        <w:t>指定媒介</w:t>
      </w:r>
      <w:r w:rsidRPr="00490741">
        <w:rPr>
          <w:rFonts w:asciiTheme="minorEastAsia" w:eastAsiaTheme="minorEastAsia" w:hAnsiTheme="minorEastAsia" w:hint="eastAsia"/>
          <w:color w:val="000000" w:themeColor="text1"/>
          <w:szCs w:val="21"/>
        </w:rPr>
        <w:t>刊登基金重新开放申购或赎回的公告并公告最新的基金份额净值。</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如果发生暂停的时间超过</w:t>
      </w:r>
      <w:r w:rsidRPr="00490741">
        <w:rPr>
          <w:rFonts w:asciiTheme="minorEastAsia" w:eastAsiaTheme="minorEastAsia" w:hAnsiTheme="minorEastAsia"/>
          <w:color w:val="000000" w:themeColor="text1"/>
          <w:szCs w:val="21"/>
        </w:rPr>
        <w:t>1</w:t>
      </w:r>
      <w:r w:rsidRPr="00490741">
        <w:rPr>
          <w:rFonts w:asciiTheme="minorEastAsia" w:eastAsiaTheme="minorEastAsia" w:hAnsiTheme="minorEastAsia" w:hint="eastAsia"/>
          <w:color w:val="000000" w:themeColor="text1"/>
          <w:szCs w:val="21"/>
        </w:rPr>
        <w:t>天但少于两周，暂停结束基金重新开放申购或赎回时，基金管理人应提前</w:t>
      </w:r>
      <w:r w:rsidRPr="00490741">
        <w:rPr>
          <w:rFonts w:asciiTheme="minorEastAsia" w:eastAsiaTheme="minorEastAsia" w:hAnsiTheme="minorEastAsia"/>
          <w:color w:val="000000" w:themeColor="text1"/>
          <w:szCs w:val="21"/>
        </w:rPr>
        <w:t>1</w:t>
      </w:r>
      <w:r w:rsidRPr="00490741">
        <w:rPr>
          <w:rFonts w:asciiTheme="minorEastAsia" w:eastAsiaTheme="minorEastAsia" w:hAnsiTheme="minorEastAsia" w:hint="eastAsia"/>
          <w:color w:val="000000" w:themeColor="text1"/>
          <w:szCs w:val="21"/>
        </w:rPr>
        <w:t>个工作日在</w:t>
      </w:r>
      <w:r w:rsidRPr="00490741" w:rsidR="008E5383">
        <w:rPr>
          <w:rFonts w:asciiTheme="minorEastAsia" w:eastAsiaTheme="minorEastAsia" w:hAnsiTheme="minorEastAsia" w:hint="eastAsia"/>
          <w:color w:val="000000" w:themeColor="text1"/>
          <w:szCs w:val="21"/>
        </w:rPr>
        <w:t>指定媒介</w:t>
      </w:r>
      <w:r w:rsidRPr="00490741">
        <w:rPr>
          <w:rFonts w:asciiTheme="minorEastAsia" w:eastAsiaTheme="minorEastAsia" w:hAnsiTheme="minorEastAsia" w:hint="eastAsia"/>
          <w:color w:val="000000" w:themeColor="text1"/>
          <w:szCs w:val="21"/>
        </w:rPr>
        <w:t>刊登基金重新开放申购或赎回的公告，并在重新开放申购或赎回日公告最新的基金份额净值。</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如果发生暂停的时间超过两周，暂停期间，基金管理人应每两周至少重复刊登暂停公告一次；当连续暂停时间超过两个月时，可对重复刊登暂停公告的频率进行调整。暂停结束基金重新开放申购或赎回时，基金管理人应提前</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个工作日在</w:t>
      </w:r>
      <w:r w:rsidRPr="00490741" w:rsidR="00DE5F25">
        <w:rPr>
          <w:rFonts w:asciiTheme="minorEastAsia" w:eastAsiaTheme="minorEastAsia" w:hAnsiTheme="minorEastAsia" w:hint="eastAsia"/>
          <w:color w:val="000000" w:themeColor="text1"/>
          <w:szCs w:val="21"/>
        </w:rPr>
        <w:t>指定媒介</w:t>
      </w:r>
      <w:r w:rsidRPr="00490741">
        <w:rPr>
          <w:rFonts w:asciiTheme="minorEastAsia" w:eastAsiaTheme="minorEastAsia" w:hAnsiTheme="minorEastAsia" w:hint="eastAsia"/>
          <w:color w:val="000000" w:themeColor="text1"/>
          <w:szCs w:val="21"/>
        </w:rPr>
        <w:t>连续刊登基金重新开放申购或赎回的公告，并在重新开放申购或赎回日公告最新的基金份额净值。</w:t>
      </w:r>
    </w:p>
    <w:p w:rsidR="00E1094C" w:rsidRPr="00490741" w:rsidP="00107648">
      <w:pPr>
        <w:snapToGrid w:val="0"/>
        <w:spacing w:line="360" w:lineRule="auto"/>
        <w:ind w:firstLine="420"/>
        <w:rPr>
          <w:rFonts w:asciiTheme="minorEastAsia" w:eastAsiaTheme="minorEastAsia" w:hAnsiTheme="minorEastAsia"/>
          <w:color w:val="000000" w:themeColor="text1"/>
          <w:szCs w:val="21"/>
        </w:rPr>
        <w:sectPr w:rsidSect="0035472D">
          <w:pgSz w:w="11906" w:h="16838" w:code="9"/>
          <w:pgMar w:top="1440" w:right="1800" w:bottom="1440" w:left="1800" w:header="851" w:footer="992" w:gutter="0"/>
          <w:cols w:space="425"/>
          <w:docGrid w:type="lines" w:linePitch="312"/>
        </w:sectPr>
      </w:pPr>
    </w:p>
    <w:p w:rsidR="0002608C" w:rsidRPr="00490741" w:rsidP="00107648">
      <w:pPr>
        <w:pStyle w:val="Heading1"/>
        <w:snapToGrid w:val="0"/>
        <w:spacing w:beforeLines="0" w:afterLines="0" w:line="360" w:lineRule="auto"/>
        <w:ind w:firstLine="643"/>
        <w:rPr>
          <w:rFonts w:asciiTheme="minorEastAsia" w:eastAsiaTheme="minorEastAsia" w:hAnsiTheme="minorEastAsia"/>
          <w:b/>
          <w:bCs/>
          <w:color w:val="000000" w:themeColor="text1"/>
        </w:rPr>
      </w:pPr>
      <w:bookmarkStart w:id="40" w:name="_Toc91334992"/>
      <w:bookmarkStart w:id="41" w:name="_Toc114237409"/>
      <w:r w:rsidRPr="00490741">
        <w:rPr>
          <w:rFonts w:asciiTheme="minorEastAsia" w:eastAsiaTheme="minorEastAsia" w:hAnsiTheme="minorEastAsia" w:hint="eastAsia"/>
          <w:b/>
          <w:bCs/>
          <w:color w:val="000000" w:themeColor="text1"/>
        </w:rPr>
        <w:t>九、基金转换</w:t>
      </w:r>
      <w:bookmarkEnd w:id="40"/>
      <w:bookmarkEnd w:id="41"/>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szCs w:val="21"/>
        </w:rPr>
        <w:t>基金转换是指基金份额持有人按基金管理人规定的条件将其持有的某一基金的基金份额转为同一基金管理人管理的另一只基金的基金份额的行为。</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sz w:val="24"/>
        </w:rPr>
      </w:pPr>
      <w:bookmarkStart w:id="42" w:name="_Toc114237410"/>
      <w:r w:rsidRPr="00490741">
        <w:rPr>
          <w:rFonts w:asciiTheme="minorEastAsia" w:eastAsiaTheme="minorEastAsia" w:hAnsiTheme="minorEastAsia" w:hint="eastAsia"/>
          <w:b w:val="0"/>
          <w:color w:val="000000" w:themeColor="text1"/>
          <w:sz w:val="24"/>
        </w:rPr>
        <w:t>（一）基金转换</w:t>
      </w:r>
      <w:r w:rsidRPr="00490741">
        <w:rPr>
          <w:rFonts w:asciiTheme="minorEastAsia" w:eastAsiaTheme="minorEastAsia" w:hAnsiTheme="minorEastAsia"/>
          <w:b w:val="0"/>
          <w:color w:val="000000" w:themeColor="text1"/>
          <w:sz w:val="24"/>
        </w:rPr>
        <w:t>开始日及</w:t>
      </w:r>
      <w:r w:rsidRPr="00490741">
        <w:rPr>
          <w:rFonts w:asciiTheme="minorEastAsia" w:eastAsiaTheme="minorEastAsia" w:hAnsiTheme="minorEastAsia" w:hint="eastAsia"/>
          <w:b w:val="0"/>
          <w:color w:val="000000" w:themeColor="text1"/>
          <w:sz w:val="24"/>
        </w:rPr>
        <w:t>时间</w:t>
      </w:r>
      <w:bookmarkEnd w:id="42"/>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本基金已于</w:t>
      </w:r>
      <w:r w:rsidRPr="00490741">
        <w:rPr>
          <w:rFonts w:asciiTheme="minorEastAsia" w:eastAsiaTheme="minorEastAsia" w:hAnsiTheme="minorEastAsia"/>
          <w:color w:val="000000" w:themeColor="text1"/>
        </w:rPr>
        <w:t>200</w:t>
      </w:r>
      <w:r w:rsidRPr="00490741">
        <w:rPr>
          <w:rFonts w:asciiTheme="minorEastAsia" w:eastAsiaTheme="minorEastAsia" w:hAnsiTheme="minorEastAsia" w:hint="eastAsia"/>
          <w:color w:val="000000" w:themeColor="text1"/>
        </w:rPr>
        <w:t>6</w:t>
      </w:r>
      <w:r w:rsidRPr="00490741">
        <w:rPr>
          <w:rFonts w:asciiTheme="minorEastAsia" w:eastAsiaTheme="minorEastAsia" w:hAnsiTheme="minorEastAsia"/>
          <w:color w:val="000000" w:themeColor="text1"/>
        </w:rPr>
        <w:t>年</w:t>
      </w:r>
      <w:r w:rsidRPr="00490741">
        <w:rPr>
          <w:rFonts w:asciiTheme="minorEastAsia" w:eastAsiaTheme="minorEastAsia" w:hAnsiTheme="minorEastAsia" w:hint="eastAsia"/>
          <w:color w:val="000000" w:themeColor="text1"/>
        </w:rPr>
        <w:t>11</w:t>
      </w:r>
      <w:r w:rsidRPr="00490741">
        <w:rPr>
          <w:rFonts w:asciiTheme="minorEastAsia" w:eastAsiaTheme="minorEastAsia" w:hAnsiTheme="minorEastAsia"/>
          <w:color w:val="000000" w:themeColor="text1"/>
        </w:rPr>
        <w:t>月</w:t>
      </w:r>
      <w:r w:rsidRPr="00490741">
        <w:rPr>
          <w:rFonts w:asciiTheme="minorEastAsia" w:eastAsiaTheme="minorEastAsia" w:hAnsiTheme="minorEastAsia" w:hint="eastAsia"/>
          <w:color w:val="000000" w:themeColor="text1"/>
        </w:rPr>
        <w:t>6</w:t>
      </w:r>
      <w:r w:rsidRPr="00490741">
        <w:rPr>
          <w:rFonts w:asciiTheme="minorEastAsia" w:eastAsiaTheme="minorEastAsia" w:hAnsiTheme="minorEastAsia"/>
          <w:color w:val="000000" w:themeColor="text1"/>
        </w:rPr>
        <w:t>日</w:t>
      </w:r>
      <w:r w:rsidRPr="00490741">
        <w:rPr>
          <w:rFonts w:asciiTheme="minorEastAsia" w:eastAsiaTheme="minorEastAsia" w:hAnsiTheme="minorEastAsia" w:hint="eastAsia"/>
          <w:color w:val="000000" w:themeColor="text1"/>
        </w:rPr>
        <w:t>开始办理转换业务。</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转换业务的开放日</w:t>
      </w:r>
      <w:r w:rsidRPr="00490741">
        <w:rPr>
          <w:rFonts w:asciiTheme="minorEastAsia" w:eastAsiaTheme="minorEastAsia" w:hAnsiTheme="minorEastAsia"/>
          <w:color w:val="000000" w:themeColor="text1"/>
        </w:rPr>
        <w:t>为上海证券交易所和深圳证券交易所交易日。</w:t>
      </w:r>
      <w:r w:rsidRPr="00490741">
        <w:rPr>
          <w:rFonts w:asciiTheme="minorEastAsia" w:eastAsiaTheme="minorEastAsia" w:hAnsiTheme="minorEastAsia" w:hint="eastAsia"/>
          <w:color w:val="000000" w:themeColor="text1"/>
          <w:kern w:val="0"/>
          <w:szCs w:val="21"/>
        </w:rPr>
        <w:t>但基金管理人根据法律法规、中国证监会的要求或本基金合同的规定公告暂停转换时除外。</w:t>
      </w:r>
      <w:r w:rsidRPr="00490741">
        <w:rPr>
          <w:rFonts w:asciiTheme="minorEastAsia" w:eastAsiaTheme="minorEastAsia" w:hAnsiTheme="minorEastAsia" w:hint="eastAsia"/>
          <w:color w:val="000000" w:themeColor="text1"/>
          <w:szCs w:val="21"/>
        </w:rPr>
        <w:t>具体业务办理时间为上海证券交易所、深圳证券交易所的交易时间。若出现新的证券交易市场或交易所交易时间更改或</w:t>
      </w:r>
      <w:r w:rsidRPr="00490741">
        <w:rPr>
          <w:rFonts w:asciiTheme="minorEastAsia" w:eastAsiaTheme="minorEastAsia" w:hAnsiTheme="minorEastAsia" w:hint="eastAsia"/>
          <w:color w:val="000000" w:themeColor="text1"/>
          <w:kern w:val="0"/>
          <w:szCs w:val="21"/>
        </w:rPr>
        <w:t>其他特殊情况</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kern w:val="0"/>
          <w:szCs w:val="21"/>
        </w:rPr>
        <w:t>基金管理人将视情况对前述开放日及具体业务办理时间进行相应的调整并提前公告</w:t>
      </w:r>
      <w:r w:rsidRPr="00490741">
        <w:rPr>
          <w:rFonts w:asciiTheme="minorEastAsia" w:eastAsiaTheme="minorEastAsia" w:hAnsiTheme="minorEastAsia"/>
          <w:color w:val="000000" w:themeColor="text1"/>
        </w:rPr>
        <w:t>。</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sz w:val="24"/>
        </w:rPr>
      </w:pPr>
      <w:bookmarkStart w:id="43" w:name="_Toc114237411"/>
      <w:r w:rsidRPr="00490741">
        <w:rPr>
          <w:rFonts w:asciiTheme="minorEastAsia" w:eastAsiaTheme="minorEastAsia" w:hAnsiTheme="minorEastAsia" w:hint="eastAsia"/>
          <w:b w:val="0"/>
          <w:color w:val="000000" w:themeColor="text1"/>
          <w:sz w:val="24"/>
        </w:rPr>
        <w:t>（二）基金转换业务规则</w:t>
      </w:r>
      <w:bookmarkEnd w:id="43"/>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1</w:t>
      </w:r>
      <w:r w:rsidRPr="00490741" w:rsidR="00C15CD6">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基金转换以份额为单位进行申请</w:t>
      </w:r>
      <w:r w:rsidRPr="00490741">
        <w:rPr>
          <w:rFonts w:asciiTheme="minorEastAsia" w:eastAsiaTheme="minorEastAsia" w:hAnsiTheme="minorEastAsia"/>
          <w:color w:val="000000" w:themeColor="text1"/>
        </w:rPr>
        <w:t>；</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2</w:t>
      </w:r>
      <w:r w:rsidRPr="00490741" w:rsidR="00C15CD6">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当日的转换申请可以在当日交易结束时间前撤销，在当日的交易时间结束后不得撤销</w:t>
      </w:r>
      <w:r w:rsidRPr="00490741">
        <w:rPr>
          <w:rFonts w:asciiTheme="minorEastAsia" w:eastAsiaTheme="minorEastAsia" w:hAnsiTheme="minorEastAsia"/>
          <w:color w:val="000000" w:themeColor="text1"/>
        </w:rPr>
        <w:t>；</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3</w:t>
      </w:r>
      <w:r w:rsidRPr="00490741" w:rsidR="00C15CD6">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基金转换采取未知价法，即基金的转换价格以转换申请受理当日各转出、转入基金的份额净值为基准进行计算</w:t>
      </w:r>
      <w:r w:rsidRPr="00490741">
        <w:rPr>
          <w:rFonts w:asciiTheme="minorEastAsia" w:eastAsiaTheme="minorEastAsia" w:hAnsiTheme="minorEastAsia"/>
          <w:color w:val="000000" w:themeColor="text1"/>
        </w:rPr>
        <w:t>；</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4</w:t>
      </w:r>
      <w:r w:rsidRPr="00490741" w:rsidR="00C15CD6">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基金份额在转换后，</w:t>
      </w:r>
      <w:r w:rsidRPr="00490741">
        <w:rPr>
          <w:rFonts w:asciiTheme="minorEastAsia" w:eastAsiaTheme="minorEastAsia" w:hAnsiTheme="minorEastAsia"/>
          <w:color w:val="000000" w:themeColor="text1"/>
        </w:rPr>
        <w:t>转入的基金份额的持有期将自转入的基金份额被确认之日起重新开始计算；</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5</w:t>
      </w:r>
      <w:r w:rsidRPr="00490741" w:rsidR="00C15CD6">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除非有特别说明，投资者可在同时代理拟转出基金及转入基金的销售机构处办理基金转换业务。基金转换只能在同一销售机构进行。转换的两只基金必须都是该销售机构</w:t>
      </w:r>
      <w:r w:rsidRPr="00490741" w:rsidR="00FD0663">
        <w:rPr>
          <w:rFonts w:asciiTheme="minorEastAsia" w:eastAsiaTheme="minorEastAsia" w:hAnsiTheme="minorEastAsia" w:hint="eastAsia"/>
          <w:color w:val="000000" w:themeColor="text1"/>
        </w:rPr>
        <w:t>销售</w:t>
      </w:r>
      <w:r w:rsidRPr="00490741">
        <w:rPr>
          <w:rFonts w:asciiTheme="minorEastAsia" w:eastAsiaTheme="minorEastAsia" w:hAnsiTheme="minorEastAsia" w:hint="eastAsia"/>
          <w:color w:val="000000" w:themeColor="text1"/>
        </w:rPr>
        <w:t>的同一基金管理人管理的、在同一基金注册登记机构处注册的基金</w:t>
      </w:r>
      <w:r w:rsidRPr="00490741">
        <w:rPr>
          <w:rFonts w:asciiTheme="minorEastAsia" w:eastAsiaTheme="minorEastAsia" w:hAnsiTheme="minorEastAsia"/>
          <w:color w:val="000000" w:themeColor="text1"/>
        </w:rPr>
        <w:t>；</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6</w:t>
      </w:r>
      <w:r w:rsidRPr="00490741" w:rsidR="00C15CD6">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投资者办理基金转换业务时，转出方的基金必须处于可赎回状态，转入方的基金必须处于可申购状态；</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7</w:t>
      </w:r>
      <w:r w:rsidRPr="00490741" w:rsidR="00C15CD6">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转换业务遵循</w:t>
      </w: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先进先出</w:t>
      </w: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的业务规则，</w:t>
      </w:r>
      <w:r w:rsidRPr="00490741">
        <w:rPr>
          <w:rFonts w:asciiTheme="minorEastAsia" w:eastAsiaTheme="minorEastAsia" w:hAnsiTheme="minorEastAsia" w:hint="eastAsia"/>
          <w:color w:val="000000" w:themeColor="text1"/>
        </w:rPr>
        <w:t>即份额注册日期在前的先转换出，份额注册日期在后的后转换出</w:t>
      </w:r>
      <w:r w:rsidRPr="00490741">
        <w:rPr>
          <w:rFonts w:asciiTheme="minorEastAsia" w:eastAsiaTheme="minorEastAsia" w:hAnsiTheme="minorEastAsia"/>
          <w:color w:val="000000" w:themeColor="text1"/>
        </w:rPr>
        <w:t>，如果转换申请当日，同时有赎回申请的情况下，则遵循先赎回后转换的处理原则；</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8</w:t>
      </w:r>
      <w:r w:rsidRPr="00490741" w:rsidR="00C15CD6">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基金管理人可在不损害基金份额持有人权益的情况下更改上述原则，但应最迟在新的原则实施前三个工作日予以公告。</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sz w:val="24"/>
        </w:rPr>
      </w:pPr>
      <w:bookmarkStart w:id="44" w:name="_Toc114237412"/>
      <w:r w:rsidRPr="00490741">
        <w:rPr>
          <w:rFonts w:asciiTheme="minorEastAsia" w:eastAsiaTheme="minorEastAsia" w:hAnsiTheme="minorEastAsia" w:hint="eastAsia"/>
          <w:b w:val="0"/>
          <w:color w:val="000000" w:themeColor="text1"/>
          <w:sz w:val="24"/>
        </w:rPr>
        <w:t>（三）基金转换的程序</w:t>
      </w:r>
      <w:bookmarkEnd w:id="44"/>
    </w:p>
    <w:p w:rsidR="0002608C" w:rsidRPr="00490741" w:rsidP="00107648">
      <w:pPr>
        <w:pStyle w:val="NormalIndent"/>
        <w:snapToGrid w:val="0"/>
        <w:spacing w:line="360" w:lineRule="auto"/>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1</w:t>
      </w:r>
      <w:r w:rsidRPr="00490741">
        <w:rPr>
          <w:rFonts w:asciiTheme="minorEastAsia" w:eastAsiaTheme="minorEastAsia" w:hAnsiTheme="minorEastAsia" w:hint="eastAsia"/>
          <w:color w:val="000000" w:themeColor="text1"/>
        </w:rPr>
        <w:t>、基金转换的申请方式</w:t>
      </w:r>
    </w:p>
    <w:p w:rsidR="0002608C" w:rsidRPr="00490741" w:rsidP="00107648">
      <w:pPr>
        <w:pStyle w:val="NormalIndent"/>
        <w:snapToGrid w:val="0"/>
        <w:spacing w:line="360" w:lineRule="auto"/>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基金投资者必须根据基金管理人和基金</w:t>
      </w:r>
      <w:r w:rsidRPr="00490741" w:rsidR="00D109A3">
        <w:rPr>
          <w:rFonts w:asciiTheme="minorEastAsia" w:eastAsiaTheme="minorEastAsia" w:hAnsiTheme="minorEastAsia" w:hint="eastAsia"/>
          <w:color w:val="000000" w:themeColor="text1"/>
        </w:rPr>
        <w:t>销售</w:t>
      </w:r>
      <w:r w:rsidRPr="00490741">
        <w:rPr>
          <w:rFonts w:asciiTheme="minorEastAsia" w:eastAsiaTheme="minorEastAsia" w:hAnsiTheme="minorEastAsia" w:hint="eastAsia"/>
          <w:color w:val="000000" w:themeColor="text1"/>
        </w:rPr>
        <w:t>机构规定的手续，在开放日的业务办理时间提出转换的申请。</w:t>
      </w:r>
    </w:p>
    <w:p w:rsidR="0002608C" w:rsidRPr="00490741" w:rsidP="00107648">
      <w:pPr>
        <w:pStyle w:val="NormalIndent"/>
        <w:snapToGrid w:val="0"/>
        <w:spacing w:line="360" w:lineRule="auto"/>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提交基金转换申请时，帐户中必须有足够可用的转出基金份额余额。</w:t>
      </w:r>
    </w:p>
    <w:p w:rsidR="0002608C" w:rsidRPr="00490741" w:rsidP="00107648">
      <w:pPr>
        <w:pStyle w:val="NormalIndent"/>
        <w:snapToGrid w:val="0"/>
        <w:spacing w:line="360" w:lineRule="auto"/>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2</w:t>
      </w:r>
      <w:r w:rsidRPr="00490741">
        <w:rPr>
          <w:rFonts w:asciiTheme="minorEastAsia" w:eastAsiaTheme="minorEastAsia" w:hAnsiTheme="minorEastAsia" w:hint="eastAsia"/>
          <w:color w:val="000000" w:themeColor="text1"/>
        </w:rPr>
        <w:t>、基金转换申请的确认</w:t>
      </w:r>
    </w:p>
    <w:p w:rsidR="0002608C" w:rsidRPr="00490741" w:rsidP="00107648">
      <w:pPr>
        <w:pStyle w:val="NormalIndent"/>
        <w:snapToGrid w:val="0"/>
        <w:spacing w:line="360" w:lineRule="auto"/>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正常情况下，基金管理人以在规定的基金业务办理时间段内收到基金转换申请的当天作为基金转换的申请日（</w:t>
      </w:r>
      <w:r w:rsidRPr="00490741">
        <w:rPr>
          <w:rFonts w:asciiTheme="minorEastAsia" w:eastAsiaTheme="minorEastAsia" w:hAnsiTheme="minorEastAsia" w:hint="eastAsia"/>
          <w:color w:val="000000" w:themeColor="text1"/>
        </w:rPr>
        <w:t>T</w:t>
      </w:r>
      <w:r w:rsidRPr="00490741">
        <w:rPr>
          <w:rFonts w:asciiTheme="minorEastAsia" w:eastAsiaTheme="minorEastAsia" w:hAnsiTheme="minorEastAsia" w:hint="eastAsia"/>
          <w:color w:val="000000" w:themeColor="text1"/>
        </w:rPr>
        <w:t>日），并在</w:t>
      </w:r>
      <w:r w:rsidRPr="00490741">
        <w:rPr>
          <w:rFonts w:asciiTheme="minorEastAsia" w:eastAsiaTheme="minorEastAsia" w:hAnsiTheme="minorEastAsia" w:hint="eastAsia"/>
          <w:color w:val="000000" w:themeColor="text1"/>
        </w:rPr>
        <w:t>T+1</w:t>
      </w:r>
      <w:r w:rsidRPr="00490741">
        <w:rPr>
          <w:rFonts w:asciiTheme="minorEastAsia" w:eastAsiaTheme="minorEastAsia" w:hAnsiTheme="minorEastAsia" w:hint="eastAsia"/>
          <w:color w:val="000000" w:themeColor="text1"/>
        </w:rPr>
        <w:t>工作日对该交易的有效性进行确认。投资者可在</w:t>
      </w:r>
      <w:r w:rsidRPr="00490741">
        <w:rPr>
          <w:rFonts w:asciiTheme="minorEastAsia" w:eastAsiaTheme="minorEastAsia" w:hAnsiTheme="minorEastAsia" w:hint="eastAsia"/>
          <w:color w:val="000000" w:themeColor="text1"/>
        </w:rPr>
        <w:t>T+2</w:t>
      </w:r>
      <w:r w:rsidRPr="00490741">
        <w:rPr>
          <w:rFonts w:asciiTheme="minorEastAsia" w:eastAsiaTheme="minorEastAsia" w:hAnsiTheme="minorEastAsia" w:hint="eastAsia"/>
          <w:color w:val="000000" w:themeColor="text1"/>
        </w:rPr>
        <w:t>工作日及之后查询成</w:t>
      </w:r>
      <w:r w:rsidRPr="00490741">
        <w:rPr>
          <w:rFonts w:asciiTheme="minorEastAsia" w:eastAsiaTheme="minorEastAsia" w:hAnsiTheme="minorEastAsia" w:hint="eastAsia"/>
          <w:color w:val="000000" w:themeColor="text1"/>
        </w:rPr>
        <w:t>交情况。</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sz w:val="24"/>
        </w:rPr>
      </w:pPr>
      <w:bookmarkStart w:id="45" w:name="_Toc150757128"/>
      <w:bookmarkStart w:id="46" w:name="_Toc114237413"/>
      <w:r w:rsidRPr="00490741">
        <w:rPr>
          <w:rFonts w:asciiTheme="minorEastAsia" w:eastAsiaTheme="minorEastAsia" w:hAnsiTheme="minorEastAsia" w:hint="eastAsia"/>
          <w:b w:val="0"/>
          <w:color w:val="000000" w:themeColor="text1"/>
          <w:sz w:val="24"/>
        </w:rPr>
        <w:t>（四）基金转换的数额限制</w:t>
      </w:r>
      <w:bookmarkEnd w:id="45"/>
      <w:bookmarkEnd w:id="46"/>
    </w:p>
    <w:p w:rsidR="0002608C" w:rsidRPr="00490741" w:rsidP="00107648">
      <w:pPr>
        <w:pStyle w:val="NormalIndent"/>
        <w:snapToGrid w:val="0"/>
        <w:spacing w:line="360" w:lineRule="auto"/>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基金份额持有人可将其全部或部分基金份额转换成另一只基金，本基金单笔转出申请不得少于</w:t>
      </w:r>
      <w:r w:rsidRPr="00490741">
        <w:rPr>
          <w:rFonts w:asciiTheme="minorEastAsia" w:eastAsiaTheme="minorEastAsia" w:hAnsiTheme="minorEastAsia" w:hint="eastAsia"/>
          <w:color w:val="000000" w:themeColor="text1"/>
        </w:rPr>
        <w:t>1</w:t>
      </w:r>
      <w:r w:rsidRPr="00490741">
        <w:rPr>
          <w:rFonts w:asciiTheme="minorEastAsia" w:eastAsiaTheme="minorEastAsia" w:hAnsiTheme="minorEastAsia" w:hint="eastAsia"/>
          <w:color w:val="000000" w:themeColor="text1"/>
        </w:rPr>
        <w:t>份（</w:t>
      </w:r>
      <w:r w:rsidRPr="00490741" w:rsidR="00087E56">
        <w:rPr>
          <w:rFonts w:asciiTheme="minorEastAsia" w:eastAsiaTheme="minorEastAsia" w:hAnsiTheme="minorEastAsia" w:hint="eastAsia"/>
          <w:color w:val="000000" w:themeColor="text1"/>
        </w:rPr>
        <w:t>如该账户在该销售机构托管的该基金余额不足</w:t>
      </w:r>
      <w:r w:rsidRPr="00490741">
        <w:rPr>
          <w:rFonts w:asciiTheme="minorEastAsia" w:eastAsiaTheme="minorEastAsia" w:hAnsiTheme="minorEastAsia" w:hint="eastAsia"/>
          <w:color w:val="000000" w:themeColor="text1"/>
        </w:rPr>
        <w:t>1</w:t>
      </w:r>
      <w:r w:rsidRPr="00490741">
        <w:rPr>
          <w:rFonts w:asciiTheme="minorEastAsia" w:eastAsiaTheme="minorEastAsia" w:hAnsiTheme="minorEastAsia" w:hint="eastAsia"/>
          <w:color w:val="000000" w:themeColor="text1"/>
        </w:rPr>
        <w:t>份，则必须一次性赎回或转出该基金全部份额）；若某笔转换导致投资者在</w:t>
      </w:r>
      <w:r w:rsidRPr="00490741" w:rsidR="00087E56">
        <w:rPr>
          <w:rFonts w:asciiTheme="minorEastAsia" w:eastAsiaTheme="minorEastAsia" w:hAnsiTheme="minorEastAsia" w:hint="eastAsia"/>
          <w:color w:val="000000" w:themeColor="text1"/>
        </w:rPr>
        <w:t>该</w:t>
      </w:r>
      <w:r w:rsidRPr="00490741">
        <w:rPr>
          <w:rFonts w:asciiTheme="minorEastAsia" w:eastAsiaTheme="minorEastAsia" w:hAnsiTheme="minorEastAsia" w:hint="eastAsia"/>
          <w:color w:val="000000" w:themeColor="text1"/>
        </w:rPr>
        <w:t>销售机构托管的</w:t>
      </w:r>
      <w:r w:rsidRPr="00490741" w:rsidR="00087E56">
        <w:rPr>
          <w:rFonts w:asciiTheme="minorEastAsia" w:eastAsiaTheme="minorEastAsia" w:hAnsiTheme="minorEastAsia" w:hint="eastAsia"/>
          <w:color w:val="000000" w:themeColor="text1"/>
        </w:rPr>
        <w:t>该</w:t>
      </w:r>
      <w:r w:rsidRPr="00490741">
        <w:rPr>
          <w:rFonts w:asciiTheme="minorEastAsia" w:eastAsiaTheme="minorEastAsia" w:hAnsiTheme="minorEastAsia" w:hint="eastAsia"/>
          <w:color w:val="000000" w:themeColor="text1"/>
        </w:rPr>
        <w:t>基金余额不足</w:t>
      </w:r>
      <w:r w:rsidRPr="00490741">
        <w:rPr>
          <w:rFonts w:asciiTheme="minorEastAsia" w:eastAsiaTheme="minorEastAsia" w:hAnsiTheme="minorEastAsia" w:hint="eastAsia"/>
          <w:color w:val="000000" w:themeColor="text1"/>
        </w:rPr>
        <w:t>1</w:t>
      </w:r>
      <w:r w:rsidRPr="00490741">
        <w:rPr>
          <w:rFonts w:asciiTheme="minorEastAsia" w:eastAsiaTheme="minorEastAsia" w:hAnsiTheme="minorEastAsia" w:hint="eastAsia"/>
          <w:color w:val="000000" w:themeColor="text1"/>
        </w:rPr>
        <w:t>份时，基金管理人有权将投资者在该销售机构托管的</w:t>
      </w:r>
      <w:r w:rsidRPr="00490741" w:rsidR="00087E56">
        <w:rPr>
          <w:rFonts w:asciiTheme="minorEastAsia" w:eastAsiaTheme="minorEastAsia" w:hAnsiTheme="minorEastAsia" w:hint="eastAsia"/>
          <w:color w:val="000000" w:themeColor="text1"/>
        </w:rPr>
        <w:t>该</w:t>
      </w:r>
      <w:r w:rsidRPr="00490741">
        <w:rPr>
          <w:rFonts w:asciiTheme="minorEastAsia" w:eastAsiaTheme="minorEastAsia" w:hAnsiTheme="minorEastAsia" w:hint="eastAsia"/>
          <w:color w:val="000000" w:themeColor="text1"/>
        </w:rPr>
        <w:t>基金剩余份额一次性全部赎回。</w:t>
      </w:r>
    </w:p>
    <w:p w:rsidR="0002608C" w:rsidRPr="00490741" w:rsidP="00107648">
      <w:pPr>
        <w:pStyle w:val="NormalIndent"/>
        <w:snapToGrid w:val="0"/>
        <w:spacing w:line="360" w:lineRule="auto"/>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基金管理人可根据市场情况制定或调整上述基金转换的程序及有关限制，但应最迟在调整生效前三个工作日在</w:t>
      </w:r>
      <w:r w:rsidRPr="00490741" w:rsidR="000C00D1">
        <w:rPr>
          <w:rFonts w:asciiTheme="minorEastAsia" w:eastAsiaTheme="minorEastAsia" w:hAnsiTheme="minorEastAsia" w:hint="eastAsia"/>
          <w:color w:val="000000" w:themeColor="text1"/>
        </w:rPr>
        <w:t>指定媒介</w:t>
      </w:r>
      <w:r w:rsidRPr="00490741">
        <w:rPr>
          <w:rFonts w:asciiTheme="minorEastAsia" w:eastAsiaTheme="minorEastAsia" w:hAnsiTheme="minorEastAsia" w:hint="eastAsia"/>
          <w:color w:val="000000" w:themeColor="text1"/>
        </w:rPr>
        <w:t>公告。</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sz w:val="24"/>
        </w:rPr>
      </w:pPr>
      <w:bookmarkStart w:id="47" w:name="_Toc87367293"/>
      <w:bookmarkStart w:id="48" w:name="_Toc150757129"/>
      <w:bookmarkStart w:id="49" w:name="_Toc114237414"/>
      <w:r w:rsidRPr="00490741">
        <w:rPr>
          <w:rFonts w:asciiTheme="minorEastAsia" w:eastAsiaTheme="minorEastAsia" w:hAnsiTheme="minorEastAsia" w:hint="eastAsia"/>
          <w:b w:val="0"/>
          <w:color w:val="000000" w:themeColor="text1"/>
          <w:sz w:val="24"/>
        </w:rPr>
        <w:t>（五）基金转换费率</w:t>
      </w:r>
      <w:bookmarkEnd w:id="47"/>
      <w:bookmarkEnd w:id="48"/>
      <w:bookmarkEnd w:id="49"/>
    </w:p>
    <w:p w:rsidR="0002608C" w:rsidRPr="00490741" w:rsidP="00107648">
      <w:pPr>
        <w:autoSpaceDE w:val="0"/>
        <w:autoSpaceDN w:val="0"/>
        <w:snapToGrid w:val="0"/>
        <w:spacing w:line="360" w:lineRule="auto"/>
        <w:ind w:firstLine="420"/>
        <w:textAlignment w:val="bottom"/>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基金转换费由基金份额持有人承担，基金转</w:t>
      </w:r>
      <w:r w:rsidRPr="00490741">
        <w:rPr>
          <w:rFonts w:asciiTheme="minorEastAsia" w:eastAsiaTheme="minorEastAsia" w:hAnsiTheme="minorEastAsia" w:hint="eastAsia"/>
          <w:color w:val="000000" w:themeColor="text1"/>
        </w:rPr>
        <w:t>换费用由转出基金赎回费用及基金申购补差费用构成，其中赎回费按照</w:t>
      </w:r>
      <w:r w:rsidRPr="00490741" w:rsidR="00D51240">
        <w:rPr>
          <w:rFonts w:asciiTheme="minorEastAsia" w:eastAsiaTheme="minorEastAsia" w:hAnsiTheme="minorEastAsia" w:hint="eastAsia"/>
          <w:color w:val="000000" w:themeColor="text1"/>
        </w:rPr>
        <w:t>各基金的</w:t>
      </w:r>
      <w:r w:rsidRPr="00490741">
        <w:rPr>
          <w:rFonts w:asciiTheme="minorEastAsia" w:eastAsiaTheme="minorEastAsia" w:hAnsiTheme="minorEastAsia" w:hint="eastAsia"/>
          <w:color w:val="000000" w:themeColor="text1"/>
        </w:rPr>
        <w:t>基金合同、更新的招募说明书及最新的相关公告约定的比例归入基金财产，其余部分用于支付注册登记费等相关手续费，基金转换费率详见相关公告。</w:t>
      </w:r>
    </w:p>
    <w:p w:rsidR="0002608C" w:rsidRPr="00490741" w:rsidP="00107648">
      <w:pPr>
        <w:autoSpaceDE w:val="0"/>
        <w:autoSpaceDN w:val="0"/>
        <w:snapToGrid w:val="0"/>
        <w:spacing w:line="360" w:lineRule="auto"/>
        <w:ind w:firstLine="420"/>
        <w:textAlignment w:val="bottom"/>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基金管理人可以根据市场情况在不违背有关法律、法规和基金合同的规定之前提下</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调整收费方式和费率水平</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但最迟应于新收费办法开始实施日前</w:t>
      </w:r>
      <w:r w:rsidRPr="00490741">
        <w:rPr>
          <w:rFonts w:asciiTheme="minorEastAsia" w:eastAsiaTheme="minorEastAsia" w:hAnsiTheme="minorEastAsia" w:hint="eastAsia"/>
          <w:color w:val="000000" w:themeColor="text1"/>
        </w:rPr>
        <w:t>2</w:t>
      </w:r>
      <w:r w:rsidRPr="00490741">
        <w:rPr>
          <w:rFonts w:asciiTheme="minorEastAsia" w:eastAsiaTheme="minorEastAsia" w:hAnsiTheme="minorEastAsia" w:hint="eastAsia"/>
          <w:color w:val="000000" w:themeColor="text1"/>
        </w:rPr>
        <w:t>个工作日在</w:t>
      </w:r>
      <w:r w:rsidRPr="00490741" w:rsidR="000C00D1">
        <w:rPr>
          <w:rFonts w:asciiTheme="minorEastAsia" w:eastAsiaTheme="minorEastAsia" w:hAnsiTheme="minorEastAsia" w:hint="eastAsia"/>
          <w:color w:val="000000" w:themeColor="text1"/>
        </w:rPr>
        <w:t>指定媒介</w:t>
      </w:r>
      <w:r w:rsidRPr="00490741">
        <w:rPr>
          <w:rFonts w:asciiTheme="minorEastAsia" w:eastAsiaTheme="minorEastAsia" w:hAnsiTheme="minorEastAsia" w:hint="eastAsia"/>
          <w:color w:val="000000" w:themeColor="text1"/>
        </w:rPr>
        <w:t>上公告。</w:t>
      </w:r>
    </w:p>
    <w:p w:rsidR="0002608C" w:rsidRPr="00490741" w:rsidP="00107648">
      <w:pPr>
        <w:autoSpaceDE w:val="0"/>
        <w:autoSpaceDN w:val="0"/>
        <w:snapToGrid w:val="0"/>
        <w:spacing w:line="360" w:lineRule="auto"/>
        <w:ind w:firstLine="420"/>
        <w:textAlignment w:val="bottom"/>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sz w:val="24"/>
        </w:rPr>
      </w:pPr>
      <w:bookmarkStart w:id="50" w:name="_Toc150757130"/>
      <w:bookmarkStart w:id="51" w:name="_Toc114237415"/>
      <w:r w:rsidRPr="00490741">
        <w:rPr>
          <w:rFonts w:asciiTheme="minorEastAsia" w:eastAsiaTheme="minorEastAsia" w:hAnsiTheme="minorEastAsia" w:hint="eastAsia"/>
          <w:b w:val="0"/>
          <w:color w:val="000000" w:themeColor="text1"/>
          <w:sz w:val="24"/>
        </w:rPr>
        <w:t>（六）基金转换份额的计算方式</w:t>
      </w:r>
      <w:bookmarkEnd w:id="50"/>
      <w:bookmarkEnd w:id="51"/>
    </w:p>
    <w:p w:rsidR="005E7CD0" w:rsidRPr="00490741" w:rsidP="00B32CF0">
      <w:pPr>
        <w:snapToGrid w:val="0"/>
        <w:spacing w:line="360" w:lineRule="auto"/>
        <w:ind w:firstLine="482"/>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计算公式：</w:t>
      </w:r>
    </w:p>
    <w:p w:rsidR="005E7CD0" w:rsidRPr="00490741" w:rsidP="00B32CF0">
      <w:pPr>
        <w:snapToGrid w:val="0"/>
        <w:spacing w:line="360" w:lineRule="auto"/>
        <w:ind w:firstLine="482"/>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A</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B</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C</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(1-D)/</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1+G</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+F</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/E</w:t>
      </w:r>
    </w:p>
    <w:p w:rsidR="005E7CD0" w:rsidRPr="00490741" w:rsidP="00B32CF0">
      <w:pPr>
        <w:snapToGrid w:val="0"/>
        <w:spacing w:line="360" w:lineRule="auto"/>
        <w:ind w:firstLine="482"/>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H</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B</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C</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D</w:t>
      </w:r>
    </w:p>
    <w:p w:rsidR="005E7CD0" w:rsidRPr="00490741" w:rsidP="00B32CF0">
      <w:pPr>
        <w:snapToGrid w:val="0"/>
        <w:spacing w:line="360" w:lineRule="auto"/>
        <w:ind w:firstLine="482"/>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J</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[B</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C</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(1-D)/(1+G)]</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G</w:t>
      </w:r>
    </w:p>
    <w:p w:rsidR="005E7CD0" w:rsidRPr="00490741" w:rsidP="00B32CF0">
      <w:pPr>
        <w:snapToGrid w:val="0"/>
        <w:spacing w:line="360" w:lineRule="auto"/>
        <w:ind w:firstLine="482"/>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其中，</w:t>
      </w:r>
      <w:r w:rsidRPr="00490741">
        <w:rPr>
          <w:rFonts w:asciiTheme="minorEastAsia" w:eastAsiaTheme="minorEastAsia" w:hAnsiTheme="minorEastAsia" w:hint="eastAsia"/>
          <w:color w:val="000000" w:themeColor="text1"/>
        </w:rPr>
        <w:t>A</w:t>
      </w:r>
      <w:r w:rsidRPr="00490741">
        <w:rPr>
          <w:rFonts w:asciiTheme="minorEastAsia" w:eastAsiaTheme="minorEastAsia" w:hAnsiTheme="minorEastAsia" w:hint="eastAsia"/>
          <w:color w:val="000000" w:themeColor="text1"/>
        </w:rPr>
        <w:t>为转入的基金份额；</w:t>
      </w:r>
      <w:r w:rsidRPr="00490741">
        <w:rPr>
          <w:rFonts w:asciiTheme="minorEastAsia" w:eastAsiaTheme="minorEastAsia" w:hAnsiTheme="minorEastAsia" w:hint="eastAsia"/>
          <w:color w:val="000000" w:themeColor="text1"/>
        </w:rPr>
        <w:t>B</w:t>
      </w:r>
      <w:r w:rsidRPr="00490741">
        <w:rPr>
          <w:rFonts w:asciiTheme="minorEastAsia" w:eastAsiaTheme="minorEastAsia" w:hAnsiTheme="minorEastAsia" w:hint="eastAsia"/>
          <w:color w:val="000000" w:themeColor="text1"/>
        </w:rPr>
        <w:t>为转出的基金份额；</w:t>
      </w:r>
      <w:r w:rsidRPr="00490741">
        <w:rPr>
          <w:rFonts w:asciiTheme="minorEastAsia" w:eastAsiaTheme="minorEastAsia" w:hAnsiTheme="minorEastAsia" w:hint="eastAsia"/>
          <w:color w:val="000000" w:themeColor="text1"/>
        </w:rPr>
        <w:t>C</w:t>
      </w:r>
      <w:r w:rsidRPr="00490741">
        <w:rPr>
          <w:rFonts w:asciiTheme="minorEastAsia" w:eastAsiaTheme="minorEastAsia" w:hAnsiTheme="minorEastAsia" w:hint="eastAsia"/>
          <w:color w:val="000000" w:themeColor="text1"/>
        </w:rPr>
        <w:t>为转换申请当日转出基金的基金份额净值；</w:t>
      </w:r>
      <w:r w:rsidRPr="00490741">
        <w:rPr>
          <w:rFonts w:asciiTheme="minorEastAsia" w:eastAsiaTheme="minorEastAsia" w:hAnsiTheme="minorEastAsia" w:hint="eastAsia"/>
          <w:color w:val="000000" w:themeColor="text1"/>
        </w:rPr>
        <w:t>D</w:t>
      </w:r>
      <w:r w:rsidRPr="00490741">
        <w:rPr>
          <w:rFonts w:asciiTheme="minorEastAsia" w:eastAsiaTheme="minorEastAsia" w:hAnsiTheme="minorEastAsia" w:hint="eastAsia"/>
          <w:color w:val="000000" w:themeColor="text1"/>
        </w:rPr>
        <w:t>为转出基金的对应赎回费率；</w:t>
      </w:r>
      <w:r w:rsidRPr="00490741">
        <w:rPr>
          <w:rFonts w:asciiTheme="minorEastAsia" w:eastAsiaTheme="minorEastAsia" w:hAnsiTheme="minorEastAsia" w:hint="eastAsia"/>
          <w:color w:val="000000" w:themeColor="text1"/>
        </w:rPr>
        <w:t>G</w:t>
      </w:r>
      <w:r w:rsidRPr="00490741">
        <w:rPr>
          <w:rFonts w:asciiTheme="minorEastAsia" w:eastAsiaTheme="minorEastAsia" w:hAnsiTheme="minorEastAsia" w:hint="eastAsia"/>
          <w:color w:val="000000" w:themeColor="text1"/>
        </w:rPr>
        <w:t>为对应的申购补差费率；</w:t>
      </w:r>
      <w:r w:rsidRPr="00490741">
        <w:rPr>
          <w:rFonts w:asciiTheme="minorEastAsia" w:eastAsiaTheme="minorEastAsia" w:hAnsiTheme="minorEastAsia" w:hint="eastAsia"/>
          <w:color w:val="000000" w:themeColor="text1"/>
        </w:rPr>
        <w:t>E</w:t>
      </w:r>
      <w:r w:rsidRPr="00490741">
        <w:rPr>
          <w:rFonts w:asciiTheme="minorEastAsia" w:eastAsiaTheme="minorEastAsia" w:hAnsiTheme="minorEastAsia" w:hint="eastAsia"/>
          <w:color w:val="000000" w:themeColor="text1"/>
        </w:rPr>
        <w:t>为转换申请当日转入基金的基金份额净值；</w:t>
      </w:r>
      <w:r w:rsidRPr="00490741">
        <w:rPr>
          <w:rFonts w:asciiTheme="minorEastAsia" w:eastAsiaTheme="minorEastAsia" w:hAnsiTheme="minorEastAsia" w:hint="eastAsia"/>
          <w:color w:val="000000" w:themeColor="text1"/>
        </w:rPr>
        <w:t>F</w:t>
      </w:r>
      <w:r w:rsidRPr="00490741">
        <w:rPr>
          <w:rFonts w:asciiTheme="minorEastAsia" w:eastAsiaTheme="minorEastAsia" w:hAnsiTheme="minorEastAsia" w:hint="eastAsia"/>
          <w:color w:val="000000" w:themeColor="text1"/>
        </w:rPr>
        <w:t>为货币市场基金全部转出时注册登记机构已支付的未付收益；</w:t>
      </w:r>
      <w:r w:rsidRPr="00490741">
        <w:rPr>
          <w:rFonts w:asciiTheme="minorEastAsia" w:eastAsiaTheme="minorEastAsia" w:hAnsiTheme="minorEastAsia" w:hint="eastAsia"/>
          <w:color w:val="000000" w:themeColor="text1"/>
        </w:rPr>
        <w:t>H</w:t>
      </w:r>
      <w:r w:rsidRPr="00490741">
        <w:rPr>
          <w:rFonts w:asciiTheme="minorEastAsia" w:eastAsiaTheme="minorEastAsia" w:hAnsiTheme="minorEastAsia" w:hint="eastAsia"/>
          <w:color w:val="000000" w:themeColor="text1"/>
        </w:rPr>
        <w:t>为转出基金赎回费；</w:t>
      </w:r>
      <w:r w:rsidRPr="00490741">
        <w:rPr>
          <w:rFonts w:asciiTheme="minorEastAsia" w:eastAsiaTheme="minorEastAsia" w:hAnsiTheme="minorEastAsia" w:hint="eastAsia"/>
          <w:color w:val="000000" w:themeColor="text1"/>
        </w:rPr>
        <w:t>J</w:t>
      </w:r>
      <w:r w:rsidRPr="00490741">
        <w:rPr>
          <w:rFonts w:asciiTheme="minorEastAsia" w:eastAsiaTheme="minorEastAsia" w:hAnsiTheme="minorEastAsia" w:hint="eastAsia"/>
          <w:color w:val="000000" w:themeColor="text1"/>
        </w:rPr>
        <w:t>为申购补差费。</w:t>
      </w:r>
    </w:p>
    <w:p w:rsidR="005E7CD0" w:rsidRPr="00490741" w:rsidP="00B32CF0">
      <w:pPr>
        <w:snapToGrid w:val="0"/>
        <w:spacing w:line="360" w:lineRule="auto"/>
        <w:ind w:firstLine="482"/>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w:t>
      </w:r>
      <w:r w:rsidRPr="00490741">
        <w:rPr>
          <w:rFonts w:asciiTheme="minorEastAsia" w:eastAsiaTheme="minorEastAsia" w:hAnsiTheme="minorEastAsia" w:hint="eastAsia"/>
          <w:color w:val="000000" w:themeColor="text1"/>
        </w:rPr>
        <w:t>未付收</w:t>
      </w:r>
      <w:r w:rsidRPr="00490741">
        <w:rPr>
          <w:rFonts w:asciiTheme="minorEastAsia" w:eastAsiaTheme="minorEastAsia" w:hAnsiTheme="minorEastAsia" w:hint="eastAsia"/>
          <w:color w:val="000000" w:themeColor="text1"/>
        </w:rPr>
        <w:t>益为负，基金份额对应的未付收益与转换转出份额对应的款项一并划转到转换转入的基金。</w:t>
      </w:r>
    </w:p>
    <w:p w:rsidR="0002608C" w:rsidRPr="00490741" w:rsidP="00107648">
      <w:pPr>
        <w:snapToGrid w:val="0"/>
        <w:spacing w:line="360" w:lineRule="auto"/>
        <w:ind w:firstLine="482"/>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说明：</w:t>
      </w:r>
    </w:p>
    <w:p w:rsidR="0002608C" w:rsidRPr="00490741" w:rsidP="00107648">
      <w:pPr>
        <w:snapToGrid w:val="0"/>
        <w:spacing w:line="360" w:lineRule="auto"/>
        <w:ind w:firstLine="482"/>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w:t>
      </w:r>
      <w:r w:rsidRPr="00490741" w:rsidR="00C15CD6">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基金转换费用由转出基金赎回费用及基金申购补差费用构成。</w:t>
      </w:r>
    </w:p>
    <w:p w:rsidR="0002608C" w:rsidRPr="00490741" w:rsidP="00107648">
      <w:pPr>
        <w:snapToGrid w:val="0"/>
        <w:spacing w:line="360" w:lineRule="auto"/>
        <w:ind w:firstLine="482"/>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w:t>
      </w:r>
      <w:r w:rsidRPr="00490741" w:rsidR="00C15CD6">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转入基金时，从申购费用低的基金向申购费用高的基金转换时，每次收取申购补差费用；从申购费用高的基金向申购费用低的基金转换时</w:t>
      </w:r>
      <w:r w:rsidRPr="00490741">
        <w:rPr>
          <w:rFonts w:asciiTheme="minorEastAsia" w:eastAsiaTheme="minorEastAsia" w:hAnsiTheme="minorEastAsia"/>
          <w:color w:val="000000" w:themeColor="text1"/>
        </w:rPr>
        <w:t>,</w:t>
      </w:r>
      <w:r w:rsidRPr="00490741">
        <w:rPr>
          <w:rFonts w:asciiTheme="minorEastAsia" w:eastAsiaTheme="minorEastAsia" w:hAnsiTheme="minorEastAsia" w:hint="eastAsia"/>
          <w:color w:val="000000" w:themeColor="text1"/>
        </w:rPr>
        <w:t>不收取申购补差费用</w:t>
      </w:r>
      <w:r w:rsidRPr="00490741" w:rsidR="00B70D99">
        <w:rPr>
          <w:rFonts w:asciiTheme="minorEastAsia" w:eastAsiaTheme="minorEastAsia" w:hAnsiTheme="minorEastAsia" w:hint="eastAsia"/>
          <w:color w:val="000000" w:themeColor="text1"/>
        </w:rPr>
        <w:t>（</w:t>
      </w:r>
      <w:r w:rsidRPr="00490741" w:rsidR="004D11DC">
        <w:rPr>
          <w:rFonts w:asciiTheme="minorEastAsia" w:eastAsiaTheme="minorEastAsia" w:hAnsiTheme="minorEastAsia" w:hint="eastAsia"/>
          <w:color w:val="000000" w:themeColor="text1"/>
          <w:szCs w:val="21"/>
        </w:rPr>
        <w:t>注：对通过直销中心申购实施差别申购费率的投资群体基金份额的申购费，以除上述投资群体之外的其他投资者申购费为比较标准</w:t>
      </w:r>
      <w:r w:rsidRPr="00490741" w:rsidR="004D11DC">
        <w:rPr>
          <w:rFonts w:ascii="MS Gothic" w:eastAsia="MS Gothic" w:hAnsi="MS Gothic" w:cs="MS Gothic" w:hint="eastAsia"/>
          <w:color w:val="000000" w:themeColor="text1"/>
        </w:rPr>
        <w:t>​</w:t>
      </w:r>
      <w:r w:rsidRPr="00490741" w:rsidR="00B70D99">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。申购补差费用按照转换金额对应的转出基金与转入基金的申购费率差额进行补差，具体收取情况视每次转换时</w:t>
      </w:r>
      <w:r w:rsidRPr="00490741">
        <w:rPr>
          <w:rFonts w:asciiTheme="minorEastAsia" w:eastAsiaTheme="minorEastAsia" w:hAnsiTheme="minorEastAsia" w:hint="eastAsia"/>
          <w:color w:val="000000" w:themeColor="text1"/>
        </w:rPr>
        <w:t>两只基金的申购费率的差异情况而定并见相关公告。</w:t>
      </w:r>
    </w:p>
    <w:p w:rsidR="0002608C" w:rsidRPr="00490741" w:rsidP="00107648">
      <w:pPr>
        <w:snapToGrid w:val="0"/>
        <w:spacing w:line="360" w:lineRule="auto"/>
        <w:ind w:firstLine="482"/>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3</w:t>
      </w:r>
      <w:r w:rsidRPr="00490741">
        <w:rPr>
          <w:rFonts w:asciiTheme="minorEastAsia" w:eastAsiaTheme="minorEastAsia" w:hAnsiTheme="minorEastAsia" w:hint="eastAsia"/>
          <w:color w:val="000000" w:themeColor="text1"/>
        </w:rPr>
        <w:t>、转出基金时，如涉及的转出基金有赎回费用，收取该基金的赎回费用。收取的赎回费按照</w:t>
      </w:r>
      <w:r w:rsidRPr="00490741" w:rsidR="00087E56">
        <w:rPr>
          <w:rFonts w:asciiTheme="minorEastAsia" w:eastAsiaTheme="minorEastAsia" w:hAnsiTheme="minorEastAsia" w:hint="eastAsia"/>
          <w:color w:val="000000" w:themeColor="text1"/>
        </w:rPr>
        <w:t>各基金</w:t>
      </w:r>
      <w:r w:rsidRPr="00490741" w:rsidR="00087E56">
        <w:rPr>
          <w:rFonts w:asciiTheme="minorEastAsia" w:eastAsiaTheme="minorEastAsia" w:hAnsiTheme="minorEastAsia"/>
          <w:color w:val="000000" w:themeColor="text1"/>
        </w:rPr>
        <w:t>的</w:t>
      </w:r>
      <w:r w:rsidRPr="00490741">
        <w:rPr>
          <w:rFonts w:asciiTheme="minorEastAsia" w:eastAsiaTheme="minorEastAsia" w:hAnsiTheme="minorEastAsia" w:hint="eastAsia"/>
          <w:color w:val="000000" w:themeColor="text1"/>
        </w:rPr>
        <w:t>基金合同、更新的招募说明书及最新的相关公告约定的比例归入基金财产，其余部分用于支付注册登记费等相关手续费。</w:t>
      </w:r>
      <w:r w:rsidRPr="00490741">
        <w:rPr>
          <w:rFonts w:asciiTheme="minorEastAsia" w:eastAsiaTheme="minorEastAsia" w:hAnsiTheme="minorEastAsia"/>
          <w:color w:val="000000" w:themeColor="text1"/>
          <w:szCs w:val="21"/>
        </w:rPr>
        <w:t>转换费用以人民币元为单位，计算结果按照四舍五入方法，保留小数点后两位</w:t>
      </w:r>
      <w:r w:rsidRPr="00490741">
        <w:rPr>
          <w:rFonts w:asciiTheme="minorEastAsia" w:eastAsiaTheme="minorEastAsia" w:hAnsiTheme="minorEastAsia" w:hint="eastAsia"/>
          <w:color w:val="000000" w:themeColor="text1"/>
        </w:rPr>
        <w:t>。</w:t>
      </w:r>
    </w:p>
    <w:p w:rsidR="0002608C" w:rsidRPr="00490741" w:rsidP="00107648">
      <w:pPr>
        <w:snapToGrid w:val="0"/>
        <w:spacing w:line="360" w:lineRule="auto"/>
        <w:ind w:firstLine="482"/>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4</w:t>
      </w:r>
      <w:r w:rsidRPr="00490741">
        <w:rPr>
          <w:rFonts w:asciiTheme="minorEastAsia" w:eastAsiaTheme="minorEastAsia" w:hAnsiTheme="minorEastAsia" w:hint="eastAsia"/>
          <w:color w:val="000000" w:themeColor="text1"/>
        </w:rPr>
        <w:t>、投资者可以发起多次基金转换业务，基金转换费用按每笔申请单独计算。</w:t>
      </w:r>
    </w:p>
    <w:p w:rsidR="0002608C" w:rsidRPr="00490741" w:rsidP="00107648">
      <w:pPr>
        <w:snapToGrid w:val="0"/>
        <w:spacing w:line="360" w:lineRule="auto"/>
        <w:ind w:firstLine="482"/>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举例说明：假定某投资者</w:t>
      </w:r>
      <w:r w:rsidRPr="00490741" w:rsidR="004D11DC">
        <w:rPr>
          <w:rFonts w:asciiTheme="minorEastAsia" w:eastAsiaTheme="minorEastAsia" w:hAnsiTheme="minorEastAsia" w:hint="eastAsia"/>
          <w:color w:val="000000" w:themeColor="text1"/>
        </w:rPr>
        <w:t>（其他投资者）</w:t>
      </w:r>
      <w:r w:rsidRPr="00490741">
        <w:rPr>
          <w:rFonts w:asciiTheme="minorEastAsia" w:eastAsiaTheme="minorEastAsia" w:hAnsiTheme="minorEastAsia" w:hint="eastAsia"/>
          <w:color w:val="000000" w:themeColor="text1"/>
        </w:rPr>
        <w:t>在</w:t>
      </w:r>
      <w:r w:rsidRPr="00490741">
        <w:rPr>
          <w:rFonts w:asciiTheme="minorEastAsia" w:eastAsiaTheme="minorEastAsia" w:hAnsiTheme="minorEastAsia" w:hint="eastAsia"/>
          <w:color w:val="000000" w:themeColor="text1"/>
        </w:rPr>
        <w:t>T</w:t>
      </w:r>
      <w:r w:rsidRPr="00490741">
        <w:rPr>
          <w:rFonts w:asciiTheme="minorEastAsia" w:eastAsiaTheme="minorEastAsia" w:hAnsiTheme="minorEastAsia" w:hint="eastAsia"/>
          <w:color w:val="000000" w:themeColor="text1"/>
        </w:rPr>
        <w:t>日转出</w:t>
      </w:r>
      <w:r w:rsidRPr="00490741">
        <w:rPr>
          <w:rFonts w:asciiTheme="minorEastAsia" w:eastAsiaTheme="minorEastAsia" w:hAnsiTheme="minorEastAsia" w:hint="eastAsia"/>
          <w:color w:val="000000" w:themeColor="text1"/>
        </w:rPr>
        <w:t>10,000</w:t>
      </w:r>
      <w:r w:rsidRPr="00490741">
        <w:rPr>
          <w:rFonts w:asciiTheme="minorEastAsia" w:eastAsiaTheme="minorEastAsia" w:hAnsiTheme="minorEastAsia" w:hint="eastAsia"/>
          <w:color w:val="000000" w:themeColor="text1"/>
        </w:rPr>
        <w:t>份易方达价值精选基金至</w:t>
      </w:r>
      <w:r w:rsidRPr="00490741">
        <w:rPr>
          <w:rFonts w:asciiTheme="minorEastAsia" w:eastAsiaTheme="minorEastAsia" w:hAnsiTheme="minorEastAsia"/>
          <w:color w:val="000000" w:themeColor="text1"/>
        </w:rPr>
        <w:t>易方达策略成长二号混合型基金</w:t>
      </w:r>
      <w:r w:rsidRPr="00490741">
        <w:rPr>
          <w:rFonts w:asciiTheme="minorEastAsia" w:eastAsiaTheme="minorEastAsia" w:hAnsiTheme="minorEastAsia" w:hint="eastAsia"/>
          <w:color w:val="000000" w:themeColor="text1"/>
        </w:rPr>
        <w:t>份额，转出基金</w:t>
      </w:r>
      <w:r w:rsidRPr="00490741">
        <w:rPr>
          <w:rFonts w:asciiTheme="minorEastAsia" w:eastAsiaTheme="minorEastAsia" w:hAnsiTheme="minorEastAsia" w:hint="eastAsia"/>
          <w:color w:val="000000" w:themeColor="text1"/>
        </w:rPr>
        <w:t>T</w:t>
      </w:r>
      <w:r w:rsidRPr="00490741">
        <w:rPr>
          <w:rFonts w:asciiTheme="minorEastAsia" w:eastAsiaTheme="minorEastAsia" w:hAnsiTheme="minorEastAsia" w:hint="eastAsia"/>
          <w:color w:val="000000" w:themeColor="text1"/>
        </w:rPr>
        <w:t>日的基金份额净值为</w:t>
      </w:r>
      <w:r w:rsidRPr="00490741">
        <w:rPr>
          <w:rFonts w:asciiTheme="minorEastAsia" w:eastAsiaTheme="minorEastAsia" w:hAnsiTheme="minorEastAsia" w:hint="eastAsia"/>
          <w:color w:val="000000" w:themeColor="text1"/>
        </w:rPr>
        <w:t>1.1000</w:t>
      </w:r>
      <w:r w:rsidRPr="00490741">
        <w:rPr>
          <w:rFonts w:asciiTheme="minorEastAsia" w:eastAsiaTheme="minorEastAsia" w:hAnsiTheme="minorEastAsia" w:hint="eastAsia"/>
          <w:color w:val="000000" w:themeColor="text1"/>
        </w:rPr>
        <w:t>元，转入</w:t>
      </w:r>
      <w:r w:rsidRPr="00490741">
        <w:rPr>
          <w:rFonts w:asciiTheme="minorEastAsia" w:eastAsiaTheme="minorEastAsia" w:hAnsiTheme="minorEastAsia"/>
          <w:color w:val="000000" w:themeColor="text1"/>
        </w:rPr>
        <w:t>易方达策略成长二号混合型基金</w:t>
      </w:r>
      <w:r w:rsidRPr="00490741">
        <w:rPr>
          <w:rFonts w:asciiTheme="minorEastAsia" w:eastAsiaTheme="minorEastAsia" w:hAnsiTheme="minorEastAsia" w:hint="eastAsia"/>
          <w:color w:val="000000" w:themeColor="text1"/>
        </w:rPr>
        <w:t>T</w:t>
      </w:r>
      <w:r w:rsidRPr="00490741">
        <w:rPr>
          <w:rFonts w:asciiTheme="minorEastAsia" w:eastAsiaTheme="minorEastAsia" w:hAnsiTheme="minorEastAsia" w:hint="eastAsia"/>
          <w:color w:val="000000" w:themeColor="text1"/>
        </w:rPr>
        <w:t>日的基金份额净值为</w:t>
      </w:r>
      <w:r w:rsidRPr="00490741">
        <w:rPr>
          <w:rFonts w:asciiTheme="minorEastAsia" w:eastAsiaTheme="minorEastAsia" w:hAnsiTheme="minorEastAsia" w:hint="eastAsia"/>
          <w:color w:val="000000" w:themeColor="text1"/>
        </w:rPr>
        <w:t>1.020</w:t>
      </w:r>
      <w:r w:rsidRPr="00490741">
        <w:rPr>
          <w:rFonts w:asciiTheme="minorEastAsia" w:eastAsiaTheme="minorEastAsia" w:hAnsiTheme="minorEastAsia" w:hint="eastAsia"/>
          <w:color w:val="000000" w:themeColor="text1"/>
        </w:rPr>
        <w:t>元，假设该转出基金的赎回费率为</w:t>
      </w:r>
      <w:r w:rsidRPr="00490741">
        <w:rPr>
          <w:rFonts w:asciiTheme="minorEastAsia" w:eastAsiaTheme="minorEastAsia" w:hAnsiTheme="minorEastAsia" w:hint="eastAsia"/>
          <w:color w:val="000000" w:themeColor="text1"/>
        </w:rPr>
        <w:t>0.5%</w:t>
      </w:r>
      <w:r w:rsidRPr="00490741">
        <w:rPr>
          <w:rFonts w:asciiTheme="minorEastAsia" w:eastAsiaTheme="minorEastAsia" w:hAnsiTheme="minorEastAsia" w:hint="eastAsia"/>
          <w:color w:val="000000" w:themeColor="text1"/>
        </w:rPr>
        <w:t>，申购补差费率为</w:t>
      </w:r>
      <w:r w:rsidRPr="00490741">
        <w:rPr>
          <w:rFonts w:asciiTheme="minorEastAsia" w:eastAsiaTheme="minorEastAsia" w:hAnsiTheme="minorEastAsia" w:hint="eastAsia"/>
          <w:color w:val="000000" w:themeColor="text1"/>
        </w:rPr>
        <w:t>0.5%</w:t>
      </w:r>
      <w:r w:rsidRPr="00490741">
        <w:rPr>
          <w:rFonts w:asciiTheme="minorEastAsia" w:eastAsiaTheme="minorEastAsia" w:hAnsiTheme="minorEastAsia" w:hint="eastAsia"/>
          <w:color w:val="000000" w:themeColor="text1"/>
        </w:rPr>
        <w:t>，则可获得转入基金的</w:t>
      </w:r>
      <w:r w:rsidRPr="00490741">
        <w:rPr>
          <w:rFonts w:asciiTheme="minorEastAsia" w:eastAsiaTheme="minorEastAsia" w:hAnsiTheme="minorEastAsia"/>
          <w:color w:val="000000" w:themeColor="text1"/>
        </w:rPr>
        <w:t>易方达策略成长二号混合型基金</w:t>
      </w:r>
      <w:r w:rsidRPr="00490741">
        <w:rPr>
          <w:rFonts w:asciiTheme="minorEastAsia" w:eastAsiaTheme="minorEastAsia" w:hAnsiTheme="minorEastAsia" w:hint="eastAsia"/>
          <w:color w:val="000000" w:themeColor="text1"/>
        </w:rPr>
        <w:t>基金份额计算如下：</w:t>
      </w:r>
    </w:p>
    <w:p w:rsidR="0002608C" w:rsidRPr="00490741" w:rsidP="00107648">
      <w:pPr>
        <w:snapToGrid w:val="0"/>
        <w:spacing w:line="360" w:lineRule="auto"/>
        <w:ind w:firstLine="482"/>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转换</w:t>
      </w:r>
      <w:r w:rsidRPr="00490741">
        <w:rPr>
          <w:rFonts w:asciiTheme="minorEastAsia" w:eastAsiaTheme="minorEastAsia" w:hAnsiTheme="minorEastAsia"/>
          <w:color w:val="000000" w:themeColor="text1"/>
        </w:rPr>
        <w:t>金额＝转出基金申请份额</w:t>
      </w: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转出基金份额净值</w:t>
      </w:r>
      <w:r w:rsidRPr="00490741">
        <w:rPr>
          <w:rFonts w:asciiTheme="minorEastAsia" w:eastAsiaTheme="minorEastAsia" w:hAnsiTheme="minorEastAsia"/>
          <w:color w:val="000000" w:themeColor="text1"/>
        </w:rPr>
        <w:t>=10</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000×1</w:t>
      </w:r>
      <w:r w:rsidRPr="00490741">
        <w:rPr>
          <w:rFonts w:asciiTheme="minorEastAsia" w:eastAsiaTheme="minorEastAsia" w:hAnsiTheme="minorEastAsia" w:hint="eastAsia"/>
          <w:color w:val="000000" w:themeColor="text1"/>
        </w:rPr>
        <w:t>.1000</w:t>
      </w: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1</w:t>
      </w:r>
      <w:r w:rsidRPr="00490741">
        <w:rPr>
          <w:rFonts w:asciiTheme="minorEastAsia" w:eastAsiaTheme="minorEastAsia" w:hAnsiTheme="minorEastAsia" w:hint="eastAsia"/>
          <w:color w:val="000000" w:themeColor="text1"/>
        </w:rPr>
        <w:t>1,</w:t>
      </w:r>
      <w:r w:rsidRPr="00490741">
        <w:rPr>
          <w:rFonts w:asciiTheme="minorEastAsia" w:eastAsiaTheme="minorEastAsia" w:hAnsiTheme="minorEastAsia"/>
          <w:color w:val="000000" w:themeColor="text1"/>
        </w:rPr>
        <w:t>000</w:t>
      </w:r>
      <w:r w:rsidRPr="00490741">
        <w:rPr>
          <w:rFonts w:asciiTheme="minorEastAsia" w:eastAsiaTheme="minorEastAsia" w:hAnsiTheme="minorEastAsia" w:hint="eastAsia"/>
          <w:color w:val="000000" w:themeColor="text1"/>
        </w:rPr>
        <w:t>.00</w:t>
      </w:r>
      <w:r w:rsidRPr="00490741">
        <w:rPr>
          <w:rFonts w:asciiTheme="minorEastAsia" w:eastAsiaTheme="minorEastAsia" w:hAnsiTheme="minorEastAsia"/>
          <w:color w:val="000000" w:themeColor="text1"/>
        </w:rPr>
        <w:t>元</w:t>
      </w:r>
    </w:p>
    <w:p w:rsidR="0002608C" w:rsidRPr="00490741" w:rsidP="00107648">
      <w:pPr>
        <w:snapToGrid w:val="0"/>
        <w:spacing w:line="360" w:lineRule="auto"/>
        <w:ind w:firstLine="482"/>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转出基金</w:t>
      </w:r>
      <w:r w:rsidRPr="00490741">
        <w:rPr>
          <w:rFonts w:asciiTheme="minorEastAsia" w:eastAsiaTheme="minorEastAsia" w:hAnsiTheme="minorEastAsia"/>
          <w:color w:val="000000" w:themeColor="text1"/>
        </w:rPr>
        <w:t>赎回费＝</w:t>
      </w:r>
      <w:r w:rsidRPr="00490741">
        <w:rPr>
          <w:rFonts w:asciiTheme="minorEastAsia" w:eastAsiaTheme="minorEastAsia" w:hAnsiTheme="minorEastAsia" w:hint="eastAsia"/>
          <w:color w:val="000000" w:themeColor="text1"/>
        </w:rPr>
        <w:t>转换</w:t>
      </w:r>
      <w:r w:rsidRPr="00490741">
        <w:rPr>
          <w:rFonts w:asciiTheme="minorEastAsia" w:eastAsiaTheme="minorEastAsia" w:hAnsiTheme="minorEastAsia"/>
          <w:color w:val="000000" w:themeColor="text1"/>
        </w:rPr>
        <w:t>金额</w:t>
      </w:r>
      <w:r w:rsidRPr="00490741">
        <w:rPr>
          <w:rFonts w:asciiTheme="minorEastAsia" w:eastAsiaTheme="minorEastAsia" w:hAnsiTheme="minorEastAsia"/>
          <w:color w:val="000000" w:themeColor="text1"/>
        </w:rPr>
        <w:t>×</w:t>
      </w:r>
      <w:r w:rsidRPr="00490741">
        <w:rPr>
          <w:rFonts w:asciiTheme="minorEastAsia" w:eastAsiaTheme="minorEastAsia" w:hAnsiTheme="minorEastAsia" w:hint="eastAsia"/>
          <w:color w:val="000000" w:themeColor="text1"/>
        </w:rPr>
        <w:t>转出基金</w:t>
      </w:r>
      <w:r w:rsidRPr="00490741">
        <w:rPr>
          <w:rFonts w:asciiTheme="minorEastAsia" w:eastAsiaTheme="minorEastAsia" w:hAnsiTheme="minorEastAsia"/>
          <w:color w:val="000000" w:themeColor="text1"/>
        </w:rPr>
        <w:t>赎回费率</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1</w:t>
      </w:r>
      <w:r w:rsidRPr="00490741">
        <w:rPr>
          <w:rFonts w:asciiTheme="minorEastAsia" w:eastAsiaTheme="minorEastAsia" w:hAnsiTheme="minorEastAsia" w:hint="eastAsia"/>
          <w:color w:val="000000" w:themeColor="text1"/>
        </w:rPr>
        <w:t>1,</w:t>
      </w:r>
      <w:r w:rsidRPr="00490741">
        <w:rPr>
          <w:rFonts w:asciiTheme="minorEastAsia" w:eastAsiaTheme="minorEastAsia" w:hAnsiTheme="minorEastAsia"/>
          <w:color w:val="000000" w:themeColor="text1"/>
        </w:rPr>
        <w:t>000</w:t>
      </w:r>
      <w:r w:rsidRPr="00490741">
        <w:rPr>
          <w:rFonts w:asciiTheme="minorEastAsia" w:eastAsiaTheme="minorEastAsia" w:hAnsiTheme="minorEastAsia" w:hint="eastAsia"/>
          <w:color w:val="000000" w:themeColor="text1"/>
        </w:rPr>
        <w:t>.00</w:t>
      </w:r>
      <w:r w:rsidRPr="00490741">
        <w:rPr>
          <w:rFonts w:asciiTheme="minorEastAsia" w:eastAsiaTheme="minorEastAsia" w:hAnsiTheme="minorEastAsia"/>
          <w:color w:val="000000" w:themeColor="text1"/>
        </w:rPr>
        <w:t>×</w:t>
      </w:r>
      <w:r w:rsidRPr="00490741">
        <w:rPr>
          <w:rFonts w:asciiTheme="minorEastAsia" w:eastAsiaTheme="minorEastAsia" w:hAnsiTheme="minorEastAsia" w:hint="eastAsia"/>
          <w:color w:val="000000" w:themeColor="text1"/>
        </w:rPr>
        <w:t>0.5%=55.00</w:t>
      </w:r>
      <w:r w:rsidRPr="00490741">
        <w:rPr>
          <w:rFonts w:asciiTheme="minorEastAsia" w:eastAsiaTheme="minorEastAsia" w:hAnsiTheme="minorEastAsia" w:hint="eastAsia"/>
          <w:color w:val="000000" w:themeColor="text1"/>
        </w:rPr>
        <w:t>元</w:t>
      </w:r>
    </w:p>
    <w:p w:rsidR="0002608C" w:rsidRPr="00490741" w:rsidP="00107648">
      <w:pPr>
        <w:snapToGrid w:val="0"/>
        <w:spacing w:line="360" w:lineRule="auto"/>
        <w:ind w:firstLine="482"/>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申购</w:t>
      </w:r>
      <w:r w:rsidRPr="00490741">
        <w:rPr>
          <w:rFonts w:asciiTheme="minorEastAsia" w:eastAsiaTheme="minorEastAsia" w:hAnsiTheme="minorEastAsia"/>
          <w:color w:val="000000" w:themeColor="text1"/>
        </w:rPr>
        <w:t>补差费</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（转换</w:t>
      </w:r>
      <w:r w:rsidRPr="00490741">
        <w:rPr>
          <w:rFonts w:asciiTheme="minorEastAsia" w:eastAsiaTheme="minorEastAsia" w:hAnsiTheme="minorEastAsia"/>
          <w:color w:val="000000" w:themeColor="text1"/>
        </w:rPr>
        <w:t>金额</w:t>
      </w:r>
      <w:r w:rsidRPr="00490741">
        <w:rPr>
          <w:rFonts w:asciiTheme="minorEastAsia" w:eastAsiaTheme="minorEastAsia" w:hAnsiTheme="minorEastAsia" w:hint="eastAsia"/>
          <w:color w:val="000000" w:themeColor="text1"/>
        </w:rPr>
        <w:t>—转出基金</w:t>
      </w:r>
      <w:r w:rsidRPr="00490741">
        <w:rPr>
          <w:rFonts w:asciiTheme="minorEastAsia" w:eastAsiaTheme="minorEastAsia" w:hAnsiTheme="minorEastAsia"/>
          <w:color w:val="000000" w:themeColor="text1"/>
        </w:rPr>
        <w:t>赎回费</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w:t>
      </w:r>
      <w:r w:rsidRPr="00490741">
        <w:rPr>
          <w:rFonts w:asciiTheme="minorEastAsia" w:eastAsiaTheme="minorEastAsia" w:hAnsiTheme="minorEastAsia" w:hint="eastAsia"/>
          <w:color w:val="000000" w:themeColor="text1"/>
        </w:rPr>
        <w:t>申购</w:t>
      </w:r>
      <w:r w:rsidRPr="00490741">
        <w:rPr>
          <w:rFonts w:asciiTheme="minorEastAsia" w:eastAsiaTheme="minorEastAsia" w:hAnsiTheme="minorEastAsia"/>
          <w:color w:val="000000" w:themeColor="text1"/>
        </w:rPr>
        <w:t>补差费率</w:t>
      </w: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（１＋</w:t>
      </w:r>
      <w:r w:rsidRPr="00490741">
        <w:rPr>
          <w:rFonts w:asciiTheme="minorEastAsia" w:eastAsiaTheme="minorEastAsia" w:hAnsiTheme="minorEastAsia" w:hint="eastAsia"/>
          <w:color w:val="000000" w:themeColor="text1"/>
        </w:rPr>
        <w:t>申购</w:t>
      </w:r>
      <w:r w:rsidRPr="00490741">
        <w:rPr>
          <w:rFonts w:asciiTheme="minorEastAsia" w:eastAsiaTheme="minorEastAsia" w:hAnsiTheme="minorEastAsia"/>
          <w:color w:val="000000" w:themeColor="text1"/>
        </w:rPr>
        <w:t>补差费率）</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1</w:t>
      </w:r>
      <w:r w:rsidRPr="00490741">
        <w:rPr>
          <w:rFonts w:asciiTheme="minorEastAsia" w:eastAsiaTheme="minorEastAsia" w:hAnsiTheme="minorEastAsia" w:hint="eastAsia"/>
          <w:color w:val="000000" w:themeColor="text1"/>
        </w:rPr>
        <w:t>1,</w:t>
      </w:r>
      <w:r w:rsidRPr="00490741">
        <w:rPr>
          <w:rFonts w:asciiTheme="minorEastAsia" w:eastAsiaTheme="minorEastAsia" w:hAnsiTheme="minorEastAsia"/>
          <w:color w:val="000000" w:themeColor="text1"/>
        </w:rPr>
        <w:t>000</w:t>
      </w:r>
      <w:r w:rsidRPr="00490741">
        <w:rPr>
          <w:rFonts w:asciiTheme="minorEastAsia" w:eastAsiaTheme="minorEastAsia" w:hAnsiTheme="minorEastAsia" w:hint="eastAsia"/>
          <w:color w:val="000000" w:themeColor="text1"/>
        </w:rPr>
        <w:t>.00-55.00</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w:t>
      </w:r>
      <w:r w:rsidRPr="00490741">
        <w:rPr>
          <w:rFonts w:asciiTheme="minorEastAsia" w:eastAsiaTheme="minorEastAsia" w:hAnsiTheme="minorEastAsia" w:hint="eastAsia"/>
          <w:color w:val="000000" w:themeColor="text1"/>
        </w:rPr>
        <w:t>0.5%</w:t>
      </w:r>
      <w:r w:rsidRPr="00490741">
        <w:rPr>
          <w:rFonts w:asciiTheme="minorEastAsia" w:eastAsiaTheme="minorEastAsia" w:hAnsiTheme="minorEastAsia"/>
          <w:color w:val="000000" w:themeColor="text1"/>
        </w:rPr>
        <w:t>÷</w:t>
      </w:r>
      <w:r w:rsidRPr="00490741">
        <w:rPr>
          <w:rFonts w:asciiTheme="minorEastAsia" w:eastAsiaTheme="minorEastAsia" w:hAnsiTheme="minorEastAsia" w:hint="eastAsia"/>
          <w:color w:val="000000" w:themeColor="text1"/>
        </w:rPr>
        <w:t>(1+0.5%)=54.45</w:t>
      </w:r>
      <w:r w:rsidRPr="00490741">
        <w:rPr>
          <w:rFonts w:asciiTheme="minorEastAsia" w:eastAsiaTheme="minorEastAsia" w:hAnsiTheme="minorEastAsia" w:hint="eastAsia"/>
          <w:color w:val="000000" w:themeColor="text1"/>
        </w:rPr>
        <w:t>元</w:t>
      </w:r>
    </w:p>
    <w:p w:rsidR="0002608C" w:rsidRPr="00490741" w:rsidP="00107648">
      <w:pPr>
        <w:snapToGrid w:val="0"/>
        <w:spacing w:line="360" w:lineRule="auto"/>
        <w:ind w:firstLine="482"/>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转换费＝转出基金赎回费</w:t>
      </w: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申购补差费</w:t>
      </w:r>
      <w:r w:rsidRPr="00490741">
        <w:rPr>
          <w:rFonts w:asciiTheme="minorEastAsia" w:eastAsiaTheme="minorEastAsia" w:hAnsiTheme="minorEastAsia"/>
          <w:color w:val="000000" w:themeColor="text1"/>
        </w:rPr>
        <w:t>=</w:t>
      </w:r>
      <w:r w:rsidRPr="00490741">
        <w:rPr>
          <w:rFonts w:asciiTheme="minorEastAsia" w:eastAsiaTheme="minorEastAsia" w:hAnsiTheme="minorEastAsia" w:hint="eastAsia"/>
          <w:color w:val="000000" w:themeColor="text1"/>
        </w:rPr>
        <w:t>55.00</w:t>
      </w:r>
      <w:r w:rsidRPr="00490741">
        <w:rPr>
          <w:rFonts w:asciiTheme="minorEastAsia" w:eastAsiaTheme="minorEastAsia" w:hAnsiTheme="minorEastAsia"/>
          <w:color w:val="000000" w:themeColor="text1"/>
        </w:rPr>
        <w:t>+</w:t>
      </w:r>
      <w:r w:rsidRPr="00490741">
        <w:rPr>
          <w:rFonts w:asciiTheme="minorEastAsia" w:eastAsiaTheme="minorEastAsia" w:hAnsiTheme="minorEastAsia" w:hint="eastAsia"/>
          <w:color w:val="000000" w:themeColor="text1"/>
        </w:rPr>
        <w:t>54.45</w:t>
      </w:r>
      <w:r w:rsidRPr="00490741">
        <w:rPr>
          <w:rFonts w:asciiTheme="minorEastAsia" w:eastAsiaTheme="minorEastAsia" w:hAnsiTheme="minorEastAsia"/>
          <w:color w:val="000000" w:themeColor="text1"/>
        </w:rPr>
        <w:t>＝</w:t>
      </w:r>
      <w:r w:rsidRPr="00490741">
        <w:rPr>
          <w:rFonts w:asciiTheme="minorEastAsia" w:eastAsiaTheme="minorEastAsia" w:hAnsiTheme="minorEastAsia" w:hint="eastAsia"/>
          <w:color w:val="000000" w:themeColor="text1"/>
        </w:rPr>
        <w:t>109.45</w:t>
      </w:r>
      <w:r w:rsidRPr="00490741">
        <w:rPr>
          <w:rFonts w:asciiTheme="minorEastAsia" w:eastAsiaTheme="minorEastAsia" w:hAnsiTheme="minorEastAsia" w:hint="eastAsia"/>
          <w:color w:val="000000" w:themeColor="text1"/>
        </w:rPr>
        <w:t>元</w:t>
      </w:r>
    </w:p>
    <w:p w:rsidR="0002608C" w:rsidRPr="00490741" w:rsidP="00107648">
      <w:pPr>
        <w:snapToGrid w:val="0"/>
        <w:spacing w:line="360" w:lineRule="auto"/>
        <w:ind w:firstLine="482"/>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转入金额</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转换</w:t>
      </w:r>
      <w:r w:rsidRPr="00490741">
        <w:rPr>
          <w:rFonts w:asciiTheme="minorEastAsia" w:eastAsiaTheme="minorEastAsia" w:hAnsiTheme="minorEastAsia"/>
          <w:color w:val="000000" w:themeColor="text1"/>
        </w:rPr>
        <w:t>金额</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转换费</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1</w:t>
      </w:r>
      <w:r w:rsidRPr="00490741">
        <w:rPr>
          <w:rFonts w:asciiTheme="minorEastAsia" w:eastAsiaTheme="minorEastAsia" w:hAnsiTheme="minorEastAsia" w:hint="eastAsia"/>
          <w:color w:val="000000" w:themeColor="text1"/>
        </w:rPr>
        <w:t>1,</w:t>
      </w:r>
      <w:r w:rsidRPr="00490741">
        <w:rPr>
          <w:rFonts w:asciiTheme="minorEastAsia" w:eastAsiaTheme="minorEastAsia" w:hAnsiTheme="minorEastAsia"/>
          <w:color w:val="000000" w:themeColor="text1"/>
        </w:rPr>
        <w:t>000</w:t>
      </w:r>
      <w:r w:rsidRPr="00490741">
        <w:rPr>
          <w:rFonts w:asciiTheme="minorEastAsia" w:eastAsiaTheme="minorEastAsia" w:hAnsiTheme="minorEastAsia" w:hint="eastAsia"/>
          <w:color w:val="000000" w:themeColor="text1"/>
        </w:rPr>
        <w:t>.00-109.45=10,890.55</w:t>
      </w:r>
      <w:r w:rsidRPr="00490741">
        <w:rPr>
          <w:rFonts w:asciiTheme="minorEastAsia" w:eastAsiaTheme="minorEastAsia" w:hAnsiTheme="minorEastAsia" w:hint="eastAsia"/>
          <w:color w:val="000000" w:themeColor="text1"/>
        </w:rPr>
        <w:t>元</w:t>
      </w:r>
    </w:p>
    <w:p w:rsidR="0002608C" w:rsidRPr="00490741" w:rsidP="00107648">
      <w:pPr>
        <w:snapToGrid w:val="0"/>
        <w:spacing w:line="360" w:lineRule="auto"/>
        <w:ind w:firstLine="482"/>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转入份额</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转入金额</w:t>
      </w:r>
      <w:r w:rsidRPr="00490741">
        <w:rPr>
          <w:rFonts w:asciiTheme="minorEastAsia" w:eastAsiaTheme="minorEastAsia" w:hAnsiTheme="minorEastAsia"/>
          <w:color w:val="000000" w:themeColor="text1"/>
        </w:rPr>
        <w:t>÷</w:t>
      </w:r>
      <w:r w:rsidRPr="00490741">
        <w:rPr>
          <w:rFonts w:asciiTheme="minorEastAsia" w:eastAsiaTheme="minorEastAsia" w:hAnsiTheme="minorEastAsia" w:hint="eastAsia"/>
          <w:color w:val="000000" w:themeColor="text1"/>
        </w:rPr>
        <w:t>转入基金份额净值</w:t>
      </w:r>
      <w:r w:rsidRPr="00490741">
        <w:rPr>
          <w:rFonts w:asciiTheme="minorEastAsia" w:eastAsiaTheme="minorEastAsia" w:hAnsiTheme="minorEastAsia" w:hint="eastAsia"/>
          <w:color w:val="000000" w:themeColor="text1"/>
        </w:rPr>
        <w:t>=10,890.55</w:t>
      </w:r>
      <w:r w:rsidRPr="00490741">
        <w:rPr>
          <w:rFonts w:asciiTheme="minorEastAsia" w:eastAsiaTheme="minorEastAsia" w:hAnsiTheme="minorEastAsia"/>
          <w:color w:val="000000" w:themeColor="text1"/>
        </w:rPr>
        <w:t>÷</w:t>
      </w:r>
      <w:r w:rsidRPr="00490741">
        <w:rPr>
          <w:rFonts w:asciiTheme="minorEastAsia" w:eastAsiaTheme="minorEastAsia" w:hAnsiTheme="minorEastAsia" w:hint="eastAsia"/>
          <w:color w:val="000000" w:themeColor="text1"/>
        </w:rPr>
        <w:t>1.020=10,677.01</w:t>
      </w:r>
      <w:r w:rsidRPr="00490741">
        <w:rPr>
          <w:rFonts w:asciiTheme="minorEastAsia" w:eastAsiaTheme="minorEastAsia" w:hAnsiTheme="minorEastAsia" w:hint="eastAsia"/>
          <w:color w:val="000000" w:themeColor="text1"/>
        </w:rPr>
        <w:t>份</w:t>
      </w:r>
    </w:p>
    <w:tbl>
      <w:tblPr>
        <w:tblW w:w="95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992"/>
        <w:gridCol w:w="1282"/>
        <w:gridCol w:w="1260"/>
        <w:gridCol w:w="1080"/>
        <w:gridCol w:w="1440"/>
        <w:gridCol w:w="1185"/>
        <w:gridCol w:w="1335"/>
      </w:tblGrid>
      <w:tr w:rsidTr="00E1094C">
        <w:tblPrEx>
          <w:tblW w:w="95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413"/>
        </w:trPr>
        <w:tc>
          <w:tcPr>
            <w:tcW w:w="993" w:type="dxa"/>
            <w:vMerge w:val="restart"/>
          </w:tcPr>
          <w:p w:rsidR="0002608C" w:rsidRPr="00490741" w:rsidP="00107648">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490741">
              <w:rPr>
                <w:rFonts w:asciiTheme="minorEastAsia" w:eastAsiaTheme="minorEastAsia" w:hAnsiTheme="minorEastAsia" w:hint="eastAsia"/>
                <w:color w:val="000000" w:themeColor="text1"/>
                <w:szCs w:val="20"/>
              </w:rPr>
              <w:t>转出</w:t>
            </w:r>
            <w:r w:rsidRPr="00490741">
              <w:rPr>
                <w:rFonts w:asciiTheme="minorEastAsia" w:eastAsiaTheme="minorEastAsia" w:hAnsiTheme="minorEastAsia"/>
                <w:color w:val="000000" w:themeColor="text1"/>
                <w:szCs w:val="20"/>
              </w:rPr>
              <w:t>份额</w:t>
            </w:r>
          </w:p>
        </w:tc>
        <w:tc>
          <w:tcPr>
            <w:tcW w:w="992" w:type="dxa"/>
            <w:vMerge w:val="restart"/>
          </w:tcPr>
          <w:p w:rsidR="0002608C" w:rsidRPr="00490741" w:rsidP="00107648">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490741">
              <w:rPr>
                <w:rFonts w:asciiTheme="minorEastAsia" w:eastAsiaTheme="minorEastAsia" w:hAnsiTheme="minorEastAsia" w:hint="eastAsia"/>
                <w:color w:val="000000" w:themeColor="text1"/>
                <w:szCs w:val="20"/>
              </w:rPr>
              <w:t>转出</w:t>
            </w:r>
            <w:r w:rsidRPr="00490741">
              <w:rPr>
                <w:rFonts w:asciiTheme="minorEastAsia" w:eastAsiaTheme="minorEastAsia" w:hAnsiTheme="minorEastAsia"/>
                <w:color w:val="000000" w:themeColor="text1"/>
                <w:szCs w:val="20"/>
              </w:rPr>
              <w:t>基金</w:t>
            </w:r>
            <w:r w:rsidRPr="00490741">
              <w:rPr>
                <w:rFonts w:asciiTheme="minorEastAsia" w:eastAsiaTheme="minorEastAsia" w:hAnsiTheme="minorEastAsia" w:hint="eastAsia"/>
                <w:color w:val="000000" w:themeColor="text1"/>
                <w:szCs w:val="20"/>
              </w:rPr>
              <w:t>份额</w:t>
            </w:r>
            <w:r w:rsidRPr="00490741">
              <w:rPr>
                <w:rFonts w:asciiTheme="minorEastAsia" w:eastAsiaTheme="minorEastAsia" w:hAnsiTheme="minorEastAsia"/>
                <w:color w:val="000000" w:themeColor="text1"/>
                <w:szCs w:val="20"/>
              </w:rPr>
              <w:t>净值</w:t>
            </w:r>
          </w:p>
        </w:tc>
        <w:tc>
          <w:tcPr>
            <w:tcW w:w="1282" w:type="dxa"/>
            <w:vMerge w:val="restart"/>
          </w:tcPr>
          <w:p w:rsidR="0002608C" w:rsidRPr="00490741" w:rsidP="00107648">
            <w:pPr>
              <w:snapToGrid w:val="0"/>
              <w:spacing w:line="360" w:lineRule="auto"/>
              <w:ind w:left="-107" w:right="-120" w:leftChars="-51" w:rightChars="-57"/>
              <w:jc w:val="center"/>
              <w:rPr>
                <w:rFonts w:asciiTheme="minorEastAsia" w:eastAsiaTheme="minorEastAsia" w:hAnsiTheme="minorEastAsia"/>
                <w:color w:val="000000" w:themeColor="text1"/>
                <w:szCs w:val="20"/>
              </w:rPr>
            </w:pPr>
            <w:r w:rsidRPr="00490741">
              <w:rPr>
                <w:rFonts w:asciiTheme="minorEastAsia" w:eastAsiaTheme="minorEastAsia" w:hAnsiTheme="minorEastAsia" w:hint="eastAsia"/>
                <w:color w:val="000000" w:themeColor="text1"/>
                <w:szCs w:val="20"/>
              </w:rPr>
              <w:t>转换金额</w:t>
            </w:r>
          </w:p>
        </w:tc>
        <w:tc>
          <w:tcPr>
            <w:tcW w:w="2340" w:type="dxa"/>
            <w:gridSpan w:val="2"/>
          </w:tcPr>
          <w:p w:rsidR="0002608C" w:rsidRPr="00490741" w:rsidP="00107648">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490741">
              <w:rPr>
                <w:rFonts w:asciiTheme="minorEastAsia" w:eastAsiaTheme="minorEastAsia" w:hAnsiTheme="minorEastAsia" w:hint="eastAsia"/>
                <w:color w:val="000000" w:themeColor="text1"/>
                <w:szCs w:val="20"/>
              </w:rPr>
              <w:t>转换费</w:t>
            </w:r>
          </w:p>
        </w:tc>
        <w:tc>
          <w:tcPr>
            <w:tcW w:w="1440" w:type="dxa"/>
            <w:vMerge w:val="restart"/>
          </w:tcPr>
          <w:p w:rsidR="0002608C" w:rsidRPr="00490741" w:rsidP="00107648">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490741">
              <w:rPr>
                <w:rFonts w:asciiTheme="minorEastAsia" w:eastAsiaTheme="minorEastAsia" w:hAnsiTheme="minorEastAsia" w:hint="eastAsia"/>
                <w:color w:val="000000" w:themeColor="text1"/>
                <w:szCs w:val="20"/>
              </w:rPr>
              <w:t>转入金额</w:t>
            </w:r>
          </w:p>
        </w:tc>
        <w:tc>
          <w:tcPr>
            <w:tcW w:w="1185" w:type="dxa"/>
            <w:vMerge w:val="restart"/>
          </w:tcPr>
          <w:p w:rsidR="0002608C" w:rsidRPr="00490741" w:rsidP="00107648">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490741">
              <w:rPr>
                <w:rFonts w:asciiTheme="minorEastAsia" w:eastAsiaTheme="minorEastAsia" w:hAnsiTheme="minorEastAsia" w:hint="eastAsia"/>
                <w:color w:val="000000" w:themeColor="text1"/>
                <w:szCs w:val="20"/>
              </w:rPr>
              <w:t>转入</w:t>
            </w:r>
            <w:r w:rsidRPr="00490741">
              <w:rPr>
                <w:rFonts w:asciiTheme="minorEastAsia" w:eastAsiaTheme="minorEastAsia" w:hAnsiTheme="minorEastAsia"/>
                <w:color w:val="000000" w:themeColor="text1"/>
                <w:szCs w:val="20"/>
              </w:rPr>
              <w:t>基金</w:t>
            </w:r>
            <w:r w:rsidRPr="00490741">
              <w:rPr>
                <w:rFonts w:asciiTheme="minorEastAsia" w:eastAsiaTheme="minorEastAsia" w:hAnsiTheme="minorEastAsia" w:hint="eastAsia"/>
                <w:color w:val="000000" w:themeColor="text1"/>
                <w:szCs w:val="20"/>
              </w:rPr>
              <w:t>份额</w:t>
            </w:r>
            <w:r w:rsidRPr="00490741">
              <w:rPr>
                <w:rFonts w:asciiTheme="minorEastAsia" w:eastAsiaTheme="minorEastAsia" w:hAnsiTheme="minorEastAsia"/>
                <w:color w:val="000000" w:themeColor="text1"/>
                <w:szCs w:val="20"/>
              </w:rPr>
              <w:t>净值</w:t>
            </w:r>
          </w:p>
        </w:tc>
        <w:tc>
          <w:tcPr>
            <w:tcW w:w="1335" w:type="dxa"/>
            <w:vMerge w:val="restart"/>
          </w:tcPr>
          <w:p w:rsidR="0002608C" w:rsidRPr="00490741" w:rsidP="00107648">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490741">
              <w:rPr>
                <w:rFonts w:asciiTheme="minorEastAsia" w:eastAsiaTheme="minorEastAsia" w:hAnsiTheme="minorEastAsia" w:hint="eastAsia"/>
                <w:color w:val="000000" w:themeColor="text1"/>
                <w:szCs w:val="20"/>
              </w:rPr>
              <w:t>转入份额</w:t>
            </w:r>
          </w:p>
        </w:tc>
      </w:tr>
      <w:tr w:rsidTr="00E1094C">
        <w:tblPrEx>
          <w:tblW w:w="9567" w:type="dxa"/>
          <w:tblInd w:w="-459" w:type="dxa"/>
          <w:tblLayout w:type="fixed"/>
          <w:tblLook w:val="0000"/>
        </w:tblPrEx>
        <w:trPr>
          <w:trHeight w:val="412"/>
        </w:trPr>
        <w:tc>
          <w:tcPr>
            <w:tcW w:w="993" w:type="dxa"/>
            <w:vMerge/>
          </w:tcPr>
          <w:p w:rsidR="0002608C" w:rsidRPr="00490741" w:rsidP="00107648">
            <w:pPr>
              <w:snapToGrid w:val="0"/>
              <w:spacing w:line="360" w:lineRule="auto"/>
              <w:ind w:firstLine="420"/>
              <w:rPr>
                <w:rFonts w:asciiTheme="minorEastAsia" w:eastAsiaTheme="minorEastAsia" w:hAnsiTheme="minorEastAsia"/>
                <w:color w:val="000000" w:themeColor="text1"/>
                <w:szCs w:val="20"/>
              </w:rPr>
            </w:pPr>
          </w:p>
        </w:tc>
        <w:tc>
          <w:tcPr>
            <w:tcW w:w="992" w:type="dxa"/>
            <w:vMerge/>
          </w:tcPr>
          <w:p w:rsidR="0002608C" w:rsidRPr="00490741" w:rsidP="00107648">
            <w:pPr>
              <w:snapToGrid w:val="0"/>
              <w:spacing w:line="360" w:lineRule="auto"/>
              <w:ind w:firstLine="420"/>
              <w:rPr>
                <w:rFonts w:asciiTheme="minorEastAsia" w:eastAsiaTheme="minorEastAsia" w:hAnsiTheme="minorEastAsia"/>
                <w:color w:val="000000" w:themeColor="text1"/>
                <w:szCs w:val="20"/>
              </w:rPr>
            </w:pPr>
          </w:p>
        </w:tc>
        <w:tc>
          <w:tcPr>
            <w:tcW w:w="1282" w:type="dxa"/>
            <w:vMerge/>
          </w:tcPr>
          <w:p w:rsidR="0002608C" w:rsidRPr="00490741" w:rsidP="00107648">
            <w:pPr>
              <w:snapToGrid w:val="0"/>
              <w:spacing w:line="360" w:lineRule="auto"/>
              <w:ind w:firstLine="420"/>
              <w:rPr>
                <w:rFonts w:asciiTheme="minorEastAsia" w:eastAsiaTheme="minorEastAsia" w:hAnsiTheme="minorEastAsia"/>
                <w:color w:val="000000" w:themeColor="text1"/>
                <w:szCs w:val="20"/>
              </w:rPr>
            </w:pPr>
          </w:p>
        </w:tc>
        <w:tc>
          <w:tcPr>
            <w:tcW w:w="1260" w:type="dxa"/>
          </w:tcPr>
          <w:p w:rsidR="0002608C" w:rsidRPr="00490741" w:rsidP="00107648">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490741">
              <w:rPr>
                <w:rFonts w:asciiTheme="minorEastAsia" w:eastAsiaTheme="minorEastAsia" w:hAnsiTheme="minorEastAsia" w:hint="eastAsia"/>
                <w:color w:val="000000" w:themeColor="text1"/>
                <w:szCs w:val="20"/>
              </w:rPr>
              <w:t>转出基金</w:t>
            </w:r>
            <w:r w:rsidRPr="00490741">
              <w:rPr>
                <w:rFonts w:asciiTheme="minorEastAsia" w:eastAsiaTheme="minorEastAsia" w:hAnsiTheme="minorEastAsia"/>
                <w:color w:val="000000" w:themeColor="text1"/>
                <w:szCs w:val="20"/>
              </w:rPr>
              <w:t>赎回费</w:t>
            </w:r>
          </w:p>
        </w:tc>
        <w:tc>
          <w:tcPr>
            <w:tcW w:w="1080" w:type="dxa"/>
          </w:tcPr>
          <w:p w:rsidR="0002608C" w:rsidRPr="00490741" w:rsidP="00107648">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490741">
              <w:rPr>
                <w:rFonts w:asciiTheme="minorEastAsia" w:eastAsiaTheme="minorEastAsia" w:hAnsiTheme="minorEastAsia" w:hint="eastAsia"/>
                <w:color w:val="000000" w:themeColor="text1"/>
                <w:szCs w:val="20"/>
              </w:rPr>
              <w:t>申购</w:t>
            </w:r>
            <w:r w:rsidRPr="00490741">
              <w:rPr>
                <w:rFonts w:asciiTheme="minorEastAsia" w:eastAsiaTheme="minorEastAsia" w:hAnsiTheme="minorEastAsia"/>
                <w:color w:val="000000" w:themeColor="text1"/>
                <w:szCs w:val="20"/>
              </w:rPr>
              <w:t>补差费</w:t>
            </w:r>
          </w:p>
        </w:tc>
        <w:tc>
          <w:tcPr>
            <w:tcW w:w="1440" w:type="dxa"/>
            <w:vMerge/>
          </w:tcPr>
          <w:p w:rsidR="0002608C" w:rsidRPr="00490741" w:rsidP="00107648">
            <w:pPr>
              <w:snapToGrid w:val="0"/>
              <w:spacing w:line="360" w:lineRule="auto"/>
              <w:ind w:firstLine="420"/>
              <w:rPr>
                <w:rFonts w:asciiTheme="minorEastAsia" w:eastAsiaTheme="minorEastAsia" w:hAnsiTheme="minorEastAsia"/>
                <w:color w:val="000000" w:themeColor="text1"/>
                <w:szCs w:val="20"/>
              </w:rPr>
            </w:pPr>
          </w:p>
        </w:tc>
        <w:tc>
          <w:tcPr>
            <w:tcW w:w="1185" w:type="dxa"/>
            <w:vMerge/>
          </w:tcPr>
          <w:p w:rsidR="0002608C" w:rsidRPr="00490741" w:rsidP="00107648">
            <w:pPr>
              <w:snapToGrid w:val="0"/>
              <w:spacing w:line="360" w:lineRule="auto"/>
              <w:ind w:firstLine="420"/>
              <w:rPr>
                <w:rFonts w:asciiTheme="minorEastAsia" w:eastAsiaTheme="minorEastAsia" w:hAnsiTheme="minorEastAsia"/>
                <w:color w:val="000000" w:themeColor="text1"/>
                <w:szCs w:val="20"/>
              </w:rPr>
            </w:pPr>
          </w:p>
        </w:tc>
        <w:tc>
          <w:tcPr>
            <w:tcW w:w="1335" w:type="dxa"/>
            <w:vMerge/>
          </w:tcPr>
          <w:p w:rsidR="0002608C" w:rsidRPr="00490741" w:rsidP="00107648">
            <w:pPr>
              <w:snapToGrid w:val="0"/>
              <w:spacing w:line="360" w:lineRule="auto"/>
              <w:ind w:firstLine="420"/>
              <w:rPr>
                <w:rFonts w:asciiTheme="minorEastAsia" w:eastAsiaTheme="minorEastAsia" w:hAnsiTheme="minorEastAsia"/>
                <w:color w:val="000000" w:themeColor="text1"/>
                <w:szCs w:val="20"/>
              </w:rPr>
            </w:pPr>
          </w:p>
        </w:tc>
      </w:tr>
      <w:tr w:rsidTr="00E1094C">
        <w:tblPrEx>
          <w:tblW w:w="9567" w:type="dxa"/>
          <w:tblInd w:w="-459" w:type="dxa"/>
          <w:tblLayout w:type="fixed"/>
          <w:tblLook w:val="0000"/>
        </w:tblPrEx>
        <w:tc>
          <w:tcPr>
            <w:tcW w:w="993" w:type="dxa"/>
          </w:tcPr>
          <w:p w:rsidR="0002608C" w:rsidRPr="00490741" w:rsidP="00107648">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490741">
              <w:rPr>
                <w:rFonts w:asciiTheme="minorEastAsia" w:eastAsiaTheme="minorEastAsia" w:hAnsiTheme="minorEastAsia"/>
                <w:color w:val="000000" w:themeColor="text1"/>
                <w:szCs w:val="20"/>
              </w:rPr>
              <w:t>10,000</w:t>
            </w:r>
            <w:r w:rsidRPr="00490741">
              <w:rPr>
                <w:rFonts w:asciiTheme="minorEastAsia" w:eastAsiaTheme="minorEastAsia" w:hAnsiTheme="minorEastAsia" w:hint="eastAsia"/>
                <w:color w:val="000000" w:themeColor="text1"/>
                <w:szCs w:val="20"/>
              </w:rPr>
              <w:t>份</w:t>
            </w:r>
          </w:p>
        </w:tc>
        <w:tc>
          <w:tcPr>
            <w:tcW w:w="992" w:type="dxa"/>
          </w:tcPr>
          <w:p w:rsidR="0002608C" w:rsidRPr="00490741" w:rsidP="00107648">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490741">
              <w:rPr>
                <w:rFonts w:asciiTheme="minorEastAsia" w:eastAsiaTheme="minorEastAsia" w:hAnsiTheme="minorEastAsia"/>
                <w:color w:val="000000" w:themeColor="text1"/>
                <w:szCs w:val="20"/>
              </w:rPr>
              <w:t>1.</w:t>
            </w:r>
            <w:r w:rsidRPr="00490741">
              <w:rPr>
                <w:rFonts w:asciiTheme="minorEastAsia" w:eastAsiaTheme="minorEastAsia" w:hAnsiTheme="minorEastAsia" w:hint="eastAsia"/>
                <w:color w:val="000000" w:themeColor="text1"/>
                <w:szCs w:val="20"/>
              </w:rPr>
              <w:t>1</w:t>
            </w:r>
            <w:r w:rsidRPr="00490741">
              <w:rPr>
                <w:rFonts w:asciiTheme="minorEastAsia" w:eastAsiaTheme="minorEastAsia" w:hAnsiTheme="minorEastAsia"/>
                <w:color w:val="000000" w:themeColor="text1"/>
                <w:szCs w:val="20"/>
              </w:rPr>
              <w:t>0</w:t>
            </w:r>
            <w:r w:rsidRPr="00490741">
              <w:rPr>
                <w:rFonts w:asciiTheme="minorEastAsia" w:eastAsiaTheme="minorEastAsia" w:hAnsiTheme="minorEastAsia" w:hint="eastAsia"/>
                <w:color w:val="000000" w:themeColor="text1"/>
                <w:szCs w:val="20"/>
              </w:rPr>
              <w:t>00</w:t>
            </w:r>
            <w:r w:rsidRPr="00490741">
              <w:rPr>
                <w:rFonts w:asciiTheme="minorEastAsia" w:eastAsiaTheme="minorEastAsia" w:hAnsiTheme="minorEastAsia"/>
                <w:color w:val="000000" w:themeColor="text1"/>
                <w:szCs w:val="20"/>
              </w:rPr>
              <w:t>元</w:t>
            </w:r>
          </w:p>
        </w:tc>
        <w:tc>
          <w:tcPr>
            <w:tcW w:w="1282" w:type="dxa"/>
          </w:tcPr>
          <w:p w:rsidR="0002608C" w:rsidRPr="00490741" w:rsidP="00107648">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490741">
              <w:rPr>
                <w:rFonts w:asciiTheme="minorEastAsia" w:eastAsiaTheme="minorEastAsia" w:hAnsiTheme="minorEastAsia" w:hint="eastAsia"/>
                <w:color w:val="000000" w:themeColor="text1"/>
                <w:szCs w:val="20"/>
              </w:rPr>
              <w:t>11,000.00</w:t>
            </w:r>
            <w:r w:rsidRPr="00490741">
              <w:rPr>
                <w:rFonts w:asciiTheme="minorEastAsia" w:eastAsiaTheme="minorEastAsia" w:hAnsiTheme="minorEastAsia" w:hint="eastAsia"/>
                <w:color w:val="000000" w:themeColor="text1"/>
                <w:szCs w:val="20"/>
              </w:rPr>
              <w:t>元</w:t>
            </w:r>
          </w:p>
        </w:tc>
        <w:tc>
          <w:tcPr>
            <w:tcW w:w="1260" w:type="dxa"/>
          </w:tcPr>
          <w:p w:rsidR="0002608C" w:rsidRPr="00490741" w:rsidP="00107648">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490741">
              <w:rPr>
                <w:rFonts w:asciiTheme="minorEastAsia" w:eastAsiaTheme="minorEastAsia" w:hAnsiTheme="minorEastAsia" w:hint="eastAsia"/>
                <w:color w:val="000000" w:themeColor="text1"/>
                <w:szCs w:val="20"/>
              </w:rPr>
              <w:t>55.00</w:t>
            </w:r>
            <w:r w:rsidRPr="00490741">
              <w:rPr>
                <w:rFonts w:asciiTheme="minorEastAsia" w:eastAsiaTheme="minorEastAsia" w:hAnsiTheme="minorEastAsia" w:hint="eastAsia"/>
                <w:color w:val="000000" w:themeColor="text1"/>
                <w:szCs w:val="20"/>
              </w:rPr>
              <w:t>元</w:t>
            </w:r>
          </w:p>
        </w:tc>
        <w:tc>
          <w:tcPr>
            <w:tcW w:w="1080" w:type="dxa"/>
          </w:tcPr>
          <w:p w:rsidR="0002608C" w:rsidRPr="00490741" w:rsidP="00107648">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490741">
              <w:rPr>
                <w:rFonts w:asciiTheme="minorEastAsia" w:eastAsiaTheme="minorEastAsia" w:hAnsiTheme="minorEastAsia" w:hint="eastAsia"/>
                <w:color w:val="000000" w:themeColor="text1"/>
              </w:rPr>
              <w:t>54.45</w:t>
            </w:r>
            <w:r w:rsidRPr="00490741">
              <w:rPr>
                <w:rFonts w:asciiTheme="minorEastAsia" w:eastAsiaTheme="minorEastAsia" w:hAnsiTheme="minorEastAsia" w:hint="eastAsia"/>
                <w:color w:val="000000" w:themeColor="text1"/>
                <w:szCs w:val="20"/>
              </w:rPr>
              <w:t>元</w:t>
            </w:r>
          </w:p>
        </w:tc>
        <w:tc>
          <w:tcPr>
            <w:tcW w:w="1440" w:type="dxa"/>
          </w:tcPr>
          <w:p w:rsidR="0002608C" w:rsidRPr="00490741" w:rsidP="00107648">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490741">
              <w:rPr>
                <w:rFonts w:asciiTheme="minorEastAsia" w:eastAsiaTheme="minorEastAsia" w:hAnsiTheme="minorEastAsia" w:hint="eastAsia"/>
                <w:color w:val="000000" w:themeColor="text1"/>
                <w:szCs w:val="20"/>
              </w:rPr>
              <w:t>10,8</w:t>
            </w:r>
            <w:r w:rsidRPr="00490741">
              <w:rPr>
                <w:rFonts w:asciiTheme="minorEastAsia" w:eastAsiaTheme="minorEastAsia" w:hAnsiTheme="minorEastAsia" w:hint="eastAsia"/>
                <w:color w:val="000000" w:themeColor="text1"/>
              </w:rPr>
              <w:t>90</w:t>
            </w:r>
            <w:r w:rsidRPr="00490741">
              <w:rPr>
                <w:rFonts w:asciiTheme="minorEastAsia" w:eastAsiaTheme="minorEastAsia" w:hAnsiTheme="minorEastAsia" w:hint="eastAsia"/>
                <w:color w:val="000000" w:themeColor="text1"/>
                <w:szCs w:val="20"/>
              </w:rPr>
              <w:t>.</w:t>
            </w:r>
            <w:r w:rsidRPr="00490741">
              <w:rPr>
                <w:rFonts w:asciiTheme="minorEastAsia" w:eastAsiaTheme="minorEastAsia" w:hAnsiTheme="minorEastAsia" w:hint="eastAsia"/>
                <w:color w:val="000000" w:themeColor="text1"/>
              </w:rPr>
              <w:t>55</w:t>
            </w:r>
            <w:r w:rsidRPr="00490741">
              <w:rPr>
                <w:rFonts w:asciiTheme="minorEastAsia" w:eastAsiaTheme="minorEastAsia" w:hAnsiTheme="minorEastAsia" w:hint="eastAsia"/>
                <w:color w:val="000000" w:themeColor="text1"/>
                <w:szCs w:val="20"/>
              </w:rPr>
              <w:t>元</w:t>
            </w:r>
          </w:p>
        </w:tc>
        <w:tc>
          <w:tcPr>
            <w:tcW w:w="1185" w:type="dxa"/>
          </w:tcPr>
          <w:p w:rsidR="0002608C" w:rsidRPr="00490741" w:rsidP="00107648">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490741">
              <w:rPr>
                <w:rFonts w:asciiTheme="minorEastAsia" w:eastAsiaTheme="minorEastAsia" w:hAnsiTheme="minorEastAsia" w:hint="eastAsia"/>
                <w:color w:val="000000" w:themeColor="text1"/>
                <w:szCs w:val="20"/>
              </w:rPr>
              <w:t>1.020</w:t>
            </w:r>
            <w:r w:rsidRPr="00490741">
              <w:rPr>
                <w:rFonts w:asciiTheme="minorEastAsia" w:eastAsiaTheme="minorEastAsia" w:hAnsiTheme="minorEastAsia" w:hint="eastAsia"/>
                <w:color w:val="000000" w:themeColor="text1"/>
                <w:szCs w:val="20"/>
              </w:rPr>
              <w:t>元</w:t>
            </w:r>
          </w:p>
        </w:tc>
        <w:tc>
          <w:tcPr>
            <w:tcW w:w="1335" w:type="dxa"/>
          </w:tcPr>
          <w:p w:rsidR="0002608C" w:rsidRPr="00490741" w:rsidP="00107648">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490741">
              <w:rPr>
                <w:rFonts w:asciiTheme="minorEastAsia" w:eastAsiaTheme="minorEastAsia" w:hAnsiTheme="minorEastAsia" w:hint="eastAsia"/>
                <w:color w:val="000000" w:themeColor="text1"/>
                <w:szCs w:val="20"/>
              </w:rPr>
              <w:t>10,6</w:t>
            </w:r>
            <w:r w:rsidRPr="00490741">
              <w:rPr>
                <w:rFonts w:asciiTheme="minorEastAsia" w:eastAsiaTheme="minorEastAsia" w:hAnsiTheme="minorEastAsia" w:hint="eastAsia"/>
                <w:color w:val="000000" w:themeColor="text1"/>
              </w:rPr>
              <w:t>77</w:t>
            </w:r>
            <w:r w:rsidRPr="00490741">
              <w:rPr>
                <w:rFonts w:asciiTheme="minorEastAsia" w:eastAsiaTheme="minorEastAsia" w:hAnsiTheme="minorEastAsia" w:hint="eastAsia"/>
                <w:color w:val="000000" w:themeColor="text1"/>
                <w:szCs w:val="20"/>
              </w:rPr>
              <w:t>.</w:t>
            </w:r>
            <w:r w:rsidRPr="00490741">
              <w:rPr>
                <w:rFonts w:asciiTheme="minorEastAsia" w:eastAsiaTheme="minorEastAsia" w:hAnsiTheme="minorEastAsia" w:hint="eastAsia"/>
                <w:color w:val="000000" w:themeColor="text1"/>
              </w:rPr>
              <w:t>01</w:t>
            </w:r>
            <w:r w:rsidRPr="00490741">
              <w:rPr>
                <w:rFonts w:asciiTheme="minorEastAsia" w:eastAsiaTheme="minorEastAsia" w:hAnsiTheme="minorEastAsia" w:hint="eastAsia"/>
                <w:color w:val="000000" w:themeColor="text1"/>
                <w:szCs w:val="20"/>
              </w:rPr>
              <w:t>份</w:t>
            </w:r>
          </w:p>
        </w:tc>
      </w:tr>
    </w:tbl>
    <w:p w:rsidR="005E7CD0" w:rsidRPr="00490741" w:rsidP="0035472D">
      <w:pPr>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注：本基金开通与易方达旗下其它开放式基金（由同一注册登记机构办理注册登记的、且已公告开通基金转换业务）之间的转换业务，各基金转换业务的开放状态及交易限制详见</w:t>
      </w:r>
      <w:r w:rsidRPr="00490741">
        <w:rPr>
          <w:rFonts w:asciiTheme="minorEastAsia" w:eastAsiaTheme="minorEastAsia" w:hAnsiTheme="minorEastAsia" w:hint="eastAsia"/>
          <w:color w:val="000000" w:themeColor="text1"/>
          <w:szCs w:val="21"/>
        </w:rPr>
        <w:t>各基金相关公告。投资者需到同时销售拟转出和转入两只基金的同一销售机构办理基金的转换业务，具体的业务流程、办理时间和办理方式以销售机构的规定为准。转入本基金时转入份额的计算结果保留到小数点后两位，小数点后两位以后的部分四舍五入，由此误差产生的损失由基金财产承担，产生的收益归基金财产所有。</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sz w:val="24"/>
        </w:rPr>
      </w:pPr>
      <w:bookmarkStart w:id="52" w:name="_Toc144109264"/>
      <w:bookmarkStart w:id="53" w:name="_Toc114237416"/>
      <w:r w:rsidRPr="00490741">
        <w:rPr>
          <w:rFonts w:asciiTheme="minorEastAsia" w:eastAsiaTheme="minorEastAsia" w:hAnsiTheme="minorEastAsia" w:hint="eastAsia"/>
          <w:b w:val="0"/>
          <w:color w:val="000000" w:themeColor="text1"/>
          <w:sz w:val="24"/>
        </w:rPr>
        <w:t>（七）基金转换的注册登记</w:t>
      </w:r>
      <w:bookmarkEnd w:id="52"/>
      <w:bookmarkEnd w:id="53"/>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投资者</w:t>
      </w:r>
      <w:r w:rsidRPr="00490741">
        <w:rPr>
          <w:rFonts w:asciiTheme="minorEastAsia" w:eastAsiaTheme="minorEastAsia" w:hAnsiTheme="minorEastAsia" w:hint="eastAsia"/>
          <w:color w:val="000000" w:themeColor="text1"/>
          <w:szCs w:val="21"/>
        </w:rPr>
        <w:t>T</w:t>
      </w:r>
      <w:r w:rsidRPr="00490741">
        <w:rPr>
          <w:rFonts w:asciiTheme="minorEastAsia" w:eastAsiaTheme="minorEastAsia" w:hAnsiTheme="minorEastAsia" w:hint="eastAsia"/>
          <w:color w:val="000000" w:themeColor="text1"/>
          <w:szCs w:val="21"/>
        </w:rPr>
        <w:t>日申请基金转换成功后，注册登记机构将在</w:t>
      </w:r>
      <w:r w:rsidRPr="00490741">
        <w:rPr>
          <w:rFonts w:asciiTheme="minorEastAsia" w:eastAsiaTheme="minorEastAsia" w:hAnsiTheme="minorEastAsia" w:hint="eastAsia"/>
          <w:color w:val="000000" w:themeColor="text1"/>
          <w:szCs w:val="21"/>
        </w:rPr>
        <w:t>T</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工作日为投资者办理减少转出基金份额、增加转入基金份额的权益登记手续，一般情况下，投资者自</w:t>
      </w:r>
      <w:r w:rsidRPr="00490741">
        <w:rPr>
          <w:rFonts w:asciiTheme="minorEastAsia" w:eastAsiaTheme="minorEastAsia" w:hAnsiTheme="minorEastAsia" w:hint="eastAsia"/>
          <w:color w:val="000000" w:themeColor="text1"/>
          <w:szCs w:val="21"/>
        </w:rPr>
        <w:t>T</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工作日起有权赎回转入部分的基金份额。</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基金管理人可在</w:t>
      </w:r>
      <w:r w:rsidRPr="00490741">
        <w:rPr>
          <w:rFonts w:asciiTheme="minorEastAsia" w:eastAsiaTheme="minorEastAsia" w:hAnsiTheme="minorEastAsia" w:hint="eastAsia"/>
          <w:color w:val="000000" w:themeColor="text1"/>
          <w:szCs w:val="21"/>
        </w:rPr>
        <w:t>法律法规允许的范围内，对上述注册登记办理时间进行调整，并最迟于开始实施前三个工作日予以公告。</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sz w:val="24"/>
        </w:rPr>
      </w:pPr>
      <w:bookmarkStart w:id="54" w:name="_Toc144109265"/>
      <w:bookmarkStart w:id="55" w:name="_Toc114237417"/>
      <w:r w:rsidRPr="00490741">
        <w:rPr>
          <w:rFonts w:asciiTheme="minorEastAsia" w:eastAsiaTheme="minorEastAsia" w:hAnsiTheme="minorEastAsia" w:hint="eastAsia"/>
          <w:b w:val="0"/>
          <w:color w:val="000000" w:themeColor="text1"/>
          <w:sz w:val="24"/>
        </w:rPr>
        <w:t>（八）基金转换</w:t>
      </w:r>
      <w:r w:rsidRPr="00490741">
        <w:rPr>
          <w:rFonts w:asciiTheme="minorEastAsia" w:eastAsiaTheme="minorEastAsia" w:hAnsiTheme="minorEastAsia"/>
          <w:b w:val="0"/>
          <w:color w:val="000000" w:themeColor="text1"/>
          <w:sz w:val="24"/>
        </w:rPr>
        <w:t>与巨额赎回</w:t>
      </w:r>
      <w:bookmarkEnd w:id="54"/>
      <w:bookmarkEnd w:id="55"/>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发生巨额赎回时，基金转出与基金赎回具有相同的优先级，基金管理人可根据基金资产组合情况，决定全额转出或部分转出，并且对于基金转出和基金赎回，将采取相同的比例确认（另有公告的除外）；在转出申请得到部分确认的情况下，未确认的转出申请将不予以顺延。</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sz w:val="24"/>
        </w:rPr>
      </w:pPr>
      <w:bookmarkStart w:id="56" w:name="_Toc114237418"/>
      <w:r w:rsidRPr="00490741">
        <w:rPr>
          <w:rFonts w:asciiTheme="minorEastAsia" w:eastAsiaTheme="minorEastAsia" w:hAnsiTheme="minorEastAsia" w:hint="eastAsia"/>
          <w:b w:val="0"/>
          <w:color w:val="000000" w:themeColor="text1"/>
          <w:sz w:val="24"/>
        </w:rPr>
        <w:t>（九）暂停基金转换的情形</w:t>
      </w:r>
      <w:bookmarkEnd w:id="56"/>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出现下列情况之一时</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基金管理人可以暂停接受基金份额持有人的基金转换申请：</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1</w:t>
      </w:r>
      <w:r w:rsidRPr="00490741">
        <w:rPr>
          <w:rFonts w:asciiTheme="minorEastAsia" w:eastAsiaTheme="minorEastAsia" w:hAnsiTheme="minorEastAsia" w:hint="eastAsia"/>
          <w:color w:val="000000" w:themeColor="text1"/>
        </w:rPr>
        <w:t>、不可抗力的原因导致基金无法正常运作；</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2</w:t>
      </w:r>
      <w:r w:rsidRPr="00490741">
        <w:rPr>
          <w:rFonts w:asciiTheme="minorEastAsia" w:eastAsiaTheme="minorEastAsia" w:hAnsiTheme="minorEastAsia" w:hint="eastAsia"/>
          <w:color w:val="000000" w:themeColor="text1"/>
        </w:rPr>
        <w:t>、证券交易场所在交易时间非正常停市，导致基金管理人无法计算当日基金资产净值；</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3</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因市场剧烈波动或其它原因而出现连续巨额赎回，</w:t>
      </w:r>
      <w:r w:rsidRPr="00490741">
        <w:rPr>
          <w:rFonts w:asciiTheme="minorEastAsia" w:eastAsiaTheme="minorEastAsia" w:hAnsiTheme="minorEastAsia" w:hint="eastAsia"/>
          <w:color w:val="000000" w:themeColor="text1"/>
        </w:rPr>
        <w:t>基金管理人认为有必要暂停接受该基金份额的转出申请；</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4</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基金管理人认为会有损于现有基金份额持有人利益的某笔转入</w:t>
      </w:r>
      <w:r w:rsidRPr="00490741">
        <w:rPr>
          <w:rFonts w:asciiTheme="minorEastAsia" w:eastAsiaTheme="minorEastAsia" w:hAnsiTheme="minorEastAsia" w:hint="eastAsia"/>
          <w:color w:val="000000" w:themeColor="text1"/>
        </w:rPr>
        <w:t>或</w:t>
      </w:r>
      <w:r w:rsidRPr="00490741">
        <w:rPr>
          <w:rFonts w:asciiTheme="minorEastAsia" w:eastAsiaTheme="minorEastAsia" w:hAnsiTheme="minorEastAsia"/>
          <w:color w:val="000000" w:themeColor="text1"/>
        </w:rPr>
        <w:t>某笔转出；</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5</w:t>
      </w:r>
      <w:r w:rsidRPr="00490741">
        <w:rPr>
          <w:rFonts w:asciiTheme="minorEastAsia" w:eastAsiaTheme="minorEastAsia" w:hAnsiTheme="minorEastAsia" w:hint="eastAsia"/>
          <w:color w:val="000000" w:themeColor="text1"/>
        </w:rPr>
        <w:t>、发生基金合同规定的暂停基金资产估值情况</w:t>
      </w:r>
      <w:r w:rsidRPr="00490741">
        <w:rPr>
          <w:rFonts w:asciiTheme="minorEastAsia" w:eastAsiaTheme="minorEastAsia" w:hAnsiTheme="minorEastAsia"/>
          <w:color w:val="000000" w:themeColor="text1"/>
        </w:rPr>
        <w:t>；</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6</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基金资产规模过大，使基金管理人无法找到合适的投资品种，或可能对基金业绩产生负面影响，从而损害现有基金份额持有人的利益；</w:t>
      </w:r>
    </w:p>
    <w:p w:rsidR="00E56C3D" w:rsidRPr="00490741" w:rsidP="00E56C3D">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7</w:t>
      </w:r>
      <w:r w:rsidRPr="00490741">
        <w:rPr>
          <w:rFonts w:asciiTheme="minorEastAsia" w:eastAsiaTheme="minorEastAsia" w:hAnsiTheme="minorEastAsia" w:hint="eastAsia"/>
          <w:color w:val="000000" w:themeColor="text1"/>
          <w:szCs w:val="21"/>
        </w:rPr>
        <w:t>、基金管理人接受某笔或者某些转换</w:t>
      </w:r>
      <w:r w:rsidRPr="00490741">
        <w:rPr>
          <w:rFonts w:asciiTheme="minorEastAsia" w:eastAsiaTheme="minorEastAsia" w:hAnsiTheme="minorEastAsia"/>
          <w:color w:val="000000" w:themeColor="text1"/>
          <w:szCs w:val="21"/>
        </w:rPr>
        <w:t>转入</w:t>
      </w:r>
      <w:r w:rsidRPr="00490741">
        <w:rPr>
          <w:rFonts w:asciiTheme="minorEastAsia" w:eastAsiaTheme="minorEastAsia" w:hAnsiTheme="minorEastAsia" w:hint="eastAsia"/>
          <w:color w:val="000000" w:themeColor="text1"/>
          <w:szCs w:val="21"/>
        </w:rPr>
        <w:t>申请有可能导致单一投资者持有基金份额的比例达到或者超过</w:t>
      </w:r>
      <w:r w:rsidRPr="00490741">
        <w:rPr>
          <w:rFonts w:asciiTheme="minorEastAsia" w:eastAsiaTheme="minorEastAsia" w:hAnsiTheme="minorEastAsia" w:hint="eastAsia"/>
          <w:color w:val="000000" w:themeColor="text1"/>
          <w:szCs w:val="21"/>
        </w:rPr>
        <w:t>50%</w:t>
      </w:r>
      <w:r w:rsidRPr="00490741">
        <w:rPr>
          <w:rFonts w:asciiTheme="minorEastAsia" w:eastAsiaTheme="minorEastAsia" w:hAnsiTheme="minorEastAsia" w:hint="eastAsia"/>
          <w:color w:val="000000" w:themeColor="text1"/>
          <w:szCs w:val="21"/>
        </w:rPr>
        <w:t>，或者变相规避</w:t>
      </w:r>
      <w:r w:rsidRPr="00490741">
        <w:rPr>
          <w:rFonts w:asciiTheme="minorEastAsia" w:eastAsiaTheme="minorEastAsia" w:hAnsiTheme="minorEastAsia" w:hint="eastAsia"/>
          <w:color w:val="000000" w:themeColor="text1"/>
          <w:szCs w:val="21"/>
        </w:rPr>
        <w:t>50%</w:t>
      </w:r>
      <w:r w:rsidRPr="00490741">
        <w:rPr>
          <w:rFonts w:asciiTheme="minorEastAsia" w:eastAsiaTheme="minorEastAsia" w:hAnsiTheme="minorEastAsia" w:hint="eastAsia"/>
          <w:color w:val="000000" w:themeColor="text1"/>
          <w:szCs w:val="21"/>
        </w:rPr>
        <w:t>集中度的情形时；</w:t>
      </w:r>
    </w:p>
    <w:p w:rsidR="00E56C3D" w:rsidRPr="00490741" w:rsidP="00E56C3D">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8</w:t>
      </w:r>
      <w:r w:rsidRPr="00490741">
        <w:rPr>
          <w:rFonts w:asciiTheme="minorEastAsia" w:eastAsiaTheme="minorEastAsia" w:hAnsiTheme="minorEastAsia" w:hint="eastAsia"/>
          <w:color w:val="000000" w:themeColor="text1"/>
          <w:szCs w:val="21"/>
        </w:rPr>
        <w:t>、当一笔新的转换</w:t>
      </w:r>
      <w:r w:rsidRPr="00490741">
        <w:rPr>
          <w:rFonts w:asciiTheme="minorEastAsia" w:eastAsiaTheme="minorEastAsia" w:hAnsiTheme="minorEastAsia"/>
          <w:color w:val="000000" w:themeColor="text1"/>
          <w:szCs w:val="21"/>
        </w:rPr>
        <w:t>转入</w:t>
      </w:r>
      <w:r w:rsidRPr="00490741">
        <w:rPr>
          <w:rFonts w:asciiTheme="minorEastAsia" w:eastAsiaTheme="minorEastAsia" w:hAnsiTheme="minorEastAsia" w:hint="eastAsia"/>
          <w:color w:val="000000" w:themeColor="text1"/>
          <w:szCs w:val="21"/>
        </w:rPr>
        <w:t>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E56C3D" w:rsidRPr="00490741" w:rsidP="00E56C3D">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szCs w:val="21"/>
        </w:rPr>
        <w:t>9</w:t>
      </w:r>
      <w:r w:rsidRPr="00490741">
        <w:rPr>
          <w:rFonts w:asciiTheme="minorEastAsia" w:eastAsiaTheme="minorEastAsia" w:hAnsiTheme="minorEastAsia" w:hint="eastAsia"/>
          <w:color w:val="000000" w:themeColor="text1"/>
          <w:szCs w:val="21"/>
        </w:rPr>
        <w:t>、当前一估值日基金资产净值</w:t>
      </w:r>
      <w:r w:rsidRPr="00490741">
        <w:rPr>
          <w:rFonts w:asciiTheme="minorEastAsia" w:eastAsiaTheme="minorEastAsia" w:hAnsiTheme="minorEastAsia" w:hint="eastAsia"/>
          <w:color w:val="000000" w:themeColor="text1"/>
          <w:szCs w:val="21"/>
        </w:rPr>
        <w:t>50%</w:t>
      </w:r>
      <w:r w:rsidRPr="00490741">
        <w:rPr>
          <w:rFonts w:asciiTheme="minorEastAsia" w:eastAsiaTheme="minorEastAsia" w:hAnsiTheme="minorEastAsia" w:hint="eastAsia"/>
          <w:color w:val="000000" w:themeColor="text1"/>
          <w:szCs w:val="21"/>
        </w:rPr>
        <w:t>以上的资产出现无可参考的活跃市场价格且采用估值技术仍导致公允价值存在重大不确定</w:t>
      </w:r>
      <w:r w:rsidRPr="00490741">
        <w:rPr>
          <w:rFonts w:asciiTheme="minorEastAsia" w:eastAsiaTheme="minorEastAsia" w:hAnsiTheme="minorEastAsia" w:hint="eastAsia"/>
          <w:color w:val="000000" w:themeColor="text1"/>
          <w:szCs w:val="21"/>
        </w:rPr>
        <w:t>性时，经与基金托管人协商确认后，基金管理人应当</w:t>
      </w:r>
      <w:r w:rsidRPr="00490741">
        <w:rPr>
          <w:rFonts w:asciiTheme="minorEastAsia" w:eastAsiaTheme="minorEastAsia" w:hAnsiTheme="minorEastAsia" w:hint="eastAsia"/>
          <w:color w:val="000000" w:themeColor="text1"/>
          <w:szCs w:val="21"/>
        </w:rPr>
        <w:t>采取暂停接受基金转换申请的措施；</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10</w:t>
      </w:r>
      <w:r w:rsidRPr="00490741" w:rsidR="00C15CD6">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法律法规规定或经中国证监会认定的其他情形。</w:t>
      </w:r>
    </w:p>
    <w:p w:rsidR="0002608C" w:rsidRPr="00490741" w:rsidP="00107648">
      <w:pPr>
        <w:snapToGrid w:val="0"/>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发生基金合同或《招募说明书》中未予载明的事项，但基金管理人有正当理由认为需要暂停接受基金转换申请的，应当报经中国证监会批准。</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基金暂停转换或暂停后重新开放转换时，基金管理人应</w:t>
      </w:r>
      <w:r w:rsidRPr="00490741" w:rsidR="000C00D1">
        <w:rPr>
          <w:rFonts w:asciiTheme="minorEastAsia" w:eastAsiaTheme="minorEastAsia" w:hAnsiTheme="minorEastAsia" w:hint="eastAsia"/>
          <w:color w:val="000000" w:themeColor="text1"/>
        </w:rPr>
        <w:t>在指定媒介</w:t>
      </w:r>
      <w:r w:rsidRPr="00490741">
        <w:rPr>
          <w:rFonts w:asciiTheme="minorEastAsia" w:eastAsiaTheme="minorEastAsia" w:hAnsiTheme="minorEastAsia"/>
          <w:color w:val="000000" w:themeColor="text1"/>
        </w:rPr>
        <w:t>上公告。</w:t>
      </w:r>
    </w:p>
    <w:p w:rsidR="00107648" w:rsidRPr="00490741">
      <w:pPr>
        <w:widowControl/>
        <w:jc w:val="left"/>
        <w:rPr>
          <w:rFonts w:asciiTheme="minorEastAsia" w:eastAsiaTheme="minorEastAsia" w:hAnsiTheme="minorEastAsia"/>
          <w:color w:val="000000" w:themeColor="text1"/>
        </w:rPr>
      </w:pPr>
      <w:bookmarkStart w:id="57" w:name="_Toc86560070"/>
      <w:bookmarkStart w:id="58" w:name="_Toc86635162"/>
      <w:bookmarkStart w:id="59" w:name="_Toc91335002"/>
      <w:r w:rsidRPr="00490741">
        <w:rPr>
          <w:rFonts w:asciiTheme="minorEastAsia" w:eastAsiaTheme="minorEastAsia" w:hAnsiTheme="minorEastAsia"/>
          <w:color w:val="000000" w:themeColor="text1"/>
        </w:rPr>
        <w:br w:type="page"/>
      </w:r>
    </w:p>
    <w:p w:rsidR="0002608C" w:rsidRPr="00490741" w:rsidP="00107648">
      <w:pPr>
        <w:pStyle w:val="Heading1"/>
        <w:snapToGrid w:val="0"/>
        <w:spacing w:beforeLines="0" w:afterLines="0" w:line="360" w:lineRule="auto"/>
        <w:ind w:firstLine="643"/>
        <w:rPr>
          <w:rFonts w:asciiTheme="minorEastAsia" w:eastAsiaTheme="minorEastAsia" w:hAnsiTheme="minorEastAsia"/>
          <w:b/>
          <w:bCs/>
          <w:color w:val="000000" w:themeColor="text1"/>
        </w:rPr>
      </w:pPr>
      <w:bookmarkStart w:id="60" w:name="_Toc114237419"/>
      <w:r w:rsidRPr="00490741">
        <w:rPr>
          <w:rFonts w:asciiTheme="minorEastAsia" w:eastAsiaTheme="minorEastAsia" w:hAnsiTheme="minorEastAsia" w:hint="eastAsia"/>
          <w:b/>
          <w:bCs/>
          <w:color w:val="000000" w:themeColor="text1"/>
        </w:rPr>
        <w:t>十、基金的非交易过户、转托管、冻结与质押</w:t>
      </w:r>
      <w:bookmarkEnd w:id="57"/>
      <w:bookmarkEnd w:id="58"/>
      <w:bookmarkEnd w:id="59"/>
      <w:bookmarkEnd w:id="60"/>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rPr>
        <w:t>一）</w:t>
      </w:r>
      <w:r w:rsidRPr="00490741">
        <w:rPr>
          <w:rFonts w:asciiTheme="minorEastAsia" w:eastAsiaTheme="minorEastAsia" w:hAnsiTheme="minorEastAsia"/>
          <w:color w:val="000000" w:themeColor="text1"/>
        </w:rPr>
        <w:t>非交易过户是指不采用申购、赎回等基金交易方式，将一定数量的基金份额按照一定规则从某一投资者基金账户转移到另一投资者基金账户的行为</w:t>
      </w:r>
      <w:r w:rsidRPr="00490741">
        <w:rPr>
          <w:rFonts w:asciiTheme="minorEastAsia" w:eastAsiaTheme="minorEastAsia" w:hAnsiTheme="minorEastAsia" w:hint="eastAsia"/>
          <w:color w:val="000000" w:themeColor="text1"/>
        </w:rPr>
        <w:t>，包括</w:t>
      </w:r>
      <w:r w:rsidRPr="00490741">
        <w:rPr>
          <w:rFonts w:asciiTheme="minorEastAsia" w:eastAsiaTheme="minorEastAsia" w:hAnsiTheme="minorEastAsia"/>
          <w:color w:val="000000" w:themeColor="text1"/>
        </w:rPr>
        <w:t>继承、捐赠、</w:t>
      </w:r>
      <w:r w:rsidRPr="00490741">
        <w:rPr>
          <w:rFonts w:asciiTheme="minorEastAsia" w:eastAsiaTheme="minorEastAsia" w:hAnsiTheme="minorEastAsia" w:hint="eastAsia"/>
          <w:color w:val="000000" w:themeColor="text1"/>
        </w:rPr>
        <w:t>强制</w:t>
      </w:r>
      <w:r w:rsidRPr="00490741">
        <w:rPr>
          <w:rFonts w:asciiTheme="minorEastAsia" w:eastAsiaTheme="minorEastAsia" w:hAnsiTheme="minorEastAsia"/>
          <w:color w:val="000000" w:themeColor="text1"/>
        </w:rPr>
        <w:t>执行</w:t>
      </w:r>
      <w:r w:rsidRPr="00490741">
        <w:rPr>
          <w:rFonts w:asciiTheme="minorEastAsia" w:eastAsiaTheme="minorEastAsia" w:hAnsiTheme="minorEastAsia" w:hint="eastAsia"/>
          <w:color w:val="000000" w:themeColor="text1"/>
        </w:rPr>
        <w:t>及基金注册登记机构认可的其它情况下的行为</w:t>
      </w:r>
      <w:r w:rsidRPr="00490741">
        <w:rPr>
          <w:rFonts w:asciiTheme="minorEastAsia" w:eastAsiaTheme="minorEastAsia" w:hAnsiTheme="minorEastAsia"/>
          <w:color w:val="000000" w:themeColor="text1"/>
        </w:rPr>
        <w:t>。无论在上述何种情况下，接受划转的主体必须是适格的个人投资者或机构投资者。</w:t>
      </w:r>
      <w:r w:rsidRPr="00490741">
        <w:rPr>
          <w:rFonts w:asciiTheme="minorEastAsia" w:eastAsiaTheme="minorEastAsia" w:hAnsiTheme="minorEastAsia" w:hint="eastAsia"/>
          <w:color w:val="000000" w:themeColor="text1"/>
        </w:rPr>
        <w:t>其中：</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“继承”是指基金份额持有人死亡，其持有的基金份额由其合法的继承人或受遗赠人继承；</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“捐赠”仅指基金份额持有人将其合法持有的基金份额捐赠给福利性质的基金会或其他具有社会公益性质的社会团体；</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“强制执行”是指国家有权机关依据生效的法律文书将基金份额持有人持有的基金份额强制执行划转给其他自然人、法人、社会团体或其他组织。</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（二）</w:t>
      </w:r>
      <w:r w:rsidRPr="00490741">
        <w:rPr>
          <w:rFonts w:asciiTheme="minorEastAsia" w:eastAsiaTheme="minorEastAsia" w:hAnsiTheme="minorEastAsia" w:hint="eastAsia"/>
          <w:color w:val="000000" w:themeColor="text1"/>
          <w:szCs w:val="21"/>
        </w:rPr>
        <w:t>办理非交易过户业务必须提供基金注册登</w:t>
      </w:r>
      <w:r w:rsidRPr="00490741">
        <w:rPr>
          <w:rFonts w:asciiTheme="minorEastAsia" w:eastAsiaTheme="minorEastAsia" w:hAnsiTheme="minorEastAsia" w:hint="eastAsia"/>
          <w:color w:val="000000" w:themeColor="text1"/>
        </w:rPr>
        <w:t>记机构规定</w:t>
      </w:r>
      <w:r w:rsidRPr="00490741">
        <w:rPr>
          <w:rFonts w:asciiTheme="minorEastAsia" w:eastAsiaTheme="minorEastAsia" w:hAnsiTheme="minorEastAsia" w:hint="eastAsia"/>
          <w:color w:val="000000" w:themeColor="text1"/>
        </w:rPr>
        <w:t>的相关资料，其中，</w:t>
      </w:r>
      <w:r w:rsidRPr="00490741">
        <w:rPr>
          <w:rFonts w:asciiTheme="minorEastAsia" w:eastAsiaTheme="minorEastAsia" w:hAnsiTheme="minorEastAsia"/>
          <w:color w:val="000000" w:themeColor="text1"/>
        </w:rPr>
        <w:t>因继承、捐赠原因</w:t>
      </w:r>
      <w:r w:rsidRPr="00490741">
        <w:rPr>
          <w:rFonts w:asciiTheme="minorEastAsia" w:eastAsiaTheme="minorEastAsia" w:hAnsiTheme="minorEastAsia" w:hint="eastAsia"/>
          <w:color w:val="000000" w:themeColor="text1"/>
        </w:rPr>
        <w:t>导致的非交易过户向基金销售网点申请办理，</w:t>
      </w:r>
      <w:r w:rsidRPr="00490741">
        <w:rPr>
          <w:rFonts w:asciiTheme="minorEastAsia" w:eastAsiaTheme="minorEastAsia" w:hAnsiTheme="minorEastAsia"/>
          <w:color w:val="000000" w:themeColor="text1"/>
        </w:rPr>
        <w:t>因</w:t>
      </w:r>
      <w:r w:rsidRPr="00490741">
        <w:rPr>
          <w:rFonts w:asciiTheme="minorEastAsia" w:eastAsiaTheme="minorEastAsia" w:hAnsiTheme="minorEastAsia" w:hint="eastAsia"/>
          <w:color w:val="000000" w:themeColor="text1"/>
        </w:rPr>
        <w:t>强制</w:t>
      </w:r>
      <w:r w:rsidRPr="00490741">
        <w:rPr>
          <w:rFonts w:asciiTheme="minorEastAsia" w:eastAsiaTheme="minorEastAsia" w:hAnsiTheme="minorEastAsia"/>
          <w:color w:val="000000" w:themeColor="text1"/>
        </w:rPr>
        <w:t>执行原因</w:t>
      </w:r>
      <w:r w:rsidRPr="00490741">
        <w:rPr>
          <w:rFonts w:asciiTheme="minorEastAsia" w:eastAsiaTheme="minorEastAsia" w:hAnsiTheme="minorEastAsia" w:hint="eastAsia"/>
          <w:color w:val="000000" w:themeColor="text1"/>
        </w:rPr>
        <w:t>导致的非交易过户直接向基金注册登记机构统一申请办理。</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（三）符合条件的非交易过户申请自申请受理日起，两个月内办理；申请人按基金注册登记机构规定的标准缴纳过户费用。</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（四）基金份额持有人可以办理其基金份额在不同销售机构的转托管手续，转托管业务由各</w:t>
      </w:r>
      <w:r w:rsidRPr="00490741">
        <w:rPr>
          <w:rFonts w:asciiTheme="minorEastAsia" w:eastAsiaTheme="minorEastAsia" w:hAnsiTheme="minorEastAsia" w:hint="eastAsia"/>
          <w:color w:val="000000" w:themeColor="text1"/>
          <w:szCs w:val="21"/>
        </w:rPr>
        <w:t>销售</w:t>
      </w:r>
      <w:r w:rsidRPr="00490741">
        <w:rPr>
          <w:rFonts w:asciiTheme="minorEastAsia" w:eastAsiaTheme="minorEastAsia" w:hAnsiTheme="minorEastAsia" w:hint="eastAsia"/>
          <w:color w:val="000000" w:themeColor="text1"/>
        </w:rPr>
        <w:t>机构负责受理。</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（五）基金注册登记机构只受理国家有权机关依法要求的基金账户或基金份额的冻结与解冻。基金帐户或基金份额被冻结的，被冻结部分产生的权益（包括现金分红和红利再投资）一并冻结。</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（六）根据相关法律法规的规定，基金管理人将可以办理基金份额的质押业务或其他基金业务，并制定和实施相应的业务规则。</w:t>
      </w:r>
    </w:p>
    <w:p w:rsidR="00535526" w:rsidRPr="00490741" w:rsidP="00107648">
      <w:pPr>
        <w:snapToGrid w:val="0"/>
        <w:spacing w:line="360" w:lineRule="auto"/>
        <w:ind w:firstLine="420"/>
        <w:rPr>
          <w:rFonts w:asciiTheme="minorEastAsia" w:eastAsiaTheme="minorEastAsia" w:hAnsiTheme="minorEastAsia"/>
          <w:color w:val="000000" w:themeColor="text1"/>
        </w:rPr>
      </w:pPr>
    </w:p>
    <w:p w:rsidR="00535526" w:rsidRPr="00490741" w:rsidP="00107648">
      <w:pPr>
        <w:snapToGrid w:val="0"/>
        <w:spacing w:line="360" w:lineRule="auto"/>
        <w:ind w:firstLine="420"/>
        <w:rPr>
          <w:rFonts w:asciiTheme="minorEastAsia" w:eastAsiaTheme="minorEastAsia" w:hAnsiTheme="minorEastAsia"/>
          <w:color w:val="000000" w:themeColor="text1"/>
        </w:rPr>
      </w:pPr>
    </w:p>
    <w:p w:rsidR="00107648" w:rsidRPr="00490741">
      <w:pPr>
        <w:widowControl/>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br w:type="page"/>
      </w:r>
    </w:p>
    <w:p w:rsidR="0002608C" w:rsidRPr="00490741" w:rsidP="00107648">
      <w:pPr>
        <w:pStyle w:val="Heading1"/>
        <w:snapToGrid w:val="0"/>
        <w:spacing w:beforeLines="0" w:afterLines="0" w:line="360" w:lineRule="auto"/>
        <w:ind w:firstLine="643"/>
        <w:rPr>
          <w:rFonts w:asciiTheme="minorEastAsia" w:eastAsiaTheme="minorEastAsia" w:hAnsiTheme="minorEastAsia"/>
          <w:color w:val="000000" w:themeColor="text1"/>
        </w:rPr>
      </w:pPr>
      <w:bookmarkStart w:id="61" w:name="_Toc52310853"/>
      <w:bookmarkStart w:id="62" w:name="_Toc114237420"/>
      <w:r w:rsidRPr="00490741">
        <w:rPr>
          <w:rFonts w:asciiTheme="minorEastAsia" w:eastAsiaTheme="minorEastAsia" w:hAnsiTheme="minorEastAsia" w:hint="eastAsia"/>
          <w:b/>
          <w:bCs/>
          <w:color w:val="000000" w:themeColor="text1"/>
        </w:rPr>
        <w:t>十一、基金的投资</w:t>
      </w:r>
      <w:bookmarkEnd w:id="62"/>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63" w:name="_Toc52310848"/>
      <w:bookmarkStart w:id="64" w:name="_Toc64861723"/>
      <w:bookmarkStart w:id="65" w:name="_Toc114237421"/>
      <w:r w:rsidRPr="00490741">
        <w:rPr>
          <w:rFonts w:asciiTheme="minorEastAsia" w:eastAsiaTheme="minorEastAsia" w:hAnsiTheme="minorEastAsia" w:hint="eastAsia"/>
          <w:b w:val="0"/>
          <w:color w:val="000000" w:themeColor="text1"/>
        </w:rPr>
        <w:t>（一）投资目标</w:t>
      </w:r>
      <w:bookmarkEnd w:id="63"/>
      <w:bookmarkEnd w:id="64"/>
      <w:bookmarkEnd w:id="65"/>
    </w:p>
    <w:p w:rsidR="0002608C" w:rsidRPr="00490741" w:rsidP="00107648">
      <w:pPr>
        <w:snapToGrid w:val="0"/>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追求超过基准的投资回报及长期稳健的资产增值。</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66" w:name="_Toc52310849"/>
      <w:bookmarkStart w:id="67" w:name="_Toc64861724"/>
      <w:bookmarkStart w:id="68" w:name="_Toc114237422"/>
      <w:r w:rsidRPr="00490741">
        <w:rPr>
          <w:rFonts w:asciiTheme="minorEastAsia" w:eastAsiaTheme="minorEastAsia" w:hAnsiTheme="minorEastAsia" w:hint="eastAsia"/>
          <w:b w:val="0"/>
          <w:color w:val="000000" w:themeColor="text1"/>
        </w:rPr>
        <w:t>（</w:t>
      </w:r>
      <w:r w:rsidRPr="00490741">
        <w:rPr>
          <w:rFonts w:asciiTheme="minorEastAsia" w:eastAsiaTheme="minorEastAsia" w:hAnsiTheme="minorEastAsia" w:hint="eastAsia"/>
          <w:b w:val="0"/>
          <w:bCs/>
          <w:color w:val="000000" w:themeColor="text1"/>
        </w:rPr>
        <w:t>二</w:t>
      </w:r>
      <w:r w:rsidRPr="00490741">
        <w:rPr>
          <w:rFonts w:asciiTheme="minorEastAsia" w:eastAsiaTheme="minorEastAsia" w:hAnsiTheme="minorEastAsia" w:hint="eastAsia"/>
          <w:b w:val="0"/>
          <w:color w:val="000000" w:themeColor="text1"/>
        </w:rPr>
        <w:t>）</w:t>
      </w:r>
      <w:r w:rsidRPr="00490741">
        <w:rPr>
          <w:rFonts w:asciiTheme="minorEastAsia" w:eastAsiaTheme="minorEastAsia" w:hAnsiTheme="minorEastAsia" w:hint="eastAsia"/>
          <w:b w:val="0"/>
          <w:bCs/>
          <w:color w:val="000000" w:themeColor="text1"/>
        </w:rPr>
        <w:t>投资范围</w:t>
      </w:r>
      <w:bookmarkEnd w:id="66"/>
      <w:bookmarkEnd w:id="67"/>
      <w:bookmarkEnd w:id="68"/>
    </w:p>
    <w:p w:rsidR="0002608C" w:rsidRPr="00490741" w:rsidP="00107648">
      <w:pPr>
        <w:snapToGrid w:val="0"/>
        <w:spacing w:line="360" w:lineRule="auto"/>
        <w:ind w:firstLine="482"/>
        <w:rPr>
          <w:rStyle w:val="da"/>
          <w:rFonts w:asciiTheme="minorEastAsia" w:eastAsiaTheme="minorEastAsia" w:hAnsiTheme="minorEastAsia"/>
          <w:color w:val="000000" w:themeColor="text1"/>
        </w:rPr>
      </w:pPr>
      <w:bookmarkStart w:id="69" w:name="_Toc52310850"/>
      <w:bookmarkStart w:id="70" w:name="_Toc64861725"/>
      <w:r w:rsidRPr="00490741">
        <w:rPr>
          <w:rStyle w:val="da"/>
          <w:rFonts w:asciiTheme="minorEastAsia" w:eastAsiaTheme="minorEastAsia" w:hAnsiTheme="minorEastAsia" w:hint="eastAsia"/>
          <w:color w:val="000000" w:themeColor="text1"/>
        </w:rPr>
        <w:t>本基金的投资范围为具有良好流动性的金融工具，包括投资于国内依法公开发行、上市的股票</w:t>
      </w:r>
      <w:r w:rsidRPr="00490741" w:rsidR="00371F41">
        <w:rPr>
          <w:rStyle w:val="da"/>
          <w:rFonts w:asciiTheme="minorEastAsia" w:eastAsiaTheme="minorEastAsia" w:hAnsiTheme="minorEastAsia" w:hint="eastAsia"/>
          <w:color w:val="000000" w:themeColor="text1"/>
        </w:rPr>
        <w:t>（含存托凭证）</w:t>
      </w:r>
      <w:r w:rsidRPr="00490741">
        <w:rPr>
          <w:rStyle w:val="da"/>
          <w:rFonts w:asciiTheme="minorEastAsia" w:eastAsiaTheme="minorEastAsia" w:hAnsiTheme="minorEastAsia" w:hint="eastAsia"/>
          <w:color w:val="000000" w:themeColor="text1"/>
        </w:rPr>
        <w:t>和债券以及法律、法规或中国证监会允许基金投资的其它金融工具。股票投资上精选能保持中长期持续增长或阶段性高速增长、且价值被低估的优势企业作为投资对象。</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71" w:name="_Toc114237423"/>
      <w:r w:rsidRPr="00490741">
        <w:rPr>
          <w:rFonts w:asciiTheme="minorEastAsia" w:eastAsiaTheme="minorEastAsia" w:hAnsiTheme="minorEastAsia" w:hint="eastAsia"/>
          <w:b w:val="0"/>
          <w:bCs/>
          <w:color w:val="000000" w:themeColor="text1"/>
        </w:rPr>
        <w:t>（三）投资理念</w:t>
      </w:r>
      <w:bookmarkEnd w:id="69"/>
      <w:bookmarkEnd w:id="70"/>
      <w:bookmarkEnd w:id="71"/>
    </w:p>
    <w:p w:rsidR="0002608C" w:rsidRPr="00490741" w:rsidP="00107648">
      <w:pPr>
        <w:snapToGrid w:val="0"/>
        <w:spacing w:line="360" w:lineRule="auto"/>
        <w:ind w:firstLine="420" w:firstLineChars="200"/>
        <w:rPr>
          <w:rFonts w:asciiTheme="minorEastAsia" w:eastAsiaTheme="minorEastAsia" w:hAnsiTheme="minorEastAsia"/>
          <w:color w:val="000000" w:themeColor="text1"/>
        </w:rPr>
      </w:pPr>
      <w:bookmarkStart w:id="72" w:name="_Toc52310851"/>
      <w:bookmarkStart w:id="73" w:name="_Toc64861726"/>
      <w:r w:rsidRPr="00490741">
        <w:rPr>
          <w:rFonts w:asciiTheme="minorEastAsia" w:eastAsiaTheme="minorEastAsia" w:hAnsiTheme="minorEastAsia" w:hint="eastAsia"/>
          <w:color w:val="000000" w:themeColor="text1"/>
        </w:rPr>
        <w:t>企业内在价值是股价中长期走势的决定因素。以深入基本面研究为前提，精选价值被低估的优势企业进行中长期投资，并保持理念与操作的一贯性和统一性，是降低风险、实现长期投资目标的最佳方式。</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74" w:name="_Toc114237424"/>
      <w:r w:rsidRPr="00490741">
        <w:rPr>
          <w:rFonts w:asciiTheme="minorEastAsia" w:eastAsiaTheme="minorEastAsia" w:hAnsiTheme="minorEastAsia" w:hint="eastAsia"/>
          <w:b w:val="0"/>
          <w:bCs/>
          <w:color w:val="000000" w:themeColor="text1"/>
        </w:rPr>
        <w:t>（四）投资策略</w:t>
      </w:r>
      <w:bookmarkEnd w:id="74"/>
    </w:p>
    <w:p w:rsidR="0002608C" w:rsidRPr="00490741" w:rsidP="00107648">
      <w:pPr>
        <w:snapToGrid w:val="0"/>
        <w:spacing w:line="360" w:lineRule="auto"/>
        <w:ind w:firstLine="435"/>
        <w:rPr>
          <w:rFonts w:asciiTheme="minorEastAsia" w:eastAsiaTheme="minorEastAsia" w:hAnsiTheme="minorEastAsia"/>
          <w:color w:val="000000" w:themeColor="text1"/>
          <w:szCs w:val="21"/>
        </w:rPr>
      </w:pPr>
      <w:bookmarkStart w:id="75" w:name="_Toc44900772"/>
      <w:bookmarkStart w:id="76" w:name="_Toc52616499"/>
      <w:r w:rsidRPr="00490741">
        <w:rPr>
          <w:rFonts w:asciiTheme="minorEastAsia" w:eastAsiaTheme="minorEastAsia" w:hAnsiTheme="minorEastAsia" w:hint="eastAsia"/>
          <w:color w:val="000000" w:themeColor="text1"/>
          <w:szCs w:val="21"/>
        </w:rPr>
        <w:t>本基金以深入基本面研究为主导进行投资，以“自下而上”精选价值被低估、具备持续增长能力的优势企业为主，结合“自上而下”精选最优行业，动态寻找优势企业与景</w:t>
      </w:r>
      <w:r w:rsidRPr="00490741">
        <w:rPr>
          <w:rFonts w:asciiTheme="minorEastAsia" w:eastAsiaTheme="minorEastAsia" w:hAnsiTheme="minorEastAsia" w:hint="eastAsia"/>
          <w:color w:val="000000" w:themeColor="text1"/>
          <w:szCs w:val="21"/>
        </w:rPr>
        <w:t>气行业的最佳结合，构建投资组合。</w:t>
      </w:r>
    </w:p>
    <w:p w:rsidR="0002608C" w:rsidRPr="00490741" w:rsidP="00107648">
      <w:pPr>
        <w:snapToGrid w:val="0"/>
        <w:spacing w:line="360" w:lineRule="auto"/>
        <w:ind w:firstLine="435"/>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通过调整行业配置偏离度与个股的深入研究来控制风险，寻求超越基准的回报及长期可持续的资产增值。</w:t>
      </w:r>
    </w:p>
    <w:p w:rsidR="0002608C" w:rsidRPr="00490741" w:rsidP="00107648">
      <w:pPr>
        <w:snapToGrid w:val="0"/>
        <w:spacing w:line="360" w:lineRule="auto"/>
        <w:ind w:firstLine="420" w:firstLineChars="200"/>
        <w:rPr>
          <w:rFonts w:asciiTheme="minorEastAsia" w:eastAsiaTheme="minorEastAsia" w:hAnsiTheme="minorEastAsia"/>
          <w:b/>
          <w:color w:val="000000" w:themeColor="text1"/>
          <w:szCs w:val="21"/>
        </w:rPr>
      </w:pPr>
      <w:r w:rsidRPr="00490741">
        <w:rPr>
          <w:rFonts w:asciiTheme="minorEastAsia" w:eastAsiaTheme="minorEastAsia" w:hAnsiTheme="minorEastAsia" w:hint="eastAsia"/>
          <w:b/>
          <w:color w:val="000000" w:themeColor="text1"/>
          <w:szCs w:val="21"/>
        </w:rPr>
        <w:t>1</w:t>
      </w:r>
      <w:r w:rsidRPr="00490741" w:rsidR="00C15CD6">
        <w:rPr>
          <w:rFonts w:asciiTheme="minorEastAsia" w:eastAsiaTheme="minorEastAsia" w:hAnsiTheme="minorEastAsia" w:hint="eastAsia"/>
          <w:b/>
          <w:color w:val="000000" w:themeColor="text1"/>
          <w:szCs w:val="21"/>
        </w:rPr>
        <w:t>、</w:t>
      </w:r>
      <w:r w:rsidRPr="00490741">
        <w:rPr>
          <w:rFonts w:asciiTheme="minorEastAsia" w:eastAsiaTheme="minorEastAsia" w:hAnsiTheme="minorEastAsia" w:hint="eastAsia"/>
          <w:b/>
          <w:color w:val="000000" w:themeColor="text1"/>
          <w:szCs w:val="21"/>
        </w:rPr>
        <w:t>资产配置策略</w:t>
      </w:r>
    </w:p>
    <w:p w:rsidR="0002608C" w:rsidRPr="00490741" w:rsidP="00107648">
      <w:pPr>
        <w:snapToGrid w:val="0"/>
        <w:spacing w:line="360" w:lineRule="auto"/>
        <w:ind w:firstLine="435"/>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本基金主要投资于股票，并保持股票仓位的相对稳定，股票资产占基金资产的比例范围为</w:t>
      </w:r>
      <w:r w:rsidRPr="00490741">
        <w:rPr>
          <w:rFonts w:asciiTheme="minorEastAsia" w:eastAsiaTheme="minorEastAsia" w:hAnsiTheme="minorEastAsia" w:hint="eastAsia"/>
          <w:color w:val="000000" w:themeColor="text1"/>
          <w:szCs w:val="21"/>
        </w:rPr>
        <w:t>60-95%</w:t>
      </w:r>
      <w:r w:rsidRPr="00490741">
        <w:rPr>
          <w:rFonts w:asciiTheme="minorEastAsia" w:eastAsiaTheme="minorEastAsia" w:hAnsiTheme="minorEastAsia" w:hint="eastAsia"/>
          <w:color w:val="000000" w:themeColor="text1"/>
          <w:szCs w:val="21"/>
        </w:rPr>
        <w:t>，债券资产占</w:t>
      </w:r>
      <w:r w:rsidRPr="00490741">
        <w:rPr>
          <w:rFonts w:asciiTheme="minorEastAsia" w:eastAsiaTheme="minorEastAsia" w:hAnsiTheme="minorEastAsia" w:hint="eastAsia"/>
          <w:color w:val="000000" w:themeColor="text1"/>
          <w:szCs w:val="21"/>
        </w:rPr>
        <w:t>0-35%</w:t>
      </w:r>
      <w:r w:rsidRPr="00490741">
        <w:rPr>
          <w:rFonts w:asciiTheme="minorEastAsia" w:eastAsiaTheme="minorEastAsia" w:hAnsiTheme="minorEastAsia" w:hint="eastAsia"/>
          <w:color w:val="000000" w:themeColor="text1"/>
          <w:szCs w:val="21"/>
        </w:rPr>
        <w:t>。权证的投资比例不超过基金资产净值的</w:t>
      </w: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基金保留的现金以及</w:t>
      </w:r>
      <w:r w:rsidRPr="00490741">
        <w:rPr>
          <w:rFonts w:asciiTheme="minorEastAsia" w:eastAsiaTheme="minorEastAsia" w:hAnsiTheme="minorEastAsia" w:hint="eastAsia"/>
          <w:color w:val="000000" w:themeColor="text1"/>
          <w:szCs w:val="21"/>
        </w:rPr>
        <w:t>到期日在一年以内的政府债券的</w:t>
      </w:r>
      <w:r w:rsidRPr="00490741">
        <w:rPr>
          <w:rFonts w:asciiTheme="minorEastAsia" w:eastAsiaTheme="minorEastAsia" w:hAnsiTheme="minorEastAsia"/>
          <w:color w:val="000000" w:themeColor="text1"/>
          <w:szCs w:val="21"/>
        </w:rPr>
        <w:t>比例不低于</w:t>
      </w:r>
      <w:r w:rsidRPr="00490741">
        <w:rPr>
          <w:rFonts w:asciiTheme="minorEastAsia" w:eastAsiaTheme="minorEastAsia" w:hAnsiTheme="minorEastAsia" w:hint="eastAsia"/>
          <w:color w:val="000000" w:themeColor="text1"/>
          <w:szCs w:val="21"/>
        </w:rPr>
        <w:t>基金资产净值的</w:t>
      </w:r>
      <w:r w:rsidRPr="00490741">
        <w:rPr>
          <w:rFonts w:asciiTheme="minorEastAsia" w:eastAsiaTheme="minorEastAsia" w:hAnsiTheme="minorEastAsia"/>
          <w:color w:val="000000" w:themeColor="text1"/>
          <w:szCs w:val="21"/>
        </w:rPr>
        <w:t>5%</w:t>
      </w:r>
      <w:r w:rsidRPr="00490741" w:rsidR="00E56C3D">
        <w:rPr>
          <w:rFonts w:asciiTheme="minorEastAsia" w:eastAsiaTheme="minorEastAsia" w:hAnsiTheme="minorEastAsia" w:hint="eastAsia"/>
          <w:color w:val="000000" w:themeColor="text1"/>
          <w:szCs w:val="21"/>
        </w:rPr>
        <w:t>，现金不包括结算备付金、存出保证金、应收申购款等</w:t>
      </w:r>
      <w:r w:rsidRPr="00490741">
        <w:rPr>
          <w:rFonts w:asciiTheme="minorEastAsia" w:eastAsiaTheme="minorEastAsia" w:hAnsiTheme="minorEastAsia"/>
          <w:color w:val="000000" w:themeColor="text1"/>
          <w:szCs w:val="21"/>
        </w:rPr>
        <w:t>。</w:t>
      </w:r>
    </w:p>
    <w:p w:rsidR="0002608C" w:rsidRPr="00490741" w:rsidP="00107648">
      <w:pPr>
        <w:snapToGrid w:val="0"/>
        <w:spacing w:line="360" w:lineRule="auto"/>
        <w:ind w:firstLine="435"/>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将持续考察满足本基金选股标准的股票的数量、市场容量、整体预期收益率以及风险程度、以及其他类别资产的预期收益率情况，当满足条件的股票数量减少、预期收益难以弥补所承受的风险以及股票资产的预期收益率低于固定收益等其他资产收益率时，本基金将降低股票的投资比重，股票比重最低可调整到</w:t>
      </w:r>
      <w:r w:rsidRPr="00490741">
        <w:rPr>
          <w:rFonts w:asciiTheme="minorEastAsia" w:eastAsiaTheme="minorEastAsia" w:hAnsiTheme="minorEastAsia" w:hint="eastAsia"/>
          <w:color w:val="000000" w:themeColor="text1"/>
          <w:szCs w:val="21"/>
        </w:rPr>
        <w:t>60%</w:t>
      </w:r>
      <w:r w:rsidRPr="00490741">
        <w:rPr>
          <w:rFonts w:asciiTheme="minorEastAsia" w:eastAsiaTheme="minorEastAsia" w:hAnsiTheme="minorEastAsia" w:hint="eastAsia"/>
          <w:color w:val="000000" w:themeColor="text1"/>
          <w:szCs w:val="21"/>
        </w:rPr>
        <w:t>；相反，本基金将调高股票的投资比重，最高可达</w:t>
      </w:r>
      <w:r w:rsidRPr="00490741">
        <w:rPr>
          <w:rFonts w:asciiTheme="minorEastAsia" w:eastAsiaTheme="minorEastAsia" w:hAnsiTheme="minorEastAsia" w:hint="eastAsia"/>
          <w:color w:val="000000" w:themeColor="text1"/>
          <w:szCs w:val="21"/>
        </w:rPr>
        <w:t>95%</w:t>
      </w:r>
      <w:r w:rsidRPr="00490741">
        <w:rPr>
          <w:rFonts w:asciiTheme="minorEastAsia" w:eastAsiaTheme="minorEastAsia" w:hAnsiTheme="minorEastAsia" w:hint="eastAsia"/>
          <w:color w:val="000000" w:themeColor="text1"/>
          <w:szCs w:val="21"/>
        </w:rPr>
        <w:t>。</w:t>
      </w:r>
    </w:p>
    <w:p w:rsidR="0002608C" w:rsidRPr="00490741" w:rsidP="00107648">
      <w:pPr>
        <w:snapToGrid w:val="0"/>
        <w:spacing w:line="360" w:lineRule="auto"/>
        <w:ind w:firstLine="435"/>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本基金在</w:t>
      </w:r>
      <w:r w:rsidRPr="00490741">
        <w:rPr>
          <w:rFonts w:asciiTheme="minorEastAsia" w:eastAsiaTheme="minorEastAsia" w:hAnsiTheme="minorEastAsia" w:hint="eastAsia"/>
          <w:color w:val="000000" w:themeColor="text1"/>
          <w:szCs w:val="21"/>
        </w:rPr>
        <w:t>合同生效</w:t>
      </w:r>
      <w:r w:rsidRPr="00490741">
        <w:rPr>
          <w:rFonts w:asciiTheme="minorEastAsia" w:eastAsiaTheme="minorEastAsia" w:hAnsiTheme="minorEastAsia"/>
          <w:color w:val="000000" w:themeColor="text1"/>
          <w:szCs w:val="21"/>
        </w:rPr>
        <w:t>后</w:t>
      </w:r>
      <w:r w:rsidRPr="00490741">
        <w:rPr>
          <w:rFonts w:asciiTheme="minorEastAsia" w:eastAsiaTheme="minorEastAsia" w:hAnsiTheme="minorEastAsia" w:hint="eastAsia"/>
          <w:color w:val="000000" w:themeColor="text1"/>
          <w:szCs w:val="21"/>
        </w:rPr>
        <w:t>六</w:t>
      </w:r>
      <w:r w:rsidRPr="00490741">
        <w:rPr>
          <w:rFonts w:asciiTheme="minorEastAsia" w:eastAsiaTheme="minorEastAsia" w:hAnsiTheme="minorEastAsia"/>
          <w:color w:val="000000" w:themeColor="text1"/>
          <w:szCs w:val="21"/>
        </w:rPr>
        <w:t>个月内达到上述规定的投资比例</w:t>
      </w:r>
      <w:r w:rsidRPr="00490741">
        <w:rPr>
          <w:rFonts w:asciiTheme="minorEastAsia" w:eastAsiaTheme="minorEastAsia" w:hAnsiTheme="minorEastAsia" w:hint="eastAsia"/>
          <w:color w:val="000000" w:themeColor="text1"/>
          <w:szCs w:val="21"/>
        </w:rPr>
        <w:t>。</w:t>
      </w:r>
    </w:p>
    <w:p w:rsidR="0002608C" w:rsidRPr="00490741" w:rsidP="00107648">
      <w:pPr>
        <w:snapToGrid w:val="0"/>
        <w:spacing w:line="360" w:lineRule="auto"/>
        <w:ind w:firstLine="420" w:firstLineChars="200"/>
        <w:rPr>
          <w:rFonts w:asciiTheme="minorEastAsia" w:eastAsiaTheme="minorEastAsia" w:hAnsiTheme="minorEastAsia"/>
          <w:b/>
          <w:color w:val="000000" w:themeColor="text1"/>
          <w:szCs w:val="21"/>
        </w:rPr>
      </w:pPr>
      <w:r w:rsidRPr="00490741">
        <w:rPr>
          <w:rFonts w:asciiTheme="minorEastAsia" w:eastAsiaTheme="minorEastAsia" w:hAnsiTheme="minorEastAsia" w:hint="eastAsia"/>
          <w:b/>
          <w:color w:val="000000" w:themeColor="text1"/>
          <w:szCs w:val="21"/>
        </w:rPr>
        <w:t>2</w:t>
      </w:r>
      <w:r w:rsidRPr="00490741" w:rsidR="00C15CD6">
        <w:rPr>
          <w:rFonts w:asciiTheme="minorEastAsia" w:eastAsiaTheme="minorEastAsia" w:hAnsiTheme="minorEastAsia" w:hint="eastAsia"/>
          <w:b/>
          <w:color w:val="000000" w:themeColor="text1"/>
          <w:szCs w:val="21"/>
        </w:rPr>
        <w:t>、</w:t>
      </w:r>
      <w:r w:rsidRPr="00490741">
        <w:rPr>
          <w:rFonts w:asciiTheme="minorEastAsia" w:eastAsiaTheme="minorEastAsia" w:hAnsiTheme="minorEastAsia" w:hint="eastAsia"/>
          <w:b/>
          <w:color w:val="000000" w:themeColor="text1"/>
          <w:szCs w:val="21"/>
        </w:rPr>
        <w:t>股票投资策略</w:t>
      </w:r>
    </w:p>
    <w:p w:rsidR="0002608C" w:rsidRPr="00490741" w:rsidP="00107648">
      <w:pPr>
        <w:snapToGrid w:val="0"/>
        <w:spacing w:line="360" w:lineRule="auto"/>
        <w:ind w:firstLine="420"/>
        <w:rPr>
          <w:rFonts w:asciiTheme="minorEastAsia" w:eastAsiaTheme="minorEastAsia" w:hAnsiTheme="minorEastAsia"/>
          <w:b/>
          <w:color w:val="000000" w:themeColor="text1"/>
          <w:szCs w:val="21"/>
        </w:rPr>
      </w:pPr>
      <w:r w:rsidRPr="00490741">
        <w:rPr>
          <w:rFonts w:asciiTheme="minorEastAsia" w:eastAsiaTheme="minorEastAsia" w:hAnsiTheme="minorEastAsia" w:hint="eastAsia"/>
          <w:color w:val="000000" w:themeColor="text1"/>
          <w:szCs w:val="21"/>
        </w:rPr>
        <w:t>本基金采取自下而上与自上而下相结合的投资策略，通过自下而上方法精选</w:t>
      </w:r>
      <w:r w:rsidRPr="00490741">
        <w:rPr>
          <w:rFonts w:asciiTheme="minorEastAsia" w:eastAsiaTheme="minorEastAsia" w:hAnsiTheme="minorEastAsia" w:hint="eastAsia"/>
          <w:color w:val="000000" w:themeColor="text1"/>
          <w:kern w:val="0"/>
          <w:szCs w:val="21"/>
        </w:rPr>
        <w:t>能保持中长期持续增长或阶段性高速成长、</w:t>
      </w:r>
      <w:r w:rsidRPr="00490741">
        <w:rPr>
          <w:rFonts w:asciiTheme="minorEastAsia" w:eastAsiaTheme="minorEastAsia" w:hAnsiTheme="minorEastAsia" w:hint="eastAsia"/>
          <w:color w:val="000000" w:themeColor="text1"/>
          <w:szCs w:val="21"/>
        </w:rPr>
        <w:t>且股票估值水平偏低的股票进行投资。并结合自上而下的行</w:t>
      </w:r>
      <w:r w:rsidRPr="00490741">
        <w:rPr>
          <w:rFonts w:asciiTheme="minorEastAsia" w:eastAsiaTheme="minorEastAsia" w:hAnsiTheme="minorEastAsia" w:hint="eastAsia"/>
          <w:color w:val="000000" w:themeColor="text1"/>
          <w:szCs w:val="21"/>
        </w:rPr>
        <w:t>业优化配置，寻找优势企业与景气行业的最佳结合。</w:t>
      </w:r>
    </w:p>
    <w:p w:rsidR="0002608C" w:rsidRPr="00490741" w:rsidP="00107648">
      <w:pPr>
        <w:snapToGrid w:val="0"/>
        <w:spacing w:line="360" w:lineRule="auto"/>
        <w:ind w:firstLine="420" w:firstLineChars="200"/>
        <w:rPr>
          <w:rFonts w:asciiTheme="minorEastAsia" w:eastAsiaTheme="minorEastAsia" w:hAnsiTheme="minorEastAsia"/>
          <w:b/>
          <w:color w:val="000000" w:themeColor="text1"/>
          <w:szCs w:val="21"/>
        </w:rPr>
      </w:pPr>
      <w:r w:rsidRPr="00490741">
        <w:rPr>
          <w:rFonts w:asciiTheme="minorEastAsia" w:eastAsiaTheme="minorEastAsia" w:hAnsiTheme="minorEastAsia" w:hint="eastAsia"/>
          <w:b/>
          <w:color w:val="000000" w:themeColor="text1"/>
          <w:szCs w:val="21"/>
        </w:rPr>
        <w:t>（</w:t>
      </w:r>
      <w:r w:rsidRPr="00490741">
        <w:rPr>
          <w:rFonts w:asciiTheme="minorEastAsia" w:eastAsiaTheme="minorEastAsia" w:hAnsiTheme="minorEastAsia" w:hint="eastAsia"/>
          <w:b/>
          <w:color w:val="000000" w:themeColor="text1"/>
          <w:szCs w:val="21"/>
        </w:rPr>
        <w:t>1</w:t>
      </w:r>
      <w:r w:rsidRPr="00490741">
        <w:rPr>
          <w:rFonts w:asciiTheme="minorEastAsia" w:eastAsiaTheme="minorEastAsia" w:hAnsiTheme="minorEastAsia" w:hint="eastAsia"/>
          <w:b/>
          <w:color w:val="000000" w:themeColor="text1"/>
          <w:szCs w:val="21"/>
        </w:rPr>
        <w:t>）个股精选</w:t>
      </w:r>
    </w:p>
    <w:p w:rsidR="0002608C" w:rsidRPr="00490741" w:rsidP="00107648">
      <w:pPr>
        <w:snapToGrid w:val="0"/>
        <w:spacing w:line="360" w:lineRule="auto"/>
        <w:ind w:firstLine="480"/>
        <w:rPr>
          <w:rFonts w:asciiTheme="minorEastAsia" w:eastAsiaTheme="minorEastAsia" w:hAnsiTheme="minorEastAsia"/>
          <w:b/>
          <w:color w:val="000000" w:themeColor="text1"/>
          <w:szCs w:val="21"/>
        </w:rPr>
      </w:pPr>
      <w:r w:rsidRPr="00490741">
        <w:rPr>
          <w:rFonts w:asciiTheme="minorEastAsia" w:eastAsiaTheme="minorEastAsia" w:hAnsiTheme="minorEastAsia" w:hint="eastAsia"/>
          <w:color w:val="000000" w:themeColor="text1"/>
          <w:szCs w:val="21"/>
        </w:rPr>
        <w:t>本基金从定性及定量两方面对上市公司进行分析筛选，并通过基金管理人的估值模型，精选出具备持续增长或阶段性高速增长能力、且价值被低估的优势企业进行重点投资。</w:t>
      </w:r>
    </w:p>
    <w:p w:rsidR="0002608C" w:rsidRPr="00490741" w:rsidP="00107648">
      <w:pPr>
        <w:snapToGrid w:val="0"/>
        <w:spacing w:line="360" w:lineRule="auto"/>
        <w:ind w:firstLine="420" w:firstLineChars="200"/>
        <w:rPr>
          <w:rFonts w:asciiTheme="minorEastAsia" w:eastAsiaTheme="minorEastAsia" w:hAnsiTheme="minorEastAsia"/>
          <w:b/>
          <w:color w:val="000000" w:themeColor="text1"/>
          <w:szCs w:val="21"/>
        </w:rPr>
      </w:pPr>
      <w:r w:rsidRPr="00490741">
        <w:rPr>
          <w:rFonts w:asciiTheme="minorEastAsia" w:eastAsiaTheme="minorEastAsia" w:hAnsiTheme="minorEastAsia" w:hint="eastAsia"/>
          <w:b/>
          <w:color w:val="000000" w:themeColor="text1"/>
          <w:szCs w:val="21"/>
        </w:rPr>
        <w:t>1</w:t>
      </w:r>
      <w:r w:rsidRPr="00490741">
        <w:rPr>
          <w:rFonts w:asciiTheme="minorEastAsia" w:eastAsiaTheme="minorEastAsia" w:hAnsiTheme="minorEastAsia" w:hint="eastAsia"/>
          <w:b/>
          <w:color w:val="000000" w:themeColor="text1"/>
          <w:szCs w:val="21"/>
        </w:rPr>
        <w:t>）定性分析</w:t>
      </w:r>
    </w:p>
    <w:p w:rsidR="0002608C" w:rsidRPr="00490741" w:rsidP="00107648">
      <w:pPr>
        <w:numPr>
          <w:ilvl w:val="0"/>
          <w:numId w:val="7"/>
        </w:numPr>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良好的公司治理结构，诚信、优秀的公司管理层；</w:t>
      </w:r>
      <w:r w:rsidRPr="00490741">
        <w:rPr>
          <w:rFonts w:asciiTheme="minorEastAsia" w:eastAsiaTheme="minorEastAsia" w:hAnsiTheme="minorEastAsia" w:hint="eastAsia"/>
          <w:color w:val="000000" w:themeColor="text1"/>
          <w:szCs w:val="21"/>
        </w:rPr>
        <w:br/>
      </w:r>
      <w:r w:rsidRPr="00490741">
        <w:rPr>
          <w:rFonts w:asciiTheme="minorEastAsia" w:eastAsiaTheme="minorEastAsia" w:hAnsiTheme="minorEastAsia" w:hint="eastAsia"/>
          <w:color w:val="000000" w:themeColor="text1"/>
          <w:szCs w:val="21"/>
        </w:rPr>
        <w:t>企业管理层诚信尽职，融洽稳定，重视股东利益，管理水平能充分适应企业规模的不断扩大；企业能不断制定和调整发展战略，把握住正确的发展方向，以保证企业资源的最佳配置和自身优势的发挥。</w:t>
      </w:r>
    </w:p>
    <w:p w:rsidR="0002608C" w:rsidRPr="00490741" w:rsidP="00107648">
      <w:pPr>
        <w:numPr>
          <w:ilvl w:val="0"/>
          <w:numId w:val="7"/>
        </w:numPr>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财务</w:t>
      </w:r>
      <w:r w:rsidRPr="00490741">
        <w:rPr>
          <w:rFonts w:asciiTheme="minorEastAsia" w:eastAsiaTheme="minorEastAsia" w:hAnsiTheme="minorEastAsia" w:hint="eastAsia"/>
          <w:color w:val="000000" w:themeColor="text1"/>
          <w:szCs w:val="21"/>
        </w:rPr>
        <w:t>透明、清晰，资产质量及财务状况较好，良好的历史盈利记录</w:t>
      </w:r>
    </w:p>
    <w:p w:rsidR="0002608C" w:rsidRPr="00490741" w:rsidP="00107648">
      <w:pPr>
        <w:numPr>
          <w:ilvl w:val="0"/>
          <w:numId w:val="7"/>
        </w:numPr>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较好的行业集中度及行业地位，具备独特的核心竞争优势</w:t>
      </w:r>
      <w:r w:rsidRPr="00490741">
        <w:rPr>
          <w:rFonts w:asciiTheme="minorEastAsia" w:eastAsiaTheme="minorEastAsia" w:hAnsiTheme="minorEastAsia" w:hint="eastAsia"/>
          <w:color w:val="000000" w:themeColor="text1"/>
          <w:szCs w:val="21"/>
        </w:rPr>
        <w:br/>
      </w:r>
      <w:r w:rsidRPr="00490741">
        <w:rPr>
          <w:rFonts w:asciiTheme="minorEastAsia" w:eastAsiaTheme="minorEastAsia" w:hAnsiTheme="minorEastAsia" w:hint="eastAsia"/>
          <w:color w:val="000000" w:themeColor="text1"/>
          <w:szCs w:val="21"/>
        </w:rPr>
        <w:t>企业在经营许可、规模、资源、技术、品牌、创新能力等方面具有竞争对手在中长期时间内难以模仿的显著优势；</w:t>
      </w:r>
    </w:p>
    <w:p w:rsidR="0002608C" w:rsidRPr="00490741" w:rsidP="00107648">
      <w:pPr>
        <w:numPr>
          <w:ilvl w:val="0"/>
          <w:numId w:val="7"/>
        </w:numPr>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具备中长期持续增长能力或阶段性高速增长的能力</w:t>
      </w:r>
      <w:r w:rsidRPr="00490741">
        <w:rPr>
          <w:rFonts w:asciiTheme="minorEastAsia" w:eastAsiaTheme="minorEastAsia" w:hAnsiTheme="minorEastAsia"/>
          <w:color w:val="000000" w:themeColor="text1"/>
          <w:szCs w:val="21"/>
        </w:rPr>
        <w:br/>
      </w:r>
      <w:r w:rsidRPr="00490741">
        <w:rPr>
          <w:rFonts w:asciiTheme="minorEastAsia" w:eastAsiaTheme="minorEastAsia" w:hAnsiTheme="minorEastAsia" w:hint="eastAsia"/>
          <w:color w:val="000000" w:themeColor="text1"/>
          <w:szCs w:val="21"/>
        </w:rPr>
        <w:t>企业的主营产品或服务具有良好的市场前景，在产品</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服务提供方面具有成本优势，拥有出色的销售机制、体系及团队等；此外，应具备较强的技术创新能力，并保持足够的研发投入，以推动企业的持续发展等。</w:t>
      </w:r>
    </w:p>
    <w:p w:rsidR="00C15CD6" w:rsidRPr="00490741" w:rsidP="00107648">
      <w:pPr>
        <w:snapToGrid w:val="0"/>
        <w:spacing w:line="360" w:lineRule="auto"/>
        <w:ind w:left="420" w:leftChars="200"/>
        <w:rPr>
          <w:rFonts w:asciiTheme="minorEastAsia" w:eastAsiaTheme="minorEastAsia" w:hAnsiTheme="minorEastAsia"/>
          <w:b/>
          <w:color w:val="000000" w:themeColor="text1"/>
          <w:szCs w:val="21"/>
        </w:rPr>
      </w:pPr>
      <w:r w:rsidRPr="00490741">
        <w:rPr>
          <w:rFonts w:asciiTheme="minorEastAsia" w:eastAsiaTheme="minorEastAsia" w:hAnsiTheme="minorEastAsia" w:hint="eastAsia"/>
          <w:b/>
          <w:color w:val="000000" w:themeColor="text1"/>
          <w:szCs w:val="21"/>
        </w:rPr>
        <w:t>2</w:t>
      </w:r>
      <w:r w:rsidRPr="00490741">
        <w:rPr>
          <w:rFonts w:asciiTheme="minorEastAsia" w:eastAsiaTheme="minorEastAsia" w:hAnsiTheme="minorEastAsia" w:hint="eastAsia"/>
          <w:b/>
          <w:color w:val="000000" w:themeColor="text1"/>
          <w:szCs w:val="21"/>
        </w:rPr>
        <w:t>）</w:t>
      </w:r>
      <w:r w:rsidRPr="00490741" w:rsidR="0002608C">
        <w:rPr>
          <w:rFonts w:asciiTheme="minorEastAsia" w:eastAsiaTheme="minorEastAsia" w:hAnsiTheme="minorEastAsia" w:hint="eastAsia"/>
          <w:b/>
          <w:color w:val="000000" w:themeColor="text1"/>
          <w:szCs w:val="21"/>
        </w:rPr>
        <w:t>定量分析</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本基金在选择个股时充分利用上市公司的财务数据，从上市公司的盈利能力、成长能力、运营能力、负债水平等各个方面进行量化筛选。本基金采用的量化指标主要包括以下几类：</w:t>
      </w:r>
    </w:p>
    <w:p w:rsidR="0002608C" w:rsidRPr="00490741" w:rsidP="00E1094C">
      <w:pPr>
        <w:numPr>
          <w:ilvl w:val="0"/>
          <w:numId w:val="7"/>
        </w:numPr>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盈利能力指标：主要包括净资产收益率、主营业务利润率、资产净利率、新项目的内部收益率。</w:t>
      </w:r>
    </w:p>
    <w:p w:rsidR="0002608C" w:rsidRPr="00490741" w:rsidP="00E1094C">
      <w:pPr>
        <w:numPr>
          <w:ilvl w:val="0"/>
          <w:numId w:val="7"/>
        </w:numPr>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成长能力指标：主要包括长期主营业务收入增长率、长期利润增长率。</w:t>
      </w:r>
    </w:p>
    <w:p w:rsidR="0002608C" w:rsidRPr="00490741" w:rsidP="00E1094C">
      <w:pPr>
        <w:numPr>
          <w:ilvl w:val="0"/>
          <w:numId w:val="7"/>
        </w:numPr>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运营能力指标：主要包括总资产周转率、存货周转率、应收账款周转率。</w:t>
      </w:r>
    </w:p>
    <w:p w:rsidR="0002608C" w:rsidRPr="00490741" w:rsidP="00E1094C">
      <w:pPr>
        <w:numPr>
          <w:ilvl w:val="0"/>
          <w:numId w:val="7"/>
        </w:numPr>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负债水平指标：主要包括资产负债率、流动比率、速动比率。</w:t>
      </w:r>
    </w:p>
    <w:p w:rsidR="0002608C" w:rsidRPr="00490741" w:rsidP="00107648">
      <w:pPr>
        <w:snapToGrid w:val="0"/>
        <w:spacing w:line="360" w:lineRule="auto"/>
        <w:ind w:left="84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在其它条件相同或类似时，本基金优选盈利能力、成长能力、运营能力指标较高而负债水平</w:t>
      </w:r>
      <w:r w:rsidRPr="00490741">
        <w:rPr>
          <w:rFonts w:asciiTheme="minorEastAsia" w:eastAsiaTheme="minorEastAsia" w:hAnsiTheme="minorEastAsia" w:hint="eastAsia"/>
          <w:color w:val="000000" w:themeColor="text1"/>
          <w:szCs w:val="21"/>
        </w:rPr>
        <w:t>较低或合理的上市公司作为投资对象。</w:t>
      </w:r>
    </w:p>
    <w:p w:rsidR="0002608C" w:rsidRPr="00490741" w:rsidP="00107648">
      <w:pPr>
        <w:snapToGrid w:val="0"/>
        <w:spacing w:line="360" w:lineRule="auto"/>
        <w:ind w:left="780"/>
        <w:rPr>
          <w:rFonts w:asciiTheme="minorEastAsia" w:eastAsiaTheme="minorEastAsia" w:hAnsiTheme="minorEastAsia"/>
          <w:b/>
          <w:color w:val="000000" w:themeColor="text1"/>
          <w:szCs w:val="21"/>
        </w:rPr>
      </w:pPr>
      <w:r w:rsidRPr="00490741">
        <w:rPr>
          <w:rFonts w:asciiTheme="minorEastAsia" w:eastAsiaTheme="minorEastAsia" w:hAnsiTheme="minorEastAsia" w:hint="eastAsia"/>
          <w:b/>
          <w:color w:val="000000" w:themeColor="text1"/>
          <w:szCs w:val="21"/>
        </w:rPr>
        <w:t>3</w:t>
      </w:r>
      <w:r w:rsidRPr="00490741">
        <w:rPr>
          <w:rFonts w:asciiTheme="minorEastAsia" w:eastAsiaTheme="minorEastAsia" w:hAnsiTheme="minorEastAsia" w:hint="eastAsia"/>
          <w:b/>
          <w:color w:val="000000" w:themeColor="text1"/>
          <w:szCs w:val="21"/>
        </w:rPr>
        <w:t>）估值</w:t>
      </w:r>
    </w:p>
    <w:p w:rsidR="0002608C" w:rsidRPr="00490741" w:rsidP="00107648">
      <w:pPr>
        <w:snapToGrid w:val="0"/>
        <w:spacing w:line="360" w:lineRule="auto"/>
        <w:ind w:left="420" w:firstLine="36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根据企业业绩的长期增长趋势以及同类企业的平均估值水平，应用本基金管理人设计的估值模型，选择价值被市场显著低估的企业进行投资。采用的估值模型包括资产重置价格、市盈率法（</w:t>
      </w:r>
      <w:r w:rsidRPr="00490741">
        <w:rPr>
          <w:rFonts w:asciiTheme="minorEastAsia" w:eastAsiaTheme="minorEastAsia" w:hAnsiTheme="minorEastAsia" w:hint="eastAsia"/>
          <w:color w:val="000000" w:themeColor="text1"/>
          <w:szCs w:val="21"/>
        </w:rPr>
        <w:t>P/E</w:t>
      </w:r>
      <w:r w:rsidRPr="00490741">
        <w:rPr>
          <w:rFonts w:asciiTheme="minorEastAsia" w:eastAsiaTheme="minorEastAsia" w:hAnsiTheme="minorEastAsia" w:hint="eastAsia"/>
          <w:color w:val="000000" w:themeColor="text1"/>
          <w:szCs w:val="21"/>
        </w:rPr>
        <w:t>）、市净率法（</w:t>
      </w:r>
      <w:r w:rsidRPr="00490741">
        <w:rPr>
          <w:rFonts w:asciiTheme="minorEastAsia" w:eastAsiaTheme="minorEastAsia" w:hAnsiTheme="minorEastAsia" w:hint="eastAsia"/>
          <w:color w:val="000000" w:themeColor="text1"/>
          <w:szCs w:val="21"/>
        </w:rPr>
        <w:t>P/B</w:t>
      </w:r>
      <w:r w:rsidRPr="00490741">
        <w:rPr>
          <w:rFonts w:asciiTheme="minorEastAsia" w:eastAsiaTheme="minorEastAsia" w:hAnsiTheme="minorEastAsia" w:hint="eastAsia"/>
          <w:color w:val="000000" w:themeColor="text1"/>
          <w:szCs w:val="21"/>
        </w:rPr>
        <w:t>）、经济价值</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息税折旧摊销前利润法（</w:t>
      </w:r>
      <w:r w:rsidRPr="00490741">
        <w:rPr>
          <w:rFonts w:asciiTheme="minorEastAsia" w:eastAsiaTheme="minorEastAsia" w:hAnsiTheme="minorEastAsia" w:hint="eastAsia"/>
          <w:color w:val="000000" w:themeColor="text1"/>
          <w:szCs w:val="21"/>
        </w:rPr>
        <w:t>EV/EBITDA</w:t>
      </w:r>
      <w:r w:rsidRPr="00490741">
        <w:rPr>
          <w:rFonts w:asciiTheme="minorEastAsia" w:eastAsiaTheme="minorEastAsia" w:hAnsiTheme="minorEastAsia" w:hint="eastAsia"/>
          <w:color w:val="000000" w:themeColor="text1"/>
          <w:szCs w:val="21"/>
        </w:rPr>
        <w:t>）、现金流贴现法（</w:t>
      </w:r>
      <w:r w:rsidRPr="00490741">
        <w:rPr>
          <w:rFonts w:asciiTheme="minorEastAsia" w:eastAsiaTheme="minorEastAsia" w:hAnsiTheme="minorEastAsia" w:hint="eastAsia"/>
          <w:color w:val="000000" w:themeColor="text1"/>
          <w:szCs w:val="21"/>
        </w:rPr>
        <w:t>DCF</w:t>
      </w:r>
      <w:r w:rsidRPr="00490741">
        <w:rPr>
          <w:rFonts w:asciiTheme="minorEastAsia" w:eastAsiaTheme="minorEastAsia" w:hAnsiTheme="minorEastAsia" w:hint="eastAsia"/>
          <w:color w:val="000000" w:themeColor="text1"/>
          <w:szCs w:val="21"/>
        </w:rPr>
        <w:t>），比较分析方法包括横向比较及纵向比较。</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本基金通过扎实的基本面研究，对所投资企业基本面、影响其业绩的不确定因素保持深入及全面的了解，确保所选择的企业具备中长期持续增长或阶段性高速增长能力。研究员将</w:t>
      </w:r>
      <w:r w:rsidRPr="00490741">
        <w:rPr>
          <w:rFonts w:asciiTheme="minorEastAsia" w:eastAsiaTheme="minorEastAsia" w:hAnsiTheme="minorEastAsia" w:hint="eastAsia"/>
          <w:color w:val="000000" w:themeColor="text1"/>
          <w:szCs w:val="21"/>
        </w:rPr>
        <w:t>对精选出的股票进行持续跟踪，当发现股票的基本面及定价等因素发生较大变化，不再满足相关选择标准时，基金经理应在合理时间内将该股票从投资组合中剔除。</w:t>
      </w:r>
    </w:p>
    <w:p w:rsidR="0002608C" w:rsidRPr="00490741" w:rsidP="00107648">
      <w:pPr>
        <w:snapToGrid w:val="0"/>
        <w:spacing w:line="360" w:lineRule="auto"/>
        <w:ind w:firstLine="420" w:firstLineChars="200"/>
        <w:rPr>
          <w:rFonts w:asciiTheme="minorEastAsia" w:eastAsiaTheme="minorEastAsia" w:hAnsiTheme="minorEastAsia"/>
          <w:b/>
          <w:color w:val="000000" w:themeColor="text1"/>
          <w:szCs w:val="21"/>
        </w:rPr>
      </w:pPr>
      <w:r w:rsidRPr="00490741">
        <w:rPr>
          <w:rFonts w:asciiTheme="minorEastAsia" w:eastAsiaTheme="minorEastAsia" w:hAnsiTheme="minorEastAsia" w:hint="eastAsia"/>
          <w:b/>
          <w:color w:val="000000" w:themeColor="text1"/>
          <w:szCs w:val="21"/>
        </w:rPr>
        <w:t>4</w:t>
      </w:r>
      <w:r w:rsidRPr="00490741">
        <w:rPr>
          <w:rFonts w:asciiTheme="minorEastAsia" w:eastAsiaTheme="minorEastAsia" w:hAnsiTheme="minorEastAsia" w:hint="eastAsia"/>
          <w:b/>
          <w:color w:val="000000" w:themeColor="text1"/>
          <w:szCs w:val="21"/>
        </w:rPr>
        <w:t>）行业精选</w:t>
      </w:r>
    </w:p>
    <w:p w:rsidR="0002608C" w:rsidRPr="00490741" w:rsidP="00107648">
      <w:pPr>
        <w:snapToGrid w:val="0"/>
        <w:spacing w:line="360" w:lineRule="auto"/>
        <w:ind w:left="360"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本基金管理人将根据上述精选股票价格与其内在价值的对比，确定各股票的投资价值的排名，从中选择投资价值最高的股票拟定投资方案，投资价值越高的股票，投资比重越高。</w:t>
      </w:r>
    </w:p>
    <w:p w:rsidR="0002608C" w:rsidRPr="00490741" w:rsidP="00107648">
      <w:pPr>
        <w:snapToGrid w:val="0"/>
        <w:spacing w:line="360" w:lineRule="auto"/>
        <w:ind w:left="360"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在此基础上，结合基金管理人研究团队及基</w:t>
      </w:r>
      <w:r w:rsidRPr="00490741">
        <w:rPr>
          <w:rFonts w:asciiTheme="minorEastAsia" w:eastAsiaTheme="minorEastAsia" w:hAnsiTheme="minorEastAsia" w:hint="eastAsia"/>
          <w:color w:val="000000" w:themeColor="text1"/>
          <w:szCs w:val="21"/>
        </w:rPr>
        <w:t>金经理对各主要行业基本面及未来走势的分析判断进行业的优化配置，动态寻找行业与个股的最佳结合点，实现优势个股与景气行业的精选投资。在进行行业优化配置时主要考察分析的因素包括：</w:t>
      </w:r>
    </w:p>
    <w:p w:rsidR="0002608C" w:rsidRPr="00490741" w:rsidP="00107648">
      <w:pPr>
        <w:numPr>
          <w:ilvl w:val="1"/>
          <w:numId w:val="7"/>
        </w:numPr>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宏观经济景气状况及所处阶段</w:t>
      </w:r>
    </w:p>
    <w:p w:rsidR="0002608C" w:rsidRPr="00490741" w:rsidP="00107648">
      <w:pPr>
        <w:snapToGrid w:val="0"/>
        <w:spacing w:line="360" w:lineRule="auto"/>
        <w:ind w:left="840"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分析判断目前经济增长的构成、来源、景气状况，寻找在当前增长模式下增长空间和弹性最大的行业；寻找经济转型中受益程度最高的行业；</w:t>
      </w:r>
    </w:p>
    <w:p w:rsidR="0002608C" w:rsidRPr="00490741" w:rsidP="00107648">
      <w:pPr>
        <w:numPr>
          <w:ilvl w:val="1"/>
          <w:numId w:val="7"/>
        </w:numPr>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相关金融货币政策变化情况；</w:t>
      </w:r>
    </w:p>
    <w:p w:rsidR="0002608C" w:rsidRPr="00490741" w:rsidP="00107648">
      <w:pPr>
        <w:snapToGrid w:val="0"/>
        <w:spacing w:line="360" w:lineRule="auto"/>
        <w:ind w:left="840"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根据不同阶段的利率、汇率、财政、货币政策，寻找阶段最优行业；</w:t>
      </w:r>
    </w:p>
    <w:p w:rsidR="0002608C" w:rsidRPr="00490741" w:rsidP="00107648">
      <w:pPr>
        <w:numPr>
          <w:ilvl w:val="1"/>
          <w:numId w:val="7"/>
        </w:numPr>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产业政策及发展环境的变化；</w:t>
      </w:r>
    </w:p>
    <w:p w:rsidR="0002608C" w:rsidRPr="00490741" w:rsidP="00107648">
      <w:pPr>
        <w:snapToGrid w:val="0"/>
        <w:spacing w:line="360" w:lineRule="auto"/>
        <w:ind w:left="840"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根据国家不同阶段对不同产业的政策和环境，寻找受扶持、受鼓励、发展环</w:t>
      </w:r>
      <w:r w:rsidRPr="00490741">
        <w:rPr>
          <w:rFonts w:asciiTheme="minorEastAsia" w:eastAsiaTheme="minorEastAsia" w:hAnsiTheme="minorEastAsia" w:hint="eastAsia"/>
          <w:color w:val="000000" w:themeColor="text1"/>
          <w:szCs w:val="21"/>
        </w:rPr>
        <w:t>境得到持续改善的行业，获取这一行业高速发展的机会；</w:t>
      </w:r>
    </w:p>
    <w:p w:rsidR="0002608C" w:rsidRPr="00490741" w:rsidP="00107648">
      <w:pPr>
        <w:numPr>
          <w:ilvl w:val="1"/>
          <w:numId w:val="7"/>
        </w:numPr>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行业所处的生命周期及其在产业链中的地位变化；</w:t>
      </w:r>
    </w:p>
    <w:p w:rsidR="0002608C" w:rsidRPr="00490741" w:rsidP="00107648">
      <w:pPr>
        <w:snapToGrid w:val="0"/>
        <w:spacing w:line="360" w:lineRule="auto"/>
        <w:ind w:left="840" w:firstLine="420"/>
        <w:rPr>
          <w:rFonts w:asciiTheme="minorEastAsia" w:eastAsiaTheme="minorEastAsia" w:hAnsiTheme="minorEastAsia"/>
          <w:b/>
          <w:color w:val="000000" w:themeColor="text1"/>
          <w:szCs w:val="21"/>
        </w:rPr>
      </w:pPr>
      <w:r w:rsidRPr="00490741">
        <w:rPr>
          <w:rFonts w:asciiTheme="minorEastAsia" w:eastAsiaTheme="minorEastAsia" w:hAnsiTheme="minorEastAsia" w:hint="eastAsia"/>
          <w:color w:val="000000" w:themeColor="text1"/>
          <w:szCs w:val="21"/>
        </w:rPr>
        <w:t>动态分析行业发展周期、与上下游关系与谈判地位，寻找产业链中由弱转强或优势扩大的行业。</w:t>
      </w:r>
    </w:p>
    <w:p w:rsidR="0002608C" w:rsidRPr="00490741" w:rsidP="00107648">
      <w:pPr>
        <w:snapToGrid w:val="0"/>
        <w:spacing w:line="360" w:lineRule="auto"/>
        <w:ind w:firstLine="420" w:firstLineChars="200"/>
        <w:rPr>
          <w:rFonts w:asciiTheme="minorEastAsia" w:eastAsiaTheme="minorEastAsia" w:hAnsiTheme="minorEastAsia"/>
          <w:b/>
          <w:color w:val="000000" w:themeColor="text1"/>
          <w:szCs w:val="21"/>
        </w:rPr>
      </w:pPr>
      <w:r w:rsidRPr="00490741">
        <w:rPr>
          <w:rFonts w:asciiTheme="minorEastAsia" w:eastAsiaTheme="minorEastAsia" w:hAnsiTheme="minorEastAsia" w:hint="eastAsia"/>
          <w:b/>
          <w:color w:val="000000" w:themeColor="text1"/>
          <w:szCs w:val="21"/>
        </w:rPr>
        <w:t>5</w:t>
      </w:r>
      <w:r w:rsidRPr="00490741">
        <w:rPr>
          <w:rFonts w:asciiTheme="minorEastAsia" w:eastAsiaTheme="minorEastAsia" w:hAnsiTheme="minorEastAsia" w:hint="eastAsia"/>
          <w:b/>
          <w:color w:val="000000" w:themeColor="text1"/>
          <w:szCs w:val="21"/>
        </w:rPr>
        <w:t>）构建股票投资组合</w:t>
      </w:r>
    </w:p>
    <w:p w:rsidR="0002608C" w:rsidRPr="00490741" w:rsidP="00107648">
      <w:pPr>
        <w:snapToGrid w:val="0"/>
        <w:spacing w:line="360" w:lineRule="auto"/>
        <w:ind w:left="360"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在初步拟定投资方案后，本基金将对投资组合的行业集中度风险及股票流动性风险进行评估，经调整后确定最终投资方案。</w:t>
      </w:r>
    </w:p>
    <w:p w:rsidR="00371F41" w:rsidRPr="00490741" w:rsidP="00371F41">
      <w:pPr>
        <w:snapToGrid w:val="0"/>
        <w:spacing w:line="360" w:lineRule="auto"/>
        <w:ind w:firstLine="420" w:firstLineChars="200"/>
        <w:rPr>
          <w:rFonts w:asciiTheme="minorEastAsia" w:eastAsiaTheme="minorEastAsia" w:hAnsiTheme="minorEastAsia"/>
          <w:b/>
          <w:color w:val="000000" w:themeColor="text1"/>
          <w:szCs w:val="21"/>
        </w:rPr>
      </w:pPr>
      <w:r w:rsidRPr="00490741">
        <w:rPr>
          <w:rFonts w:asciiTheme="minorEastAsia" w:eastAsiaTheme="minorEastAsia" w:hAnsiTheme="minorEastAsia" w:hint="eastAsia"/>
          <w:b/>
          <w:color w:val="000000" w:themeColor="text1"/>
          <w:szCs w:val="21"/>
        </w:rPr>
        <w:t>3</w:t>
      </w:r>
      <w:r w:rsidRPr="00490741">
        <w:rPr>
          <w:rFonts w:asciiTheme="minorEastAsia" w:eastAsiaTheme="minorEastAsia" w:hAnsiTheme="minorEastAsia" w:hint="eastAsia"/>
          <w:b/>
          <w:color w:val="000000" w:themeColor="text1"/>
          <w:szCs w:val="21"/>
        </w:rPr>
        <w:t>、存托凭证投资策略</w:t>
      </w:r>
    </w:p>
    <w:p w:rsidR="00371F41" w:rsidRPr="00490741" w:rsidP="00371F41">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本基金可投资存托凭证，本基金将结合对宏观经济状况、行业景气度、公司竞争优势、公司治理结构、估值水平等因素的分析判断，选择投资价值高的存托凭证进行投资。</w:t>
      </w:r>
    </w:p>
    <w:p w:rsidR="0002608C" w:rsidRPr="00490741" w:rsidP="00371F41">
      <w:pPr>
        <w:snapToGrid w:val="0"/>
        <w:spacing w:line="360" w:lineRule="auto"/>
        <w:ind w:firstLine="420" w:firstLineChars="200"/>
        <w:rPr>
          <w:rFonts w:asciiTheme="minorEastAsia" w:eastAsiaTheme="minorEastAsia" w:hAnsiTheme="minorEastAsia"/>
          <w:b/>
          <w:color w:val="000000" w:themeColor="text1"/>
          <w:szCs w:val="21"/>
        </w:rPr>
      </w:pPr>
      <w:r w:rsidRPr="00490741">
        <w:rPr>
          <w:rFonts w:asciiTheme="minorEastAsia" w:eastAsiaTheme="minorEastAsia" w:hAnsiTheme="minorEastAsia"/>
          <w:b/>
          <w:color w:val="000000" w:themeColor="text1"/>
          <w:szCs w:val="21"/>
        </w:rPr>
        <w:t>4</w:t>
      </w:r>
      <w:r w:rsidRPr="00490741" w:rsidR="00C15CD6">
        <w:rPr>
          <w:rFonts w:asciiTheme="minorEastAsia" w:eastAsiaTheme="minorEastAsia" w:hAnsiTheme="minorEastAsia" w:hint="eastAsia"/>
          <w:b/>
          <w:color w:val="000000" w:themeColor="text1"/>
          <w:szCs w:val="21"/>
        </w:rPr>
        <w:t>、</w:t>
      </w:r>
      <w:r w:rsidRPr="00490741">
        <w:rPr>
          <w:rFonts w:asciiTheme="minorEastAsia" w:eastAsiaTheme="minorEastAsia" w:hAnsiTheme="minorEastAsia" w:hint="eastAsia"/>
          <w:b/>
          <w:color w:val="000000" w:themeColor="text1"/>
          <w:szCs w:val="21"/>
        </w:rPr>
        <w:t>其它投资策略</w:t>
      </w:r>
    </w:p>
    <w:p w:rsidR="0002608C" w:rsidRPr="00490741" w:rsidP="00107648">
      <w:pPr>
        <w:snapToGrid w:val="0"/>
        <w:spacing w:line="360" w:lineRule="auto"/>
        <w:ind w:firstLine="420"/>
        <w:rPr>
          <w:rFonts w:asciiTheme="minorEastAsia" w:eastAsiaTheme="minorEastAsia" w:hAnsiTheme="minorEastAsia"/>
          <w:color w:val="000000" w:themeColor="text1"/>
          <w:kern w:val="0"/>
          <w:szCs w:val="21"/>
        </w:rPr>
      </w:pPr>
      <w:r w:rsidRPr="00490741">
        <w:rPr>
          <w:rFonts w:asciiTheme="minorEastAsia" w:eastAsiaTheme="minorEastAsia" w:hAnsiTheme="minorEastAsia" w:hint="eastAsia"/>
          <w:color w:val="000000" w:themeColor="text1"/>
          <w:szCs w:val="21"/>
        </w:rPr>
        <w:t>除股票资产外，本基金的投资对象还主要包括货币市场工具、债券和、可转债、权证及法律、法规或中国证监会允许基金投资的其他金融工具。</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投资部分货币市场工具及债券的主要目的是在投资上保持必要的灵活性和运作空间，以更好控制风险、及时把握重大的投资机会。当股票市场风险显著增大时，本基金将降低股票投资的仓位，增加对货币市场工具和债券的投资，在保证资产安全性、流动性的基础上获得一定收益。除此之外，本基金还可投资于可转债，积极把握低风险下的获利机会。</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权证为本基金辅助性投资工具，投资原则为有利于基金资产增值、控制下跌风</w:t>
      </w:r>
      <w:r w:rsidRPr="00490741">
        <w:rPr>
          <w:rFonts w:asciiTheme="minorEastAsia" w:eastAsiaTheme="minorEastAsia" w:hAnsiTheme="minorEastAsia" w:hint="eastAsia"/>
          <w:color w:val="000000" w:themeColor="text1"/>
          <w:szCs w:val="21"/>
        </w:rPr>
        <w:t>险、实现</w:t>
      </w:r>
      <w:r w:rsidRPr="00490741">
        <w:rPr>
          <w:rFonts w:asciiTheme="minorEastAsia" w:eastAsiaTheme="minorEastAsia" w:hAnsiTheme="minorEastAsia" w:hint="eastAsia"/>
          <w:color w:val="000000" w:themeColor="text1"/>
          <w:szCs w:val="21"/>
        </w:rPr>
        <w:t>保值和锁定收益。本基金将主要投资满足个股精选条件的公司发行的权证。</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本基金可以持有在股权分置改革中被动获得的权证，并可以根据证券交易所的有关规定卖出该部分权证或行权。</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本基金可以根据权证投资策略主动投资于在股权分置改革中发行的权证。</w:t>
      </w:r>
    </w:p>
    <w:p w:rsidR="0002608C" w:rsidRPr="00490741" w:rsidP="00107648">
      <w:pPr>
        <w:snapToGrid w:val="0"/>
        <w:spacing w:line="360" w:lineRule="auto"/>
        <w:ind w:firstLine="420"/>
        <w:rPr>
          <w:rFonts w:asciiTheme="minorEastAsia" w:eastAsiaTheme="minorEastAsia" w:hAnsiTheme="minorEastAsia"/>
          <w:color w:val="000000" w:themeColor="text1"/>
          <w:kern w:val="0"/>
          <w:szCs w:val="21"/>
        </w:rPr>
      </w:pPr>
      <w:r w:rsidRPr="00490741">
        <w:rPr>
          <w:rFonts w:asciiTheme="minorEastAsia" w:eastAsiaTheme="minorEastAsia" w:hAnsiTheme="minorEastAsia" w:hint="eastAsia"/>
          <w:color w:val="000000" w:themeColor="text1"/>
          <w:szCs w:val="21"/>
        </w:rPr>
        <w:t>随着我国权证市场的发展，在以后法律法规允许的情况下，本基金也将投资除股权分置改革中发行的权证之外的其他类型的权证，以实现投资目标。</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77" w:name="_Toc114237425"/>
      <w:bookmarkEnd w:id="75"/>
      <w:bookmarkEnd w:id="76"/>
      <w:r w:rsidRPr="00490741">
        <w:rPr>
          <w:rFonts w:asciiTheme="minorEastAsia" w:eastAsiaTheme="minorEastAsia" w:hAnsiTheme="minorEastAsia" w:hint="eastAsia"/>
          <w:b w:val="0"/>
          <w:bCs/>
          <w:color w:val="000000" w:themeColor="text1"/>
        </w:rPr>
        <w:t>（五）业绩</w:t>
      </w:r>
      <w:r w:rsidRPr="00490741">
        <w:rPr>
          <w:rFonts w:asciiTheme="minorEastAsia" w:eastAsiaTheme="minorEastAsia" w:hAnsiTheme="minorEastAsia"/>
          <w:b w:val="0"/>
          <w:bCs/>
          <w:color w:val="000000" w:themeColor="text1"/>
        </w:rPr>
        <w:t>比较基准</w:t>
      </w:r>
      <w:bookmarkEnd w:id="72"/>
      <w:bookmarkEnd w:id="73"/>
      <w:bookmarkEnd w:id="77"/>
    </w:p>
    <w:p w:rsidR="0002608C" w:rsidRPr="00490741" w:rsidP="00107648">
      <w:pPr>
        <w:snapToGrid w:val="0"/>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80</w:t>
      </w:r>
      <w:r w:rsidRPr="00490741">
        <w:rPr>
          <w:rFonts w:asciiTheme="minorEastAsia" w:eastAsiaTheme="minorEastAsia" w:hAnsiTheme="minorEastAsia"/>
          <w:color w:val="000000" w:themeColor="text1"/>
        </w:rPr>
        <w:t>%</w:t>
      </w:r>
      <w:r w:rsidRPr="00490741">
        <w:rPr>
          <w:rFonts w:asciiTheme="minorEastAsia" w:eastAsiaTheme="minorEastAsia" w:hAnsiTheme="minorEastAsia" w:hint="eastAsia"/>
          <w:color w:val="000000" w:themeColor="text1"/>
        </w:rPr>
        <w:t>×沪深</w:t>
      </w:r>
      <w:r w:rsidRPr="00490741">
        <w:rPr>
          <w:rFonts w:asciiTheme="minorEastAsia" w:eastAsiaTheme="minorEastAsia" w:hAnsiTheme="minorEastAsia" w:hint="eastAsia"/>
          <w:color w:val="000000" w:themeColor="text1"/>
        </w:rPr>
        <w:t>300</w:t>
      </w:r>
      <w:r w:rsidRPr="00490741">
        <w:rPr>
          <w:rFonts w:asciiTheme="minorEastAsia" w:eastAsiaTheme="minorEastAsia" w:hAnsiTheme="minorEastAsia"/>
          <w:color w:val="000000" w:themeColor="text1"/>
        </w:rPr>
        <w:t>指数</w:t>
      </w:r>
      <w:r w:rsidRPr="00490741">
        <w:rPr>
          <w:rFonts w:asciiTheme="minorEastAsia" w:eastAsiaTheme="minorEastAsia" w:hAnsiTheme="minorEastAsia"/>
          <w:color w:val="000000" w:themeColor="text1"/>
        </w:rPr>
        <w:t>+</w:t>
      </w:r>
      <w:r w:rsidRPr="00490741">
        <w:rPr>
          <w:rFonts w:asciiTheme="minorEastAsia" w:eastAsiaTheme="minorEastAsia" w:hAnsiTheme="minorEastAsia" w:hint="eastAsia"/>
          <w:color w:val="000000" w:themeColor="text1"/>
        </w:rPr>
        <w:t>20</w:t>
      </w:r>
      <w:r w:rsidRPr="00490741">
        <w:rPr>
          <w:rFonts w:asciiTheme="minorEastAsia" w:eastAsiaTheme="minorEastAsia" w:hAnsiTheme="minorEastAsia"/>
          <w:color w:val="000000" w:themeColor="text1"/>
        </w:rPr>
        <w:t>%</w:t>
      </w:r>
      <w:r w:rsidRPr="00490741">
        <w:rPr>
          <w:rFonts w:asciiTheme="minorEastAsia" w:eastAsiaTheme="minorEastAsia" w:hAnsiTheme="minorEastAsia" w:hint="eastAsia"/>
          <w:color w:val="000000" w:themeColor="text1"/>
        </w:rPr>
        <w:t>×上证国债指数</w:t>
      </w:r>
    </w:p>
    <w:p w:rsidR="0002608C" w:rsidRPr="00490741" w:rsidP="00107648">
      <w:pPr>
        <w:snapToGrid w:val="0"/>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如果</w:t>
      </w:r>
      <w:r w:rsidRPr="00490741">
        <w:rPr>
          <w:rFonts w:asciiTheme="minorEastAsia" w:eastAsiaTheme="minorEastAsia" w:hAnsiTheme="minorEastAsia" w:hint="eastAsia"/>
          <w:color w:val="000000" w:themeColor="text1"/>
        </w:rPr>
        <w:t>指数编制单位</w:t>
      </w:r>
      <w:r w:rsidRPr="00490741">
        <w:rPr>
          <w:rFonts w:asciiTheme="minorEastAsia" w:eastAsiaTheme="minorEastAsia" w:hAnsiTheme="minorEastAsia"/>
          <w:color w:val="000000" w:themeColor="text1"/>
        </w:rPr>
        <w:t>停止计算编制</w:t>
      </w:r>
      <w:r w:rsidRPr="00490741">
        <w:rPr>
          <w:rFonts w:asciiTheme="minorEastAsia" w:eastAsiaTheme="minorEastAsia" w:hAnsiTheme="minorEastAsia" w:hint="eastAsia"/>
          <w:color w:val="000000" w:themeColor="text1"/>
        </w:rPr>
        <w:t>该</w:t>
      </w:r>
      <w:r w:rsidRPr="00490741">
        <w:rPr>
          <w:rFonts w:asciiTheme="minorEastAsia" w:eastAsiaTheme="minorEastAsia" w:hAnsiTheme="minorEastAsia"/>
          <w:color w:val="000000" w:themeColor="text1"/>
        </w:rPr>
        <w:t>指数或更改指数名称</w:t>
      </w:r>
      <w:r w:rsidRPr="00490741">
        <w:rPr>
          <w:rFonts w:asciiTheme="minorEastAsia" w:eastAsiaTheme="minorEastAsia" w:hAnsiTheme="minorEastAsia" w:hint="eastAsia"/>
          <w:color w:val="000000" w:themeColor="text1"/>
        </w:rPr>
        <w:t>、或</w:t>
      </w:r>
      <w:r w:rsidRPr="00490741">
        <w:rPr>
          <w:rFonts w:asciiTheme="minorEastAsia" w:eastAsiaTheme="minorEastAsia" w:hAnsiTheme="minorEastAsia"/>
          <w:color w:val="000000" w:themeColor="text1"/>
        </w:rPr>
        <w:t>有更权威的、更能为市</w:t>
      </w:r>
      <w:r w:rsidRPr="00490741">
        <w:rPr>
          <w:rFonts w:asciiTheme="minorEastAsia" w:eastAsiaTheme="minorEastAsia" w:hAnsiTheme="minorEastAsia"/>
          <w:color w:val="000000" w:themeColor="text1"/>
        </w:rPr>
        <w:t>场普遍接受的业绩比较基准推出</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本基金</w:t>
      </w:r>
      <w:r w:rsidRPr="00490741">
        <w:rPr>
          <w:rFonts w:asciiTheme="minorEastAsia" w:eastAsiaTheme="minorEastAsia" w:hAnsiTheme="minorEastAsia" w:hint="eastAsia"/>
          <w:color w:val="000000" w:themeColor="text1"/>
        </w:rPr>
        <w:t>管理人</w:t>
      </w:r>
      <w:r w:rsidRPr="00490741">
        <w:rPr>
          <w:rFonts w:asciiTheme="minorEastAsia" w:eastAsiaTheme="minorEastAsia" w:hAnsiTheme="minorEastAsia"/>
          <w:color w:val="000000" w:themeColor="text1"/>
        </w:rPr>
        <w:t>有权对此基准进行调整并</w:t>
      </w:r>
      <w:r w:rsidRPr="00490741">
        <w:rPr>
          <w:rFonts w:asciiTheme="minorEastAsia" w:eastAsiaTheme="minorEastAsia" w:hAnsiTheme="minorEastAsia" w:hint="eastAsia"/>
          <w:color w:val="000000" w:themeColor="text1"/>
        </w:rPr>
        <w:t>及时</w:t>
      </w:r>
      <w:r w:rsidRPr="00490741">
        <w:rPr>
          <w:rFonts w:asciiTheme="minorEastAsia" w:eastAsiaTheme="minorEastAsia" w:hAnsiTheme="minorEastAsia"/>
          <w:color w:val="000000" w:themeColor="text1"/>
        </w:rPr>
        <w:t>公告。</w:t>
      </w:r>
    </w:p>
    <w:p w:rsidR="0002608C" w:rsidRPr="00490741" w:rsidP="00107648">
      <w:pPr>
        <w:snapToGrid w:val="0"/>
        <w:spacing w:line="360" w:lineRule="auto"/>
        <w:ind w:firstLine="420" w:firstLineChars="200"/>
        <w:rPr>
          <w:rFonts w:asciiTheme="minorEastAsia" w:eastAsiaTheme="minorEastAsia" w:hAnsiTheme="minorEastAsia"/>
          <w:color w:val="000000" w:themeColor="text1"/>
        </w:rPr>
      </w:pPr>
      <w:bookmarkStart w:id="78" w:name="OLE_LINK5"/>
      <w:r w:rsidRPr="00490741">
        <w:rPr>
          <w:rFonts w:asciiTheme="minorEastAsia" w:eastAsiaTheme="minorEastAsia" w:hAnsiTheme="minorEastAsia"/>
          <w:color w:val="000000" w:themeColor="text1"/>
        </w:rPr>
        <w:t>本基金为</w:t>
      </w:r>
      <w:r w:rsidRPr="00490741" w:rsidR="0063365A">
        <w:rPr>
          <w:rFonts w:asciiTheme="minorEastAsia" w:eastAsiaTheme="minorEastAsia" w:hAnsiTheme="minorEastAsia"/>
          <w:color w:val="000000" w:themeColor="text1"/>
        </w:rPr>
        <w:t>混合</w:t>
      </w:r>
      <w:r w:rsidRPr="00490741">
        <w:rPr>
          <w:rFonts w:asciiTheme="minorEastAsia" w:eastAsiaTheme="minorEastAsia" w:hAnsiTheme="minorEastAsia"/>
          <w:color w:val="000000" w:themeColor="text1"/>
        </w:rPr>
        <w:t>基金，在考虑了基金股票组合的投资标的、构建流程以及市场上各个股票指数的</w:t>
      </w:r>
      <w:r w:rsidRPr="00490741">
        <w:rPr>
          <w:rFonts w:asciiTheme="minorEastAsia" w:eastAsiaTheme="minorEastAsia" w:hAnsiTheme="minorEastAsia" w:hint="eastAsia"/>
          <w:color w:val="000000" w:themeColor="text1"/>
        </w:rPr>
        <w:t>编制方法</w:t>
      </w:r>
      <w:r w:rsidRPr="00490741">
        <w:rPr>
          <w:rFonts w:asciiTheme="minorEastAsia" w:eastAsiaTheme="minorEastAsia" w:hAnsiTheme="minorEastAsia"/>
          <w:color w:val="000000" w:themeColor="text1"/>
        </w:rPr>
        <w:t>和历史情况后，我们选定沪深</w:t>
      </w:r>
      <w:r w:rsidRPr="00490741">
        <w:rPr>
          <w:rFonts w:asciiTheme="minorEastAsia" w:eastAsiaTheme="minorEastAsia" w:hAnsiTheme="minorEastAsia"/>
          <w:color w:val="000000" w:themeColor="text1"/>
        </w:rPr>
        <w:t>300</w:t>
      </w:r>
      <w:r w:rsidRPr="00490741">
        <w:rPr>
          <w:rFonts w:asciiTheme="minorEastAsia" w:eastAsiaTheme="minorEastAsia" w:hAnsiTheme="minorEastAsia"/>
          <w:color w:val="000000" w:themeColor="text1"/>
        </w:rPr>
        <w:t>指数作为</w:t>
      </w:r>
      <w:r w:rsidRPr="00490741">
        <w:rPr>
          <w:rFonts w:asciiTheme="minorEastAsia" w:eastAsiaTheme="minorEastAsia" w:hAnsiTheme="minorEastAsia" w:hint="eastAsia"/>
          <w:color w:val="000000" w:themeColor="text1"/>
        </w:rPr>
        <w:t>本</w:t>
      </w:r>
      <w:r w:rsidRPr="00490741">
        <w:rPr>
          <w:rFonts w:asciiTheme="minorEastAsia" w:eastAsiaTheme="minorEastAsia" w:hAnsiTheme="minorEastAsia"/>
          <w:color w:val="000000" w:themeColor="text1"/>
        </w:rPr>
        <w:t>基金股票组合的业绩基准；债券组合的业绩基准则采用了市场上通用的上证国债指数。</w:t>
      </w:r>
    </w:p>
    <w:p w:rsidR="0002608C" w:rsidRPr="00490741" w:rsidP="00107648">
      <w:pPr>
        <w:snapToGrid w:val="0"/>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本基金的股票资产占基金资产的</w:t>
      </w:r>
      <w:r w:rsidRPr="00490741">
        <w:rPr>
          <w:rFonts w:asciiTheme="minorEastAsia" w:eastAsiaTheme="minorEastAsia" w:hAnsiTheme="minorEastAsia"/>
          <w:color w:val="000000" w:themeColor="text1"/>
        </w:rPr>
        <w:t>60%-95%</w:t>
      </w:r>
      <w:r w:rsidRPr="00490741">
        <w:rPr>
          <w:rFonts w:asciiTheme="minorEastAsia" w:eastAsiaTheme="minorEastAsia" w:hAnsiTheme="minorEastAsia"/>
          <w:color w:val="000000" w:themeColor="text1"/>
        </w:rPr>
        <w:t>。在正常的市场情况下，基金的平均股票仓位</w:t>
      </w:r>
      <w:r w:rsidRPr="00490741">
        <w:rPr>
          <w:rFonts w:asciiTheme="minorEastAsia" w:eastAsiaTheme="minorEastAsia" w:hAnsiTheme="minorEastAsia" w:hint="eastAsia"/>
          <w:color w:val="000000" w:themeColor="text1"/>
        </w:rPr>
        <w:t>约为</w:t>
      </w:r>
      <w:r w:rsidRPr="00490741">
        <w:rPr>
          <w:rFonts w:asciiTheme="minorEastAsia" w:eastAsiaTheme="minorEastAsia" w:hAnsiTheme="minorEastAsia"/>
          <w:color w:val="000000" w:themeColor="text1"/>
        </w:rPr>
        <w:t>8</w:t>
      </w:r>
      <w:r w:rsidRPr="00490741">
        <w:rPr>
          <w:rFonts w:asciiTheme="minorEastAsia" w:eastAsiaTheme="minorEastAsia" w:hAnsiTheme="minorEastAsia" w:hint="eastAsia"/>
          <w:color w:val="000000" w:themeColor="text1"/>
        </w:rPr>
        <w:t>0</w:t>
      </w: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，所以，业绩基准中的这一资产配置比例可以反映本基金的风险收益特征</w:t>
      </w:r>
      <w:r w:rsidRPr="00490741">
        <w:rPr>
          <w:rFonts w:asciiTheme="minorEastAsia" w:eastAsiaTheme="minorEastAsia" w:hAnsiTheme="minorEastAsia" w:hint="eastAsia"/>
          <w:color w:val="000000" w:themeColor="text1"/>
        </w:rPr>
        <w:t>。</w:t>
      </w:r>
      <w:bookmarkEnd w:id="78"/>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79" w:name="_Toc87269125"/>
      <w:bookmarkStart w:id="80" w:name="_Toc84149642"/>
      <w:bookmarkStart w:id="81" w:name="_Toc114237426"/>
      <w:r w:rsidRPr="00490741">
        <w:rPr>
          <w:rFonts w:asciiTheme="minorEastAsia" w:eastAsiaTheme="minorEastAsia" w:hAnsiTheme="minorEastAsia" w:hint="eastAsia"/>
          <w:b w:val="0"/>
          <w:bCs/>
          <w:color w:val="000000" w:themeColor="text1"/>
        </w:rPr>
        <w:t>（六）风险收益特征</w:t>
      </w:r>
      <w:bookmarkEnd w:id="79"/>
      <w:bookmarkEnd w:id="81"/>
    </w:p>
    <w:bookmarkEnd w:id="80"/>
    <w:p w:rsidR="00B148D8" w:rsidRPr="00490741" w:rsidP="00107648">
      <w:pPr>
        <w:snapToGrid w:val="0"/>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本基金为混合基金，其预期风险收益水平高于债</w:t>
      </w:r>
      <w:r w:rsidRPr="00490741">
        <w:rPr>
          <w:rFonts w:asciiTheme="minorEastAsia" w:eastAsiaTheme="minorEastAsia" w:hAnsiTheme="minorEastAsia"/>
          <w:color w:val="000000" w:themeColor="text1"/>
        </w:rPr>
        <w:t>券基金</w:t>
      </w:r>
      <w:r w:rsidRPr="00490741">
        <w:rPr>
          <w:rFonts w:asciiTheme="minorEastAsia" w:eastAsiaTheme="minorEastAsia" w:hAnsiTheme="minorEastAsia" w:hint="eastAsia"/>
          <w:color w:val="000000" w:themeColor="text1"/>
        </w:rPr>
        <w:t>和货币市场基金，低于股票基金</w:t>
      </w:r>
      <w:r w:rsidRPr="00490741">
        <w:rPr>
          <w:rFonts w:asciiTheme="minorEastAsia" w:eastAsiaTheme="minorEastAsia" w:hAnsiTheme="minorEastAsia"/>
          <w:color w:val="000000" w:themeColor="text1"/>
        </w:rPr>
        <w:t>。</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color w:val="000000" w:themeColor="text1"/>
        </w:rPr>
      </w:pPr>
      <w:bookmarkStart w:id="82" w:name="_Toc114237427"/>
      <w:r w:rsidRPr="00490741">
        <w:rPr>
          <w:rFonts w:asciiTheme="minorEastAsia" w:eastAsiaTheme="minorEastAsia" w:hAnsiTheme="minorEastAsia" w:hint="eastAsia"/>
          <w:b w:val="0"/>
          <w:bCs/>
          <w:color w:val="000000" w:themeColor="text1"/>
        </w:rPr>
        <w:t>（七）</w:t>
      </w:r>
      <w:bookmarkStart w:id="83" w:name="_Toc52310852"/>
      <w:bookmarkStart w:id="84" w:name="_Toc64861727"/>
      <w:r w:rsidRPr="00490741">
        <w:rPr>
          <w:rFonts w:asciiTheme="minorEastAsia" w:eastAsiaTheme="minorEastAsia" w:hAnsiTheme="minorEastAsia" w:hint="eastAsia"/>
          <w:b w:val="0"/>
          <w:bCs/>
          <w:color w:val="000000" w:themeColor="text1"/>
        </w:rPr>
        <w:t>投资决策</w:t>
      </w:r>
      <w:bookmarkEnd w:id="83"/>
      <w:bookmarkEnd w:id="84"/>
      <w:bookmarkEnd w:id="82"/>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、资产配置决策</w:t>
      </w:r>
    </w:p>
    <w:p w:rsidR="0002608C" w:rsidRPr="00490741" w:rsidP="00107648">
      <w:pPr>
        <w:pStyle w:val="20"/>
        <w:snapToGrid w:val="0"/>
        <w:spacing w:before="0" w:beforeAutospacing="0" w:after="0" w:afterAutospacing="0"/>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基金经理根据基金合同的要求以及投资决策委员会的指导性意见，确定基金资产的配置比例。</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sidR="00C15CD6">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类别资产投资决策</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基金经理在确定的资产配置比例范围内，根据前述各类资产的投资策略，分别进行股票、债券、货币市场工具等资产类别的投资决策。</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）股票投资决策</w:t>
      </w:r>
    </w:p>
    <w:p w:rsidR="0002608C" w:rsidRPr="00490741" w:rsidP="00107648">
      <w:pPr>
        <w:numPr>
          <w:ilvl w:val="0"/>
          <w:numId w:val="8"/>
        </w:numPr>
        <w:snapToGrid w:val="0"/>
        <w:spacing w:line="360" w:lineRule="auto"/>
        <w:ind w:left="0"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基金经理根据行业研究员的上市公司研究报告，并结合自身的分析判断，精选投资价值最高的股票作为本基金的备选投资对象；</w:t>
      </w:r>
    </w:p>
    <w:p w:rsidR="0002608C" w:rsidRPr="00490741" w:rsidP="00107648">
      <w:pPr>
        <w:numPr>
          <w:ilvl w:val="0"/>
          <w:numId w:val="8"/>
        </w:numPr>
        <w:snapToGrid w:val="0"/>
        <w:spacing w:line="360" w:lineRule="auto"/>
        <w:ind w:left="0"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基金经理根据宏观研究员及策略研究员提供的研究报告，并结合自身的分析判断，在上述精选股票的基础上进行行业优化配置，构造本基金投资组合；</w:t>
      </w:r>
    </w:p>
    <w:p w:rsidR="0002608C" w:rsidRPr="00490741" w:rsidP="00107648">
      <w:pPr>
        <w:numPr>
          <w:ilvl w:val="0"/>
          <w:numId w:val="8"/>
        </w:numPr>
        <w:snapToGrid w:val="0"/>
        <w:spacing w:line="360" w:lineRule="auto"/>
        <w:ind w:left="0"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基金经理根据上市公司及行业基本面的变化以及对组合风险的评估，持续地对组合进行优化调整。</w:t>
      </w:r>
    </w:p>
    <w:p w:rsidR="0002608C" w:rsidRPr="00490741" w:rsidP="00107648">
      <w:pPr>
        <w:snapToGrid w:val="0"/>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）基金经理根据宏观研究员及债券研究员提供的研究报告，结合自身的分析判断，选择具体的债券（含可转债）和货币市场工具品种构造投资组合。</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color w:val="000000" w:themeColor="text1"/>
        </w:rPr>
      </w:pPr>
      <w:bookmarkStart w:id="85" w:name="_Toc114237428"/>
      <w:r w:rsidRPr="00490741">
        <w:rPr>
          <w:rFonts w:asciiTheme="minorEastAsia" w:eastAsiaTheme="minorEastAsia" w:hAnsiTheme="minorEastAsia" w:hint="eastAsia"/>
          <w:b w:val="0"/>
          <w:bCs/>
          <w:color w:val="000000" w:themeColor="text1"/>
        </w:rPr>
        <w:t>（八）投资</w:t>
      </w:r>
      <w:bookmarkEnd w:id="61"/>
      <w:r w:rsidRPr="00490741">
        <w:rPr>
          <w:rFonts w:asciiTheme="minorEastAsia" w:eastAsiaTheme="minorEastAsia" w:hAnsiTheme="minorEastAsia" w:hint="eastAsia"/>
          <w:b w:val="0"/>
          <w:bCs/>
          <w:color w:val="000000" w:themeColor="text1"/>
        </w:rPr>
        <w:t>组合限制</w:t>
      </w:r>
      <w:bookmarkEnd w:id="85"/>
    </w:p>
    <w:p w:rsidR="0002608C" w:rsidRPr="00490741" w:rsidP="00107648">
      <w:pPr>
        <w:snapToGrid w:val="0"/>
        <w:spacing w:line="360" w:lineRule="auto"/>
        <w:ind w:firstLine="482"/>
        <w:rPr>
          <w:rStyle w:val="da"/>
          <w:rFonts w:asciiTheme="minorEastAsia" w:eastAsiaTheme="minorEastAsia" w:hAnsiTheme="minorEastAsia"/>
          <w:color w:val="000000" w:themeColor="text1"/>
        </w:rPr>
      </w:pPr>
      <w:r w:rsidRPr="00490741">
        <w:rPr>
          <w:rStyle w:val="da"/>
          <w:rFonts w:asciiTheme="minorEastAsia" w:eastAsiaTheme="minorEastAsia" w:hAnsiTheme="minorEastAsia" w:hint="eastAsia"/>
          <w:color w:val="000000" w:themeColor="text1"/>
        </w:rPr>
        <w:t>根据目前法律法规的规定，以及本基金的投资策略，本基金的投资组合将遵循以下限制：</w:t>
      </w:r>
    </w:p>
    <w:p w:rsidR="0002608C" w:rsidRPr="00490741" w:rsidP="00107648">
      <w:pPr>
        <w:snapToGrid w:val="0"/>
        <w:spacing w:line="360" w:lineRule="auto"/>
        <w:ind w:firstLine="482"/>
        <w:rPr>
          <w:rStyle w:val="da"/>
          <w:rFonts w:asciiTheme="minorEastAsia" w:eastAsiaTheme="minorEastAsia" w:hAnsiTheme="minorEastAsia"/>
          <w:color w:val="000000" w:themeColor="text1"/>
        </w:rPr>
      </w:pPr>
      <w:r w:rsidRPr="00490741">
        <w:rPr>
          <w:rStyle w:val="da"/>
          <w:rFonts w:asciiTheme="minorEastAsia" w:eastAsiaTheme="minorEastAsia" w:hAnsiTheme="minorEastAsia" w:hint="eastAsia"/>
          <w:color w:val="000000" w:themeColor="text1"/>
        </w:rPr>
        <w:t>1</w:t>
      </w:r>
      <w:r w:rsidRPr="00490741">
        <w:rPr>
          <w:rStyle w:val="da"/>
          <w:rFonts w:asciiTheme="minorEastAsia" w:eastAsiaTheme="minorEastAsia" w:hAnsiTheme="minorEastAsia" w:hint="eastAsia"/>
          <w:color w:val="000000" w:themeColor="text1"/>
        </w:rPr>
        <w:t>、</w:t>
      </w:r>
      <w:r w:rsidRPr="00490741">
        <w:rPr>
          <w:rStyle w:val="da"/>
          <w:rFonts w:asciiTheme="minorEastAsia" w:eastAsiaTheme="minorEastAsia" w:hAnsiTheme="minorEastAsia"/>
          <w:color w:val="000000" w:themeColor="text1"/>
        </w:rPr>
        <w:t>本基金持有一家</w:t>
      </w:r>
      <w:r w:rsidRPr="00490741">
        <w:rPr>
          <w:rStyle w:val="da"/>
          <w:rFonts w:asciiTheme="minorEastAsia" w:eastAsiaTheme="minorEastAsia" w:hAnsiTheme="minorEastAsia" w:hint="eastAsia"/>
          <w:color w:val="000000" w:themeColor="text1"/>
        </w:rPr>
        <w:t>上市</w:t>
      </w:r>
      <w:r w:rsidRPr="00490741">
        <w:rPr>
          <w:rStyle w:val="da"/>
          <w:rFonts w:asciiTheme="minorEastAsia" w:eastAsiaTheme="minorEastAsia" w:hAnsiTheme="minorEastAsia"/>
          <w:color w:val="000000" w:themeColor="text1"/>
        </w:rPr>
        <w:t>公司的股票，</w:t>
      </w:r>
      <w:r w:rsidRPr="00490741">
        <w:rPr>
          <w:rStyle w:val="da"/>
          <w:rFonts w:asciiTheme="minorEastAsia" w:eastAsiaTheme="minorEastAsia" w:hAnsiTheme="minorEastAsia" w:hint="eastAsia"/>
          <w:color w:val="000000" w:themeColor="text1"/>
        </w:rPr>
        <w:t>其市值</w:t>
      </w:r>
      <w:r w:rsidRPr="00490741">
        <w:rPr>
          <w:rStyle w:val="da"/>
          <w:rFonts w:asciiTheme="minorEastAsia" w:eastAsiaTheme="minorEastAsia" w:hAnsiTheme="minorEastAsia"/>
          <w:color w:val="000000" w:themeColor="text1"/>
        </w:rPr>
        <w:t>不得超过基金资产净值的</w:t>
      </w:r>
      <w:r w:rsidRPr="00490741">
        <w:rPr>
          <w:rStyle w:val="da"/>
          <w:rFonts w:asciiTheme="minorEastAsia" w:eastAsiaTheme="minorEastAsia" w:hAnsiTheme="minorEastAsia"/>
          <w:color w:val="000000" w:themeColor="text1"/>
        </w:rPr>
        <w:t>10%</w:t>
      </w:r>
      <w:r w:rsidRPr="00490741">
        <w:rPr>
          <w:rStyle w:val="da"/>
          <w:rFonts w:asciiTheme="minorEastAsia" w:eastAsiaTheme="minorEastAsia" w:hAnsiTheme="minorEastAsia"/>
          <w:color w:val="000000" w:themeColor="text1"/>
        </w:rPr>
        <w:t>；</w:t>
      </w:r>
    </w:p>
    <w:p w:rsidR="0002608C" w:rsidRPr="00490741" w:rsidP="00107648">
      <w:pPr>
        <w:snapToGrid w:val="0"/>
        <w:spacing w:line="360" w:lineRule="auto"/>
        <w:ind w:firstLine="482"/>
        <w:rPr>
          <w:rStyle w:val="da"/>
          <w:rFonts w:asciiTheme="minorEastAsia" w:eastAsiaTheme="minorEastAsia" w:hAnsiTheme="minorEastAsia"/>
          <w:color w:val="000000" w:themeColor="text1"/>
        </w:rPr>
      </w:pPr>
      <w:r w:rsidRPr="00490741">
        <w:rPr>
          <w:rStyle w:val="da"/>
          <w:rFonts w:asciiTheme="minorEastAsia" w:eastAsiaTheme="minorEastAsia" w:hAnsiTheme="minorEastAsia" w:hint="eastAsia"/>
          <w:color w:val="000000" w:themeColor="text1"/>
        </w:rPr>
        <w:t>2</w:t>
      </w:r>
      <w:r w:rsidRPr="00490741">
        <w:rPr>
          <w:rStyle w:val="da"/>
          <w:rFonts w:asciiTheme="minorEastAsia" w:eastAsiaTheme="minorEastAsia" w:hAnsiTheme="minorEastAsia" w:hint="eastAsia"/>
          <w:color w:val="000000" w:themeColor="text1"/>
        </w:rPr>
        <w:t>、</w:t>
      </w:r>
      <w:r w:rsidRPr="00490741">
        <w:rPr>
          <w:rStyle w:val="da"/>
          <w:rFonts w:asciiTheme="minorEastAsia" w:eastAsiaTheme="minorEastAsia" w:hAnsiTheme="minorEastAsia"/>
          <w:color w:val="000000" w:themeColor="text1"/>
        </w:rPr>
        <w:t>本基金与由本基金管理人管理的其他基金</w:t>
      </w:r>
      <w:r w:rsidRPr="00490741">
        <w:rPr>
          <w:rStyle w:val="da"/>
          <w:rFonts w:asciiTheme="minorEastAsia" w:eastAsiaTheme="minorEastAsia" w:hAnsiTheme="minorEastAsia" w:hint="eastAsia"/>
          <w:color w:val="000000" w:themeColor="text1"/>
        </w:rPr>
        <w:t>共同</w:t>
      </w:r>
      <w:r w:rsidRPr="00490741">
        <w:rPr>
          <w:rStyle w:val="da"/>
          <w:rFonts w:asciiTheme="minorEastAsia" w:eastAsiaTheme="minorEastAsia" w:hAnsiTheme="minorEastAsia"/>
          <w:color w:val="000000" w:themeColor="text1"/>
        </w:rPr>
        <w:t>持有一家公司发行的证券，不得超过该证券的</w:t>
      </w:r>
      <w:r w:rsidRPr="00490741">
        <w:rPr>
          <w:rStyle w:val="da"/>
          <w:rFonts w:asciiTheme="minorEastAsia" w:eastAsiaTheme="minorEastAsia" w:hAnsiTheme="minorEastAsia"/>
          <w:color w:val="000000" w:themeColor="text1"/>
        </w:rPr>
        <w:t>10%</w:t>
      </w:r>
      <w:r w:rsidRPr="00490741">
        <w:rPr>
          <w:rStyle w:val="da"/>
          <w:rFonts w:asciiTheme="minorEastAsia" w:eastAsiaTheme="minorEastAsia" w:hAnsiTheme="minorEastAsia"/>
          <w:color w:val="000000" w:themeColor="text1"/>
        </w:rPr>
        <w:t>；</w:t>
      </w:r>
    </w:p>
    <w:p w:rsidR="0002608C" w:rsidRPr="00490741" w:rsidP="00107648">
      <w:pPr>
        <w:snapToGrid w:val="0"/>
        <w:spacing w:line="360" w:lineRule="auto"/>
        <w:ind w:firstLine="482"/>
        <w:rPr>
          <w:rStyle w:val="da"/>
          <w:rFonts w:asciiTheme="minorEastAsia" w:eastAsiaTheme="minorEastAsia" w:hAnsiTheme="minorEastAsia"/>
          <w:color w:val="000000" w:themeColor="text1"/>
        </w:rPr>
      </w:pPr>
      <w:r w:rsidRPr="00490741">
        <w:rPr>
          <w:rStyle w:val="da"/>
          <w:rFonts w:asciiTheme="minorEastAsia" w:eastAsiaTheme="minorEastAsia" w:hAnsiTheme="minorEastAsia" w:hint="eastAsia"/>
          <w:color w:val="000000" w:themeColor="text1"/>
        </w:rPr>
        <w:t>3</w:t>
      </w:r>
      <w:r w:rsidRPr="00490741">
        <w:rPr>
          <w:rStyle w:val="da"/>
          <w:rFonts w:asciiTheme="minorEastAsia" w:eastAsiaTheme="minorEastAsia" w:hAnsiTheme="minorEastAsia" w:hint="eastAsia"/>
          <w:color w:val="000000" w:themeColor="text1"/>
        </w:rPr>
        <w:t>、本基金股票资产占基金资产的比例为</w:t>
      </w:r>
      <w:r w:rsidRPr="00490741">
        <w:rPr>
          <w:rStyle w:val="da"/>
          <w:rFonts w:asciiTheme="minorEastAsia" w:eastAsiaTheme="minorEastAsia" w:hAnsiTheme="minorEastAsia" w:hint="eastAsia"/>
          <w:color w:val="000000" w:themeColor="text1"/>
        </w:rPr>
        <w:t>60-95%</w:t>
      </w:r>
      <w:r w:rsidRPr="00490741">
        <w:rPr>
          <w:rStyle w:val="da"/>
          <w:rFonts w:asciiTheme="minorEastAsia" w:eastAsiaTheme="minorEastAsia" w:hAnsiTheme="minorEastAsia" w:hint="eastAsia"/>
          <w:color w:val="000000" w:themeColor="text1"/>
        </w:rPr>
        <w:t>；</w:t>
      </w:r>
    </w:p>
    <w:p w:rsidR="0002608C" w:rsidRPr="00490741" w:rsidP="00107648">
      <w:pPr>
        <w:snapToGrid w:val="0"/>
        <w:spacing w:line="360" w:lineRule="auto"/>
        <w:ind w:firstLine="482"/>
        <w:rPr>
          <w:rStyle w:val="da"/>
          <w:rFonts w:asciiTheme="minorEastAsia" w:eastAsiaTheme="minorEastAsia" w:hAnsiTheme="minorEastAsia"/>
          <w:color w:val="000000" w:themeColor="text1"/>
        </w:rPr>
      </w:pPr>
      <w:r w:rsidRPr="00490741">
        <w:rPr>
          <w:rStyle w:val="da"/>
          <w:rFonts w:asciiTheme="minorEastAsia" w:eastAsiaTheme="minorEastAsia" w:hAnsiTheme="minorEastAsia" w:hint="eastAsia"/>
          <w:color w:val="000000" w:themeColor="text1"/>
        </w:rPr>
        <w:t>4</w:t>
      </w:r>
      <w:r w:rsidRPr="00490741">
        <w:rPr>
          <w:rStyle w:val="da"/>
          <w:rFonts w:asciiTheme="minorEastAsia" w:eastAsiaTheme="minorEastAsia" w:hAnsiTheme="minorEastAsia" w:hint="eastAsia"/>
          <w:color w:val="000000" w:themeColor="text1"/>
        </w:rPr>
        <w:t>、本基金投资股权分置改革中产生的权证，在任何交易日买入的总金额，不超过上一交易日基金资产净值的</w:t>
      </w:r>
      <w:r w:rsidRPr="00490741">
        <w:rPr>
          <w:rStyle w:val="da"/>
          <w:rFonts w:asciiTheme="minorEastAsia" w:eastAsiaTheme="minorEastAsia" w:hAnsiTheme="minorEastAsia" w:hint="eastAsia"/>
          <w:color w:val="000000" w:themeColor="text1"/>
        </w:rPr>
        <w:t>0.5%</w:t>
      </w:r>
      <w:r w:rsidRPr="00490741">
        <w:rPr>
          <w:rStyle w:val="da"/>
          <w:rFonts w:asciiTheme="minorEastAsia" w:eastAsiaTheme="minorEastAsia" w:hAnsiTheme="minorEastAsia" w:hint="eastAsia"/>
          <w:color w:val="000000" w:themeColor="text1"/>
        </w:rPr>
        <w:t>，基金持有的全部权证的市值不超过基金资产净值的</w:t>
      </w:r>
      <w:r w:rsidRPr="00490741">
        <w:rPr>
          <w:rStyle w:val="da"/>
          <w:rFonts w:asciiTheme="minorEastAsia" w:eastAsiaTheme="minorEastAsia" w:hAnsiTheme="minorEastAsia" w:hint="eastAsia"/>
          <w:color w:val="000000" w:themeColor="text1"/>
        </w:rPr>
        <w:t>3%</w:t>
      </w:r>
      <w:r w:rsidRPr="00490741">
        <w:rPr>
          <w:rStyle w:val="da"/>
          <w:rFonts w:asciiTheme="minorEastAsia" w:eastAsiaTheme="minorEastAsia" w:hAnsiTheme="minorEastAsia" w:hint="eastAsia"/>
          <w:color w:val="000000" w:themeColor="text1"/>
        </w:rPr>
        <w:t>，本公司管理的全部基金持有同一权证的比例不超过该权证的</w:t>
      </w:r>
      <w:r w:rsidRPr="00490741">
        <w:rPr>
          <w:rStyle w:val="da"/>
          <w:rFonts w:asciiTheme="minorEastAsia" w:eastAsiaTheme="minorEastAsia" w:hAnsiTheme="minorEastAsia" w:hint="eastAsia"/>
          <w:color w:val="000000" w:themeColor="text1"/>
        </w:rPr>
        <w:t>10%</w:t>
      </w:r>
      <w:r w:rsidRPr="00490741">
        <w:rPr>
          <w:rStyle w:val="da"/>
          <w:rFonts w:asciiTheme="minorEastAsia" w:eastAsiaTheme="minorEastAsia" w:hAnsiTheme="minorEastAsia" w:hint="eastAsia"/>
          <w:color w:val="000000" w:themeColor="text1"/>
        </w:rPr>
        <w:t>。其它权证的投资比例，遵从法规或监管部门的相关规定；</w:t>
      </w:r>
    </w:p>
    <w:p w:rsidR="0002608C" w:rsidRPr="00490741" w:rsidP="00107648">
      <w:pPr>
        <w:snapToGrid w:val="0"/>
        <w:spacing w:line="360" w:lineRule="auto"/>
        <w:ind w:firstLine="482"/>
        <w:rPr>
          <w:rStyle w:val="da"/>
          <w:rFonts w:asciiTheme="minorEastAsia" w:eastAsiaTheme="minorEastAsia" w:hAnsiTheme="minorEastAsia"/>
          <w:color w:val="000000" w:themeColor="text1"/>
        </w:rPr>
      </w:pPr>
      <w:r w:rsidRPr="00490741">
        <w:rPr>
          <w:rStyle w:val="da"/>
          <w:rFonts w:asciiTheme="minorEastAsia" w:eastAsiaTheme="minorEastAsia" w:hAnsiTheme="minorEastAsia" w:hint="eastAsia"/>
          <w:color w:val="000000" w:themeColor="text1"/>
        </w:rPr>
        <w:t>5</w:t>
      </w:r>
      <w:r w:rsidRPr="00490741">
        <w:rPr>
          <w:rStyle w:val="da"/>
          <w:rFonts w:asciiTheme="minorEastAsia" w:eastAsiaTheme="minorEastAsia" w:hAnsiTheme="minorEastAsia" w:hint="eastAsia"/>
          <w:color w:val="000000" w:themeColor="text1"/>
        </w:rPr>
        <w:t>、基金财产参与股票发行申购，本基金所申报的金额不得超过本基金的总</w:t>
      </w:r>
      <w:r w:rsidRPr="00490741">
        <w:rPr>
          <w:rStyle w:val="da"/>
          <w:rFonts w:asciiTheme="minorEastAsia" w:eastAsiaTheme="minorEastAsia" w:hAnsiTheme="minorEastAsia" w:hint="eastAsia"/>
          <w:color w:val="000000" w:themeColor="text1"/>
        </w:rPr>
        <w:t>资产，所申报的股票数量不得超过拟发行股票公司本次发行股票的总量；</w:t>
      </w:r>
    </w:p>
    <w:p w:rsidR="00E56C3D" w:rsidRPr="00490741" w:rsidP="00E56C3D">
      <w:pPr>
        <w:snapToGrid w:val="0"/>
        <w:spacing w:line="360" w:lineRule="auto"/>
        <w:ind w:firstLine="482"/>
        <w:rPr>
          <w:rStyle w:val="da"/>
          <w:rFonts w:asciiTheme="minorEastAsia" w:eastAsiaTheme="minorEastAsia" w:hAnsiTheme="minorEastAsia"/>
          <w:color w:val="000000" w:themeColor="text1"/>
        </w:rPr>
      </w:pPr>
      <w:r w:rsidRPr="00490741">
        <w:rPr>
          <w:rStyle w:val="da"/>
          <w:rFonts w:asciiTheme="minorEastAsia" w:eastAsiaTheme="minorEastAsia" w:hAnsiTheme="minorEastAsia" w:hint="eastAsia"/>
          <w:color w:val="000000" w:themeColor="text1"/>
        </w:rPr>
        <w:t>6</w:t>
      </w:r>
      <w:r w:rsidRPr="00490741" w:rsidR="00C15CD6">
        <w:rPr>
          <w:rStyle w:val="da"/>
          <w:rFonts w:asciiTheme="minorEastAsia" w:eastAsiaTheme="minorEastAsia" w:hAnsiTheme="minorEastAsia" w:hint="eastAsia"/>
          <w:color w:val="000000" w:themeColor="text1"/>
        </w:rPr>
        <w:t>、</w:t>
      </w:r>
      <w:r w:rsidRPr="00490741">
        <w:rPr>
          <w:rStyle w:val="da"/>
          <w:rFonts w:asciiTheme="minorEastAsia" w:eastAsiaTheme="minorEastAsia" w:hAnsiTheme="minorEastAsia" w:hint="eastAsia"/>
          <w:color w:val="000000" w:themeColor="text1"/>
        </w:rPr>
        <w:t>本基金管理人管理的全部开放式基金持有一家上市公司发行的可流通股票，不得超过该上市公司可流通股票的</w:t>
      </w:r>
      <w:r w:rsidRPr="00490741">
        <w:rPr>
          <w:rStyle w:val="da"/>
          <w:rFonts w:asciiTheme="minorEastAsia" w:eastAsiaTheme="minorEastAsia" w:hAnsiTheme="minorEastAsia" w:hint="eastAsia"/>
          <w:color w:val="000000" w:themeColor="text1"/>
        </w:rPr>
        <w:t>15%</w:t>
      </w:r>
      <w:r w:rsidRPr="00490741">
        <w:rPr>
          <w:rStyle w:val="da"/>
          <w:rFonts w:asciiTheme="minorEastAsia" w:eastAsiaTheme="minorEastAsia" w:hAnsiTheme="minorEastAsia" w:hint="eastAsia"/>
          <w:color w:val="000000" w:themeColor="text1"/>
        </w:rPr>
        <w:t>；本基金管理人管理的全部投资组合持有一家上市公司发行的可流通股票，不得超过该上市公司可流通股票的</w:t>
      </w:r>
      <w:r w:rsidRPr="00490741">
        <w:rPr>
          <w:rStyle w:val="da"/>
          <w:rFonts w:asciiTheme="minorEastAsia" w:eastAsiaTheme="minorEastAsia" w:hAnsiTheme="minorEastAsia" w:hint="eastAsia"/>
          <w:color w:val="000000" w:themeColor="text1"/>
        </w:rPr>
        <w:t>30%</w:t>
      </w:r>
      <w:r w:rsidRPr="00490741">
        <w:rPr>
          <w:rStyle w:val="da"/>
          <w:rFonts w:asciiTheme="minorEastAsia" w:eastAsiaTheme="minorEastAsia" w:hAnsiTheme="minorEastAsia" w:hint="eastAsia"/>
          <w:color w:val="000000" w:themeColor="text1"/>
        </w:rPr>
        <w:t>。</w:t>
      </w:r>
    </w:p>
    <w:p w:rsidR="00E56C3D" w:rsidRPr="00490741" w:rsidP="00E56C3D">
      <w:pPr>
        <w:snapToGrid w:val="0"/>
        <w:spacing w:line="360" w:lineRule="auto"/>
        <w:ind w:firstLine="482"/>
        <w:rPr>
          <w:rStyle w:val="da"/>
          <w:rFonts w:asciiTheme="minorEastAsia" w:eastAsiaTheme="minorEastAsia" w:hAnsiTheme="minorEastAsia"/>
          <w:color w:val="000000" w:themeColor="text1"/>
        </w:rPr>
      </w:pPr>
      <w:r w:rsidRPr="00490741">
        <w:rPr>
          <w:rStyle w:val="da"/>
          <w:rFonts w:asciiTheme="minorEastAsia" w:eastAsiaTheme="minorEastAsia" w:hAnsiTheme="minorEastAsia" w:hint="eastAsia"/>
          <w:color w:val="000000" w:themeColor="text1"/>
        </w:rPr>
        <w:t>7</w:t>
      </w:r>
      <w:r w:rsidRPr="00490741">
        <w:rPr>
          <w:rStyle w:val="da"/>
          <w:rFonts w:asciiTheme="minorEastAsia" w:eastAsiaTheme="minorEastAsia" w:hAnsiTheme="minorEastAsia" w:hint="eastAsia"/>
          <w:color w:val="000000" w:themeColor="text1"/>
        </w:rPr>
        <w:t>、本基金主动投资于流动性受限资产的市值合计不得超过该基金资产净值的</w:t>
      </w:r>
      <w:r w:rsidRPr="00490741">
        <w:rPr>
          <w:rStyle w:val="da"/>
          <w:rFonts w:asciiTheme="minorEastAsia" w:eastAsiaTheme="minorEastAsia" w:hAnsiTheme="minorEastAsia" w:hint="eastAsia"/>
          <w:color w:val="000000" w:themeColor="text1"/>
        </w:rPr>
        <w:t>15%</w:t>
      </w:r>
      <w:r w:rsidRPr="00490741">
        <w:rPr>
          <w:rStyle w:val="da"/>
          <w:rFonts w:asciiTheme="minorEastAsia" w:eastAsiaTheme="minorEastAsia" w:hAnsiTheme="minorEastAsia" w:hint="eastAsia"/>
          <w:color w:val="000000" w:themeColor="text1"/>
        </w:rPr>
        <w:t>。</w:t>
      </w:r>
    </w:p>
    <w:p w:rsidR="00E56C3D" w:rsidRPr="00490741" w:rsidP="00E56C3D">
      <w:pPr>
        <w:snapToGrid w:val="0"/>
        <w:spacing w:line="360" w:lineRule="auto"/>
        <w:ind w:firstLine="482"/>
        <w:rPr>
          <w:rStyle w:val="da"/>
          <w:rFonts w:asciiTheme="minorEastAsia" w:eastAsiaTheme="minorEastAsia" w:hAnsiTheme="minorEastAsia"/>
          <w:color w:val="000000" w:themeColor="text1"/>
        </w:rPr>
      </w:pPr>
      <w:r w:rsidRPr="00490741">
        <w:rPr>
          <w:rStyle w:val="da"/>
          <w:rFonts w:asciiTheme="minorEastAsia" w:eastAsiaTheme="minorEastAsia" w:hAnsiTheme="minorEastAsia" w:hint="eastAsia"/>
          <w:color w:val="000000" w:themeColor="text1"/>
        </w:rPr>
        <w:t>因证券市场波动、上市公司股票停牌、基金规模变动等基金管理人之外的因素致使基金不符合前款所规定比例限制的，基金管理人不得主动新增流动性受限资产的投资。</w:t>
      </w:r>
    </w:p>
    <w:p w:rsidR="00371F41" w:rsidRPr="00490741" w:rsidP="00371F41">
      <w:pPr>
        <w:snapToGrid w:val="0"/>
        <w:spacing w:line="360" w:lineRule="auto"/>
        <w:ind w:firstLine="482"/>
        <w:rPr>
          <w:rStyle w:val="da"/>
          <w:rFonts w:asciiTheme="minorEastAsia" w:eastAsiaTheme="minorEastAsia" w:hAnsiTheme="minorEastAsia"/>
          <w:color w:val="000000" w:themeColor="text1"/>
        </w:rPr>
      </w:pPr>
      <w:r w:rsidRPr="00490741">
        <w:rPr>
          <w:rStyle w:val="da"/>
          <w:rFonts w:asciiTheme="minorEastAsia" w:eastAsiaTheme="minorEastAsia" w:hAnsiTheme="minorEastAsia" w:hint="eastAsia"/>
          <w:color w:val="000000" w:themeColor="text1"/>
        </w:rPr>
        <w:t>8</w:t>
      </w:r>
      <w:r w:rsidRPr="00490741">
        <w:rPr>
          <w:rStyle w:val="da"/>
          <w:rFonts w:asciiTheme="minorEastAsia" w:eastAsiaTheme="minorEastAsia" w:hAnsiTheme="minorEastAsia" w:hint="eastAsia"/>
          <w:color w:val="000000" w:themeColor="text1"/>
        </w:rPr>
        <w:t>、本基金与私募类证券资管产品及中国证监会认定的其他主体为交易对手开展逆回购交易的，可接受质押品的资质要求应当与基金合同约定的投资范围保持一致。</w:t>
      </w:r>
    </w:p>
    <w:p w:rsidR="00E56C3D" w:rsidRPr="00490741" w:rsidP="00371F41">
      <w:pPr>
        <w:snapToGrid w:val="0"/>
        <w:spacing w:line="360" w:lineRule="auto"/>
        <w:ind w:firstLine="482"/>
        <w:rPr>
          <w:rStyle w:val="da"/>
          <w:rFonts w:asciiTheme="minorEastAsia" w:eastAsiaTheme="minorEastAsia" w:hAnsiTheme="minorEastAsia"/>
          <w:color w:val="000000" w:themeColor="text1"/>
        </w:rPr>
      </w:pPr>
      <w:r w:rsidRPr="00490741">
        <w:rPr>
          <w:rStyle w:val="da"/>
          <w:rFonts w:asciiTheme="minorEastAsia" w:eastAsiaTheme="minorEastAsia" w:hAnsiTheme="minorEastAsia" w:hint="eastAsia"/>
          <w:color w:val="000000" w:themeColor="text1"/>
        </w:rPr>
        <w:t>9</w:t>
      </w:r>
      <w:r w:rsidRPr="00490741">
        <w:rPr>
          <w:rStyle w:val="da"/>
          <w:rFonts w:asciiTheme="minorEastAsia" w:eastAsiaTheme="minorEastAsia" w:hAnsiTheme="minorEastAsia" w:hint="eastAsia"/>
          <w:color w:val="000000" w:themeColor="text1"/>
        </w:rPr>
        <w:t>、本基金投资存托凭证的比例限制依照境内上市交易的股票执行，与境内上市交易的股票合并计算</w:t>
      </w:r>
      <w:r w:rsidRPr="00490741" w:rsidR="00A74D06">
        <w:rPr>
          <w:rStyle w:val="da"/>
          <w:rFonts w:asciiTheme="minorEastAsia" w:eastAsiaTheme="minorEastAsia" w:hAnsiTheme="minorEastAsia" w:hint="eastAsia"/>
          <w:color w:val="000000" w:themeColor="text1"/>
        </w:rPr>
        <w:t>。</w:t>
      </w:r>
    </w:p>
    <w:p w:rsidR="0002608C" w:rsidRPr="00490741" w:rsidP="00E56C3D">
      <w:pPr>
        <w:snapToGrid w:val="0"/>
        <w:spacing w:line="360" w:lineRule="auto"/>
        <w:ind w:firstLine="482"/>
        <w:rPr>
          <w:rStyle w:val="da"/>
          <w:rFonts w:asciiTheme="minorEastAsia" w:eastAsiaTheme="minorEastAsia" w:hAnsiTheme="minorEastAsia"/>
          <w:color w:val="000000" w:themeColor="text1"/>
        </w:rPr>
      </w:pPr>
      <w:r w:rsidRPr="00490741">
        <w:rPr>
          <w:rStyle w:val="da"/>
          <w:rFonts w:asciiTheme="minorEastAsia" w:eastAsiaTheme="minorEastAsia" w:hAnsiTheme="minorEastAsia" w:hint="eastAsia"/>
          <w:color w:val="000000" w:themeColor="text1"/>
        </w:rPr>
        <w:t>10</w:t>
      </w:r>
      <w:r w:rsidRPr="00490741" w:rsidR="00E56C3D">
        <w:rPr>
          <w:rStyle w:val="da"/>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基金合同约定以及</w:t>
      </w:r>
      <w:r w:rsidRPr="00490741">
        <w:rPr>
          <w:rStyle w:val="da"/>
          <w:rFonts w:asciiTheme="minorEastAsia" w:eastAsiaTheme="minorEastAsia" w:hAnsiTheme="minorEastAsia" w:hint="eastAsia"/>
          <w:color w:val="000000" w:themeColor="text1"/>
        </w:rPr>
        <w:t>相关法律法规以及监管部门规定的其它投资限制。</w:t>
      </w:r>
    </w:p>
    <w:p w:rsidR="0002608C" w:rsidRPr="00490741" w:rsidP="00107648">
      <w:pPr>
        <w:snapToGrid w:val="0"/>
        <w:spacing w:line="360" w:lineRule="auto"/>
        <w:ind w:firstLine="482"/>
        <w:rPr>
          <w:rStyle w:val="da"/>
          <w:rFonts w:asciiTheme="minorEastAsia" w:eastAsiaTheme="minorEastAsia" w:hAnsiTheme="minorEastAsia"/>
          <w:color w:val="000000" w:themeColor="text1"/>
        </w:rPr>
      </w:pPr>
      <w:r w:rsidRPr="00490741">
        <w:rPr>
          <w:rStyle w:val="da"/>
          <w:rFonts w:asciiTheme="minorEastAsia" w:eastAsiaTheme="minorEastAsia" w:hAnsiTheme="minorEastAsia" w:hint="eastAsia"/>
          <w:color w:val="000000" w:themeColor="text1"/>
        </w:rPr>
        <w:t>如</w:t>
      </w:r>
      <w:r w:rsidRPr="00490741">
        <w:rPr>
          <w:rStyle w:val="da"/>
          <w:rFonts w:asciiTheme="minorEastAsia" w:eastAsiaTheme="minorEastAsia" w:hAnsiTheme="minorEastAsia"/>
          <w:color w:val="000000" w:themeColor="text1"/>
        </w:rPr>
        <w:t>法律法规或监管部门</w:t>
      </w:r>
      <w:r w:rsidRPr="00490741">
        <w:rPr>
          <w:rStyle w:val="da"/>
          <w:rFonts w:asciiTheme="minorEastAsia" w:eastAsiaTheme="minorEastAsia" w:hAnsiTheme="minorEastAsia" w:hint="eastAsia"/>
          <w:color w:val="000000" w:themeColor="text1"/>
        </w:rPr>
        <w:t>取消上述限制性规定，本基金不受上述规定的限制</w:t>
      </w:r>
      <w:r w:rsidRPr="00490741">
        <w:rPr>
          <w:rStyle w:val="da"/>
          <w:rFonts w:asciiTheme="minorEastAsia" w:eastAsiaTheme="minorEastAsia" w:hAnsiTheme="minorEastAsia"/>
          <w:color w:val="000000" w:themeColor="text1"/>
        </w:rPr>
        <w:t>。法律法规或监管部门对上述比例限制另有规定的，本基金合同将从其规定；基金管理人可依据法律法规或监管部门规定直接进行变更，</w:t>
      </w:r>
      <w:r w:rsidRPr="00490741">
        <w:rPr>
          <w:rStyle w:val="da"/>
          <w:rFonts w:asciiTheme="minorEastAsia" w:eastAsiaTheme="minorEastAsia" w:hAnsiTheme="minorEastAsia" w:hint="eastAsia"/>
          <w:color w:val="000000" w:themeColor="text1"/>
        </w:rPr>
        <w:t>最迟</w:t>
      </w:r>
      <w:r w:rsidRPr="00490741">
        <w:rPr>
          <w:rStyle w:val="da"/>
          <w:rFonts w:asciiTheme="minorEastAsia" w:eastAsiaTheme="minorEastAsia" w:hAnsiTheme="minorEastAsia"/>
          <w:color w:val="000000" w:themeColor="text1"/>
        </w:rPr>
        <w:t>在变更前</w:t>
      </w:r>
      <w:r w:rsidRPr="00490741">
        <w:rPr>
          <w:rStyle w:val="da"/>
          <w:rFonts w:asciiTheme="minorEastAsia" w:eastAsiaTheme="minorEastAsia" w:hAnsiTheme="minorEastAsia"/>
          <w:color w:val="000000" w:themeColor="text1"/>
        </w:rPr>
        <w:t>2</w:t>
      </w:r>
      <w:r w:rsidRPr="00490741">
        <w:rPr>
          <w:rStyle w:val="da"/>
          <w:rFonts w:asciiTheme="minorEastAsia" w:eastAsiaTheme="minorEastAsia" w:hAnsiTheme="minorEastAsia"/>
          <w:color w:val="000000" w:themeColor="text1"/>
        </w:rPr>
        <w:t>个工作日</w:t>
      </w:r>
      <w:r w:rsidRPr="00490741">
        <w:rPr>
          <w:rStyle w:val="da"/>
          <w:rFonts w:asciiTheme="minorEastAsia" w:eastAsiaTheme="minorEastAsia" w:hAnsiTheme="minorEastAsia"/>
          <w:color w:val="000000" w:themeColor="text1"/>
        </w:rPr>
        <w:t>在基金管理人网站及指定报刊上发布公告，此项合同修改无须召开基金份额持有人大会。</w:t>
      </w:r>
    </w:p>
    <w:p w:rsidR="0002608C" w:rsidRPr="00490741" w:rsidP="00107648">
      <w:pPr>
        <w:snapToGrid w:val="0"/>
        <w:spacing w:line="360" w:lineRule="auto"/>
        <w:ind w:firstLine="482"/>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除上述</w:t>
      </w:r>
      <w:r w:rsidRPr="00490741">
        <w:rPr>
          <w:rFonts w:asciiTheme="minorEastAsia" w:eastAsiaTheme="minorEastAsia" w:hAnsiTheme="minorEastAsia" w:hint="eastAsia"/>
          <w:color w:val="000000" w:themeColor="text1"/>
        </w:rPr>
        <w:t>5</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7</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8</w:t>
      </w:r>
      <w:r w:rsidRPr="00490741">
        <w:rPr>
          <w:rFonts w:asciiTheme="minorEastAsia" w:eastAsiaTheme="minorEastAsia" w:hAnsiTheme="minorEastAsia" w:hint="eastAsia"/>
          <w:color w:val="000000" w:themeColor="text1"/>
        </w:rPr>
        <w:t>以外，</w:t>
      </w:r>
      <w:r w:rsidRPr="00490741">
        <w:rPr>
          <w:rFonts w:asciiTheme="minorEastAsia" w:eastAsiaTheme="minorEastAsia" w:hAnsiTheme="minorEastAsia"/>
          <w:color w:val="000000" w:themeColor="text1"/>
        </w:rPr>
        <w:t>由于</w:t>
      </w:r>
      <w:r w:rsidRPr="00490741">
        <w:rPr>
          <w:rFonts w:asciiTheme="minorEastAsia" w:eastAsiaTheme="minorEastAsia" w:hAnsiTheme="minorEastAsia" w:hint="eastAsia"/>
          <w:color w:val="000000" w:themeColor="text1"/>
        </w:rPr>
        <w:t>证券市场波动、上市公司合并</w:t>
      </w:r>
      <w:r w:rsidRPr="00490741">
        <w:rPr>
          <w:rFonts w:asciiTheme="minorEastAsia" w:eastAsiaTheme="minorEastAsia" w:hAnsiTheme="minorEastAsia"/>
          <w:color w:val="000000" w:themeColor="text1"/>
        </w:rPr>
        <w:t>或</w:t>
      </w:r>
      <w:r w:rsidRPr="00490741">
        <w:rPr>
          <w:rFonts w:asciiTheme="minorEastAsia" w:eastAsiaTheme="minorEastAsia" w:hAnsiTheme="minorEastAsia" w:hint="eastAsia"/>
          <w:color w:val="000000" w:themeColor="text1"/>
        </w:rPr>
        <w:t>基金规模变动等基金管理人之外的原因</w:t>
      </w:r>
      <w:r w:rsidRPr="00490741">
        <w:rPr>
          <w:rFonts w:asciiTheme="minorEastAsia" w:eastAsiaTheme="minorEastAsia" w:hAnsiTheme="minorEastAsia"/>
          <w:color w:val="000000" w:themeColor="text1"/>
        </w:rPr>
        <w:t>导致投资组合</w:t>
      </w:r>
      <w:r w:rsidRPr="00490741">
        <w:rPr>
          <w:rFonts w:asciiTheme="minorEastAsia" w:eastAsiaTheme="minorEastAsia" w:hAnsiTheme="minorEastAsia" w:hint="eastAsia"/>
          <w:color w:val="000000" w:themeColor="text1"/>
        </w:rPr>
        <w:t>不符合</w:t>
      </w:r>
      <w:r w:rsidRPr="00490741">
        <w:rPr>
          <w:rFonts w:asciiTheme="minorEastAsia" w:eastAsiaTheme="minorEastAsia" w:hAnsiTheme="minorEastAsia"/>
          <w:color w:val="000000" w:themeColor="text1"/>
        </w:rPr>
        <w:t>上述约定比例</w:t>
      </w:r>
      <w:r w:rsidRPr="00490741">
        <w:rPr>
          <w:rFonts w:asciiTheme="minorEastAsia" w:eastAsiaTheme="minorEastAsia" w:hAnsiTheme="minorEastAsia" w:hint="eastAsia"/>
          <w:color w:val="000000" w:themeColor="text1"/>
        </w:rPr>
        <w:t>的</w:t>
      </w:r>
      <w:r w:rsidRPr="00490741">
        <w:rPr>
          <w:rFonts w:asciiTheme="minorEastAsia" w:eastAsiaTheme="minorEastAsia" w:hAnsiTheme="minorEastAsia"/>
          <w:color w:val="000000" w:themeColor="text1"/>
        </w:rPr>
        <w:t>，基金管理人应在</w:t>
      </w:r>
      <w:r w:rsidRPr="00490741">
        <w:rPr>
          <w:rFonts w:asciiTheme="minorEastAsia" w:eastAsiaTheme="minorEastAsia" w:hAnsiTheme="minorEastAsia" w:hint="eastAsia"/>
          <w:color w:val="000000" w:themeColor="text1"/>
        </w:rPr>
        <w:t>10</w:t>
      </w:r>
      <w:r w:rsidRPr="00490741">
        <w:rPr>
          <w:rFonts w:asciiTheme="minorEastAsia" w:eastAsiaTheme="minorEastAsia" w:hAnsiTheme="minorEastAsia" w:hint="eastAsia"/>
          <w:color w:val="000000" w:themeColor="text1"/>
        </w:rPr>
        <w:t>个交易日</w:t>
      </w:r>
      <w:r w:rsidRPr="00490741">
        <w:rPr>
          <w:rFonts w:asciiTheme="minorEastAsia" w:eastAsiaTheme="minorEastAsia" w:hAnsiTheme="minorEastAsia"/>
          <w:color w:val="000000" w:themeColor="text1"/>
        </w:rPr>
        <w:t>内进行调整</w:t>
      </w:r>
      <w:r w:rsidRPr="00490741">
        <w:rPr>
          <w:rFonts w:asciiTheme="minorEastAsia" w:eastAsiaTheme="minorEastAsia" w:hAnsiTheme="minorEastAsia" w:hint="eastAsia"/>
          <w:color w:val="000000" w:themeColor="text1"/>
        </w:rPr>
        <w:t>。法律法规另有规定的除外。</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color w:val="000000" w:themeColor="text1"/>
        </w:rPr>
      </w:pPr>
      <w:bookmarkStart w:id="86" w:name="_Toc114237429"/>
      <w:r w:rsidRPr="00490741">
        <w:rPr>
          <w:rFonts w:asciiTheme="minorEastAsia" w:eastAsiaTheme="minorEastAsia" w:hAnsiTheme="minorEastAsia" w:hint="eastAsia"/>
          <w:b w:val="0"/>
          <w:bCs/>
          <w:color w:val="000000" w:themeColor="text1"/>
        </w:rPr>
        <w:t>（九）</w:t>
      </w:r>
      <w:bookmarkStart w:id="87" w:name="_Toc52310854"/>
      <w:r w:rsidRPr="00490741">
        <w:rPr>
          <w:rFonts w:asciiTheme="minorEastAsia" w:eastAsiaTheme="minorEastAsia" w:hAnsiTheme="minorEastAsia" w:hint="eastAsia"/>
          <w:b w:val="0"/>
          <w:bCs/>
          <w:color w:val="000000" w:themeColor="text1"/>
        </w:rPr>
        <w:t>禁止行为</w:t>
      </w:r>
      <w:bookmarkEnd w:id="87"/>
      <w:bookmarkEnd w:id="86"/>
    </w:p>
    <w:p w:rsidR="0002608C" w:rsidRPr="00490741" w:rsidP="00107648">
      <w:pPr>
        <w:snapToGrid w:val="0"/>
        <w:spacing w:line="360" w:lineRule="auto"/>
        <w:ind w:firstLine="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为维护基金份额持有人的合法权益，本基金禁止从事下列行为</w:t>
      </w:r>
      <w:r w:rsidRPr="00490741">
        <w:rPr>
          <w:rFonts w:asciiTheme="minorEastAsia" w:eastAsiaTheme="minorEastAsia" w:hAnsiTheme="minorEastAsia" w:hint="eastAsia"/>
          <w:color w:val="000000" w:themeColor="text1"/>
        </w:rPr>
        <w:t>;</w:t>
      </w:r>
    </w:p>
    <w:p w:rsidR="0002608C" w:rsidRPr="00490741" w:rsidP="00107648">
      <w:pPr>
        <w:snapToGrid w:val="0"/>
        <w:spacing w:line="360" w:lineRule="auto"/>
        <w:ind w:firstLine="482"/>
        <w:rPr>
          <w:rStyle w:val="da"/>
          <w:rFonts w:asciiTheme="minorEastAsia" w:eastAsiaTheme="minorEastAsia" w:hAnsiTheme="minorEastAsia"/>
          <w:color w:val="000000" w:themeColor="text1"/>
        </w:rPr>
      </w:pPr>
      <w:r w:rsidRPr="00490741">
        <w:rPr>
          <w:rStyle w:val="da"/>
          <w:rFonts w:asciiTheme="minorEastAsia" w:eastAsiaTheme="minorEastAsia" w:hAnsiTheme="minorEastAsia" w:hint="eastAsia"/>
          <w:color w:val="000000" w:themeColor="text1"/>
        </w:rPr>
        <w:t>1</w:t>
      </w:r>
      <w:r w:rsidRPr="00490741">
        <w:rPr>
          <w:rStyle w:val="da"/>
          <w:rFonts w:asciiTheme="minorEastAsia" w:eastAsiaTheme="minorEastAsia" w:hAnsiTheme="minorEastAsia" w:hint="eastAsia"/>
          <w:color w:val="000000" w:themeColor="text1"/>
        </w:rPr>
        <w:t>、投资于其他基金份额（法律法规另有规定的除外）；</w:t>
      </w:r>
    </w:p>
    <w:p w:rsidR="0002608C" w:rsidRPr="00490741" w:rsidP="00107648">
      <w:pPr>
        <w:snapToGrid w:val="0"/>
        <w:spacing w:line="360" w:lineRule="auto"/>
        <w:ind w:firstLine="482"/>
        <w:rPr>
          <w:rStyle w:val="da"/>
          <w:rFonts w:asciiTheme="minorEastAsia" w:eastAsiaTheme="minorEastAsia" w:hAnsiTheme="minorEastAsia"/>
          <w:color w:val="000000" w:themeColor="text1"/>
        </w:rPr>
      </w:pPr>
      <w:r w:rsidRPr="00490741">
        <w:rPr>
          <w:rStyle w:val="da"/>
          <w:rFonts w:asciiTheme="minorEastAsia" w:eastAsiaTheme="minorEastAsia" w:hAnsiTheme="minorEastAsia" w:hint="eastAsia"/>
          <w:color w:val="000000" w:themeColor="text1"/>
        </w:rPr>
        <w:t>2</w:t>
      </w:r>
      <w:r w:rsidRPr="00490741">
        <w:rPr>
          <w:rStyle w:val="da"/>
          <w:rFonts w:asciiTheme="minorEastAsia" w:eastAsiaTheme="minorEastAsia" w:hAnsiTheme="minorEastAsia" w:hint="eastAsia"/>
          <w:color w:val="000000" w:themeColor="text1"/>
        </w:rPr>
        <w:t>、</w:t>
      </w:r>
      <w:r w:rsidRPr="00490741">
        <w:rPr>
          <w:rStyle w:val="da"/>
          <w:rFonts w:asciiTheme="minorEastAsia" w:eastAsiaTheme="minorEastAsia" w:hAnsiTheme="minorEastAsia"/>
          <w:color w:val="000000" w:themeColor="text1"/>
        </w:rPr>
        <w:t>将基金资产用于向他人贷款或提供担保；</w:t>
      </w:r>
    </w:p>
    <w:p w:rsidR="0002608C" w:rsidRPr="00490741" w:rsidP="00107648">
      <w:pPr>
        <w:snapToGrid w:val="0"/>
        <w:spacing w:line="360" w:lineRule="auto"/>
        <w:ind w:firstLine="482"/>
        <w:rPr>
          <w:rStyle w:val="da"/>
          <w:rFonts w:asciiTheme="minorEastAsia" w:eastAsiaTheme="minorEastAsia" w:hAnsiTheme="minorEastAsia"/>
          <w:color w:val="000000" w:themeColor="text1"/>
        </w:rPr>
      </w:pPr>
      <w:r w:rsidRPr="00490741">
        <w:rPr>
          <w:rStyle w:val="da"/>
          <w:rFonts w:asciiTheme="minorEastAsia" w:eastAsiaTheme="minorEastAsia" w:hAnsiTheme="minorEastAsia" w:hint="eastAsia"/>
          <w:color w:val="000000" w:themeColor="text1"/>
        </w:rPr>
        <w:t>3</w:t>
      </w:r>
      <w:r w:rsidRPr="00490741">
        <w:rPr>
          <w:rStyle w:val="da"/>
          <w:rFonts w:asciiTheme="minorEastAsia" w:eastAsiaTheme="minorEastAsia" w:hAnsiTheme="minorEastAsia" w:hint="eastAsia"/>
          <w:color w:val="000000" w:themeColor="text1"/>
        </w:rPr>
        <w:t>、</w:t>
      </w:r>
      <w:r w:rsidRPr="00490741">
        <w:rPr>
          <w:rStyle w:val="da"/>
          <w:rFonts w:asciiTheme="minorEastAsia" w:eastAsiaTheme="minorEastAsia" w:hAnsiTheme="minorEastAsia"/>
          <w:color w:val="000000" w:themeColor="text1"/>
        </w:rPr>
        <w:t>承销证券；</w:t>
      </w:r>
    </w:p>
    <w:p w:rsidR="0002608C" w:rsidRPr="00490741" w:rsidP="00107648">
      <w:pPr>
        <w:snapToGrid w:val="0"/>
        <w:spacing w:line="360" w:lineRule="auto"/>
        <w:ind w:firstLine="482"/>
        <w:rPr>
          <w:rStyle w:val="da"/>
          <w:rFonts w:asciiTheme="minorEastAsia" w:eastAsiaTheme="minorEastAsia" w:hAnsiTheme="minorEastAsia"/>
          <w:color w:val="000000" w:themeColor="text1"/>
        </w:rPr>
      </w:pPr>
      <w:r w:rsidRPr="00490741">
        <w:rPr>
          <w:rStyle w:val="da"/>
          <w:rFonts w:asciiTheme="minorEastAsia" w:eastAsiaTheme="minorEastAsia" w:hAnsiTheme="minorEastAsia" w:hint="eastAsia"/>
          <w:color w:val="000000" w:themeColor="text1"/>
        </w:rPr>
        <w:t>4</w:t>
      </w:r>
      <w:r w:rsidRPr="00490741">
        <w:rPr>
          <w:rStyle w:val="da"/>
          <w:rFonts w:asciiTheme="minorEastAsia" w:eastAsiaTheme="minorEastAsia" w:hAnsiTheme="minorEastAsia" w:hint="eastAsia"/>
          <w:color w:val="000000" w:themeColor="text1"/>
        </w:rPr>
        <w:t>、</w:t>
      </w:r>
      <w:r w:rsidRPr="00490741">
        <w:rPr>
          <w:rStyle w:val="da"/>
          <w:rFonts w:asciiTheme="minorEastAsia" w:eastAsiaTheme="minorEastAsia" w:hAnsiTheme="minorEastAsia"/>
          <w:color w:val="000000" w:themeColor="text1"/>
        </w:rPr>
        <w:t>从事可能使基金资产承担无限责任的投资；</w:t>
      </w:r>
    </w:p>
    <w:p w:rsidR="0002608C" w:rsidRPr="00490741" w:rsidP="00107648">
      <w:pPr>
        <w:snapToGrid w:val="0"/>
        <w:spacing w:line="360" w:lineRule="auto"/>
        <w:ind w:firstLine="482"/>
        <w:rPr>
          <w:rStyle w:val="da"/>
          <w:rFonts w:asciiTheme="minorEastAsia" w:eastAsiaTheme="minorEastAsia" w:hAnsiTheme="minorEastAsia"/>
          <w:color w:val="000000" w:themeColor="text1"/>
        </w:rPr>
      </w:pPr>
      <w:r w:rsidRPr="00490741">
        <w:rPr>
          <w:rStyle w:val="da"/>
          <w:rFonts w:asciiTheme="minorEastAsia" w:eastAsiaTheme="minorEastAsia" w:hAnsiTheme="minorEastAsia" w:hint="eastAsia"/>
          <w:color w:val="000000" w:themeColor="text1"/>
        </w:rPr>
        <w:t>5</w:t>
      </w:r>
      <w:r w:rsidRPr="00490741">
        <w:rPr>
          <w:rStyle w:val="da"/>
          <w:rFonts w:asciiTheme="minorEastAsia" w:eastAsiaTheme="minorEastAsia" w:hAnsiTheme="minorEastAsia" w:hint="eastAsia"/>
          <w:color w:val="000000" w:themeColor="text1"/>
        </w:rPr>
        <w:t>、</w:t>
      </w:r>
      <w:r w:rsidRPr="00490741">
        <w:rPr>
          <w:rStyle w:val="da"/>
          <w:rFonts w:asciiTheme="minorEastAsia" w:eastAsiaTheme="minorEastAsia" w:hAnsiTheme="minorEastAsia"/>
          <w:color w:val="000000" w:themeColor="text1"/>
        </w:rPr>
        <w:t>向基金管理人、基金托管人出资或者买卖基金托管人、基金管理人发行的股票或债券；</w:t>
      </w:r>
    </w:p>
    <w:p w:rsidR="0002608C" w:rsidRPr="00490741" w:rsidP="00107648">
      <w:pPr>
        <w:snapToGrid w:val="0"/>
        <w:spacing w:line="360" w:lineRule="auto"/>
        <w:ind w:firstLine="482"/>
        <w:rPr>
          <w:rStyle w:val="da"/>
          <w:rFonts w:asciiTheme="minorEastAsia" w:eastAsiaTheme="minorEastAsia" w:hAnsiTheme="minorEastAsia"/>
          <w:color w:val="000000" w:themeColor="text1"/>
        </w:rPr>
      </w:pPr>
      <w:r w:rsidRPr="00490741">
        <w:rPr>
          <w:rStyle w:val="da"/>
          <w:rFonts w:asciiTheme="minorEastAsia" w:eastAsiaTheme="minorEastAsia" w:hAnsiTheme="minorEastAsia" w:hint="eastAsia"/>
          <w:color w:val="000000" w:themeColor="text1"/>
        </w:rPr>
        <w:t>6</w:t>
      </w:r>
      <w:r w:rsidRPr="00490741">
        <w:rPr>
          <w:rStyle w:val="da"/>
          <w:rFonts w:asciiTheme="minorEastAsia" w:eastAsiaTheme="minorEastAsia" w:hAnsiTheme="minorEastAsia" w:hint="eastAsia"/>
          <w:color w:val="000000" w:themeColor="text1"/>
        </w:rPr>
        <w:t>、买卖与基金管理人、基金托管人有控股关系的股东或者与基金管理人、基金托管人有其他重大利害关系的公司发行的证券或者承销期内承销的证券；</w:t>
      </w:r>
    </w:p>
    <w:p w:rsidR="0002608C" w:rsidRPr="00490741" w:rsidP="00107648">
      <w:pPr>
        <w:snapToGrid w:val="0"/>
        <w:spacing w:line="360" w:lineRule="auto"/>
        <w:ind w:firstLine="482"/>
        <w:rPr>
          <w:rStyle w:val="da"/>
          <w:rFonts w:asciiTheme="minorEastAsia" w:eastAsiaTheme="minorEastAsia" w:hAnsiTheme="minorEastAsia"/>
          <w:color w:val="000000" w:themeColor="text1"/>
        </w:rPr>
      </w:pPr>
      <w:r w:rsidRPr="00490741">
        <w:rPr>
          <w:rStyle w:val="da"/>
          <w:rFonts w:asciiTheme="minorEastAsia" w:eastAsiaTheme="minorEastAsia" w:hAnsiTheme="minorEastAsia" w:hint="eastAsia"/>
          <w:color w:val="000000" w:themeColor="text1"/>
        </w:rPr>
        <w:t>7</w:t>
      </w:r>
      <w:r w:rsidRPr="00490741">
        <w:rPr>
          <w:rStyle w:val="da"/>
          <w:rFonts w:asciiTheme="minorEastAsia" w:eastAsiaTheme="minorEastAsia" w:hAnsiTheme="minorEastAsia" w:hint="eastAsia"/>
          <w:color w:val="000000" w:themeColor="text1"/>
        </w:rPr>
        <w:t>、</w:t>
      </w:r>
      <w:r w:rsidRPr="00490741">
        <w:rPr>
          <w:rStyle w:val="da"/>
          <w:rFonts w:asciiTheme="minorEastAsia" w:eastAsiaTheme="minorEastAsia" w:hAnsiTheme="minorEastAsia"/>
          <w:color w:val="000000" w:themeColor="text1"/>
        </w:rPr>
        <w:t>从事内幕交易、操纵证券交易价格及其他不正当的证券交易活动；</w:t>
      </w:r>
    </w:p>
    <w:p w:rsidR="0002608C" w:rsidRPr="00490741" w:rsidP="00107648">
      <w:pPr>
        <w:snapToGrid w:val="0"/>
        <w:spacing w:line="360" w:lineRule="auto"/>
        <w:ind w:firstLine="482"/>
        <w:rPr>
          <w:rStyle w:val="da"/>
          <w:rFonts w:asciiTheme="minorEastAsia" w:eastAsiaTheme="minorEastAsia" w:hAnsiTheme="minorEastAsia"/>
          <w:color w:val="000000" w:themeColor="text1"/>
        </w:rPr>
      </w:pPr>
      <w:r w:rsidRPr="00490741">
        <w:rPr>
          <w:rStyle w:val="da"/>
          <w:rFonts w:asciiTheme="minorEastAsia" w:eastAsiaTheme="minorEastAsia" w:hAnsiTheme="minorEastAsia" w:hint="eastAsia"/>
          <w:color w:val="000000" w:themeColor="text1"/>
        </w:rPr>
        <w:t>8</w:t>
      </w:r>
      <w:r w:rsidRPr="00490741">
        <w:rPr>
          <w:rStyle w:val="da"/>
          <w:rFonts w:asciiTheme="minorEastAsia" w:eastAsiaTheme="minorEastAsia" w:hAnsiTheme="minorEastAsia" w:hint="eastAsia"/>
          <w:color w:val="000000" w:themeColor="text1"/>
        </w:rPr>
        <w:t>、</w:t>
      </w:r>
      <w:r w:rsidRPr="00490741">
        <w:rPr>
          <w:rStyle w:val="da"/>
          <w:rFonts w:asciiTheme="minorEastAsia" w:eastAsiaTheme="minorEastAsia" w:hAnsiTheme="minorEastAsia"/>
          <w:color w:val="000000" w:themeColor="text1"/>
        </w:rPr>
        <w:t>其他法律、法规、规章、中国证监会及《基金合同》规定禁止从事的行为。</w:t>
      </w:r>
    </w:p>
    <w:p w:rsidR="0002608C" w:rsidRPr="00490741" w:rsidP="00107648">
      <w:pPr>
        <w:snapToGrid w:val="0"/>
        <w:spacing w:line="360" w:lineRule="auto"/>
        <w:ind w:firstLine="482"/>
        <w:rPr>
          <w:rStyle w:val="da"/>
          <w:rFonts w:asciiTheme="minorEastAsia" w:eastAsiaTheme="minorEastAsia" w:hAnsiTheme="minorEastAsia"/>
          <w:color w:val="000000" w:themeColor="text1"/>
        </w:rPr>
      </w:pPr>
      <w:r w:rsidRPr="00490741">
        <w:rPr>
          <w:rStyle w:val="da"/>
          <w:rFonts w:asciiTheme="minorEastAsia" w:eastAsiaTheme="minorEastAsia" w:hAnsiTheme="minorEastAsia" w:hint="eastAsia"/>
          <w:color w:val="000000" w:themeColor="text1"/>
        </w:rPr>
        <w:t>9</w:t>
      </w:r>
      <w:r w:rsidRPr="00490741">
        <w:rPr>
          <w:rStyle w:val="da"/>
          <w:rFonts w:asciiTheme="minorEastAsia" w:eastAsiaTheme="minorEastAsia" w:hAnsiTheme="minorEastAsia" w:hint="eastAsia"/>
          <w:color w:val="000000" w:themeColor="text1"/>
        </w:rPr>
        <w:t>、</w:t>
      </w:r>
      <w:r w:rsidRPr="00490741">
        <w:rPr>
          <w:rStyle w:val="da"/>
          <w:rFonts w:asciiTheme="minorEastAsia" w:eastAsiaTheme="minorEastAsia" w:hAnsiTheme="minorEastAsia"/>
          <w:color w:val="000000" w:themeColor="text1"/>
        </w:rPr>
        <w:t>对上述事项，法律法规另有规定时从其规定。</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88" w:name="_Toc114237430"/>
      <w:r w:rsidRPr="00490741">
        <w:rPr>
          <w:rFonts w:asciiTheme="minorEastAsia" w:eastAsiaTheme="minorEastAsia" w:hAnsiTheme="minorEastAsia" w:hint="eastAsia"/>
          <w:b w:val="0"/>
          <w:bCs/>
          <w:color w:val="000000" w:themeColor="text1"/>
        </w:rPr>
        <w:t>（十）基金管理人代表基金行使所投资证券产生权利的处理原则及方法</w:t>
      </w:r>
      <w:bookmarkEnd w:id="88"/>
    </w:p>
    <w:p w:rsidR="0002608C" w:rsidRPr="00490741" w:rsidP="00107648">
      <w:pPr>
        <w:snapToGrid w:val="0"/>
        <w:spacing w:line="360" w:lineRule="auto"/>
        <w:ind w:firstLine="482"/>
        <w:rPr>
          <w:rStyle w:val="da"/>
          <w:rFonts w:asciiTheme="minorEastAsia" w:eastAsiaTheme="minorEastAsia" w:hAnsiTheme="minorEastAsia"/>
          <w:color w:val="000000" w:themeColor="text1"/>
        </w:rPr>
      </w:pPr>
      <w:r w:rsidRPr="00490741">
        <w:rPr>
          <w:rStyle w:val="da"/>
          <w:rFonts w:asciiTheme="minorEastAsia" w:eastAsiaTheme="minorEastAsia" w:hAnsiTheme="minorEastAsia" w:hint="eastAsia"/>
          <w:color w:val="000000" w:themeColor="text1"/>
        </w:rPr>
        <w:t>1</w:t>
      </w:r>
      <w:r w:rsidRPr="00490741">
        <w:rPr>
          <w:rStyle w:val="da"/>
          <w:rFonts w:asciiTheme="minorEastAsia" w:eastAsiaTheme="minorEastAsia" w:hAnsiTheme="minorEastAsia" w:hint="eastAsia"/>
          <w:color w:val="000000" w:themeColor="text1"/>
        </w:rPr>
        <w:t>、</w:t>
      </w:r>
      <w:r w:rsidRPr="00490741">
        <w:rPr>
          <w:rStyle w:val="da"/>
          <w:rFonts w:asciiTheme="minorEastAsia" w:eastAsiaTheme="minorEastAsia" w:hAnsiTheme="minorEastAsia"/>
          <w:color w:val="000000" w:themeColor="text1"/>
        </w:rPr>
        <w:t>不谋求对上市公司的控股，不参与所投资上市公司的经</w:t>
      </w:r>
      <w:r w:rsidRPr="00490741">
        <w:rPr>
          <w:rStyle w:val="da"/>
          <w:rFonts w:asciiTheme="minorEastAsia" w:eastAsiaTheme="minorEastAsia" w:hAnsiTheme="minorEastAsia"/>
          <w:color w:val="000000" w:themeColor="text1"/>
        </w:rPr>
        <w:t>营管理；</w:t>
      </w:r>
    </w:p>
    <w:p w:rsidR="0002608C" w:rsidRPr="00490741" w:rsidP="00107648">
      <w:pPr>
        <w:snapToGrid w:val="0"/>
        <w:spacing w:line="360" w:lineRule="auto"/>
        <w:ind w:firstLine="482"/>
        <w:rPr>
          <w:rStyle w:val="da"/>
          <w:rFonts w:asciiTheme="minorEastAsia" w:eastAsiaTheme="minorEastAsia" w:hAnsiTheme="minorEastAsia"/>
          <w:color w:val="000000" w:themeColor="text1"/>
        </w:rPr>
      </w:pPr>
      <w:r w:rsidRPr="00490741">
        <w:rPr>
          <w:rStyle w:val="da"/>
          <w:rFonts w:asciiTheme="minorEastAsia" w:eastAsiaTheme="minorEastAsia" w:hAnsiTheme="minorEastAsia" w:hint="eastAsia"/>
          <w:color w:val="000000" w:themeColor="text1"/>
        </w:rPr>
        <w:t>2</w:t>
      </w:r>
      <w:r w:rsidRPr="00490741">
        <w:rPr>
          <w:rStyle w:val="da"/>
          <w:rFonts w:asciiTheme="minorEastAsia" w:eastAsiaTheme="minorEastAsia" w:hAnsiTheme="minorEastAsia" w:hint="eastAsia"/>
          <w:color w:val="000000" w:themeColor="text1"/>
        </w:rPr>
        <w:t>、</w:t>
      </w:r>
      <w:r w:rsidRPr="00490741">
        <w:rPr>
          <w:rStyle w:val="da"/>
          <w:rFonts w:asciiTheme="minorEastAsia" w:eastAsiaTheme="minorEastAsia" w:hAnsiTheme="minorEastAsia"/>
          <w:color w:val="000000" w:themeColor="text1"/>
        </w:rPr>
        <w:t>有利于基金资产的安全与增值；</w:t>
      </w:r>
    </w:p>
    <w:p w:rsidR="0002608C" w:rsidRPr="00490741" w:rsidP="00107648">
      <w:pPr>
        <w:snapToGrid w:val="0"/>
        <w:spacing w:line="360" w:lineRule="auto"/>
        <w:ind w:firstLine="482"/>
        <w:rPr>
          <w:rStyle w:val="da"/>
          <w:rFonts w:asciiTheme="minorEastAsia" w:eastAsiaTheme="minorEastAsia" w:hAnsiTheme="minorEastAsia"/>
          <w:color w:val="000000" w:themeColor="text1"/>
        </w:rPr>
      </w:pPr>
      <w:r w:rsidRPr="00490741">
        <w:rPr>
          <w:rStyle w:val="da"/>
          <w:rFonts w:asciiTheme="minorEastAsia" w:eastAsiaTheme="minorEastAsia" w:hAnsiTheme="minorEastAsia" w:hint="eastAsia"/>
          <w:color w:val="000000" w:themeColor="text1"/>
        </w:rPr>
        <w:t>3</w:t>
      </w:r>
      <w:r w:rsidRPr="00490741">
        <w:rPr>
          <w:rStyle w:val="da"/>
          <w:rFonts w:asciiTheme="minorEastAsia" w:eastAsiaTheme="minorEastAsia" w:hAnsiTheme="minorEastAsia" w:hint="eastAsia"/>
          <w:color w:val="000000" w:themeColor="text1"/>
        </w:rPr>
        <w:t>、</w:t>
      </w:r>
      <w:r w:rsidRPr="00490741">
        <w:rPr>
          <w:rStyle w:val="da"/>
          <w:rFonts w:asciiTheme="minorEastAsia" w:eastAsiaTheme="minorEastAsia" w:hAnsiTheme="minorEastAsia"/>
          <w:color w:val="000000" w:themeColor="text1"/>
        </w:rPr>
        <w:t>基金管理人按照国家有关规定代表基金独立行使股东权利，保护基金投资者的利益</w:t>
      </w:r>
      <w:r w:rsidRPr="00490741">
        <w:rPr>
          <w:rStyle w:val="da"/>
          <w:rFonts w:asciiTheme="minorEastAsia" w:eastAsiaTheme="minorEastAsia" w:hAnsiTheme="minorEastAsia" w:hint="eastAsia"/>
          <w:color w:val="000000" w:themeColor="text1"/>
        </w:rPr>
        <w:t>；</w:t>
      </w:r>
    </w:p>
    <w:p w:rsidR="0002608C" w:rsidRPr="00490741" w:rsidP="00107648">
      <w:pPr>
        <w:snapToGrid w:val="0"/>
        <w:spacing w:line="360" w:lineRule="auto"/>
        <w:ind w:firstLine="482"/>
        <w:rPr>
          <w:rStyle w:val="da"/>
          <w:rFonts w:asciiTheme="minorEastAsia" w:eastAsiaTheme="minorEastAsia" w:hAnsiTheme="minorEastAsia"/>
          <w:color w:val="000000" w:themeColor="text1"/>
        </w:rPr>
      </w:pPr>
      <w:r w:rsidRPr="00490741">
        <w:rPr>
          <w:rStyle w:val="da"/>
          <w:rFonts w:asciiTheme="minorEastAsia" w:eastAsiaTheme="minorEastAsia" w:hAnsiTheme="minorEastAsia" w:hint="eastAsia"/>
          <w:color w:val="000000" w:themeColor="text1"/>
        </w:rPr>
        <w:t>4</w:t>
      </w:r>
      <w:r w:rsidRPr="00490741">
        <w:rPr>
          <w:rStyle w:val="da"/>
          <w:rFonts w:asciiTheme="minorEastAsia" w:eastAsiaTheme="minorEastAsia" w:hAnsiTheme="minorEastAsia" w:hint="eastAsia"/>
          <w:color w:val="000000" w:themeColor="text1"/>
        </w:rPr>
        <w:t>、基金管理人按照国家有关规定代表基金独立行使债权人权利，保护基金投资者的利益。</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89" w:name="_Toc114237431"/>
      <w:r w:rsidRPr="00490741">
        <w:rPr>
          <w:rFonts w:asciiTheme="minorEastAsia" w:eastAsiaTheme="minorEastAsia" w:hAnsiTheme="minorEastAsia" w:hint="eastAsia"/>
          <w:b w:val="0"/>
          <w:bCs/>
          <w:color w:val="000000" w:themeColor="text1"/>
        </w:rPr>
        <w:t>（十</w:t>
      </w:r>
      <w:r w:rsidRPr="00490741">
        <w:rPr>
          <w:rFonts w:asciiTheme="minorEastAsia" w:eastAsiaTheme="minorEastAsia" w:hAnsiTheme="minorEastAsia" w:hint="eastAsia"/>
          <w:b w:val="0"/>
          <w:color w:val="000000" w:themeColor="text1"/>
        </w:rPr>
        <w:t>一</w:t>
      </w:r>
      <w:r w:rsidRPr="00490741">
        <w:rPr>
          <w:rFonts w:asciiTheme="minorEastAsia" w:eastAsiaTheme="minorEastAsia" w:hAnsiTheme="minorEastAsia" w:hint="eastAsia"/>
          <w:b w:val="0"/>
          <w:bCs/>
          <w:color w:val="000000" w:themeColor="text1"/>
        </w:rPr>
        <w:t>）基金的融资</w:t>
      </w:r>
      <w:bookmarkEnd w:id="89"/>
    </w:p>
    <w:p w:rsidR="0002608C" w:rsidRPr="00490741" w:rsidP="00107648">
      <w:pPr>
        <w:pStyle w:val="CharCharCharCharCharCharChar"/>
        <w:snapToGrid w:val="0"/>
        <w:spacing w:after="0" w:line="360" w:lineRule="auto"/>
        <w:ind w:firstLine="320"/>
        <w:rPr>
          <w:rFonts w:asciiTheme="minorEastAsia" w:eastAsiaTheme="minorEastAsia" w:hAnsiTheme="minorEastAsia"/>
          <w:color w:val="000000" w:themeColor="text1"/>
          <w:sz w:val="21"/>
          <w:szCs w:val="21"/>
        </w:rPr>
      </w:pPr>
      <w:r w:rsidRPr="00490741">
        <w:rPr>
          <w:rFonts w:asciiTheme="minorEastAsia" w:eastAsiaTheme="minorEastAsia" w:hAnsiTheme="minorEastAsia" w:hint="eastAsia"/>
          <w:color w:val="000000" w:themeColor="text1"/>
          <w:sz w:val="21"/>
          <w:szCs w:val="21"/>
        </w:rPr>
        <w:t>本基金可以按照国家的有关规定进行融资。</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90" w:name="_Toc114237432"/>
      <w:r w:rsidRPr="00490741">
        <w:rPr>
          <w:rFonts w:asciiTheme="minorEastAsia" w:eastAsiaTheme="minorEastAsia" w:hAnsiTheme="minorEastAsia" w:hint="eastAsia"/>
          <w:b w:val="0"/>
          <w:bCs/>
          <w:color w:val="000000" w:themeColor="text1"/>
        </w:rPr>
        <w:t>（十</w:t>
      </w:r>
      <w:r w:rsidRPr="00490741">
        <w:rPr>
          <w:rFonts w:asciiTheme="minorEastAsia" w:eastAsiaTheme="minorEastAsia" w:hAnsiTheme="minorEastAsia" w:hint="eastAsia"/>
          <w:b w:val="0"/>
          <w:color w:val="000000" w:themeColor="text1"/>
        </w:rPr>
        <w:t>二</w:t>
      </w:r>
      <w:r w:rsidRPr="00490741">
        <w:rPr>
          <w:rFonts w:asciiTheme="minorEastAsia" w:eastAsiaTheme="minorEastAsia" w:hAnsiTheme="minorEastAsia" w:hint="eastAsia"/>
          <w:b w:val="0"/>
          <w:bCs/>
          <w:color w:val="000000" w:themeColor="text1"/>
        </w:rPr>
        <w:t>）基金投资组合报告</w:t>
      </w:r>
      <w:r w:rsidRPr="00490741">
        <w:rPr>
          <w:rFonts w:asciiTheme="minorEastAsia" w:eastAsiaTheme="minorEastAsia" w:hAnsiTheme="minorEastAsia" w:hint="eastAsia"/>
          <w:b w:val="0"/>
          <w:bCs/>
          <w:color w:val="000000" w:themeColor="text1"/>
        </w:rPr>
        <w:t>(</w:t>
      </w:r>
      <w:r w:rsidRPr="00490741">
        <w:rPr>
          <w:rFonts w:asciiTheme="minorEastAsia" w:eastAsiaTheme="minorEastAsia" w:hAnsiTheme="minorEastAsia" w:hint="eastAsia"/>
          <w:b w:val="0"/>
          <w:bCs/>
          <w:color w:val="000000" w:themeColor="text1"/>
        </w:rPr>
        <w:t>未经审计</w:t>
      </w:r>
      <w:r w:rsidRPr="00490741">
        <w:rPr>
          <w:rFonts w:asciiTheme="minorEastAsia" w:eastAsiaTheme="minorEastAsia" w:hAnsiTheme="minorEastAsia" w:hint="eastAsia"/>
          <w:b w:val="0"/>
          <w:bCs/>
          <w:color w:val="000000" w:themeColor="text1"/>
        </w:rPr>
        <w:t>)</w:t>
      </w:r>
      <w:bookmarkEnd w:id="90"/>
    </w:p>
    <w:p w:rsidR="0002608C" w:rsidRPr="00490741" w:rsidP="00107648">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490741">
        <w:rPr>
          <w:rFonts w:asciiTheme="minorEastAsia" w:eastAsiaTheme="minorEastAsia" w:hAnsiTheme="minorEastAsia" w:hint="eastAsia"/>
          <w:color w:val="000000" w:themeColor="text1"/>
          <w:sz w:val="21"/>
          <w:szCs w:val="21"/>
        </w:rPr>
        <w:t>本基金管理人的董事会及董事保证本报告所载资料不存在虚假记载、误导性陈述或重大遗漏，并对其内容的真实性、准确性和完整性承担个别及连带责任。</w:t>
      </w:r>
    </w:p>
    <w:p w:rsidR="0002608C" w:rsidRPr="00490741" w:rsidP="00107648">
      <w:pPr>
        <w:autoSpaceDE w:val="0"/>
        <w:autoSpaceDN w:val="0"/>
        <w:adjustRightInd w:val="0"/>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本基金的托管人中国工商银行股份有限公司根据本基金合同的规定，复核了本报告的内容，保证复核内容不存在虚假记载、误导性陈述或者重大遗漏。</w:t>
      </w:r>
    </w:p>
    <w:p w:rsidR="00EC6E1F" w:rsidRPr="00490741" w:rsidP="002D4A4B">
      <w:pPr>
        <w:autoSpaceDE w:val="0"/>
        <w:autoSpaceDN w:val="0"/>
        <w:adjustRightInd w:val="0"/>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rPr>
        <w:t>本投资组合报告有关数据的期间为</w:t>
      </w:r>
      <w:r w:rsidRPr="00490741">
        <w:rPr>
          <w:rFonts w:asciiTheme="minorEastAsia" w:eastAsiaTheme="minorEastAsia" w:hAnsiTheme="minorEastAsia"/>
          <w:color w:val="000000" w:themeColor="text1"/>
        </w:rPr>
        <w:t>2021</w:t>
      </w:r>
      <w:r w:rsidRPr="00490741">
        <w:rPr>
          <w:rFonts w:asciiTheme="minorEastAsia" w:eastAsiaTheme="minorEastAsia" w:hAnsiTheme="minorEastAsia"/>
          <w:color w:val="000000" w:themeColor="text1"/>
        </w:rPr>
        <w:t>年</w:t>
      </w:r>
      <w:r w:rsidRPr="00490741">
        <w:rPr>
          <w:rFonts w:asciiTheme="minorEastAsia" w:eastAsiaTheme="minorEastAsia" w:hAnsiTheme="minorEastAsia"/>
          <w:color w:val="000000" w:themeColor="text1"/>
        </w:rPr>
        <w:t>10</w:t>
      </w:r>
      <w:r w:rsidRPr="00490741">
        <w:rPr>
          <w:rFonts w:asciiTheme="minorEastAsia" w:eastAsiaTheme="minorEastAsia" w:hAnsiTheme="minorEastAsia"/>
          <w:color w:val="000000" w:themeColor="text1"/>
        </w:rPr>
        <w:t>月</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日至</w:t>
      </w:r>
      <w:r w:rsidRPr="00490741">
        <w:rPr>
          <w:rFonts w:asciiTheme="minorEastAsia" w:eastAsiaTheme="minorEastAsia" w:hAnsiTheme="minorEastAsia"/>
          <w:color w:val="000000" w:themeColor="text1"/>
        </w:rPr>
        <w:t>2021</w:t>
      </w:r>
      <w:r w:rsidRPr="00490741">
        <w:rPr>
          <w:rFonts w:asciiTheme="minorEastAsia" w:eastAsiaTheme="minorEastAsia" w:hAnsiTheme="minorEastAsia"/>
          <w:color w:val="000000" w:themeColor="text1"/>
        </w:rPr>
        <w:t>年</w:t>
      </w:r>
      <w:r w:rsidRPr="00490741">
        <w:rPr>
          <w:rFonts w:asciiTheme="minorEastAsia" w:eastAsiaTheme="minorEastAsia" w:hAnsiTheme="minorEastAsia"/>
          <w:color w:val="000000" w:themeColor="text1"/>
        </w:rPr>
        <w:t>12</w:t>
      </w:r>
      <w:r w:rsidRPr="00490741">
        <w:rPr>
          <w:rFonts w:asciiTheme="minorEastAsia" w:eastAsiaTheme="minorEastAsia" w:hAnsiTheme="minorEastAsia"/>
          <w:color w:val="000000" w:themeColor="text1"/>
        </w:rPr>
        <w:t>月</w:t>
      </w:r>
      <w:r w:rsidRPr="00490741">
        <w:rPr>
          <w:rFonts w:asciiTheme="minorEastAsia" w:eastAsiaTheme="minorEastAsia" w:hAnsiTheme="minorEastAsia"/>
          <w:color w:val="000000" w:themeColor="text1"/>
        </w:rPr>
        <w:t>31</w:t>
      </w:r>
      <w:r w:rsidRPr="00490741">
        <w:rPr>
          <w:rFonts w:asciiTheme="minorEastAsia" w:eastAsiaTheme="minorEastAsia" w:hAnsiTheme="minorEastAsia"/>
          <w:color w:val="000000" w:themeColor="text1"/>
        </w:rPr>
        <w:t>日。</w:t>
      </w:r>
    </w:p>
    <w:p w:rsidR="00267126" w:rsidRPr="00490741">
      <w:pPr>
        <w:spacing w:line="360" w:lineRule="auto"/>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 xml:space="preserve"> </w:t>
      </w:r>
      <w:r w:rsidRPr="00490741">
        <w:rPr>
          <w:rFonts w:asciiTheme="minorEastAsia" w:eastAsiaTheme="minorEastAsia" w:hAnsiTheme="minorEastAsia"/>
          <w:color w:val="000000" w:themeColor="text1"/>
        </w:rPr>
        <w:t>报告期末基金资产组合情况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357"/>
        <w:gridCol w:w="2977"/>
        <w:gridCol w:w="1843"/>
      </w:tblGrid>
      <w:tr>
        <w:tblPrEx>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序号</w:t>
            </w:r>
          </w:p>
        </w:tc>
        <w:tc>
          <w:tcPr>
            <w:tcW w:w="3357"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项目</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金额（元）</w:t>
            </w:r>
          </w:p>
        </w:tc>
        <w:tc>
          <w:tcPr>
            <w:tcW w:w="1843"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占基金总资产的比例（</w:t>
            </w:r>
            <w:r w:rsidRPr="00490741">
              <w:rPr>
                <w:rFonts w:asciiTheme="minorEastAsia" w:eastAsiaTheme="minorEastAsia" w:hAnsiTheme="minorEastAsia"/>
                <w:color w:val="000000" w:themeColor="text1"/>
                <w:kern w:val="0"/>
              </w:rPr>
              <w:t>%</w:t>
            </w:r>
            <w:r w:rsidRPr="00490741">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1</w:t>
            </w:r>
          </w:p>
        </w:tc>
        <w:tc>
          <w:tcPr>
            <w:tcW w:w="3357"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lef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权益投资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3,818,401,761.63</w:t>
            </w:r>
          </w:p>
        </w:tc>
        <w:tc>
          <w:tcPr>
            <w:tcW w:w="1843"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91.53</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lef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其中：股票</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3,818,401,761.63</w:t>
            </w:r>
          </w:p>
        </w:tc>
        <w:tc>
          <w:tcPr>
            <w:tcW w:w="1843"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91.53</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2</w:t>
            </w:r>
          </w:p>
        </w:tc>
        <w:tc>
          <w:tcPr>
            <w:tcW w:w="3357"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lef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固定收益投资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lef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其中：债券</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7"/>
              <w:jc w:val="lef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资产支持证券</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tcPr>
          <w:p w:rsidR="00267126" w:rsidRPr="00490741">
            <w:pPr>
              <w:ind w:left="17"/>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3</w:t>
            </w:r>
          </w:p>
        </w:tc>
        <w:tc>
          <w:tcPr>
            <w:tcW w:w="3357" w:type="dxa"/>
            <w:tcBorders>
              <w:top w:val="single" w:sz="0" w:space="0" w:color="000000"/>
              <w:left w:val="single" w:sz="0" w:space="0" w:color="000000"/>
              <w:bottom w:val="single" w:sz="0" w:space="0" w:color="000000"/>
              <w:right w:val="single" w:sz="0" w:space="0" w:color="000000"/>
            </w:tcBorders>
          </w:tcPr>
          <w:p w:rsidR="00267126" w:rsidRPr="00490741">
            <w:pPr>
              <w:ind w:left="105" w:leftChars="50"/>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贵金属投资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4</w:t>
            </w:r>
          </w:p>
        </w:tc>
        <w:tc>
          <w:tcPr>
            <w:tcW w:w="3357"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lef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金融衍生品投资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5</w:t>
            </w:r>
          </w:p>
        </w:tc>
        <w:tc>
          <w:tcPr>
            <w:tcW w:w="3357"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lef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lef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其中：买断式回购的买入返售金融资产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6</w:t>
            </w:r>
          </w:p>
        </w:tc>
        <w:tc>
          <w:tcPr>
            <w:tcW w:w="3357"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lef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银行存款和结算备付金合计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345,894,627.12</w:t>
            </w:r>
          </w:p>
        </w:tc>
        <w:tc>
          <w:tcPr>
            <w:tcW w:w="1843"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8.29</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7</w:t>
            </w:r>
          </w:p>
        </w:tc>
        <w:tc>
          <w:tcPr>
            <w:tcW w:w="3357" w:type="dxa"/>
            <w:tcBorders>
              <w:top w:val="single" w:sz="0" w:space="0" w:color="000000"/>
              <w:left w:val="single" w:sz="0" w:space="0" w:color="000000"/>
              <w:bottom w:val="single" w:sz="0" w:space="0" w:color="000000"/>
              <w:right w:val="single" w:sz="0" w:space="0" w:color="000000"/>
            </w:tcBorders>
            <w:vAlign w:val="center"/>
          </w:tcPr>
          <w:p w:rsidR="00267126" w:rsidRPr="00490741">
            <w:pPr>
              <w:jc w:val="lef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其他资产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7,498,939.79</w:t>
            </w:r>
          </w:p>
        </w:tc>
        <w:tc>
          <w:tcPr>
            <w:tcW w:w="1843"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0.18</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8</w:t>
            </w:r>
          </w:p>
        </w:tc>
        <w:tc>
          <w:tcPr>
            <w:tcW w:w="3357" w:type="dxa"/>
            <w:tcBorders>
              <w:top w:val="single" w:sz="0" w:space="0" w:color="000000"/>
              <w:left w:val="single" w:sz="0" w:space="0" w:color="000000"/>
              <w:bottom w:val="single" w:sz="0" w:space="0" w:color="000000"/>
              <w:right w:val="single" w:sz="0" w:space="0" w:color="000000"/>
            </w:tcBorders>
            <w:vAlign w:val="center"/>
          </w:tcPr>
          <w:p w:rsidR="00267126" w:rsidRPr="00490741">
            <w:pPr>
              <w:jc w:val="lef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4,171,795,328.54</w:t>
            </w:r>
          </w:p>
        </w:tc>
        <w:tc>
          <w:tcPr>
            <w:tcW w:w="1843"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100.00</w:t>
            </w:r>
          </w:p>
        </w:tc>
      </w:tr>
    </w:tbl>
    <w:p w:rsidR="00267126" w:rsidRPr="00490741">
      <w:pPr>
        <w:spacing w:line="360" w:lineRule="auto"/>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w:t>
      </w: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 xml:space="preserve"> </w:t>
      </w:r>
      <w:r w:rsidRPr="00490741">
        <w:rPr>
          <w:rFonts w:asciiTheme="minorEastAsia" w:eastAsiaTheme="minorEastAsia" w:hAnsiTheme="minorEastAsia"/>
          <w:color w:val="000000" w:themeColor="text1"/>
        </w:rPr>
        <w:t>报告期末按行业分类的股票投资组合</w:t>
      </w:r>
    </w:p>
    <w:p w:rsidR="00267126" w:rsidRPr="00490741">
      <w:pPr>
        <w:spacing w:line="360" w:lineRule="auto"/>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）报告期末按行业分类的境内股票投资组合</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9"/>
        <w:gridCol w:w="3544"/>
        <w:gridCol w:w="2977"/>
        <w:gridCol w:w="1559"/>
      </w:tblGrid>
      <w:tr>
        <w:tblPrEx>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val="390"/>
        </w:trPr>
        <w:tc>
          <w:tcPr>
            <w:tcW w:w="709" w:type="dxa"/>
            <w:tcBorders>
              <w:top w:val="single" w:sz="0" w:space="0" w:color="000000"/>
              <w:left w:val="single" w:sz="0" w:space="0" w:color="000000"/>
              <w:bottom w:val="single" w:sz="0" w:space="0" w:color="000000"/>
              <w:right w:val="single" w:sz="0" w:space="0" w:color="000000"/>
            </w:tcBorders>
            <w:vAlign w:val="center"/>
          </w:tcPr>
          <w:p w:rsidR="00267126" w:rsidRPr="00490741">
            <w:pPr>
              <w:adjustRightInd w:val="0"/>
              <w:snapToGrid w:val="0"/>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代码</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行业类别</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adjustRightInd w:val="0"/>
              <w:snapToGrid w:val="0"/>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公允价值（元）</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占基金资产净值比例（％）</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A</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农、林、牧、渔业</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5"/>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utoSpaceDE w:val="0"/>
              <w:autoSpaceDN w:val="0"/>
              <w:adjustRightInd w:val="0"/>
              <w:ind w:left="15"/>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B</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采矿业</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p w:rsidR="00267126" w:rsidRPr="00490741">
            <w:pPr>
              <w:jc w:val="right"/>
              <w:rPr>
                <w:rFonts w:asciiTheme="minorEastAsia" w:eastAsiaTheme="minorEastAsia" w:hAnsiTheme="minorEastAsia"/>
                <w:color w:val="000000" w:themeColor="text1"/>
                <w:kern w:val="0"/>
                <w:sz w:val="24"/>
              </w:rPr>
            </w:pP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p w:rsidR="00267126" w:rsidRPr="00490741">
            <w:pPr>
              <w:jc w:val="right"/>
              <w:rPr>
                <w:rFonts w:asciiTheme="minorEastAsia" w:eastAsiaTheme="minorEastAsia" w:hAnsiTheme="minorEastAsia"/>
                <w:color w:val="000000" w:themeColor="text1"/>
                <w:kern w:val="0"/>
                <w:sz w:val="24"/>
              </w:rPr>
            </w:pP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C</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制造业</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2,995,061,253.32</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72.03</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D</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电力、热力、燃气及水生产和供应业</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103,350,790.08</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2.49</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E</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建筑业</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11,519.99</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F</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批发和零售业</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39,754.52</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G</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交通运输、仓储和邮政业</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H</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住宿和餐饮业</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4,608.00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I</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信息传输、软件和信息技术服务业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170,184,790.60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4.09</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J</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金融业</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320,798,432.42</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7.72</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K</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房地产业</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L</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租赁和商务服务业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228,636,954.00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5.50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M</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科学研究和技术服务业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241,778.64</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0.01</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N</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水利、环境和公共设施管理业</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15,811.84</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O</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居民服务、修理和其他服务业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P</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教育</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Q</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卫生和社会工作</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18,161.78</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R</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文化、体育和娱乐业</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37,906.44</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S</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综合</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jc w:val="center"/>
              <w:rPr>
                <w:rFonts w:asciiTheme="minorEastAsia" w:eastAsiaTheme="minorEastAsia" w:hAnsiTheme="minorEastAsia"/>
                <w:color w:val="000000" w:themeColor="text1"/>
                <w:kern w:val="0"/>
                <w:sz w:val="24"/>
              </w:rPr>
            </w:pP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adjustRightInd w:val="0"/>
              <w:snapToGrid w:val="0"/>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3,818,401,761.63</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267126" w:rsidRPr="00490741">
            <w:pPr>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91.84</w:t>
            </w:r>
          </w:p>
        </w:tc>
      </w:tr>
    </w:tbl>
    <w:p w:rsidR="00267126" w:rsidRPr="00490741">
      <w:pPr>
        <w:spacing w:line="360" w:lineRule="auto"/>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3</w:t>
      </w: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 xml:space="preserve"> </w:t>
      </w:r>
      <w:r w:rsidRPr="00490741">
        <w:rPr>
          <w:rFonts w:asciiTheme="minorEastAsia" w:eastAsiaTheme="minorEastAsia" w:hAnsiTheme="minorEastAsia"/>
          <w:color w:val="000000" w:themeColor="text1"/>
        </w:rPr>
        <w:t>期末按公允价值占基金资产净值比例大小排序的股票投资明细</w:t>
      </w:r>
    </w:p>
    <w:p w:rsidR="00267126" w:rsidRPr="00490741">
      <w:pPr>
        <w:spacing w:line="360" w:lineRule="auto"/>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 xml:space="preserve"> </w:t>
      </w:r>
      <w:r w:rsidRPr="00490741">
        <w:rPr>
          <w:rFonts w:asciiTheme="minorEastAsia" w:eastAsiaTheme="minorEastAsia" w:hAnsiTheme="minorEastAsia"/>
          <w:color w:val="000000" w:themeColor="text1"/>
        </w:rPr>
        <w:t>报告期末按公允价值占基金资产净值比例大小排序的前十名股票投资明细</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1418"/>
        <w:gridCol w:w="1701"/>
        <w:gridCol w:w="1984"/>
        <w:gridCol w:w="1559"/>
      </w:tblGrid>
      <w:tr>
        <w:tblPrEx>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序号</w:t>
            </w:r>
          </w:p>
        </w:tc>
        <w:tc>
          <w:tcPr>
            <w:tcW w:w="1276"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股票代码</w:t>
            </w:r>
          </w:p>
        </w:tc>
        <w:tc>
          <w:tcPr>
            <w:tcW w:w="1418"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股票名称</w:t>
            </w:r>
          </w:p>
        </w:tc>
        <w:tc>
          <w:tcPr>
            <w:tcW w:w="1701"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数量（股）</w:t>
            </w:r>
          </w:p>
        </w:tc>
        <w:tc>
          <w:tcPr>
            <w:tcW w:w="1984"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7"/>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公允价值（元）</w:t>
            </w:r>
          </w:p>
        </w:tc>
        <w:tc>
          <w:tcPr>
            <w:tcW w:w="1559" w:type="dxa"/>
            <w:tcBorders>
              <w:top w:val="single" w:sz="0" w:space="0" w:color="000000"/>
              <w:left w:val="single" w:sz="0" w:space="0" w:color="000000"/>
              <w:bottom w:val="single" w:sz="0" w:space="0" w:color="000000"/>
              <w:right w:val="single" w:sz="0" w:space="0" w:color="000000"/>
            </w:tcBorders>
            <w:vAlign w:val="center"/>
          </w:tcPr>
          <w:p w:rsidR="00267126" w:rsidRPr="00490741">
            <w:pPr>
              <w:ind w:left="17"/>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占基金资产净值比例（％）</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1</w:t>
            </w:r>
          </w:p>
        </w:tc>
        <w:tc>
          <w:tcPr>
            <w:tcW w:w="1276" w:type="dxa"/>
            <w:tcBorders>
              <w:top w:val="single" w:sz="0" w:space="0" w:color="000000"/>
              <w:left w:val="single" w:sz="0" w:space="0" w:color="000000"/>
              <w:bottom w:val="single" w:sz="0" w:space="0" w:color="000000"/>
              <w:right w:val="single" w:sz="0" w:space="0" w:color="000000"/>
            </w:tcBorders>
            <w:vAlign w:val="center"/>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300059</w:t>
            </w:r>
          </w:p>
        </w:tc>
        <w:tc>
          <w:tcPr>
            <w:tcW w:w="1418" w:type="dxa"/>
            <w:tcBorders>
              <w:top w:val="single" w:sz="0" w:space="0" w:color="000000"/>
              <w:left w:val="single" w:sz="0" w:space="0" w:color="000000"/>
              <w:bottom w:val="single" w:sz="0" w:space="0" w:color="000000"/>
              <w:right w:val="single" w:sz="0" w:space="0" w:color="000000"/>
            </w:tcBorders>
            <w:vAlign w:val="center"/>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东方财富</w:t>
            </w:r>
          </w:p>
        </w:tc>
        <w:tc>
          <w:tcPr>
            <w:tcW w:w="1701"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7,540,822</w:t>
            </w:r>
          </w:p>
        </w:tc>
        <w:tc>
          <w:tcPr>
            <w:tcW w:w="1984"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279,839,904.42</w:t>
            </w:r>
          </w:p>
        </w:tc>
        <w:tc>
          <w:tcPr>
            <w:tcW w:w="1559"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6.73</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2</w:t>
            </w:r>
          </w:p>
        </w:tc>
        <w:tc>
          <w:tcPr>
            <w:tcW w:w="1276" w:type="dxa"/>
            <w:tcBorders>
              <w:top w:val="single" w:sz="0" w:space="0" w:color="000000"/>
              <w:left w:val="single" w:sz="0" w:space="0" w:color="000000"/>
              <w:bottom w:val="single" w:sz="0" w:space="0" w:color="000000"/>
              <w:right w:val="single" w:sz="0" w:space="0" w:color="000000"/>
            </w:tcBorders>
            <w:vAlign w:val="center"/>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002027</w:t>
            </w:r>
          </w:p>
        </w:tc>
        <w:tc>
          <w:tcPr>
            <w:tcW w:w="1418" w:type="dxa"/>
            <w:tcBorders>
              <w:top w:val="single" w:sz="0" w:space="0" w:color="000000"/>
              <w:left w:val="single" w:sz="0" w:space="0" w:color="000000"/>
              <w:bottom w:val="single" w:sz="0" w:space="0" w:color="000000"/>
              <w:right w:val="single" w:sz="0" w:space="0" w:color="000000"/>
            </w:tcBorders>
            <w:vAlign w:val="center"/>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分众传媒</w:t>
            </w:r>
          </w:p>
        </w:tc>
        <w:tc>
          <w:tcPr>
            <w:tcW w:w="1701"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27,916,600</w:t>
            </w:r>
          </w:p>
        </w:tc>
        <w:tc>
          <w:tcPr>
            <w:tcW w:w="1984"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228,636,954.00</w:t>
            </w:r>
          </w:p>
        </w:tc>
        <w:tc>
          <w:tcPr>
            <w:tcW w:w="1559"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5.50</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3</w:t>
            </w:r>
          </w:p>
        </w:tc>
        <w:tc>
          <w:tcPr>
            <w:tcW w:w="1276" w:type="dxa"/>
            <w:tcBorders>
              <w:top w:val="single" w:sz="0" w:space="0" w:color="000000"/>
              <w:left w:val="single" w:sz="0" w:space="0" w:color="000000"/>
              <w:bottom w:val="single" w:sz="0" w:space="0" w:color="000000"/>
              <w:right w:val="single" w:sz="0" w:space="0" w:color="000000"/>
            </w:tcBorders>
            <w:vAlign w:val="center"/>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002050</w:t>
            </w:r>
          </w:p>
        </w:tc>
        <w:tc>
          <w:tcPr>
            <w:tcW w:w="1418" w:type="dxa"/>
            <w:tcBorders>
              <w:top w:val="single" w:sz="0" w:space="0" w:color="000000"/>
              <w:left w:val="single" w:sz="0" w:space="0" w:color="000000"/>
              <w:bottom w:val="single" w:sz="0" w:space="0" w:color="000000"/>
              <w:right w:val="single" w:sz="0" w:space="0" w:color="000000"/>
            </w:tcBorders>
            <w:vAlign w:val="center"/>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三花智控</w:t>
            </w:r>
          </w:p>
        </w:tc>
        <w:tc>
          <w:tcPr>
            <w:tcW w:w="1701"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8,242,569</w:t>
            </w:r>
          </w:p>
        </w:tc>
        <w:tc>
          <w:tcPr>
            <w:tcW w:w="1984"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208,536,995.70</w:t>
            </w:r>
          </w:p>
        </w:tc>
        <w:tc>
          <w:tcPr>
            <w:tcW w:w="1559"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5.02</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4</w:t>
            </w:r>
          </w:p>
        </w:tc>
        <w:tc>
          <w:tcPr>
            <w:tcW w:w="1276" w:type="dxa"/>
            <w:tcBorders>
              <w:top w:val="single" w:sz="0" w:space="0" w:color="000000"/>
              <w:left w:val="single" w:sz="0" w:space="0" w:color="000000"/>
              <w:bottom w:val="single" w:sz="0" w:space="0" w:color="000000"/>
              <w:right w:val="single" w:sz="0" w:space="0" w:color="000000"/>
            </w:tcBorders>
            <w:vAlign w:val="center"/>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600885</w:t>
            </w:r>
          </w:p>
        </w:tc>
        <w:tc>
          <w:tcPr>
            <w:tcW w:w="1418" w:type="dxa"/>
            <w:tcBorders>
              <w:top w:val="single" w:sz="0" w:space="0" w:color="000000"/>
              <w:left w:val="single" w:sz="0" w:space="0" w:color="000000"/>
              <w:bottom w:val="single" w:sz="0" w:space="0" w:color="000000"/>
              <w:right w:val="single" w:sz="0" w:space="0" w:color="000000"/>
            </w:tcBorders>
            <w:vAlign w:val="center"/>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宏发股份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2,759,800</w:t>
            </w:r>
          </w:p>
        </w:tc>
        <w:tc>
          <w:tcPr>
            <w:tcW w:w="1984"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205,991,472.00</w:t>
            </w:r>
          </w:p>
        </w:tc>
        <w:tc>
          <w:tcPr>
            <w:tcW w:w="1559"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4.95</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5</w:t>
            </w:r>
          </w:p>
        </w:tc>
        <w:tc>
          <w:tcPr>
            <w:tcW w:w="1276" w:type="dxa"/>
            <w:tcBorders>
              <w:top w:val="single" w:sz="0" w:space="0" w:color="000000"/>
              <w:left w:val="single" w:sz="0" w:space="0" w:color="000000"/>
              <w:bottom w:val="single" w:sz="0" w:space="0" w:color="000000"/>
              <w:right w:val="single" w:sz="0" w:space="0" w:color="000000"/>
            </w:tcBorders>
            <w:vAlign w:val="center"/>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000568</w:t>
            </w:r>
          </w:p>
        </w:tc>
        <w:tc>
          <w:tcPr>
            <w:tcW w:w="1418" w:type="dxa"/>
            <w:tcBorders>
              <w:top w:val="single" w:sz="0" w:space="0" w:color="000000"/>
              <w:left w:val="single" w:sz="0" w:space="0" w:color="000000"/>
              <w:bottom w:val="single" w:sz="0" w:space="0" w:color="000000"/>
              <w:right w:val="single" w:sz="0" w:space="0" w:color="000000"/>
            </w:tcBorders>
            <w:vAlign w:val="center"/>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泸州老窖</w:t>
            </w:r>
          </w:p>
        </w:tc>
        <w:tc>
          <w:tcPr>
            <w:tcW w:w="1701"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792,391</w:t>
            </w:r>
          </w:p>
        </w:tc>
        <w:tc>
          <w:tcPr>
            <w:tcW w:w="1984"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201,164,303.17</w:t>
            </w:r>
          </w:p>
        </w:tc>
        <w:tc>
          <w:tcPr>
            <w:tcW w:w="1559"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4.84</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6</w:t>
            </w:r>
          </w:p>
        </w:tc>
        <w:tc>
          <w:tcPr>
            <w:tcW w:w="1276" w:type="dxa"/>
            <w:tcBorders>
              <w:top w:val="single" w:sz="0" w:space="0" w:color="000000"/>
              <w:left w:val="single" w:sz="0" w:space="0" w:color="000000"/>
              <w:bottom w:val="single" w:sz="0" w:space="0" w:color="000000"/>
              <w:right w:val="single" w:sz="0" w:space="0" w:color="000000"/>
            </w:tcBorders>
            <w:vAlign w:val="center"/>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600519</w:t>
            </w:r>
          </w:p>
        </w:tc>
        <w:tc>
          <w:tcPr>
            <w:tcW w:w="1418" w:type="dxa"/>
            <w:tcBorders>
              <w:top w:val="single" w:sz="0" w:space="0" w:color="000000"/>
              <w:left w:val="single" w:sz="0" w:space="0" w:color="000000"/>
              <w:bottom w:val="single" w:sz="0" w:space="0" w:color="000000"/>
              <w:right w:val="single" w:sz="0" w:space="0" w:color="000000"/>
            </w:tcBorders>
            <w:vAlign w:val="center"/>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贵州茅台</w:t>
            </w:r>
          </w:p>
        </w:tc>
        <w:tc>
          <w:tcPr>
            <w:tcW w:w="1701"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92,510</w:t>
            </w:r>
          </w:p>
        </w:tc>
        <w:tc>
          <w:tcPr>
            <w:tcW w:w="1984"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189,645,500.00</w:t>
            </w:r>
          </w:p>
        </w:tc>
        <w:tc>
          <w:tcPr>
            <w:tcW w:w="1559"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4.56</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7</w:t>
            </w:r>
          </w:p>
        </w:tc>
        <w:tc>
          <w:tcPr>
            <w:tcW w:w="1276" w:type="dxa"/>
            <w:tcBorders>
              <w:top w:val="single" w:sz="0" w:space="0" w:color="000000"/>
              <w:left w:val="single" w:sz="0" w:space="0" w:color="000000"/>
              <w:bottom w:val="single" w:sz="0" w:space="0" w:color="000000"/>
              <w:right w:val="single" w:sz="0" w:space="0" w:color="000000"/>
            </w:tcBorders>
            <w:vAlign w:val="center"/>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300751</w:t>
            </w:r>
          </w:p>
        </w:tc>
        <w:tc>
          <w:tcPr>
            <w:tcW w:w="1418" w:type="dxa"/>
            <w:tcBorders>
              <w:top w:val="single" w:sz="0" w:space="0" w:color="000000"/>
              <w:left w:val="single" w:sz="0" w:space="0" w:color="000000"/>
              <w:bottom w:val="single" w:sz="0" w:space="0" w:color="000000"/>
              <w:right w:val="single" w:sz="0" w:space="0" w:color="000000"/>
            </w:tcBorders>
            <w:vAlign w:val="center"/>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迈为股份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289,320</w:t>
            </w:r>
          </w:p>
        </w:tc>
        <w:tc>
          <w:tcPr>
            <w:tcW w:w="1984"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185,830,236.00</w:t>
            </w:r>
          </w:p>
        </w:tc>
        <w:tc>
          <w:tcPr>
            <w:tcW w:w="1559"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4.47</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8</w:t>
            </w:r>
          </w:p>
        </w:tc>
        <w:tc>
          <w:tcPr>
            <w:tcW w:w="1276" w:type="dxa"/>
            <w:tcBorders>
              <w:top w:val="single" w:sz="0" w:space="0" w:color="000000"/>
              <w:left w:val="single" w:sz="0" w:space="0" w:color="000000"/>
              <w:bottom w:val="single" w:sz="0" w:space="0" w:color="000000"/>
              <w:right w:val="single" w:sz="0" w:space="0" w:color="000000"/>
            </w:tcBorders>
            <w:vAlign w:val="center"/>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603688</w:t>
            </w:r>
          </w:p>
        </w:tc>
        <w:tc>
          <w:tcPr>
            <w:tcW w:w="1418" w:type="dxa"/>
            <w:tcBorders>
              <w:top w:val="single" w:sz="0" w:space="0" w:color="000000"/>
              <w:left w:val="single" w:sz="0" w:space="0" w:color="000000"/>
              <w:bottom w:val="single" w:sz="0" w:space="0" w:color="000000"/>
              <w:right w:val="single" w:sz="0" w:space="0" w:color="000000"/>
            </w:tcBorders>
            <w:vAlign w:val="center"/>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石英股份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2,447,776</w:t>
            </w:r>
          </w:p>
        </w:tc>
        <w:tc>
          <w:tcPr>
            <w:tcW w:w="1984"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154,479,143.36</w:t>
            </w:r>
          </w:p>
        </w:tc>
        <w:tc>
          <w:tcPr>
            <w:tcW w:w="1559"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3.72</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9</w:t>
            </w:r>
          </w:p>
        </w:tc>
        <w:tc>
          <w:tcPr>
            <w:tcW w:w="1276" w:type="dxa"/>
            <w:tcBorders>
              <w:top w:val="single" w:sz="0" w:space="0" w:color="000000"/>
              <w:left w:val="single" w:sz="0" w:space="0" w:color="000000"/>
              <w:bottom w:val="single" w:sz="0" w:space="0" w:color="000000"/>
              <w:right w:val="single" w:sz="0" w:space="0" w:color="000000"/>
            </w:tcBorders>
            <w:vAlign w:val="center"/>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000596</w:t>
            </w:r>
          </w:p>
        </w:tc>
        <w:tc>
          <w:tcPr>
            <w:tcW w:w="1418" w:type="dxa"/>
            <w:tcBorders>
              <w:top w:val="single" w:sz="0" w:space="0" w:color="000000"/>
              <w:left w:val="single" w:sz="0" w:space="0" w:color="000000"/>
              <w:bottom w:val="single" w:sz="0" w:space="0" w:color="000000"/>
              <w:right w:val="single" w:sz="0" w:space="0" w:color="000000"/>
            </w:tcBorders>
            <w:vAlign w:val="center"/>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古井贡酒</w:t>
            </w:r>
          </w:p>
        </w:tc>
        <w:tc>
          <w:tcPr>
            <w:tcW w:w="1701"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620,176</w:t>
            </w:r>
          </w:p>
        </w:tc>
        <w:tc>
          <w:tcPr>
            <w:tcW w:w="1984"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151,322,944.00</w:t>
            </w:r>
          </w:p>
        </w:tc>
        <w:tc>
          <w:tcPr>
            <w:tcW w:w="1559"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3.64</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10</w:t>
            </w:r>
          </w:p>
        </w:tc>
        <w:tc>
          <w:tcPr>
            <w:tcW w:w="1276" w:type="dxa"/>
            <w:tcBorders>
              <w:top w:val="single" w:sz="0" w:space="0" w:color="000000"/>
              <w:left w:val="single" w:sz="0" w:space="0" w:color="000000"/>
              <w:bottom w:val="single" w:sz="0" w:space="0" w:color="000000"/>
              <w:right w:val="single" w:sz="0" w:space="0" w:color="000000"/>
            </w:tcBorders>
            <w:vAlign w:val="center"/>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603179</w:t>
            </w:r>
          </w:p>
        </w:tc>
        <w:tc>
          <w:tcPr>
            <w:tcW w:w="1418" w:type="dxa"/>
            <w:tcBorders>
              <w:top w:val="single" w:sz="0" w:space="0" w:color="000000"/>
              <w:left w:val="single" w:sz="0" w:space="0" w:color="000000"/>
              <w:bottom w:val="single" w:sz="0" w:space="0" w:color="000000"/>
              <w:right w:val="single" w:sz="0" w:space="0" w:color="000000"/>
            </w:tcBorders>
            <w:vAlign w:val="center"/>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新泉股份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3,161,906</w:t>
            </w:r>
          </w:p>
        </w:tc>
        <w:tc>
          <w:tcPr>
            <w:tcW w:w="1984"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136,847,291.68</w:t>
            </w:r>
          </w:p>
        </w:tc>
        <w:tc>
          <w:tcPr>
            <w:tcW w:w="1559" w:type="dxa"/>
            <w:tcBorders>
              <w:top w:val="single" w:sz="0" w:space="0" w:color="000000"/>
              <w:left w:val="single" w:sz="0" w:space="0" w:color="000000"/>
              <w:bottom w:val="single" w:sz="0" w:space="0" w:color="000000"/>
              <w:right w:val="single" w:sz="0" w:space="0" w:color="000000"/>
            </w:tcBorders>
            <w:vAlign w:val="center"/>
          </w:tcPr>
          <w:p w:rsidR="00267126" w:rsidRPr="00490741">
            <w:pPr>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kern w:val="0"/>
              </w:rPr>
              <w:t>3.29</w:t>
            </w:r>
          </w:p>
        </w:tc>
      </w:tr>
    </w:tbl>
    <w:p w:rsidR="00267126" w:rsidRPr="00490741">
      <w:pPr>
        <w:spacing w:line="360" w:lineRule="auto"/>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4</w:t>
      </w: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 xml:space="preserve"> </w:t>
      </w:r>
      <w:r w:rsidRPr="00490741">
        <w:rPr>
          <w:rFonts w:asciiTheme="minorEastAsia" w:eastAsiaTheme="minorEastAsia" w:hAnsiTheme="minorEastAsia"/>
          <w:color w:val="000000" w:themeColor="text1"/>
        </w:rPr>
        <w:t>报告期末按债券品种分类的债券投资组合</w:t>
      </w:r>
    </w:p>
    <w:p w:rsidR="00267126" w:rsidRPr="00490741">
      <w:pPr>
        <w:spacing w:line="360" w:lineRule="auto"/>
        <w:ind w:firstLine="420"/>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本基金本报告期末未持有债券。</w:t>
      </w:r>
    </w:p>
    <w:p w:rsidR="00267126" w:rsidRPr="00490741">
      <w:pPr>
        <w:spacing w:line="360" w:lineRule="auto"/>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5</w:t>
      </w: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 xml:space="preserve"> </w:t>
      </w:r>
      <w:r w:rsidRPr="00490741">
        <w:rPr>
          <w:rFonts w:asciiTheme="minorEastAsia" w:eastAsiaTheme="minorEastAsia" w:hAnsiTheme="minorEastAsia"/>
          <w:color w:val="000000" w:themeColor="text1"/>
        </w:rPr>
        <w:t>报告期末按公允价值占基金资产净值比例大小排序的前五名债券投资明细</w:t>
      </w:r>
    </w:p>
    <w:p w:rsidR="00267126" w:rsidRPr="00490741">
      <w:pPr>
        <w:spacing w:line="360" w:lineRule="auto"/>
        <w:ind w:firstLine="420"/>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本基金本报告期末未持有债券。</w:t>
      </w:r>
    </w:p>
    <w:p w:rsidR="00267126" w:rsidRPr="00490741">
      <w:pPr>
        <w:spacing w:line="360" w:lineRule="auto"/>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6</w:t>
      </w: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 xml:space="preserve"> </w:t>
      </w:r>
      <w:r w:rsidRPr="00490741">
        <w:rPr>
          <w:rFonts w:asciiTheme="minorEastAsia" w:eastAsiaTheme="minorEastAsia" w:hAnsiTheme="minorEastAsia"/>
          <w:color w:val="000000" w:themeColor="text1"/>
        </w:rPr>
        <w:t>报告期末按公允价值占基金资产净值比例大小排序的前十名资产支持证券投资明细</w:t>
      </w:r>
    </w:p>
    <w:p w:rsidR="00267126" w:rsidRPr="00490741">
      <w:pPr>
        <w:spacing w:line="360" w:lineRule="auto"/>
        <w:ind w:firstLine="420"/>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本基金本报告期末未持有资产支持证券。</w:t>
      </w:r>
    </w:p>
    <w:p w:rsidR="00267126" w:rsidRPr="00490741">
      <w:pPr>
        <w:spacing w:line="360" w:lineRule="auto"/>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7</w:t>
      </w: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 xml:space="preserve"> </w:t>
      </w:r>
      <w:r w:rsidRPr="00490741">
        <w:rPr>
          <w:rFonts w:asciiTheme="minorEastAsia" w:eastAsiaTheme="minorEastAsia" w:hAnsiTheme="minorEastAsia"/>
          <w:color w:val="000000" w:themeColor="text1"/>
        </w:rPr>
        <w:t>报告期末按公允价值占基金资产净值比例大小排序的前五名贵金属投资明细</w:t>
      </w:r>
    </w:p>
    <w:p w:rsidR="00267126" w:rsidRPr="00490741">
      <w:pPr>
        <w:spacing w:line="360" w:lineRule="auto"/>
        <w:ind w:firstLine="420"/>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本基金本报告期末未持有贵金属。</w:t>
      </w:r>
    </w:p>
    <w:p w:rsidR="00267126" w:rsidRPr="00490741">
      <w:pPr>
        <w:spacing w:line="360" w:lineRule="auto"/>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8</w:t>
      </w: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 xml:space="preserve"> </w:t>
      </w:r>
      <w:r w:rsidRPr="00490741">
        <w:rPr>
          <w:rFonts w:asciiTheme="minorEastAsia" w:eastAsiaTheme="minorEastAsia" w:hAnsiTheme="minorEastAsia"/>
          <w:color w:val="000000" w:themeColor="text1"/>
        </w:rPr>
        <w:t>报告期末按公允价值占基金资产净值比例大小排序的前五名权证投资明细</w:t>
      </w:r>
    </w:p>
    <w:p w:rsidR="00267126" w:rsidRPr="00490741">
      <w:pPr>
        <w:spacing w:line="360" w:lineRule="auto"/>
        <w:ind w:firstLine="420"/>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本基金本报告期末未持有权证。</w:t>
      </w:r>
    </w:p>
    <w:p w:rsidR="00267126" w:rsidRPr="00490741">
      <w:pPr>
        <w:spacing w:line="360" w:lineRule="auto"/>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9</w:t>
      </w: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 xml:space="preserve"> </w:t>
      </w:r>
      <w:r w:rsidRPr="00490741">
        <w:rPr>
          <w:rFonts w:asciiTheme="minorEastAsia" w:eastAsiaTheme="minorEastAsia" w:hAnsiTheme="minorEastAsia"/>
          <w:color w:val="000000" w:themeColor="text1"/>
        </w:rPr>
        <w:t>报告期末本基金投资的股指期货交易情况说明</w:t>
      </w:r>
    </w:p>
    <w:p w:rsidR="00267126" w:rsidRPr="00490741">
      <w:pPr>
        <w:spacing w:line="360" w:lineRule="auto"/>
        <w:ind w:firstLine="420"/>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本基金本报告期末未投资股指期货。</w:t>
      </w:r>
    </w:p>
    <w:p w:rsidR="00267126" w:rsidRPr="00490741">
      <w:pPr>
        <w:spacing w:line="360" w:lineRule="auto"/>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10</w:t>
      </w: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 xml:space="preserve"> </w:t>
      </w:r>
      <w:r w:rsidRPr="00490741">
        <w:rPr>
          <w:rFonts w:asciiTheme="minorEastAsia" w:eastAsiaTheme="minorEastAsia" w:hAnsiTheme="minorEastAsia"/>
          <w:color w:val="000000" w:themeColor="text1"/>
        </w:rPr>
        <w:t>报告期末本基金投资的国债期货交易情况说明</w:t>
      </w:r>
    </w:p>
    <w:p w:rsidR="00267126" w:rsidRPr="00490741">
      <w:pPr>
        <w:spacing w:line="360" w:lineRule="auto"/>
        <w:ind w:firstLine="420"/>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本基金本报告期末未投资国债期货。</w:t>
      </w:r>
    </w:p>
    <w:p w:rsidR="00267126" w:rsidRPr="00490741">
      <w:pPr>
        <w:spacing w:line="360" w:lineRule="auto"/>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11</w:t>
      </w: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 xml:space="preserve"> </w:t>
      </w:r>
      <w:r w:rsidRPr="00490741">
        <w:rPr>
          <w:rFonts w:asciiTheme="minorEastAsia" w:eastAsiaTheme="minorEastAsia" w:hAnsiTheme="minorEastAsia"/>
          <w:color w:val="000000" w:themeColor="text1"/>
        </w:rPr>
        <w:t>投资组合报告附注</w:t>
      </w:r>
    </w:p>
    <w:p w:rsidR="00267126" w:rsidRPr="00490741">
      <w:pPr>
        <w:spacing w:line="360" w:lineRule="auto"/>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 xml:space="preserve"> </w:t>
      </w:r>
      <w:r w:rsidRPr="00490741">
        <w:rPr>
          <w:rFonts w:asciiTheme="minorEastAsia" w:eastAsiaTheme="minorEastAsia" w:hAnsiTheme="minorEastAsia"/>
          <w:color w:val="000000" w:themeColor="text1"/>
        </w:rPr>
        <w:t>基金管理人未发现本基金投资的前十名证券的发行主体出现本期被监管部门立案调查，或在报告编制日前一年内受到公开谴责、处罚的情形。</w:t>
      </w:r>
    </w:p>
    <w:p w:rsidR="00267126" w:rsidRPr="00490741">
      <w:pPr>
        <w:spacing w:line="360" w:lineRule="auto"/>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2</w:t>
      </w: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 xml:space="preserve"> </w:t>
      </w:r>
      <w:r w:rsidRPr="00490741">
        <w:rPr>
          <w:rFonts w:asciiTheme="minorEastAsia" w:eastAsiaTheme="minorEastAsia" w:hAnsiTheme="minorEastAsia"/>
          <w:color w:val="000000" w:themeColor="text1"/>
        </w:rPr>
        <w:t>本基金投资的前十名股票没有超出基金合同规定的备选股票库。</w:t>
      </w:r>
    </w:p>
    <w:p w:rsidR="00267126" w:rsidRPr="00490741">
      <w:pPr>
        <w:spacing w:line="360" w:lineRule="auto"/>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3</w:t>
      </w: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 xml:space="preserve"> </w:t>
      </w:r>
      <w:r w:rsidRPr="00490741">
        <w:rPr>
          <w:rFonts w:asciiTheme="minorEastAsia" w:eastAsiaTheme="minorEastAsia" w:hAnsiTheme="minorEastAsia"/>
          <w:color w:val="000000" w:themeColor="text1"/>
        </w:rPr>
        <w:t>其他资产构成</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4"/>
        <w:gridCol w:w="2468"/>
        <w:gridCol w:w="4805"/>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7"/>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序号</w:t>
            </w:r>
          </w:p>
        </w:tc>
        <w:tc>
          <w:tcPr>
            <w:tcW w:w="2470"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7"/>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名称</w:t>
            </w:r>
          </w:p>
        </w:tc>
        <w:tc>
          <w:tcPr>
            <w:tcW w:w="4808"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7"/>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金额（元）</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5"/>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1</w:t>
            </w:r>
          </w:p>
        </w:tc>
        <w:tc>
          <w:tcPr>
            <w:tcW w:w="2470"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5"/>
              <w:jc w:val="lef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存出保证金</w:t>
            </w:r>
          </w:p>
        </w:tc>
        <w:tc>
          <w:tcPr>
            <w:tcW w:w="4808"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5"/>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1,228,594.51</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5"/>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2</w:t>
            </w:r>
          </w:p>
        </w:tc>
        <w:tc>
          <w:tcPr>
            <w:tcW w:w="2470"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5"/>
              <w:jc w:val="lef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应收证券清算款</w:t>
            </w:r>
          </w:p>
        </w:tc>
        <w:tc>
          <w:tcPr>
            <w:tcW w:w="4808"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5"/>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4,211,659.76</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5"/>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3</w:t>
            </w:r>
          </w:p>
        </w:tc>
        <w:tc>
          <w:tcPr>
            <w:tcW w:w="2470"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5"/>
              <w:jc w:val="lef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应收股利</w:t>
            </w:r>
          </w:p>
        </w:tc>
        <w:tc>
          <w:tcPr>
            <w:tcW w:w="4808"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5"/>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5"/>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4</w:t>
            </w:r>
          </w:p>
        </w:tc>
        <w:tc>
          <w:tcPr>
            <w:tcW w:w="2470"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5"/>
              <w:jc w:val="lef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应收利息</w:t>
            </w:r>
          </w:p>
        </w:tc>
        <w:tc>
          <w:tcPr>
            <w:tcW w:w="4808"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5"/>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43,393.16</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5"/>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5</w:t>
            </w:r>
          </w:p>
        </w:tc>
        <w:tc>
          <w:tcPr>
            <w:tcW w:w="2470"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5"/>
              <w:jc w:val="lef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应收申购款</w:t>
            </w:r>
          </w:p>
        </w:tc>
        <w:tc>
          <w:tcPr>
            <w:tcW w:w="4808"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5"/>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2,015,292.36</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5"/>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6</w:t>
            </w:r>
          </w:p>
        </w:tc>
        <w:tc>
          <w:tcPr>
            <w:tcW w:w="2470"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5"/>
              <w:jc w:val="lef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其他应收款</w:t>
            </w:r>
          </w:p>
        </w:tc>
        <w:tc>
          <w:tcPr>
            <w:tcW w:w="4808"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5"/>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5"/>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7</w:t>
            </w:r>
          </w:p>
        </w:tc>
        <w:tc>
          <w:tcPr>
            <w:tcW w:w="2470"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5"/>
              <w:jc w:val="lef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待摊费用</w:t>
            </w:r>
          </w:p>
        </w:tc>
        <w:tc>
          <w:tcPr>
            <w:tcW w:w="4808"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5"/>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5"/>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8</w:t>
            </w:r>
          </w:p>
        </w:tc>
        <w:tc>
          <w:tcPr>
            <w:tcW w:w="2470"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5"/>
              <w:jc w:val="lef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其他</w:t>
            </w:r>
          </w:p>
        </w:tc>
        <w:tc>
          <w:tcPr>
            <w:tcW w:w="4808"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5"/>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5"/>
              <w:jc w:val="center"/>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9</w:t>
            </w:r>
          </w:p>
        </w:tc>
        <w:tc>
          <w:tcPr>
            <w:tcW w:w="2470"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5"/>
              <w:jc w:val="lef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合计</w:t>
            </w:r>
          </w:p>
        </w:tc>
        <w:tc>
          <w:tcPr>
            <w:tcW w:w="4808" w:type="dxa"/>
            <w:tcBorders>
              <w:top w:val="single" w:sz="0" w:space="0" w:color="000000"/>
              <w:left w:val="single" w:sz="0" w:space="0" w:color="000000"/>
              <w:bottom w:val="single" w:sz="0" w:space="0" w:color="000000"/>
              <w:right w:val="single" w:sz="0" w:space="0" w:color="000000"/>
            </w:tcBorders>
            <w:vAlign w:val="center"/>
          </w:tcPr>
          <w:p w:rsidR="00267126" w:rsidRPr="00490741">
            <w:pPr>
              <w:autoSpaceDE w:val="0"/>
              <w:autoSpaceDN w:val="0"/>
              <w:adjustRightInd w:val="0"/>
              <w:ind w:left="15"/>
              <w:jc w:val="right"/>
              <w:rPr>
                <w:rFonts w:asciiTheme="minorEastAsia" w:eastAsiaTheme="minorEastAsia" w:hAnsiTheme="minorEastAsia"/>
                <w:color w:val="000000" w:themeColor="text1"/>
                <w:kern w:val="0"/>
                <w:sz w:val="24"/>
              </w:rPr>
            </w:pPr>
            <w:r w:rsidRPr="00490741">
              <w:rPr>
                <w:rFonts w:asciiTheme="minorEastAsia" w:eastAsiaTheme="minorEastAsia" w:hAnsiTheme="minorEastAsia"/>
                <w:color w:val="000000" w:themeColor="text1"/>
                <w:kern w:val="0"/>
              </w:rPr>
              <w:t>7,498,939.79</w:t>
            </w:r>
          </w:p>
        </w:tc>
      </w:tr>
    </w:tbl>
    <w:p w:rsidR="00267126" w:rsidRPr="00490741">
      <w:pPr>
        <w:spacing w:line="360" w:lineRule="auto"/>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4</w:t>
      </w:r>
      <w:r w:rsidRPr="00490741">
        <w:rPr>
          <w:rFonts w:asciiTheme="minorEastAsia" w:eastAsiaTheme="minorEastAsia" w:hAnsiTheme="minorEastAsia"/>
          <w:color w:val="000000" w:themeColor="text1"/>
        </w:rPr>
        <w:t>）报告期末持有的处于转股期的可转换债券明细</w:t>
      </w:r>
    </w:p>
    <w:p w:rsidR="00267126" w:rsidRPr="00490741">
      <w:pPr>
        <w:spacing w:line="360" w:lineRule="auto"/>
        <w:ind w:firstLine="420"/>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本基金本报告期末未持有处于转股期的可转换债券。</w:t>
      </w:r>
    </w:p>
    <w:p w:rsidR="00267126" w:rsidRPr="00490741">
      <w:pPr>
        <w:spacing w:line="360" w:lineRule="auto"/>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5</w:t>
      </w:r>
      <w:r w:rsidRPr="00490741">
        <w:rPr>
          <w:rFonts w:asciiTheme="minorEastAsia" w:eastAsiaTheme="minorEastAsia" w:hAnsiTheme="minorEastAsia"/>
          <w:color w:val="000000" w:themeColor="text1"/>
        </w:rPr>
        <w:t>）报告期末前十名股票中存在流通受限情况的说明</w:t>
      </w:r>
    </w:p>
    <w:p w:rsidR="00267126" w:rsidRPr="00490741">
      <w:pPr>
        <w:spacing w:line="360" w:lineRule="auto"/>
        <w:ind w:firstLine="420"/>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本基金本报告期末前十名股票中不存在流通受限情况。</w:t>
      </w:r>
      <w:r w:rsidRPr="00490741">
        <w:rPr>
          <w:rFonts w:asciiTheme="minorEastAsia" w:eastAsiaTheme="minorEastAsia" w:hAnsiTheme="minorEastAsia"/>
          <w:color w:val="000000" w:themeColor="text1"/>
        </w:rPr>
        <w:br w:type="page"/>
      </w:r>
    </w:p>
    <w:p w:rsidR="0002608C" w:rsidRPr="00490741" w:rsidP="00ED5065">
      <w:pPr>
        <w:pStyle w:val="Heading1"/>
        <w:snapToGrid w:val="0"/>
        <w:spacing w:beforeLines="0" w:afterLines="0" w:line="360" w:lineRule="auto"/>
        <w:ind w:firstLine="0" w:firstLineChars="0"/>
        <w:rPr>
          <w:rFonts w:asciiTheme="minorEastAsia" w:eastAsiaTheme="minorEastAsia" w:hAnsiTheme="minorEastAsia"/>
          <w:b/>
          <w:bCs/>
          <w:color w:val="000000" w:themeColor="text1"/>
        </w:rPr>
      </w:pPr>
      <w:bookmarkStart w:id="91" w:name="_Toc114237433"/>
      <w:r w:rsidRPr="00490741">
        <w:rPr>
          <w:rFonts w:asciiTheme="minorEastAsia" w:eastAsiaTheme="minorEastAsia" w:hAnsiTheme="minorEastAsia" w:hint="eastAsia"/>
          <w:b/>
          <w:bCs/>
          <w:color w:val="000000" w:themeColor="text1"/>
        </w:rPr>
        <w:t>十二、基金的业绩</w:t>
      </w:r>
      <w:bookmarkEnd w:id="91"/>
    </w:p>
    <w:p w:rsidR="0002608C" w:rsidRPr="00490741" w:rsidP="00107648">
      <w:pPr>
        <w:autoSpaceDE w:val="0"/>
        <w:autoSpaceDN w:val="0"/>
        <w:snapToGrid w:val="0"/>
        <w:spacing w:line="360" w:lineRule="auto"/>
        <w:ind w:firstLine="420" w:firstLineChars="200"/>
        <w:rPr>
          <w:rFonts w:asciiTheme="minorEastAsia" w:eastAsiaTheme="minorEastAsia" w:hAnsiTheme="minorEastAsia"/>
          <w:color w:val="000000" w:themeColor="text1"/>
          <w:kern w:val="0"/>
          <w:szCs w:val="21"/>
        </w:rPr>
      </w:pPr>
      <w:r w:rsidRPr="00490741">
        <w:rPr>
          <w:rFonts w:asciiTheme="minorEastAsia" w:eastAsiaTheme="minorEastAsia" w:hAnsiTheme="minorEastAsia"/>
          <w:color w:val="000000" w:themeColor="text1"/>
          <w:kern w:val="0"/>
          <w:szCs w:val="21"/>
        </w:rPr>
        <w:t>基金管理人依照恪尽职守、诚实信用、谨慎勤勉的原则管理和运用基金财产，但不保证基金一定盈利，也不保证最低收益。基金的过往业绩并不代表其未来表现。投资有风险，投资者在</w:t>
      </w:r>
      <w:r w:rsidRPr="00490741">
        <w:rPr>
          <w:rFonts w:asciiTheme="minorEastAsia" w:eastAsiaTheme="minorEastAsia" w:hAnsiTheme="minorEastAsia" w:hint="eastAsia"/>
          <w:color w:val="000000" w:themeColor="text1"/>
          <w:kern w:val="0"/>
          <w:szCs w:val="21"/>
        </w:rPr>
        <w:t>做出</w:t>
      </w:r>
      <w:r w:rsidRPr="00490741">
        <w:rPr>
          <w:rFonts w:asciiTheme="minorEastAsia" w:eastAsiaTheme="minorEastAsia" w:hAnsiTheme="minorEastAsia"/>
          <w:color w:val="000000" w:themeColor="text1"/>
          <w:kern w:val="0"/>
          <w:szCs w:val="21"/>
        </w:rPr>
        <w:t>投资决策前应仔细阅读本基金的招募说明书。</w:t>
      </w:r>
    </w:p>
    <w:p w:rsidR="0002608C" w:rsidRPr="00490741" w:rsidP="00107648">
      <w:pPr>
        <w:autoSpaceDE w:val="0"/>
        <w:autoSpaceDN w:val="0"/>
        <w:snapToGrid w:val="0"/>
        <w:spacing w:line="360" w:lineRule="auto"/>
        <w:ind w:firstLine="420" w:firstLineChars="200"/>
        <w:rPr>
          <w:rFonts w:asciiTheme="minorEastAsia" w:eastAsiaTheme="minorEastAsia" w:hAnsiTheme="minorEastAsia"/>
          <w:color w:val="000000" w:themeColor="text1"/>
          <w:kern w:val="0"/>
          <w:szCs w:val="21"/>
        </w:rPr>
      </w:pPr>
      <w:r w:rsidRPr="00490741">
        <w:rPr>
          <w:rFonts w:asciiTheme="minorEastAsia" w:eastAsiaTheme="minorEastAsia" w:hAnsiTheme="minorEastAsia"/>
          <w:color w:val="000000" w:themeColor="text1"/>
        </w:rPr>
        <w:t>本基金合同生效日为</w:t>
      </w:r>
      <w:r w:rsidRPr="00490741">
        <w:rPr>
          <w:rFonts w:asciiTheme="minorEastAsia" w:eastAsiaTheme="minorEastAsia" w:hAnsiTheme="minorEastAsia"/>
          <w:color w:val="000000" w:themeColor="text1"/>
        </w:rPr>
        <w:t>2006</w:t>
      </w:r>
      <w:r w:rsidRPr="00490741">
        <w:rPr>
          <w:rFonts w:asciiTheme="minorEastAsia" w:eastAsiaTheme="minorEastAsia" w:hAnsiTheme="minorEastAsia"/>
          <w:color w:val="000000" w:themeColor="text1"/>
        </w:rPr>
        <w:t>年</w:t>
      </w:r>
      <w:r w:rsidRPr="00490741">
        <w:rPr>
          <w:rFonts w:asciiTheme="minorEastAsia" w:eastAsiaTheme="minorEastAsia" w:hAnsiTheme="minorEastAsia"/>
          <w:color w:val="000000" w:themeColor="text1"/>
        </w:rPr>
        <w:t>6</w:t>
      </w:r>
      <w:r w:rsidRPr="00490741">
        <w:rPr>
          <w:rFonts w:asciiTheme="minorEastAsia" w:eastAsiaTheme="minorEastAsia" w:hAnsiTheme="minorEastAsia"/>
          <w:color w:val="000000" w:themeColor="text1"/>
        </w:rPr>
        <w:t>月</w:t>
      </w:r>
      <w:r w:rsidRPr="00490741">
        <w:rPr>
          <w:rFonts w:asciiTheme="minorEastAsia" w:eastAsiaTheme="minorEastAsia" w:hAnsiTheme="minorEastAsia"/>
          <w:color w:val="000000" w:themeColor="text1"/>
        </w:rPr>
        <w:t>13</w:t>
      </w:r>
      <w:r w:rsidRPr="00490741">
        <w:rPr>
          <w:rFonts w:asciiTheme="minorEastAsia" w:eastAsiaTheme="minorEastAsia" w:hAnsiTheme="minorEastAsia"/>
          <w:color w:val="000000" w:themeColor="text1"/>
        </w:rPr>
        <w:t>日，本基金最近</w:t>
      </w:r>
      <w:r w:rsidRPr="00490741">
        <w:rPr>
          <w:rFonts w:asciiTheme="minorEastAsia" w:eastAsiaTheme="minorEastAsia" w:hAnsiTheme="minorEastAsia"/>
          <w:color w:val="000000" w:themeColor="text1"/>
        </w:rPr>
        <w:t>10</w:t>
      </w:r>
      <w:r w:rsidRPr="00490741">
        <w:rPr>
          <w:rFonts w:asciiTheme="minorEastAsia" w:eastAsiaTheme="minorEastAsia" w:hAnsiTheme="minorEastAsia"/>
          <w:color w:val="000000" w:themeColor="text1"/>
        </w:rPr>
        <w:t>个完整会计年度（截至</w:t>
      </w:r>
      <w:r w:rsidRPr="00490741">
        <w:rPr>
          <w:rFonts w:asciiTheme="minorEastAsia" w:eastAsiaTheme="minorEastAsia" w:hAnsiTheme="minorEastAsia"/>
          <w:color w:val="000000" w:themeColor="text1"/>
        </w:rPr>
        <w:t>2021</w:t>
      </w:r>
      <w:r w:rsidRPr="00490741">
        <w:rPr>
          <w:rFonts w:asciiTheme="minorEastAsia" w:eastAsiaTheme="minorEastAsia" w:hAnsiTheme="minorEastAsia"/>
          <w:color w:val="000000" w:themeColor="text1"/>
        </w:rPr>
        <w:t>年</w:t>
      </w:r>
      <w:r w:rsidRPr="00490741">
        <w:rPr>
          <w:rFonts w:asciiTheme="minorEastAsia" w:eastAsiaTheme="minorEastAsia" w:hAnsiTheme="minorEastAsia"/>
          <w:color w:val="000000" w:themeColor="text1"/>
        </w:rPr>
        <w:t>12</w:t>
      </w:r>
      <w:r w:rsidRPr="00490741">
        <w:rPr>
          <w:rFonts w:asciiTheme="minorEastAsia" w:eastAsiaTheme="minorEastAsia" w:hAnsiTheme="minorEastAsia"/>
          <w:color w:val="000000" w:themeColor="text1"/>
        </w:rPr>
        <w:t>月</w:t>
      </w:r>
      <w:r w:rsidRPr="00490741">
        <w:rPr>
          <w:rFonts w:asciiTheme="minorEastAsia" w:eastAsiaTheme="minorEastAsia" w:hAnsiTheme="minorEastAsia"/>
          <w:color w:val="000000" w:themeColor="text1"/>
        </w:rPr>
        <w:t>31</w:t>
      </w:r>
      <w:r w:rsidRPr="00490741">
        <w:rPr>
          <w:rFonts w:asciiTheme="minorEastAsia" w:eastAsiaTheme="minorEastAsia" w:hAnsiTheme="minorEastAsia"/>
          <w:color w:val="000000" w:themeColor="text1"/>
        </w:rPr>
        <w:t>日）的投资业绩及与同期基准的比较如下表所示：</w:t>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4"/>
        <w:gridCol w:w="1147"/>
        <w:gridCol w:w="1193"/>
        <w:gridCol w:w="1300"/>
        <w:gridCol w:w="1400"/>
        <w:gridCol w:w="1080"/>
        <w:gridCol w:w="1080"/>
      </w:tblGrid>
      <w:tr w:rsidTr="00C75FC8">
        <w:tblPrEx>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15"/>
          <w:jc w:val="center"/>
        </w:trPr>
        <w:tc>
          <w:tcPr>
            <w:tcW w:w="1874" w:type="dxa"/>
          </w:tcPr>
          <w:p w:rsidR="0002608C" w:rsidRPr="00490741" w:rsidP="00107648">
            <w:pPr>
              <w:tabs>
                <w:tab w:val="left" w:pos="5400"/>
              </w:tabs>
              <w:snapToGrid w:val="0"/>
              <w:spacing w:line="360" w:lineRule="auto"/>
              <w:ind w:firstLine="420"/>
              <w:jc w:val="center"/>
              <w:rPr>
                <w:rFonts w:asciiTheme="minorEastAsia" w:eastAsiaTheme="minorEastAsia" w:hAnsiTheme="minorEastAsia"/>
                <w:color w:val="000000" w:themeColor="text1"/>
                <w:szCs w:val="21"/>
              </w:rPr>
            </w:pPr>
          </w:p>
          <w:p w:rsidR="0002608C" w:rsidRPr="00490741" w:rsidP="00107648">
            <w:pPr>
              <w:tabs>
                <w:tab w:val="left" w:pos="5400"/>
              </w:tabs>
              <w:snapToGrid w:val="0"/>
              <w:spacing w:line="360" w:lineRule="auto"/>
              <w:jc w:val="center"/>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阶段</w:t>
            </w:r>
          </w:p>
        </w:tc>
        <w:tc>
          <w:tcPr>
            <w:tcW w:w="1147" w:type="dxa"/>
          </w:tcPr>
          <w:p w:rsidR="0002608C" w:rsidRPr="00490741" w:rsidP="00107648">
            <w:pPr>
              <w:tabs>
                <w:tab w:val="left" w:pos="5400"/>
              </w:tabs>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净值增长率①</w:t>
            </w:r>
          </w:p>
        </w:tc>
        <w:tc>
          <w:tcPr>
            <w:tcW w:w="1193" w:type="dxa"/>
          </w:tcPr>
          <w:p w:rsidR="0002608C" w:rsidRPr="00490741" w:rsidP="00107648">
            <w:pPr>
              <w:tabs>
                <w:tab w:val="left" w:pos="5400"/>
              </w:tabs>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净值增长率标准差②</w:t>
            </w:r>
          </w:p>
        </w:tc>
        <w:tc>
          <w:tcPr>
            <w:tcW w:w="1300" w:type="dxa"/>
          </w:tcPr>
          <w:p w:rsidR="0002608C" w:rsidRPr="00490741" w:rsidP="00107648">
            <w:pPr>
              <w:tabs>
                <w:tab w:val="left" w:pos="5400"/>
              </w:tabs>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业绩比较基准收益率③</w:t>
            </w:r>
          </w:p>
        </w:tc>
        <w:tc>
          <w:tcPr>
            <w:tcW w:w="1400" w:type="dxa"/>
          </w:tcPr>
          <w:p w:rsidR="0002608C" w:rsidRPr="00490741" w:rsidP="00107648">
            <w:pPr>
              <w:tabs>
                <w:tab w:val="left" w:pos="5400"/>
              </w:tabs>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业绩比较基准收益率标准差④</w:t>
            </w:r>
          </w:p>
        </w:tc>
        <w:tc>
          <w:tcPr>
            <w:tcW w:w="1080" w:type="dxa"/>
          </w:tcPr>
          <w:p w:rsidR="0002608C" w:rsidRPr="00490741" w:rsidP="00107648">
            <w:pPr>
              <w:tabs>
                <w:tab w:val="left" w:pos="5400"/>
              </w:tabs>
              <w:snapToGrid w:val="0"/>
              <w:spacing w:line="360" w:lineRule="auto"/>
              <w:ind w:firstLine="420"/>
              <w:jc w:val="center"/>
              <w:rPr>
                <w:rFonts w:asciiTheme="minorEastAsia" w:eastAsiaTheme="minorEastAsia" w:hAnsiTheme="minorEastAsia"/>
                <w:color w:val="000000" w:themeColor="text1"/>
                <w:szCs w:val="21"/>
              </w:rPr>
            </w:pPr>
          </w:p>
          <w:p w:rsidR="0002608C" w:rsidRPr="00490741" w:rsidP="00107648">
            <w:pPr>
              <w:tabs>
                <w:tab w:val="left" w:pos="5400"/>
              </w:tabs>
              <w:snapToGrid w:val="0"/>
              <w:spacing w:line="360" w:lineRule="auto"/>
              <w:jc w:val="center"/>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①</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③</w:t>
            </w:r>
          </w:p>
        </w:tc>
        <w:tc>
          <w:tcPr>
            <w:tcW w:w="1080" w:type="dxa"/>
          </w:tcPr>
          <w:p w:rsidR="0002608C" w:rsidRPr="00490741" w:rsidP="00107648">
            <w:pPr>
              <w:tabs>
                <w:tab w:val="left" w:pos="5400"/>
              </w:tabs>
              <w:snapToGrid w:val="0"/>
              <w:spacing w:line="360" w:lineRule="auto"/>
              <w:ind w:firstLine="420"/>
              <w:jc w:val="center"/>
              <w:rPr>
                <w:rFonts w:asciiTheme="minorEastAsia" w:eastAsiaTheme="minorEastAsia" w:hAnsiTheme="minorEastAsia"/>
                <w:color w:val="000000" w:themeColor="text1"/>
                <w:szCs w:val="21"/>
              </w:rPr>
            </w:pPr>
          </w:p>
          <w:p w:rsidR="0002608C" w:rsidRPr="00490741" w:rsidP="00107648">
            <w:pPr>
              <w:tabs>
                <w:tab w:val="left" w:pos="5400"/>
              </w:tabs>
              <w:snapToGrid w:val="0"/>
              <w:spacing w:line="360" w:lineRule="auto"/>
              <w:jc w:val="center"/>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②</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④</w:t>
            </w:r>
          </w:p>
        </w:tc>
      </w:tr>
      <w:tr>
        <w:tblPrEx>
          <w:tblW w:w="9074" w:type="dxa"/>
          <w:jc w:val="center"/>
          <w:tblLayout w:type="fixed"/>
          <w:tblLook w:val="0000"/>
        </w:tblPrEx>
        <w:trPr>
          <w:jc w:val="center"/>
        </w:trPr>
        <w:tc>
          <w:tcPr>
            <w:tcW w:w="187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2012</w:t>
            </w:r>
            <w:r w:rsidRPr="00490741">
              <w:rPr>
                <w:rFonts w:asciiTheme="minorEastAsia" w:eastAsiaTheme="minorEastAsia" w:hAnsiTheme="minorEastAsia"/>
                <w:color w:val="000000" w:themeColor="text1"/>
              </w:rPr>
              <w:t>年</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月</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日至</w:t>
            </w:r>
            <w:r w:rsidRPr="00490741">
              <w:rPr>
                <w:rFonts w:asciiTheme="minorEastAsia" w:eastAsiaTheme="minorEastAsia" w:hAnsiTheme="minorEastAsia"/>
                <w:color w:val="000000" w:themeColor="text1"/>
              </w:rPr>
              <w:t>2012</w:t>
            </w:r>
            <w:r w:rsidRPr="00490741">
              <w:rPr>
                <w:rFonts w:asciiTheme="minorEastAsia" w:eastAsiaTheme="minorEastAsia" w:hAnsiTheme="minorEastAsia"/>
                <w:color w:val="000000" w:themeColor="text1"/>
              </w:rPr>
              <w:t>年</w:t>
            </w:r>
            <w:r w:rsidRPr="00490741">
              <w:rPr>
                <w:rFonts w:asciiTheme="minorEastAsia" w:eastAsiaTheme="minorEastAsia" w:hAnsiTheme="minorEastAsia"/>
                <w:color w:val="000000" w:themeColor="text1"/>
              </w:rPr>
              <w:t>12</w:t>
            </w:r>
            <w:r w:rsidRPr="00490741">
              <w:rPr>
                <w:rFonts w:asciiTheme="minorEastAsia" w:eastAsiaTheme="minorEastAsia" w:hAnsiTheme="minorEastAsia"/>
                <w:color w:val="000000" w:themeColor="text1"/>
              </w:rPr>
              <w:t>月</w:t>
            </w:r>
            <w:r w:rsidRPr="00490741">
              <w:rPr>
                <w:rFonts w:asciiTheme="minorEastAsia" w:eastAsiaTheme="minorEastAsia" w:hAnsiTheme="minorEastAsia"/>
                <w:color w:val="000000" w:themeColor="text1"/>
              </w:rPr>
              <w:t>31</w:t>
            </w:r>
            <w:r w:rsidRPr="00490741">
              <w:rPr>
                <w:rFonts w:asciiTheme="minorEastAsia" w:eastAsiaTheme="minorEastAsia" w:hAnsiTheme="minorEastAsia"/>
                <w:color w:val="000000" w:themeColor="text1"/>
              </w:rPr>
              <w:t>日</w:t>
            </w:r>
          </w:p>
        </w:tc>
        <w:tc>
          <w:tcPr>
            <w:tcW w:w="1147"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7.17%</w:t>
            </w:r>
          </w:p>
        </w:tc>
        <w:tc>
          <w:tcPr>
            <w:tcW w:w="1193"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1.14%</w:t>
            </w:r>
          </w:p>
        </w:tc>
        <w:tc>
          <w:tcPr>
            <w:tcW w:w="1300"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6.71%</w:t>
            </w:r>
          </w:p>
        </w:tc>
        <w:tc>
          <w:tcPr>
            <w:tcW w:w="1400"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1.02%</w:t>
            </w:r>
          </w:p>
        </w:tc>
        <w:tc>
          <w:tcPr>
            <w:tcW w:w="1080"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0.46%</w:t>
            </w:r>
          </w:p>
        </w:tc>
        <w:tc>
          <w:tcPr>
            <w:tcW w:w="1080"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0.12%</w:t>
            </w:r>
          </w:p>
        </w:tc>
      </w:tr>
      <w:tr>
        <w:tblPrEx>
          <w:tblW w:w="9074" w:type="dxa"/>
          <w:jc w:val="center"/>
          <w:tblLayout w:type="fixed"/>
          <w:tblLook w:val="0000"/>
        </w:tblPrEx>
        <w:trPr>
          <w:jc w:val="center"/>
        </w:trPr>
        <w:tc>
          <w:tcPr>
            <w:tcW w:w="187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2013</w:t>
            </w:r>
            <w:r w:rsidRPr="00490741">
              <w:rPr>
                <w:rFonts w:asciiTheme="minorEastAsia" w:eastAsiaTheme="minorEastAsia" w:hAnsiTheme="minorEastAsia"/>
                <w:color w:val="000000" w:themeColor="text1"/>
              </w:rPr>
              <w:t>年</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月</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日至</w:t>
            </w:r>
            <w:r w:rsidRPr="00490741">
              <w:rPr>
                <w:rFonts w:asciiTheme="minorEastAsia" w:eastAsiaTheme="minorEastAsia" w:hAnsiTheme="minorEastAsia"/>
                <w:color w:val="000000" w:themeColor="text1"/>
              </w:rPr>
              <w:t>2013</w:t>
            </w:r>
            <w:r w:rsidRPr="00490741">
              <w:rPr>
                <w:rFonts w:asciiTheme="minorEastAsia" w:eastAsiaTheme="minorEastAsia" w:hAnsiTheme="minorEastAsia"/>
                <w:color w:val="000000" w:themeColor="text1"/>
              </w:rPr>
              <w:t>年</w:t>
            </w:r>
            <w:r w:rsidRPr="00490741">
              <w:rPr>
                <w:rFonts w:asciiTheme="minorEastAsia" w:eastAsiaTheme="minorEastAsia" w:hAnsiTheme="minorEastAsia"/>
                <w:color w:val="000000" w:themeColor="text1"/>
              </w:rPr>
              <w:t>12</w:t>
            </w:r>
            <w:r w:rsidRPr="00490741">
              <w:rPr>
                <w:rFonts w:asciiTheme="minorEastAsia" w:eastAsiaTheme="minorEastAsia" w:hAnsiTheme="minorEastAsia"/>
                <w:color w:val="000000" w:themeColor="text1"/>
              </w:rPr>
              <w:t>月</w:t>
            </w:r>
            <w:r w:rsidRPr="00490741">
              <w:rPr>
                <w:rFonts w:asciiTheme="minorEastAsia" w:eastAsiaTheme="minorEastAsia" w:hAnsiTheme="minorEastAsia"/>
                <w:color w:val="000000" w:themeColor="text1"/>
              </w:rPr>
              <w:t>31</w:t>
            </w:r>
            <w:r w:rsidRPr="00490741">
              <w:rPr>
                <w:rFonts w:asciiTheme="minorEastAsia" w:eastAsiaTheme="minorEastAsia" w:hAnsiTheme="minorEastAsia"/>
                <w:color w:val="000000" w:themeColor="text1"/>
              </w:rPr>
              <w:t>日</w:t>
            </w:r>
          </w:p>
        </w:tc>
        <w:tc>
          <w:tcPr>
            <w:tcW w:w="1147"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-4.11%</w:t>
            </w:r>
          </w:p>
        </w:tc>
        <w:tc>
          <w:tcPr>
            <w:tcW w:w="1193"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1.21%</w:t>
            </w:r>
          </w:p>
        </w:tc>
        <w:tc>
          <w:tcPr>
            <w:tcW w:w="1300"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-5.57%</w:t>
            </w:r>
          </w:p>
        </w:tc>
        <w:tc>
          <w:tcPr>
            <w:tcW w:w="1400"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1.11%</w:t>
            </w:r>
          </w:p>
        </w:tc>
        <w:tc>
          <w:tcPr>
            <w:tcW w:w="1080"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1.46%</w:t>
            </w:r>
          </w:p>
        </w:tc>
        <w:tc>
          <w:tcPr>
            <w:tcW w:w="1080"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0.10%</w:t>
            </w:r>
          </w:p>
        </w:tc>
      </w:tr>
      <w:tr>
        <w:tblPrEx>
          <w:tblW w:w="9074" w:type="dxa"/>
          <w:jc w:val="center"/>
          <w:tblLayout w:type="fixed"/>
          <w:tblLook w:val="0000"/>
        </w:tblPrEx>
        <w:trPr>
          <w:jc w:val="center"/>
        </w:trPr>
        <w:tc>
          <w:tcPr>
            <w:tcW w:w="187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2014</w:t>
            </w:r>
            <w:r w:rsidRPr="00490741">
              <w:rPr>
                <w:rFonts w:asciiTheme="minorEastAsia" w:eastAsiaTheme="minorEastAsia" w:hAnsiTheme="minorEastAsia"/>
                <w:color w:val="000000" w:themeColor="text1"/>
              </w:rPr>
              <w:t>年</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月</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日至</w:t>
            </w:r>
            <w:r w:rsidRPr="00490741">
              <w:rPr>
                <w:rFonts w:asciiTheme="minorEastAsia" w:eastAsiaTheme="minorEastAsia" w:hAnsiTheme="minorEastAsia"/>
                <w:color w:val="000000" w:themeColor="text1"/>
              </w:rPr>
              <w:t>2014</w:t>
            </w:r>
            <w:r w:rsidRPr="00490741">
              <w:rPr>
                <w:rFonts w:asciiTheme="minorEastAsia" w:eastAsiaTheme="minorEastAsia" w:hAnsiTheme="minorEastAsia"/>
                <w:color w:val="000000" w:themeColor="text1"/>
              </w:rPr>
              <w:t>年</w:t>
            </w:r>
            <w:r w:rsidRPr="00490741">
              <w:rPr>
                <w:rFonts w:asciiTheme="minorEastAsia" w:eastAsiaTheme="minorEastAsia" w:hAnsiTheme="minorEastAsia"/>
                <w:color w:val="000000" w:themeColor="text1"/>
              </w:rPr>
              <w:t>12</w:t>
            </w:r>
            <w:r w:rsidRPr="00490741">
              <w:rPr>
                <w:rFonts w:asciiTheme="minorEastAsia" w:eastAsiaTheme="minorEastAsia" w:hAnsiTheme="minorEastAsia"/>
                <w:color w:val="000000" w:themeColor="text1"/>
              </w:rPr>
              <w:t>月</w:t>
            </w:r>
            <w:r w:rsidRPr="00490741">
              <w:rPr>
                <w:rFonts w:asciiTheme="minorEastAsia" w:eastAsiaTheme="minorEastAsia" w:hAnsiTheme="minorEastAsia"/>
                <w:color w:val="000000" w:themeColor="text1"/>
              </w:rPr>
              <w:t>31</w:t>
            </w:r>
            <w:r w:rsidRPr="00490741">
              <w:rPr>
                <w:rFonts w:asciiTheme="minorEastAsia" w:eastAsiaTheme="minorEastAsia" w:hAnsiTheme="minorEastAsia"/>
                <w:color w:val="000000" w:themeColor="text1"/>
              </w:rPr>
              <w:t>日</w:t>
            </w:r>
          </w:p>
        </w:tc>
        <w:tc>
          <w:tcPr>
            <w:tcW w:w="1147"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9.91%</w:t>
            </w:r>
          </w:p>
        </w:tc>
        <w:tc>
          <w:tcPr>
            <w:tcW w:w="1193"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1.20%</w:t>
            </w:r>
          </w:p>
        </w:tc>
        <w:tc>
          <w:tcPr>
            <w:tcW w:w="1300"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42.21%</w:t>
            </w:r>
          </w:p>
        </w:tc>
        <w:tc>
          <w:tcPr>
            <w:tcW w:w="1400"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0.97%</w:t>
            </w:r>
          </w:p>
        </w:tc>
        <w:tc>
          <w:tcPr>
            <w:tcW w:w="1080"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-32.30%</w:t>
            </w:r>
          </w:p>
        </w:tc>
        <w:tc>
          <w:tcPr>
            <w:tcW w:w="1080"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0.23%</w:t>
            </w:r>
          </w:p>
        </w:tc>
      </w:tr>
      <w:tr>
        <w:tblPrEx>
          <w:tblW w:w="9074" w:type="dxa"/>
          <w:jc w:val="center"/>
          <w:tblLayout w:type="fixed"/>
          <w:tblLook w:val="0000"/>
        </w:tblPrEx>
        <w:trPr>
          <w:jc w:val="center"/>
        </w:trPr>
        <w:tc>
          <w:tcPr>
            <w:tcW w:w="187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2015</w:t>
            </w:r>
            <w:r w:rsidRPr="00490741">
              <w:rPr>
                <w:rFonts w:asciiTheme="minorEastAsia" w:eastAsiaTheme="minorEastAsia" w:hAnsiTheme="minorEastAsia"/>
                <w:color w:val="000000" w:themeColor="text1"/>
              </w:rPr>
              <w:t>年</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月</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日至</w:t>
            </w:r>
            <w:r w:rsidRPr="00490741">
              <w:rPr>
                <w:rFonts w:asciiTheme="minorEastAsia" w:eastAsiaTheme="minorEastAsia" w:hAnsiTheme="minorEastAsia"/>
                <w:color w:val="000000" w:themeColor="text1"/>
              </w:rPr>
              <w:t>2015</w:t>
            </w:r>
            <w:r w:rsidRPr="00490741">
              <w:rPr>
                <w:rFonts w:asciiTheme="minorEastAsia" w:eastAsiaTheme="minorEastAsia" w:hAnsiTheme="minorEastAsia"/>
                <w:color w:val="000000" w:themeColor="text1"/>
              </w:rPr>
              <w:t>年</w:t>
            </w:r>
            <w:r w:rsidRPr="00490741">
              <w:rPr>
                <w:rFonts w:asciiTheme="minorEastAsia" w:eastAsiaTheme="minorEastAsia" w:hAnsiTheme="minorEastAsia"/>
                <w:color w:val="000000" w:themeColor="text1"/>
              </w:rPr>
              <w:t>12</w:t>
            </w:r>
            <w:r w:rsidRPr="00490741">
              <w:rPr>
                <w:rFonts w:asciiTheme="minorEastAsia" w:eastAsiaTheme="minorEastAsia" w:hAnsiTheme="minorEastAsia"/>
                <w:color w:val="000000" w:themeColor="text1"/>
              </w:rPr>
              <w:t>月</w:t>
            </w:r>
            <w:r w:rsidRPr="00490741">
              <w:rPr>
                <w:rFonts w:asciiTheme="minorEastAsia" w:eastAsiaTheme="minorEastAsia" w:hAnsiTheme="minorEastAsia"/>
                <w:color w:val="000000" w:themeColor="text1"/>
              </w:rPr>
              <w:t>31</w:t>
            </w:r>
            <w:r w:rsidRPr="00490741">
              <w:rPr>
                <w:rFonts w:asciiTheme="minorEastAsia" w:eastAsiaTheme="minorEastAsia" w:hAnsiTheme="minorEastAsia"/>
                <w:color w:val="000000" w:themeColor="text1"/>
              </w:rPr>
              <w:t>日</w:t>
            </w:r>
          </w:p>
        </w:tc>
        <w:tc>
          <w:tcPr>
            <w:tcW w:w="1147"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73.24%</w:t>
            </w:r>
          </w:p>
        </w:tc>
        <w:tc>
          <w:tcPr>
            <w:tcW w:w="1193"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2.87%</w:t>
            </w:r>
          </w:p>
        </w:tc>
        <w:tc>
          <w:tcPr>
            <w:tcW w:w="1300"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5.68%</w:t>
            </w:r>
          </w:p>
        </w:tc>
        <w:tc>
          <w:tcPr>
            <w:tcW w:w="1400"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1.99%</w:t>
            </w:r>
          </w:p>
        </w:tc>
        <w:tc>
          <w:tcPr>
            <w:tcW w:w="1080"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67.56%</w:t>
            </w:r>
          </w:p>
        </w:tc>
        <w:tc>
          <w:tcPr>
            <w:tcW w:w="1080"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0.88%</w:t>
            </w:r>
          </w:p>
        </w:tc>
      </w:tr>
      <w:tr>
        <w:tblPrEx>
          <w:tblW w:w="9074" w:type="dxa"/>
          <w:jc w:val="center"/>
          <w:tblLayout w:type="fixed"/>
          <w:tblLook w:val="0000"/>
        </w:tblPrEx>
        <w:trPr>
          <w:jc w:val="center"/>
        </w:trPr>
        <w:tc>
          <w:tcPr>
            <w:tcW w:w="187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2016</w:t>
            </w:r>
            <w:r w:rsidRPr="00490741">
              <w:rPr>
                <w:rFonts w:asciiTheme="minorEastAsia" w:eastAsiaTheme="minorEastAsia" w:hAnsiTheme="minorEastAsia"/>
                <w:color w:val="000000" w:themeColor="text1"/>
              </w:rPr>
              <w:t>年</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月</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日至</w:t>
            </w:r>
            <w:r w:rsidRPr="00490741">
              <w:rPr>
                <w:rFonts w:asciiTheme="minorEastAsia" w:eastAsiaTheme="minorEastAsia" w:hAnsiTheme="minorEastAsia"/>
                <w:color w:val="000000" w:themeColor="text1"/>
              </w:rPr>
              <w:t>2016</w:t>
            </w:r>
            <w:r w:rsidRPr="00490741">
              <w:rPr>
                <w:rFonts w:asciiTheme="minorEastAsia" w:eastAsiaTheme="minorEastAsia" w:hAnsiTheme="minorEastAsia"/>
                <w:color w:val="000000" w:themeColor="text1"/>
              </w:rPr>
              <w:t>年</w:t>
            </w:r>
            <w:r w:rsidRPr="00490741">
              <w:rPr>
                <w:rFonts w:asciiTheme="minorEastAsia" w:eastAsiaTheme="minorEastAsia" w:hAnsiTheme="minorEastAsia"/>
                <w:color w:val="000000" w:themeColor="text1"/>
              </w:rPr>
              <w:t>12</w:t>
            </w:r>
            <w:r w:rsidRPr="00490741">
              <w:rPr>
                <w:rFonts w:asciiTheme="minorEastAsia" w:eastAsiaTheme="minorEastAsia" w:hAnsiTheme="minorEastAsia"/>
                <w:color w:val="000000" w:themeColor="text1"/>
              </w:rPr>
              <w:t>月</w:t>
            </w:r>
            <w:r w:rsidRPr="00490741">
              <w:rPr>
                <w:rFonts w:asciiTheme="minorEastAsia" w:eastAsiaTheme="minorEastAsia" w:hAnsiTheme="minorEastAsia"/>
                <w:color w:val="000000" w:themeColor="text1"/>
              </w:rPr>
              <w:t>31</w:t>
            </w:r>
            <w:r w:rsidRPr="00490741">
              <w:rPr>
                <w:rFonts w:asciiTheme="minorEastAsia" w:eastAsiaTheme="minorEastAsia" w:hAnsiTheme="minorEastAsia"/>
                <w:color w:val="000000" w:themeColor="text1"/>
              </w:rPr>
              <w:t>日</w:t>
            </w:r>
          </w:p>
        </w:tc>
        <w:tc>
          <w:tcPr>
            <w:tcW w:w="1147"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-21.63%</w:t>
            </w:r>
          </w:p>
        </w:tc>
        <w:tc>
          <w:tcPr>
            <w:tcW w:w="1193"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1.77%</w:t>
            </w:r>
          </w:p>
        </w:tc>
        <w:tc>
          <w:tcPr>
            <w:tcW w:w="1300"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-8.35%</w:t>
            </w:r>
          </w:p>
        </w:tc>
        <w:tc>
          <w:tcPr>
            <w:tcW w:w="1400"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1.12%</w:t>
            </w:r>
          </w:p>
        </w:tc>
        <w:tc>
          <w:tcPr>
            <w:tcW w:w="1080"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-13.28%</w:t>
            </w:r>
          </w:p>
        </w:tc>
        <w:tc>
          <w:tcPr>
            <w:tcW w:w="1080"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0.65%</w:t>
            </w:r>
          </w:p>
        </w:tc>
      </w:tr>
      <w:tr>
        <w:tblPrEx>
          <w:tblW w:w="9074" w:type="dxa"/>
          <w:jc w:val="center"/>
          <w:tblLayout w:type="fixed"/>
          <w:tblLook w:val="0000"/>
        </w:tblPrEx>
        <w:trPr>
          <w:jc w:val="center"/>
        </w:trPr>
        <w:tc>
          <w:tcPr>
            <w:tcW w:w="187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2017</w:t>
            </w:r>
            <w:r w:rsidRPr="00490741">
              <w:rPr>
                <w:rFonts w:asciiTheme="minorEastAsia" w:eastAsiaTheme="minorEastAsia" w:hAnsiTheme="minorEastAsia"/>
                <w:color w:val="000000" w:themeColor="text1"/>
              </w:rPr>
              <w:t>年</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月</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日至</w:t>
            </w:r>
            <w:r w:rsidRPr="00490741">
              <w:rPr>
                <w:rFonts w:asciiTheme="minorEastAsia" w:eastAsiaTheme="minorEastAsia" w:hAnsiTheme="minorEastAsia"/>
                <w:color w:val="000000" w:themeColor="text1"/>
              </w:rPr>
              <w:t>2017</w:t>
            </w:r>
            <w:r w:rsidRPr="00490741">
              <w:rPr>
                <w:rFonts w:asciiTheme="minorEastAsia" w:eastAsiaTheme="minorEastAsia" w:hAnsiTheme="minorEastAsia"/>
                <w:color w:val="000000" w:themeColor="text1"/>
              </w:rPr>
              <w:t>年</w:t>
            </w:r>
            <w:r w:rsidRPr="00490741">
              <w:rPr>
                <w:rFonts w:asciiTheme="minorEastAsia" w:eastAsiaTheme="minorEastAsia" w:hAnsiTheme="minorEastAsia"/>
                <w:color w:val="000000" w:themeColor="text1"/>
              </w:rPr>
              <w:t>12</w:t>
            </w:r>
            <w:r w:rsidRPr="00490741">
              <w:rPr>
                <w:rFonts w:asciiTheme="minorEastAsia" w:eastAsiaTheme="minorEastAsia" w:hAnsiTheme="minorEastAsia"/>
                <w:color w:val="000000" w:themeColor="text1"/>
              </w:rPr>
              <w:t>月</w:t>
            </w:r>
            <w:r w:rsidRPr="00490741">
              <w:rPr>
                <w:rFonts w:asciiTheme="minorEastAsia" w:eastAsiaTheme="minorEastAsia" w:hAnsiTheme="minorEastAsia"/>
                <w:color w:val="000000" w:themeColor="text1"/>
              </w:rPr>
              <w:t>31</w:t>
            </w:r>
            <w:r w:rsidRPr="00490741">
              <w:rPr>
                <w:rFonts w:asciiTheme="minorEastAsia" w:eastAsiaTheme="minorEastAsia" w:hAnsiTheme="minorEastAsia"/>
                <w:color w:val="000000" w:themeColor="text1"/>
              </w:rPr>
              <w:t>日</w:t>
            </w:r>
          </w:p>
        </w:tc>
        <w:tc>
          <w:tcPr>
            <w:tcW w:w="1147"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19.10%</w:t>
            </w:r>
          </w:p>
        </w:tc>
        <w:tc>
          <w:tcPr>
            <w:tcW w:w="1193"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0.96%</w:t>
            </w:r>
          </w:p>
        </w:tc>
        <w:tc>
          <w:tcPr>
            <w:tcW w:w="1300"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17.55%</w:t>
            </w:r>
          </w:p>
        </w:tc>
        <w:tc>
          <w:tcPr>
            <w:tcW w:w="1400"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0.51%</w:t>
            </w:r>
          </w:p>
        </w:tc>
        <w:tc>
          <w:tcPr>
            <w:tcW w:w="1080"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1.55%</w:t>
            </w:r>
          </w:p>
        </w:tc>
        <w:tc>
          <w:tcPr>
            <w:tcW w:w="1080"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0.45%</w:t>
            </w:r>
          </w:p>
        </w:tc>
      </w:tr>
      <w:tr>
        <w:tblPrEx>
          <w:tblW w:w="9074" w:type="dxa"/>
          <w:jc w:val="center"/>
          <w:tblLayout w:type="fixed"/>
          <w:tblLook w:val="0000"/>
        </w:tblPrEx>
        <w:trPr>
          <w:jc w:val="center"/>
        </w:trPr>
        <w:tc>
          <w:tcPr>
            <w:tcW w:w="187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2018</w:t>
            </w:r>
            <w:r w:rsidRPr="00490741">
              <w:rPr>
                <w:rFonts w:asciiTheme="minorEastAsia" w:eastAsiaTheme="minorEastAsia" w:hAnsiTheme="minorEastAsia"/>
                <w:color w:val="000000" w:themeColor="text1"/>
              </w:rPr>
              <w:t>年</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月</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日至</w:t>
            </w:r>
            <w:r w:rsidRPr="00490741">
              <w:rPr>
                <w:rFonts w:asciiTheme="minorEastAsia" w:eastAsiaTheme="minorEastAsia" w:hAnsiTheme="minorEastAsia"/>
                <w:color w:val="000000" w:themeColor="text1"/>
              </w:rPr>
              <w:t>2018</w:t>
            </w:r>
            <w:r w:rsidRPr="00490741">
              <w:rPr>
                <w:rFonts w:asciiTheme="minorEastAsia" w:eastAsiaTheme="minorEastAsia" w:hAnsiTheme="minorEastAsia"/>
                <w:color w:val="000000" w:themeColor="text1"/>
              </w:rPr>
              <w:t>年</w:t>
            </w:r>
            <w:r w:rsidRPr="00490741">
              <w:rPr>
                <w:rFonts w:asciiTheme="minorEastAsia" w:eastAsiaTheme="minorEastAsia" w:hAnsiTheme="minorEastAsia"/>
                <w:color w:val="000000" w:themeColor="text1"/>
              </w:rPr>
              <w:t>12</w:t>
            </w:r>
            <w:r w:rsidRPr="00490741">
              <w:rPr>
                <w:rFonts w:asciiTheme="minorEastAsia" w:eastAsiaTheme="minorEastAsia" w:hAnsiTheme="minorEastAsia"/>
                <w:color w:val="000000" w:themeColor="text1"/>
              </w:rPr>
              <w:t>月</w:t>
            </w:r>
            <w:r w:rsidRPr="00490741">
              <w:rPr>
                <w:rFonts w:asciiTheme="minorEastAsia" w:eastAsiaTheme="minorEastAsia" w:hAnsiTheme="minorEastAsia"/>
                <w:color w:val="000000" w:themeColor="text1"/>
              </w:rPr>
              <w:t>31</w:t>
            </w:r>
            <w:r w:rsidRPr="00490741">
              <w:rPr>
                <w:rFonts w:asciiTheme="minorEastAsia" w:eastAsiaTheme="minorEastAsia" w:hAnsiTheme="minorEastAsia"/>
                <w:color w:val="000000" w:themeColor="text1"/>
              </w:rPr>
              <w:t>日</w:t>
            </w:r>
          </w:p>
        </w:tc>
        <w:tc>
          <w:tcPr>
            <w:tcW w:w="1147"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-23.76%</w:t>
            </w:r>
          </w:p>
        </w:tc>
        <w:tc>
          <w:tcPr>
            <w:tcW w:w="1193"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1.51%</w:t>
            </w:r>
          </w:p>
        </w:tc>
        <w:tc>
          <w:tcPr>
            <w:tcW w:w="1300"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-19.12%</w:t>
            </w:r>
          </w:p>
        </w:tc>
        <w:tc>
          <w:tcPr>
            <w:tcW w:w="1400"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1.07%</w:t>
            </w:r>
          </w:p>
        </w:tc>
        <w:tc>
          <w:tcPr>
            <w:tcW w:w="1080"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-4.64%</w:t>
            </w:r>
          </w:p>
        </w:tc>
        <w:tc>
          <w:tcPr>
            <w:tcW w:w="1080"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0.44%</w:t>
            </w:r>
          </w:p>
        </w:tc>
      </w:tr>
      <w:tr>
        <w:tblPrEx>
          <w:tblW w:w="9074" w:type="dxa"/>
          <w:jc w:val="center"/>
          <w:tblLayout w:type="fixed"/>
          <w:tblLook w:val="0000"/>
        </w:tblPrEx>
        <w:trPr>
          <w:jc w:val="center"/>
        </w:trPr>
        <w:tc>
          <w:tcPr>
            <w:tcW w:w="187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2019</w:t>
            </w:r>
            <w:r w:rsidRPr="00490741">
              <w:rPr>
                <w:rFonts w:asciiTheme="minorEastAsia" w:eastAsiaTheme="minorEastAsia" w:hAnsiTheme="minorEastAsia"/>
                <w:color w:val="000000" w:themeColor="text1"/>
              </w:rPr>
              <w:t>年</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月</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日至</w:t>
            </w:r>
            <w:r w:rsidRPr="00490741">
              <w:rPr>
                <w:rFonts w:asciiTheme="minorEastAsia" w:eastAsiaTheme="minorEastAsia" w:hAnsiTheme="minorEastAsia"/>
                <w:color w:val="000000" w:themeColor="text1"/>
              </w:rPr>
              <w:t>2019</w:t>
            </w:r>
            <w:r w:rsidRPr="00490741">
              <w:rPr>
                <w:rFonts w:asciiTheme="minorEastAsia" w:eastAsiaTheme="minorEastAsia" w:hAnsiTheme="minorEastAsia"/>
                <w:color w:val="000000" w:themeColor="text1"/>
              </w:rPr>
              <w:t>年</w:t>
            </w:r>
            <w:r w:rsidRPr="00490741">
              <w:rPr>
                <w:rFonts w:asciiTheme="minorEastAsia" w:eastAsiaTheme="minorEastAsia" w:hAnsiTheme="minorEastAsia"/>
                <w:color w:val="000000" w:themeColor="text1"/>
              </w:rPr>
              <w:t>12</w:t>
            </w:r>
            <w:r w:rsidRPr="00490741">
              <w:rPr>
                <w:rFonts w:asciiTheme="minorEastAsia" w:eastAsiaTheme="minorEastAsia" w:hAnsiTheme="minorEastAsia"/>
                <w:color w:val="000000" w:themeColor="text1"/>
              </w:rPr>
              <w:t>月</w:t>
            </w:r>
            <w:r w:rsidRPr="00490741">
              <w:rPr>
                <w:rFonts w:asciiTheme="minorEastAsia" w:eastAsiaTheme="minorEastAsia" w:hAnsiTheme="minorEastAsia"/>
                <w:color w:val="000000" w:themeColor="text1"/>
              </w:rPr>
              <w:t>31</w:t>
            </w:r>
            <w:r w:rsidRPr="00490741">
              <w:rPr>
                <w:rFonts w:asciiTheme="minorEastAsia" w:eastAsiaTheme="minorEastAsia" w:hAnsiTheme="minorEastAsia"/>
                <w:color w:val="000000" w:themeColor="text1"/>
              </w:rPr>
              <w:t>日</w:t>
            </w:r>
          </w:p>
        </w:tc>
        <w:tc>
          <w:tcPr>
            <w:tcW w:w="1147"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43.68%</w:t>
            </w:r>
          </w:p>
        </w:tc>
        <w:tc>
          <w:tcPr>
            <w:tcW w:w="1193"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1.17%</w:t>
            </w:r>
          </w:p>
        </w:tc>
        <w:tc>
          <w:tcPr>
            <w:tcW w:w="1300"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29.73%</w:t>
            </w:r>
          </w:p>
        </w:tc>
        <w:tc>
          <w:tcPr>
            <w:tcW w:w="1400"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1.00%</w:t>
            </w:r>
          </w:p>
        </w:tc>
        <w:tc>
          <w:tcPr>
            <w:tcW w:w="1080"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13.95%</w:t>
            </w:r>
          </w:p>
        </w:tc>
        <w:tc>
          <w:tcPr>
            <w:tcW w:w="1080"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0.17%</w:t>
            </w:r>
          </w:p>
        </w:tc>
      </w:tr>
      <w:tr>
        <w:tblPrEx>
          <w:tblW w:w="9074" w:type="dxa"/>
          <w:jc w:val="center"/>
          <w:tblLayout w:type="fixed"/>
          <w:tblLook w:val="0000"/>
        </w:tblPrEx>
        <w:trPr>
          <w:jc w:val="center"/>
        </w:trPr>
        <w:tc>
          <w:tcPr>
            <w:tcW w:w="187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2020</w:t>
            </w:r>
            <w:r w:rsidRPr="00490741">
              <w:rPr>
                <w:rFonts w:asciiTheme="minorEastAsia" w:eastAsiaTheme="minorEastAsia" w:hAnsiTheme="minorEastAsia"/>
                <w:color w:val="000000" w:themeColor="text1"/>
              </w:rPr>
              <w:t>年</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月</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日至</w:t>
            </w:r>
            <w:r w:rsidRPr="00490741">
              <w:rPr>
                <w:rFonts w:asciiTheme="minorEastAsia" w:eastAsiaTheme="minorEastAsia" w:hAnsiTheme="minorEastAsia"/>
                <w:color w:val="000000" w:themeColor="text1"/>
              </w:rPr>
              <w:t>2020</w:t>
            </w:r>
            <w:r w:rsidRPr="00490741">
              <w:rPr>
                <w:rFonts w:asciiTheme="minorEastAsia" w:eastAsiaTheme="minorEastAsia" w:hAnsiTheme="minorEastAsia"/>
                <w:color w:val="000000" w:themeColor="text1"/>
              </w:rPr>
              <w:t>年</w:t>
            </w:r>
            <w:r w:rsidRPr="00490741">
              <w:rPr>
                <w:rFonts w:asciiTheme="minorEastAsia" w:eastAsiaTheme="minorEastAsia" w:hAnsiTheme="minorEastAsia"/>
                <w:color w:val="000000" w:themeColor="text1"/>
              </w:rPr>
              <w:t>12</w:t>
            </w:r>
            <w:r w:rsidRPr="00490741">
              <w:rPr>
                <w:rFonts w:asciiTheme="minorEastAsia" w:eastAsiaTheme="minorEastAsia" w:hAnsiTheme="minorEastAsia"/>
                <w:color w:val="000000" w:themeColor="text1"/>
              </w:rPr>
              <w:t>月</w:t>
            </w:r>
            <w:r w:rsidRPr="00490741">
              <w:rPr>
                <w:rFonts w:asciiTheme="minorEastAsia" w:eastAsiaTheme="minorEastAsia" w:hAnsiTheme="minorEastAsia"/>
                <w:color w:val="000000" w:themeColor="text1"/>
              </w:rPr>
              <w:t>31</w:t>
            </w:r>
            <w:r w:rsidRPr="00490741">
              <w:rPr>
                <w:rFonts w:asciiTheme="minorEastAsia" w:eastAsiaTheme="minorEastAsia" w:hAnsiTheme="minorEastAsia"/>
                <w:color w:val="000000" w:themeColor="text1"/>
              </w:rPr>
              <w:t>日</w:t>
            </w:r>
          </w:p>
        </w:tc>
        <w:tc>
          <w:tcPr>
            <w:tcW w:w="1147"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60.26%</w:t>
            </w:r>
          </w:p>
        </w:tc>
        <w:tc>
          <w:tcPr>
            <w:tcW w:w="1193"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1.48%</w:t>
            </w:r>
          </w:p>
        </w:tc>
        <w:tc>
          <w:tcPr>
            <w:tcW w:w="1300"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22.50%</w:t>
            </w:r>
          </w:p>
        </w:tc>
        <w:tc>
          <w:tcPr>
            <w:tcW w:w="1400"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1.14%</w:t>
            </w:r>
          </w:p>
        </w:tc>
        <w:tc>
          <w:tcPr>
            <w:tcW w:w="1080"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37.76%</w:t>
            </w:r>
          </w:p>
        </w:tc>
        <w:tc>
          <w:tcPr>
            <w:tcW w:w="1080"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0.34%</w:t>
            </w:r>
          </w:p>
        </w:tc>
      </w:tr>
      <w:tr>
        <w:tblPrEx>
          <w:tblW w:w="9074" w:type="dxa"/>
          <w:jc w:val="center"/>
          <w:tblLayout w:type="fixed"/>
          <w:tblLook w:val="0000"/>
        </w:tblPrEx>
        <w:trPr>
          <w:jc w:val="center"/>
        </w:trPr>
        <w:tc>
          <w:tcPr>
            <w:tcW w:w="187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2021</w:t>
            </w:r>
            <w:r w:rsidRPr="00490741">
              <w:rPr>
                <w:rFonts w:asciiTheme="minorEastAsia" w:eastAsiaTheme="minorEastAsia" w:hAnsiTheme="minorEastAsia"/>
                <w:color w:val="000000" w:themeColor="text1"/>
              </w:rPr>
              <w:t>年</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月</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日至</w:t>
            </w:r>
            <w:r w:rsidRPr="00490741">
              <w:rPr>
                <w:rFonts w:asciiTheme="minorEastAsia" w:eastAsiaTheme="minorEastAsia" w:hAnsiTheme="minorEastAsia"/>
                <w:color w:val="000000" w:themeColor="text1"/>
              </w:rPr>
              <w:t>2021</w:t>
            </w:r>
            <w:r w:rsidRPr="00490741">
              <w:rPr>
                <w:rFonts w:asciiTheme="minorEastAsia" w:eastAsiaTheme="minorEastAsia" w:hAnsiTheme="minorEastAsia"/>
                <w:color w:val="000000" w:themeColor="text1"/>
              </w:rPr>
              <w:t>年</w:t>
            </w:r>
            <w:r w:rsidRPr="00490741">
              <w:rPr>
                <w:rFonts w:asciiTheme="minorEastAsia" w:eastAsiaTheme="minorEastAsia" w:hAnsiTheme="minorEastAsia"/>
                <w:color w:val="000000" w:themeColor="text1"/>
              </w:rPr>
              <w:t>12</w:t>
            </w:r>
            <w:r w:rsidRPr="00490741">
              <w:rPr>
                <w:rFonts w:asciiTheme="minorEastAsia" w:eastAsiaTheme="minorEastAsia" w:hAnsiTheme="minorEastAsia"/>
                <w:color w:val="000000" w:themeColor="text1"/>
              </w:rPr>
              <w:t>月</w:t>
            </w:r>
            <w:r w:rsidRPr="00490741">
              <w:rPr>
                <w:rFonts w:asciiTheme="minorEastAsia" w:eastAsiaTheme="minorEastAsia" w:hAnsiTheme="minorEastAsia"/>
                <w:color w:val="000000" w:themeColor="text1"/>
              </w:rPr>
              <w:t>31</w:t>
            </w:r>
            <w:r w:rsidRPr="00490741">
              <w:rPr>
                <w:rFonts w:asciiTheme="minorEastAsia" w:eastAsiaTheme="minorEastAsia" w:hAnsiTheme="minorEastAsia"/>
                <w:color w:val="000000" w:themeColor="text1"/>
              </w:rPr>
              <w:t>日</w:t>
            </w:r>
          </w:p>
        </w:tc>
        <w:tc>
          <w:tcPr>
            <w:tcW w:w="1147"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20.08%</w:t>
            </w:r>
          </w:p>
        </w:tc>
        <w:tc>
          <w:tcPr>
            <w:tcW w:w="1193"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1.27%</w:t>
            </w:r>
          </w:p>
        </w:tc>
        <w:tc>
          <w:tcPr>
            <w:tcW w:w="1300"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-3.31%</w:t>
            </w:r>
          </w:p>
        </w:tc>
        <w:tc>
          <w:tcPr>
            <w:tcW w:w="1400" w:type="dxa"/>
          </w:tcPr>
          <w:p w:rsidR="00267126" w:rsidRPr="00490741">
            <w:pP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0.94%</w:t>
            </w:r>
          </w:p>
        </w:tc>
        <w:tc>
          <w:tcPr>
            <w:tcW w:w="1080"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23.39%</w:t>
            </w:r>
          </w:p>
        </w:tc>
        <w:tc>
          <w:tcPr>
            <w:tcW w:w="1080"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0.33%</w:t>
            </w:r>
          </w:p>
        </w:tc>
      </w:tr>
    </w:tbl>
    <w:p w:rsidR="0062269A" w:rsidRPr="00490741" w:rsidP="0062269A">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本基金历任基金经理情况：吴欣荣，管理时间为</w:t>
      </w:r>
      <w:r w:rsidRPr="00490741">
        <w:rPr>
          <w:rFonts w:asciiTheme="minorEastAsia" w:eastAsiaTheme="minorEastAsia" w:hAnsiTheme="minorEastAsia" w:hint="eastAsia"/>
          <w:color w:val="000000" w:themeColor="text1"/>
        </w:rPr>
        <w:t>2006</w:t>
      </w:r>
      <w:r w:rsidRPr="00490741">
        <w:rPr>
          <w:rFonts w:asciiTheme="minorEastAsia" w:eastAsiaTheme="minorEastAsia" w:hAnsiTheme="minorEastAsia" w:hint="eastAsia"/>
          <w:color w:val="000000" w:themeColor="text1"/>
        </w:rPr>
        <w:t>年</w:t>
      </w:r>
      <w:r w:rsidRPr="00490741">
        <w:rPr>
          <w:rFonts w:asciiTheme="minorEastAsia" w:eastAsiaTheme="minorEastAsia" w:hAnsiTheme="minorEastAsia" w:hint="eastAsia"/>
          <w:color w:val="000000" w:themeColor="text1"/>
        </w:rPr>
        <w:t>6</w:t>
      </w:r>
      <w:r w:rsidRPr="00490741">
        <w:rPr>
          <w:rFonts w:asciiTheme="minorEastAsia" w:eastAsiaTheme="minorEastAsia" w:hAnsiTheme="minorEastAsia" w:hint="eastAsia"/>
          <w:color w:val="000000" w:themeColor="text1"/>
        </w:rPr>
        <w:t>月</w:t>
      </w:r>
      <w:r w:rsidRPr="00490741">
        <w:rPr>
          <w:rFonts w:asciiTheme="minorEastAsia" w:eastAsiaTheme="minorEastAsia" w:hAnsiTheme="minorEastAsia" w:hint="eastAsia"/>
          <w:color w:val="000000" w:themeColor="text1"/>
        </w:rPr>
        <w:t>13</w:t>
      </w:r>
      <w:r w:rsidRPr="00490741">
        <w:rPr>
          <w:rFonts w:asciiTheme="minorEastAsia" w:eastAsiaTheme="minorEastAsia" w:hAnsiTheme="minorEastAsia" w:hint="eastAsia"/>
          <w:color w:val="000000" w:themeColor="text1"/>
        </w:rPr>
        <w:t>日至</w:t>
      </w:r>
      <w:r w:rsidRPr="00490741">
        <w:rPr>
          <w:rFonts w:asciiTheme="minorEastAsia" w:eastAsiaTheme="minorEastAsia" w:hAnsiTheme="minorEastAsia" w:hint="eastAsia"/>
          <w:color w:val="000000" w:themeColor="text1"/>
        </w:rPr>
        <w:t>2014</w:t>
      </w:r>
      <w:r w:rsidRPr="00490741">
        <w:rPr>
          <w:rFonts w:asciiTheme="minorEastAsia" w:eastAsiaTheme="minorEastAsia" w:hAnsiTheme="minorEastAsia" w:hint="eastAsia"/>
          <w:color w:val="000000" w:themeColor="text1"/>
        </w:rPr>
        <w:t>年</w:t>
      </w:r>
      <w:r w:rsidRPr="00490741">
        <w:rPr>
          <w:rFonts w:asciiTheme="minorEastAsia" w:eastAsiaTheme="minorEastAsia" w:hAnsiTheme="minorEastAsia" w:hint="eastAsia"/>
          <w:color w:val="000000" w:themeColor="text1"/>
        </w:rPr>
        <w:t>4</w:t>
      </w:r>
      <w:r w:rsidRPr="00490741">
        <w:rPr>
          <w:rFonts w:asciiTheme="minorEastAsia" w:eastAsiaTheme="minorEastAsia" w:hAnsiTheme="minorEastAsia" w:hint="eastAsia"/>
          <w:color w:val="000000" w:themeColor="text1"/>
        </w:rPr>
        <w:t>月</w:t>
      </w:r>
      <w:r w:rsidRPr="00490741">
        <w:rPr>
          <w:rFonts w:asciiTheme="minorEastAsia" w:eastAsiaTheme="minorEastAsia" w:hAnsiTheme="minorEastAsia" w:hint="eastAsia"/>
          <w:color w:val="000000" w:themeColor="text1"/>
        </w:rPr>
        <w:t>7</w:t>
      </w:r>
      <w:r w:rsidRPr="00490741">
        <w:rPr>
          <w:rFonts w:asciiTheme="minorEastAsia" w:eastAsiaTheme="minorEastAsia" w:hAnsiTheme="minorEastAsia" w:hint="eastAsia"/>
          <w:color w:val="000000" w:themeColor="text1"/>
        </w:rPr>
        <w:t>日；陈皓，管理时间为</w:t>
      </w:r>
      <w:r w:rsidRPr="00490741">
        <w:rPr>
          <w:rFonts w:asciiTheme="minorEastAsia" w:eastAsiaTheme="minorEastAsia" w:hAnsiTheme="minorEastAsia" w:hint="eastAsia"/>
          <w:color w:val="000000" w:themeColor="text1"/>
        </w:rPr>
        <w:t>2014</w:t>
      </w:r>
      <w:r w:rsidRPr="00490741">
        <w:rPr>
          <w:rFonts w:asciiTheme="minorEastAsia" w:eastAsiaTheme="minorEastAsia" w:hAnsiTheme="minorEastAsia" w:hint="eastAsia"/>
          <w:color w:val="000000" w:themeColor="text1"/>
        </w:rPr>
        <w:t>年</w:t>
      </w:r>
      <w:r w:rsidRPr="00490741">
        <w:rPr>
          <w:rFonts w:asciiTheme="minorEastAsia" w:eastAsiaTheme="minorEastAsia" w:hAnsiTheme="minorEastAsia" w:hint="eastAsia"/>
          <w:color w:val="000000" w:themeColor="text1"/>
        </w:rPr>
        <w:t>11</w:t>
      </w:r>
      <w:r w:rsidRPr="00490741">
        <w:rPr>
          <w:rFonts w:asciiTheme="minorEastAsia" w:eastAsiaTheme="minorEastAsia" w:hAnsiTheme="minorEastAsia" w:hint="eastAsia"/>
          <w:color w:val="000000" w:themeColor="text1"/>
        </w:rPr>
        <w:t>月</w:t>
      </w:r>
      <w:r w:rsidRPr="00490741">
        <w:rPr>
          <w:rFonts w:asciiTheme="minorEastAsia" w:eastAsiaTheme="minorEastAsia" w:hAnsiTheme="minorEastAsia" w:hint="eastAsia"/>
          <w:color w:val="000000" w:themeColor="text1"/>
        </w:rPr>
        <w:t>22</w:t>
      </w:r>
      <w:r w:rsidRPr="00490741">
        <w:rPr>
          <w:rFonts w:asciiTheme="minorEastAsia" w:eastAsiaTheme="minorEastAsia" w:hAnsiTheme="minorEastAsia" w:hint="eastAsia"/>
          <w:color w:val="000000" w:themeColor="text1"/>
        </w:rPr>
        <w:t>日至</w:t>
      </w:r>
      <w:r w:rsidRPr="00490741">
        <w:rPr>
          <w:rFonts w:asciiTheme="minorEastAsia" w:eastAsiaTheme="minorEastAsia" w:hAnsiTheme="minorEastAsia" w:hint="eastAsia"/>
          <w:color w:val="000000" w:themeColor="text1"/>
        </w:rPr>
        <w:t>2017</w:t>
      </w:r>
      <w:r w:rsidRPr="00490741">
        <w:rPr>
          <w:rFonts w:asciiTheme="minorEastAsia" w:eastAsiaTheme="minorEastAsia" w:hAnsiTheme="minorEastAsia" w:hint="eastAsia"/>
          <w:color w:val="000000" w:themeColor="text1"/>
        </w:rPr>
        <w:t>年</w:t>
      </w:r>
      <w:r w:rsidRPr="00490741">
        <w:rPr>
          <w:rFonts w:asciiTheme="minorEastAsia" w:eastAsiaTheme="minorEastAsia" w:hAnsiTheme="minorEastAsia" w:hint="eastAsia"/>
          <w:color w:val="000000" w:themeColor="text1"/>
        </w:rPr>
        <w:t>5</w:t>
      </w:r>
      <w:r w:rsidRPr="00490741">
        <w:rPr>
          <w:rFonts w:asciiTheme="minorEastAsia" w:eastAsiaTheme="minorEastAsia" w:hAnsiTheme="minorEastAsia" w:hint="eastAsia"/>
          <w:color w:val="000000" w:themeColor="text1"/>
        </w:rPr>
        <w:t>月</w:t>
      </w:r>
      <w:r w:rsidRPr="00490741">
        <w:rPr>
          <w:rFonts w:asciiTheme="minorEastAsia" w:eastAsiaTheme="minorEastAsia" w:hAnsiTheme="minorEastAsia" w:hint="eastAsia"/>
          <w:color w:val="000000" w:themeColor="text1"/>
        </w:rPr>
        <w:t>10</w:t>
      </w:r>
      <w:r w:rsidRPr="00490741">
        <w:rPr>
          <w:rFonts w:asciiTheme="minorEastAsia" w:eastAsiaTheme="minorEastAsia" w:hAnsiTheme="minorEastAsia" w:hint="eastAsia"/>
          <w:color w:val="000000" w:themeColor="text1"/>
        </w:rPr>
        <w:t>日；郑希，管理时间为</w:t>
      </w:r>
      <w:r w:rsidRPr="00490741">
        <w:rPr>
          <w:rFonts w:asciiTheme="minorEastAsia" w:eastAsiaTheme="minorEastAsia" w:hAnsiTheme="minorEastAsia" w:hint="eastAsia"/>
          <w:color w:val="000000" w:themeColor="text1"/>
        </w:rPr>
        <w:t>2014</w:t>
      </w:r>
      <w:r w:rsidRPr="00490741">
        <w:rPr>
          <w:rFonts w:asciiTheme="minorEastAsia" w:eastAsiaTheme="minorEastAsia" w:hAnsiTheme="minorEastAsia" w:hint="eastAsia"/>
          <w:color w:val="000000" w:themeColor="text1"/>
        </w:rPr>
        <w:t>年</w:t>
      </w:r>
      <w:r w:rsidRPr="00490741">
        <w:rPr>
          <w:rFonts w:asciiTheme="minorEastAsia" w:eastAsiaTheme="minorEastAsia" w:hAnsiTheme="minorEastAsia" w:hint="eastAsia"/>
          <w:color w:val="000000" w:themeColor="text1"/>
        </w:rPr>
        <w:t>1</w:t>
      </w:r>
      <w:r w:rsidRPr="00490741">
        <w:rPr>
          <w:rFonts w:asciiTheme="minorEastAsia" w:eastAsiaTheme="minorEastAsia" w:hAnsiTheme="minorEastAsia" w:hint="eastAsia"/>
          <w:color w:val="000000" w:themeColor="text1"/>
        </w:rPr>
        <w:t>月</w:t>
      </w:r>
      <w:r w:rsidRPr="00490741">
        <w:rPr>
          <w:rFonts w:asciiTheme="minorEastAsia" w:eastAsiaTheme="minorEastAsia" w:hAnsiTheme="minorEastAsia" w:hint="eastAsia"/>
          <w:color w:val="000000" w:themeColor="text1"/>
        </w:rPr>
        <w:t>2</w:t>
      </w:r>
      <w:r w:rsidRPr="00490741">
        <w:rPr>
          <w:rFonts w:asciiTheme="minorEastAsia" w:eastAsiaTheme="minorEastAsia" w:hAnsiTheme="minorEastAsia" w:hint="eastAsia"/>
          <w:color w:val="000000" w:themeColor="text1"/>
        </w:rPr>
        <w:t>日至</w:t>
      </w:r>
      <w:r w:rsidRPr="00490741">
        <w:rPr>
          <w:rFonts w:asciiTheme="minorEastAsia" w:eastAsiaTheme="minorEastAsia" w:hAnsiTheme="minorEastAsia" w:hint="eastAsia"/>
          <w:color w:val="000000" w:themeColor="text1"/>
        </w:rPr>
        <w:t>2018</w:t>
      </w:r>
      <w:r w:rsidRPr="00490741">
        <w:rPr>
          <w:rFonts w:asciiTheme="minorEastAsia" w:eastAsiaTheme="minorEastAsia" w:hAnsiTheme="minorEastAsia" w:hint="eastAsia"/>
          <w:color w:val="000000" w:themeColor="text1"/>
        </w:rPr>
        <w:t>年</w:t>
      </w:r>
      <w:r w:rsidRPr="00490741">
        <w:rPr>
          <w:rFonts w:asciiTheme="minorEastAsia" w:eastAsiaTheme="minorEastAsia" w:hAnsiTheme="minorEastAsia" w:hint="eastAsia"/>
          <w:color w:val="000000" w:themeColor="text1"/>
        </w:rPr>
        <w:t>12</w:t>
      </w:r>
      <w:r w:rsidRPr="00490741">
        <w:rPr>
          <w:rFonts w:asciiTheme="minorEastAsia" w:eastAsiaTheme="minorEastAsia" w:hAnsiTheme="minorEastAsia" w:hint="eastAsia"/>
          <w:color w:val="000000" w:themeColor="text1"/>
        </w:rPr>
        <w:t>月</w:t>
      </w:r>
      <w:r w:rsidRPr="00490741">
        <w:rPr>
          <w:rFonts w:asciiTheme="minorEastAsia" w:eastAsiaTheme="minorEastAsia" w:hAnsiTheme="minorEastAsia" w:hint="eastAsia"/>
          <w:color w:val="000000" w:themeColor="text1"/>
        </w:rPr>
        <w:t>10</w:t>
      </w:r>
      <w:r w:rsidRPr="00490741">
        <w:rPr>
          <w:rFonts w:asciiTheme="minorEastAsia" w:eastAsiaTheme="minorEastAsia" w:hAnsiTheme="minorEastAsia" w:hint="eastAsia"/>
          <w:color w:val="000000" w:themeColor="text1"/>
        </w:rPr>
        <w:t>日；葛秋石，管理时间为</w:t>
      </w:r>
      <w:r w:rsidRPr="00490741">
        <w:rPr>
          <w:rFonts w:asciiTheme="minorEastAsia" w:eastAsiaTheme="minorEastAsia" w:hAnsiTheme="minorEastAsia" w:hint="eastAsia"/>
          <w:color w:val="000000" w:themeColor="text1"/>
        </w:rPr>
        <w:t>2018</w:t>
      </w:r>
      <w:r w:rsidRPr="00490741">
        <w:rPr>
          <w:rFonts w:asciiTheme="minorEastAsia" w:eastAsiaTheme="minorEastAsia" w:hAnsiTheme="minorEastAsia" w:hint="eastAsia"/>
          <w:color w:val="000000" w:themeColor="text1"/>
        </w:rPr>
        <w:t>年</w:t>
      </w:r>
      <w:r w:rsidRPr="00490741">
        <w:rPr>
          <w:rFonts w:asciiTheme="minorEastAsia" w:eastAsiaTheme="minorEastAsia" w:hAnsiTheme="minorEastAsia" w:hint="eastAsia"/>
          <w:color w:val="000000" w:themeColor="text1"/>
        </w:rPr>
        <w:t>12</w:t>
      </w:r>
      <w:r w:rsidRPr="00490741">
        <w:rPr>
          <w:rFonts w:asciiTheme="minorEastAsia" w:eastAsiaTheme="minorEastAsia" w:hAnsiTheme="minorEastAsia" w:hint="eastAsia"/>
          <w:color w:val="000000" w:themeColor="text1"/>
        </w:rPr>
        <w:t>月</w:t>
      </w:r>
      <w:r w:rsidRPr="00490741">
        <w:rPr>
          <w:rFonts w:asciiTheme="minorEastAsia" w:eastAsiaTheme="minorEastAsia" w:hAnsiTheme="minorEastAsia" w:hint="eastAsia"/>
          <w:color w:val="000000" w:themeColor="text1"/>
        </w:rPr>
        <w:t>11</w:t>
      </w:r>
      <w:r w:rsidRPr="00490741">
        <w:rPr>
          <w:rFonts w:asciiTheme="minorEastAsia" w:eastAsiaTheme="minorEastAsia" w:hAnsiTheme="minorEastAsia" w:hint="eastAsia"/>
          <w:color w:val="000000" w:themeColor="text1"/>
        </w:rPr>
        <w:t>日至</w:t>
      </w:r>
      <w:r w:rsidRPr="00490741">
        <w:rPr>
          <w:rFonts w:asciiTheme="minorEastAsia" w:eastAsiaTheme="minorEastAsia" w:hAnsiTheme="minorEastAsia" w:hint="eastAsia"/>
          <w:color w:val="000000" w:themeColor="text1"/>
        </w:rPr>
        <w:t>2022</w:t>
      </w:r>
      <w:r w:rsidRPr="00490741">
        <w:rPr>
          <w:rFonts w:asciiTheme="minorEastAsia" w:eastAsiaTheme="minorEastAsia" w:hAnsiTheme="minorEastAsia" w:hint="eastAsia"/>
          <w:color w:val="000000" w:themeColor="text1"/>
        </w:rPr>
        <w:t>年</w:t>
      </w:r>
      <w:r w:rsidRPr="00490741">
        <w:rPr>
          <w:rFonts w:asciiTheme="minorEastAsia" w:eastAsiaTheme="minorEastAsia" w:hAnsiTheme="minorEastAsia" w:hint="eastAsia"/>
          <w:color w:val="000000" w:themeColor="text1"/>
        </w:rPr>
        <w:t>9</w:t>
      </w:r>
      <w:r w:rsidRPr="00490741">
        <w:rPr>
          <w:rFonts w:asciiTheme="minorEastAsia" w:eastAsiaTheme="minorEastAsia" w:hAnsiTheme="minorEastAsia" w:hint="eastAsia"/>
          <w:color w:val="000000" w:themeColor="text1"/>
        </w:rPr>
        <w:t>月</w:t>
      </w:r>
      <w:r w:rsidRPr="00490741">
        <w:rPr>
          <w:rFonts w:asciiTheme="minorEastAsia" w:eastAsiaTheme="minorEastAsia" w:hAnsiTheme="minorEastAsia" w:hint="eastAsia"/>
          <w:color w:val="000000" w:themeColor="text1"/>
        </w:rPr>
        <w:t>13</w:t>
      </w:r>
      <w:r w:rsidRPr="00490741">
        <w:rPr>
          <w:rFonts w:asciiTheme="minorEastAsia" w:eastAsiaTheme="minorEastAsia" w:hAnsiTheme="minorEastAsia" w:hint="eastAsia"/>
          <w:color w:val="000000" w:themeColor="text1"/>
        </w:rPr>
        <w:t>日。</w:t>
      </w:r>
    </w:p>
    <w:p w:rsidR="007A542B" w:rsidRPr="00490741" w:rsidP="00107648">
      <w:pPr>
        <w:pStyle w:val="Heading1"/>
        <w:snapToGrid w:val="0"/>
        <w:spacing w:beforeLines="0" w:afterLines="0" w:line="360" w:lineRule="auto"/>
        <w:ind w:firstLine="643"/>
        <w:rPr>
          <w:rFonts w:asciiTheme="minorEastAsia" w:eastAsiaTheme="minorEastAsia" w:hAnsiTheme="minorEastAsia"/>
          <w:b/>
          <w:bCs/>
          <w:color w:val="000000" w:themeColor="text1"/>
        </w:rPr>
        <w:sectPr w:rsidSect="0035472D">
          <w:pgSz w:w="11906" w:h="16838" w:code="9"/>
          <w:pgMar w:top="1440" w:right="1800" w:bottom="1440" w:left="1800" w:header="851" w:footer="992" w:gutter="0"/>
          <w:cols w:space="425"/>
          <w:docGrid w:type="lines" w:linePitch="312"/>
        </w:sectPr>
      </w:pPr>
    </w:p>
    <w:p w:rsidR="0002608C" w:rsidRPr="00490741" w:rsidP="00107648">
      <w:pPr>
        <w:pStyle w:val="Heading1"/>
        <w:snapToGrid w:val="0"/>
        <w:spacing w:beforeLines="0" w:afterLines="0" w:line="360" w:lineRule="auto"/>
        <w:ind w:firstLine="643"/>
        <w:rPr>
          <w:rFonts w:asciiTheme="minorEastAsia" w:eastAsiaTheme="minorEastAsia" w:hAnsiTheme="minorEastAsia"/>
          <w:bCs/>
          <w:color w:val="000000" w:themeColor="text1"/>
        </w:rPr>
      </w:pPr>
      <w:bookmarkStart w:id="92" w:name="_Toc114237434"/>
      <w:r w:rsidRPr="00490741">
        <w:rPr>
          <w:rFonts w:asciiTheme="minorEastAsia" w:eastAsiaTheme="minorEastAsia" w:hAnsiTheme="minorEastAsia" w:hint="eastAsia"/>
          <w:b/>
          <w:bCs/>
          <w:color w:val="000000" w:themeColor="text1"/>
        </w:rPr>
        <w:t>十三、基金的财产</w:t>
      </w:r>
      <w:bookmarkEnd w:id="92"/>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93" w:name="_Toc114237435"/>
      <w:r w:rsidRPr="00490741">
        <w:rPr>
          <w:rFonts w:asciiTheme="minorEastAsia" w:eastAsiaTheme="minorEastAsia" w:hAnsiTheme="minorEastAsia" w:hint="eastAsia"/>
          <w:b w:val="0"/>
          <w:color w:val="000000" w:themeColor="text1"/>
        </w:rPr>
        <w:t>（一）基金资产总值</w:t>
      </w:r>
      <w:bookmarkEnd w:id="93"/>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rPr>
        <w:t>基金</w:t>
      </w:r>
      <w:r w:rsidRPr="00490741">
        <w:rPr>
          <w:rFonts w:asciiTheme="minorEastAsia" w:eastAsiaTheme="minorEastAsia" w:hAnsiTheme="minorEastAsia" w:hint="eastAsia"/>
          <w:color w:val="000000" w:themeColor="text1"/>
        </w:rPr>
        <w:t>资</w:t>
      </w:r>
      <w:r w:rsidRPr="00490741">
        <w:rPr>
          <w:rFonts w:asciiTheme="minorEastAsia" w:eastAsiaTheme="minorEastAsia" w:hAnsiTheme="minorEastAsia"/>
          <w:color w:val="000000" w:themeColor="text1"/>
        </w:rPr>
        <w:t>产总值是指基金</w:t>
      </w:r>
      <w:r w:rsidRPr="00490741">
        <w:rPr>
          <w:rFonts w:asciiTheme="minorEastAsia" w:eastAsiaTheme="minorEastAsia" w:hAnsiTheme="minorEastAsia" w:hint="eastAsia"/>
          <w:color w:val="000000" w:themeColor="text1"/>
          <w:szCs w:val="21"/>
        </w:rPr>
        <w:t>所购买的各类</w:t>
      </w:r>
      <w:r w:rsidRPr="00490741">
        <w:rPr>
          <w:rFonts w:asciiTheme="minorEastAsia" w:eastAsiaTheme="minorEastAsia" w:hAnsiTheme="minorEastAsia" w:hint="eastAsia"/>
          <w:color w:val="000000" w:themeColor="text1"/>
        </w:rPr>
        <w:t>证券及票据</w:t>
      </w:r>
      <w:r w:rsidRPr="00490741">
        <w:rPr>
          <w:rFonts w:asciiTheme="minorEastAsia" w:eastAsiaTheme="minorEastAsia" w:hAnsiTheme="minorEastAsia" w:hint="eastAsia"/>
          <w:color w:val="000000" w:themeColor="text1"/>
          <w:szCs w:val="21"/>
        </w:rPr>
        <w:t>、银行存款本息和基金应收的申购款项以及其他投资所形成的价值总和。</w:t>
      </w:r>
    </w:p>
    <w:p w:rsidR="0002608C" w:rsidRPr="00490741" w:rsidP="00107648">
      <w:pPr>
        <w:pStyle w:val="20"/>
        <w:snapToGrid w:val="0"/>
        <w:spacing w:before="0" w:beforeAutospacing="0" w:after="0" w:afterAutospacing="0"/>
        <w:ind w:firstLine="420" w:firstLineChars="0"/>
        <w:rPr>
          <w:rFonts w:asciiTheme="minorEastAsia" w:eastAsiaTheme="minorEastAsia" w:hAnsiTheme="minorEastAsia"/>
          <w:color w:val="000000" w:themeColor="text1"/>
          <w:szCs w:val="24"/>
        </w:rPr>
      </w:pPr>
      <w:r w:rsidRPr="00490741">
        <w:rPr>
          <w:rFonts w:asciiTheme="minorEastAsia" w:eastAsiaTheme="minorEastAsia" w:hAnsiTheme="minorEastAsia"/>
          <w:color w:val="000000" w:themeColor="text1"/>
          <w:szCs w:val="24"/>
        </w:rPr>
        <w:t>其构成主要有：</w:t>
      </w:r>
    </w:p>
    <w:p w:rsidR="0002608C" w:rsidRPr="00490741" w:rsidP="00107648">
      <w:pPr>
        <w:snapToGrid w:val="0"/>
        <w:spacing w:line="360" w:lineRule="auto"/>
        <w:ind w:firstLine="48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w:t>
      </w:r>
      <w:r w:rsidRPr="00490741" w:rsidR="00CE2F50">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银行存款及其应计利息；</w:t>
      </w:r>
    </w:p>
    <w:p w:rsidR="0002608C" w:rsidRPr="00490741" w:rsidP="00107648">
      <w:pPr>
        <w:snapToGrid w:val="0"/>
        <w:spacing w:line="360" w:lineRule="auto"/>
        <w:ind w:firstLine="48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w:t>
      </w:r>
      <w:r w:rsidRPr="00490741" w:rsidR="00CE2F50">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清算备付金及其应计利息；</w:t>
      </w:r>
    </w:p>
    <w:p w:rsidR="0002608C" w:rsidRPr="00490741" w:rsidP="00107648">
      <w:pPr>
        <w:snapToGrid w:val="0"/>
        <w:spacing w:line="360" w:lineRule="auto"/>
        <w:ind w:firstLine="48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3</w:t>
      </w:r>
      <w:r w:rsidRPr="00490741" w:rsidR="00CE2F50">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根据有关规定缴纳的保证金；</w:t>
      </w:r>
    </w:p>
    <w:p w:rsidR="0002608C" w:rsidRPr="00490741" w:rsidP="00107648">
      <w:pPr>
        <w:snapToGrid w:val="0"/>
        <w:spacing w:line="360" w:lineRule="auto"/>
        <w:ind w:firstLine="48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4</w:t>
      </w:r>
      <w:r w:rsidRPr="00490741" w:rsidR="00CE2F50">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应收证券交易清算款；</w:t>
      </w:r>
    </w:p>
    <w:p w:rsidR="0002608C" w:rsidRPr="00490741" w:rsidP="00107648">
      <w:pPr>
        <w:snapToGrid w:val="0"/>
        <w:spacing w:line="360" w:lineRule="auto"/>
        <w:ind w:firstLine="48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5</w:t>
      </w:r>
      <w:r w:rsidRPr="00490741" w:rsidR="00CE2F50">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应收申购款；</w:t>
      </w:r>
    </w:p>
    <w:p w:rsidR="0002608C" w:rsidRPr="00490741" w:rsidP="00107648">
      <w:pPr>
        <w:snapToGrid w:val="0"/>
        <w:spacing w:line="360" w:lineRule="auto"/>
        <w:ind w:firstLine="48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6</w:t>
      </w:r>
      <w:r w:rsidRPr="00490741" w:rsidR="00CE2F50">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股票投资及其估值调整；</w:t>
      </w:r>
    </w:p>
    <w:p w:rsidR="0002608C" w:rsidRPr="00490741" w:rsidP="00107648">
      <w:pPr>
        <w:snapToGrid w:val="0"/>
        <w:spacing w:line="360" w:lineRule="auto"/>
        <w:ind w:firstLine="48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7</w:t>
      </w:r>
      <w:r w:rsidRPr="00490741" w:rsidR="00CE2F50">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债券投资及其估值调整和应计利息；</w:t>
      </w:r>
    </w:p>
    <w:p w:rsidR="0002608C" w:rsidRPr="00490741" w:rsidP="00107648">
      <w:pPr>
        <w:snapToGrid w:val="0"/>
        <w:spacing w:line="360" w:lineRule="auto"/>
        <w:ind w:firstLine="48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8</w:t>
      </w:r>
      <w:r w:rsidRPr="00490741">
        <w:rPr>
          <w:rFonts w:asciiTheme="minorEastAsia" w:eastAsiaTheme="minorEastAsia" w:hAnsiTheme="minorEastAsia" w:hint="eastAsia"/>
          <w:color w:val="000000" w:themeColor="text1"/>
        </w:rPr>
        <w:t>、权证投资及其估值调整；</w:t>
      </w:r>
    </w:p>
    <w:p w:rsidR="0002608C" w:rsidRPr="00490741" w:rsidP="00107648">
      <w:pPr>
        <w:snapToGrid w:val="0"/>
        <w:spacing w:line="360" w:lineRule="auto"/>
        <w:ind w:firstLine="48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9</w:t>
      </w:r>
      <w:r w:rsidRPr="00490741">
        <w:rPr>
          <w:rFonts w:asciiTheme="minorEastAsia" w:eastAsiaTheme="minorEastAsia" w:hAnsiTheme="minorEastAsia" w:hint="eastAsia"/>
          <w:color w:val="000000" w:themeColor="text1"/>
        </w:rPr>
        <w:t>、其他投资及其估值调整；</w:t>
      </w:r>
    </w:p>
    <w:p w:rsidR="0002608C" w:rsidRPr="00490741" w:rsidP="00107648">
      <w:pPr>
        <w:snapToGrid w:val="0"/>
        <w:spacing w:line="360" w:lineRule="auto"/>
        <w:ind w:firstLine="48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10</w:t>
      </w:r>
      <w:r w:rsidRPr="00490741" w:rsidR="00CE2F50">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其他资产等。</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94" w:name="_Toc114237436"/>
      <w:r w:rsidRPr="00490741">
        <w:rPr>
          <w:rFonts w:asciiTheme="minorEastAsia" w:eastAsiaTheme="minorEastAsia" w:hAnsiTheme="minorEastAsia" w:hint="eastAsia"/>
          <w:b w:val="0"/>
          <w:color w:val="000000" w:themeColor="text1"/>
        </w:rPr>
        <w:t>（二）基金资产净值</w:t>
      </w:r>
      <w:bookmarkEnd w:id="94"/>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基金资产净值是指基金资产总值减去负债后的价值。</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95" w:name="_Toc114237437"/>
      <w:r w:rsidRPr="00490741">
        <w:rPr>
          <w:rFonts w:asciiTheme="minorEastAsia" w:eastAsiaTheme="minorEastAsia" w:hAnsiTheme="minorEastAsia" w:hint="eastAsia"/>
          <w:b w:val="0"/>
          <w:color w:val="000000" w:themeColor="text1"/>
        </w:rPr>
        <w:t>（三）基金财产的帐户</w:t>
      </w:r>
      <w:bookmarkEnd w:id="95"/>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w:t>
      </w:r>
      <w:r w:rsidRPr="00490741" w:rsidR="00D109A3">
        <w:rPr>
          <w:rFonts w:asciiTheme="minorEastAsia" w:eastAsiaTheme="minorEastAsia" w:hAnsiTheme="minorEastAsia" w:hint="eastAsia"/>
          <w:color w:val="000000" w:themeColor="text1"/>
          <w:szCs w:val="21"/>
        </w:rPr>
        <w:t>销售</w:t>
      </w:r>
      <w:r w:rsidRPr="00490741">
        <w:rPr>
          <w:rFonts w:asciiTheme="minorEastAsia" w:eastAsiaTheme="minorEastAsia" w:hAnsiTheme="minorEastAsia" w:hint="eastAsia"/>
          <w:color w:val="000000" w:themeColor="text1"/>
          <w:szCs w:val="21"/>
        </w:rPr>
        <w:t>机构和基金注册登记机构自有的财产账户以及其他基金财产账户相独立。</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96" w:name="_Toc114237438"/>
      <w:r w:rsidRPr="00490741">
        <w:rPr>
          <w:rFonts w:asciiTheme="minorEastAsia" w:eastAsiaTheme="minorEastAsia" w:hAnsiTheme="minorEastAsia" w:hint="eastAsia"/>
          <w:b w:val="0"/>
          <w:color w:val="000000" w:themeColor="text1"/>
        </w:rPr>
        <w:t>（四）基金财产的保管与处分</w:t>
      </w:r>
      <w:bookmarkEnd w:id="96"/>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本基金财产独立于基金管理人、基金托管人的</w:t>
      </w:r>
      <w:r w:rsidRPr="00490741">
        <w:rPr>
          <w:rFonts w:asciiTheme="minorEastAsia" w:eastAsiaTheme="minorEastAsia" w:hAnsiTheme="minorEastAsia" w:hint="eastAsia"/>
          <w:color w:val="000000" w:themeColor="text1"/>
        </w:rPr>
        <w:t>固有</w:t>
      </w:r>
      <w:r w:rsidRPr="00490741">
        <w:rPr>
          <w:rFonts w:asciiTheme="minorEastAsia" w:eastAsiaTheme="minorEastAsia" w:hAnsiTheme="minorEastAsia" w:hint="eastAsia"/>
          <w:color w:val="000000" w:themeColor="text1"/>
          <w:szCs w:val="21"/>
        </w:rPr>
        <w:t>财产，并由基金托管人保管。基金管理人、基金托管人不得将基金财产归入其固有财产；基金管理人、基金托管人因基金财产的管理、运用或其他情形而取得的财产和收益，归入基金财产。基金管理人、基金托管人以其自有的财产承担自身相应的法律责任，其债权人不得对基金财产行使请求冻结、扣押或其他权利。基金管理人、基金托管人因依法解散、被依法撤销或被依法宣告破产等原因进行清算的，基金财产不属于其清算财产。非因基金财产本身承担的债务不得对基金财产强制执行。除依据《</w:t>
      </w:r>
      <w:r w:rsidRPr="00490741">
        <w:rPr>
          <w:rFonts w:asciiTheme="minorEastAsia" w:eastAsiaTheme="minorEastAsia" w:hAnsiTheme="minorEastAsia" w:hint="eastAsia"/>
          <w:color w:val="000000" w:themeColor="text1"/>
          <w:szCs w:val="21"/>
        </w:rPr>
        <w:t>基金法》、《运作办法》、基金合同及其他有关规定处分外，基金财产不得被处分。</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基金管理人管理运作基金财产所产生的债权，不得与其固有财产产生的债务相互抵消；基金管理人管理运作不同基金的基金财产所产生的债权债务不得相互抵销。</w:t>
      </w:r>
    </w:p>
    <w:p w:rsidR="0002608C" w:rsidRPr="00490741" w:rsidP="00107648">
      <w:pPr>
        <w:pStyle w:val="Heading1"/>
        <w:snapToGrid w:val="0"/>
        <w:spacing w:beforeLines="0" w:afterLines="0" w:line="360" w:lineRule="auto"/>
        <w:ind w:firstLine="643"/>
        <w:rPr>
          <w:rFonts w:asciiTheme="minorEastAsia" w:eastAsiaTheme="minorEastAsia" w:hAnsiTheme="minorEastAsia"/>
          <w:bCs/>
          <w:color w:val="000000" w:themeColor="text1"/>
        </w:rPr>
      </w:pPr>
      <w:bookmarkStart w:id="97" w:name="_Toc114237439"/>
      <w:r w:rsidRPr="00490741">
        <w:rPr>
          <w:rFonts w:asciiTheme="minorEastAsia" w:eastAsiaTheme="minorEastAsia" w:hAnsiTheme="minorEastAsia" w:hint="eastAsia"/>
          <w:b/>
          <w:bCs/>
          <w:color w:val="000000" w:themeColor="text1"/>
        </w:rPr>
        <w:t>十四、基金资产估值</w:t>
      </w:r>
      <w:bookmarkEnd w:id="97"/>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98" w:name="_Toc66706733"/>
      <w:bookmarkStart w:id="99" w:name="_Toc86584624"/>
      <w:bookmarkStart w:id="100" w:name="_Toc84149655"/>
      <w:bookmarkStart w:id="101" w:name="_Toc114237440"/>
      <w:r w:rsidRPr="00490741">
        <w:rPr>
          <w:rFonts w:asciiTheme="minorEastAsia" w:eastAsiaTheme="minorEastAsia" w:hAnsiTheme="minorEastAsia" w:hint="eastAsia"/>
          <w:b w:val="0"/>
          <w:color w:val="000000" w:themeColor="text1"/>
        </w:rPr>
        <w:t>（一）估值目的</w:t>
      </w:r>
      <w:bookmarkEnd w:id="98"/>
      <w:bookmarkEnd w:id="99"/>
      <w:bookmarkEnd w:id="101"/>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基金资产估值的目的是客观、准确地反映基金资产是否保值、增值，依据经基金资产估值后确定的基金资产净值而计算出的基金份额净值，是计算基金申购与赎回价格的基础。</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02" w:name="_Toc66706734"/>
      <w:bookmarkStart w:id="103" w:name="_Toc86584625"/>
      <w:bookmarkStart w:id="104" w:name="_Toc114237441"/>
      <w:r w:rsidRPr="00490741">
        <w:rPr>
          <w:rFonts w:asciiTheme="minorEastAsia" w:eastAsiaTheme="minorEastAsia" w:hAnsiTheme="minorEastAsia" w:hint="eastAsia"/>
          <w:b w:val="0"/>
          <w:color w:val="000000" w:themeColor="text1"/>
        </w:rPr>
        <w:t>（二）估值日</w:t>
      </w:r>
      <w:bookmarkEnd w:id="102"/>
      <w:bookmarkEnd w:id="103"/>
      <w:bookmarkEnd w:id="104"/>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本基金的估值日为相关的证券交易场所的正常营业日以及国家法律法规规定需要对外披露基金净值的非营业日。</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05" w:name="_Toc66706735"/>
      <w:bookmarkStart w:id="106" w:name="_Toc86584626"/>
      <w:bookmarkStart w:id="107" w:name="_Toc114237442"/>
      <w:r w:rsidRPr="00490741">
        <w:rPr>
          <w:rFonts w:asciiTheme="minorEastAsia" w:eastAsiaTheme="minorEastAsia" w:hAnsiTheme="minorEastAsia" w:hint="eastAsia"/>
          <w:b w:val="0"/>
          <w:color w:val="000000" w:themeColor="text1"/>
        </w:rPr>
        <w:t>（三）估值对象</w:t>
      </w:r>
      <w:bookmarkEnd w:id="105"/>
      <w:bookmarkEnd w:id="106"/>
      <w:bookmarkEnd w:id="107"/>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基金所拥有的股票、债券、权证和银行存款本息等资产和负债。</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08" w:name="_Toc66706736"/>
      <w:bookmarkStart w:id="109" w:name="_Toc86584627"/>
      <w:bookmarkStart w:id="110" w:name="_Toc114237443"/>
      <w:r w:rsidRPr="00490741">
        <w:rPr>
          <w:rFonts w:asciiTheme="minorEastAsia" w:eastAsiaTheme="minorEastAsia" w:hAnsiTheme="minorEastAsia" w:hint="eastAsia"/>
          <w:b w:val="0"/>
          <w:color w:val="000000" w:themeColor="text1"/>
        </w:rPr>
        <w:t>（四）估值方法</w:t>
      </w:r>
      <w:bookmarkEnd w:id="108"/>
      <w:bookmarkEnd w:id="109"/>
      <w:bookmarkEnd w:id="110"/>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本基金按以下方式进行估值：</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、证券交易所上市的有价证券的估值</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w:t>
      </w:r>
      <w:r w:rsidRPr="00490741">
        <w:rPr>
          <w:rFonts w:asciiTheme="minorEastAsia" w:eastAsiaTheme="minorEastAsia" w:hAnsiTheme="minorEastAsia" w:hint="eastAsia"/>
          <w:color w:val="000000" w:themeColor="text1"/>
          <w:szCs w:val="21"/>
        </w:rPr>
        <w:t>变化因素，调整最近交易市价，确定公允价格。</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交易所上市未实行净价交易的债券按估值日收盘价减去债券收盘价中所含的债券应收利息得到的净价进行估值；估值日没有交易的，且最近交易日后经济环境未发生重大变化，按有交易的最近交易日所采用的净价估值。如最近交易日后经</w:t>
      </w:r>
      <w:r w:rsidRPr="00490741">
        <w:rPr>
          <w:rFonts w:asciiTheme="minorEastAsia" w:eastAsiaTheme="minorEastAsia" w:hAnsiTheme="minorEastAsia" w:hint="eastAsia"/>
          <w:color w:val="000000" w:themeColor="text1"/>
          <w:szCs w:val="21"/>
        </w:rPr>
        <w:t>济环境发生了重大变化的，可参考类似投资品种的现行市价及重大变化因素，调整最近交易市价，确定公允价格；</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）交易所上市不存在活跃市场的有价证券，采用估值技术确定公允价值。交易所上市的资产支持证券，采用估值技术确定公允价值，在估值技术难以可靠计量公允价值的情况下，按成本估值。</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、处于未上市期间的有价证券应区分如下情况处理：</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）送股、转增股、配股和公开增发的新股，按估值日在证券交易所挂牌的同一股票的市价（收盘价）估值；该日无交易的，以最近一日的市价（收盘价）估值；</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）首次公开发行未上市的股票、债券和权</w:t>
      </w:r>
      <w:r w:rsidRPr="00490741">
        <w:rPr>
          <w:rFonts w:asciiTheme="minorEastAsia" w:eastAsiaTheme="minorEastAsia" w:hAnsiTheme="minorEastAsia" w:hint="eastAsia"/>
          <w:color w:val="000000" w:themeColor="text1"/>
          <w:szCs w:val="21"/>
        </w:rPr>
        <w:t>证，采用估值技术确定公允价值，在估值技术难以可靠计量公允价值的情况下，按成本估值。</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）首次公开发行有明确锁定期的股票，同一股票在交易所上市后，按交易所上市的同一股票的市价（收盘价）估值；非公开发行有明确锁定期的股票，按监管机构或行业协会有关规定确定公允价值。</w:t>
      </w:r>
    </w:p>
    <w:p w:rsidR="00371F41" w:rsidRPr="00490741" w:rsidP="00371F41">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w:t>
      </w:r>
      <w:r w:rsidRPr="00490741" w:rsidR="0002608C">
        <w:rPr>
          <w:rFonts w:asciiTheme="minorEastAsia" w:eastAsiaTheme="minorEastAsia" w:hAnsiTheme="minorEastAsia" w:hint="eastAsia"/>
          <w:color w:val="000000" w:themeColor="text1"/>
          <w:szCs w:val="21"/>
        </w:rPr>
        <w:t>因持有股票而享有的配股权，以及停止交易、但未行权的权证，采用估值技术确定公允价值。</w:t>
      </w:r>
    </w:p>
    <w:p w:rsidR="0002608C" w:rsidRPr="00490741" w:rsidP="00371F41">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、本基金投资存托凭证的估值核算，依照境内上市交易的股票执行。</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5</w:t>
      </w:r>
      <w:r w:rsidRPr="00490741" w:rsidR="00CE2F50">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全国银行间债券市场交易的债券、资产支持证券等固定收益品种，采用估值技术确定公允价值。</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6</w:t>
      </w:r>
      <w:r w:rsidRPr="00490741" w:rsidR="00CE2F50">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同一债券同时在两个或两个以上市场交易的，按债券所处的市场分别估值。</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7</w:t>
      </w:r>
      <w:r w:rsidRPr="00490741" w:rsidR="00CE2F50">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如有确凿证据表明按上述方法进行估值不能客观反映其公允价值的，基金管理人可根据具体情况与基金托管人商定后，按最能反映公允价值的价格估值。</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8</w:t>
      </w:r>
      <w:r w:rsidRPr="00490741" w:rsidR="00CE2F50">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相关法律法规以及监管部门有强制规定的，从其规定。如有新增事项，按国家最新规定估值。</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w:t>
      </w:r>
      <w:r w:rsidRPr="00490741">
        <w:rPr>
          <w:rFonts w:asciiTheme="minorEastAsia" w:eastAsiaTheme="minorEastAsia" w:hAnsiTheme="minorEastAsia" w:hint="eastAsia"/>
          <w:color w:val="000000" w:themeColor="text1"/>
          <w:szCs w:val="21"/>
        </w:rPr>
        <w:t>值的计算结果对外予以公布。</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11" w:name="_Toc44229106"/>
      <w:bookmarkStart w:id="112" w:name="_Toc44229201"/>
      <w:bookmarkStart w:id="113" w:name="_Toc44229107"/>
      <w:bookmarkStart w:id="114" w:name="_Toc44229202"/>
      <w:bookmarkStart w:id="115" w:name="_Toc44229108"/>
      <w:bookmarkStart w:id="116" w:name="_Toc44229203"/>
      <w:bookmarkStart w:id="117" w:name="_Toc44229109"/>
      <w:bookmarkStart w:id="118" w:name="_Toc44229204"/>
      <w:bookmarkStart w:id="119" w:name="_Toc44229110"/>
      <w:bookmarkStart w:id="120" w:name="_Toc44229205"/>
      <w:bookmarkStart w:id="121" w:name="_Toc44229111"/>
      <w:bookmarkStart w:id="122" w:name="_Toc44229206"/>
      <w:bookmarkStart w:id="123" w:name="_Toc44229112"/>
      <w:bookmarkStart w:id="124" w:name="_Toc44229207"/>
      <w:bookmarkStart w:id="125" w:name="_Toc44229113"/>
      <w:bookmarkStart w:id="126" w:name="_Toc44229208"/>
      <w:bookmarkStart w:id="127" w:name="_Toc66706737"/>
      <w:bookmarkStart w:id="128" w:name="_Toc86584628"/>
      <w:bookmarkStart w:id="129" w:name="_Toc11423744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490741">
        <w:rPr>
          <w:rFonts w:asciiTheme="minorEastAsia" w:eastAsiaTheme="minorEastAsia" w:hAnsiTheme="minorEastAsia" w:hint="eastAsia"/>
          <w:b w:val="0"/>
          <w:color w:val="000000" w:themeColor="text1"/>
        </w:rPr>
        <w:t>（五）估值程序</w:t>
      </w:r>
      <w:bookmarkEnd w:id="127"/>
      <w:bookmarkEnd w:id="128"/>
      <w:bookmarkEnd w:id="129"/>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30" w:name="_Toc66706738"/>
      <w:bookmarkStart w:id="131" w:name="_Toc86584629"/>
      <w:bookmarkStart w:id="132" w:name="_Toc114237445"/>
      <w:r w:rsidRPr="00490741">
        <w:rPr>
          <w:rFonts w:asciiTheme="minorEastAsia" w:eastAsiaTheme="minorEastAsia" w:hAnsiTheme="minorEastAsia" w:hint="eastAsia"/>
          <w:b w:val="0"/>
          <w:color w:val="000000" w:themeColor="text1"/>
        </w:rPr>
        <w:t>（六）暂停</w:t>
      </w:r>
      <w:r w:rsidRPr="00490741" w:rsidR="00E56C3D">
        <w:rPr>
          <w:rFonts w:asciiTheme="minorEastAsia" w:eastAsiaTheme="minorEastAsia" w:hAnsiTheme="minorEastAsia" w:hint="eastAsia"/>
          <w:b w:val="0"/>
          <w:color w:val="000000" w:themeColor="text1"/>
        </w:rPr>
        <w:t>估值</w:t>
      </w:r>
      <w:r w:rsidRPr="00490741">
        <w:rPr>
          <w:rFonts w:asciiTheme="minorEastAsia" w:eastAsiaTheme="minorEastAsia" w:hAnsiTheme="minorEastAsia" w:hint="eastAsia"/>
          <w:b w:val="0"/>
          <w:color w:val="000000" w:themeColor="text1"/>
        </w:rPr>
        <w:t>的情形</w:t>
      </w:r>
      <w:bookmarkEnd w:id="130"/>
      <w:bookmarkEnd w:id="131"/>
      <w:bookmarkEnd w:id="132"/>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、与本基金投资有关的证券交易场所遇法定节假日或因其他原因暂停营业时；</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、因不可抗力或其他情形致使基金管理人无法准确评估基金资产价值时；</w:t>
      </w:r>
    </w:p>
    <w:p w:rsidR="00E56C3D" w:rsidRPr="00490741" w:rsidP="00E56C3D">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、当前一估值日基金资产净值</w:t>
      </w:r>
      <w:r w:rsidRPr="00490741">
        <w:rPr>
          <w:rFonts w:asciiTheme="minorEastAsia" w:eastAsiaTheme="minorEastAsia" w:hAnsiTheme="minorEastAsia" w:hint="eastAsia"/>
          <w:color w:val="000000" w:themeColor="text1"/>
          <w:szCs w:val="21"/>
        </w:rPr>
        <w:t>50%</w:t>
      </w:r>
      <w:r w:rsidRPr="00490741">
        <w:rPr>
          <w:rFonts w:asciiTheme="minorEastAsia" w:eastAsiaTheme="minorEastAsia" w:hAnsiTheme="minorEastAsia" w:hint="eastAsia"/>
          <w:color w:val="000000" w:themeColor="text1"/>
          <w:szCs w:val="21"/>
        </w:rPr>
        <w:t>以上的资产出现无可参考的活跃市场价格且采用估值技术仍导致公允价值存在重大不确定性时，经与基金托管人协商一致的；</w:t>
      </w:r>
    </w:p>
    <w:p w:rsidR="0002608C" w:rsidRPr="00490741" w:rsidP="00E56C3D">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、中国证监会认定的其他情形。</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33" w:name="_Toc66706739"/>
      <w:bookmarkStart w:id="134" w:name="_Toc86584630"/>
      <w:bookmarkStart w:id="135" w:name="_Toc114237446"/>
      <w:r w:rsidRPr="00490741">
        <w:rPr>
          <w:rFonts w:asciiTheme="minorEastAsia" w:eastAsiaTheme="minorEastAsia" w:hAnsiTheme="minorEastAsia" w:hint="eastAsia"/>
          <w:b w:val="0"/>
          <w:color w:val="000000" w:themeColor="text1"/>
        </w:rPr>
        <w:t>（七）基金份额净值的确认和估值错误处理</w:t>
      </w:r>
      <w:bookmarkEnd w:id="133"/>
      <w:bookmarkEnd w:id="134"/>
      <w:bookmarkEnd w:id="135"/>
    </w:p>
    <w:p w:rsidR="0002608C" w:rsidRPr="00490741" w:rsidP="00107648">
      <w:pPr>
        <w:snapToGrid w:val="0"/>
        <w:spacing w:line="360" w:lineRule="auto"/>
        <w:ind w:firstLine="480"/>
        <w:rPr>
          <w:rFonts w:asciiTheme="minorEastAsia" w:eastAsiaTheme="minorEastAsia" w:hAnsiTheme="minorEastAsia"/>
          <w:color w:val="000000" w:themeColor="text1"/>
          <w:szCs w:val="21"/>
        </w:rPr>
      </w:pPr>
      <w:bookmarkStart w:id="136" w:name="_Toc97031289"/>
      <w:bookmarkStart w:id="137" w:name="_Toc97107249"/>
      <w:bookmarkEnd w:id="100"/>
      <w:bookmarkEnd w:id="136"/>
      <w:bookmarkEnd w:id="137"/>
      <w:r w:rsidRPr="00490741">
        <w:rPr>
          <w:rFonts w:asciiTheme="minorEastAsia" w:eastAsiaTheme="minorEastAsia" w:hAnsiTheme="minorEastAsia" w:hint="eastAsia"/>
          <w:color w:val="000000" w:themeColor="text1"/>
          <w:szCs w:val="21"/>
        </w:rPr>
        <w:t>基金份额净值的计算保留到小数点后</w:t>
      </w: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位，小数点后第</w:t>
      </w:r>
      <w:r w:rsidRPr="00490741">
        <w:rPr>
          <w:rFonts w:asciiTheme="minorEastAsia" w:eastAsiaTheme="minorEastAsia" w:hAnsiTheme="minorEastAsia" w:hint="eastAsia"/>
          <w:color w:val="000000" w:themeColor="text1"/>
          <w:szCs w:val="21"/>
        </w:rPr>
        <w:t>5</w:t>
      </w:r>
      <w:r w:rsidRPr="00490741">
        <w:rPr>
          <w:rFonts w:asciiTheme="minorEastAsia" w:eastAsiaTheme="minorEastAsia" w:hAnsiTheme="minorEastAsia" w:hint="eastAsia"/>
          <w:color w:val="000000" w:themeColor="text1"/>
          <w:szCs w:val="21"/>
        </w:rPr>
        <w:t>位四舍五入。当估值或份额净值计价错误实际发生时，基金管理人应当立即纠正，并采取合理的措施防止损失进一步扩大。当错误达到或超过基金资产净值的</w:t>
      </w:r>
      <w:r w:rsidRPr="00490741">
        <w:rPr>
          <w:rFonts w:asciiTheme="minorEastAsia" w:eastAsiaTheme="minorEastAsia" w:hAnsiTheme="minorEastAsia" w:hint="eastAsia"/>
          <w:color w:val="000000" w:themeColor="text1"/>
          <w:szCs w:val="21"/>
        </w:rPr>
        <w:t>0.25%</w:t>
      </w:r>
      <w:r w:rsidRPr="00490741">
        <w:rPr>
          <w:rFonts w:asciiTheme="minorEastAsia" w:eastAsiaTheme="minorEastAsia" w:hAnsiTheme="minorEastAsia" w:hint="eastAsia"/>
          <w:color w:val="000000" w:themeColor="text1"/>
          <w:szCs w:val="21"/>
        </w:rPr>
        <w:t>时，基金管理人应</w:t>
      </w:r>
      <w:r w:rsidRPr="00490741">
        <w:rPr>
          <w:rFonts w:asciiTheme="minorEastAsia" w:eastAsiaTheme="minorEastAsia" w:hAnsiTheme="minorEastAsia"/>
          <w:color w:val="000000" w:themeColor="text1"/>
          <w:szCs w:val="21"/>
        </w:rPr>
        <w:t>报</w:t>
      </w:r>
      <w:r w:rsidRPr="00490741">
        <w:rPr>
          <w:rFonts w:asciiTheme="minorEastAsia" w:eastAsiaTheme="minorEastAsia" w:hAnsiTheme="minorEastAsia" w:hint="eastAsia"/>
          <w:color w:val="000000" w:themeColor="text1"/>
          <w:szCs w:val="21"/>
        </w:rPr>
        <w:t>中国证监会</w:t>
      </w:r>
      <w:r w:rsidRPr="00490741">
        <w:rPr>
          <w:rFonts w:asciiTheme="minorEastAsia" w:eastAsiaTheme="minorEastAsia" w:hAnsiTheme="minorEastAsia"/>
          <w:color w:val="000000" w:themeColor="text1"/>
          <w:szCs w:val="21"/>
        </w:rPr>
        <w:t>备案</w:t>
      </w:r>
      <w:r w:rsidRPr="00490741">
        <w:rPr>
          <w:rFonts w:asciiTheme="minorEastAsia" w:eastAsiaTheme="minorEastAsia" w:hAnsiTheme="minorEastAsia" w:hint="eastAsia"/>
          <w:color w:val="000000" w:themeColor="text1"/>
          <w:szCs w:val="21"/>
        </w:rPr>
        <w:t>；当估值错误偏差达到</w:t>
      </w:r>
      <w:r w:rsidRPr="00490741">
        <w:rPr>
          <w:rFonts w:asciiTheme="minorEastAsia" w:eastAsiaTheme="minorEastAsia" w:hAnsiTheme="minorEastAsia"/>
          <w:color w:val="000000" w:themeColor="text1"/>
          <w:szCs w:val="21"/>
        </w:rPr>
        <w:t>基金份额净值</w:t>
      </w:r>
      <w:r w:rsidRPr="00490741">
        <w:rPr>
          <w:rFonts w:asciiTheme="minorEastAsia" w:eastAsiaTheme="minorEastAsia" w:hAnsiTheme="minorEastAsia" w:hint="eastAsia"/>
          <w:color w:val="000000" w:themeColor="text1"/>
          <w:szCs w:val="21"/>
        </w:rPr>
        <w:t>的</w:t>
      </w:r>
      <w:r w:rsidRPr="00490741">
        <w:rPr>
          <w:rFonts w:asciiTheme="minorEastAsia" w:eastAsiaTheme="minorEastAsia" w:hAnsiTheme="minorEastAsia"/>
          <w:color w:val="000000" w:themeColor="text1"/>
          <w:szCs w:val="21"/>
        </w:rPr>
        <w:t>0.5%</w:t>
      </w:r>
      <w:r w:rsidRPr="00490741">
        <w:rPr>
          <w:rFonts w:asciiTheme="minorEastAsia" w:eastAsiaTheme="minorEastAsia" w:hAnsiTheme="minorEastAsia" w:hint="eastAsia"/>
          <w:color w:val="000000" w:themeColor="text1"/>
          <w:szCs w:val="21"/>
        </w:rPr>
        <w:t>时，基金管理人</w:t>
      </w:r>
      <w:r w:rsidRPr="00490741">
        <w:rPr>
          <w:rFonts w:asciiTheme="minorEastAsia" w:eastAsiaTheme="minorEastAsia" w:hAnsiTheme="minorEastAsia"/>
          <w:color w:val="000000" w:themeColor="text1"/>
          <w:szCs w:val="21"/>
        </w:rPr>
        <w:t>应当公告，</w:t>
      </w:r>
      <w:r w:rsidRPr="00490741">
        <w:rPr>
          <w:rFonts w:asciiTheme="minorEastAsia" w:eastAsiaTheme="minorEastAsia" w:hAnsiTheme="minorEastAsia"/>
          <w:color w:val="000000" w:themeColor="text1"/>
          <w:szCs w:val="21"/>
        </w:rPr>
        <w:t>并报</w:t>
      </w:r>
      <w:r w:rsidRPr="00490741">
        <w:rPr>
          <w:rFonts w:asciiTheme="minorEastAsia" w:eastAsiaTheme="minorEastAsia" w:hAnsiTheme="minorEastAsia" w:hint="eastAsia"/>
          <w:color w:val="000000" w:themeColor="text1"/>
          <w:szCs w:val="21"/>
        </w:rPr>
        <w:t>中国证监会</w:t>
      </w:r>
      <w:r w:rsidRPr="00490741">
        <w:rPr>
          <w:rFonts w:asciiTheme="minorEastAsia" w:eastAsiaTheme="minorEastAsia" w:hAnsiTheme="minorEastAsia"/>
          <w:color w:val="000000" w:themeColor="text1"/>
          <w:szCs w:val="21"/>
        </w:rPr>
        <w:t>备案。</w:t>
      </w:r>
      <w:r w:rsidRPr="00490741">
        <w:rPr>
          <w:rFonts w:asciiTheme="minorEastAsia" w:eastAsiaTheme="minorEastAsia" w:hAnsiTheme="minorEastAsia" w:hint="eastAsia"/>
          <w:color w:val="000000" w:themeColor="text1"/>
          <w:szCs w:val="21"/>
        </w:rPr>
        <w:t>因基</w:t>
      </w:r>
      <w:r w:rsidRPr="00490741">
        <w:rPr>
          <w:rFonts w:asciiTheme="minorEastAsia" w:eastAsiaTheme="minorEastAsia" w:hAnsiTheme="minorEastAsia" w:hint="eastAsia"/>
          <w:color w:val="000000" w:themeColor="text1"/>
          <w:szCs w:val="21"/>
        </w:rPr>
        <w:t>金估值错误给投资者造成损失的，应先由基金管理人承担，基金管理人对不应由其承担的责任，有权向过错人追偿。</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关于差错处理，本合同的当事人按照以下约定处理：</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1</w:t>
      </w:r>
      <w:r w:rsidRPr="00490741" w:rsidR="00CE2F50">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差错类型</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2</w:t>
      </w:r>
      <w:r w:rsidRPr="00490741" w:rsidR="00CE2F50">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差错处理原则</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1</w:t>
      </w:r>
      <w:r w:rsidRPr="00490741">
        <w:rPr>
          <w:rFonts w:asciiTheme="minorEastAsia" w:eastAsiaTheme="minorEastAsia" w:hAnsiTheme="minorEastAsia" w:hint="eastAsia"/>
          <w:color w:val="000000" w:themeColor="text1"/>
          <w:szCs w:val="21"/>
        </w:rPr>
        <w:t>）差错已发生，但尚未给当事人造成损失时，差错责任方应及时协调各方，及时进行更正，因更正差</w:t>
      </w:r>
      <w:r w:rsidRPr="00490741">
        <w:rPr>
          <w:rFonts w:asciiTheme="minorEastAsia" w:eastAsiaTheme="minorEastAsia" w:hAnsiTheme="minorEastAsia" w:hint="eastAsia"/>
          <w:color w:val="000000" w:themeColor="text1"/>
          <w:szCs w:val="21"/>
        </w:rPr>
        <w:t>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2</w:t>
      </w:r>
      <w:r w:rsidRPr="00490741">
        <w:rPr>
          <w:rFonts w:asciiTheme="minorEastAsia" w:eastAsiaTheme="minorEastAsia" w:hAnsiTheme="minorEastAsia" w:hint="eastAsia"/>
          <w:color w:val="000000" w:themeColor="text1"/>
          <w:szCs w:val="21"/>
        </w:rPr>
        <w:t>）差错的责任方对可能导致有关当事人的直接损失负责，不对间接损失负责，并且仅对差错的有关直接当事人负责，不对第三方负责。</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3</w:t>
      </w:r>
      <w:r w:rsidRPr="00490741">
        <w:rPr>
          <w:rFonts w:asciiTheme="minorEastAsia" w:eastAsiaTheme="minorEastAsia" w:hAnsiTheme="minorEastAsia" w:hint="eastAsia"/>
          <w:color w:val="000000" w:themeColor="text1"/>
          <w:szCs w:val="21"/>
        </w:rPr>
        <w:t>）因差错而获得不当得利的当事人负有及时返还不当得利的义务。但差错责任方仍应对差错负责，如果由于获得不当得利的</w:t>
      </w:r>
      <w:r w:rsidRPr="00490741">
        <w:rPr>
          <w:rFonts w:asciiTheme="minorEastAsia" w:eastAsiaTheme="minorEastAsia" w:hAnsiTheme="minorEastAsia" w:hint="eastAsia"/>
          <w:color w:val="000000" w:themeColor="text1"/>
          <w:szCs w:val="21"/>
        </w:rPr>
        <w:t>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4</w:t>
      </w:r>
      <w:r w:rsidRPr="00490741">
        <w:rPr>
          <w:rFonts w:asciiTheme="minorEastAsia" w:eastAsiaTheme="minorEastAsia" w:hAnsiTheme="minorEastAsia" w:hint="eastAsia"/>
          <w:color w:val="000000" w:themeColor="text1"/>
          <w:szCs w:val="21"/>
        </w:rPr>
        <w:t>）差错调整采用尽量恢复至假设未发生差错的正确情形的方式。</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5</w:t>
      </w:r>
      <w:r w:rsidRPr="00490741">
        <w:rPr>
          <w:rFonts w:asciiTheme="minorEastAsia" w:eastAsiaTheme="minorEastAsia" w:hAnsiTheme="minorEastAsia" w:hint="eastAsia"/>
          <w:color w:val="000000" w:themeColor="text1"/>
          <w:szCs w:val="21"/>
        </w:rPr>
        <w:t>）差错责任方拒绝进行赔偿时，如果因基金管理人过错造成基金资产损失时，基金托管人应为基金的利益向基金</w:t>
      </w:r>
      <w:r w:rsidRPr="00490741">
        <w:rPr>
          <w:rFonts w:asciiTheme="minorEastAsia" w:eastAsiaTheme="minorEastAsia" w:hAnsiTheme="minorEastAsia" w:hint="eastAsia"/>
          <w:color w:val="000000" w:themeColor="text1"/>
          <w:szCs w:val="21"/>
        </w:rPr>
        <w:t>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6</w:t>
      </w:r>
      <w:r w:rsidRPr="00490741">
        <w:rPr>
          <w:rFonts w:asciiTheme="minorEastAsia" w:eastAsiaTheme="minorEastAsia" w:hAnsiTheme="minorEastAsia" w:hint="eastAsia"/>
          <w:color w:val="000000" w:themeColor="text1"/>
          <w:szCs w:val="21"/>
        </w:rPr>
        <w:t>）如果出现差错的当事人未按规定对受损方进行赔偿，并且依据法律、行政法规、《基金合同》或其他规定，基金管理人自行或依据法院判决、仲裁裁决对受损方承担了赔偿</w:t>
      </w:r>
      <w:r w:rsidRPr="00490741">
        <w:rPr>
          <w:rFonts w:asciiTheme="minorEastAsia" w:eastAsiaTheme="minorEastAsia" w:hAnsiTheme="minorEastAsia" w:hint="eastAsia"/>
          <w:color w:val="000000" w:themeColor="text1"/>
          <w:szCs w:val="21"/>
        </w:rPr>
        <w:t>责任，则基金管理人有权向出现过错的当事人进行追索，并有权要求其赔偿或补偿由此发生的费用和遭受的损失。</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7</w:t>
      </w:r>
      <w:r w:rsidRPr="00490741">
        <w:rPr>
          <w:rFonts w:asciiTheme="minorEastAsia" w:eastAsiaTheme="minorEastAsia" w:hAnsiTheme="minorEastAsia" w:hint="eastAsia"/>
          <w:color w:val="000000" w:themeColor="text1"/>
          <w:szCs w:val="21"/>
        </w:rPr>
        <w:t>）按法律法规规定的其他原则处理差错。</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3</w:t>
      </w:r>
      <w:r w:rsidRPr="00490741" w:rsidR="00CE2F50">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差错处理程序</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差错被发现后，有关的当事人应当及时进行处理，处理的程序如下：</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1</w:t>
      </w:r>
      <w:r w:rsidRPr="00490741">
        <w:rPr>
          <w:rFonts w:asciiTheme="minorEastAsia" w:eastAsiaTheme="minorEastAsia" w:hAnsiTheme="minorEastAsia" w:hint="eastAsia"/>
          <w:color w:val="000000" w:themeColor="text1"/>
          <w:szCs w:val="21"/>
        </w:rPr>
        <w:t>）查明差错发生的原因，列明所有的当事人，并根据差错发生的原因确定差错的责任方；</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2</w:t>
      </w:r>
      <w:r w:rsidRPr="00490741">
        <w:rPr>
          <w:rFonts w:asciiTheme="minorEastAsia" w:eastAsiaTheme="minorEastAsia" w:hAnsiTheme="minorEastAsia" w:hint="eastAsia"/>
          <w:color w:val="000000" w:themeColor="text1"/>
          <w:szCs w:val="21"/>
        </w:rPr>
        <w:t>）根据差错处理原则或当事人协商的方法对因差错造成的损失进行评估；</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3</w:t>
      </w:r>
      <w:r w:rsidRPr="00490741">
        <w:rPr>
          <w:rFonts w:asciiTheme="minorEastAsia" w:eastAsiaTheme="minorEastAsia" w:hAnsiTheme="minorEastAsia" w:hint="eastAsia"/>
          <w:color w:val="000000" w:themeColor="text1"/>
          <w:szCs w:val="21"/>
        </w:rPr>
        <w:t>）根据差错处理原则或当事人协商的方法由差错的责任方进行更正和赔偿损失；</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4</w:t>
      </w:r>
      <w:r w:rsidRPr="00490741">
        <w:rPr>
          <w:rFonts w:asciiTheme="minorEastAsia" w:eastAsiaTheme="minorEastAsia" w:hAnsiTheme="minorEastAsia" w:hint="eastAsia"/>
          <w:color w:val="000000" w:themeColor="text1"/>
          <w:szCs w:val="21"/>
        </w:rPr>
        <w:t>）根据差错处理的方法，需要修改基金注册登记机构的交易数据的，由基金注册登记机构进行更正，并就差错的更正向有关当事人进行确认；</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5</w:t>
      </w:r>
      <w:r w:rsidRPr="00490741">
        <w:rPr>
          <w:rFonts w:asciiTheme="minorEastAsia" w:eastAsiaTheme="minorEastAsia" w:hAnsiTheme="minorEastAsia" w:hint="eastAsia"/>
          <w:color w:val="000000" w:themeColor="text1"/>
          <w:szCs w:val="21"/>
        </w:rPr>
        <w:t>）基金管理人及基金托管人基金份额净值计算错误偏差达到基金份额净值的</w:t>
      </w:r>
      <w:r w:rsidRPr="00490741">
        <w:rPr>
          <w:rFonts w:asciiTheme="minorEastAsia" w:eastAsiaTheme="minorEastAsia" w:hAnsiTheme="minorEastAsia"/>
          <w:color w:val="000000" w:themeColor="text1"/>
          <w:szCs w:val="21"/>
        </w:rPr>
        <w:t>0.</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color w:val="000000" w:themeColor="text1"/>
          <w:szCs w:val="21"/>
        </w:rPr>
        <w:t>5%</w:t>
      </w:r>
      <w:r w:rsidRPr="00490741">
        <w:rPr>
          <w:rFonts w:asciiTheme="minorEastAsia" w:eastAsiaTheme="minorEastAsia" w:hAnsiTheme="minorEastAsia" w:hint="eastAsia"/>
          <w:color w:val="000000" w:themeColor="text1"/>
          <w:szCs w:val="21"/>
        </w:rPr>
        <w:t>时，基金</w:t>
      </w:r>
      <w:r w:rsidRPr="00490741">
        <w:rPr>
          <w:rFonts w:asciiTheme="minorEastAsia" w:eastAsiaTheme="minorEastAsia" w:hAnsiTheme="minorEastAsia" w:hint="eastAsia"/>
          <w:color w:val="000000" w:themeColor="text1"/>
          <w:szCs w:val="21"/>
        </w:rPr>
        <w:t>管理人应当报告中国证监会；基金管理人及基金托管人基金份额净值计算错误偏差达到基金份额净值的</w:t>
      </w:r>
      <w:r w:rsidRPr="00490741">
        <w:rPr>
          <w:rFonts w:asciiTheme="minorEastAsia" w:eastAsiaTheme="minorEastAsia" w:hAnsiTheme="minorEastAsia"/>
          <w:color w:val="000000" w:themeColor="text1"/>
          <w:szCs w:val="21"/>
        </w:rPr>
        <w:t>0.5%</w:t>
      </w:r>
      <w:r w:rsidRPr="00490741">
        <w:rPr>
          <w:rFonts w:asciiTheme="minorEastAsia" w:eastAsiaTheme="minorEastAsia" w:hAnsiTheme="minorEastAsia" w:hint="eastAsia"/>
          <w:color w:val="000000" w:themeColor="text1"/>
          <w:szCs w:val="21"/>
        </w:rPr>
        <w:t>时，基金管理人应当公告并报中国证监会备案。</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38" w:name="_Toc114237447"/>
      <w:r w:rsidRPr="00490741">
        <w:rPr>
          <w:rFonts w:asciiTheme="minorEastAsia" w:eastAsiaTheme="minorEastAsia" w:hAnsiTheme="minorEastAsia" w:hint="eastAsia"/>
          <w:b w:val="0"/>
          <w:color w:val="000000" w:themeColor="text1"/>
        </w:rPr>
        <w:t>（八）特殊情形的处理</w:t>
      </w:r>
      <w:bookmarkEnd w:id="138"/>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、基金管理人按估值方法的第</w:t>
      </w:r>
      <w:r w:rsidRPr="00490741" w:rsidR="00371F41">
        <w:rPr>
          <w:rFonts w:asciiTheme="minorEastAsia" w:eastAsiaTheme="minorEastAsia" w:hAnsiTheme="minorEastAsia" w:hint="eastAsia"/>
          <w:color w:val="000000" w:themeColor="text1"/>
          <w:szCs w:val="21"/>
        </w:rPr>
        <w:t>7</w:t>
      </w:r>
      <w:r w:rsidRPr="00490741">
        <w:rPr>
          <w:rFonts w:asciiTheme="minorEastAsia" w:eastAsiaTheme="minorEastAsia" w:hAnsiTheme="minorEastAsia" w:hint="eastAsia"/>
          <w:color w:val="000000" w:themeColor="text1"/>
          <w:szCs w:val="21"/>
        </w:rPr>
        <w:t>项进行估值时，所造成的误差不作为基金资产估值错误处理；</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E1094C" w:rsidRPr="00490741" w:rsidP="00107648">
      <w:pPr>
        <w:snapToGrid w:val="0"/>
        <w:spacing w:line="360" w:lineRule="auto"/>
        <w:ind w:firstLine="480"/>
        <w:rPr>
          <w:rFonts w:asciiTheme="minorEastAsia" w:eastAsiaTheme="minorEastAsia" w:hAnsiTheme="minorEastAsia"/>
          <w:color w:val="000000" w:themeColor="text1"/>
          <w:szCs w:val="21"/>
        </w:rPr>
        <w:sectPr w:rsidSect="0035472D">
          <w:pgSz w:w="11906" w:h="16838" w:code="9"/>
          <w:pgMar w:top="1440" w:right="1800" w:bottom="1440" w:left="1800" w:header="851" w:footer="992" w:gutter="0"/>
          <w:cols w:space="425"/>
          <w:docGrid w:type="lines" w:linePitch="312"/>
        </w:sectPr>
      </w:pPr>
    </w:p>
    <w:p w:rsidR="0002608C" w:rsidRPr="00490741" w:rsidP="00107648">
      <w:pPr>
        <w:pStyle w:val="Heading1"/>
        <w:snapToGrid w:val="0"/>
        <w:spacing w:beforeLines="0" w:afterLines="0" w:line="360" w:lineRule="auto"/>
        <w:ind w:firstLine="643"/>
        <w:rPr>
          <w:rFonts w:asciiTheme="minorEastAsia" w:eastAsiaTheme="minorEastAsia" w:hAnsiTheme="minorEastAsia"/>
          <w:bCs/>
          <w:color w:val="000000" w:themeColor="text1"/>
        </w:rPr>
      </w:pPr>
      <w:bookmarkStart w:id="139" w:name="_Toc114237448"/>
      <w:r w:rsidRPr="00490741">
        <w:rPr>
          <w:rFonts w:asciiTheme="minorEastAsia" w:eastAsiaTheme="minorEastAsia" w:hAnsiTheme="minorEastAsia" w:hint="eastAsia"/>
          <w:b/>
          <w:bCs/>
          <w:color w:val="000000" w:themeColor="text1"/>
        </w:rPr>
        <w:t>十五、基金的收益与分配</w:t>
      </w:r>
      <w:bookmarkEnd w:id="139"/>
    </w:p>
    <w:p w:rsidR="0002608C" w:rsidRPr="00490741" w:rsidP="00B61007">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40" w:name="_Toc84149664"/>
      <w:bookmarkStart w:id="141" w:name="_Toc86584639"/>
      <w:bookmarkStart w:id="142" w:name="_Toc114237449"/>
      <w:r w:rsidRPr="00490741">
        <w:rPr>
          <w:rFonts w:asciiTheme="minorEastAsia" w:eastAsiaTheme="minorEastAsia" w:hAnsiTheme="minorEastAsia" w:hint="eastAsia"/>
          <w:b w:val="0"/>
          <w:color w:val="000000" w:themeColor="text1"/>
        </w:rPr>
        <w:t>（一）收益的构成</w:t>
      </w:r>
      <w:bookmarkEnd w:id="140"/>
      <w:bookmarkEnd w:id="141"/>
      <w:bookmarkEnd w:id="142"/>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基金收益包括：基金投资所得红利、股息、债券利息、买卖证券差价、银行存款利息以及其他收入。因运用基金</w:t>
      </w:r>
      <w:r w:rsidRPr="00490741">
        <w:rPr>
          <w:rFonts w:asciiTheme="minorEastAsia" w:eastAsiaTheme="minorEastAsia" w:hAnsiTheme="minorEastAsia" w:hint="eastAsia"/>
          <w:color w:val="000000" w:themeColor="text1"/>
        </w:rPr>
        <w:t>资</w:t>
      </w:r>
      <w:r w:rsidRPr="00490741">
        <w:rPr>
          <w:rFonts w:asciiTheme="minorEastAsia" w:eastAsiaTheme="minorEastAsia" w:hAnsiTheme="minorEastAsia" w:hint="eastAsia"/>
          <w:color w:val="000000" w:themeColor="text1"/>
          <w:szCs w:val="21"/>
        </w:rPr>
        <w:t>产带来的成本或费用的节约计入收</w:t>
      </w:r>
      <w:r w:rsidRPr="00490741">
        <w:rPr>
          <w:rFonts w:asciiTheme="minorEastAsia" w:eastAsiaTheme="minorEastAsia" w:hAnsiTheme="minorEastAsia" w:hint="eastAsia"/>
          <w:color w:val="000000" w:themeColor="text1"/>
          <w:szCs w:val="21"/>
        </w:rPr>
        <w:t>益。</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基金净收益为基金收益扣除按照有关规定可以在基金收益中扣除的费用等项目后的余额。</w:t>
      </w:r>
    </w:p>
    <w:p w:rsidR="0002608C" w:rsidRPr="00490741" w:rsidP="00B61007">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43" w:name="_Toc84149665"/>
      <w:bookmarkStart w:id="144" w:name="_Toc86584640"/>
      <w:bookmarkStart w:id="145" w:name="_Toc114237450"/>
      <w:r w:rsidRPr="00490741">
        <w:rPr>
          <w:rFonts w:asciiTheme="minorEastAsia" w:eastAsiaTheme="minorEastAsia" w:hAnsiTheme="minorEastAsia" w:hint="eastAsia"/>
          <w:b w:val="0"/>
          <w:color w:val="000000" w:themeColor="text1"/>
        </w:rPr>
        <w:t>（二）收益分配原则</w:t>
      </w:r>
      <w:bookmarkEnd w:id="143"/>
      <w:bookmarkEnd w:id="144"/>
      <w:bookmarkEnd w:id="145"/>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、在符合有关基金分红条件的前提下，本基金每年收益分配次数最少一次，最多为六次，全年分配比例不得低于年度可供分配收益的</w:t>
      </w:r>
      <w:r w:rsidRPr="00490741">
        <w:rPr>
          <w:rFonts w:asciiTheme="minorEastAsia" w:eastAsiaTheme="minorEastAsia" w:hAnsiTheme="minorEastAsia" w:hint="eastAsia"/>
          <w:color w:val="000000" w:themeColor="text1"/>
          <w:szCs w:val="21"/>
        </w:rPr>
        <w:t>50%</w:t>
      </w:r>
      <w:r w:rsidRPr="00490741">
        <w:rPr>
          <w:rFonts w:asciiTheme="minorEastAsia" w:eastAsiaTheme="minorEastAsia" w:hAnsiTheme="minorEastAsia" w:hint="eastAsia"/>
          <w:color w:val="000000" w:themeColor="text1"/>
          <w:szCs w:val="21"/>
        </w:rPr>
        <w:t>，若基金合同生效不满</w:t>
      </w: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个月可不进行收益分配；</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本基金收益分配方式分两种：现金分红与红利再投资，投资人可选择现金红利或将现金红利按红利发放日前一工作日的基金份额净值自动转为基金份额进行再投资；若投资者不选择，本基金默认的收益分配方式是现金分红；</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、基金投资当期出现净亏损，则不进行收益分配；</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、基金当年收益应先弥补上一年度亏损后，才可进行当年收益分配；</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5</w:t>
      </w:r>
      <w:r w:rsidRPr="00490741">
        <w:rPr>
          <w:rFonts w:asciiTheme="minorEastAsia" w:eastAsiaTheme="minorEastAsia" w:hAnsiTheme="minorEastAsia" w:hint="eastAsia"/>
          <w:color w:val="000000" w:themeColor="text1"/>
          <w:szCs w:val="21"/>
        </w:rPr>
        <w:t>、基金收益分配后基金份额净值不能低于面值；</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6</w:t>
      </w:r>
      <w:r w:rsidRPr="00490741">
        <w:rPr>
          <w:rFonts w:asciiTheme="minorEastAsia" w:eastAsiaTheme="minorEastAsia" w:hAnsiTheme="minorEastAsia" w:hint="eastAsia"/>
          <w:color w:val="000000" w:themeColor="text1"/>
          <w:szCs w:val="21"/>
        </w:rPr>
        <w:t>、每一基金份额享有同等分配权；</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7</w:t>
      </w:r>
      <w:r w:rsidRPr="00490741">
        <w:rPr>
          <w:rFonts w:asciiTheme="minorEastAsia" w:eastAsiaTheme="minorEastAsia" w:hAnsiTheme="minorEastAsia" w:hint="eastAsia"/>
          <w:color w:val="000000" w:themeColor="text1"/>
          <w:szCs w:val="21"/>
        </w:rPr>
        <w:t>、法律法规或监管机关另有规定的，从其规定。</w:t>
      </w:r>
    </w:p>
    <w:p w:rsidR="0002608C" w:rsidRPr="00490741" w:rsidP="00B61007">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46" w:name="_Toc84149666"/>
      <w:bookmarkStart w:id="147" w:name="_Toc86584642"/>
      <w:bookmarkStart w:id="148" w:name="_Toc114237451"/>
      <w:r w:rsidRPr="00490741">
        <w:rPr>
          <w:rFonts w:asciiTheme="minorEastAsia" w:eastAsiaTheme="minorEastAsia" w:hAnsiTheme="minorEastAsia" w:hint="eastAsia"/>
          <w:b w:val="0"/>
          <w:color w:val="000000" w:themeColor="text1"/>
        </w:rPr>
        <w:t>（三）收益分配方案的确定与公告</w:t>
      </w:r>
      <w:bookmarkEnd w:id="146"/>
      <w:bookmarkEnd w:id="147"/>
      <w:bookmarkEnd w:id="148"/>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本基金收益分配方案由基金管理人拟定，并由基金托管人复核，</w:t>
      </w:r>
      <w:r w:rsidRPr="00490741" w:rsidR="00DE5F25">
        <w:rPr>
          <w:rFonts w:asciiTheme="minorEastAsia" w:eastAsiaTheme="minorEastAsia" w:hAnsiTheme="minorEastAsia" w:hint="eastAsia"/>
          <w:color w:val="000000" w:themeColor="text1"/>
          <w:szCs w:val="21"/>
        </w:rPr>
        <w:t>在2日内在指定媒介公告。</w:t>
      </w:r>
    </w:p>
    <w:p w:rsidR="0002608C" w:rsidRPr="00490741" w:rsidP="00B61007">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49" w:name="_Toc84149667"/>
      <w:bookmarkStart w:id="150" w:name="_Toc86584643"/>
      <w:bookmarkStart w:id="151" w:name="_Toc114237452"/>
      <w:r w:rsidRPr="00490741">
        <w:rPr>
          <w:rFonts w:asciiTheme="minorEastAsia" w:eastAsiaTheme="minorEastAsia" w:hAnsiTheme="minorEastAsia" w:hint="eastAsia"/>
          <w:b w:val="0"/>
          <w:color w:val="000000" w:themeColor="text1"/>
        </w:rPr>
        <w:t>（四）</w:t>
      </w:r>
      <w:r w:rsidRPr="00490741">
        <w:rPr>
          <w:rFonts w:asciiTheme="minorEastAsia" w:eastAsiaTheme="minorEastAsia" w:hAnsiTheme="minorEastAsia"/>
          <w:b w:val="0"/>
          <w:color w:val="000000" w:themeColor="text1"/>
        </w:rPr>
        <w:t>收益分配中发生的费用</w:t>
      </w:r>
      <w:bookmarkEnd w:id="149"/>
      <w:bookmarkEnd w:id="150"/>
      <w:bookmarkEnd w:id="151"/>
    </w:p>
    <w:p w:rsidR="00E1094C" w:rsidRPr="00490741" w:rsidP="00107648">
      <w:pPr>
        <w:snapToGrid w:val="0"/>
        <w:spacing w:line="360" w:lineRule="auto"/>
        <w:ind w:firstLine="420"/>
        <w:rPr>
          <w:rFonts w:asciiTheme="minorEastAsia" w:eastAsiaTheme="minorEastAsia" w:hAnsiTheme="minorEastAsia"/>
          <w:color w:val="000000" w:themeColor="text1"/>
          <w:szCs w:val="21"/>
        </w:rPr>
        <w:sectPr w:rsidSect="0035472D">
          <w:pgSz w:w="11906" w:h="16838" w:code="9"/>
          <w:pgMar w:top="1440" w:right="1800" w:bottom="1440" w:left="1800" w:header="851" w:footer="992" w:gutter="0"/>
          <w:cols w:space="425"/>
          <w:docGrid w:type="lines" w:linePitch="312"/>
        </w:sectPr>
      </w:pPr>
      <w:r w:rsidRPr="00490741">
        <w:rPr>
          <w:rFonts w:asciiTheme="minorEastAsia" w:eastAsiaTheme="minorEastAsia" w:hAnsiTheme="minorEastAsia" w:hint="eastAsia"/>
          <w:color w:val="000000" w:themeColor="text1"/>
          <w:szCs w:val="21"/>
        </w:rPr>
        <w:t>红利分配时所发生的银行转账或其他手续费用由投资者自行承担。当投资者的现金红利小于一定金额，不足于支付银行转账或其他手续费用时，基金注册登记机构可将投资者的现金红利按红利发放日前一工作日的基金份额净值自动转为基金份额。红利再投资的计算方法，依照业务规则执行。</w:t>
      </w:r>
    </w:p>
    <w:p w:rsidR="0002608C" w:rsidRPr="00490741" w:rsidP="00107648">
      <w:pPr>
        <w:pStyle w:val="Heading1"/>
        <w:snapToGrid w:val="0"/>
        <w:spacing w:beforeLines="0" w:afterLines="0" w:line="360" w:lineRule="auto"/>
        <w:ind w:firstLine="643"/>
        <w:rPr>
          <w:rFonts w:asciiTheme="minorEastAsia" w:eastAsiaTheme="minorEastAsia" w:hAnsiTheme="minorEastAsia"/>
          <w:bCs/>
          <w:color w:val="000000" w:themeColor="text1"/>
        </w:rPr>
      </w:pPr>
      <w:bookmarkStart w:id="152" w:name="_Toc114237453"/>
      <w:r w:rsidRPr="00490741">
        <w:rPr>
          <w:rFonts w:asciiTheme="minorEastAsia" w:eastAsiaTheme="minorEastAsia" w:hAnsiTheme="minorEastAsia" w:hint="eastAsia"/>
          <w:b/>
          <w:bCs/>
          <w:color w:val="000000" w:themeColor="text1"/>
        </w:rPr>
        <w:t>十六、基金的费用与税收</w:t>
      </w:r>
      <w:bookmarkEnd w:id="152"/>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53" w:name="_Toc84149669"/>
      <w:bookmarkStart w:id="154" w:name="_Toc86584633"/>
      <w:bookmarkStart w:id="155" w:name="_Toc114237454"/>
      <w:r w:rsidRPr="00490741">
        <w:rPr>
          <w:rFonts w:asciiTheme="minorEastAsia" w:eastAsiaTheme="minorEastAsia" w:hAnsiTheme="minorEastAsia" w:hint="eastAsia"/>
          <w:b w:val="0"/>
          <w:color w:val="000000" w:themeColor="text1"/>
        </w:rPr>
        <w:t>（一）与基金运作相关的费用</w:t>
      </w:r>
      <w:bookmarkEnd w:id="153"/>
      <w:bookmarkEnd w:id="154"/>
      <w:bookmarkEnd w:id="155"/>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s="Arial"/>
          <w:b/>
          <w:color w:val="000000" w:themeColor="text1"/>
          <w:kern w:val="0"/>
          <w:szCs w:val="21"/>
        </w:rPr>
      </w:pPr>
      <w:r w:rsidRPr="00490741">
        <w:rPr>
          <w:rFonts w:asciiTheme="minorEastAsia" w:eastAsiaTheme="minorEastAsia" w:hAnsiTheme="minorEastAsia" w:cs="Arial" w:hint="eastAsia"/>
          <w:b/>
          <w:color w:val="000000" w:themeColor="text1"/>
          <w:kern w:val="0"/>
          <w:szCs w:val="21"/>
        </w:rPr>
        <w:t>1</w:t>
      </w:r>
      <w:r w:rsidRPr="00490741">
        <w:rPr>
          <w:rFonts w:asciiTheme="minorEastAsia" w:eastAsiaTheme="minorEastAsia" w:hAnsiTheme="minorEastAsia" w:cs="Arial" w:hint="eastAsia"/>
          <w:b/>
          <w:color w:val="000000" w:themeColor="text1"/>
          <w:kern w:val="0"/>
          <w:szCs w:val="21"/>
        </w:rPr>
        <w:t>、基金费用的种类</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s="Arial"/>
          <w:color w:val="000000" w:themeColor="text1"/>
          <w:kern w:val="0"/>
          <w:szCs w:val="21"/>
        </w:rPr>
      </w:pPr>
      <w:r w:rsidRPr="00490741">
        <w:rPr>
          <w:rFonts w:asciiTheme="minorEastAsia" w:eastAsiaTheme="minorEastAsia" w:hAnsiTheme="minorEastAsia" w:cs="Arial" w:hint="eastAsia"/>
          <w:color w:val="000000" w:themeColor="text1"/>
          <w:kern w:val="0"/>
          <w:szCs w:val="21"/>
        </w:rPr>
        <w:t>（</w:t>
      </w:r>
      <w:r w:rsidRPr="00490741">
        <w:rPr>
          <w:rFonts w:asciiTheme="minorEastAsia" w:eastAsiaTheme="minorEastAsia" w:hAnsiTheme="minorEastAsia" w:cs="Arial" w:hint="eastAsia"/>
          <w:color w:val="000000" w:themeColor="text1"/>
          <w:kern w:val="0"/>
          <w:szCs w:val="21"/>
        </w:rPr>
        <w:t>1</w:t>
      </w:r>
      <w:r w:rsidRPr="00490741">
        <w:rPr>
          <w:rFonts w:asciiTheme="minorEastAsia" w:eastAsiaTheme="minorEastAsia" w:hAnsiTheme="minorEastAsia" w:cs="Arial" w:hint="eastAsia"/>
          <w:color w:val="000000" w:themeColor="text1"/>
          <w:kern w:val="0"/>
          <w:szCs w:val="21"/>
        </w:rPr>
        <w:t>）基金管理人的管理费；</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s="Arial"/>
          <w:color w:val="000000" w:themeColor="text1"/>
          <w:kern w:val="0"/>
          <w:szCs w:val="21"/>
        </w:rPr>
      </w:pPr>
      <w:r w:rsidRPr="00490741">
        <w:rPr>
          <w:rFonts w:asciiTheme="minorEastAsia" w:eastAsiaTheme="minorEastAsia" w:hAnsiTheme="minorEastAsia" w:cs="Arial" w:hint="eastAsia"/>
          <w:color w:val="000000" w:themeColor="text1"/>
          <w:kern w:val="0"/>
          <w:szCs w:val="21"/>
        </w:rPr>
        <w:t>（</w:t>
      </w:r>
      <w:r w:rsidRPr="00490741">
        <w:rPr>
          <w:rFonts w:asciiTheme="minorEastAsia" w:eastAsiaTheme="minorEastAsia" w:hAnsiTheme="minorEastAsia" w:cs="Arial" w:hint="eastAsia"/>
          <w:color w:val="000000" w:themeColor="text1"/>
          <w:kern w:val="0"/>
          <w:szCs w:val="21"/>
        </w:rPr>
        <w:t>2</w:t>
      </w:r>
      <w:r w:rsidRPr="00490741">
        <w:rPr>
          <w:rFonts w:asciiTheme="minorEastAsia" w:eastAsiaTheme="minorEastAsia" w:hAnsiTheme="minorEastAsia" w:cs="Arial" w:hint="eastAsia"/>
          <w:color w:val="000000" w:themeColor="text1"/>
          <w:kern w:val="0"/>
          <w:szCs w:val="21"/>
        </w:rPr>
        <w:t>）基金托管人的托管费；</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s="Arial"/>
          <w:color w:val="000000" w:themeColor="text1"/>
          <w:kern w:val="0"/>
          <w:szCs w:val="21"/>
        </w:rPr>
      </w:pPr>
      <w:r w:rsidRPr="00490741">
        <w:rPr>
          <w:rFonts w:asciiTheme="minorEastAsia" w:eastAsiaTheme="minorEastAsia" w:hAnsiTheme="minorEastAsia" w:cs="Arial" w:hint="eastAsia"/>
          <w:color w:val="000000" w:themeColor="text1"/>
          <w:kern w:val="0"/>
          <w:szCs w:val="21"/>
        </w:rPr>
        <w:t>（</w:t>
      </w:r>
      <w:r w:rsidRPr="00490741">
        <w:rPr>
          <w:rFonts w:asciiTheme="minorEastAsia" w:eastAsiaTheme="minorEastAsia" w:hAnsiTheme="minorEastAsia" w:cs="Arial" w:hint="eastAsia"/>
          <w:color w:val="000000" w:themeColor="text1"/>
          <w:kern w:val="0"/>
          <w:szCs w:val="21"/>
        </w:rPr>
        <w:t>3</w:t>
      </w:r>
      <w:r w:rsidRPr="00490741">
        <w:rPr>
          <w:rFonts w:asciiTheme="minorEastAsia" w:eastAsiaTheme="minorEastAsia" w:hAnsiTheme="minorEastAsia" w:cs="Arial" w:hint="eastAsia"/>
          <w:color w:val="000000" w:themeColor="text1"/>
          <w:kern w:val="0"/>
          <w:szCs w:val="21"/>
        </w:rPr>
        <w:t>）基金合同生效后的信息披露费用；</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s="Arial"/>
          <w:color w:val="000000" w:themeColor="text1"/>
          <w:kern w:val="0"/>
          <w:szCs w:val="21"/>
        </w:rPr>
      </w:pPr>
      <w:r w:rsidRPr="00490741">
        <w:rPr>
          <w:rFonts w:asciiTheme="minorEastAsia" w:eastAsiaTheme="minorEastAsia" w:hAnsiTheme="minorEastAsia" w:cs="Arial" w:hint="eastAsia"/>
          <w:color w:val="000000" w:themeColor="text1"/>
          <w:kern w:val="0"/>
          <w:szCs w:val="21"/>
        </w:rPr>
        <w:t>（</w:t>
      </w:r>
      <w:r w:rsidRPr="00490741">
        <w:rPr>
          <w:rFonts w:asciiTheme="minorEastAsia" w:eastAsiaTheme="minorEastAsia" w:hAnsiTheme="minorEastAsia" w:cs="Arial" w:hint="eastAsia"/>
          <w:color w:val="000000" w:themeColor="text1"/>
          <w:kern w:val="0"/>
          <w:szCs w:val="21"/>
        </w:rPr>
        <w:t>4</w:t>
      </w:r>
      <w:r w:rsidRPr="00490741">
        <w:rPr>
          <w:rFonts w:asciiTheme="minorEastAsia" w:eastAsiaTheme="minorEastAsia" w:hAnsiTheme="minorEastAsia" w:cs="Arial" w:hint="eastAsia"/>
          <w:color w:val="000000" w:themeColor="text1"/>
          <w:kern w:val="0"/>
          <w:szCs w:val="21"/>
        </w:rPr>
        <w:t>）基金合同生效后的与基金相关的会计师费和律师费；</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s="Arial"/>
          <w:color w:val="000000" w:themeColor="text1"/>
          <w:kern w:val="0"/>
          <w:szCs w:val="21"/>
        </w:rPr>
      </w:pPr>
      <w:r w:rsidRPr="00490741">
        <w:rPr>
          <w:rFonts w:asciiTheme="minorEastAsia" w:eastAsiaTheme="minorEastAsia" w:hAnsiTheme="minorEastAsia" w:cs="Arial" w:hint="eastAsia"/>
          <w:color w:val="000000" w:themeColor="text1"/>
          <w:kern w:val="0"/>
          <w:szCs w:val="21"/>
        </w:rPr>
        <w:t>（</w:t>
      </w:r>
      <w:r w:rsidRPr="00490741">
        <w:rPr>
          <w:rFonts w:asciiTheme="minorEastAsia" w:eastAsiaTheme="minorEastAsia" w:hAnsiTheme="minorEastAsia" w:cs="Arial" w:hint="eastAsia"/>
          <w:color w:val="000000" w:themeColor="text1"/>
          <w:kern w:val="0"/>
          <w:szCs w:val="21"/>
        </w:rPr>
        <w:t>5</w:t>
      </w:r>
      <w:r w:rsidRPr="00490741">
        <w:rPr>
          <w:rFonts w:asciiTheme="minorEastAsia" w:eastAsiaTheme="minorEastAsia" w:hAnsiTheme="minorEastAsia" w:cs="Arial" w:hint="eastAsia"/>
          <w:color w:val="000000" w:themeColor="text1"/>
          <w:kern w:val="0"/>
          <w:szCs w:val="21"/>
        </w:rPr>
        <w:t>）基金份额持有人大会费用；</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s="Arial"/>
          <w:color w:val="000000" w:themeColor="text1"/>
          <w:kern w:val="0"/>
          <w:szCs w:val="21"/>
        </w:rPr>
      </w:pPr>
      <w:r w:rsidRPr="00490741">
        <w:rPr>
          <w:rFonts w:asciiTheme="minorEastAsia" w:eastAsiaTheme="minorEastAsia" w:hAnsiTheme="minorEastAsia" w:cs="Arial" w:hint="eastAsia"/>
          <w:color w:val="000000" w:themeColor="text1"/>
          <w:kern w:val="0"/>
          <w:szCs w:val="21"/>
        </w:rPr>
        <w:t>（</w:t>
      </w:r>
      <w:r w:rsidRPr="00490741">
        <w:rPr>
          <w:rFonts w:asciiTheme="minorEastAsia" w:eastAsiaTheme="minorEastAsia" w:hAnsiTheme="minorEastAsia" w:cs="Arial" w:hint="eastAsia"/>
          <w:color w:val="000000" w:themeColor="text1"/>
          <w:kern w:val="0"/>
          <w:szCs w:val="21"/>
        </w:rPr>
        <w:t>6</w:t>
      </w:r>
      <w:r w:rsidRPr="00490741">
        <w:rPr>
          <w:rFonts w:asciiTheme="minorEastAsia" w:eastAsiaTheme="minorEastAsia" w:hAnsiTheme="minorEastAsia" w:cs="Arial" w:hint="eastAsia"/>
          <w:color w:val="000000" w:themeColor="text1"/>
          <w:kern w:val="0"/>
          <w:szCs w:val="21"/>
        </w:rPr>
        <w:t>）基金的证券交易费用；</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s="Arial"/>
          <w:color w:val="000000" w:themeColor="text1"/>
          <w:kern w:val="0"/>
          <w:szCs w:val="21"/>
        </w:rPr>
      </w:pPr>
      <w:r w:rsidRPr="00490741">
        <w:rPr>
          <w:rFonts w:asciiTheme="minorEastAsia" w:eastAsiaTheme="minorEastAsia" w:hAnsiTheme="minorEastAsia" w:cs="Arial" w:hint="eastAsia"/>
          <w:color w:val="000000" w:themeColor="text1"/>
          <w:kern w:val="0"/>
          <w:szCs w:val="21"/>
        </w:rPr>
        <w:t>（</w:t>
      </w:r>
      <w:r w:rsidRPr="00490741">
        <w:rPr>
          <w:rFonts w:asciiTheme="minorEastAsia" w:eastAsiaTheme="minorEastAsia" w:hAnsiTheme="minorEastAsia" w:cs="Arial" w:hint="eastAsia"/>
          <w:color w:val="000000" w:themeColor="text1"/>
          <w:kern w:val="0"/>
          <w:szCs w:val="21"/>
        </w:rPr>
        <w:t>7</w:t>
      </w:r>
      <w:r w:rsidRPr="00490741">
        <w:rPr>
          <w:rFonts w:asciiTheme="minorEastAsia" w:eastAsiaTheme="minorEastAsia" w:hAnsiTheme="minorEastAsia" w:cs="Arial" w:hint="eastAsia"/>
          <w:color w:val="000000" w:themeColor="text1"/>
          <w:kern w:val="0"/>
          <w:szCs w:val="21"/>
        </w:rPr>
        <w:t>）银行汇划费用；</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s="Arial"/>
          <w:color w:val="000000" w:themeColor="text1"/>
          <w:kern w:val="0"/>
          <w:szCs w:val="21"/>
        </w:rPr>
      </w:pPr>
      <w:r w:rsidRPr="00490741">
        <w:rPr>
          <w:rFonts w:asciiTheme="minorEastAsia" w:eastAsiaTheme="minorEastAsia" w:hAnsiTheme="minorEastAsia" w:cs="Arial" w:hint="eastAsia"/>
          <w:color w:val="000000" w:themeColor="text1"/>
          <w:kern w:val="0"/>
          <w:szCs w:val="21"/>
        </w:rPr>
        <w:t>（</w:t>
      </w:r>
      <w:r w:rsidRPr="00490741">
        <w:rPr>
          <w:rFonts w:asciiTheme="minorEastAsia" w:eastAsiaTheme="minorEastAsia" w:hAnsiTheme="minorEastAsia" w:cs="Arial" w:hint="eastAsia"/>
          <w:color w:val="000000" w:themeColor="text1"/>
          <w:kern w:val="0"/>
          <w:szCs w:val="21"/>
        </w:rPr>
        <w:t>8</w:t>
      </w:r>
      <w:r w:rsidRPr="00490741">
        <w:rPr>
          <w:rFonts w:asciiTheme="minorEastAsia" w:eastAsiaTheme="minorEastAsia" w:hAnsiTheme="minorEastAsia" w:cs="Arial" w:hint="eastAsia"/>
          <w:color w:val="000000" w:themeColor="text1"/>
          <w:kern w:val="0"/>
          <w:szCs w:val="21"/>
        </w:rPr>
        <w:t>）按照国家有关规定和《基金合同》约定可以在基金财产中列支的其他费用。</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s="Arial"/>
          <w:color w:val="000000" w:themeColor="text1"/>
          <w:kern w:val="0"/>
          <w:szCs w:val="21"/>
        </w:rPr>
      </w:pPr>
      <w:r w:rsidRPr="00490741">
        <w:rPr>
          <w:rFonts w:asciiTheme="minorEastAsia" w:eastAsiaTheme="minorEastAsia" w:hAnsiTheme="minorEastAsia" w:cs="Arial" w:hint="eastAsia"/>
          <w:color w:val="000000" w:themeColor="text1"/>
          <w:kern w:val="0"/>
          <w:szCs w:val="21"/>
        </w:rPr>
        <w:t>本基金终止清算时所发生费用，按实际支出额从基金财产总值中扣除。</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s="Arial"/>
          <w:b/>
          <w:color w:val="000000" w:themeColor="text1"/>
          <w:kern w:val="0"/>
          <w:szCs w:val="21"/>
        </w:rPr>
      </w:pPr>
      <w:r w:rsidRPr="00490741">
        <w:rPr>
          <w:rFonts w:asciiTheme="minorEastAsia" w:eastAsiaTheme="minorEastAsia" w:hAnsiTheme="minorEastAsia" w:cs="Arial" w:hint="eastAsia"/>
          <w:b/>
          <w:color w:val="000000" w:themeColor="text1"/>
          <w:kern w:val="0"/>
          <w:szCs w:val="21"/>
        </w:rPr>
        <w:t>2</w:t>
      </w:r>
      <w:r w:rsidRPr="00490741">
        <w:rPr>
          <w:rFonts w:asciiTheme="minorEastAsia" w:eastAsiaTheme="minorEastAsia" w:hAnsiTheme="minorEastAsia" w:cs="Arial" w:hint="eastAsia"/>
          <w:b/>
          <w:color w:val="000000" w:themeColor="text1"/>
          <w:kern w:val="0"/>
          <w:szCs w:val="21"/>
        </w:rPr>
        <w:t>、基金费用计提方法、计提标准和支付方式</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）基金管理人的管理费</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w:t>
      </w:r>
      <w:r w:rsidRPr="00490741">
        <w:rPr>
          <w:rFonts w:asciiTheme="minorEastAsia" w:eastAsiaTheme="minorEastAsia" w:hAnsiTheme="minorEastAsia"/>
          <w:color w:val="000000" w:themeColor="text1"/>
          <w:szCs w:val="21"/>
        </w:rPr>
        <w:t>的管理费</w:t>
      </w:r>
      <w:r w:rsidRPr="00490741">
        <w:rPr>
          <w:rFonts w:asciiTheme="minorEastAsia" w:eastAsiaTheme="minorEastAsia" w:hAnsiTheme="minorEastAsia" w:hint="eastAsia"/>
          <w:color w:val="000000" w:themeColor="text1"/>
          <w:szCs w:val="21"/>
        </w:rPr>
        <w:t>按前一日</w:t>
      </w:r>
      <w:r w:rsidRPr="00490741">
        <w:rPr>
          <w:rFonts w:asciiTheme="minorEastAsia" w:eastAsiaTheme="minorEastAsia" w:hAnsiTheme="minorEastAsia"/>
          <w:color w:val="000000" w:themeColor="text1"/>
          <w:szCs w:val="21"/>
        </w:rPr>
        <w:t>基金资产净值的</w:t>
      </w:r>
      <w:r w:rsidRPr="00490741">
        <w:rPr>
          <w:rFonts w:asciiTheme="minorEastAsia" w:eastAsiaTheme="minorEastAsia" w:hAnsiTheme="minorEastAsia" w:hint="eastAsia"/>
          <w:color w:val="000000" w:themeColor="text1"/>
          <w:szCs w:val="21"/>
        </w:rPr>
        <w:t>1.5</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color w:val="000000" w:themeColor="text1"/>
          <w:szCs w:val="21"/>
        </w:rPr>
        <w:t>年费率计提。</w:t>
      </w:r>
      <w:r w:rsidRPr="00490741">
        <w:rPr>
          <w:rFonts w:asciiTheme="minorEastAsia" w:eastAsiaTheme="minorEastAsia" w:hAnsiTheme="minorEastAsia" w:hint="eastAsia"/>
          <w:color w:val="000000" w:themeColor="text1"/>
          <w:szCs w:val="21"/>
        </w:rPr>
        <w:t>管理费的</w:t>
      </w:r>
      <w:r w:rsidRPr="00490741">
        <w:rPr>
          <w:rFonts w:asciiTheme="minorEastAsia" w:eastAsiaTheme="minorEastAsia" w:hAnsiTheme="minorEastAsia"/>
          <w:color w:val="000000" w:themeColor="text1"/>
          <w:szCs w:val="21"/>
        </w:rPr>
        <w:t>计算方法如下：</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H</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color w:val="000000" w:themeColor="text1"/>
          <w:szCs w:val="21"/>
        </w:rPr>
        <w:t>E×</w:t>
      </w:r>
      <w:r w:rsidRPr="00490741">
        <w:rPr>
          <w:rFonts w:asciiTheme="minorEastAsia" w:eastAsiaTheme="minorEastAsia" w:hAnsiTheme="minorEastAsia" w:hint="eastAsia"/>
          <w:color w:val="000000" w:themeColor="text1"/>
          <w:szCs w:val="21"/>
        </w:rPr>
        <w:t>1.5</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当年天数</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H</w:t>
      </w:r>
      <w:r w:rsidRPr="00490741">
        <w:rPr>
          <w:rFonts w:asciiTheme="minorEastAsia" w:eastAsiaTheme="minorEastAsia" w:hAnsiTheme="minorEastAsia"/>
          <w:color w:val="000000" w:themeColor="text1"/>
          <w:szCs w:val="21"/>
        </w:rPr>
        <w:t>为每日应</w:t>
      </w:r>
      <w:r w:rsidRPr="00490741">
        <w:rPr>
          <w:rFonts w:asciiTheme="minorEastAsia" w:eastAsiaTheme="minorEastAsia" w:hAnsiTheme="minorEastAsia" w:hint="eastAsia"/>
          <w:color w:val="000000" w:themeColor="text1"/>
          <w:szCs w:val="21"/>
        </w:rPr>
        <w:t>计提</w:t>
      </w:r>
      <w:r w:rsidRPr="00490741">
        <w:rPr>
          <w:rFonts w:asciiTheme="minorEastAsia" w:eastAsiaTheme="minorEastAsia" w:hAnsiTheme="minorEastAsia"/>
          <w:color w:val="000000" w:themeColor="text1"/>
          <w:szCs w:val="21"/>
        </w:rPr>
        <w:t>的基金管理费</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E</w:t>
      </w:r>
      <w:r w:rsidRPr="00490741">
        <w:rPr>
          <w:rFonts w:asciiTheme="minorEastAsia" w:eastAsiaTheme="minorEastAsia" w:hAnsiTheme="minorEastAsia"/>
          <w:color w:val="000000" w:themeColor="text1"/>
          <w:szCs w:val="21"/>
        </w:rPr>
        <w:t>为前一日的基金资产净值</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基金管理费每日计算</w:t>
      </w:r>
      <w:r w:rsidRPr="00490741">
        <w:rPr>
          <w:rFonts w:asciiTheme="minorEastAsia" w:eastAsiaTheme="minorEastAsia" w:hAnsiTheme="minorEastAsia" w:hint="eastAsia"/>
          <w:color w:val="000000" w:themeColor="text1"/>
          <w:szCs w:val="21"/>
        </w:rPr>
        <w:t>，逐日累计至每月月末，</w:t>
      </w:r>
      <w:r w:rsidRPr="00490741">
        <w:rPr>
          <w:rFonts w:asciiTheme="minorEastAsia" w:eastAsiaTheme="minorEastAsia" w:hAnsiTheme="minorEastAsia"/>
          <w:color w:val="000000" w:themeColor="text1"/>
          <w:szCs w:val="21"/>
        </w:rPr>
        <w:t>按月支付</w:t>
      </w:r>
      <w:r w:rsidRPr="00490741">
        <w:rPr>
          <w:rFonts w:asciiTheme="minorEastAsia" w:eastAsiaTheme="minorEastAsia" w:hAnsiTheme="minorEastAsia" w:hint="eastAsia"/>
          <w:color w:val="000000" w:themeColor="text1"/>
          <w:szCs w:val="21"/>
        </w:rPr>
        <w:t>，由基金管理人向基金托管人发送基金管理费划款指令，</w:t>
      </w:r>
      <w:r w:rsidRPr="00490741">
        <w:rPr>
          <w:rFonts w:asciiTheme="minorEastAsia" w:eastAsiaTheme="minorEastAsia" w:hAnsiTheme="minorEastAsia"/>
          <w:color w:val="000000" w:themeColor="text1"/>
          <w:szCs w:val="21"/>
        </w:rPr>
        <w:t>基金托管人</w:t>
      </w:r>
      <w:r w:rsidRPr="00490741">
        <w:rPr>
          <w:rFonts w:asciiTheme="minorEastAsia" w:eastAsiaTheme="minorEastAsia" w:hAnsiTheme="minorEastAsia" w:hint="eastAsia"/>
          <w:color w:val="000000" w:themeColor="text1"/>
          <w:szCs w:val="21"/>
        </w:rPr>
        <w:t>复核后</w:t>
      </w:r>
      <w:r w:rsidRPr="00490741">
        <w:rPr>
          <w:rFonts w:asciiTheme="minorEastAsia" w:eastAsiaTheme="minorEastAsia" w:hAnsiTheme="minorEastAsia"/>
          <w:color w:val="000000" w:themeColor="text1"/>
          <w:szCs w:val="21"/>
        </w:rPr>
        <w:t>于次月前</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color w:val="000000" w:themeColor="text1"/>
          <w:szCs w:val="21"/>
        </w:rPr>
        <w:t>个工作日内从基金</w:t>
      </w:r>
      <w:r w:rsidRPr="00490741">
        <w:rPr>
          <w:rFonts w:asciiTheme="minorEastAsia" w:eastAsiaTheme="minorEastAsia" w:hAnsiTheme="minorEastAsia" w:hint="eastAsia"/>
          <w:color w:val="000000" w:themeColor="text1"/>
          <w:szCs w:val="21"/>
        </w:rPr>
        <w:t>财产</w:t>
      </w:r>
      <w:r w:rsidRPr="00490741">
        <w:rPr>
          <w:rFonts w:asciiTheme="minorEastAsia" w:eastAsiaTheme="minorEastAsia" w:hAnsiTheme="minorEastAsia"/>
          <w:color w:val="000000" w:themeColor="text1"/>
          <w:szCs w:val="21"/>
        </w:rPr>
        <w:t>中一次性支付给基金管理人</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若遇法定节假日、</w:t>
      </w:r>
      <w:r w:rsidRPr="00490741">
        <w:rPr>
          <w:rFonts w:asciiTheme="minorEastAsia" w:eastAsiaTheme="minorEastAsia" w:hAnsiTheme="minorEastAsia" w:hint="eastAsia"/>
          <w:color w:val="000000" w:themeColor="text1"/>
          <w:szCs w:val="21"/>
        </w:rPr>
        <w:t>公休假</w:t>
      </w:r>
      <w:r w:rsidRPr="00490741">
        <w:rPr>
          <w:rFonts w:asciiTheme="minorEastAsia" w:eastAsiaTheme="minorEastAsia" w:hAnsiTheme="minorEastAsia"/>
          <w:color w:val="000000" w:themeColor="text1"/>
          <w:szCs w:val="21"/>
        </w:rPr>
        <w:t>等</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color w:val="000000" w:themeColor="text1"/>
          <w:szCs w:val="21"/>
        </w:rPr>
        <w:t>支付日期顺延。</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）基金托管人的托管费</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w:t>
      </w:r>
      <w:r w:rsidRPr="00490741">
        <w:rPr>
          <w:rFonts w:asciiTheme="minorEastAsia" w:eastAsiaTheme="minorEastAsia" w:hAnsiTheme="minorEastAsia"/>
          <w:color w:val="000000" w:themeColor="text1"/>
          <w:szCs w:val="21"/>
        </w:rPr>
        <w:t>基金的托管费按</w:t>
      </w:r>
      <w:r w:rsidRPr="00490741">
        <w:rPr>
          <w:rFonts w:asciiTheme="minorEastAsia" w:eastAsiaTheme="minorEastAsia" w:hAnsiTheme="minorEastAsia" w:hint="eastAsia"/>
          <w:color w:val="000000" w:themeColor="text1"/>
          <w:szCs w:val="21"/>
        </w:rPr>
        <w:t>前一日</w:t>
      </w:r>
      <w:r w:rsidRPr="00490741">
        <w:rPr>
          <w:rFonts w:asciiTheme="minorEastAsia" w:eastAsiaTheme="minorEastAsia" w:hAnsiTheme="minorEastAsia"/>
          <w:color w:val="000000" w:themeColor="text1"/>
          <w:szCs w:val="21"/>
        </w:rPr>
        <w:t>基金资产净值的</w:t>
      </w:r>
      <w:r w:rsidRPr="00490741">
        <w:rPr>
          <w:rFonts w:asciiTheme="minorEastAsia" w:eastAsiaTheme="minorEastAsia" w:hAnsiTheme="minorEastAsia"/>
          <w:color w:val="000000" w:themeColor="text1"/>
          <w:szCs w:val="21"/>
        </w:rPr>
        <w:t>2.5‰</w:t>
      </w:r>
      <w:r w:rsidRPr="00490741">
        <w:rPr>
          <w:rFonts w:asciiTheme="minorEastAsia" w:eastAsiaTheme="minorEastAsia" w:hAnsiTheme="minorEastAsia"/>
          <w:color w:val="000000" w:themeColor="text1"/>
          <w:szCs w:val="21"/>
        </w:rPr>
        <w:t>的年费率计提。</w:t>
      </w:r>
      <w:r w:rsidRPr="00490741">
        <w:rPr>
          <w:rFonts w:asciiTheme="minorEastAsia" w:eastAsiaTheme="minorEastAsia" w:hAnsiTheme="minorEastAsia" w:hint="eastAsia"/>
          <w:color w:val="000000" w:themeColor="text1"/>
          <w:szCs w:val="21"/>
        </w:rPr>
        <w:t>托管费的</w:t>
      </w:r>
      <w:r w:rsidRPr="00490741">
        <w:rPr>
          <w:rFonts w:asciiTheme="minorEastAsia" w:eastAsiaTheme="minorEastAsia" w:hAnsiTheme="minorEastAsia"/>
          <w:color w:val="000000" w:themeColor="text1"/>
          <w:szCs w:val="21"/>
        </w:rPr>
        <w:t>计算方法如下：</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H</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color w:val="000000" w:themeColor="text1"/>
          <w:szCs w:val="21"/>
        </w:rPr>
        <w:t>E×2.5‰</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当年天数</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H</w:t>
      </w:r>
      <w:r w:rsidRPr="00490741">
        <w:rPr>
          <w:rFonts w:asciiTheme="minorEastAsia" w:eastAsiaTheme="minorEastAsia" w:hAnsiTheme="minorEastAsia"/>
          <w:color w:val="000000" w:themeColor="text1"/>
          <w:szCs w:val="21"/>
        </w:rPr>
        <w:t>为每日应</w:t>
      </w:r>
      <w:r w:rsidRPr="00490741">
        <w:rPr>
          <w:rFonts w:asciiTheme="minorEastAsia" w:eastAsiaTheme="minorEastAsia" w:hAnsiTheme="minorEastAsia" w:hint="eastAsia"/>
          <w:color w:val="000000" w:themeColor="text1"/>
          <w:szCs w:val="21"/>
        </w:rPr>
        <w:t>计提</w:t>
      </w:r>
      <w:r w:rsidRPr="00490741">
        <w:rPr>
          <w:rFonts w:asciiTheme="minorEastAsia" w:eastAsiaTheme="minorEastAsia" w:hAnsiTheme="minorEastAsia"/>
          <w:color w:val="000000" w:themeColor="text1"/>
          <w:szCs w:val="21"/>
        </w:rPr>
        <w:t>的基金托管费</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E</w:t>
      </w:r>
      <w:r w:rsidRPr="00490741">
        <w:rPr>
          <w:rFonts w:asciiTheme="minorEastAsia" w:eastAsiaTheme="minorEastAsia" w:hAnsiTheme="minorEastAsia"/>
          <w:color w:val="000000" w:themeColor="text1"/>
          <w:szCs w:val="21"/>
        </w:rPr>
        <w:t>为前一日的基金资产净值</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基金托管费每日计算</w:t>
      </w:r>
      <w:r w:rsidRPr="00490741">
        <w:rPr>
          <w:rFonts w:asciiTheme="minorEastAsia" w:eastAsiaTheme="minorEastAsia" w:hAnsiTheme="minorEastAsia" w:hint="eastAsia"/>
          <w:color w:val="000000" w:themeColor="text1"/>
          <w:szCs w:val="21"/>
        </w:rPr>
        <w:t>，逐日累计至每月月末，</w:t>
      </w:r>
      <w:r w:rsidRPr="00490741">
        <w:rPr>
          <w:rFonts w:asciiTheme="minorEastAsia" w:eastAsiaTheme="minorEastAsia" w:hAnsiTheme="minorEastAsia"/>
          <w:color w:val="000000" w:themeColor="text1"/>
          <w:szCs w:val="21"/>
        </w:rPr>
        <w:t>按月支付</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由</w:t>
      </w:r>
      <w:r w:rsidRPr="00490741">
        <w:rPr>
          <w:rFonts w:asciiTheme="minorEastAsia" w:eastAsiaTheme="minorEastAsia" w:hAnsiTheme="minorEastAsia" w:hint="eastAsia"/>
          <w:color w:val="000000" w:themeColor="text1"/>
          <w:szCs w:val="21"/>
        </w:rPr>
        <w:t>基金管理人向基金托管人发送基金托管费划款指令，</w:t>
      </w:r>
      <w:r w:rsidRPr="00490741">
        <w:rPr>
          <w:rFonts w:asciiTheme="minorEastAsia" w:eastAsiaTheme="minorEastAsia" w:hAnsiTheme="minorEastAsia"/>
          <w:color w:val="000000" w:themeColor="text1"/>
          <w:szCs w:val="21"/>
        </w:rPr>
        <w:t>基金托管人</w:t>
      </w:r>
      <w:r w:rsidRPr="00490741">
        <w:rPr>
          <w:rFonts w:asciiTheme="minorEastAsia" w:eastAsiaTheme="minorEastAsia" w:hAnsiTheme="minorEastAsia" w:hint="eastAsia"/>
          <w:color w:val="000000" w:themeColor="text1"/>
          <w:szCs w:val="21"/>
        </w:rPr>
        <w:t>复核后</w:t>
      </w:r>
      <w:r w:rsidRPr="00490741">
        <w:rPr>
          <w:rFonts w:asciiTheme="minorEastAsia" w:eastAsiaTheme="minorEastAsia" w:hAnsiTheme="minorEastAsia"/>
          <w:color w:val="000000" w:themeColor="text1"/>
          <w:szCs w:val="21"/>
        </w:rPr>
        <w:t>于次月前</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color w:val="000000" w:themeColor="text1"/>
          <w:szCs w:val="21"/>
        </w:rPr>
        <w:t>个工作日内从基金财产中一次性支取</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若遇法定节假日、</w:t>
      </w:r>
      <w:r w:rsidRPr="00490741">
        <w:rPr>
          <w:rFonts w:asciiTheme="minorEastAsia" w:eastAsiaTheme="minorEastAsia" w:hAnsiTheme="minorEastAsia" w:hint="eastAsia"/>
          <w:color w:val="000000" w:themeColor="text1"/>
          <w:szCs w:val="21"/>
        </w:rPr>
        <w:t>公休日</w:t>
      </w:r>
      <w:r w:rsidRPr="00490741">
        <w:rPr>
          <w:rFonts w:asciiTheme="minorEastAsia" w:eastAsiaTheme="minorEastAsia" w:hAnsiTheme="minorEastAsia"/>
          <w:color w:val="000000" w:themeColor="text1"/>
          <w:szCs w:val="21"/>
        </w:rPr>
        <w:t>等</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color w:val="000000" w:themeColor="text1"/>
          <w:szCs w:val="21"/>
        </w:rPr>
        <w:t>支付日期顺延。</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上述一</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基金费用</w:t>
      </w:r>
      <w:r w:rsidRPr="00490741">
        <w:rPr>
          <w:rFonts w:asciiTheme="minorEastAsia" w:eastAsiaTheme="minorEastAsia" w:hAnsiTheme="minorEastAsia" w:hint="eastAsia"/>
          <w:color w:val="000000" w:themeColor="text1"/>
          <w:szCs w:val="21"/>
        </w:rPr>
        <w:t>的种类</w:t>
      </w:r>
      <w:r w:rsidRPr="00490741">
        <w:rPr>
          <w:rFonts w:asciiTheme="minorEastAsia" w:eastAsiaTheme="minorEastAsia" w:hAnsiTheme="minorEastAsia"/>
          <w:color w:val="000000" w:themeColor="text1"/>
          <w:szCs w:val="21"/>
        </w:rPr>
        <w:t>中第</w:t>
      </w: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8</w:t>
      </w:r>
      <w:r w:rsidRPr="00490741">
        <w:rPr>
          <w:rFonts w:asciiTheme="minorEastAsia" w:eastAsiaTheme="minorEastAsia" w:hAnsiTheme="minorEastAsia"/>
          <w:color w:val="000000" w:themeColor="text1"/>
          <w:szCs w:val="21"/>
        </w:rPr>
        <w:t>项费用</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根据有关法规及相应协议规定</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按费用实际支出金额列入当期费用</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由基金托管人从基金财产中支付。</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s="Arial"/>
          <w:b/>
          <w:color w:val="000000" w:themeColor="text1"/>
          <w:kern w:val="0"/>
          <w:szCs w:val="21"/>
        </w:rPr>
      </w:pPr>
      <w:r w:rsidRPr="00490741">
        <w:rPr>
          <w:rFonts w:asciiTheme="minorEastAsia" w:eastAsiaTheme="minorEastAsia" w:hAnsiTheme="minorEastAsia" w:cs="Arial" w:hint="eastAsia"/>
          <w:b/>
          <w:color w:val="000000" w:themeColor="text1"/>
          <w:kern w:val="0"/>
          <w:szCs w:val="21"/>
        </w:rPr>
        <w:t>3</w:t>
      </w:r>
      <w:r w:rsidRPr="00490741">
        <w:rPr>
          <w:rFonts w:asciiTheme="minorEastAsia" w:eastAsiaTheme="minorEastAsia" w:hAnsiTheme="minorEastAsia" w:cs="Arial" w:hint="eastAsia"/>
          <w:b/>
          <w:color w:val="000000" w:themeColor="text1"/>
          <w:kern w:val="0"/>
          <w:szCs w:val="21"/>
        </w:rPr>
        <w:t>、不列入基金费用的项目</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下列费用不列入基金费用：</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）基金管理人和基金托管人因未履行或未完全履行义务导致的费用支出或基金财产的损失；</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）基金管理人和基金托管人处理与基金运作无关的事项发生的费用；</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）基金合同生效前的相关费用，包括但不限于验资费、会计师和律师费、信息披露费用等费用；</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）其他根据相关法律法规及中国证监会的有关规定不得列入基金费用的项目。</w:t>
      </w:r>
    </w:p>
    <w:p w:rsidR="0002608C" w:rsidRPr="00490741" w:rsidP="00107648">
      <w:pPr>
        <w:autoSpaceDE w:val="0"/>
        <w:autoSpaceDN w:val="0"/>
        <w:snapToGrid w:val="0"/>
        <w:spacing w:line="360" w:lineRule="auto"/>
        <w:ind w:firstLine="420" w:firstLineChars="200"/>
        <w:jc w:val="left"/>
        <w:rPr>
          <w:rFonts w:asciiTheme="minorEastAsia" w:eastAsiaTheme="minorEastAsia" w:hAnsiTheme="minorEastAsia" w:cs="Arial"/>
          <w:b/>
          <w:color w:val="000000" w:themeColor="text1"/>
          <w:kern w:val="0"/>
          <w:szCs w:val="21"/>
        </w:rPr>
      </w:pPr>
      <w:r w:rsidRPr="00490741">
        <w:rPr>
          <w:rFonts w:asciiTheme="minorEastAsia" w:eastAsiaTheme="minorEastAsia" w:hAnsiTheme="minorEastAsia" w:cs="Arial" w:hint="eastAsia"/>
          <w:b/>
          <w:color w:val="000000" w:themeColor="text1"/>
          <w:kern w:val="0"/>
          <w:szCs w:val="21"/>
        </w:rPr>
        <w:t>4</w:t>
      </w:r>
      <w:r w:rsidRPr="00490741">
        <w:rPr>
          <w:rFonts w:asciiTheme="minorEastAsia" w:eastAsiaTheme="minorEastAsia" w:hAnsiTheme="minorEastAsia" w:cs="Arial" w:hint="eastAsia"/>
          <w:b/>
          <w:color w:val="000000" w:themeColor="text1"/>
          <w:kern w:val="0"/>
          <w:szCs w:val="21"/>
        </w:rPr>
        <w:t>、基金费用的调整</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管理人和基金托管人协商一致后，可根据基金发展情况调低基金管理费率或基金托管费率等相关费率。调高基金管理费率、基金托管费率等相关费率须召开基金份额持有人大会审议。基金管理人必须最迟于新的费率实施日前</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个工作日在</w:t>
      </w:r>
      <w:r w:rsidRPr="00490741" w:rsidR="000C00D1">
        <w:rPr>
          <w:rFonts w:asciiTheme="minorEastAsia" w:eastAsiaTheme="minorEastAsia" w:hAnsiTheme="minorEastAsia" w:hint="eastAsia"/>
          <w:color w:val="000000" w:themeColor="text1"/>
        </w:rPr>
        <w:t>指定媒介</w:t>
      </w:r>
      <w:r w:rsidRPr="00490741">
        <w:rPr>
          <w:rFonts w:asciiTheme="minorEastAsia" w:eastAsiaTheme="minorEastAsia" w:hAnsiTheme="minorEastAsia" w:hint="eastAsia"/>
          <w:color w:val="000000" w:themeColor="text1"/>
          <w:szCs w:val="21"/>
        </w:rPr>
        <w:t>公告。</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56" w:name="_Toc114237455"/>
      <w:r w:rsidRPr="00490741">
        <w:rPr>
          <w:rFonts w:asciiTheme="minorEastAsia" w:eastAsiaTheme="minorEastAsia" w:hAnsiTheme="minorEastAsia" w:hint="eastAsia"/>
          <w:b w:val="0"/>
          <w:color w:val="000000" w:themeColor="text1"/>
        </w:rPr>
        <w:t>（二）与基金销售有关的费用</w:t>
      </w:r>
      <w:bookmarkEnd w:id="156"/>
    </w:p>
    <w:p w:rsidR="0002608C" w:rsidRPr="00490741" w:rsidP="00107648">
      <w:pPr>
        <w:pStyle w:val="NormalIndent"/>
        <w:snapToGrid w:val="0"/>
        <w:spacing w:line="360" w:lineRule="auto"/>
        <w:ind w:firstLine="420" w:firstLineChars="200"/>
        <w:rPr>
          <w:rFonts w:asciiTheme="minorEastAsia" w:eastAsiaTheme="minorEastAsia" w:hAnsiTheme="minorEastAsia"/>
          <w:color w:val="000000" w:themeColor="text1"/>
          <w:szCs w:val="21"/>
        </w:rPr>
      </w:pPr>
      <w:bookmarkStart w:id="157" w:name="_Toc84149673"/>
      <w:bookmarkStart w:id="158" w:name="_Toc86584637"/>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w:t>
      </w:r>
      <w:r w:rsidRPr="00490741" w:rsidR="00694807">
        <w:rPr>
          <w:rFonts w:asciiTheme="minorEastAsia" w:eastAsiaTheme="minorEastAsia" w:hAnsiTheme="minorEastAsia" w:hint="eastAsia"/>
          <w:color w:val="000000" w:themeColor="text1"/>
          <w:szCs w:val="21"/>
        </w:rPr>
        <w:t>本基金申购费、赎回费的费率水平、收取方式和计算公式详见本招募说明书“八、基金份额的申购、赎回”中的“（七）申购、赎回的费率”和“（八）申购份额、赎回金额的计算方式”的相关规定。</w:t>
      </w:r>
    </w:p>
    <w:p w:rsidR="0002608C" w:rsidRPr="00490741" w:rsidP="00107648">
      <w:pPr>
        <w:pStyle w:val="NormalIndent"/>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sidR="00CE2F50">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转换费率</w:t>
      </w:r>
    </w:p>
    <w:p w:rsidR="00035791" w:rsidRPr="00490741" w:rsidP="00107648">
      <w:pPr>
        <w:autoSpaceDE w:val="0"/>
        <w:autoSpaceDN w:val="0"/>
        <w:snapToGrid w:val="0"/>
        <w:spacing w:line="360" w:lineRule="auto"/>
        <w:ind w:firstLine="458" w:firstLineChars="218"/>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基金转换费由基金份额持有人承担，基金转换费用由转出基金赎回费用及基金申购补差费用构成，其中赎回费按照</w:t>
      </w:r>
      <w:r w:rsidRPr="00490741" w:rsidR="00D8436F">
        <w:rPr>
          <w:rFonts w:asciiTheme="minorEastAsia" w:eastAsiaTheme="minorEastAsia" w:hAnsiTheme="minorEastAsia" w:hint="eastAsia"/>
          <w:color w:val="000000" w:themeColor="text1"/>
        </w:rPr>
        <w:t>各基金的</w:t>
      </w:r>
      <w:r w:rsidRPr="00490741">
        <w:rPr>
          <w:rFonts w:asciiTheme="minorEastAsia" w:eastAsiaTheme="minorEastAsia" w:hAnsiTheme="minorEastAsia" w:hint="eastAsia"/>
          <w:color w:val="000000" w:themeColor="text1"/>
        </w:rPr>
        <w:t>基金合同、更新的招募说明书及最新的相关公告约定的比例归入基金财产，其余部分用于支付注册登记费等相关手续费，基金转换费率详见相关公告。</w:t>
      </w:r>
    </w:p>
    <w:p w:rsidR="0002608C" w:rsidRPr="00490741" w:rsidP="00107648">
      <w:pPr>
        <w:autoSpaceDE w:val="0"/>
        <w:autoSpaceDN w:val="0"/>
        <w:snapToGrid w:val="0"/>
        <w:spacing w:line="360" w:lineRule="auto"/>
        <w:ind w:firstLine="458" w:firstLineChars="218"/>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3</w:t>
      </w:r>
      <w:r w:rsidRPr="00490741" w:rsidR="00CE2F50">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投资者通过本公司网上交易系统（</w:t>
      </w:r>
      <w:r w:rsidRPr="00490741">
        <w:rPr>
          <w:rFonts w:asciiTheme="minorEastAsia" w:eastAsiaTheme="minorEastAsia" w:hAnsiTheme="minorEastAsia" w:hint="eastAsia"/>
          <w:color w:val="000000" w:themeColor="text1"/>
          <w:szCs w:val="21"/>
        </w:rPr>
        <w:t>www.efunds.com.cn</w:t>
      </w:r>
      <w:r w:rsidRPr="00490741">
        <w:rPr>
          <w:rFonts w:asciiTheme="minorEastAsia" w:eastAsiaTheme="minorEastAsia" w:hAnsiTheme="minorEastAsia" w:hint="eastAsia"/>
          <w:color w:val="000000" w:themeColor="text1"/>
          <w:szCs w:val="21"/>
        </w:rPr>
        <w:t>）进行申购、赎回和转换的交易费率，请具体参照我公司网站上的相关说明。</w:t>
      </w:r>
    </w:p>
    <w:p w:rsidR="0002608C" w:rsidRPr="00490741" w:rsidP="00107648">
      <w:pPr>
        <w:autoSpaceDE w:val="0"/>
        <w:autoSpaceDN w:val="0"/>
        <w:snapToGrid w:val="0"/>
        <w:spacing w:line="360" w:lineRule="auto"/>
        <w:ind w:firstLine="458" w:firstLineChars="218"/>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4</w:t>
      </w:r>
      <w:r w:rsidRPr="00490741" w:rsidR="00CE2F50">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基金管理人可以从本基金财产中计提销售服务费</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用于基金的持续销售和服务基金份额持有人</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具体办法按中国证监会有关规定执行。</w:t>
      </w:r>
    </w:p>
    <w:p w:rsidR="0002608C" w:rsidRPr="00490741" w:rsidP="00107648">
      <w:pPr>
        <w:autoSpaceDE w:val="0"/>
        <w:autoSpaceDN w:val="0"/>
        <w:snapToGrid w:val="0"/>
        <w:spacing w:line="360" w:lineRule="auto"/>
        <w:ind w:firstLine="458" w:firstLineChars="218"/>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5</w:t>
      </w:r>
      <w:r w:rsidRPr="00490741" w:rsidR="00CE2F50">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基金管理人可以在基金合同规定的范围内调整</w:t>
      </w:r>
      <w:r w:rsidRPr="00490741">
        <w:rPr>
          <w:rFonts w:asciiTheme="minorEastAsia" w:eastAsiaTheme="minorEastAsia" w:hAnsiTheme="minorEastAsia" w:hint="eastAsia"/>
          <w:color w:val="000000" w:themeColor="text1"/>
          <w:szCs w:val="21"/>
        </w:rPr>
        <w:t>上述</w:t>
      </w:r>
      <w:r w:rsidRPr="00490741">
        <w:rPr>
          <w:rFonts w:asciiTheme="minorEastAsia" w:eastAsiaTheme="minorEastAsia" w:hAnsiTheme="minorEastAsia"/>
          <w:color w:val="000000" w:themeColor="text1"/>
          <w:szCs w:val="21"/>
        </w:rPr>
        <w:t>费率</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上述费率如发生变更，基金管理人应最迟于新的费率实施前</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color w:val="000000" w:themeColor="text1"/>
          <w:szCs w:val="21"/>
        </w:rPr>
        <w:t>个工作日在</w:t>
      </w:r>
      <w:r w:rsidRPr="00490741" w:rsidR="00DE5F25">
        <w:rPr>
          <w:rFonts w:asciiTheme="minorEastAsia" w:eastAsiaTheme="minorEastAsia" w:hAnsiTheme="minorEastAsia" w:hint="eastAsia"/>
          <w:color w:val="000000" w:themeColor="text1"/>
          <w:szCs w:val="21"/>
        </w:rPr>
        <w:t>指定媒介</w:t>
      </w:r>
      <w:r w:rsidRPr="00490741">
        <w:rPr>
          <w:rFonts w:asciiTheme="minorEastAsia" w:eastAsiaTheme="minorEastAsia" w:hAnsiTheme="minorEastAsia"/>
          <w:color w:val="000000" w:themeColor="text1"/>
          <w:szCs w:val="21"/>
        </w:rPr>
        <w:t>公告。</w:t>
      </w:r>
    </w:p>
    <w:p w:rsidR="0002608C" w:rsidRPr="00490741" w:rsidP="00107648">
      <w:pPr>
        <w:autoSpaceDE w:val="0"/>
        <w:autoSpaceDN w:val="0"/>
        <w:snapToGrid w:val="0"/>
        <w:spacing w:line="360" w:lineRule="auto"/>
        <w:ind w:firstLine="458" w:firstLineChars="218"/>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6</w:t>
      </w:r>
      <w:r w:rsidRPr="00490741" w:rsidR="00CE2F50">
        <w:rPr>
          <w:rFonts w:asciiTheme="minorEastAsia" w:eastAsiaTheme="minorEastAsia" w:hAnsiTheme="minorEastAsia" w:hint="eastAsia"/>
          <w:color w:val="000000" w:themeColor="text1"/>
          <w:szCs w:val="21"/>
        </w:rPr>
        <w:t>、</w:t>
      </w:r>
      <w:r w:rsidRPr="00490741" w:rsidR="0057493F">
        <w:rPr>
          <w:rFonts w:asciiTheme="minorEastAsia" w:eastAsiaTheme="minorEastAsia" w:hAnsiTheme="minorEastAsia" w:hint="eastAsia"/>
          <w:color w:val="000000" w:themeColor="text1"/>
          <w:szCs w:val="21"/>
        </w:rPr>
        <w:t>基金管理人可以在不违反法律法规规定及《基金合同》约定的情形下根据市场情况制定基金促销计划，针对基金投资者定期或不定期地开展基金促销活动。在基金促销活动期间，基金管理人可以适当调低基金销售费率，或针对特定渠道、特定投资群体开展有差别的费率优惠活动。</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59" w:name="_Toc114237456"/>
      <w:r w:rsidRPr="00490741">
        <w:rPr>
          <w:rFonts w:asciiTheme="minorEastAsia" w:eastAsiaTheme="minorEastAsia" w:hAnsiTheme="minorEastAsia" w:hint="eastAsia"/>
          <w:b w:val="0"/>
          <w:color w:val="000000" w:themeColor="text1"/>
        </w:rPr>
        <w:t>（三）基金税收</w:t>
      </w:r>
      <w:bookmarkEnd w:id="157"/>
      <w:bookmarkEnd w:id="158"/>
      <w:bookmarkEnd w:id="159"/>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本基金运作过程中涉及的各纳税主体，应按国家税收法律、法规履行其纳税义务。</w:t>
      </w:r>
    </w:p>
    <w:p w:rsidR="00E1094C" w:rsidRPr="00490741" w:rsidP="00107648">
      <w:pPr>
        <w:snapToGrid w:val="0"/>
        <w:spacing w:line="360" w:lineRule="auto"/>
        <w:ind w:firstLine="480"/>
        <w:rPr>
          <w:rFonts w:asciiTheme="minorEastAsia" w:eastAsiaTheme="minorEastAsia" w:hAnsiTheme="minorEastAsia"/>
          <w:color w:val="000000" w:themeColor="text1"/>
          <w:szCs w:val="21"/>
        </w:rPr>
        <w:sectPr w:rsidSect="0035472D">
          <w:pgSz w:w="11906" w:h="16838" w:code="9"/>
          <w:pgMar w:top="1440" w:right="1800" w:bottom="1440" w:left="1800" w:header="851" w:footer="992" w:gutter="0"/>
          <w:cols w:space="425"/>
          <w:docGrid w:type="lines" w:linePitch="312"/>
        </w:sectPr>
      </w:pPr>
    </w:p>
    <w:p w:rsidR="0002608C" w:rsidRPr="00490741" w:rsidP="00107648">
      <w:pPr>
        <w:pStyle w:val="Heading1"/>
        <w:snapToGrid w:val="0"/>
        <w:spacing w:beforeLines="0" w:afterLines="0" w:line="360" w:lineRule="auto"/>
        <w:ind w:firstLine="643"/>
        <w:rPr>
          <w:rFonts w:asciiTheme="minorEastAsia" w:eastAsiaTheme="minorEastAsia" w:hAnsiTheme="minorEastAsia"/>
          <w:bCs/>
          <w:color w:val="000000" w:themeColor="text1"/>
        </w:rPr>
      </w:pPr>
      <w:bookmarkStart w:id="160" w:name="_Toc114237457"/>
      <w:r w:rsidRPr="00490741">
        <w:rPr>
          <w:rFonts w:asciiTheme="minorEastAsia" w:eastAsiaTheme="minorEastAsia" w:hAnsiTheme="minorEastAsia" w:hint="eastAsia"/>
          <w:b/>
          <w:bCs/>
          <w:color w:val="000000" w:themeColor="text1"/>
        </w:rPr>
        <w:t>十七、基金的会计与审计</w:t>
      </w:r>
      <w:bookmarkEnd w:id="160"/>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61" w:name="_Toc114237458"/>
      <w:r w:rsidRPr="00490741">
        <w:rPr>
          <w:rFonts w:asciiTheme="minorEastAsia" w:eastAsiaTheme="minorEastAsia" w:hAnsiTheme="minorEastAsia" w:hint="eastAsia"/>
          <w:b w:val="0"/>
          <w:color w:val="000000" w:themeColor="text1"/>
        </w:rPr>
        <w:t>（一）基金会计政策</w:t>
      </w:r>
      <w:bookmarkEnd w:id="161"/>
    </w:p>
    <w:p w:rsidR="0002608C" w:rsidRPr="00490741" w:rsidP="00107648">
      <w:pPr>
        <w:autoSpaceDE w:val="0"/>
        <w:autoSpaceDN w:val="0"/>
        <w:snapToGrid w:val="0"/>
        <w:spacing w:line="360" w:lineRule="auto"/>
        <w:ind w:firstLine="458" w:firstLineChars="218"/>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、基金管理人为本基金的基金会计责任方；</w:t>
      </w:r>
    </w:p>
    <w:p w:rsidR="0002608C" w:rsidRPr="00490741" w:rsidP="00107648">
      <w:pPr>
        <w:autoSpaceDE w:val="0"/>
        <w:autoSpaceDN w:val="0"/>
        <w:snapToGrid w:val="0"/>
        <w:spacing w:line="360" w:lineRule="auto"/>
        <w:ind w:firstLine="458" w:firstLineChars="218"/>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、基金的会计年度为公历每年</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月</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日至</w:t>
      </w:r>
      <w:r w:rsidRPr="00490741">
        <w:rPr>
          <w:rFonts w:asciiTheme="minorEastAsia" w:eastAsiaTheme="minorEastAsia" w:hAnsiTheme="minorEastAsia" w:hint="eastAsia"/>
          <w:color w:val="000000" w:themeColor="text1"/>
          <w:szCs w:val="21"/>
        </w:rPr>
        <w:t>12</w:t>
      </w:r>
      <w:r w:rsidRPr="00490741">
        <w:rPr>
          <w:rFonts w:asciiTheme="minorEastAsia" w:eastAsiaTheme="minorEastAsia" w:hAnsiTheme="minorEastAsia" w:hint="eastAsia"/>
          <w:color w:val="000000" w:themeColor="text1"/>
          <w:szCs w:val="21"/>
        </w:rPr>
        <w:t>月</w:t>
      </w:r>
      <w:r w:rsidRPr="00490741">
        <w:rPr>
          <w:rFonts w:asciiTheme="minorEastAsia" w:eastAsiaTheme="minorEastAsia" w:hAnsiTheme="minorEastAsia" w:hint="eastAsia"/>
          <w:color w:val="000000" w:themeColor="text1"/>
          <w:szCs w:val="21"/>
        </w:rPr>
        <w:t>31</w:t>
      </w:r>
      <w:r w:rsidRPr="00490741">
        <w:rPr>
          <w:rFonts w:asciiTheme="minorEastAsia" w:eastAsiaTheme="minorEastAsia" w:hAnsiTheme="minorEastAsia" w:hint="eastAsia"/>
          <w:color w:val="000000" w:themeColor="text1"/>
          <w:szCs w:val="21"/>
        </w:rPr>
        <w:t>日；</w:t>
      </w:r>
      <w:r w:rsidRPr="00490741">
        <w:rPr>
          <w:rFonts w:asciiTheme="minorEastAsia" w:eastAsiaTheme="minorEastAsia" w:hAnsiTheme="minorEastAsia"/>
          <w:color w:val="000000" w:themeColor="text1"/>
          <w:szCs w:val="21"/>
        </w:rPr>
        <w:t>基金首次募集的会计年度按如下原则：如果基金合同生效少于</w:t>
      </w:r>
      <w:r w:rsidRPr="00490741">
        <w:rPr>
          <w:rFonts w:asciiTheme="minorEastAsia" w:eastAsiaTheme="minorEastAsia" w:hAnsiTheme="minorEastAsia"/>
          <w:color w:val="000000" w:themeColor="text1"/>
          <w:szCs w:val="21"/>
        </w:rPr>
        <w:t>3</w:t>
      </w:r>
      <w:r w:rsidRPr="00490741">
        <w:rPr>
          <w:rFonts w:asciiTheme="minorEastAsia" w:eastAsiaTheme="minorEastAsia" w:hAnsiTheme="minorEastAsia"/>
          <w:color w:val="000000" w:themeColor="text1"/>
          <w:szCs w:val="21"/>
        </w:rPr>
        <w:t>个月，可以并入下一个会计年度；</w:t>
      </w:r>
    </w:p>
    <w:p w:rsidR="0002608C" w:rsidRPr="00490741" w:rsidP="00107648">
      <w:pPr>
        <w:autoSpaceDE w:val="0"/>
        <w:autoSpaceDN w:val="0"/>
        <w:snapToGrid w:val="0"/>
        <w:spacing w:line="360" w:lineRule="auto"/>
        <w:ind w:firstLine="458" w:firstLineChars="218"/>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、基金核算以人民币为记帐本位币，以人民币元为记账单位；</w:t>
      </w:r>
    </w:p>
    <w:p w:rsidR="0002608C" w:rsidRPr="00490741" w:rsidP="00107648">
      <w:pPr>
        <w:autoSpaceDE w:val="0"/>
        <w:autoSpaceDN w:val="0"/>
        <w:snapToGrid w:val="0"/>
        <w:spacing w:line="360" w:lineRule="auto"/>
        <w:ind w:firstLine="458" w:firstLineChars="218"/>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、会计制度执行国家有关的会计制度；</w:t>
      </w:r>
    </w:p>
    <w:p w:rsidR="0002608C" w:rsidRPr="00490741" w:rsidP="00107648">
      <w:pPr>
        <w:autoSpaceDE w:val="0"/>
        <w:autoSpaceDN w:val="0"/>
        <w:snapToGrid w:val="0"/>
        <w:spacing w:line="360" w:lineRule="auto"/>
        <w:ind w:firstLine="458" w:firstLineChars="218"/>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5</w:t>
      </w:r>
      <w:r w:rsidRPr="00490741">
        <w:rPr>
          <w:rFonts w:asciiTheme="minorEastAsia" w:eastAsiaTheme="minorEastAsia" w:hAnsiTheme="minorEastAsia" w:hint="eastAsia"/>
          <w:color w:val="000000" w:themeColor="text1"/>
          <w:szCs w:val="21"/>
        </w:rPr>
        <w:t>、本</w:t>
      </w:r>
      <w:r w:rsidRPr="00490741">
        <w:rPr>
          <w:rFonts w:asciiTheme="minorEastAsia" w:eastAsiaTheme="minorEastAsia" w:hAnsiTheme="minorEastAsia"/>
          <w:color w:val="000000" w:themeColor="text1"/>
          <w:szCs w:val="21"/>
        </w:rPr>
        <w:t>基金</w:t>
      </w:r>
      <w:r w:rsidRPr="00490741">
        <w:rPr>
          <w:rFonts w:asciiTheme="minorEastAsia" w:eastAsiaTheme="minorEastAsia" w:hAnsiTheme="minorEastAsia" w:hint="eastAsia"/>
          <w:color w:val="000000" w:themeColor="text1"/>
          <w:szCs w:val="21"/>
        </w:rPr>
        <w:t>独立建帐、独立核算；</w:t>
      </w:r>
    </w:p>
    <w:p w:rsidR="0002608C" w:rsidRPr="00490741" w:rsidP="00107648">
      <w:pPr>
        <w:autoSpaceDE w:val="0"/>
        <w:autoSpaceDN w:val="0"/>
        <w:snapToGrid w:val="0"/>
        <w:spacing w:line="360" w:lineRule="auto"/>
        <w:ind w:firstLine="458" w:firstLineChars="218"/>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6</w:t>
      </w:r>
      <w:r w:rsidRPr="00490741">
        <w:rPr>
          <w:rFonts w:asciiTheme="minorEastAsia" w:eastAsiaTheme="minorEastAsia" w:hAnsiTheme="minorEastAsia" w:hint="eastAsia"/>
          <w:color w:val="000000" w:themeColor="text1"/>
          <w:szCs w:val="21"/>
        </w:rPr>
        <w:t>、基金管理人及基金托管人各自保留完整的基金会计帐目、凭证并进行日常的会计核算，按照有关规定编制基金会计报表；</w:t>
      </w:r>
    </w:p>
    <w:p w:rsidR="0002608C" w:rsidRPr="00490741" w:rsidP="00107648">
      <w:pPr>
        <w:autoSpaceDE w:val="0"/>
        <w:autoSpaceDN w:val="0"/>
        <w:snapToGrid w:val="0"/>
        <w:spacing w:line="360" w:lineRule="auto"/>
        <w:ind w:firstLine="458" w:firstLineChars="218"/>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7</w:t>
      </w:r>
      <w:r w:rsidRPr="00490741">
        <w:rPr>
          <w:rFonts w:asciiTheme="minorEastAsia" w:eastAsiaTheme="minorEastAsia" w:hAnsiTheme="minorEastAsia" w:hint="eastAsia"/>
          <w:color w:val="000000" w:themeColor="text1"/>
          <w:szCs w:val="21"/>
        </w:rPr>
        <w:t>、基金托管人每月与基金管理人就基金的会计核算、报表编制等进行核对并以书面方式确认。</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62" w:name="_Toc114237459"/>
      <w:r w:rsidRPr="00490741">
        <w:rPr>
          <w:rFonts w:asciiTheme="minorEastAsia" w:eastAsiaTheme="minorEastAsia" w:hAnsiTheme="minorEastAsia" w:hint="eastAsia"/>
          <w:b w:val="0"/>
          <w:color w:val="000000" w:themeColor="text1"/>
        </w:rPr>
        <w:t>（二）基金年度审计</w:t>
      </w:r>
      <w:bookmarkEnd w:id="162"/>
    </w:p>
    <w:p w:rsidR="00DE5F25" w:rsidRPr="00490741" w:rsidP="00DE5F25">
      <w:pPr>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1</w:t>
      </w:r>
      <w:r w:rsidRPr="00490741">
        <w:rPr>
          <w:rFonts w:asciiTheme="minorEastAsia" w:eastAsiaTheme="minorEastAsia" w:hAnsiTheme="minorEastAsia" w:hint="eastAsia"/>
          <w:color w:val="000000" w:themeColor="text1"/>
          <w:szCs w:val="21"/>
        </w:rPr>
        <w:t>、本基金管理人聘请与基金管理人、基金托管人相互独立的具有证券、期货相关业务资格的会计师事务所及其注册会计师对本基金的年度财务报表进行审计。</w:t>
      </w:r>
    </w:p>
    <w:p w:rsidR="00DE5F25" w:rsidRPr="00490741" w:rsidP="00DE5F25">
      <w:pPr>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2</w:t>
      </w:r>
      <w:r w:rsidRPr="00490741">
        <w:rPr>
          <w:rFonts w:asciiTheme="minorEastAsia" w:eastAsiaTheme="minorEastAsia" w:hAnsiTheme="minorEastAsia" w:hint="eastAsia"/>
          <w:color w:val="000000" w:themeColor="text1"/>
          <w:szCs w:val="21"/>
        </w:rPr>
        <w:t>、会计师事务所更换经办注册会计师，应事先征得基金管理人和基金托管人同意。</w:t>
      </w:r>
    </w:p>
    <w:p w:rsidR="0002608C" w:rsidRPr="00490741" w:rsidP="009F7BDB">
      <w:pPr>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3</w:t>
      </w:r>
      <w:r w:rsidRPr="00490741">
        <w:rPr>
          <w:rFonts w:asciiTheme="minorEastAsia" w:eastAsiaTheme="minorEastAsia" w:hAnsiTheme="minorEastAsia" w:hint="eastAsia"/>
          <w:color w:val="000000" w:themeColor="text1"/>
          <w:szCs w:val="21"/>
        </w:rPr>
        <w:t>、基金管理人认为有充足理由更换会计师事务所，须通报基金托管人。更换会计师事务所需在</w:t>
      </w:r>
      <w:r w:rsidRPr="00490741">
        <w:rPr>
          <w:rFonts w:asciiTheme="minorEastAsia" w:eastAsiaTheme="minorEastAsia" w:hAnsiTheme="minorEastAsia"/>
          <w:color w:val="000000" w:themeColor="text1"/>
          <w:szCs w:val="21"/>
        </w:rPr>
        <w:t>2</w:t>
      </w:r>
      <w:r w:rsidRPr="00490741">
        <w:rPr>
          <w:rFonts w:asciiTheme="minorEastAsia" w:eastAsiaTheme="minorEastAsia" w:hAnsiTheme="minorEastAsia"/>
          <w:color w:val="000000" w:themeColor="text1"/>
          <w:szCs w:val="21"/>
        </w:rPr>
        <w:t>日内在</w:t>
      </w:r>
      <w:r w:rsidRPr="00490741">
        <w:rPr>
          <w:rFonts w:asciiTheme="minorEastAsia" w:eastAsiaTheme="minorEastAsia" w:hAnsiTheme="minorEastAsia" w:hint="eastAsia"/>
          <w:color w:val="000000" w:themeColor="text1"/>
          <w:szCs w:val="21"/>
        </w:rPr>
        <w:t>指定媒介</w:t>
      </w:r>
      <w:r w:rsidRPr="00490741">
        <w:rPr>
          <w:rFonts w:asciiTheme="minorEastAsia" w:eastAsiaTheme="minorEastAsia" w:hAnsiTheme="minorEastAsia"/>
          <w:color w:val="000000" w:themeColor="text1"/>
          <w:szCs w:val="21"/>
        </w:rPr>
        <w:t>公告。</w:t>
      </w:r>
    </w:p>
    <w:p w:rsidR="00E1094C" w:rsidRPr="00490741" w:rsidP="009F7BDB">
      <w:pPr>
        <w:spacing w:line="360" w:lineRule="auto"/>
        <w:ind w:firstLine="420" w:firstLineChars="200"/>
        <w:rPr>
          <w:rFonts w:asciiTheme="minorEastAsia" w:eastAsiaTheme="minorEastAsia" w:hAnsiTheme="minorEastAsia"/>
          <w:color w:val="000000" w:themeColor="text1"/>
          <w:szCs w:val="21"/>
        </w:rPr>
        <w:sectPr w:rsidSect="0035472D">
          <w:pgSz w:w="11906" w:h="16838" w:code="9"/>
          <w:pgMar w:top="1440" w:right="1800" w:bottom="1440" w:left="1800" w:header="851" w:footer="992" w:gutter="0"/>
          <w:cols w:space="425"/>
          <w:docGrid w:type="lines" w:linePitch="312"/>
        </w:sectPr>
      </w:pPr>
    </w:p>
    <w:p w:rsidR="0002608C" w:rsidRPr="00490741" w:rsidP="00107648">
      <w:pPr>
        <w:pStyle w:val="Heading1"/>
        <w:snapToGrid w:val="0"/>
        <w:spacing w:beforeLines="0" w:afterLines="0" w:line="360" w:lineRule="auto"/>
        <w:ind w:firstLine="643"/>
        <w:rPr>
          <w:rFonts w:asciiTheme="minorEastAsia" w:eastAsiaTheme="minorEastAsia" w:hAnsiTheme="minorEastAsia"/>
          <w:bCs/>
          <w:color w:val="000000" w:themeColor="text1"/>
        </w:rPr>
      </w:pPr>
      <w:bookmarkStart w:id="163" w:name="_Toc114237460"/>
      <w:r w:rsidRPr="00490741">
        <w:rPr>
          <w:rFonts w:asciiTheme="minorEastAsia" w:eastAsiaTheme="minorEastAsia" w:hAnsiTheme="minorEastAsia" w:hint="eastAsia"/>
          <w:b/>
          <w:bCs/>
          <w:color w:val="000000" w:themeColor="text1"/>
        </w:rPr>
        <w:t>十八、基金的信息披露</w:t>
      </w:r>
      <w:bookmarkEnd w:id="163"/>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（一）本基金的信息披露应符合《基金法》、《运作办法》、《信息披露办法》、《基金合同》及其他有关规定。</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（二）信息披露义务人</w:t>
      </w:r>
    </w:p>
    <w:p w:rsidR="002D15C5" w:rsidRPr="00490741" w:rsidP="002D15C5">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本基金信息披露义务人包括基金管理人、基金托管人、召集基金份额持有人大会的基金份额持有人等法律、行政法规和中国证监会规定的自然人、法人和非法人组织。</w:t>
      </w:r>
    </w:p>
    <w:p w:rsidR="002D15C5" w:rsidRPr="00490741" w:rsidP="002D15C5">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本基金信息披露义务人以保护基金份额持有人利益为根本出发点，按照法律法规和中国证监会的规定披露基金信息，并保证所披露信息的真实性、准确性、完整性、及时性、简明性和易得性。</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本基金信息披露义务人应当在中国证监会规定时间内，将应予披露的基金信息通过指定媒介披露，并保证基金投资者能够按照《基金合同》约定的时间和方式查阅或者复制公开披露的信息资料。</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（三）本基金信息披露义</w:t>
      </w:r>
      <w:r w:rsidRPr="00490741">
        <w:rPr>
          <w:rFonts w:asciiTheme="minorEastAsia" w:eastAsiaTheme="minorEastAsia" w:hAnsiTheme="minorEastAsia" w:hint="eastAsia"/>
          <w:color w:val="000000" w:themeColor="text1"/>
        </w:rPr>
        <w:t>务人承诺公开披露的基金信息，不得有下列行为：</w:t>
      </w:r>
    </w:p>
    <w:p w:rsidR="0002608C" w:rsidRPr="00490741" w:rsidP="00107648">
      <w:pPr>
        <w:autoSpaceDE w:val="0"/>
        <w:autoSpaceDN w:val="0"/>
        <w:snapToGrid w:val="0"/>
        <w:spacing w:line="360" w:lineRule="auto"/>
        <w:ind w:firstLine="458" w:firstLineChars="218"/>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1</w:t>
      </w:r>
      <w:r w:rsidRPr="00490741" w:rsidR="00CE2F50">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虚假记载、误导性陈述或者重大遗漏；</w:t>
      </w:r>
    </w:p>
    <w:p w:rsidR="0002608C" w:rsidRPr="00490741" w:rsidP="00107648">
      <w:pPr>
        <w:autoSpaceDE w:val="0"/>
        <w:autoSpaceDN w:val="0"/>
        <w:snapToGrid w:val="0"/>
        <w:spacing w:line="360" w:lineRule="auto"/>
        <w:ind w:firstLine="458" w:firstLineChars="218"/>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2</w:t>
      </w:r>
      <w:r w:rsidRPr="00490741" w:rsidR="00CE2F50">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对证券投资业绩进行预测；</w:t>
      </w:r>
    </w:p>
    <w:p w:rsidR="0002608C" w:rsidRPr="00490741" w:rsidP="00107648">
      <w:pPr>
        <w:autoSpaceDE w:val="0"/>
        <w:autoSpaceDN w:val="0"/>
        <w:snapToGrid w:val="0"/>
        <w:spacing w:line="360" w:lineRule="auto"/>
        <w:ind w:firstLine="458" w:firstLineChars="218"/>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3</w:t>
      </w:r>
      <w:r w:rsidRPr="00490741" w:rsidR="00CE2F50">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违规承诺收益或者承担损失；</w:t>
      </w:r>
    </w:p>
    <w:p w:rsidR="0002608C" w:rsidRPr="00490741" w:rsidP="00107648">
      <w:pPr>
        <w:autoSpaceDE w:val="0"/>
        <w:autoSpaceDN w:val="0"/>
        <w:snapToGrid w:val="0"/>
        <w:spacing w:line="360" w:lineRule="auto"/>
        <w:ind w:firstLine="458" w:firstLineChars="218"/>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4</w:t>
      </w:r>
      <w:r w:rsidRPr="00490741" w:rsidR="00CE2F50">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诋毁其他基金管理人、基金托管人或者基金份额发售机构；</w:t>
      </w:r>
    </w:p>
    <w:p w:rsidR="0002608C" w:rsidRPr="00490741" w:rsidP="00107648">
      <w:pPr>
        <w:autoSpaceDE w:val="0"/>
        <w:autoSpaceDN w:val="0"/>
        <w:snapToGrid w:val="0"/>
        <w:spacing w:line="360" w:lineRule="auto"/>
        <w:ind w:firstLine="458" w:firstLineChars="218"/>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5</w:t>
      </w:r>
      <w:r w:rsidRPr="00490741" w:rsidR="00CE2F50">
        <w:rPr>
          <w:rFonts w:asciiTheme="minorEastAsia" w:eastAsiaTheme="minorEastAsia" w:hAnsiTheme="minorEastAsia" w:hint="eastAsia"/>
          <w:color w:val="000000" w:themeColor="text1"/>
          <w:szCs w:val="21"/>
        </w:rPr>
        <w:t>、</w:t>
      </w:r>
      <w:r w:rsidRPr="00490741" w:rsidR="002D15C5">
        <w:rPr>
          <w:rFonts w:asciiTheme="minorEastAsia" w:eastAsiaTheme="minorEastAsia" w:hAnsiTheme="minorEastAsia" w:hint="eastAsia"/>
          <w:color w:val="000000" w:themeColor="text1"/>
          <w:szCs w:val="21"/>
        </w:rPr>
        <w:t>登载任何自然人、法人和非法人组织的祝贺性、恭维性或推荐性的文字；</w:t>
      </w:r>
    </w:p>
    <w:p w:rsidR="0002608C" w:rsidRPr="00490741" w:rsidP="00107648">
      <w:pPr>
        <w:autoSpaceDE w:val="0"/>
        <w:autoSpaceDN w:val="0"/>
        <w:snapToGrid w:val="0"/>
        <w:spacing w:line="360" w:lineRule="auto"/>
        <w:ind w:firstLine="458" w:firstLineChars="218"/>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6</w:t>
      </w:r>
      <w:r w:rsidRPr="00490741" w:rsidR="00CE2F50">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中国证监会禁止的其他行为。</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（四）本基金公开披露的信息应采用中文文本。如同时采用外文文本的，</w:t>
      </w:r>
      <w:r w:rsidRPr="00490741" w:rsidR="002D15C5">
        <w:rPr>
          <w:rFonts w:asciiTheme="minorEastAsia" w:eastAsiaTheme="minorEastAsia" w:hAnsiTheme="minorEastAsia" w:hint="eastAsia"/>
          <w:color w:val="000000" w:themeColor="text1"/>
          <w:szCs w:val="21"/>
        </w:rPr>
        <w:t>基金信息披露义务人应保证不同文本的内容一致。不同文本之间发生歧义的</w:t>
      </w:r>
      <w:r w:rsidRPr="00490741">
        <w:rPr>
          <w:rFonts w:asciiTheme="minorEastAsia" w:eastAsiaTheme="minorEastAsia" w:hAnsiTheme="minorEastAsia" w:hint="eastAsia"/>
          <w:color w:val="000000" w:themeColor="text1"/>
          <w:szCs w:val="21"/>
        </w:rPr>
        <w:t>。两种文本发生歧义的，以中文文本为准。</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本基金公开披露的信息采用阿拉伯数字；除特别说明外，货币单位为人民币元。</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（五）公开披露的基金信息</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公开披露的基金信息包括：</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、基金招募说明书、基金合同、基金托管协议</w:t>
      </w:r>
      <w:r w:rsidRPr="00490741" w:rsidR="002D15C5">
        <w:rPr>
          <w:rFonts w:asciiTheme="minorEastAsia" w:eastAsiaTheme="minorEastAsia" w:hAnsiTheme="minorEastAsia" w:hint="eastAsia"/>
          <w:color w:val="000000" w:themeColor="text1"/>
          <w:szCs w:val="21"/>
        </w:rPr>
        <w:t>、基金产品资料概要</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szCs w:val="21"/>
        </w:rPr>
        <w:t>基金募集申请经中国证监会核准后，基金管理人在基金份额发售的</w:t>
      </w:r>
      <w:r w:rsidRPr="00490741">
        <w:rPr>
          <w:rFonts w:asciiTheme="minorEastAsia" w:eastAsiaTheme="minorEastAsia" w:hAnsiTheme="minorEastAsia"/>
          <w:color w:val="000000" w:themeColor="text1"/>
          <w:szCs w:val="21"/>
        </w:rPr>
        <w:t>3</w:t>
      </w:r>
      <w:r w:rsidRPr="00490741">
        <w:rPr>
          <w:rFonts w:asciiTheme="minorEastAsia" w:eastAsiaTheme="minorEastAsia" w:hAnsiTheme="minorEastAsia" w:hint="eastAsia"/>
          <w:color w:val="000000" w:themeColor="text1"/>
          <w:szCs w:val="21"/>
        </w:rPr>
        <w:t>日前，将基金招募说明书、基金合同摘要登载在指定报刊和网站上；基金管理人、基金托管人应当将基金合同、</w:t>
      </w:r>
      <w:r w:rsidRPr="00490741">
        <w:rPr>
          <w:rFonts w:asciiTheme="minorEastAsia" w:eastAsiaTheme="minorEastAsia" w:hAnsiTheme="minorEastAsia" w:hint="eastAsia"/>
          <w:color w:val="000000" w:themeColor="text1"/>
        </w:rPr>
        <w:t>基金托管协议登载在网站上。</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1</w:t>
      </w:r>
      <w:r w:rsidRPr="00490741">
        <w:rPr>
          <w:rFonts w:asciiTheme="minorEastAsia" w:eastAsiaTheme="minorEastAsia" w:hAnsiTheme="minorEastAsia" w:hint="eastAsia"/>
          <w:color w:val="000000" w:themeColor="text1"/>
        </w:rPr>
        <w:t>）基金招募说明书应当最大限度地披露影响基金投资者决策的全部事项，说明基金认购、申购和赎回安排、基金投资、基金产品特性、风险揭示、信息披露</w:t>
      </w:r>
      <w:r w:rsidRPr="00490741">
        <w:rPr>
          <w:rFonts w:asciiTheme="minorEastAsia" w:eastAsiaTheme="minorEastAsia" w:hAnsiTheme="minorEastAsia" w:hint="eastAsia"/>
          <w:color w:val="000000" w:themeColor="text1"/>
        </w:rPr>
        <w:t>及基金份额持有人服务等内容。</w:t>
      </w:r>
      <w:r w:rsidRPr="00490741" w:rsidR="002D15C5">
        <w:rPr>
          <w:rFonts w:asciiTheme="minorEastAsia" w:eastAsiaTheme="minorEastAsia" w:hAnsiTheme="minorEastAsia" w:hint="eastAsia"/>
          <w:color w:val="000000" w:themeColor="text1"/>
        </w:rPr>
        <w:t>基金合同生效后，基金招募说明书的信息发生重大变更的，基金管理人应当在三个工作日内，更新基金招募说明书并登载在指定网站上；基金招募说明书其他信息发生变</w:t>
      </w:r>
      <w:r w:rsidRPr="00490741" w:rsidR="002D15C5">
        <w:rPr>
          <w:rFonts w:asciiTheme="minorEastAsia" w:eastAsiaTheme="minorEastAsia" w:hAnsiTheme="minorEastAsia" w:hint="eastAsia"/>
          <w:color w:val="000000" w:themeColor="text1"/>
        </w:rPr>
        <w:t>更的，基金管理人至少每年更新一次。基金终止运作的，基金管理人不再更新基金招募说明书。</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2</w:t>
      </w:r>
      <w:r w:rsidRPr="00490741">
        <w:rPr>
          <w:rFonts w:asciiTheme="minorEastAsia" w:eastAsiaTheme="minorEastAsia" w:hAnsiTheme="minorEastAsia" w:hint="eastAsia"/>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3</w:t>
      </w:r>
      <w:r w:rsidRPr="00490741">
        <w:rPr>
          <w:rFonts w:asciiTheme="minorEastAsia" w:eastAsiaTheme="minorEastAsia" w:hAnsiTheme="minorEastAsia" w:hint="eastAsia"/>
          <w:color w:val="000000" w:themeColor="text1"/>
        </w:rPr>
        <w:t>）基金托管协议是界定基金托管人和基金管理人在基金财产保管及基金运作监督等活动中的权利、义务关系的法律文件。</w:t>
      </w:r>
    </w:p>
    <w:p w:rsidR="002D15C5"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4</w:t>
      </w:r>
      <w:r w:rsidRPr="00490741">
        <w:rPr>
          <w:rFonts w:asciiTheme="minorEastAsia" w:eastAsiaTheme="minorEastAsia" w:hAnsiTheme="minorEastAsia" w:hint="eastAsia"/>
          <w:color w:val="000000" w:themeColor="text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2</w:t>
      </w:r>
      <w:r w:rsidRPr="00490741">
        <w:rPr>
          <w:rFonts w:asciiTheme="minorEastAsia" w:eastAsiaTheme="minorEastAsia" w:hAnsiTheme="minorEastAsia" w:hint="eastAsia"/>
          <w:color w:val="000000" w:themeColor="text1"/>
        </w:rPr>
        <w:t>、基金份额发售公告</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基金管理人应当就基</w:t>
      </w:r>
      <w:r w:rsidRPr="00490741">
        <w:rPr>
          <w:rFonts w:asciiTheme="minorEastAsia" w:eastAsiaTheme="minorEastAsia" w:hAnsiTheme="minorEastAsia" w:hint="eastAsia"/>
          <w:color w:val="000000" w:themeColor="text1"/>
        </w:rPr>
        <w:t>金份额发售的具体事宜编制基金份额发售公告，并在披露招募说明书的当日登载于指定报刊和网站上。</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3</w:t>
      </w:r>
      <w:r w:rsidRPr="00490741" w:rsidR="00CE2F50">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基金合同生效公告</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基金管理人应当在本基金合同生效的次日在指定报刊和网站上登载基金合同生效公告。</w:t>
      </w:r>
    </w:p>
    <w:p w:rsidR="002D15C5" w:rsidRPr="00490741" w:rsidP="002D15C5">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4</w:t>
      </w:r>
      <w:r w:rsidRPr="00490741">
        <w:rPr>
          <w:rFonts w:asciiTheme="minorEastAsia" w:eastAsiaTheme="minorEastAsia" w:hAnsiTheme="minorEastAsia" w:hint="eastAsia"/>
          <w:color w:val="000000" w:themeColor="text1"/>
        </w:rPr>
        <w:t>、基金净值信息</w:t>
      </w:r>
    </w:p>
    <w:p w:rsidR="002D15C5" w:rsidRPr="00490741" w:rsidP="002D15C5">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《基金合同》生效后，在开始办理基金份额申购或者赎回前，基金管理人应当至少每周在指定网站披露一次基金份额净值和基金份额累计净值。</w:t>
      </w:r>
    </w:p>
    <w:p w:rsidR="002D15C5" w:rsidRPr="00490741" w:rsidP="002D15C5">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在开始办理基金份额申购或者赎回后，基金管理人应当在不晚于每个开放日的次日，通过指定网站、基金销售机构网站或者营业网点披露开放日的基金份额净值和基金份额累计净值。</w:t>
      </w:r>
    </w:p>
    <w:p w:rsidR="002D15C5" w:rsidRPr="00490741" w:rsidP="002D15C5">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基金管理人应</w:t>
      </w:r>
      <w:r w:rsidRPr="00490741">
        <w:rPr>
          <w:rFonts w:asciiTheme="minorEastAsia" w:eastAsiaTheme="minorEastAsia" w:hAnsiTheme="minorEastAsia" w:hint="eastAsia"/>
          <w:color w:val="000000" w:themeColor="text1"/>
        </w:rPr>
        <w:t>当在不晚于半年度和年度最后一日的次日，在指定网站披露半年度和年度最后一日的基金份额净值和基金份额累计净值。</w:t>
      </w:r>
    </w:p>
    <w:p w:rsidR="002D15C5" w:rsidRPr="00490741" w:rsidP="002D15C5">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5</w:t>
      </w:r>
      <w:r w:rsidRPr="00490741">
        <w:rPr>
          <w:rFonts w:asciiTheme="minorEastAsia" w:eastAsiaTheme="minorEastAsia" w:hAnsiTheme="minorEastAsia" w:hint="eastAsia"/>
          <w:color w:val="000000" w:themeColor="text1"/>
        </w:rPr>
        <w:t>、基金份额申购、赎回价格</w:t>
      </w:r>
    </w:p>
    <w:p w:rsidR="002D15C5" w:rsidRPr="00490741" w:rsidP="002D15C5">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2D15C5" w:rsidRPr="00490741" w:rsidP="002D15C5">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6</w:t>
      </w:r>
      <w:r w:rsidRPr="00490741">
        <w:rPr>
          <w:rFonts w:asciiTheme="minorEastAsia" w:eastAsiaTheme="minorEastAsia" w:hAnsiTheme="minorEastAsia" w:hint="eastAsia"/>
          <w:color w:val="000000" w:themeColor="text1"/>
        </w:rPr>
        <w:t>、基金定期报告，包括基金年度报告、基金中期报告和基金季度报告</w:t>
      </w:r>
    </w:p>
    <w:p w:rsidR="002D15C5" w:rsidRPr="00490741" w:rsidP="002D15C5">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2D15C5" w:rsidRPr="00490741" w:rsidP="002D15C5">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基金管理人应当在上半年结束之日起两个月内，编制完成基金中期报告，将中期报告登</w:t>
      </w:r>
      <w:r w:rsidRPr="00490741">
        <w:rPr>
          <w:rFonts w:asciiTheme="minorEastAsia" w:eastAsiaTheme="minorEastAsia" w:hAnsiTheme="minorEastAsia" w:hint="eastAsia"/>
          <w:color w:val="000000" w:themeColor="text1"/>
        </w:rPr>
        <w:t>载在指定网站上，并将中期报告提示性公告登载在指定报刊上。</w:t>
      </w:r>
    </w:p>
    <w:p w:rsidR="002D15C5" w:rsidRPr="00490741" w:rsidP="002D15C5">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基金管理人应当在季度结束之日起</w:t>
      </w:r>
      <w:r w:rsidRPr="00490741">
        <w:rPr>
          <w:rFonts w:asciiTheme="minorEastAsia" w:eastAsiaTheme="minorEastAsia" w:hAnsiTheme="minorEastAsia" w:hint="eastAsia"/>
          <w:color w:val="000000" w:themeColor="text1"/>
        </w:rPr>
        <w:t>15</w:t>
      </w:r>
      <w:r w:rsidRPr="00490741">
        <w:rPr>
          <w:rFonts w:asciiTheme="minorEastAsia" w:eastAsiaTheme="minorEastAsia" w:hAnsiTheme="minorEastAsia" w:hint="eastAsia"/>
          <w:color w:val="000000" w:themeColor="text1"/>
        </w:rPr>
        <w:t>个工作日内，编制完成基金季度报告，将季度报告登载在指定网站上，并将季度报告提示性公告登载在指定报刊上。</w:t>
      </w:r>
    </w:p>
    <w:p w:rsidR="002D15C5" w:rsidRPr="00490741" w:rsidP="002D15C5">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《基金合同》生效不足</w:t>
      </w:r>
      <w:r w:rsidRPr="00490741">
        <w:rPr>
          <w:rFonts w:asciiTheme="minorEastAsia" w:eastAsiaTheme="minorEastAsia" w:hAnsiTheme="minorEastAsia" w:hint="eastAsia"/>
          <w:color w:val="000000" w:themeColor="text1"/>
        </w:rPr>
        <w:t>2</w:t>
      </w:r>
      <w:r w:rsidRPr="00490741">
        <w:rPr>
          <w:rFonts w:asciiTheme="minorEastAsia" w:eastAsiaTheme="minorEastAsia" w:hAnsiTheme="minorEastAsia" w:hint="eastAsia"/>
          <w:color w:val="000000" w:themeColor="text1"/>
        </w:rPr>
        <w:t>个月</w:t>
      </w:r>
      <w:r w:rsidRPr="00490741">
        <w:rPr>
          <w:rFonts w:asciiTheme="minorEastAsia" w:eastAsiaTheme="minorEastAsia" w:hAnsiTheme="minorEastAsia" w:hint="eastAsia"/>
          <w:color w:val="000000" w:themeColor="text1"/>
        </w:rPr>
        <w:t>的，基金管理人可以不编制当期季度报告、中期报告或者年度报告。</w:t>
      </w:r>
    </w:p>
    <w:p w:rsidR="002D15C5" w:rsidRPr="00490741" w:rsidP="002D15C5">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如报告期内出现单一投资者持有基金份额达到或超过基金总份额</w:t>
      </w:r>
      <w:r w:rsidRPr="00490741">
        <w:rPr>
          <w:rFonts w:asciiTheme="minorEastAsia" w:eastAsiaTheme="minorEastAsia" w:hAnsiTheme="minorEastAsia" w:hint="eastAsia"/>
          <w:color w:val="000000" w:themeColor="text1"/>
        </w:rPr>
        <w:t>20%</w:t>
      </w:r>
      <w:r w:rsidRPr="00490741">
        <w:rPr>
          <w:rFonts w:asciiTheme="minorEastAsia" w:eastAsiaTheme="minorEastAsia" w:hAnsiTheme="minorEastAsia" w:hint="eastAsia"/>
          <w:color w:val="000000" w:themeColor="text1"/>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2D15C5" w:rsidRPr="00490741" w:rsidP="002D15C5">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基金管理人应当在基金年度报告和中期报告中披露基金组合资产情况及其流动性风险分析等。</w:t>
      </w:r>
    </w:p>
    <w:p w:rsidR="002D15C5" w:rsidRPr="00490741" w:rsidP="002D15C5">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7</w:t>
      </w:r>
      <w:r w:rsidRPr="00490741">
        <w:rPr>
          <w:rFonts w:asciiTheme="minorEastAsia" w:eastAsiaTheme="minorEastAsia" w:hAnsiTheme="minorEastAsia" w:hint="eastAsia"/>
          <w:color w:val="000000" w:themeColor="text1"/>
        </w:rPr>
        <w:t>、临时报告</w:t>
      </w:r>
    </w:p>
    <w:p w:rsidR="002D15C5" w:rsidRPr="00490741" w:rsidP="002D15C5">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本基金发生重大事件，有关信息披露义务人应当在</w:t>
      </w:r>
      <w:r w:rsidRPr="00490741">
        <w:rPr>
          <w:rFonts w:asciiTheme="minorEastAsia" w:eastAsiaTheme="minorEastAsia" w:hAnsiTheme="minorEastAsia" w:hint="eastAsia"/>
          <w:color w:val="000000" w:themeColor="text1"/>
        </w:rPr>
        <w:t>2</w:t>
      </w:r>
      <w:r w:rsidRPr="00490741">
        <w:rPr>
          <w:rFonts w:asciiTheme="minorEastAsia" w:eastAsiaTheme="minorEastAsia" w:hAnsiTheme="minorEastAsia" w:hint="eastAsia"/>
          <w:color w:val="000000" w:themeColor="text1"/>
        </w:rPr>
        <w:t>日内编制临时报告书，并登载在</w:t>
      </w:r>
      <w:r w:rsidRPr="00490741">
        <w:rPr>
          <w:rFonts w:asciiTheme="minorEastAsia" w:eastAsiaTheme="minorEastAsia" w:hAnsiTheme="minorEastAsia" w:hint="eastAsia"/>
          <w:color w:val="000000" w:themeColor="text1"/>
        </w:rPr>
        <w:t>指定报刊和指定网站上。</w:t>
      </w:r>
    </w:p>
    <w:p w:rsidR="002D15C5" w:rsidRPr="00490741" w:rsidP="002D15C5">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前款所称重大事件，是指可能对基金份额持有人权益或者基金份额的价格产生重大影响的下列事件：</w:t>
      </w:r>
    </w:p>
    <w:p w:rsidR="002D15C5" w:rsidRPr="00490741" w:rsidP="009F7BDB">
      <w:pPr>
        <w:pStyle w:val="ListParagraph"/>
        <w:numPr>
          <w:ilvl w:val="0"/>
          <w:numId w:val="9"/>
        </w:numPr>
        <w:snapToGrid w:val="0"/>
        <w:spacing w:line="360" w:lineRule="auto"/>
        <w:ind w:firstLineChars="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基金份额持有人大会的召开及决定的事项；</w:t>
      </w:r>
    </w:p>
    <w:p w:rsidR="002D15C5" w:rsidRPr="00490741" w:rsidP="009F7BDB">
      <w:pPr>
        <w:pStyle w:val="ListParagraph"/>
        <w:numPr>
          <w:ilvl w:val="0"/>
          <w:numId w:val="9"/>
        </w:numPr>
        <w:snapToGrid w:val="0"/>
        <w:spacing w:line="360" w:lineRule="auto"/>
        <w:ind w:firstLineChars="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基金合同终止、基金清算；</w:t>
      </w:r>
    </w:p>
    <w:p w:rsidR="002D15C5" w:rsidRPr="00490741" w:rsidP="009F7BDB">
      <w:pPr>
        <w:pStyle w:val="ListParagraph"/>
        <w:numPr>
          <w:ilvl w:val="0"/>
          <w:numId w:val="9"/>
        </w:numPr>
        <w:snapToGrid w:val="0"/>
        <w:spacing w:line="360" w:lineRule="auto"/>
        <w:ind w:firstLineChars="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转换基金运作方式、基金合并；</w:t>
      </w:r>
    </w:p>
    <w:p w:rsidR="002D15C5" w:rsidRPr="00490741" w:rsidP="009F7BDB">
      <w:pPr>
        <w:pStyle w:val="ListParagraph"/>
        <w:numPr>
          <w:ilvl w:val="0"/>
          <w:numId w:val="9"/>
        </w:numPr>
        <w:snapToGrid w:val="0"/>
        <w:spacing w:line="360" w:lineRule="auto"/>
        <w:ind w:firstLineChars="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更换基金管理人、基金托管人、基金份额登记机构，基金改聘会计师事务所；</w:t>
      </w:r>
    </w:p>
    <w:p w:rsidR="002D15C5" w:rsidRPr="00490741" w:rsidP="009F7BDB">
      <w:pPr>
        <w:pStyle w:val="ListParagraph"/>
        <w:numPr>
          <w:ilvl w:val="0"/>
          <w:numId w:val="9"/>
        </w:numPr>
        <w:snapToGrid w:val="0"/>
        <w:spacing w:line="360" w:lineRule="auto"/>
        <w:ind w:firstLineChars="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基金管理人委托基金服务机构代为办理基金的份额登记、核算、估值等事项，基金托管人委托基金服务机构代为办理基金的核算、估值、复核等事项；</w:t>
      </w:r>
    </w:p>
    <w:p w:rsidR="002D15C5" w:rsidRPr="00490741" w:rsidP="009F7BDB">
      <w:pPr>
        <w:pStyle w:val="ListParagraph"/>
        <w:numPr>
          <w:ilvl w:val="0"/>
          <w:numId w:val="9"/>
        </w:numPr>
        <w:snapToGrid w:val="0"/>
        <w:spacing w:line="360" w:lineRule="auto"/>
        <w:ind w:firstLineChars="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基金管理人、基金托管人的法定名称、住所发生变更；</w:t>
      </w:r>
    </w:p>
    <w:p w:rsidR="002D15C5" w:rsidRPr="00490741" w:rsidP="009F7BDB">
      <w:pPr>
        <w:pStyle w:val="ListParagraph"/>
        <w:numPr>
          <w:ilvl w:val="0"/>
          <w:numId w:val="9"/>
        </w:numPr>
        <w:snapToGrid w:val="0"/>
        <w:spacing w:line="360" w:lineRule="auto"/>
        <w:ind w:firstLineChars="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基金管理公司变更持有百分之五以上股权的股东、基金</w:t>
      </w:r>
      <w:r w:rsidRPr="00490741">
        <w:rPr>
          <w:rFonts w:asciiTheme="minorEastAsia" w:eastAsiaTheme="minorEastAsia" w:hAnsiTheme="minorEastAsia" w:hint="eastAsia"/>
          <w:color w:val="000000" w:themeColor="text1"/>
        </w:rPr>
        <w:t>管理人的实际控制人变更；</w:t>
      </w:r>
    </w:p>
    <w:p w:rsidR="002D15C5" w:rsidRPr="00490741" w:rsidP="009F7BDB">
      <w:pPr>
        <w:pStyle w:val="ListParagraph"/>
        <w:numPr>
          <w:ilvl w:val="0"/>
          <w:numId w:val="9"/>
        </w:numPr>
        <w:snapToGrid w:val="0"/>
        <w:spacing w:line="360" w:lineRule="auto"/>
        <w:ind w:firstLineChars="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基金募集期延长或提前结束募集；</w:t>
      </w:r>
    </w:p>
    <w:p w:rsidR="002D15C5" w:rsidRPr="00490741" w:rsidP="009F7BDB">
      <w:pPr>
        <w:pStyle w:val="ListParagraph"/>
        <w:numPr>
          <w:ilvl w:val="0"/>
          <w:numId w:val="9"/>
        </w:numPr>
        <w:snapToGrid w:val="0"/>
        <w:spacing w:line="360" w:lineRule="auto"/>
        <w:ind w:firstLineChars="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基金管理人的高级管理人员、基金经理和基金托管人专门基金托管部门负责人发生变动；</w:t>
      </w:r>
    </w:p>
    <w:p w:rsidR="002D15C5" w:rsidRPr="00490741" w:rsidP="009F7BDB">
      <w:pPr>
        <w:pStyle w:val="ListParagraph"/>
        <w:numPr>
          <w:ilvl w:val="0"/>
          <w:numId w:val="9"/>
        </w:numPr>
        <w:snapToGrid w:val="0"/>
        <w:spacing w:line="360" w:lineRule="auto"/>
        <w:ind w:firstLineChars="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基金管理人的董事在最近</w:t>
      </w:r>
      <w:r w:rsidRPr="00490741">
        <w:rPr>
          <w:rFonts w:asciiTheme="minorEastAsia" w:eastAsiaTheme="minorEastAsia" w:hAnsiTheme="minorEastAsia"/>
          <w:color w:val="000000" w:themeColor="text1"/>
        </w:rPr>
        <w:t>12</w:t>
      </w:r>
      <w:r w:rsidRPr="00490741">
        <w:rPr>
          <w:rFonts w:asciiTheme="minorEastAsia" w:eastAsiaTheme="minorEastAsia" w:hAnsiTheme="minorEastAsia" w:hint="eastAsia"/>
          <w:color w:val="000000" w:themeColor="text1"/>
        </w:rPr>
        <w:t>个月内变更超过百分之五十，基金管理人、基金托管人专门基金托管部门的主要业务人员在最近</w:t>
      </w:r>
      <w:r w:rsidRPr="00490741">
        <w:rPr>
          <w:rFonts w:asciiTheme="minorEastAsia" w:eastAsiaTheme="minorEastAsia" w:hAnsiTheme="minorEastAsia"/>
          <w:color w:val="000000" w:themeColor="text1"/>
        </w:rPr>
        <w:t>12</w:t>
      </w:r>
      <w:r w:rsidRPr="00490741">
        <w:rPr>
          <w:rFonts w:asciiTheme="minorEastAsia" w:eastAsiaTheme="minorEastAsia" w:hAnsiTheme="minorEastAsia" w:hint="eastAsia"/>
          <w:color w:val="000000" w:themeColor="text1"/>
        </w:rPr>
        <w:t>个月内变动超过百分之三十；</w:t>
      </w:r>
    </w:p>
    <w:p w:rsidR="002D15C5" w:rsidRPr="00490741" w:rsidP="009F7BDB">
      <w:pPr>
        <w:pStyle w:val="ListParagraph"/>
        <w:numPr>
          <w:ilvl w:val="0"/>
          <w:numId w:val="9"/>
        </w:numPr>
        <w:snapToGrid w:val="0"/>
        <w:spacing w:line="360" w:lineRule="auto"/>
        <w:ind w:firstLineChars="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涉及基金财产、基金管理业务、基金托管业务的诉讼或仲裁；</w:t>
      </w:r>
    </w:p>
    <w:p w:rsidR="002D15C5" w:rsidRPr="00490741" w:rsidP="009F7BDB">
      <w:pPr>
        <w:pStyle w:val="ListParagraph"/>
        <w:numPr>
          <w:ilvl w:val="0"/>
          <w:numId w:val="9"/>
        </w:numPr>
        <w:snapToGrid w:val="0"/>
        <w:spacing w:line="360" w:lineRule="auto"/>
        <w:ind w:firstLineChars="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基金管理人或其高级管理人员、基金经理因基金管理业务相关行为受到重大行政处罚、刑事处罚，基金托管人或其专门基金托管部门负责人因基金托管业务相关行为受到重大行政处罚、刑事处罚；</w:t>
      </w:r>
    </w:p>
    <w:p w:rsidR="002D15C5" w:rsidRPr="00490741" w:rsidP="009F7BDB">
      <w:pPr>
        <w:pStyle w:val="ListParagraph"/>
        <w:numPr>
          <w:ilvl w:val="0"/>
          <w:numId w:val="9"/>
        </w:numPr>
        <w:snapToGrid w:val="0"/>
        <w:spacing w:line="360" w:lineRule="auto"/>
        <w:ind w:firstLineChars="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2D15C5" w:rsidRPr="00490741" w:rsidP="009F7BDB">
      <w:pPr>
        <w:pStyle w:val="ListParagraph"/>
        <w:numPr>
          <w:ilvl w:val="0"/>
          <w:numId w:val="9"/>
        </w:numPr>
        <w:snapToGrid w:val="0"/>
        <w:spacing w:line="360" w:lineRule="auto"/>
        <w:ind w:firstLineChars="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基金收益分配事项；</w:t>
      </w:r>
    </w:p>
    <w:p w:rsidR="002D15C5" w:rsidRPr="00490741" w:rsidP="009F7BDB">
      <w:pPr>
        <w:pStyle w:val="ListParagraph"/>
        <w:numPr>
          <w:ilvl w:val="0"/>
          <w:numId w:val="9"/>
        </w:numPr>
        <w:snapToGrid w:val="0"/>
        <w:spacing w:line="360" w:lineRule="auto"/>
        <w:ind w:firstLineChars="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管理费、托管费、申购费、赎回费等费用计提标准、计提方式和费率发生变更；</w:t>
      </w:r>
    </w:p>
    <w:p w:rsidR="002D15C5" w:rsidRPr="00490741" w:rsidP="009F7BDB">
      <w:pPr>
        <w:pStyle w:val="ListParagraph"/>
        <w:numPr>
          <w:ilvl w:val="0"/>
          <w:numId w:val="9"/>
        </w:numPr>
        <w:snapToGrid w:val="0"/>
        <w:spacing w:line="360" w:lineRule="auto"/>
        <w:ind w:firstLineChars="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基金份额净值计价错误达基金份额净值百分之零点五；</w:t>
      </w:r>
    </w:p>
    <w:p w:rsidR="002D15C5" w:rsidRPr="00490741" w:rsidP="009F7BDB">
      <w:pPr>
        <w:pStyle w:val="ListParagraph"/>
        <w:numPr>
          <w:ilvl w:val="0"/>
          <w:numId w:val="9"/>
        </w:numPr>
        <w:snapToGrid w:val="0"/>
        <w:spacing w:line="360" w:lineRule="auto"/>
        <w:ind w:firstLineChars="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本基金开始办理申购、赎回；</w:t>
      </w:r>
    </w:p>
    <w:p w:rsidR="002D15C5" w:rsidRPr="00490741" w:rsidP="009F7BDB">
      <w:pPr>
        <w:pStyle w:val="ListParagraph"/>
        <w:numPr>
          <w:ilvl w:val="0"/>
          <w:numId w:val="9"/>
        </w:numPr>
        <w:snapToGrid w:val="0"/>
        <w:spacing w:line="360" w:lineRule="auto"/>
        <w:ind w:firstLineChars="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本基金暂停接受申购、赎回申请或重新接受申购、赎回申请；</w:t>
      </w:r>
    </w:p>
    <w:p w:rsidR="002D15C5" w:rsidRPr="00490741" w:rsidP="009F7BDB">
      <w:pPr>
        <w:pStyle w:val="ListParagraph"/>
        <w:numPr>
          <w:ilvl w:val="0"/>
          <w:numId w:val="9"/>
        </w:numPr>
        <w:snapToGrid w:val="0"/>
        <w:spacing w:line="360" w:lineRule="auto"/>
        <w:ind w:firstLineChars="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调整基金份额类别的设置；</w:t>
      </w:r>
    </w:p>
    <w:p w:rsidR="002D15C5" w:rsidRPr="00490741" w:rsidP="009F7BDB">
      <w:pPr>
        <w:pStyle w:val="ListParagraph"/>
        <w:numPr>
          <w:ilvl w:val="0"/>
          <w:numId w:val="9"/>
        </w:numPr>
        <w:snapToGrid w:val="0"/>
        <w:spacing w:line="360" w:lineRule="auto"/>
        <w:ind w:firstLineChars="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基金推出新业务或服务；</w:t>
      </w:r>
    </w:p>
    <w:p w:rsidR="002D15C5" w:rsidRPr="00490741" w:rsidP="009F7BDB">
      <w:pPr>
        <w:pStyle w:val="ListParagraph"/>
        <w:numPr>
          <w:ilvl w:val="0"/>
          <w:numId w:val="9"/>
        </w:numPr>
        <w:snapToGrid w:val="0"/>
        <w:spacing w:line="360" w:lineRule="auto"/>
        <w:ind w:firstLineChars="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基金信息披露义务人认为可能对基金份额持有人权益或者基金份额的价格产生重大影响的其他事项或中国证监会规定的其他事项。</w:t>
      </w:r>
    </w:p>
    <w:p w:rsidR="002D15C5" w:rsidRPr="00490741" w:rsidP="002D15C5">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8</w:t>
      </w:r>
      <w:r w:rsidRPr="00490741">
        <w:rPr>
          <w:rFonts w:asciiTheme="minorEastAsia" w:eastAsiaTheme="minorEastAsia" w:hAnsiTheme="minorEastAsia" w:hint="eastAsia"/>
          <w:color w:val="000000" w:themeColor="text1"/>
        </w:rPr>
        <w:t>、澄清公告</w:t>
      </w:r>
    </w:p>
    <w:p w:rsidR="002D15C5" w:rsidRPr="00490741" w:rsidP="002D15C5">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2D15C5" w:rsidRPr="00490741" w:rsidP="002D15C5">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9</w:t>
      </w:r>
      <w:r w:rsidRPr="00490741">
        <w:rPr>
          <w:rFonts w:asciiTheme="minorEastAsia" w:eastAsiaTheme="minorEastAsia" w:hAnsiTheme="minorEastAsia" w:hint="eastAsia"/>
          <w:color w:val="000000" w:themeColor="text1"/>
        </w:rPr>
        <w:t>、清算报告</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基金合同终止的，基金管理人应当依法组织基金财产清算小组对基金财产进行清算并作出清算报告。基金财产清算小组应当将清算报告登载在指定网站上，</w:t>
      </w:r>
      <w:r w:rsidRPr="00490741">
        <w:rPr>
          <w:rFonts w:asciiTheme="minorEastAsia" w:eastAsiaTheme="minorEastAsia" w:hAnsiTheme="minorEastAsia" w:hint="eastAsia"/>
          <w:color w:val="000000" w:themeColor="text1"/>
        </w:rPr>
        <w:t>并将清算报告提示性公告登载在指定报刊上。</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10</w:t>
      </w:r>
      <w:r w:rsidRPr="00490741" w:rsidR="00CE2F50">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基金份额持有人大会决议</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基金份额持有人大会决定的事项，应当依法报中国证监会备案，并予以公告。召开基金份额持有人大会的，召集人应当至少提前</w:t>
      </w:r>
      <w:r w:rsidRPr="00490741">
        <w:rPr>
          <w:rFonts w:asciiTheme="minorEastAsia" w:eastAsiaTheme="minorEastAsia" w:hAnsiTheme="minorEastAsia" w:hint="eastAsia"/>
          <w:color w:val="000000" w:themeColor="text1"/>
        </w:rPr>
        <w:t>4</w:t>
      </w:r>
      <w:r w:rsidRPr="00490741">
        <w:rPr>
          <w:rFonts w:asciiTheme="minorEastAsia" w:eastAsiaTheme="minorEastAsia" w:hAnsiTheme="minorEastAsia"/>
          <w:color w:val="000000" w:themeColor="text1"/>
        </w:rPr>
        <w:t>0</w:t>
      </w:r>
      <w:r w:rsidRPr="00490741">
        <w:rPr>
          <w:rFonts w:asciiTheme="minorEastAsia" w:eastAsiaTheme="minorEastAsia" w:hAnsiTheme="minorEastAsia" w:hint="eastAsia"/>
          <w:color w:val="000000" w:themeColor="text1"/>
        </w:rPr>
        <w:t>日公告基金份额持有人大会的召开时间、会议形式、审议事项、议事程序和表决方式等事项。</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基金份额持有人依法自行召集基金份额持有人大会，本基金管理人、本基金托管人对基金份额持有人大会决定的事项不依法履行信息披露义务的，召集人应当履行相关信息披露义务。</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1</w:t>
      </w:r>
      <w:r w:rsidRPr="00490741">
        <w:rPr>
          <w:rFonts w:asciiTheme="minorEastAsia" w:eastAsiaTheme="minorEastAsia" w:hAnsiTheme="minorEastAsia"/>
          <w:color w:val="000000" w:themeColor="text1"/>
        </w:rPr>
        <w:t>1</w:t>
      </w:r>
      <w:r w:rsidRPr="00490741" w:rsidR="00CE2F50">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中国证监会规定的其他信息。</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（六）信息披露事务管理</w:t>
      </w:r>
    </w:p>
    <w:p w:rsidR="002D15C5" w:rsidRPr="00490741" w:rsidP="002D15C5">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基金管理人、基金托管</w:t>
      </w:r>
      <w:r w:rsidRPr="00490741">
        <w:rPr>
          <w:rFonts w:asciiTheme="minorEastAsia" w:eastAsiaTheme="minorEastAsia" w:hAnsiTheme="minorEastAsia" w:hint="eastAsia"/>
          <w:color w:val="000000" w:themeColor="text1"/>
          <w:szCs w:val="21"/>
        </w:rPr>
        <w:t>人应当建立健全信息披露管理制度，指定专门部门及高级管理人员负责管理信息披露事务。</w:t>
      </w:r>
    </w:p>
    <w:p w:rsidR="002D15C5" w:rsidRPr="00490741" w:rsidP="002D15C5">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基金信息披露义务人公开披露基金信息，应当符合中国证监会相关基金信息披露内容与格式准则等法规的规定。</w:t>
      </w:r>
    </w:p>
    <w:p w:rsidR="002D15C5" w:rsidRPr="00490741" w:rsidP="002D15C5">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基金托管人应当按照相关法律法规、中国证监会的规定和《基金合同》的约定，对基金</w:t>
      </w:r>
      <w:r w:rsidRPr="00490741">
        <w:rPr>
          <w:rFonts w:asciiTheme="minorEastAsia" w:eastAsiaTheme="minorEastAsia" w:hAnsiTheme="minorEastAsia" w:hint="eastAsia"/>
          <w:color w:val="000000" w:themeColor="text1"/>
          <w:szCs w:val="21"/>
        </w:rPr>
        <w:t>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2D15C5" w:rsidRPr="00490741" w:rsidP="002D15C5">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基金管理人、基金托管人应当在指定报刊中选择一家报刊披露</w:t>
      </w:r>
      <w:r w:rsidRPr="00490741">
        <w:rPr>
          <w:rFonts w:asciiTheme="minorEastAsia" w:eastAsiaTheme="minorEastAsia" w:hAnsiTheme="minorEastAsia" w:hint="eastAsia"/>
          <w:color w:val="000000" w:themeColor="text1"/>
          <w:szCs w:val="21"/>
        </w:rPr>
        <w:t>本基金信息。基金管理人、基金托管人应当向中国证监会基金电子披露网站报送拟披露的基金信息，并保证相关报送信息的真实、准确、完整、及时。</w:t>
      </w:r>
    </w:p>
    <w:p w:rsidR="002D15C5" w:rsidRPr="00490741" w:rsidP="002D15C5">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w:t>
      </w:r>
      <w:r w:rsidRPr="00490741">
        <w:rPr>
          <w:rFonts w:asciiTheme="minorEastAsia" w:eastAsiaTheme="minorEastAsia" w:hAnsiTheme="minorEastAsia" w:hint="eastAsia"/>
          <w:color w:val="000000" w:themeColor="text1"/>
          <w:szCs w:val="21"/>
        </w:rPr>
        <w:t>符合中国证监会及自律规则的相关规定。前述自主披露如产生信息披露费用，该费用不得从基金财产中列支。</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（七）信息披露文件的存放与查阅</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szCs w:val="21"/>
        </w:rPr>
        <w:t>依法必须披露的信息发布后，基金管理人、基金托管人应当按照相关法律法规规定将信息置备于公司办公场所，供社会公众查阅、复制。</w:t>
      </w:r>
    </w:p>
    <w:p w:rsidR="003A2EE8" w:rsidRPr="00490741">
      <w:pPr>
        <w:widowControl/>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br w:type="page"/>
      </w:r>
    </w:p>
    <w:p w:rsidR="0002608C" w:rsidRPr="00490741" w:rsidP="00107648">
      <w:pPr>
        <w:pStyle w:val="Heading1"/>
        <w:snapToGrid w:val="0"/>
        <w:spacing w:beforeLines="0" w:afterLines="0" w:line="360" w:lineRule="auto"/>
        <w:ind w:firstLine="643"/>
        <w:rPr>
          <w:rFonts w:asciiTheme="minorEastAsia" w:eastAsiaTheme="minorEastAsia" w:hAnsiTheme="minorEastAsia"/>
          <w:color w:val="000000" w:themeColor="text1"/>
        </w:rPr>
      </w:pPr>
      <w:bookmarkStart w:id="164" w:name="_Toc114237461"/>
      <w:r w:rsidRPr="00490741">
        <w:rPr>
          <w:rFonts w:asciiTheme="minorEastAsia" w:eastAsiaTheme="minorEastAsia" w:hAnsiTheme="minorEastAsia" w:hint="eastAsia"/>
          <w:b/>
          <w:bCs/>
          <w:color w:val="000000" w:themeColor="text1"/>
        </w:rPr>
        <w:t>十九、风险揭示</w:t>
      </w:r>
      <w:bookmarkEnd w:id="164"/>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65" w:name="_Toc114237462"/>
      <w:r w:rsidRPr="00490741">
        <w:rPr>
          <w:rFonts w:asciiTheme="minorEastAsia" w:eastAsiaTheme="minorEastAsia" w:hAnsiTheme="minorEastAsia" w:hint="eastAsia"/>
          <w:b w:val="0"/>
          <w:color w:val="000000" w:themeColor="text1"/>
        </w:rPr>
        <w:t>（一）市场风险</w:t>
      </w:r>
      <w:bookmarkEnd w:id="165"/>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本</w:t>
      </w:r>
      <w:r w:rsidRPr="00490741">
        <w:rPr>
          <w:rFonts w:asciiTheme="minorEastAsia" w:eastAsiaTheme="minorEastAsia" w:hAnsiTheme="minorEastAsia"/>
          <w:color w:val="000000" w:themeColor="text1"/>
        </w:rPr>
        <w:t>基金主要投资于证券市场，而证券市场价格因受到经济因素、政治因素、投资者心理和交易制度等各种因素的影响而产生波动，从而导致基金收益水平发生变化，产生风险。主要的风险因素包括：</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1</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政策风险</w:t>
      </w:r>
    </w:p>
    <w:p w:rsidR="0002608C" w:rsidRPr="00490741" w:rsidP="00107648">
      <w:pPr>
        <w:snapToGrid w:val="0"/>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因财政政策、货币政策、产业政策、地区发展政策等国家宏观政策发生变化，导致市场价格波动，影响基金收益而产生风险。</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2</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经济周期风险</w:t>
      </w:r>
    </w:p>
    <w:p w:rsidR="0002608C" w:rsidRPr="00490741" w:rsidP="00107648">
      <w:pPr>
        <w:snapToGrid w:val="0"/>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随着经济运行的周期性变化，证券市场的收益水平也呈周期性变化，基金投资的收益水平也会随之变化，从而产生风险。</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3</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利率风险</w:t>
      </w:r>
    </w:p>
    <w:p w:rsidR="0002608C" w:rsidRPr="00490741" w:rsidP="00107648">
      <w:pPr>
        <w:snapToGrid w:val="0"/>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金融市场利率的波动会导致证券市场价格和收益率的变动。利率直接影响着债券的价格和收益率，影响着企业的融资成本和利润。基金投资于债券和股票，其收益水平可能会受到利率变化的影响。</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4</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上市公司经营风险</w:t>
      </w:r>
    </w:p>
    <w:p w:rsidR="0002608C" w:rsidRPr="00490741" w:rsidP="00107648">
      <w:pPr>
        <w:snapToGrid w:val="0"/>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上市公司的经营状况受多种因素的影响，如管理能力、行业竞争、市场前</w:t>
      </w:r>
      <w:r w:rsidRPr="00490741">
        <w:rPr>
          <w:rFonts w:asciiTheme="minorEastAsia" w:eastAsiaTheme="minorEastAsia" w:hAnsiTheme="minorEastAsia"/>
          <w:color w:val="000000" w:themeColor="text1"/>
        </w:rPr>
        <w:t>景、技术更新、新产品研究开发等都会导致公司盈利发生变化。如果基金所投资的上市公司经营不善，其股票价格可能下跌，或者能够用于分配的利润减少，使基金投资收益下降。虽然基金可以通过投资多样化来分散这种非系统风险，但不能完全避免。</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5</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购买力风险</w:t>
      </w:r>
    </w:p>
    <w:p w:rsidR="0002608C" w:rsidRPr="00490741" w:rsidP="00107648">
      <w:pPr>
        <w:snapToGrid w:val="0"/>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基金</w:t>
      </w:r>
      <w:r w:rsidRPr="00490741">
        <w:rPr>
          <w:rFonts w:asciiTheme="minorEastAsia" w:eastAsiaTheme="minorEastAsia" w:hAnsiTheme="minorEastAsia" w:hint="eastAsia"/>
          <w:color w:val="000000" w:themeColor="text1"/>
        </w:rPr>
        <w:t>份额</w:t>
      </w:r>
      <w:r w:rsidRPr="00490741">
        <w:rPr>
          <w:rFonts w:asciiTheme="minorEastAsia" w:eastAsiaTheme="minorEastAsia" w:hAnsiTheme="minorEastAsia"/>
          <w:color w:val="000000" w:themeColor="text1"/>
        </w:rPr>
        <w:t>持有人收益将主要通过现金形式来分配，而现金可能因为通货膨胀因素而使其购买力下降</w:t>
      </w:r>
      <w:r w:rsidRPr="00490741">
        <w:rPr>
          <w:rFonts w:asciiTheme="minorEastAsia" w:eastAsiaTheme="minorEastAsia" w:hAnsiTheme="minorEastAsia"/>
          <w:color w:val="000000" w:themeColor="text1"/>
        </w:rPr>
        <w:t>,</w:t>
      </w:r>
      <w:r w:rsidRPr="00490741">
        <w:rPr>
          <w:rFonts w:asciiTheme="minorEastAsia" w:eastAsiaTheme="minorEastAsia" w:hAnsiTheme="minorEastAsia"/>
          <w:color w:val="000000" w:themeColor="text1"/>
        </w:rPr>
        <w:t>从而使基金的实际收益下降。</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66" w:name="_Toc114237463"/>
      <w:r w:rsidRPr="00490741">
        <w:rPr>
          <w:rFonts w:asciiTheme="minorEastAsia" w:eastAsiaTheme="minorEastAsia" w:hAnsiTheme="minorEastAsia"/>
          <w:b w:val="0"/>
          <w:color w:val="000000" w:themeColor="text1"/>
        </w:rPr>
        <w:t>（</w:t>
      </w:r>
      <w:r w:rsidRPr="00490741">
        <w:rPr>
          <w:rFonts w:asciiTheme="minorEastAsia" w:eastAsiaTheme="minorEastAsia" w:hAnsiTheme="minorEastAsia" w:hint="eastAsia"/>
          <w:b w:val="0"/>
          <w:color w:val="000000" w:themeColor="text1"/>
        </w:rPr>
        <w:t>二</w:t>
      </w:r>
      <w:r w:rsidRPr="00490741">
        <w:rPr>
          <w:rFonts w:asciiTheme="minorEastAsia" w:eastAsiaTheme="minorEastAsia" w:hAnsiTheme="minorEastAsia"/>
          <w:b w:val="0"/>
          <w:color w:val="000000" w:themeColor="text1"/>
        </w:rPr>
        <w:t>）管理风险</w:t>
      </w:r>
      <w:bookmarkEnd w:id="166"/>
    </w:p>
    <w:p w:rsidR="0002608C" w:rsidRPr="00490741" w:rsidP="00107648">
      <w:pPr>
        <w:snapToGrid w:val="0"/>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1</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在基金管理运作过程中，基金管理人的知识、经验、判断、决策、技能等，会影响其对信息的占有以及对经济形势、证券价格走势的判断，从而影响基金收</w:t>
      </w:r>
      <w:r w:rsidRPr="00490741">
        <w:rPr>
          <w:rFonts w:asciiTheme="minorEastAsia" w:eastAsiaTheme="minorEastAsia" w:hAnsiTheme="minorEastAsia"/>
          <w:color w:val="000000" w:themeColor="text1"/>
        </w:rPr>
        <w:t>益水平；</w:t>
      </w:r>
    </w:p>
    <w:p w:rsidR="0002608C" w:rsidRPr="00490741" w:rsidP="00107648">
      <w:pPr>
        <w:snapToGrid w:val="0"/>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2</w:t>
      </w: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基金管理人和基金托管人的管理手段和管理技术等因素的变化也会影响基金收益水平。</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67" w:name="_Toc114237464"/>
      <w:r w:rsidRPr="00490741">
        <w:rPr>
          <w:rFonts w:asciiTheme="minorEastAsia" w:eastAsiaTheme="minorEastAsia" w:hAnsiTheme="minorEastAsia"/>
          <w:b w:val="0"/>
          <w:color w:val="000000" w:themeColor="text1"/>
        </w:rPr>
        <w:t>（</w:t>
      </w:r>
      <w:r w:rsidRPr="00490741">
        <w:rPr>
          <w:rFonts w:asciiTheme="minorEastAsia" w:eastAsiaTheme="minorEastAsia" w:hAnsiTheme="minorEastAsia" w:hint="eastAsia"/>
          <w:b w:val="0"/>
          <w:color w:val="000000" w:themeColor="text1"/>
        </w:rPr>
        <w:t>三</w:t>
      </w:r>
      <w:r w:rsidRPr="00490741">
        <w:rPr>
          <w:rFonts w:asciiTheme="minorEastAsia" w:eastAsiaTheme="minorEastAsia" w:hAnsiTheme="minorEastAsia"/>
          <w:b w:val="0"/>
          <w:color w:val="000000" w:themeColor="text1"/>
        </w:rPr>
        <w:t>）流动性风险</w:t>
      </w:r>
      <w:bookmarkEnd w:id="167"/>
    </w:p>
    <w:p w:rsidR="00E56C3D" w:rsidRPr="00490741" w:rsidP="00E56C3D">
      <w:pPr>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、流动性风险评估</w:t>
      </w:r>
    </w:p>
    <w:p w:rsidR="00E56C3D" w:rsidRPr="00490741" w:rsidP="00E56C3D">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本基金为混合型基金，主要投资于股票</w:t>
      </w:r>
      <w:r w:rsidRPr="00490741">
        <w:rPr>
          <w:rFonts w:asciiTheme="minorEastAsia" w:eastAsiaTheme="minorEastAsia" w:hAnsiTheme="minorEastAsia"/>
          <w:color w:val="000000" w:themeColor="text1"/>
        </w:rPr>
        <w:t>、</w:t>
      </w:r>
      <w:r w:rsidRPr="00490741">
        <w:rPr>
          <w:rFonts w:asciiTheme="minorEastAsia" w:eastAsiaTheme="minorEastAsia" w:hAnsiTheme="minorEastAsia" w:hint="eastAsia"/>
          <w:color w:val="000000" w:themeColor="text1"/>
        </w:rPr>
        <w:t>债券、货币市场工具等，一般情况下，这些资产市场流动性较好。</w:t>
      </w:r>
    </w:p>
    <w:p w:rsidR="00E56C3D" w:rsidRPr="00490741" w:rsidP="00E56C3D">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但不排除在特定阶段、特定市场环境下特定投资标的出现流动性较差的情况。因此，本基金投资于上述资产时，可能存在以下流动性风险：一是基金管理人建仓或进行组合调整时，可能由于特定投资标的流动性相对不足而无法按预期的价格买进或卖出；二是为应付投资者的赎回，基金被迫以不适当的价格卖出股票或其他资产。两者均可能使基金净值受到不利影响。</w:t>
      </w:r>
    </w:p>
    <w:p w:rsidR="00E56C3D" w:rsidRPr="00490741" w:rsidP="00E56C3D">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2</w:t>
      </w:r>
      <w:r w:rsidRPr="00490741">
        <w:rPr>
          <w:rFonts w:asciiTheme="minorEastAsia" w:eastAsiaTheme="minorEastAsia" w:hAnsiTheme="minorEastAsia" w:hint="eastAsia"/>
          <w:color w:val="000000" w:themeColor="text1"/>
        </w:rPr>
        <w:t>、巨额赎回情形下的流动性风险管理措施</w:t>
      </w:r>
    </w:p>
    <w:p w:rsidR="00E56C3D" w:rsidRPr="00490741" w:rsidP="00E56C3D">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当本基金发生巨额赎回时</w:t>
      </w:r>
      <w:r w:rsidRPr="00490741" w:rsidR="002846B1">
        <w:rPr>
          <w:rFonts w:asciiTheme="minorEastAsia" w:eastAsiaTheme="minorEastAsia" w:hAnsiTheme="minorEastAsia" w:hint="eastAsia"/>
          <w:color w:val="000000" w:themeColor="text1"/>
        </w:rPr>
        <w:t>，基金管理人可以根据基金当时的资产组合状况决定全额赎回或部分顺延</w:t>
      </w:r>
      <w:r w:rsidRPr="00490741">
        <w:rPr>
          <w:rFonts w:asciiTheme="minorEastAsia" w:eastAsiaTheme="minorEastAsia" w:hAnsiTheme="minorEastAsia" w:hint="eastAsia"/>
          <w:color w:val="000000" w:themeColor="text1"/>
        </w:rPr>
        <w:t>赎回；此外，如出现</w:t>
      </w:r>
      <w:r w:rsidRPr="00490741" w:rsidR="002846B1">
        <w:rPr>
          <w:rFonts w:asciiTheme="minorEastAsia" w:eastAsiaTheme="minorEastAsia" w:hAnsiTheme="minorEastAsia" w:hint="eastAsia"/>
          <w:color w:val="000000" w:themeColor="text1"/>
        </w:rPr>
        <w:t>连续2个开放日以上发生巨额赎回</w:t>
      </w:r>
      <w:r w:rsidRPr="00490741">
        <w:rPr>
          <w:rFonts w:asciiTheme="minorEastAsia" w:eastAsiaTheme="minorEastAsia" w:hAnsiTheme="minorEastAsia" w:hint="eastAsia"/>
          <w:color w:val="000000" w:themeColor="text1"/>
        </w:rPr>
        <w:t>，可暂停接受投资人的赎回申请或延缓支付赎回款项；当本基金发生巨额赎回且单个基金份额持有人的赎回申请超过上一开放日基金总份额</w:t>
      </w:r>
      <w:r w:rsidRPr="00490741">
        <w:rPr>
          <w:rFonts w:asciiTheme="minorEastAsia" w:eastAsiaTheme="minorEastAsia" w:hAnsiTheme="minorEastAsia" w:hint="eastAsia"/>
          <w:color w:val="000000" w:themeColor="text1"/>
        </w:rPr>
        <w:t>10%</w:t>
      </w:r>
      <w:r w:rsidRPr="00490741">
        <w:rPr>
          <w:rFonts w:asciiTheme="minorEastAsia" w:eastAsiaTheme="minorEastAsia" w:hAnsiTheme="minorEastAsia" w:hint="eastAsia"/>
          <w:color w:val="000000" w:themeColor="text1"/>
        </w:rPr>
        <w:t>的，基金管理人有权对该单个基金份额持有人超出该比例的赎回申请实施延期办理。具体情形、程序见招募说明书“八、基金份额的申购、赎回”之“（十）巨额赎回的认定及处理方式。”</w:t>
      </w:r>
    </w:p>
    <w:p w:rsidR="00E56C3D" w:rsidRPr="00490741" w:rsidP="00E56C3D">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发生上述情形时，投资人面临无法全部赎回或无法及时获得赎回资金的风险。在本基金暂停或延期办理投资者赎回申请的情况下，投资者未能赎回的基金份额还将面临净值波动的风险。</w:t>
      </w:r>
    </w:p>
    <w:p w:rsidR="00E56C3D" w:rsidRPr="00490741" w:rsidP="00E56C3D">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3</w:t>
      </w:r>
      <w:r w:rsidRPr="00490741">
        <w:rPr>
          <w:rFonts w:asciiTheme="minorEastAsia" w:eastAsiaTheme="minorEastAsia" w:hAnsiTheme="minorEastAsia" w:hint="eastAsia"/>
          <w:color w:val="000000" w:themeColor="text1"/>
        </w:rPr>
        <w:t>、除巨额赎回情形外实施备用的流动性风险管理工具的情</w:t>
      </w:r>
      <w:r w:rsidRPr="00490741">
        <w:rPr>
          <w:rFonts w:asciiTheme="minorEastAsia" w:eastAsiaTheme="minorEastAsia" w:hAnsiTheme="minorEastAsia" w:hint="eastAsia"/>
          <w:color w:val="000000" w:themeColor="text1"/>
        </w:rPr>
        <w:t>形、程序及对投资者的潜在影响</w:t>
      </w:r>
    </w:p>
    <w:p w:rsidR="00E56C3D" w:rsidRPr="00490741" w:rsidP="00E56C3D">
      <w:pPr>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除巨额赎回情形外，本基金备用流动性风险管理工具包括但不限于暂停接受赎回申请、延缓支付赎回款项、收取短期赎回费、暂停基金估值以及证监会认定的其他措施。</w:t>
      </w:r>
    </w:p>
    <w:p w:rsidR="00E56C3D" w:rsidRPr="00490741" w:rsidP="002846B1">
      <w:pPr>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szCs w:val="21"/>
        </w:rPr>
        <w:t>暂停接受赎回申请、延缓支付赎回款项等工具的情形、程序见招募说明书“八、基金份额的申购、赎回”之“</w:t>
      </w:r>
      <w:r w:rsidRPr="00490741" w:rsidR="002846B1">
        <w:rPr>
          <w:rFonts w:asciiTheme="minorEastAsia" w:eastAsiaTheme="minorEastAsia" w:hAnsiTheme="minorEastAsia" w:hint="eastAsia"/>
          <w:color w:val="000000" w:themeColor="text1"/>
          <w:szCs w:val="21"/>
        </w:rPr>
        <w:t>（十一）拒绝或暂停申购、赎回的情形及处理方式</w:t>
      </w:r>
      <w:r w:rsidRPr="00490741">
        <w:rPr>
          <w:rFonts w:asciiTheme="minorEastAsia" w:eastAsiaTheme="minorEastAsia" w:hAnsiTheme="minorEastAsia" w:hint="eastAsia"/>
          <w:color w:val="000000" w:themeColor="text1"/>
        </w:rPr>
        <w:t>”的相关规定。</w:t>
      </w:r>
      <w:r w:rsidRPr="00490741">
        <w:rPr>
          <w:rFonts w:asciiTheme="minorEastAsia" w:eastAsiaTheme="minorEastAsia" w:hAnsiTheme="minorEastAsia" w:hint="eastAsia"/>
          <w:color w:val="000000" w:themeColor="text1"/>
          <w:szCs w:val="21"/>
        </w:rPr>
        <w:t>若本基金暂停赎回申请，投</w:t>
      </w:r>
      <w:r w:rsidRPr="00490741">
        <w:rPr>
          <w:rFonts w:asciiTheme="minorEastAsia" w:eastAsiaTheme="minorEastAsia" w:hAnsiTheme="minorEastAsia" w:hint="eastAsia"/>
          <w:color w:val="000000" w:themeColor="text1"/>
        </w:rPr>
        <w:t>资者在暂停赎回期间将无法赎回其持有的基金份额。若</w:t>
      </w:r>
      <w:r w:rsidRPr="00490741">
        <w:rPr>
          <w:rFonts w:asciiTheme="minorEastAsia" w:eastAsiaTheme="minorEastAsia" w:hAnsiTheme="minorEastAsia" w:hint="eastAsia"/>
          <w:color w:val="000000" w:themeColor="text1"/>
          <w:szCs w:val="21"/>
        </w:rPr>
        <w:t>本基金延缓支付赎回款项，赎回款支付时间将后延，可能对投资者的资金安排带来不利影响。</w:t>
      </w:r>
    </w:p>
    <w:p w:rsidR="00E56C3D" w:rsidRPr="00490741" w:rsidP="00E56C3D">
      <w:pPr>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短期赎回费适用于持续持</w:t>
      </w:r>
      <w:r w:rsidRPr="00490741">
        <w:rPr>
          <w:rFonts w:asciiTheme="minorEastAsia" w:eastAsiaTheme="minorEastAsia" w:hAnsiTheme="minorEastAsia" w:hint="eastAsia"/>
          <w:color w:val="000000" w:themeColor="text1"/>
          <w:szCs w:val="21"/>
        </w:rPr>
        <w:t>有期少于</w:t>
      </w:r>
      <w:r w:rsidRPr="00490741">
        <w:rPr>
          <w:rFonts w:asciiTheme="minorEastAsia" w:eastAsiaTheme="minorEastAsia" w:hAnsiTheme="minorEastAsia" w:hint="eastAsia"/>
          <w:color w:val="000000" w:themeColor="text1"/>
          <w:szCs w:val="21"/>
        </w:rPr>
        <w:t>7</w:t>
      </w:r>
      <w:r w:rsidRPr="00490741">
        <w:rPr>
          <w:rFonts w:asciiTheme="minorEastAsia" w:eastAsiaTheme="minorEastAsia" w:hAnsiTheme="minorEastAsia" w:hint="eastAsia"/>
          <w:color w:val="000000" w:themeColor="text1"/>
          <w:szCs w:val="21"/>
        </w:rPr>
        <w:t>日的投资者，费率为</w:t>
      </w:r>
      <w:r w:rsidRPr="00490741">
        <w:rPr>
          <w:rFonts w:asciiTheme="minorEastAsia" w:eastAsiaTheme="minorEastAsia" w:hAnsiTheme="minorEastAsia" w:hint="eastAsia"/>
          <w:color w:val="000000" w:themeColor="text1"/>
          <w:szCs w:val="21"/>
        </w:rPr>
        <w:t>1.5%</w:t>
      </w:r>
      <w:r w:rsidRPr="00490741">
        <w:rPr>
          <w:rFonts w:asciiTheme="minorEastAsia" w:eastAsiaTheme="minorEastAsia" w:hAnsiTheme="minorEastAsia" w:hint="eastAsia"/>
          <w:color w:val="000000" w:themeColor="text1"/>
          <w:szCs w:val="21"/>
        </w:rPr>
        <w:t>。短期赎回费由赎回基金份额的基金份额持有人承担，在基金份额持有人赎回基金份额时收取，并全额计入基金财产。短期赎回费的收取将使得投资者在持续持有期限少于</w:t>
      </w:r>
      <w:r w:rsidRPr="00490741">
        <w:rPr>
          <w:rFonts w:asciiTheme="minorEastAsia" w:eastAsiaTheme="minorEastAsia" w:hAnsiTheme="minorEastAsia" w:hint="eastAsia"/>
          <w:color w:val="000000" w:themeColor="text1"/>
          <w:szCs w:val="21"/>
        </w:rPr>
        <w:t>7</w:t>
      </w:r>
      <w:r w:rsidRPr="00490741">
        <w:rPr>
          <w:rFonts w:asciiTheme="minorEastAsia" w:eastAsiaTheme="minorEastAsia" w:hAnsiTheme="minorEastAsia" w:hint="eastAsia"/>
          <w:color w:val="000000" w:themeColor="text1"/>
          <w:szCs w:val="21"/>
        </w:rPr>
        <w:t>日时会承担较高的赎回费。</w:t>
      </w:r>
    </w:p>
    <w:p w:rsidR="0002608C" w:rsidRPr="00490741" w:rsidP="00E56C3D">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暂停基金估值的情形、程序见招募说明书“十四、基金资产的估值”之“（六）暂停估值的情形”的相关规定。若本基金暂停基金估值，一方面投资者将无法知晓本基金的基金份额净值，另一方面基金将延缓支付赎回款项或暂停接受基金申购赎回申请，延缓支付赎回款项可能影响投资者的资金安排，暂停接受基金申购赎回申请将导致投资</w:t>
      </w:r>
      <w:r w:rsidRPr="00490741">
        <w:rPr>
          <w:rFonts w:asciiTheme="minorEastAsia" w:eastAsiaTheme="minorEastAsia" w:hAnsiTheme="minorEastAsia" w:hint="eastAsia"/>
          <w:color w:val="000000" w:themeColor="text1"/>
          <w:szCs w:val="21"/>
        </w:rPr>
        <w:t>者无法申购或赎回本</w:t>
      </w:r>
      <w:r w:rsidRPr="00490741">
        <w:rPr>
          <w:rFonts w:asciiTheme="minorEastAsia" w:eastAsiaTheme="minorEastAsia" w:hAnsiTheme="minorEastAsia" w:hint="eastAsia"/>
          <w:color w:val="000000" w:themeColor="text1"/>
          <w:szCs w:val="21"/>
        </w:rPr>
        <w:t>基金。</w:t>
      </w:r>
    </w:p>
    <w:p w:rsidR="00AD6F54" w:rsidRPr="00490741" w:rsidP="009F7BDB">
      <w:pPr>
        <w:pStyle w:val="Heading2"/>
        <w:snapToGrid w:val="0"/>
        <w:spacing w:beforeLines="0" w:afterLines="0" w:line="360" w:lineRule="auto"/>
        <w:ind w:firstLine="0" w:firstLineChars="0"/>
        <w:rPr>
          <w:rFonts w:asciiTheme="minorEastAsia" w:eastAsiaTheme="minorEastAsia" w:hAnsiTheme="minorEastAsia"/>
          <w:color w:val="000000" w:themeColor="text1"/>
        </w:rPr>
      </w:pPr>
      <w:bookmarkStart w:id="168" w:name="_Toc114237465"/>
      <w:r w:rsidRPr="00490741">
        <w:rPr>
          <w:rFonts w:asciiTheme="minorEastAsia" w:eastAsiaTheme="minorEastAsia" w:hAnsiTheme="minorEastAsia" w:hint="eastAsia"/>
          <w:b w:val="0"/>
          <w:color w:val="000000" w:themeColor="text1"/>
        </w:rPr>
        <w:t>（四）本基金法律文件中涉及基金风险特征的表述与销售机构对基金的风险评级可能不一致的风险</w:t>
      </w:r>
      <w:bookmarkEnd w:id="168"/>
    </w:p>
    <w:p w:rsidR="00AD6F54" w:rsidRPr="00490741" w:rsidP="00AD6F54">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w:t>
      </w:r>
      <w:r w:rsidRPr="00490741">
        <w:rPr>
          <w:rFonts w:asciiTheme="minorEastAsia" w:eastAsiaTheme="minorEastAsia" w:hAnsiTheme="minorEastAsia" w:hint="eastAsia"/>
          <w:color w:val="000000" w:themeColor="text1"/>
        </w:rPr>
        <w:t>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69" w:name="_Toc114237466"/>
      <w:r w:rsidRPr="00490741">
        <w:rPr>
          <w:rFonts w:asciiTheme="minorEastAsia" w:eastAsiaTheme="minorEastAsia" w:hAnsiTheme="minorEastAsia"/>
          <w:b w:val="0"/>
          <w:color w:val="000000" w:themeColor="text1"/>
        </w:rPr>
        <w:t>（</w:t>
      </w:r>
      <w:r w:rsidRPr="00490741" w:rsidR="00AD6F54">
        <w:rPr>
          <w:rFonts w:asciiTheme="minorEastAsia" w:eastAsiaTheme="minorEastAsia" w:hAnsiTheme="minorEastAsia" w:hint="eastAsia"/>
          <w:b w:val="0"/>
          <w:color w:val="000000" w:themeColor="text1"/>
        </w:rPr>
        <w:t>五</w:t>
      </w:r>
      <w:r w:rsidRPr="00490741">
        <w:rPr>
          <w:rFonts w:asciiTheme="minorEastAsia" w:eastAsiaTheme="minorEastAsia" w:hAnsiTheme="minorEastAsia"/>
          <w:b w:val="0"/>
          <w:color w:val="000000" w:themeColor="text1"/>
        </w:rPr>
        <w:t>）本基金特有的风险</w:t>
      </w:r>
      <w:bookmarkEnd w:id="169"/>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1</w:t>
      </w:r>
      <w:r w:rsidRPr="00490741">
        <w:rPr>
          <w:rFonts w:asciiTheme="minorEastAsia" w:eastAsiaTheme="minorEastAsia" w:hAnsiTheme="minorEastAsia" w:hint="eastAsia"/>
          <w:color w:val="000000" w:themeColor="text1"/>
        </w:rPr>
        <w:t>、本基金主要投资于具有中长期持续增长或阶段性高速增长能力的优秀企业，投资策略上也相对以中长期持有为主，保持股票仓位的相对稳定。因此本基金特有的风险主要包括：首先，在选股策略上本基金特有的风险主要来自两个方面：一是</w:t>
      </w:r>
      <w:r w:rsidRPr="00490741">
        <w:rPr>
          <w:rFonts w:asciiTheme="minorEastAsia" w:eastAsiaTheme="minorEastAsia" w:hAnsiTheme="minorEastAsia"/>
          <w:color w:val="000000" w:themeColor="text1"/>
        </w:rPr>
        <w:t>对</w:t>
      </w:r>
      <w:r w:rsidRPr="00490741">
        <w:rPr>
          <w:rFonts w:asciiTheme="minorEastAsia" w:eastAsiaTheme="minorEastAsia" w:hAnsiTheme="minorEastAsia" w:hint="eastAsia"/>
          <w:color w:val="000000" w:themeColor="text1"/>
        </w:rPr>
        <w:t>行业及</w:t>
      </w:r>
      <w:r w:rsidRPr="00490741">
        <w:rPr>
          <w:rFonts w:asciiTheme="minorEastAsia" w:eastAsiaTheme="minorEastAsia" w:hAnsiTheme="minorEastAsia"/>
          <w:color w:val="000000" w:themeColor="text1"/>
        </w:rPr>
        <w:t>上市公司的</w:t>
      </w:r>
      <w:r w:rsidRPr="00490741">
        <w:rPr>
          <w:rFonts w:asciiTheme="minorEastAsia" w:eastAsiaTheme="minorEastAsia" w:hAnsiTheme="minorEastAsia" w:hint="eastAsia"/>
          <w:color w:val="000000" w:themeColor="text1"/>
        </w:rPr>
        <w:t>基本面研究</w:t>
      </w:r>
      <w:r w:rsidRPr="00490741">
        <w:rPr>
          <w:rFonts w:asciiTheme="minorEastAsia" w:eastAsiaTheme="minorEastAsia" w:hAnsiTheme="minorEastAsia"/>
          <w:color w:val="000000" w:themeColor="text1"/>
        </w:rPr>
        <w:t>是否准确</w:t>
      </w:r>
      <w:r w:rsidRPr="00490741">
        <w:rPr>
          <w:rFonts w:asciiTheme="minorEastAsia" w:eastAsiaTheme="minorEastAsia" w:hAnsiTheme="minorEastAsia"/>
          <w:color w:val="000000" w:themeColor="text1"/>
        </w:rPr>
        <w:t>、深入，</w:t>
      </w:r>
      <w:r w:rsidRPr="00490741">
        <w:rPr>
          <w:rFonts w:asciiTheme="minorEastAsia" w:eastAsiaTheme="minorEastAsia" w:hAnsiTheme="minorEastAsia" w:hint="eastAsia"/>
          <w:color w:val="000000" w:themeColor="text1"/>
        </w:rPr>
        <w:t>二是所采用的估值方法是否科学、合理。基本面研究及估值过程中存在的缺陷及错误均可能导致所选择的证券不能完全符合本基金的预期目标。其次，在投资策略方面本基金特有的风险主要在于：不同时期市场可能会有不同的偏好和热点，本基金相对侧重于中长期持有的投资策略可能使基金表现在特定时期落后于大市或其它股票基金。</w:t>
      </w:r>
    </w:p>
    <w:p w:rsidR="00874053" w:rsidRPr="00490741" w:rsidP="00874053">
      <w:pPr>
        <w:snapToGrid w:val="0"/>
        <w:spacing w:line="360" w:lineRule="auto"/>
        <w:ind w:firstLine="420" w:firstLineChars="200"/>
        <w:rPr>
          <w:rFonts w:asciiTheme="minorEastAsia" w:eastAsiaTheme="minorEastAsia" w:hAnsiTheme="minorEastAsia"/>
          <w:color w:val="000000" w:themeColor="text1"/>
          <w:kern w:val="0"/>
          <w:szCs w:val="21"/>
        </w:rPr>
      </w:pPr>
      <w:r w:rsidRPr="00490741">
        <w:rPr>
          <w:rFonts w:asciiTheme="minorEastAsia" w:eastAsiaTheme="minorEastAsia" w:hAnsiTheme="minorEastAsia" w:hint="eastAsia"/>
          <w:color w:val="000000" w:themeColor="text1"/>
          <w:kern w:val="0"/>
          <w:szCs w:val="21"/>
        </w:rPr>
        <w:t>2</w:t>
      </w:r>
      <w:r w:rsidRPr="00490741">
        <w:rPr>
          <w:rFonts w:asciiTheme="minorEastAsia" w:eastAsiaTheme="minorEastAsia" w:hAnsiTheme="minorEastAsia" w:hint="eastAsia"/>
          <w:color w:val="000000" w:themeColor="text1"/>
          <w:kern w:val="0"/>
          <w:szCs w:val="21"/>
        </w:rPr>
        <w:t>、本基金可投资科创板股票，可能面临退市风险、市场风险、流动性风险等特有风险，从而可能给基金净值带来不利影响或损失。本基金根据投资策略需要或市场环境变化，可选择将部分基金资产投资于科创板股票或选择不将基金资</w:t>
      </w:r>
      <w:r w:rsidRPr="00490741">
        <w:rPr>
          <w:rFonts w:asciiTheme="minorEastAsia" w:eastAsiaTheme="minorEastAsia" w:hAnsiTheme="minorEastAsia" w:hint="eastAsia"/>
          <w:color w:val="000000" w:themeColor="text1"/>
          <w:kern w:val="0"/>
          <w:szCs w:val="21"/>
        </w:rPr>
        <w:t>产投资于科创板股票，基金资产并非必然投资于科创板股票。</w:t>
      </w:r>
    </w:p>
    <w:p w:rsidR="00874053" w:rsidRPr="00490741" w:rsidP="00874053">
      <w:pPr>
        <w:snapToGrid w:val="0"/>
        <w:spacing w:line="360" w:lineRule="auto"/>
        <w:ind w:firstLine="420" w:firstLineChars="200"/>
        <w:rPr>
          <w:rFonts w:asciiTheme="minorEastAsia" w:eastAsiaTheme="minorEastAsia" w:hAnsiTheme="minorEastAsia"/>
          <w:color w:val="000000" w:themeColor="text1"/>
          <w:kern w:val="0"/>
          <w:szCs w:val="21"/>
        </w:rPr>
      </w:pPr>
      <w:r w:rsidRPr="00490741">
        <w:rPr>
          <w:rFonts w:asciiTheme="minorEastAsia" w:eastAsiaTheme="minorEastAsia" w:hAnsiTheme="minorEastAsia" w:hint="eastAsia"/>
          <w:color w:val="000000" w:themeColor="text1"/>
          <w:kern w:val="0"/>
          <w:szCs w:val="21"/>
        </w:rPr>
        <w:t>科创板股票在发行、上市、交易、退市等方面的规则与其他板块存在差异，基金投资科创板股票的风险包括但不限于：</w:t>
      </w:r>
    </w:p>
    <w:p w:rsidR="00874053" w:rsidRPr="00490741" w:rsidP="00874053">
      <w:pPr>
        <w:snapToGrid w:val="0"/>
        <w:spacing w:line="360" w:lineRule="auto"/>
        <w:ind w:firstLine="420" w:firstLineChars="200"/>
        <w:rPr>
          <w:rFonts w:asciiTheme="minorEastAsia" w:eastAsiaTheme="minorEastAsia" w:hAnsiTheme="minorEastAsia"/>
          <w:color w:val="000000" w:themeColor="text1"/>
          <w:kern w:val="0"/>
          <w:szCs w:val="21"/>
        </w:rPr>
      </w:pPr>
      <w:r w:rsidRPr="00490741">
        <w:rPr>
          <w:rFonts w:asciiTheme="minorEastAsia" w:eastAsiaTheme="minorEastAsia" w:hAnsiTheme="minorEastAsia" w:hint="eastAsia"/>
          <w:color w:val="000000" w:themeColor="text1"/>
          <w:kern w:val="0"/>
          <w:szCs w:val="21"/>
        </w:rPr>
        <w:t>（</w:t>
      </w:r>
      <w:r w:rsidRPr="00490741">
        <w:rPr>
          <w:rFonts w:asciiTheme="minorEastAsia" w:eastAsiaTheme="minorEastAsia" w:hAnsiTheme="minorEastAsia" w:hint="eastAsia"/>
          <w:color w:val="000000" w:themeColor="text1"/>
          <w:kern w:val="0"/>
          <w:szCs w:val="21"/>
        </w:rPr>
        <w:t>1</w:t>
      </w:r>
      <w:r w:rsidRPr="00490741">
        <w:rPr>
          <w:rFonts w:asciiTheme="minorEastAsia" w:eastAsiaTheme="minorEastAsia" w:hAnsiTheme="minorEastAsia" w:hint="eastAsia"/>
          <w:color w:val="000000" w:themeColor="text1"/>
          <w:kern w:val="0"/>
          <w:szCs w:val="21"/>
        </w:rPr>
        <w:t>）科创板企业退市风险</w:t>
      </w:r>
    </w:p>
    <w:p w:rsidR="00874053" w:rsidRPr="00490741" w:rsidP="00874053">
      <w:pPr>
        <w:snapToGrid w:val="0"/>
        <w:spacing w:line="360" w:lineRule="auto"/>
        <w:ind w:firstLine="420" w:firstLineChars="200"/>
        <w:rPr>
          <w:rFonts w:asciiTheme="minorEastAsia" w:eastAsiaTheme="minorEastAsia" w:hAnsiTheme="minorEastAsia"/>
          <w:color w:val="000000" w:themeColor="text1"/>
          <w:kern w:val="0"/>
          <w:szCs w:val="21"/>
        </w:rPr>
      </w:pPr>
      <w:r w:rsidRPr="00490741">
        <w:rPr>
          <w:rFonts w:asciiTheme="minorEastAsia" w:eastAsiaTheme="minorEastAsia" w:hAnsiTheme="minorEastAsia" w:hint="eastAsia"/>
          <w:color w:val="000000" w:themeColor="text1"/>
          <w:kern w:val="0"/>
          <w:szCs w:val="21"/>
        </w:rPr>
        <w:t>科创板退市制度较主板更为严格，退市时间更短，退市速度更快，退市情形更多，且不再设置暂停上市、恢复上市和重新上市环节。一旦所投资的科创板股票进入退市流程，将面临退出难度较大、成本较高的风险。</w:t>
      </w:r>
    </w:p>
    <w:p w:rsidR="00874053" w:rsidRPr="00490741" w:rsidP="00874053">
      <w:pPr>
        <w:snapToGrid w:val="0"/>
        <w:spacing w:line="360" w:lineRule="auto"/>
        <w:ind w:firstLine="420" w:firstLineChars="200"/>
        <w:rPr>
          <w:rFonts w:asciiTheme="minorEastAsia" w:eastAsiaTheme="minorEastAsia" w:hAnsiTheme="minorEastAsia"/>
          <w:color w:val="000000" w:themeColor="text1"/>
          <w:kern w:val="0"/>
          <w:szCs w:val="21"/>
        </w:rPr>
      </w:pPr>
      <w:r w:rsidRPr="00490741">
        <w:rPr>
          <w:rFonts w:asciiTheme="minorEastAsia" w:eastAsiaTheme="minorEastAsia" w:hAnsiTheme="minorEastAsia" w:hint="eastAsia"/>
          <w:color w:val="000000" w:themeColor="text1"/>
          <w:kern w:val="0"/>
          <w:szCs w:val="21"/>
        </w:rPr>
        <w:t>（</w:t>
      </w:r>
      <w:r w:rsidRPr="00490741">
        <w:rPr>
          <w:rFonts w:asciiTheme="minorEastAsia" w:eastAsiaTheme="minorEastAsia" w:hAnsiTheme="minorEastAsia" w:hint="eastAsia"/>
          <w:color w:val="000000" w:themeColor="text1"/>
          <w:kern w:val="0"/>
          <w:szCs w:val="21"/>
        </w:rPr>
        <w:t>2</w:t>
      </w:r>
      <w:r w:rsidRPr="00490741">
        <w:rPr>
          <w:rFonts w:asciiTheme="minorEastAsia" w:eastAsiaTheme="minorEastAsia" w:hAnsiTheme="minorEastAsia" w:hint="eastAsia"/>
          <w:color w:val="000000" w:themeColor="text1"/>
          <w:kern w:val="0"/>
          <w:szCs w:val="21"/>
        </w:rPr>
        <w:t>）市场风险</w:t>
      </w:r>
    </w:p>
    <w:p w:rsidR="00874053" w:rsidRPr="00490741" w:rsidP="00874053">
      <w:pPr>
        <w:snapToGrid w:val="0"/>
        <w:spacing w:line="360" w:lineRule="auto"/>
        <w:ind w:firstLine="420" w:firstLineChars="200"/>
        <w:rPr>
          <w:rFonts w:asciiTheme="minorEastAsia" w:eastAsiaTheme="minorEastAsia" w:hAnsiTheme="minorEastAsia"/>
          <w:color w:val="000000" w:themeColor="text1"/>
          <w:kern w:val="0"/>
          <w:szCs w:val="21"/>
        </w:rPr>
      </w:pPr>
      <w:r w:rsidRPr="00490741">
        <w:rPr>
          <w:rFonts w:asciiTheme="minorEastAsia" w:eastAsiaTheme="minorEastAsia" w:hAnsiTheme="minorEastAsia" w:hint="eastAsia"/>
          <w:color w:val="000000" w:themeColor="text1"/>
          <w:kern w:val="0"/>
          <w:szCs w:val="21"/>
        </w:rPr>
        <w:t>科创板企业相对集中于新一代信息技术、高端装备、新材料、新能源、节能环保及生物</w:t>
      </w:r>
      <w:r w:rsidRPr="00490741">
        <w:rPr>
          <w:rFonts w:asciiTheme="minorEastAsia" w:eastAsiaTheme="minorEastAsia" w:hAnsiTheme="minorEastAsia" w:hint="eastAsia"/>
          <w:color w:val="000000" w:themeColor="text1"/>
          <w:kern w:val="0"/>
          <w:szCs w:val="21"/>
        </w:rPr>
        <w:t>医药等高新技术和战略新兴产业领域，大多数企业为初创型公司，上市门槛略低于</w:t>
      </w:r>
      <w:r w:rsidRPr="00490741">
        <w:rPr>
          <w:rFonts w:asciiTheme="minorEastAsia" w:eastAsiaTheme="minorEastAsia" w:hAnsiTheme="minorEastAsia" w:hint="eastAsia"/>
          <w:color w:val="000000" w:themeColor="text1"/>
          <w:kern w:val="0"/>
          <w:szCs w:val="21"/>
        </w:rPr>
        <w:t>A</w:t>
      </w:r>
      <w:r w:rsidRPr="00490741">
        <w:rPr>
          <w:rFonts w:asciiTheme="minorEastAsia" w:eastAsiaTheme="minorEastAsia" w:hAnsiTheme="minorEastAsia" w:hint="eastAsia"/>
          <w:color w:val="000000" w:themeColor="text1"/>
          <w:kern w:val="0"/>
          <w:szCs w:val="21"/>
        </w:rPr>
        <w:t>股其他板块，企业未来盈利、现金流、估值等均存在不确定性，个股投资风险加大。此外，科创板企业普遍具有前景不确定、业绩波动大、风险高的特征，市场可比公司较少，估值与发行定价难度较大。同时，科创板竞价交易较主板设置了更宽的涨跌幅限制（上市后的前</w:t>
      </w:r>
      <w:r w:rsidRPr="00490741">
        <w:rPr>
          <w:rFonts w:asciiTheme="minorEastAsia" w:eastAsiaTheme="minorEastAsia" w:hAnsiTheme="minorEastAsia" w:hint="eastAsia"/>
          <w:color w:val="000000" w:themeColor="text1"/>
          <w:kern w:val="0"/>
          <w:szCs w:val="21"/>
        </w:rPr>
        <w:t>5</w:t>
      </w:r>
      <w:r w:rsidRPr="00490741">
        <w:rPr>
          <w:rFonts w:asciiTheme="minorEastAsia" w:eastAsiaTheme="minorEastAsia" w:hAnsiTheme="minorEastAsia" w:hint="eastAsia"/>
          <w:color w:val="000000" w:themeColor="text1"/>
          <w:kern w:val="0"/>
          <w:szCs w:val="21"/>
        </w:rPr>
        <w:t>个交易日不设涨跌幅限制，其后涨跌幅限制为</w:t>
      </w:r>
      <w:r w:rsidRPr="00490741">
        <w:rPr>
          <w:rFonts w:asciiTheme="minorEastAsia" w:eastAsiaTheme="minorEastAsia" w:hAnsiTheme="minorEastAsia" w:hint="eastAsia"/>
          <w:color w:val="000000" w:themeColor="text1"/>
          <w:kern w:val="0"/>
          <w:szCs w:val="21"/>
        </w:rPr>
        <w:t>20%</w:t>
      </w:r>
      <w:r w:rsidRPr="00490741">
        <w:rPr>
          <w:rFonts w:asciiTheme="minorEastAsia" w:eastAsiaTheme="minorEastAsia" w:hAnsiTheme="minorEastAsia" w:hint="eastAsia"/>
          <w:color w:val="000000" w:themeColor="text1"/>
          <w:kern w:val="0"/>
          <w:szCs w:val="21"/>
        </w:rPr>
        <w:t>）、科创板股票上市首日即可作为融资融券标的，可能导致较大的股票价格波动。</w:t>
      </w:r>
    </w:p>
    <w:p w:rsidR="00874053" w:rsidRPr="00490741" w:rsidP="00874053">
      <w:pPr>
        <w:snapToGrid w:val="0"/>
        <w:spacing w:line="360" w:lineRule="auto"/>
        <w:ind w:firstLine="420" w:firstLineChars="200"/>
        <w:rPr>
          <w:rFonts w:asciiTheme="minorEastAsia" w:eastAsiaTheme="minorEastAsia" w:hAnsiTheme="minorEastAsia"/>
          <w:color w:val="000000" w:themeColor="text1"/>
          <w:kern w:val="0"/>
          <w:szCs w:val="21"/>
        </w:rPr>
      </w:pPr>
      <w:r w:rsidRPr="00490741">
        <w:rPr>
          <w:rFonts w:asciiTheme="minorEastAsia" w:eastAsiaTheme="minorEastAsia" w:hAnsiTheme="minorEastAsia" w:hint="eastAsia"/>
          <w:color w:val="000000" w:themeColor="text1"/>
          <w:kern w:val="0"/>
          <w:szCs w:val="21"/>
        </w:rPr>
        <w:t>（</w:t>
      </w:r>
      <w:r w:rsidRPr="00490741">
        <w:rPr>
          <w:rFonts w:asciiTheme="minorEastAsia" w:eastAsiaTheme="minorEastAsia" w:hAnsiTheme="minorEastAsia" w:hint="eastAsia"/>
          <w:color w:val="000000" w:themeColor="text1"/>
          <w:kern w:val="0"/>
          <w:szCs w:val="21"/>
        </w:rPr>
        <w:t>3</w:t>
      </w:r>
      <w:r w:rsidRPr="00490741">
        <w:rPr>
          <w:rFonts w:asciiTheme="minorEastAsia" w:eastAsiaTheme="minorEastAsia" w:hAnsiTheme="minorEastAsia" w:hint="eastAsia"/>
          <w:color w:val="000000" w:themeColor="text1"/>
          <w:kern w:val="0"/>
          <w:szCs w:val="21"/>
        </w:rPr>
        <w:t>）流动性风险</w:t>
      </w:r>
    </w:p>
    <w:p w:rsidR="00874053" w:rsidRPr="00490741" w:rsidP="00874053">
      <w:pPr>
        <w:snapToGrid w:val="0"/>
        <w:spacing w:line="360" w:lineRule="auto"/>
        <w:ind w:firstLine="420" w:firstLineChars="200"/>
        <w:rPr>
          <w:rFonts w:asciiTheme="minorEastAsia" w:eastAsiaTheme="minorEastAsia" w:hAnsiTheme="minorEastAsia"/>
          <w:color w:val="000000" w:themeColor="text1"/>
          <w:kern w:val="0"/>
          <w:szCs w:val="21"/>
        </w:rPr>
      </w:pPr>
      <w:r w:rsidRPr="00490741">
        <w:rPr>
          <w:rFonts w:asciiTheme="minorEastAsia" w:eastAsiaTheme="minorEastAsia" w:hAnsiTheme="minorEastAsia" w:hint="eastAsia"/>
          <w:color w:val="000000" w:themeColor="text1"/>
          <w:kern w:val="0"/>
          <w:szCs w:val="21"/>
        </w:rPr>
        <w:t>科创板投资门槛较高，由此可能导致整体流动性相对较弱。此外，科</w:t>
      </w:r>
      <w:r w:rsidRPr="00490741">
        <w:rPr>
          <w:rFonts w:asciiTheme="minorEastAsia" w:eastAsiaTheme="minorEastAsia" w:hAnsiTheme="minorEastAsia" w:hint="eastAsia"/>
          <w:color w:val="000000" w:themeColor="text1"/>
          <w:kern w:val="0"/>
          <w:szCs w:val="21"/>
        </w:rPr>
        <w:t>创板股票网下发行时，获配账户存在被随机抽中设置一定期限限售期的可能，由此可能导致基金面临无法及时变现及其他相关流动性风险。</w:t>
      </w:r>
    </w:p>
    <w:p w:rsidR="00874053" w:rsidRPr="00490741" w:rsidP="00874053">
      <w:pPr>
        <w:snapToGrid w:val="0"/>
        <w:spacing w:line="360" w:lineRule="auto"/>
        <w:ind w:firstLine="420" w:firstLineChars="200"/>
        <w:rPr>
          <w:rFonts w:asciiTheme="minorEastAsia" w:eastAsiaTheme="minorEastAsia" w:hAnsiTheme="minorEastAsia"/>
          <w:color w:val="000000" w:themeColor="text1"/>
          <w:kern w:val="0"/>
          <w:szCs w:val="21"/>
        </w:rPr>
      </w:pPr>
      <w:r w:rsidRPr="00490741">
        <w:rPr>
          <w:rFonts w:asciiTheme="minorEastAsia" w:eastAsiaTheme="minorEastAsia" w:hAnsiTheme="minorEastAsia" w:hint="eastAsia"/>
          <w:color w:val="000000" w:themeColor="text1"/>
          <w:kern w:val="0"/>
          <w:szCs w:val="21"/>
        </w:rPr>
        <w:t>（</w:t>
      </w:r>
      <w:r w:rsidRPr="00490741">
        <w:rPr>
          <w:rFonts w:asciiTheme="minorEastAsia" w:eastAsiaTheme="minorEastAsia" w:hAnsiTheme="minorEastAsia" w:hint="eastAsia"/>
          <w:color w:val="000000" w:themeColor="text1"/>
          <w:kern w:val="0"/>
          <w:szCs w:val="21"/>
        </w:rPr>
        <w:t>4</w:t>
      </w:r>
      <w:r w:rsidRPr="00490741">
        <w:rPr>
          <w:rFonts w:asciiTheme="minorEastAsia" w:eastAsiaTheme="minorEastAsia" w:hAnsiTheme="minorEastAsia" w:hint="eastAsia"/>
          <w:color w:val="000000" w:themeColor="text1"/>
          <w:kern w:val="0"/>
          <w:szCs w:val="21"/>
        </w:rPr>
        <w:t>）监管规则变化的风险</w:t>
      </w:r>
    </w:p>
    <w:p w:rsidR="00874053" w:rsidRPr="00490741" w:rsidP="00874053">
      <w:pPr>
        <w:snapToGrid w:val="0"/>
        <w:spacing w:line="360" w:lineRule="auto"/>
        <w:ind w:firstLine="420"/>
        <w:rPr>
          <w:rFonts w:asciiTheme="minorEastAsia" w:eastAsiaTheme="minorEastAsia" w:hAnsiTheme="minorEastAsia"/>
          <w:color w:val="000000" w:themeColor="text1"/>
          <w:kern w:val="0"/>
          <w:szCs w:val="21"/>
        </w:rPr>
      </w:pPr>
      <w:r w:rsidRPr="00490741">
        <w:rPr>
          <w:rFonts w:asciiTheme="minorEastAsia" w:eastAsiaTheme="minorEastAsia" w:hAnsiTheme="minorEastAsia" w:hint="eastAsia"/>
          <w:color w:val="000000" w:themeColor="text1"/>
          <w:kern w:val="0"/>
          <w:szCs w:val="21"/>
        </w:rPr>
        <w:t>科创板股票相关法律、行政法规、部门规章、规范性文件和交易所业务规则，可能根据市场情况进行修改完善，或者补充制定新的法律法规和业务规则，导致基金投资运作产生相应调整变化。</w:t>
      </w:r>
    </w:p>
    <w:p w:rsidR="00371F41" w:rsidRPr="00490741" w:rsidP="00371F41">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3</w:t>
      </w:r>
      <w:r w:rsidRPr="00490741">
        <w:rPr>
          <w:rFonts w:asciiTheme="minorEastAsia" w:eastAsiaTheme="minorEastAsia" w:hAnsiTheme="minorEastAsia" w:hint="eastAsia"/>
          <w:color w:val="000000" w:themeColor="text1"/>
        </w:rPr>
        <w:t>、投资于存托凭证的风险</w:t>
      </w:r>
    </w:p>
    <w:p w:rsidR="00371F41" w:rsidRPr="00490741" w:rsidP="00371F41">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本基金的投资范围包括存托凭证，除与其他仅投资于沪深市场股票的基金所面临的共同风险外，本基金还将面临存托凭证价格大幅波动甚至出现较大亏损的风险，以及与存托凭证发行机制相</w:t>
      </w:r>
      <w:r w:rsidRPr="00490741">
        <w:rPr>
          <w:rFonts w:asciiTheme="minorEastAsia" w:eastAsiaTheme="minorEastAsia" w:hAnsiTheme="minorEastAsia" w:hint="eastAsia"/>
          <w:color w:val="000000" w:themeColor="text1"/>
        </w:rPr>
        <w:t>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02608C" w:rsidRPr="00490741" w:rsidP="009F7BDB">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70" w:name="_Toc114237467"/>
      <w:r w:rsidRPr="00490741">
        <w:rPr>
          <w:rFonts w:asciiTheme="minorEastAsia" w:eastAsiaTheme="minorEastAsia" w:hAnsiTheme="minorEastAsia" w:hint="eastAsia"/>
          <w:b w:val="0"/>
          <w:color w:val="000000" w:themeColor="text1"/>
        </w:rPr>
        <w:t>（六</w:t>
      </w:r>
      <w:r w:rsidRPr="00490741">
        <w:rPr>
          <w:rFonts w:asciiTheme="minorEastAsia" w:eastAsiaTheme="minorEastAsia" w:hAnsiTheme="minorEastAsia"/>
          <w:b w:val="0"/>
          <w:color w:val="000000" w:themeColor="text1"/>
        </w:rPr>
        <w:t>）其他风险</w:t>
      </w:r>
      <w:bookmarkEnd w:id="170"/>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1</w:t>
      </w:r>
      <w:r w:rsidRPr="00490741" w:rsidR="00CE2F50">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因技术因素而产生的风险，如电脑系统不可靠产生的风险；</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2</w:t>
      </w:r>
      <w:r w:rsidRPr="00490741" w:rsidR="00CE2F50">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因战争、自然灾害等不可抗力导致的基金管理人、基金托管人、基金</w:t>
      </w:r>
      <w:r w:rsidRPr="00490741" w:rsidR="0014219A">
        <w:rPr>
          <w:rFonts w:asciiTheme="minorEastAsia" w:eastAsiaTheme="minorEastAsia" w:hAnsiTheme="minorEastAsia" w:hint="eastAsia"/>
          <w:color w:val="000000" w:themeColor="text1"/>
        </w:rPr>
        <w:t>服务</w:t>
      </w:r>
      <w:r w:rsidRPr="00490741">
        <w:rPr>
          <w:rFonts w:asciiTheme="minorEastAsia" w:eastAsiaTheme="minorEastAsia" w:hAnsiTheme="minorEastAsia" w:hint="eastAsia"/>
          <w:color w:val="000000" w:themeColor="text1"/>
        </w:rPr>
        <w:t>机构等机构无法正常工作，从而影响基金运作的风险；</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3</w:t>
      </w:r>
      <w:r w:rsidRPr="00490741" w:rsidR="00CE2F50">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因金融市场危机、代理商违约、基金托管人违约等超出基金管理人自身控制能力的因素出现，可能导致基金或者基金份额持有人利益受损的风险。</w:t>
      </w:r>
    </w:p>
    <w:p w:rsidR="00E1094C" w:rsidRPr="00490741" w:rsidP="00107648">
      <w:pPr>
        <w:snapToGrid w:val="0"/>
        <w:spacing w:line="360" w:lineRule="auto"/>
        <w:ind w:firstLine="420"/>
        <w:rPr>
          <w:rFonts w:asciiTheme="minorEastAsia" w:eastAsiaTheme="minorEastAsia" w:hAnsiTheme="minorEastAsia"/>
          <w:color w:val="000000" w:themeColor="text1"/>
        </w:rPr>
        <w:sectPr w:rsidSect="0035472D">
          <w:pgSz w:w="11906" w:h="16838" w:code="9"/>
          <w:pgMar w:top="1440" w:right="1800" w:bottom="1440" w:left="1800" w:header="851" w:footer="992" w:gutter="0"/>
          <w:cols w:space="425"/>
          <w:docGrid w:type="lines" w:linePitch="312"/>
        </w:sectPr>
      </w:pPr>
    </w:p>
    <w:p w:rsidR="0002608C" w:rsidRPr="00490741" w:rsidP="00107648">
      <w:pPr>
        <w:pStyle w:val="Heading1"/>
        <w:snapToGrid w:val="0"/>
        <w:spacing w:beforeLines="0" w:afterLines="0" w:line="360" w:lineRule="auto"/>
        <w:ind w:firstLine="643"/>
        <w:rPr>
          <w:rFonts w:asciiTheme="minorEastAsia" w:eastAsiaTheme="minorEastAsia" w:hAnsiTheme="minorEastAsia"/>
          <w:bCs/>
          <w:color w:val="000000" w:themeColor="text1"/>
        </w:rPr>
      </w:pPr>
      <w:bookmarkStart w:id="171" w:name="_Toc114237468"/>
      <w:r w:rsidRPr="00490741">
        <w:rPr>
          <w:rFonts w:asciiTheme="minorEastAsia" w:eastAsiaTheme="minorEastAsia" w:hAnsiTheme="minorEastAsia" w:hint="eastAsia"/>
          <w:b/>
          <w:bCs/>
          <w:color w:val="000000" w:themeColor="text1"/>
        </w:rPr>
        <w:t>二十、基金合同的终止与基金财产的清算</w:t>
      </w:r>
      <w:bookmarkEnd w:id="171"/>
    </w:p>
    <w:p w:rsidR="0002608C" w:rsidRPr="00490741" w:rsidP="00107648">
      <w:pPr>
        <w:pStyle w:val="Heading2"/>
        <w:snapToGrid w:val="0"/>
        <w:spacing w:beforeLines="0" w:afterLines="0" w:line="360" w:lineRule="auto"/>
        <w:ind w:firstLineChars="0"/>
        <w:rPr>
          <w:rFonts w:asciiTheme="minorEastAsia" w:eastAsiaTheme="minorEastAsia" w:hAnsiTheme="minorEastAsia"/>
          <w:b w:val="0"/>
          <w:color w:val="000000" w:themeColor="text1"/>
        </w:rPr>
      </w:pPr>
      <w:bookmarkStart w:id="172" w:name="_Toc97031319"/>
      <w:bookmarkStart w:id="173" w:name="_Toc97107279"/>
      <w:bookmarkStart w:id="174" w:name="_Toc86584659"/>
      <w:bookmarkStart w:id="175" w:name="_Toc114237469"/>
      <w:bookmarkEnd w:id="172"/>
      <w:bookmarkEnd w:id="173"/>
      <w:r w:rsidRPr="00490741">
        <w:rPr>
          <w:rFonts w:asciiTheme="minorEastAsia" w:eastAsiaTheme="minorEastAsia" w:hAnsiTheme="minorEastAsia" w:hint="eastAsia"/>
          <w:b w:val="0"/>
          <w:color w:val="000000" w:themeColor="text1"/>
        </w:rPr>
        <w:t>（一）基金合同的终止</w:t>
      </w:r>
      <w:bookmarkEnd w:id="174"/>
      <w:bookmarkEnd w:id="175"/>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出现下列情形之一的，基金合同</w:t>
      </w:r>
      <w:r w:rsidRPr="00490741" w:rsidR="00E374EA">
        <w:rPr>
          <w:rFonts w:asciiTheme="minorEastAsia" w:eastAsiaTheme="minorEastAsia" w:hAnsiTheme="minorEastAsia" w:hint="eastAsia"/>
          <w:color w:val="000000" w:themeColor="text1"/>
          <w:szCs w:val="21"/>
        </w:rPr>
        <w:t>应当</w:t>
      </w:r>
      <w:r w:rsidRPr="00490741">
        <w:rPr>
          <w:rFonts w:asciiTheme="minorEastAsia" w:eastAsiaTheme="minorEastAsia" w:hAnsiTheme="minorEastAsia" w:hint="eastAsia"/>
          <w:color w:val="000000" w:themeColor="text1"/>
          <w:szCs w:val="21"/>
        </w:rPr>
        <w:t>终止：</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1</w:t>
      </w:r>
      <w:r w:rsidRPr="00490741">
        <w:rPr>
          <w:rFonts w:asciiTheme="minorEastAsia" w:eastAsiaTheme="minorEastAsia" w:hAnsiTheme="minorEastAsia" w:hint="eastAsia"/>
          <w:color w:val="000000" w:themeColor="text1"/>
        </w:rPr>
        <w:t>、基金份额持有人大会决定终止的；</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2</w:t>
      </w:r>
      <w:r w:rsidRPr="00490741">
        <w:rPr>
          <w:rFonts w:asciiTheme="minorEastAsia" w:eastAsiaTheme="minorEastAsia" w:hAnsiTheme="minorEastAsia" w:hint="eastAsia"/>
          <w:color w:val="000000" w:themeColor="text1"/>
        </w:rPr>
        <w:t>、基金管理人、基金托管人职责终止，在</w:t>
      </w:r>
      <w:r w:rsidRPr="00490741">
        <w:rPr>
          <w:rFonts w:asciiTheme="minorEastAsia" w:eastAsiaTheme="minorEastAsia" w:hAnsiTheme="minorEastAsia" w:hint="eastAsia"/>
          <w:color w:val="000000" w:themeColor="text1"/>
        </w:rPr>
        <w:t>6</w:t>
      </w:r>
      <w:r w:rsidRPr="00490741">
        <w:rPr>
          <w:rFonts w:asciiTheme="minorEastAsia" w:eastAsiaTheme="minorEastAsia" w:hAnsiTheme="minorEastAsia" w:hint="eastAsia"/>
          <w:color w:val="000000" w:themeColor="text1"/>
        </w:rPr>
        <w:t>个月内没有新基金管理人、新基金托管人承接的；</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3</w:t>
      </w:r>
      <w:r w:rsidRPr="00490741">
        <w:rPr>
          <w:rFonts w:asciiTheme="minorEastAsia" w:eastAsiaTheme="minorEastAsia" w:hAnsiTheme="minorEastAsia" w:hint="eastAsia"/>
          <w:color w:val="000000" w:themeColor="text1"/>
        </w:rPr>
        <w:t>、《基金合同》约定的其他情形；</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4</w:t>
      </w:r>
      <w:r w:rsidRPr="00490741">
        <w:rPr>
          <w:rFonts w:asciiTheme="minorEastAsia" w:eastAsiaTheme="minorEastAsia" w:hAnsiTheme="minorEastAsia" w:hint="eastAsia"/>
          <w:color w:val="000000" w:themeColor="text1"/>
        </w:rPr>
        <w:t>、相关法律法规和中国证监会规定的其他情况。</w:t>
      </w:r>
    </w:p>
    <w:p w:rsidR="0002608C" w:rsidRPr="00490741" w:rsidP="00107648">
      <w:pPr>
        <w:autoSpaceDE w:val="0"/>
        <w:autoSpaceDN w:val="0"/>
        <w:snapToGrid w:val="0"/>
        <w:spacing w:line="360" w:lineRule="auto"/>
        <w:ind w:firstLine="420"/>
        <w:textAlignment w:val="bottom"/>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合同终止后，基金管理人和基金托管人依照《基金法》、《运作办法》、基金合同及其他有关规定，行使请求给付报酬、从基金资产中获得补偿的权利时，可以留置基金资产或者对基金资产的权利归属人提出请求。</w:t>
      </w:r>
    </w:p>
    <w:p w:rsidR="0002608C" w:rsidRPr="00490741" w:rsidP="00107648">
      <w:pPr>
        <w:pStyle w:val="Heading2"/>
        <w:snapToGrid w:val="0"/>
        <w:spacing w:beforeLines="0" w:afterLines="0" w:line="360" w:lineRule="auto"/>
        <w:ind w:firstLineChars="0"/>
        <w:rPr>
          <w:rFonts w:asciiTheme="minorEastAsia" w:eastAsiaTheme="minorEastAsia" w:hAnsiTheme="minorEastAsia"/>
          <w:b w:val="0"/>
          <w:color w:val="000000" w:themeColor="text1"/>
        </w:rPr>
      </w:pPr>
      <w:bookmarkStart w:id="176" w:name="_Toc86584660"/>
      <w:bookmarkStart w:id="177" w:name="_Toc114237470"/>
      <w:r w:rsidRPr="00490741">
        <w:rPr>
          <w:rFonts w:asciiTheme="minorEastAsia" w:eastAsiaTheme="minorEastAsia" w:hAnsiTheme="minorEastAsia" w:hint="eastAsia"/>
          <w:b w:val="0"/>
          <w:color w:val="000000" w:themeColor="text1"/>
        </w:rPr>
        <w:t>（二）基金财产的清算</w:t>
      </w:r>
      <w:bookmarkEnd w:id="176"/>
      <w:bookmarkEnd w:id="177"/>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1</w:t>
      </w:r>
      <w:r w:rsidRPr="00490741">
        <w:rPr>
          <w:rFonts w:asciiTheme="minorEastAsia" w:eastAsiaTheme="minorEastAsia" w:hAnsiTheme="minorEastAsia" w:hint="eastAsia"/>
          <w:color w:val="000000" w:themeColor="text1"/>
        </w:rPr>
        <w:t>、清算小组</w:t>
      </w:r>
    </w:p>
    <w:p w:rsidR="0002608C" w:rsidRPr="00490741" w:rsidP="00107648">
      <w:pPr>
        <w:numPr>
          <w:ilvl w:val="0"/>
          <w:numId w:val="6"/>
        </w:numPr>
        <w:snapToGrid w:val="0"/>
        <w:spacing w:line="360" w:lineRule="auto"/>
        <w:ind w:left="0"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自基金合同终止之日起</w:t>
      </w:r>
      <w:r w:rsidRPr="00490741">
        <w:rPr>
          <w:rFonts w:asciiTheme="minorEastAsia" w:eastAsiaTheme="minorEastAsia" w:hAnsiTheme="minorEastAsia" w:hint="eastAsia"/>
          <w:color w:val="000000" w:themeColor="text1"/>
          <w:szCs w:val="21"/>
        </w:rPr>
        <w:t>30</w:t>
      </w:r>
      <w:r w:rsidRPr="00490741">
        <w:rPr>
          <w:rFonts w:asciiTheme="minorEastAsia" w:eastAsiaTheme="minorEastAsia" w:hAnsiTheme="minorEastAsia" w:hint="eastAsia"/>
          <w:color w:val="000000" w:themeColor="text1"/>
          <w:szCs w:val="21"/>
        </w:rPr>
        <w:t>个工作日内成立清算小组，清算小组在中国证监会的监督下进行清算。</w:t>
      </w:r>
    </w:p>
    <w:p w:rsidR="0002608C" w:rsidRPr="00490741" w:rsidP="00107648">
      <w:pPr>
        <w:numPr>
          <w:ilvl w:val="0"/>
          <w:numId w:val="6"/>
        </w:numPr>
        <w:snapToGrid w:val="0"/>
        <w:spacing w:line="360" w:lineRule="auto"/>
        <w:ind w:left="0"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清算小组成员由基金管理人、基金托管人、具有从事证券相关业务资格的注册会计师、律师以及中国证监会指定的人员组成。清算小组可以聘用必要的工作人员。清算小组在成立后五个工作日内应当公告。</w:t>
      </w:r>
    </w:p>
    <w:p w:rsidR="0002608C" w:rsidRPr="00490741" w:rsidP="00107648">
      <w:pPr>
        <w:numPr>
          <w:ilvl w:val="0"/>
          <w:numId w:val="6"/>
        </w:numPr>
        <w:snapToGrid w:val="0"/>
        <w:spacing w:line="360" w:lineRule="auto"/>
        <w:ind w:left="0"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清算小组负责基金资产的保管、清理、估价、变现和分配。清算小组可以依法以基金的名义进行必要的民事活动。</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2</w:t>
      </w:r>
      <w:r w:rsidRPr="00490741">
        <w:rPr>
          <w:rFonts w:asciiTheme="minorEastAsia" w:eastAsiaTheme="minorEastAsia" w:hAnsiTheme="minorEastAsia" w:hint="eastAsia"/>
          <w:color w:val="000000" w:themeColor="text1"/>
        </w:rPr>
        <w:t>、清算程序</w:t>
      </w:r>
    </w:p>
    <w:p w:rsidR="0002608C" w:rsidRPr="00490741" w:rsidP="00107648">
      <w:pPr>
        <w:autoSpaceDE w:val="0"/>
        <w:autoSpaceDN w:val="0"/>
        <w:snapToGrid w:val="0"/>
        <w:spacing w:line="360" w:lineRule="auto"/>
        <w:ind w:firstLine="420"/>
        <w:textAlignment w:val="bottom"/>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）基金合同终止后，由基金财产清算小组统一接管基金；</w:t>
      </w:r>
    </w:p>
    <w:p w:rsidR="0002608C" w:rsidRPr="00490741" w:rsidP="00107648">
      <w:pPr>
        <w:autoSpaceDE w:val="0"/>
        <w:autoSpaceDN w:val="0"/>
        <w:snapToGrid w:val="0"/>
        <w:spacing w:line="360" w:lineRule="auto"/>
        <w:ind w:firstLine="420"/>
        <w:textAlignment w:val="bottom"/>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）对基金财产和债权债务进行清理和确认；</w:t>
      </w:r>
    </w:p>
    <w:p w:rsidR="0002608C" w:rsidRPr="00490741" w:rsidP="00107648">
      <w:pPr>
        <w:autoSpaceDE w:val="0"/>
        <w:autoSpaceDN w:val="0"/>
        <w:snapToGrid w:val="0"/>
        <w:spacing w:line="360" w:lineRule="auto"/>
        <w:ind w:firstLine="420"/>
        <w:textAlignment w:val="bottom"/>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）对基金财产进行估值和变现；</w:t>
      </w:r>
    </w:p>
    <w:p w:rsidR="0002608C" w:rsidRPr="00490741" w:rsidP="00107648">
      <w:pPr>
        <w:autoSpaceDE w:val="0"/>
        <w:autoSpaceDN w:val="0"/>
        <w:snapToGrid w:val="0"/>
        <w:spacing w:line="360" w:lineRule="auto"/>
        <w:ind w:firstLine="420"/>
        <w:textAlignment w:val="bottom"/>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）制作清算报告；</w:t>
      </w:r>
    </w:p>
    <w:p w:rsidR="0002608C" w:rsidRPr="00490741" w:rsidP="00107648">
      <w:pPr>
        <w:autoSpaceDE w:val="0"/>
        <w:autoSpaceDN w:val="0"/>
        <w:snapToGrid w:val="0"/>
        <w:spacing w:line="360" w:lineRule="auto"/>
        <w:ind w:firstLine="420"/>
        <w:textAlignment w:val="bottom"/>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5</w:t>
      </w:r>
      <w:r w:rsidRPr="00490741">
        <w:rPr>
          <w:rFonts w:asciiTheme="minorEastAsia" w:eastAsiaTheme="minorEastAsia" w:hAnsiTheme="minorEastAsia" w:hint="eastAsia"/>
          <w:color w:val="000000" w:themeColor="text1"/>
          <w:szCs w:val="21"/>
        </w:rPr>
        <w:t>）聘请会计师事务所对清算报告进行外部审计，聘请律师事务</w:t>
      </w:r>
      <w:r w:rsidRPr="00490741">
        <w:rPr>
          <w:rFonts w:asciiTheme="minorEastAsia" w:eastAsiaTheme="minorEastAsia" w:hAnsiTheme="minorEastAsia" w:hint="eastAsia"/>
          <w:color w:val="000000" w:themeColor="text1"/>
          <w:szCs w:val="21"/>
        </w:rPr>
        <w:t>所对清算报告出具法律意见书；</w:t>
      </w:r>
    </w:p>
    <w:p w:rsidR="0002608C" w:rsidRPr="00490741" w:rsidP="00107648">
      <w:pPr>
        <w:autoSpaceDE w:val="0"/>
        <w:autoSpaceDN w:val="0"/>
        <w:snapToGrid w:val="0"/>
        <w:spacing w:line="360" w:lineRule="auto"/>
        <w:ind w:firstLine="420"/>
        <w:textAlignment w:val="bottom"/>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6</w:t>
      </w:r>
      <w:r w:rsidRPr="00490741">
        <w:rPr>
          <w:rFonts w:asciiTheme="minorEastAsia" w:eastAsiaTheme="minorEastAsia" w:hAnsiTheme="minorEastAsia" w:hint="eastAsia"/>
          <w:color w:val="000000" w:themeColor="text1"/>
          <w:szCs w:val="21"/>
        </w:rPr>
        <w:t>）将清算报告报中国证监会备案并公告；</w:t>
      </w:r>
    </w:p>
    <w:p w:rsidR="0002608C" w:rsidRPr="00490741" w:rsidP="00107648">
      <w:pPr>
        <w:autoSpaceDE w:val="0"/>
        <w:autoSpaceDN w:val="0"/>
        <w:snapToGrid w:val="0"/>
        <w:spacing w:line="360" w:lineRule="auto"/>
        <w:ind w:firstLine="420"/>
        <w:textAlignment w:val="bottom"/>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7</w:t>
      </w:r>
      <w:r w:rsidRPr="00490741">
        <w:rPr>
          <w:rFonts w:asciiTheme="minorEastAsia" w:eastAsiaTheme="minorEastAsia" w:hAnsiTheme="minorEastAsia" w:hint="eastAsia"/>
          <w:color w:val="000000" w:themeColor="text1"/>
          <w:szCs w:val="21"/>
        </w:rPr>
        <w:t>）对基金财产进行分配。</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3</w:t>
      </w:r>
      <w:r w:rsidRPr="00490741">
        <w:rPr>
          <w:rFonts w:asciiTheme="minorEastAsia" w:eastAsiaTheme="minorEastAsia" w:hAnsiTheme="minorEastAsia" w:hint="eastAsia"/>
          <w:color w:val="000000" w:themeColor="text1"/>
        </w:rPr>
        <w:t>、清算费用</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清算费用是指清算小组在进行基金财产清算过程中发生的所有合理费用，清算费用由清算小组优先从基金资产中支付。</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4</w:t>
      </w:r>
      <w:r w:rsidRPr="00490741">
        <w:rPr>
          <w:rFonts w:asciiTheme="minorEastAsia" w:eastAsiaTheme="minorEastAsia" w:hAnsiTheme="minorEastAsia" w:hint="eastAsia"/>
          <w:color w:val="000000" w:themeColor="text1"/>
        </w:rPr>
        <w:t>、基金财产清算剩余资产的分配</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依据基金财产清算的分配方案，将基金财产清算后的全部剩余资产扣除基金财产清算费用后，按基金份额持有人持有的基金份额比例进行分配。</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5</w:t>
      </w:r>
      <w:r w:rsidRPr="00490741">
        <w:rPr>
          <w:rFonts w:asciiTheme="minorEastAsia" w:eastAsiaTheme="minorEastAsia" w:hAnsiTheme="minorEastAsia" w:hint="eastAsia"/>
          <w:color w:val="000000" w:themeColor="text1"/>
        </w:rPr>
        <w:t>、基金财产清算的公告</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清算过程中的有关重大事项须及时公告；基金财产清算报告经会计师事务所审计并由律师事务所出具法律意见书后报中国证监会备案并公告。</w:t>
      </w:r>
    </w:p>
    <w:p w:rsidR="0002608C" w:rsidRPr="00490741" w:rsidP="00107648">
      <w:pPr>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6</w:t>
      </w:r>
      <w:r w:rsidRPr="00490741">
        <w:rPr>
          <w:rFonts w:asciiTheme="minorEastAsia" w:eastAsiaTheme="minorEastAsia" w:hAnsiTheme="minorEastAsia" w:hint="eastAsia"/>
          <w:color w:val="000000" w:themeColor="text1"/>
        </w:rPr>
        <w:t>、清算帐册及文件的保存</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清算帐册及有关文件由基金托管人保存</w:t>
      </w:r>
      <w:r w:rsidRPr="00490741">
        <w:rPr>
          <w:rFonts w:asciiTheme="minorEastAsia" w:eastAsiaTheme="minorEastAsia" w:hAnsiTheme="minorEastAsia"/>
          <w:color w:val="000000" w:themeColor="text1"/>
          <w:szCs w:val="21"/>
        </w:rPr>
        <w:t>15</w:t>
      </w:r>
      <w:r w:rsidRPr="00490741">
        <w:rPr>
          <w:rFonts w:asciiTheme="minorEastAsia" w:eastAsiaTheme="minorEastAsia" w:hAnsiTheme="minorEastAsia" w:hint="eastAsia"/>
          <w:color w:val="000000" w:themeColor="text1"/>
          <w:szCs w:val="21"/>
        </w:rPr>
        <w:t>年以上。</w:t>
      </w:r>
    </w:p>
    <w:p w:rsidR="00E1094C" w:rsidRPr="00490741" w:rsidP="00107648">
      <w:pPr>
        <w:snapToGrid w:val="0"/>
        <w:spacing w:line="360" w:lineRule="auto"/>
        <w:ind w:firstLine="420"/>
        <w:rPr>
          <w:rFonts w:asciiTheme="minorEastAsia" w:eastAsiaTheme="minorEastAsia" w:hAnsiTheme="minorEastAsia"/>
          <w:color w:val="000000" w:themeColor="text1"/>
          <w:szCs w:val="21"/>
        </w:rPr>
        <w:sectPr w:rsidSect="0035472D">
          <w:pgSz w:w="11906" w:h="16838" w:code="9"/>
          <w:pgMar w:top="1440" w:right="1800" w:bottom="1440" w:left="1800" w:header="851" w:footer="992" w:gutter="0"/>
          <w:cols w:space="425"/>
          <w:docGrid w:type="lines" w:linePitch="312"/>
        </w:sectPr>
      </w:pPr>
    </w:p>
    <w:p w:rsidR="0002608C" w:rsidRPr="00490741" w:rsidP="00107648">
      <w:pPr>
        <w:pStyle w:val="Heading1"/>
        <w:snapToGrid w:val="0"/>
        <w:spacing w:beforeLines="0" w:afterLines="0" w:line="360" w:lineRule="auto"/>
        <w:ind w:firstLine="643"/>
        <w:rPr>
          <w:rFonts w:asciiTheme="minorEastAsia" w:eastAsiaTheme="minorEastAsia" w:hAnsiTheme="minorEastAsia"/>
          <w:bCs/>
          <w:color w:val="000000" w:themeColor="text1"/>
        </w:rPr>
      </w:pPr>
      <w:bookmarkStart w:id="178" w:name="_Toc114237471"/>
      <w:r w:rsidRPr="00490741">
        <w:rPr>
          <w:rFonts w:asciiTheme="minorEastAsia" w:eastAsiaTheme="minorEastAsia" w:hAnsiTheme="minorEastAsia" w:hint="eastAsia"/>
          <w:b/>
          <w:bCs/>
          <w:color w:val="000000" w:themeColor="text1"/>
        </w:rPr>
        <w:t>二十一、基金合同内容摘要</w:t>
      </w:r>
      <w:bookmarkEnd w:id="178"/>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color w:val="000000" w:themeColor="text1"/>
          <w:szCs w:val="21"/>
        </w:rPr>
      </w:pPr>
      <w:bookmarkStart w:id="179" w:name="_Toc114237472"/>
      <w:r w:rsidRPr="00490741">
        <w:rPr>
          <w:rFonts w:asciiTheme="minorEastAsia" w:eastAsiaTheme="minorEastAsia" w:hAnsiTheme="minorEastAsia" w:hint="eastAsia"/>
          <w:b w:val="0"/>
          <w:bCs/>
          <w:color w:val="000000" w:themeColor="text1"/>
        </w:rPr>
        <w:t>（一）前言</w:t>
      </w:r>
      <w:bookmarkEnd w:id="179"/>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为保护基金投资者合法权益，明确基金合同当事人的权利与义务，规范</w:t>
      </w:r>
      <w:r w:rsidRPr="00490741" w:rsidR="00906A80">
        <w:rPr>
          <w:rFonts w:asciiTheme="minorEastAsia" w:eastAsiaTheme="minorEastAsia" w:hAnsiTheme="minorEastAsia" w:hint="eastAsia"/>
          <w:color w:val="000000" w:themeColor="text1"/>
          <w:szCs w:val="21"/>
        </w:rPr>
        <w:t>易方达价值精选混合型证券投资基金</w:t>
      </w:r>
      <w:r w:rsidRPr="00490741">
        <w:rPr>
          <w:rFonts w:asciiTheme="minorEastAsia" w:eastAsiaTheme="minorEastAsia" w:hAnsiTheme="minorEastAsia" w:hint="eastAsia"/>
          <w:color w:val="000000" w:themeColor="text1"/>
          <w:szCs w:val="21"/>
        </w:rPr>
        <w:t>（以下简称“本基金”或“基金”）的运作，依照《中华人民共和国合同法》、《中华人民共和国证券投资基金法》（以下简称“《基金法》”）、《</w:t>
      </w:r>
      <w:r w:rsidRPr="00490741" w:rsidR="00BA1AA4">
        <w:rPr>
          <w:rFonts w:asciiTheme="minorEastAsia" w:eastAsiaTheme="minorEastAsia" w:hAnsiTheme="minorEastAsia" w:hint="eastAsia"/>
          <w:color w:val="000000" w:themeColor="text1"/>
          <w:szCs w:val="21"/>
        </w:rPr>
        <w:t>公开募集</w:t>
      </w:r>
      <w:r w:rsidRPr="00490741">
        <w:rPr>
          <w:rFonts w:asciiTheme="minorEastAsia" w:eastAsiaTheme="minorEastAsia" w:hAnsiTheme="minorEastAsia" w:hint="eastAsia"/>
          <w:color w:val="000000" w:themeColor="text1"/>
          <w:szCs w:val="21"/>
        </w:rPr>
        <w:t>证券投资基金运作管理办法》（以下简称“《运作办法》”）、《证券投资基金销售管理办法》（以下简称“《销售办法》”）、《</w:t>
      </w:r>
      <w:r w:rsidRPr="00490741" w:rsidR="00AD6F54">
        <w:rPr>
          <w:rFonts w:asciiTheme="minorEastAsia" w:eastAsiaTheme="minorEastAsia" w:hAnsiTheme="minorEastAsia" w:hint="eastAsia"/>
          <w:color w:val="000000" w:themeColor="text1"/>
          <w:szCs w:val="21"/>
        </w:rPr>
        <w:t>公开募集</w:t>
      </w:r>
      <w:r w:rsidRPr="00490741">
        <w:rPr>
          <w:rFonts w:asciiTheme="minorEastAsia" w:eastAsiaTheme="minorEastAsia" w:hAnsiTheme="minorEastAsia" w:hint="eastAsia"/>
          <w:color w:val="000000" w:themeColor="text1"/>
          <w:szCs w:val="21"/>
        </w:rPr>
        <w:t>证券投资基金信息披露管理办法》（以下简称“《信息披露办法》”）及其他有关规定，在平等自愿、诚实信用、充分保护基金投资者及相关当事人的合法权益的原则基础上，特订立《</w:t>
      </w:r>
      <w:r w:rsidRPr="00490741" w:rsidR="00906A80">
        <w:rPr>
          <w:rFonts w:asciiTheme="minorEastAsia" w:eastAsiaTheme="minorEastAsia" w:hAnsiTheme="minorEastAsia" w:hint="eastAsia"/>
          <w:color w:val="000000" w:themeColor="text1"/>
          <w:szCs w:val="21"/>
        </w:rPr>
        <w:t>易方达价值精选混合型证券投资基金</w:t>
      </w:r>
      <w:r w:rsidRPr="00490741">
        <w:rPr>
          <w:rFonts w:asciiTheme="minorEastAsia" w:eastAsiaTheme="minorEastAsia" w:hAnsiTheme="minorEastAsia" w:hint="eastAsia"/>
          <w:color w:val="000000" w:themeColor="text1"/>
          <w:szCs w:val="21"/>
        </w:rPr>
        <w:t>基金合同》（以下简称“本合同”或“《基金合同》”）。</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《基金合同》是规定基金合同当事人之间权利义务的基本法律文件，其他与本基金相关的涉及基金合同当事人之间权利义务关系的任何文件或表述，均</w:t>
      </w:r>
      <w:r w:rsidRPr="00490741">
        <w:rPr>
          <w:rFonts w:asciiTheme="minorEastAsia" w:eastAsiaTheme="minorEastAsia" w:hAnsiTheme="minorEastAsia" w:hint="eastAsia"/>
          <w:color w:val="000000" w:themeColor="text1"/>
          <w:szCs w:val="21"/>
        </w:rPr>
        <w:t>以本合同为准。《基金合同》的当事人包括基金管理人、基金托管人和基金份额持有人。基金投资者自依《基金合同》取得基金份额，即成为基金份额持有人和《基金合同》的当事人，其持有基金份额的行为本身即表明其对《基金合同》的承认和接受。《基金合同》的当事人按照法律法规和《基金合同》的规定享有权利，同时需承担相应的义务。</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由基金管理人按照法律法规和《基金合同》的规定募集，并经中国证监会核准。中国证监会对基金募集的核准并不表明其对本基金的价值和收益作出实质性判断或保证，也不表明投资于本基金没有风险。投资者投资于本基金，</w:t>
      </w:r>
      <w:r w:rsidRPr="00490741">
        <w:rPr>
          <w:rFonts w:asciiTheme="minorEastAsia" w:eastAsiaTheme="minorEastAsia" w:hAnsiTheme="minorEastAsia" w:hint="eastAsia"/>
          <w:color w:val="000000" w:themeColor="text1"/>
          <w:szCs w:val="21"/>
        </w:rPr>
        <w:t>必须自担风险。</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基金管理人依照恪尽职守、诚实信用、谨慎勤勉的原则管理和运用基金财产，但不保证</w:t>
      </w:r>
      <w:r w:rsidRPr="00490741">
        <w:rPr>
          <w:rFonts w:asciiTheme="minorEastAsia" w:eastAsiaTheme="minorEastAsia" w:hAnsiTheme="minorEastAsia"/>
          <w:color w:val="000000" w:themeColor="text1"/>
          <w:szCs w:val="21"/>
        </w:rPr>
        <w:t>投资</w:t>
      </w:r>
      <w:r w:rsidRPr="00490741">
        <w:rPr>
          <w:rFonts w:asciiTheme="minorEastAsia" w:eastAsiaTheme="minorEastAsia" w:hAnsiTheme="minorEastAsia" w:hint="eastAsia"/>
          <w:color w:val="000000" w:themeColor="text1"/>
          <w:szCs w:val="21"/>
        </w:rPr>
        <w:t>本基金一定盈利，也不保证基金份额持有人的最低收益。</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合同》应当适用《基金法》及相应法律法规之规定，若因法律法规的修改或更新导致《基金合同》的内容与届时有效的法律法规的规定不一致，应当以届时有效的法律法规的规定为准，及时作出相应的变更和调整，同时就该等变更或调整进行公告。</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80" w:name="_Toc114237473"/>
      <w:r w:rsidRPr="00490741">
        <w:rPr>
          <w:rFonts w:asciiTheme="minorEastAsia" w:eastAsiaTheme="minorEastAsia" w:hAnsiTheme="minorEastAsia" w:hint="eastAsia"/>
          <w:b w:val="0"/>
          <w:bCs/>
          <w:color w:val="000000" w:themeColor="text1"/>
        </w:rPr>
        <w:t>（二）基金管理人的权利与义务</w:t>
      </w:r>
      <w:bookmarkEnd w:id="180"/>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、根据《基金法》、《运作办法》及其他有关规定，基金管理人的权利包括但不限于：</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依法募集基金；</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自《基金合同》生效之日起，根据法律法规和《基金合同》独立运用并管理基金财产；</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依照《基金合同》收取基金管理费以及法律法规规定或中国证监会批准的其他费用；</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销售基金份额；</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5</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召集基金份额持有人大会；</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6</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依据《基金合同》及有关法律规定监督基金托管人，如认为基金托管人违反了《基金合同》及国家有关法律规定，应呈报中国证监会和其他监管部门，并采取必要措施保护基金投资者的利益；</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7</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在基金托管人更换时，提名新的基金托管人；</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8</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选择、委托、更换基金代销机构，对基金代销机构的相关行为进行监督和处理；</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9</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依据《基金合同》及有关法律规定决定基金收益的分配方案；</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10</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在《基金合同》约定的范围内，拒绝或暂停受理申购与赎回申请；</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11</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在符合有关法律法规和《基金合同》的前提下，制订和调整开放式基金业务规则，决定和调整除托管费率之外的基金相关费率结构和收费方式；</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12</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依照法律法规为基金的利益对被投资公司行使股东权利，为基金的利益行使因基金财产投资于证券所产生的权利；</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13</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在法律法规允许的前提下，为基金的利益依法为基金进行融资；</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14</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以基金管理人的名义，代表基金份额持有人的利益行使诉讼权利或者实施其他法律行为；</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15</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选择、更换律师、审计师、证券经纪商或其他为基金提供服务的外部机构；</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16</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法律法规和《基金合同》规定的其他权利。</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、根据《基金法》、《运作办法》及其他有关规定，基金管理人的义务包括但不限于：</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依法募集基金，办理基金备案手续；</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自基金合同生效之日起</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hint="eastAsia"/>
          <w:color w:val="000000" w:themeColor="text1"/>
          <w:szCs w:val="21"/>
        </w:rPr>
        <w:t>以诚实信用、谨慎勤勉的原则管理和运用基金财产；</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配备足够的具有专业资格的人员</w:t>
      </w:r>
      <w:r w:rsidRPr="00490741">
        <w:rPr>
          <w:rFonts w:asciiTheme="minorEastAsia" w:eastAsiaTheme="minorEastAsia" w:hAnsiTheme="minorEastAsia" w:hint="eastAsia"/>
          <w:color w:val="000000" w:themeColor="text1"/>
          <w:szCs w:val="21"/>
        </w:rPr>
        <w:t>进行基金投资分析、决策，以专业化的经营方式管理和运作基金财产；</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办理或者委托经国务院证券监督管理机构认定的其他机构代为办理基金份额的发售、申购、赎回和登记事宜；如认为基金代销机构违反《基金合同》、基金销售与服务代理协议及国家有关法律规定，应呈报中国证监会和其他监管部门，并采取必要措施保护基金投资者的利益；</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5</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建立健全内部风险控制、监察与稽核、财务管理及人事管理等制度，保证所管理的基金财产和基金管理人的财产相互独立</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hint="eastAsia"/>
          <w:color w:val="000000" w:themeColor="text1"/>
          <w:szCs w:val="21"/>
        </w:rPr>
        <w:t>对所管理的不同基金分别管理，分别记账，进行证券投资；</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6</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除依据《基金法》、</w:t>
      </w:r>
      <w:r w:rsidRPr="00490741">
        <w:rPr>
          <w:rFonts w:asciiTheme="minorEastAsia" w:eastAsiaTheme="minorEastAsia" w:hAnsiTheme="minorEastAsia" w:hint="eastAsia"/>
          <w:color w:val="000000" w:themeColor="text1"/>
          <w:szCs w:val="21"/>
        </w:rPr>
        <w:t>《基金合同》及其他有关规定外</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hint="eastAsia"/>
          <w:color w:val="000000" w:themeColor="text1"/>
          <w:szCs w:val="21"/>
        </w:rPr>
        <w:t>不得利用基金财产为自己及任何第三人谋取利益，不得委托第三人运作基金财产；</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7</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依法接受基金托管人的监督；</w:t>
      </w:r>
    </w:p>
    <w:p w:rsidR="00AD6F54" w:rsidRPr="00490741" w:rsidP="00AD6F54">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8</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采取适当合理的措施使计算基金份额认购、申购、赎回和注销价格的方法符合《基金合同》等法律文件的规定，按有关规定计算并公告基金净值信息，确定基金份额申购、赎回的价格；</w:t>
      </w:r>
    </w:p>
    <w:p w:rsidR="00AD6F54" w:rsidRPr="00490741" w:rsidP="00AD6F54">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9</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进行基金会计核算并编制基金财务会计报告；</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10</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编制季度报告、中期报告和年度报告；</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11</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严格按照《基金法》、《基金合同》及其他有关规定，履行信息披露及报告义务；</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12</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保守基金商</w:t>
      </w:r>
      <w:r w:rsidRPr="00490741">
        <w:rPr>
          <w:rFonts w:asciiTheme="minorEastAsia" w:eastAsiaTheme="minorEastAsia" w:hAnsiTheme="minorEastAsia" w:hint="eastAsia"/>
          <w:color w:val="000000" w:themeColor="text1"/>
          <w:szCs w:val="21"/>
        </w:rPr>
        <w:t>业秘密，不泄露基金投资计划、投资意向等。除《基金法》、《基金合同》及其他有关规定另有规定外，在基金信息公开披露前应予保密，不向他人泄露；</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13</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按《基金合同》的约定确定基金收益分配方案，及时向基金份额持有人分配基金收益；</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14</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按规定受理申购与赎回申请，及时、足额支付赎回款项；</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15</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依据《基金法》、《基金合同》及其他有关规定召集基金份额持有人大会</w:t>
      </w:r>
      <w:r w:rsidRPr="00490741">
        <w:rPr>
          <w:rFonts w:asciiTheme="minorEastAsia" w:eastAsiaTheme="minorEastAsia" w:hAnsiTheme="minorEastAsia"/>
          <w:color w:val="000000" w:themeColor="text1"/>
          <w:szCs w:val="21"/>
        </w:rPr>
        <w:t>或配合基金托管人、基金份额持有人依法召集基金份额持有人大会</w:t>
      </w:r>
      <w:r w:rsidRPr="00490741">
        <w:rPr>
          <w:rFonts w:asciiTheme="minorEastAsia" w:eastAsiaTheme="minorEastAsia" w:hAnsiTheme="minorEastAsia" w:hint="eastAsia"/>
          <w:color w:val="000000" w:themeColor="text1"/>
          <w:szCs w:val="21"/>
        </w:rPr>
        <w:t>；</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16</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按规定保存基金财产管理业务活动的会计账册、报表、记录和其他相关资料</w:t>
      </w:r>
      <w:r w:rsidRPr="00490741">
        <w:rPr>
          <w:rFonts w:asciiTheme="minorEastAsia" w:eastAsiaTheme="minorEastAsia" w:hAnsiTheme="minorEastAsia" w:hint="eastAsia"/>
          <w:color w:val="000000" w:themeColor="text1"/>
          <w:szCs w:val="21"/>
        </w:rPr>
        <w:t>15</w:t>
      </w:r>
      <w:r w:rsidRPr="00490741">
        <w:rPr>
          <w:rFonts w:asciiTheme="minorEastAsia" w:eastAsiaTheme="minorEastAsia" w:hAnsiTheme="minorEastAsia" w:hint="eastAsia"/>
          <w:color w:val="000000" w:themeColor="text1"/>
          <w:szCs w:val="21"/>
        </w:rPr>
        <w:t>年以上；</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17</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18</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组织并参加基金财产清算小组</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hint="eastAsia"/>
          <w:color w:val="000000" w:themeColor="text1"/>
          <w:szCs w:val="21"/>
        </w:rPr>
        <w:t>参与基金财产的保管、清理、估价、变现和分配；</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19</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面临解散、依法被撤销或者被依法宣告破产时，及时报告中国证监会并通知基金托管人；</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20</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因违反《基金合同》导致基金财产的损失</w:t>
      </w:r>
      <w:r w:rsidRPr="00490741">
        <w:rPr>
          <w:rFonts w:asciiTheme="minorEastAsia" w:eastAsiaTheme="minorEastAsia" w:hAnsiTheme="minorEastAsia"/>
          <w:color w:val="000000" w:themeColor="text1"/>
          <w:szCs w:val="21"/>
        </w:rPr>
        <w:t>或损害基金份额持有人合法权益</w:t>
      </w:r>
      <w:r w:rsidRPr="00490741">
        <w:rPr>
          <w:rFonts w:asciiTheme="minorEastAsia" w:eastAsiaTheme="minorEastAsia" w:hAnsiTheme="minorEastAsia" w:hint="eastAsia"/>
          <w:color w:val="000000" w:themeColor="text1"/>
          <w:szCs w:val="21"/>
        </w:rPr>
        <w:t>时，应当承担赔偿责任，其赔偿责任不因其退任而免除；</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21</w:t>
      </w:r>
      <w:r w:rsidRPr="00490741">
        <w:rPr>
          <w:rFonts w:asciiTheme="minorEastAsia" w:eastAsiaTheme="minorEastAsia" w:hAnsiTheme="minorEastAsia" w:hint="eastAsia"/>
          <w:color w:val="000000" w:themeColor="text1"/>
          <w:szCs w:val="21"/>
        </w:rPr>
        <w:t>）监督基金托管人按法律法规和基金合同规定履行自己的义务，基金托管人违反基金合同造成基金财产损失时，基金管理人应为基金份额持有人利益向基金托管人追偿；</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22</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以基金管理人名义，代表基金份额持有人利益行使诉讼权利或实施其他法律行为；</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23</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基金管理人在募集期间未能达到基金的备案条件，《基金合同》不能生效，基金管理人承担全部募集费用和债务，在基金募集期限届满后</w:t>
      </w:r>
      <w:r w:rsidRPr="00490741">
        <w:rPr>
          <w:rFonts w:asciiTheme="minorEastAsia" w:eastAsiaTheme="minorEastAsia" w:hAnsiTheme="minorEastAsia" w:hint="eastAsia"/>
          <w:color w:val="000000" w:themeColor="text1"/>
          <w:szCs w:val="21"/>
        </w:rPr>
        <w:t>30</w:t>
      </w:r>
      <w:r w:rsidRPr="00490741">
        <w:rPr>
          <w:rFonts w:asciiTheme="minorEastAsia" w:eastAsiaTheme="minorEastAsia" w:hAnsiTheme="minorEastAsia" w:hint="eastAsia"/>
          <w:color w:val="000000" w:themeColor="text1"/>
          <w:szCs w:val="21"/>
        </w:rPr>
        <w:t>日内返还投资者已缴纳的款项并加计银行同期存款利息；</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24</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color w:val="000000" w:themeColor="text1"/>
          <w:szCs w:val="21"/>
        </w:rPr>
        <w:t>执行生效的基金份额持有人大会的决定</w:t>
      </w:r>
      <w:r w:rsidRPr="00490741">
        <w:rPr>
          <w:rFonts w:asciiTheme="minorEastAsia" w:eastAsiaTheme="minorEastAsia" w:hAnsiTheme="minorEastAsia" w:hint="eastAsia"/>
          <w:color w:val="000000" w:themeColor="text1"/>
          <w:szCs w:val="21"/>
        </w:rPr>
        <w:t>；</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25</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法律法规和《基金合同》规定的</w:t>
      </w:r>
      <w:r w:rsidRPr="00490741">
        <w:rPr>
          <w:rFonts w:asciiTheme="minorEastAsia" w:eastAsiaTheme="minorEastAsia" w:hAnsiTheme="minorEastAsia" w:hint="eastAsia"/>
          <w:color w:val="000000" w:themeColor="text1"/>
          <w:szCs w:val="21"/>
        </w:rPr>
        <w:t>其他义务。</w:t>
      </w:r>
    </w:p>
    <w:p w:rsidR="0002608C" w:rsidRPr="00490741" w:rsidP="00107648">
      <w:pPr>
        <w:pStyle w:val="Heading2"/>
        <w:adjustRightInd w:val="0"/>
        <w:snapToGrid w:val="0"/>
        <w:spacing w:beforeLines="0" w:afterLines="0" w:line="360" w:lineRule="auto"/>
        <w:ind w:firstLine="0" w:firstLineChars="0"/>
        <w:rPr>
          <w:rFonts w:asciiTheme="minorEastAsia" w:eastAsiaTheme="minorEastAsia" w:hAnsiTheme="minorEastAsia"/>
          <w:b w:val="0"/>
          <w:bCs/>
          <w:color w:val="000000" w:themeColor="text1"/>
          <w:szCs w:val="21"/>
        </w:rPr>
      </w:pPr>
      <w:bookmarkStart w:id="181" w:name="_Toc114237474"/>
      <w:r w:rsidRPr="00490741">
        <w:rPr>
          <w:rFonts w:asciiTheme="minorEastAsia" w:eastAsiaTheme="minorEastAsia" w:hAnsiTheme="minorEastAsia" w:hint="eastAsia"/>
          <w:b w:val="0"/>
          <w:bCs/>
          <w:color w:val="000000" w:themeColor="text1"/>
        </w:rPr>
        <w:t>（三）基金托管人的权利与义务</w:t>
      </w:r>
      <w:bookmarkEnd w:id="181"/>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、根据《基金法》、《运作办法》及其他有关规定，基金托管人的权利包括但不限于：</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）自本基金合同生效之日起，依法律法规和《基金合同》的规定安全保管基金财产；</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）依《基金合同》约定获得基金托管费以及法律法规规定或监管部门批准的其他收</w:t>
      </w:r>
      <w:r w:rsidRPr="00490741">
        <w:rPr>
          <w:rFonts w:asciiTheme="minorEastAsia" w:eastAsiaTheme="minorEastAsia" w:hAnsiTheme="minorEastAsia" w:hint="eastAsia"/>
          <w:color w:val="000000" w:themeColor="text1"/>
          <w:szCs w:val="21"/>
        </w:rPr>
        <w:t>入；</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hint="eastAsia"/>
          <w:color w:val="000000" w:themeColor="text1"/>
          <w:szCs w:val="21"/>
        </w:rPr>
        <w:t>监督基金管理人对本基金的投资运作，如发现基金管理人有违反《基金合同》及国家法律法规行为，应呈报中国证监会，并采取必要措施保护基金投资者的利益；</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以基金托管人和基金联名的方式在中国证券登记结算有限公司上海分公司和深圳分公司开设证券账户；</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5</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以基金托管人名义开立证券交易资金账户，用于证券交易资金清算；</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6</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以基金的名义在中央国债登记结算有限公司开设</w:t>
      </w:r>
      <w:r w:rsidRPr="00490741">
        <w:rPr>
          <w:rFonts w:asciiTheme="minorEastAsia" w:eastAsiaTheme="minorEastAsia" w:hAnsiTheme="minorEastAsia" w:hint="eastAsia"/>
          <w:color w:val="000000" w:themeColor="text1"/>
          <w:szCs w:val="21"/>
        </w:rPr>
        <w:t>银行间</w:t>
      </w:r>
      <w:r w:rsidRPr="00490741">
        <w:rPr>
          <w:rFonts w:asciiTheme="minorEastAsia" w:eastAsiaTheme="minorEastAsia" w:hAnsiTheme="minorEastAsia"/>
          <w:color w:val="000000" w:themeColor="text1"/>
          <w:szCs w:val="21"/>
        </w:rPr>
        <w:t>债券托管账户</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负责基金</w:t>
      </w:r>
      <w:r w:rsidRPr="00490741">
        <w:rPr>
          <w:rFonts w:asciiTheme="minorEastAsia" w:eastAsiaTheme="minorEastAsia" w:hAnsiTheme="minorEastAsia" w:hint="eastAsia"/>
          <w:color w:val="000000" w:themeColor="text1"/>
          <w:szCs w:val="21"/>
        </w:rPr>
        <w:t>投资</w:t>
      </w:r>
      <w:r w:rsidRPr="00490741">
        <w:rPr>
          <w:rFonts w:asciiTheme="minorEastAsia" w:eastAsiaTheme="minorEastAsia" w:hAnsiTheme="minorEastAsia"/>
          <w:color w:val="000000" w:themeColor="text1"/>
          <w:szCs w:val="21"/>
        </w:rPr>
        <w:t>债券</w:t>
      </w:r>
      <w:r w:rsidRPr="00490741">
        <w:rPr>
          <w:rFonts w:asciiTheme="minorEastAsia" w:eastAsiaTheme="minorEastAsia" w:hAnsiTheme="minorEastAsia" w:hint="eastAsia"/>
          <w:color w:val="000000" w:themeColor="text1"/>
          <w:szCs w:val="21"/>
        </w:rPr>
        <w:t>的后台匹配</w:t>
      </w:r>
      <w:r w:rsidRPr="00490741">
        <w:rPr>
          <w:rFonts w:asciiTheme="minorEastAsia" w:eastAsiaTheme="minorEastAsia" w:hAnsiTheme="minorEastAsia"/>
          <w:color w:val="000000" w:themeColor="text1"/>
          <w:szCs w:val="21"/>
        </w:rPr>
        <w:t>及资金的清算；</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7</w:t>
      </w:r>
      <w:r w:rsidRPr="00490741">
        <w:rPr>
          <w:rFonts w:asciiTheme="minorEastAsia" w:eastAsiaTheme="minorEastAsia" w:hAnsiTheme="minorEastAsia" w:hint="eastAsia"/>
          <w:color w:val="000000" w:themeColor="text1"/>
          <w:szCs w:val="21"/>
        </w:rPr>
        <w:t>）提议召开基金份额持有人大会；</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8</w:t>
      </w:r>
      <w:r w:rsidRPr="00490741">
        <w:rPr>
          <w:rFonts w:asciiTheme="minorEastAsia" w:eastAsiaTheme="minorEastAsia" w:hAnsiTheme="minorEastAsia" w:hint="eastAsia"/>
          <w:color w:val="000000" w:themeColor="text1"/>
          <w:szCs w:val="21"/>
        </w:rPr>
        <w:t>）在基金管理人更换时，提名新的基金管理人；</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9</w:t>
      </w:r>
      <w:r w:rsidRPr="00490741">
        <w:rPr>
          <w:rFonts w:asciiTheme="minorEastAsia" w:eastAsiaTheme="minorEastAsia" w:hAnsiTheme="minorEastAsia" w:hint="eastAsia"/>
          <w:color w:val="000000" w:themeColor="text1"/>
          <w:szCs w:val="21"/>
        </w:rPr>
        <w:t>）法律法规和《基金合同》规定的其他权利。</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根据《基金法》、《运作办法》及其他有关规定，基金托管人的义务包括但不限于：</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以诚实信用、勤勉尽责的原</w:t>
      </w:r>
      <w:r w:rsidRPr="00490741">
        <w:rPr>
          <w:rFonts w:asciiTheme="minorEastAsia" w:eastAsiaTheme="minorEastAsia" w:hAnsiTheme="minorEastAsia" w:hint="eastAsia"/>
          <w:color w:val="000000" w:themeColor="text1"/>
          <w:szCs w:val="21"/>
        </w:rPr>
        <w:t>则持有并安全保管基金财产；</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设立专门的基金托管部门，具有符合要求的营业场所，配备足够的、合格的熟悉基金托管业务的专职人员，负责基金财产托管事宜；</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建立健全内部风险控制、监察与稽核、财务管理及人事管理等制度，确保基金财产的安全，保证其托管的基金财产与基金托管人自有财产以及不同的基金财产相互独立；对不同的基金分别设置账户，独立核算，分账管理，保证不同基金之间在名册登记、账户设置、资金划拨、账册记录等方面相互独立；</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除依据《基金法》、《基金合同》及其他有关规定外，不得利用基金财产为自己及任</w:t>
      </w:r>
      <w:r w:rsidRPr="00490741">
        <w:rPr>
          <w:rFonts w:asciiTheme="minorEastAsia" w:eastAsiaTheme="minorEastAsia" w:hAnsiTheme="minorEastAsia" w:hint="eastAsia"/>
          <w:color w:val="000000" w:themeColor="text1"/>
          <w:szCs w:val="21"/>
        </w:rPr>
        <w:t>何第三人谋取利益，不得委托第三人托管基金财产；</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5</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保管由基金管理人代表基金签订的与基金有关的重大合同及有关凭证；</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6</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按规定开设基金财产的资金账户和证券账户</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hint="eastAsia"/>
          <w:color w:val="000000" w:themeColor="text1"/>
          <w:szCs w:val="21"/>
        </w:rPr>
        <w:t>按照《基金合同》的约定，根据基金管理人的投资指令，及时办理清算、交割事宜；</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7</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保守基金商业秘密，除《基金法》、《基金合同》及其他有关规定另有规定外，在基金信息公开披露前予以保密，不得向他人泄露；</w:t>
      </w:r>
    </w:p>
    <w:p w:rsidR="00AD6F54" w:rsidRPr="00490741" w:rsidP="00AD6F54">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8</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复核、审查基金管理人计算的基金资产净值、基金份额净值、基金份额申购、赎回价格；</w:t>
      </w:r>
    </w:p>
    <w:p w:rsidR="00AD6F54" w:rsidRPr="00490741" w:rsidP="00AD6F54">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9</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办理与基金托管业务活动有关的信息披露事项；</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10</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11</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按有关规定，保存基金托管业务活动的记录、账册、报表和其他相关资料</w:t>
      </w:r>
      <w:r w:rsidRPr="00490741">
        <w:rPr>
          <w:rFonts w:asciiTheme="minorEastAsia" w:eastAsiaTheme="minorEastAsia" w:hAnsiTheme="minorEastAsia" w:hint="eastAsia"/>
          <w:color w:val="000000" w:themeColor="text1"/>
          <w:szCs w:val="21"/>
        </w:rPr>
        <w:t>15</w:t>
      </w:r>
      <w:r w:rsidRPr="00490741">
        <w:rPr>
          <w:rFonts w:asciiTheme="minorEastAsia" w:eastAsiaTheme="minorEastAsia" w:hAnsiTheme="minorEastAsia" w:hint="eastAsia"/>
          <w:color w:val="000000" w:themeColor="text1"/>
          <w:szCs w:val="21"/>
        </w:rPr>
        <w:t>年以上；</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12</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color w:val="000000" w:themeColor="text1"/>
          <w:szCs w:val="21"/>
        </w:rPr>
        <w:t>建立并保存基金份额持有人名册</w:t>
      </w:r>
      <w:r w:rsidRPr="00490741">
        <w:rPr>
          <w:rFonts w:asciiTheme="minorEastAsia" w:eastAsiaTheme="minorEastAsia" w:hAnsiTheme="minorEastAsia" w:hint="eastAsia"/>
          <w:color w:val="000000" w:themeColor="text1"/>
          <w:szCs w:val="21"/>
        </w:rPr>
        <w:t>；</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13</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按规定制作相关账册并与基金管理人核对；</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14</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依据基金管理人的指令或有关规定向基金份额持有人支付基金收益和赎回款项；</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15</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按照规定召集基金份额持有人大会或配合基金份额持有人依法自行召集基金份额持有人大会；</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16</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按照法律法规和基金合同的规定监督基金管理人的投资运作；</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17</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参加基金财产清算小组，参与基金财产的保管、清理、估价、变现和分配；</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18</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面临解散、依法被撤销或者被依法宣告破产时，及时报告中国证监会和银行监管机构，并通知基金管理人；</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19</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因违反《基金合同》导致基金财产损失时，应承担赔偿责任，其赔偿责任不因其退任而免除；</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20</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监督基金管理人按法律法规和基金合同规定履行自己的义务，基金管理人因违反《基</w:t>
      </w:r>
      <w:r w:rsidRPr="00490741">
        <w:rPr>
          <w:rFonts w:asciiTheme="minorEastAsia" w:eastAsiaTheme="minorEastAsia" w:hAnsiTheme="minorEastAsia" w:hint="eastAsia"/>
          <w:color w:val="000000" w:themeColor="text1"/>
          <w:szCs w:val="21"/>
        </w:rPr>
        <w:t>金合同》造成基金财产损失时，应为基金利益向基金管理人追偿；</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21</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color w:val="000000" w:themeColor="text1"/>
          <w:szCs w:val="21"/>
        </w:rPr>
        <w:t>执行生效的基金份额持有人大会的决定</w:t>
      </w:r>
      <w:r w:rsidRPr="00490741">
        <w:rPr>
          <w:rFonts w:asciiTheme="minorEastAsia" w:eastAsiaTheme="minorEastAsia" w:hAnsiTheme="minorEastAsia" w:hint="eastAsia"/>
          <w:color w:val="000000" w:themeColor="text1"/>
          <w:szCs w:val="21"/>
        </w:rPr>
        <w:t>；</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22</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法律法规和《基金合同》规定的其他义务。</w:t>
      </w:r>
    </w:p>
    <w:p w:rsidR="0002608C" w:rsidRPr="00490741" w:rsidP="00107648">
      <w:pPr>
        <w:pStyle w:val="Heading2"/>
        <w:adjustRightInd w:val="0"/>
        <w:snapToGrid w:val="0"/>
        <w:spacing w:beforeLines="0" w:afterLines="0" w:line="360" w:lineRule="auto"/>
        <w:ind w:firstLine="0" w:firstLineChars="0"/>
        <w:rPr>
          <w:rFonts w:asciiTheme="minorEastAsia" w:eastAsiaTheme="minorEastAsia" w:hAnsiTheme="minorEastAsia"/>
          <w:color w:val="000000" w:themeColor="text1"/>
          <w:szCs w:val="21"/>
        </w:rPr>
      </w:pPr>
      <w:bookmarkStart w:id="182" w:name="_Toc114237475"/>
      <w:r w:rsidRPr="00490741">
        <w:rPr>
          <w:rFonts w:asciiTheme="minorEastAsia" w:eastAsiaTheme="minorEastAsia" w:hAnsiTheme="minorEastAsia" w:hint="eastAsia"/>
          <w:b w:val="0"/>
          <w:bCs/>
          <w:color w:val="000000" w:themeColor="text1"/>
        </w:rPr>
        <w:t>（四）基金份额持有人的权利与义务</w:t>
      </w:r>
      <w:bookmarkEnd w:id="182"/>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本《基金合同》当事人并不以在《基金合同》上书面签章或签字为必要条件。</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每份基金份额具有同等的合法权益。</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根据《基金法》、《运作办法》及其他有关规定，基金份额持有人的权利包括但不限于：</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分享基金财产收益；</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color w:val="000000" w:themeColor="text1"/>
          <w:szCs w:val="21"/>
        </w:rPr>
        <w:t>参与分配清算后的剩余基金财产</w:t>
      </w:r>
      <w:r w:rsidRPr="00490741">
        <w:rPr>
          <w:rFonts w:asciiTheme="minorEastAsia" w:eastAsiaTheme="minorEastAsia" w:hAnsiTheme="minorEastAsia" w:hint="eastAsia"/>
          <w:color w:val="000000" w:themeColor="text1"/>
          <w:szCs w:val="21"/>
        </w:rPr>
        <w:t>；</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依法申请赎回其持有的基金份额</w:t>
      </w:r>
      <w:r w:rsidRPr="00490741">
        <w:rPr>
          <w:rFonts w:asciiTheme="minorEastAsia" w:eastAsiaTheme="minorEastAsia" w:hAnsiTheme="minorEastAsia"/>
          <w:color w:val="000000" w:themeColor="text1"/>
          <w:szCs w:val="21"/>
        </w:rPr>
        <w:t>；</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color w:val="000000" w:themeColor="text1"/>
          <w:szCs w:val="21"/>
        </w:rPr>
        <w:t>按照规定要求召开基金份额持有人大会</w:t>
      </w:r>
      <w:r w:rsidRPr="00490741">
        <w:rPr>
          <w:rFonts w:asciiTheme="minorEastAsia" w:eastAsiaTheme="minorEastAsia" w:hAnsiTheme="minorEastAsia" w:hint="eastAsia"/>
          <w:color w:val="000000" w:themeColor="text1"/>
          <w:szCs w:val="21"/>
        </w:rPr>
        <w:t>；</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5</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出席或者委派代表出席基金</w:t>
      </w:r>
      <w:r w:rsidRPr="00490741">
        <w:rPr>
          <w:rFonts w:asciiTheme="minorEastAsia" w:eastAsiaTheme="minorEastAsia" w:hAnsiTheme="minorEastAsia"/>
          <w:color w:val="000000" w:themeColor="text1"/>
          <w:szCs w:val="21"/>
        </w:rPr>
        <w:t>份额</w:t>
      </w:r>
      <w:r w:rsidRPr="00490741">
        <w:rPr>
          <w:rFonts w:asciiTheme="minorEastAsia" w:eastAsiaTheme="minorEastAsia" w:hAnsiTheme="minorEastAsia" w:hint="eastAsia"/>
          <w:color w:val="000000" w:themeColor="text1"/>
          <w:szCs w:val="21"/>
        </w:rPr>
        <w:t>持有人大会，</w:t>
      </w:r>
      <w:r w:rsidRPr="00490741">
        <w:rPr>
          <w:rFonts w:asciiTheme="minorEastAsia" w:eastAsiaTheme="minorEastAsia" w:hAnsiTheme="minorEastAsia"/>
          <w:color w:val="000000" w:themeColor="text1"/>
          <w:szCs w:val="21"/>
        </w:rPr>
        <w:t>对基金份额持有人大会审议事项行使表决权</w:t>
      </w:r>
      <w:r w:rsidRPr="00490741">
        <w:rPr>
          <w:rFonts w:asciiTheme="minorEastAsia" w:eastAsiaTheme="minorEastAsia" w:hAnsiTheme="minorEastAsia" w:hint="eastAsia"/>
          <w:color w:val="000000" w:themeColor="text1"/>
          <w:szCs w:val="21"/>
        </w:rPr>
        <w:t>；</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6</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color w:val="000000" w:themeColor="text1"/>
          <w:szCs w:val="21"/>
        </w:rPr>
        <w:t>查阅或者复制公开披露的基金信息资料；</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7</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color w:val="000000" w:themeColor="text1"/>
          <w:szCs w:val="21"/>
        </w:rPr>
        <w:t>监督基金管理人的投资运作</w:t>
      </w:r>
      <w:r w:rsidRPr="00490741">
        <w:rPr>
          <w:rFonts w:asciiTheme="minorEastAsia" w:eastAsiaTheme="minorEastAsia" w:hAnsiTheme="minorEastAsia" w:hint="eastAsia"/>
          <w:color w:val="000000" w:themeColor="text1"/>
          <w:szCs w:val="21"/>
        </w:rPr>
        <w:t>；</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8</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对基金管理人、基金托管人、基金份额发售机构损害其合法权益的行为依法提起诉讼；</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9</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法律法规和《基金合同》规定的其他权利。</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、根据《基金法》、《运作办法》及其他有关规定，基金份额持有人的义务包括但不限于：</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遵守《基金合同》；</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缴纳基金认购、申购、赎回款项及法律法规和《基金合同》所规定的费用；</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在其持有的基金份额范围内，承担基金亏损或者《基金合同》终止的有限责任；</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不从事任何有损基金及其他《基金合同》当事人</w:t>
      </w:r>
      <w:r w:rsidRPr="00490741">
        <w:rPr>
          <w:rFonts w:asciiTheme="minorEastAsia" w:eastAsiaTheme="minorEastAsia" w:hAnsiTheme="minorEastAsia"/>
          <w:color w:val="000000" w:themeColor="text1"/>
          <w:szCs w:val="21"/>
        </w:rPr>
        <w:t>合法权益</w:t>
      </w:r>
      <w:r w:rsidRPr="00490741">
        <w:rPr>
          <w:rFonts w:asciiTheme="minorEastAsia" w:eastAsiaTheme="minorEastAsia" w:hAnsiTheme="minorEastAsia" w:hint="eastAsia"/>
          <w:color w:val="000000" w:themeColor="text1"/>
          <w:szCs w:val="21"/>
        </w:rPr>
        <w:t>的活动；</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5</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返还在基金交易过程中因任何原因，自基金管理人、基金托管人及代销机构处获得的不当得利；</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6</w:t>
      </w:r>
      <w:r w:rsidRPr="00490741">
        <w:rPr>
          <w:rFonts w:asciiTheme="minorEastAsia" w:eastAsiaTheme="minorEastAsia" w:hAnsiTheme="minorEastAsia" w:hint="eastAsia"/>
          <w:color w:val="000000" w:themeColor="text1"/>
          <w:szCs w:val="21"/>
        </w:rPr>
        <w:t>）执行生效的基金份额持有人大会的决定；</w:t>
      </w:r>
    </w:p>
    <w:p w:rsidR="0002608C" w:rsidRPr="00490741" w:rsidP="00107648">
      <w:pPr>
        <w:snapToGrid w:val="0"/>
        <w:spacing w:line="360" w:lineRule="auto"/>
        <w:ind w:firstLine="420" w:firstLineChars="200"/>
        <w:rPr>
          <w:rFonts w:asciiTheme="minorEastAsia" w:eastAsiaTheme="minorEastAsia" w:hAnsiTheme="minorEastAsia"/>
          <w:b/>
          <w:bCs/>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7</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ab/>
      </w:r>
      <w:r w:rsidRPr="00490741">
        <w:rPr>
          <w:rFonts w:asciiTheme="minorEastAsia" w:eastAsiaTheme="minorEastAsia" w:hAnsiTheme="minorEastAsia" w:hint="eastAsia"/>
          <w:color w:val="000000" w:themeColor="text1"/>
          <w:szCs w:val="21"/>
        </w:rPr>
        <w:t>法律法规和《基金合同》规定的其他义务。</w:t>
      </w:r>
    </w:p>
    <w:p w:rsidR="0002608C" w:rsidRPr="00490741" w:rsidP="00107648">
      <w:pPr>
        <w:pStyle w:val="Heading2"/>
        <w:adjustRightInd w:val="0"/>
        <w:snapToGrid w:val="0"/>
        <w:spacing w:beforeLines="0" w:afterLines="0" w:line="360" w:lineRule="auto"/>
        <w:ind w:firstLine="0" w:firstLineChars="0"/>
        <w:rPr>
          <w:rFonts w:asciiTheme="minorEastAsia" w:eastAsiaTheme="minorEastAsia" w:hAnsiTheme="minorEastAsia"/>
          <w:color w:val="000000" w:themeColor="text1"/>
        </w:rPr>
      </w:pPr>
      <w:bookmarkStart w:id="183" w:name="_Toc114237476"/>
      <w:r w:rsidRPr="00490741">
        <w:rPr>
          <w:rFonts w:asciiTheme="minorEastAsia" w:eastAsiaTheme="minorEastAsia" w:hAnsiTheme="minorEastAsia" w:hint="eastAsia"/>
          <w:b w:val="0"/>
          <w:bCs/>
          <w:color w:val="000000" w:themeColor="text1"/>
        </w:rPr>
        <w:t>（五）基金份额持有人大会</w:t>
      </w:r>
      <w:bookmarkEnd w:id="183"/>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sidR="00CE2F50">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基金份额持有人大会由基金份额持有人或基金份额持有人的合法授权代表共同组成。基金份额持有人持有的每一基金份额拥有平等的投票权。</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sidR="00CE2F50">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召开事由</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）当出现或需要决定下列事由之一的，应当召开基金份额持有人大会：</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）终止《基金合同》；</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）更换基金管理人；</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）更换基金托管人；</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）转换基金运作方式；</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5</w:t>
      </w:r>
      <w:r w:rsidRPr="00490741">
        <w:rPr>
          <w:rFonts w:asciiTheme="minorEastAsia" w:eastAsiaTheme="minorEastAsia" w:hAnsiTheme="minorEastAsia" w:hint="eastAsia"/>
          <w:color w:val="000000" w:themeColor="text1"/>
          <w:szCs w:val="21"/>
        </w:rPr>
        <w:t>）提高基金管理人、基金托管人的报酬标准；</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6</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变更基金类别</w:t>
      </w:r>
      <w:r w:rsidRPr="00490741">
        <w:rPr>
          <w:rFonts w:asciiTheme="minorEastAsia" w:eastAsiaTheme="minorEastAsia" w:hAnsiTheme="minorEastAsia" w:hint="eastAsia"/>
          <w:color w:val="000000" w:themeColor="text1"/>
          <w:szCs w:val="21"/>
        </w:rPr>
        <w:t>；</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7</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变更基金投资目标、范围或策略</w:t>
      </w:r>
      <w:r w:rsidRPr="00490741">
        <w:rPr>
          <w:rFonts w:asciiTheme="minorEastAsia" w:eastAsiaTheme="minorEastAsia" w:hAnsiTheme="minorEastAsia" w:hint="eastAsia"/>
          <w:color w:val="000000" w:themeColor="text1"/>
          <w:szCs w:val="21"/>
        </w:rPr>
        <w:t>；</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8</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变更基金份额持有人大会程序</w:t>
      </w:r>
      <w:r w:rsidRPr="00490741">
        <w:rPr>
          <w:rFonts w:asciiTheme="minorEastAsia" w:eastAsiaTheme="minorEastAsia" w:hAnsiTheme="minorEastAsia" w:hint="eastAsia"/>
          <w:color w:val="000000" w:themeColor="text1"/>
          <w:szCs w:val="21"/>
        </w:rPr>
        <w:t>；</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9</w:t>
      </w:r>
      <w:r w:rsidRPr="00490741">
        <w:rPr>
          <w:rFonts w:asciiTheme="minorEastAsia" w:eastAsiaTheme="minorEastAsia" w:hAnsiTheme="minorEastAsia" w:hint="eastAsia"/>
          <w:color w:val="000000" w:themeColor="text1"/>
          <w:szCs w:val="21"/>
        </w:rPr>
        <w:t>）对基金当事人权利和义务产生重大影响的事项；</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10</w:t>
      </w:r>
      <w:r w:rsidRPr="00490741">
        <w:rPr>
          <w:rFonts w:asciiTheme="minorEastAsia" w:eastAsiaTheme="minorEastAsia" w:hAnsiTheme="minorEastAsia" w:hint="eastAsia"/>
          <w:color w:val="000000" w:themeColor="text1"/>
          <w:szCs w:val="21"/>
        </w:rPr>
        <w:t>）基金管理人或基金托管人要求召开基金份额持有人大会；</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11</w:t>
      </w:r>
      <w:r w:rsidRPr="00490741">
        <w:rPr>
          <w:rFonts w:asciiTheme="minorEastAsia" w:eastAsiaTheme="minorEastAsia" w:hAnsiTheme="minorEastAsia" w:hint="eastAsia"/>
          <w:color w:val="000000" w:themeColor="text1"/>
          <w:szCs w:val="21"/>
        </w:rPr>
        <w:t>）单独或合计持有本基金总份额</w:t>
      </w:r>
      <w:r w:rsidRPr="00490741">
        <w:rPr>
          <w:rFonts w:asciiTheme="minorEastAsia" w:eastAsiaTheme="minorEastAsia" w:hAnsiTheme="minorEastAsia" w:hint="eastAsia"/>
          <w:color w:val="000000" w:themeColor="text1"/>
          <w:szCs w:val="21"/>
        </w:rPr>
        <w:t>10</w:t>
      </w:r>
      <w:r w:rsidRPr="00490741">
        <w:rPr>
          <w:rFonts w:asciiTheme="minorEastAsia" w:eastAsiaTheme="minorEastAsia" w:hAnsiTheme="minorEastAsia" w:hint="eastAsia"/>
          <w:color w:val="000000" w:themeColor="text1"/>
          <w:szCs w:val="21"/>
        </w:rPr>
        <w:t>％以上（含</w:t>
      </w:r>
      <w:r w:rsidRPr="00490741">
        <w:rPr>
          <w:rFonts w:asciiTheme="minorEastAsia" w:eastAsiaTheme="minorEastAsia" w:hAnsiTheme="minorEastAsia" w:hint="eastAsia"/>
          <w:color w:val="000000" w:themeColor="text1"/>
          <w:szCs w:val="21"/>
        </w:rPr>
        <w:t>10</w:t>
      </w:r>
      <w:r w:rsidRPr="00490741">
        <w:rPr>
          <w:rFonts w:asciiTheme="minorEastAsia" w:eastAsiaTheme="minorEastAsia" w:hAnsiTheme="minorEastAsia" w:hint="eastAsia"/>
          <w:color w:val="000000" w:themeColor="text1"/>
          <w:szCs w:val="21"/>
        </w:rPr>
        <w:t>％）基金份额的基金份额持有人（以基金管理人收到提议当日的基金份额计算，下同）就涉及本基金的同一事项书面要求召开基金份额持有人大会；</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12</w:t>
      </w:r>
      <w:r w:rsidRPr="00490741">
        <w:rPr>
          <w:rFonts w:asciiTheme="minorEastAsia" w:eastAsiaTheme="minorEastAsia" w:hAnsiTheme="minorEastAsia" w:hint="eastAsia"/>
          <w:color w:val="000000" w:themeColor="text1"/>
          <w:szCs w:val="21"/>
        </w:rPr>
        <w:t>）法律法规、《基金合同》或中国证监会规定的其他应当召开基金份额持有人大会的事项。</w:t>
      </w:r>
    </w:p>
    <w:p w:rsidR="0002608C" w:rsidRPr="00490741" w:rsidP="00107648">
      <w:pPr>
        <w:adjustRightInd w:val="0"/>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）以下情况可由基金管理人和基金托管人协商后修改，不需召开基金份额持有人大会：</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）调低基金管理费、基金托管费；</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）法律法规允许增加</w:t>
      </w:r>
      <w:r w:rsidRPr="00490741">
        <w:rPr>
          <w:rFonts w:asciiTheme="minorEastAsia" w:eastAsiaTheme="minorEastAsia" w:hAnsiTheme="minorEastAsia" w:hint="eastAsia"/>
          <w:color w:val="000000" w:themeColor="text1"/>
          <w:szCs w:val="21"/>
        </w:rPr>
        <w:t>的基金费用的收取；</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）调低本基金的申购费率、赎回费率或在《基金合同》规定的范围内调整收费方式；</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）因相应的法律法规发生变动而应当对《基金合同》进行修改；</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5</w:t>
      </w:r>
      <w:r w:rsidRPr="00490741">
        <w:rPr>
          <w:rFonts w:asciiTheme="minorEastAsia" w:eastAsiaTheme="minorEastAsia" w:hAnsiTheme="minorEastAsia" w:hint="eastAsia"/>
          <w:color w:val="000000" w:themeColor="text1"/>
          <w:szCs w:val="21"/>
        </w:rPr>
        <w:t>）对《基金合同》的修改对基金份额持有人利益无实质性不利影响或修改不涉及基金合同当事人的权利义务；</w:t>
      </w:r>
    </w:p>
    <w:p w:rsidR="0002608C" w:rsidRPr="00490741" w:rsidP="00107648">
      <w:pPr>
        <w:snapToGrid w:val="0"/>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szCs w:val="21"/>
        </w:rPr>
        <w:t>6</w:t>
      </w:r>
      <w:r w:rsidRPr="00490741">
        <w:rPr>
          <w:rFonts w:asciiTheme="minorEastAsia" w:eastAsiaTheme="minorEastAsia" w:hAnsiTheme="minorEastAsia" w:hint="eastAsia"/>
          <w:color w:val="000000" w:themeColor="text1"/>
          <w:szCs w:val="21"/>
        </w:rPr>
        <w:t>）除按照法律法规和《基金合同》规定应当召开基金份额持有人大会的以外的其他情形。</w:t>
      </w:r>
    </w:p>
    <w:p w:rsidR="0002608C" w:rsidRPr="00490741" w:rsidP="00107648">
      <w:pPr>
        <w:adjustRightInd w:val="0"/>
        <w:snapToGrid w:val="0"/>
        <w:spacing w:line="360" w:lineRule="auto"/>
        <w:ind w:firstLine="42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szCs w:val="21"/>
        </w:rPr>
        <w:t>3</w:t>
      </w:r>
      <w:r w:rsidRPr="00490741" w:rsidR="00CE2F50">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会议召集人及召集方式</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）除法律法规规定或《基金合同》另有约定外，基金份额持有人大会由基金管理人召集；</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）基金管理人未按规定召集或不能召集时，由基金托管人召集；</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基金托管人认为有必要召开基金份额持有人大会的，应当向基金管理人提出书面提议。基金管理人应当自收到书面提议之日起</w:t>
      </w:r>
      <w:r w:rsidRPr="00490741">
        <w:rPr>
          <w:rFonts w:asciiTheme="minorEastAsia" w:eastAsiaTheme="minorEastAsia" w:hAnsiTheme="minorEastAsia" w:hint="eastAsia"/>
          <w:color w:val="000000" w:themeColor="text1"/>
          <w:szCs w:val="21"/>
        </w:rPr>
        <w:t>10</w:t>
      </w:r>
      <w:r w:rsidRPr="00490741">
        <w:rPr>
          <w:rFonts w:asciiTheme="minorEastAsia" w:eastAsiaTheme="minorEastAsia" w:hAnsiTheme="minorEastAsia"/>
          <w:color w:val="000000" w:themeColor="text1"/>
          <w:szCs w:val="21"/>
        </w:rPr>
        <w:t>日内决定是否召集，并书面告知基金托管人。基金管理人决定召集的，应当自出具书面决定之日起</w:t>
      </w:r>
      <w:r w:rsidRPr="00490741">
        <w:rPr>
          <w:rFonts w:asciiTheme="minorEastAsia" w:eastAsiaTheme="minorEastAsia" w:hAnsiTheme="minorEastAsia" w:hint="eastAsia"/>
          <w:color w:val="000000" w:themeColor="text1"/>
          <w:szCs w:val="21"/>
        </w:rPr>
        <w:t>60</w:t>
      </w:r>
      <w:r w:rsidRPr="00490741">
        <w:rPr>
          <w:rFonts w:asciiTheme="minorEastAsia" w:eastAsiaTheme="minorEastAsia" w:hAnsiTheme="minorEastAsia"/>
          <w:color w:val="000000" w:themeColor="text1"/>
          <w:szCs w:val="21"/>
        </w:rPr>
        <w:t>日内召开；基金管理人决定不召集，基金托管人仍认为有必要召开的，应当</w:t>
      </w:r>
      <w:r w:rsidRPr="00490741">
        <w:rPr>
          <w:rFonts w:asciiTheme="minorEastAsia" w:eastAsiaTheme="minorEastAsia" w:hAnsiTheme="minorEastAsia" w:hint="eastAsia"/>
          <w:color w:val="000000" w:themeColor="text1"/>
          <w:szCs w:val="21"/>
        </w:rPr>
        <w:t>由基金托管人</w:t>
      </w:r>
      <w:r w:rsidRPr="00490741">
        <w:rPr>
          <w:rFonts w:asciiTheme="minorEastAsia" w:eastAsiaTheme="minorEastAsia" w:hAnsiTheme="minorEastAsia"/>
          <w:color w:val="000000" w:themeColor="text1"/>
          <w:szCs w:val="21"/>
        </w:rPr>
        <w:t>自行召集</w:t>
      </w:r>
      <w:r w:rsidRPr="00490741" w:rsidR="00B148D8">
        <w:rPr>
          <w:rFonts w:asciiTheme="minorEastAsia" w:eastAsiaTheme="minorEastAsia" w:hAnsiTheme="minorEastAsia" w:hint="eastAsia"/>
          <w:color w:val="000000" w:themeColor="text1"/>
          <w:szCs w:val="21"/>
        </w:rPr>
        <w:t>，并自出具书面决定之日起六十日内召开并告知基金管理人，基金管理人应当配合</w:t>
      </w:r>
      <w:r w:rsidRPr="00490741">
        <w:rPr>
          <w:rFonts w:asciiTheme="minorEastAsia" w:eastAsiaTheme="minorEastAsia" w:hAnsiTheme="minorEastAsia"/>
          <w:color w:val="000000" w:themeColor="text1"/>
          <w:szCs w:val="21"/>
        </w:rPr>
        <w:t>。</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）代表基金份额</w:t>
      </w:r>
      <w:r w:rsidRPr="00490741">
        <w:rPr>
          <w:rFonts w:asciiTheme="minorEastAsia" w:eastAsiaTheme="minorEastAsia" w:hAnsiTheme="minorEastAsia" w:hint="eastAsia"/>
          <w:color w:val="000000" w:themeColor="text1"/>
          <w:szCs w:val="21"/>
        </w:rPr>
        <w:t>10%</w:t>
      </w:r>
      <w:r w:rsidRPr="00490741">
        <w:rPr>
          <w:rFonts w:asciiTheme="minorEastAsia" w:eastAsiaTheme="minorEastAsia" w:hAnsiTheme="minorEastAsia" w:hint="eastAsia"/>
          <w:color w:val="000000" w:themeColor="text1"/>
          <w:szCs w:val="21"/>
        </w:rPr>
        <w:t>以上（含</w:t>
      </w:r>
      <w:r w:rsidRPr="00490741">
        <w:rPr>
          <w:rFonts w:asciiTheme="minorEastAsia" w:eastAsiaTheme="minorEastAsia" w:hAnsiTheme="minorEastAsia" w:hint="eastAsia"/>
          <w:color w:val="000000" w:themeColor="text1"/>
          <w:szCs w:val="21"/>
        </w:rPr>
        <w:t>10%</w:t>
      </w:r>
      <w:r w:rsidRPr="00490741">
        <w:rPr>
          <w:rFonts w:asciiTheme="minorEastAsia" w:eastAsiaTheme="minorEastAsia" w:hAnsiTheme="minorEastAsia" w:hint="eastAsia"/>
          <w:color w:val="000000" w:themeColor="text1"/>
          <w:szCs w:val="21"/>
        </w:rPr>
        <w:t>）的基金份额持有人就同一事项书面要求召开基金份额持有人大会，</w:t>
      </w:r>
      <w:r w:rsidRPr="00490741">
        <w:rPr>
          <w:rFonts w:asciiTheme="minorEastAsia" w:eastAsiaTheme="minorEastAsia" w:hAnsiTheme="minorEastAsia"/>
          <w:color w:val="000000" w:themeColor="text1"/>
          <w:szCs w:val="21"/>
        </w:rPr>
        <w:t>应当向基金管理人提出书面提议。基金管理人应当自收到</w:t>
      </w:r>
      <w:r w:rsidRPr="00490741">
        <w:rPr>
          <w:rFonts w:asciiTheme="minorEastAsia" w:eastAsiaTheme="minorEastAsia" w:hAnsiTheme="minorEastAsia"/>
          <w:color w:val="000000" w:themeColor="text1"/>
          <w:szCs w:val="21"/>
        </w:rPr>
        <w:t>书面提议之日起</w:t>
      </w:r>
      <w:r w:rsidRPr="00490741">
        <w:rPr>
          <w:rFonts w:asciiTheme="minorEastAsia" w:eastAsiaTheme="minorEastAsia" w:hAnsiTheme="minorEastAsia" w:hint="eastAsia"/>
          <w:color w:val="000000" w:themeColor="text1"/>
          <w:szCs w:val="21"/>
        </w:rPr>
        <w:t>10</w:t>
      </w:r>
      <w:r w:rsidRPr="00490741">
        <w:rPr>
          <w:rFonts w:asciiTheme="minorEastAsia" w:eastAsiaTheme="minorEastAsia" w:hAnsiTheme="minorEastAsia"/>
          <w:color w:val="000000" w:themeColor="text1"/>
          <w:szCs w:val="21"/>
        </w:rPr>
        <w:t>日内决定是否召集，并书面告知提出提议的基金份额持有人代表和基金托管人。基金管理人决定召集的，应当自出具书面决定之日起</w:t>
      </w:r>
      <w:r w:rsidRPr="00490741">
        <w:rPr>
          <w:rFonts w:asciiTheme="minorEastAsia" w:eastAsiaTheme="minorEastAsia" w:hAnsiTheme="minorEastAsia" w:hint="eastAsia"/>
          <w:color w:val="000000" w:themeColor="text1"/>
          <w:szCs w:val="21"/>
        </w:rPr>
        <w:t>60</w:t>
      </w:r>
      <w:r w:rsidRPr="00490741">
        <w:rPr>
          <w:rFonts w:asciiTheme="minorEastAsia" w:eastAsiaTheme="minorEastAsia" w:hAnsiTheme="minorEastAsia"/>
          <w:color w:val="000000" w:themeColor="text1"/>
          <w:szCs w:val="21"/>
        </w:rPr>
        <w:t>日内召开；基金管理人决定不召集，代表基金份额</w:t>
      </w:r>
      <w:r w:rsidRPr="00490741">
        <w:rPr>
          <w:rFonts w:asciiTheme="minorEastAsia" w:eastAsiaTheme="minorEastAsia" w:hAnsiTheme="minorEastAsia" w:hint="eastAsia"/>
          <w:color w:val="000000" w:themeColor="text1"/>
          <w:szCs w:val="21"/>
        </w:rPr>
        <w:t>10%</w:t>
      </w:r>
      <w:r w:rsidRPr="00490741">
        <w:rPr>
          <w:rFonts w:asciiTheme="minorEastAsia" w:eastAsiaTheme="minorEastAsia" w:hAnsiTheme="minorEastAsia"/>
          <w:color w:val="000000" w:themeColor="text1"/>
          <w:szCs w:val="21"/>
        </w:rPr>
        <w:t>以上</w:t>
      </w:r>
      <w:r w:rsidRPr="00490741">
        <w:rPr>
          <w:rFonts w:asciiTheme="minorEastAsia" w:eastAsiaTheme="minorEastAsia" w:hAnsiTheme="minorEastAsia" w:hint="eastAsia"/>
          <w:color w:val="000000" w:themeColor="text1"/>
          <w:szCs w:val="21"/>
        </w:rPr>
        <w:t>（含</w:t>
      </w:r>
      <w:r w:rsidRPr="00490741">
        <w:rPr>
          <w:rFonts w:asciiTheme="minorEastAsia" w:eastAsiaTheme="minorEastAsia" w:hAnsiTheme="minorEastAsia" w:hint="eastAsia"/>
          <w:color w:val="000000" w:themeColor="text1"/>
          <w:szCs w:val="21"/>
        </w:rPr>
        <w:t>10%</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的基金份额持有人仍认为有必要召开的，应当向基金托管人提出书面提议。基金托管人应当自收到书面提议之日起</w:t>
      </w:r>
      <w:r w:rsidRPr="00490741">
        <w:rPr>
          <w:rFonts w:asciiTheme="minorEastAsia" w:eastAsiaTheme="minorEastAsia" w:hAnsiTheme="minorEastAsia" w:hint="eastAsia"/>
          <w:color w:val="000000" w:themeColor="text1"/>
          <w:szCs w:val="21"/>
        </w:rPr>
        <w:t>10</w:t>
      </w:r>
      <w:r w:rsidRPr="00490741">
        <w:rPr>
          <w:rFonts w:asciiTheme="minorEastAsia" w:eastAsiaTheme="minorEastAsia" w:hAnsiTheme="minorEastAsia"/>
          <w:color w:val="000000" w:themeColor="text1"/>
          <w:szCs w:val="21"/>
        </w:rPr>
        <w:t>日内决定是否召集，并书面告知提出提议的基金份额持有人代表和基金管理人；基金托管人决定召集的，应当自出具书面决定之日起</w:t>
      </w:r>
      <w:r w:rsidRPr="00490741">
        <w:rPr>
          <w:rFonts w:asciiTheme="minorEastAsia" w:eastAsiaTheme="minorEastAsia" w:hAnsiTheme="minorEastAsia" w:hint="eastAsia"/>
          <w:color w:val="000000" w:themeColor="text1"/>
          <w:szCs w:val="21"/>
        </w:rPr>
        <w:t>60</w:t>
      </w:r>
      <w:r w:rsidRPr="00490741">
        <w:rPr>
          <w:rFonts w:asciiTheme="minorEastAsia" w:eastAsiaTheme="minorEastAsia" w:hAnsiTheme="minorEastAsia"/>
          <w:color w:val="000000" w:themeColor="text1"/>
          <w:szCs w:val="21"/>
        </w:rPr>
        <w:t>日内召开。</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5</w:t>
      </w:r>
      <w:r w:rsidRPr="00490741">
        <w:rPr>
          <w:rFonts w:asciiTheme="minorEastAsia" w:eastAsiaTheme="minorEastAsia" w:hAnsiTheme="minorEastAsia" w:hint="eastAsia"/>
          <w:color w:val="000000" w:themeColor="text1"/>
          <w:szCs w:val="21"/>
        </w:rPr>
        <w:t>）如在上述第</w:t>
      </w: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条情况下，基金管理人、基金托管人都不召集的，单独或合计代</w:t>
      </w:r>
      <w:r w:rsidRPr="00490741">
        <w:rPr>
          <w:rFonts w:asciiTheme="minorEastAsia" w:eastAsiaTheme="minorEastAsia" w:hAnsiTheme="minorEastAsia" w:hint="eastAsia"/>
          <w:color w:val="000000" w:themeColor="text1"/>
          <w:szCs w:val="21"/>
        </w:rPr>
        <w:t>表基金份额</w:t>
      </w:r>
      <w:r w:rsidRPr="00490741">
        <w:rPr>
          <w:rFonts w:asciiTheme="minorEastAsia" w:eastAsiaTheme="minorEastAsia" w:hAnsiTheme="minorEastAsia" w:hint="eastAsia"/>
          <w:color w:val="000000" w:themeColor="text1"/>
          <w:szCs w:val="21"/>
        </w:rPr>
        <w:t>10%</w:t>
      </w:r>
      <w:r w:rsidRPr="00490741">
        <w:rPr>
          <w:rFonts w:asciiTheme="minorEastAsia" w:eastAsiaTheme="minorEastAsia" w:hAnsiTheme="minorEastAsia" w:hint="eastAsia"/>
          <w:color w:val="000000" w:themeColor="text1"/>
          <w:szCs w:val="21"/>
        </w:rPr>
        <w:t>以上（含</w:t>
      </w:r>
      <w:r w:rsidRPr="00490741">
        <w:rPr>
          <w:rFonts w:asciiTheme="minorEastAsia" w:eastAsiaTheme="minorEastAsia" w:hAnsiTheme="minorEastAsia" w:hint="eastAsia"/>
          <w:color w:val="000000" w:themeColor="text1"/>
          <w:szCs w:val="21"/>
        </w:rPr>
        <w:t>10%</w:t>
      </w:r>
      <w:r w:rsidRPr="00490741">
        <w:rPr>
          <w:rFonts w:asciiTheme="minorEastAsia" w:eastAsiaTheme="minorEastAsia" w:hAnsiTheme="minorEastAsia" w:hint="eastAsia"/>
          <w:color w:val="000000" w:themeColor="text1"/>
          <w:szCs w:val="21"/>
        </w:rPr>
        <w:t>）的基金份额持有人有权自行召集，并至少提前</w:t>
      </w:r>
      <w:r w:rsidRPr="00490741">
        <w:rPr>
          <w:rFonts w:asciiTheme="minorEastAsia" w:eastAsiaTheme="minorEastAsia" w:hAnsiTheme="minorEastAsia" w:hint="eastAsia"/>
          <w:color w:val="000000" w:themeColor="text1"/>
          <w:szCs w:val="21"/>
        </w:rPr>
        <w:t>30</w:t>
      </w:r>
      <w:r w:rsidRPr="00490741">
        <w:rPr>
          <w:rFonts w:asciiTheme="minorEastAsia" w:eastAsiaTheme="minorEastAsia" w:hAnsiTheme="minorEastAsia" w:hint="eastAsia"/>
          <w:color w:val="000000" w:themeColor="text1"/>
          <w:szCs w:val="21"/>
        </w:rPr>
        <w:t>日报中国证监会备案。</w:t>
      </w:r>
      <w:r w:rsidRPr="00490741">
        <w:rPr>
          <w:rFonts w:asciiTheme="minorEastAsia" w:eastAsiaTheme="minorEastAsia" w:hAnsiTheme="minorEastAsia" w:hint="eastAsia"/>
          <w:color w:val="000000" w:themeColor="text1"/>
          <w:sz w:val="24"/>
          <w:szCs w:val="21"/>
        </w:rPr>
        <w:t>基金份额持有人依法自行召集基金份额持有人大会的，基金管理人、基金托管人应当配合，不得阻碍、干扰。</w:t>
      </w:r>
    </w:p>
    <w:p w:rsidR="0002608C" w:rsidRPr="00490741" w:rsidP="00107648">
      <w:pPr>
        <w:adjustRightInd w:val="0"/>
        <w:snapToGrid w:val="0"/>
        <w:spacing w:line="360" w:lineRule="auto"/>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6</w:t>
      </w:r>
      <w:r w:rsidRPr="00490741">
        <w:rPr>
          <w:rFonts w:asciiTheme="minorEastAsia" w:eastAsiaTheme="minorEastAsia" w:hAnsiTheme="minorEastAsia" w:hint="eastAsia"/>
          <w:color w:val="000000" w:themeColor="text1"/>
          <w:szCs w:val="21"/>
        </w:rPr>
        <w:t>）基金份额持有人会议的召集人负责选择确定开会时间、地点、方式和权益登记日。</w:t>
      </w:r>
    </w:p>
    <w:p w:rsidR="0002608C" w:rsidRPr="00490741" w:rsidP="00107648">
      <w:pPr>
        <w:adjustRightInd w:val="0"/>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4</w:t>
      </w:r>
      <w:r w:rsidRPr="00490741" w:rsidR="00CE2F50">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召开基金份额持有人大会的通知时间、通知内容、通知方式</w:t>
      </w:r>
    </w:p>
    <w:p w:rsidR="0002608C" w:rsidRPr="00490741" w:rsidP="00107648">
      <w:pPr>
        <w:adjustRightInd w:val="0"/>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）召开基金份额持有人大会，召集人应于会议召开前</w:t>
      </w: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color w:val="000000" w:themeColor="text1"/>
          <w:szCs w:val="21"/>
        </w:rPr>
        <w:t>0</w:t>
      </w:r>
      <w:r w:rsidRPr="00490741">
        <w:rPr>
          <w:rFonts w:asciiTheme="minorEastAsia" w:eastAsiaTheme="minorEastAsia" w:hAnsiTheme="minorEastAsia" w:hint="eastAsia"/>
          <w:color w:val="000000" w:themeColor="text1"/>
          <w:szCs w:val="21"/>
        </w:rPr>
        <w:t>天，在</w:t>
      </w:r>
      <w:r w:rsidRPr="00490741" w:rsidR="00AD6F54">
        <w:rPr>
          <w:rFonts w:asciiTheme="minorEastAsia" w:eastAsiaTheme="minorEastAsia" w:hAnsiTheme="minorEastAsia" w:hint="eastAsia"/>
          <w:color w:val="000000" w:themeColor="text1"/>
          <w:szCs w:val="21"/>
        </w:rPr>
        <w:t>指定媒介</w:t>
      </w:r>
      <w:r w:rsidRPr="00490741">
        <w:rPr>
          <w:rFonts w:asciiTheme="minorEastAsia" w:eastAsiaTheme="minorEastAsia" w:hAnsiTheme="minorEastAsia" w:hint="eastAsia"/>
          <w:color w:val="000000" w:themeColor="text1"/>
          <w:szCs w:val="21"/>
        </w:rPr>
        <w:t>公告。基金份额持有人大会通知应至少载明以下内容：</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）会议召开的时间、地点、方式；</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）会议拟审议的事项、议事程序；</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）有权出席基金份额持有人大会的基金份额持有人的权益登记日；</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）代理投票授权委托书送达时间和地点；</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5</w:t>
      </w:r>
      <w:r w:rsidRPr="00490741">
        <w:rPr>
          <w:rFonts w:asciiTheme="minorEastAsia" w:eastAsiaTheme="minorEastAsia" w:hAnsiTheme="minorEastAsia" w:hint="eastAsia"/>
          <w:color w:val="000000" w:themeColor="text1"/>
          <w:szCs w:val="21"/>
        </w:rPr>
        <w:t>）会务常设联系人姓名及联系电话。</w:t>
      </w:r>
    </w:p>
    <w:p w:rsidR="0002608C" w:rsidRPr="00490741" w:rsidP="00107648">
      <w:pPr>
        <w:adjustRightInd w:val="0"/>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）采</w:t>
      </w:r>
      <w:r w:rsidRPr="00490741">
        <w:rPr>
          <w:rFonts w:asciiTheme="minorEastAsia" w:eastAsiaTheme="minorEastAsia" w:hAnsiTheme="minorEastAsia"/>
          <w:color w:val="000000" w:themeColor="text1"/>
          <w:szCs w:val="21"/>
        </w:rPr>
        <w:t>取通讯开会方式并进行表决的情况下，</w:t>
      </w:r>
      <w:r w:rsidRPr="00490741">
        <w:rPr>
          <w:rFonts w:asciiTheme="minorEastAsia" w:eastAsiaTheme="minorEastAsia" w:hAnsiTheme="minorEastAsia" w:hint="eastAsia"/>
          <w:color w:val="000000" w:themeColor="text1"/>
          <w:szCs w:val="21"/>
        </w:rPr>
        <w:t>由会议召集人决定通讯方式和书面表决方式，并在会议通知中说明本次基金份额持有人大会所采取的具体通讯方式、委托的公证机关及其联系方式和联系人、书面表决意见寄交的截止时间和收取方式。</w:t>
      </w:r>
    </w:p>
    <w:p w:rsidR="0002608C" w:rsidRPr="00490741" w:rsidP="00107648">
      <w:pPr>
        <w:adjustRightInd w:val="0"/>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5</w:t>
      </w:r>
      <w:r w:rsidRPr="00490741" w:rsidR="00CE2F50">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基金份额持有人出席</w:t>
      </w:r>
      <w:r w:rsidRPr="00490741">
        <w:rPr>
          <w:rFonts w:asciiTheme="minorEastAsia" w:eastAsiaTheme="minorEastAsia" w:hAnsiTheme="minorEastAsia"/>
          <w:color w:val="000000" w:themeColor="text1"/>
          <w:szCs w:val="21"/>
        </w:rPr>
        <w:t>会议</w:t>
      </w:r>
      <w:r w:rsidRPr="00490741">
        <w:rPr>
          <w:rFonts w:asciiTheme="minorEastAsia" w:eastAsiaTheme="minorEastAsia" w:hAnsiTheme="minorEastAsia" w:hint="eastAsia"/>
          <w:color w:val="000000" w:themeColor="text1"/>
          <w:szCs w:val="21"/>
        </w:rPr>
        <w:t>的</w:t>
      </w:r>
      <w:r w:rsidRPr="00490741">
        <w:rPr>
          <w:rFonts w:asciiTheme="minorEastAsia" w:eastAsiaTheme="minorEastAsia" w:hAnsiTheme="minorEastAsia"/>
          <w:color w:val="000000" w:themeColor="text1"/>
          <w:szCs w:val="21"/>
        </w:rPr>
        <w:t>方式</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基金份额持有人大会</w:t>
      </w:r>
      <w:r w:rsidRPr="00490741">
        <w:rPr>
          <w:rFonts w:asciiTheme="minorEastAsia" w:eastAsiaTheme="minorEastAsia" w:hAnsiTheme="minorEastAsia" w:hint="eastAsia"/>
          <w:color w:val="000000" w:themeColor="text1"/>
          <w:szCs w:val="21"/>
        </w:rPr>
        <w:t>可通过现场开会方式或通讯开会方式召开。</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会议的召开方式由</w:t>
      </w:r>
      <w:r w:rsidRPr="00490741">
        <w:rPr>
          <w:rFonts w:asciiTheme="minorEastAsia" w:eastAsiaTheme="minorEastAsia" w:hAnsiTheme="minorEastAsia" w:hint="eastAsia"/>
          <w:color w:val="000000" w:themeColor="text1"/>
          <w:szCs w:val="21"/>
        </w:rPr>
        <w:t>会议</w:t>
      </w:r>
      <w:r w:rsidRPr="00490741">
        <w:rPr>
          <w:rFonts w:asciiTheme="minorEastAsia" w:eastAsiaTheme="minorEastAsia" w:hAnsiTheme="minorEastAsia"/>
          <w:color w:val="000000" w:themeColor="text1"/>
          <w:szCs w:val="21"/>
        </w:rPr>
        <w:t>召集人确定，但更换基金管理人和基金托管人必须以现场开会方式召开。</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现场开会。由基金份额持有人本人出席或以代理投票授权委托书委派代表出席，现场开会时基金管理人和基金托管人的授权代表应当</w:t>
      </w:r>
      <w:r w:rsidRPr="00490741">
        <w:rPr>
          <w:rFonts w:asciiTheme="minorEastAsia" w:eastAsiaTheme="minorEastAsia" w:hAnsiTheme="minorEastAsia" w:hint="eastAsia"/>
          <w:color w:val="000000" w:themeColor="text1"/>
          <w:szCs w:val="21"/>
        </w:rPr>
        <w:t>列席</w:t>
      </w:r>
      <w:r w:rsidRPr="00490741">
        <w:rPr>
          <w:rFonts w:asciiTheme="minorEastAsia" w:eastAsiaTheme="minorEastAsia" w:hAnsiTheme="minorEastAsia"/>
          <w:color w:val="000000" w:themeColor="text1"/>
          <w:szCs w:val="21"/>
        </w:rPr>
        <w:t>基金份额持有人大会</w:t>
      </w:r>
      <w:r w:rsidRPr="00490741">
        <w:rPr>
          <w:rFonts w:asciiTheme="minorEastAsia" w:eastAsiaTheme="minorEastAsia" w:hAnsiTheme="minorEastAsia" w:hint="eastAsia"/>
          <w:color w:val="000000" w:themeColor="text1"/>
          <w:szCs w:val="21"/>
        </w:rPr>
        <w:t>，基金管理人或托管人不派代表列席的，不影响表决效力</w:t>
      </w:r>
      <w:r w:rsidRPr="00490741">
        <w:rPr>
          <w:rFonts w:asciiTheme="minorEastAsia" w:eastAsiaTheme="minorEastAsia" w:hAnsiTheme="minorEastAsia"/>
          <w:color w:val="000000" w:themeColor="text1"/>
          <w:szCs w:val="21"/>
        </w:rPr>
        <w:t>。现场开会同时符合以下条件时，可以进行基金份额持有人大会议程：</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亲自出席会议者持有基金份额的凭证、受托出席会议者出具的委托人持有基金份额的凭证及委托人的代理投票授权委托书符合法律法规、《基金合同》和会议通知的规定；</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经核对，汇总到会者出示的在</w:t>
      </w:r>
      <w:r w:rsidRPr="00490741">
        <w:rPr>
          <w:rFonts w:asciiTheme="minorEastAsia" w:eastAsiaTheme="minorEastAsia" w:hAnsiTheme="minorEastAsia" w:hint="eastAsia"/>
          <w:color w:val="000000" w:themeColor="text1"/>
          <w:szCs w:val="21"/>
        </w:rPr>
        <w:t>权</w:t>
      </w:r>
      <w:r w:rsidRPr="00490741">
        <w:rPr>
          <w:rFonts w:asciiTheme="minorEastAsia" w:eastAsiaTheme="minorEastAsia" w:hAnsiTheme="minorEastAsia" w:hint="eastAsia"/>
          <w:color w:val="000000" w:themeColor="text1"/>
          <w:szCs w:val="21"/>
        </w:rPr>
        <w:t>益</w:t>
      </w:r>
      <w:r w:rsidRPr="00490741">
        <w:rPr>
          <w:rFonts w:asciiTheme="minorEastAsia" w:eastAsiaTheme="minorEastAsia" w:hAnsiTheme="minorEastAsia"/>
          <w:color w:val="000000" w:themeColor="text1"/>
          <w:szCs w:val="21"/>
        </w:rPr>
        <w:t>登记日持有基金份额的凭证显示，有效的基金份额</w:t>
      </w:r>
      <w:r w:rsidRPr="00490741">
        <w:rPr>
          <w:rFonts w:asciiTheme="minorEastAsia" w:eastAsiaTheme="minorEastAsia" w:hAnsiTheme="minorEastAsia" w:hint="eastAsia"/>
          <w:color w:val="000000" w:themeColor="text1"/>
          <w:szCs w:val="21"/>
        </w:rPr>
        <w:t>不少</w:t>
      </w:r>
      <w:r w:rsidRPr="00490741">
        <w:rPr>
          <w:rFonts w:asciiTheme="minorEastAsia" w:eastAsiaTheme="minorEastAsia" w:hAnsiTheme="minorEastAsia"/>
          <w:color w:val="000000" w:themeColor="text1"/>
          <w:szCs w:val="21"/>
        </w:rPr>
        <w:t>于本基金在</w:t>
      </w:r>
      <w:r w:rsidRPr="00490741">
        <w:rPr>
          <w:rFonts w:asciiTheme="minorEastAsia" w:eastAsiaTheme="minorEastAsia" w:hAnsiTheme="minorEastAsia" w:hint="eastAsia"/>
          <w:color w:val="000000" w:themeColor="text1"/>
          <w:szCs w:val="21"/>
        </w:rPr>
        <w:t>权益</w:t>
      </w:r>
      <w:r w:rsidRPr="00490741">
        <w:rPr>
          <w:rFonts w:asciiTheme="minorEastAsia" w:eastAsiaTheme="minorEastAsia" w:hAnsiTheme="minorEastAsia"/>
          <w:color w:val="000000" w:themeColor="text1"/>
          <w:szCs w:val="21"/>
        </w:rPr>
        <w:t>登记日基金总</w:t>
      </w:r>
      <w:r w:rsidRPr="00490741">
        <w:rPr>
          <w:rFonts w:asciiTheme="minorEastAsia" w:eastAsiaTheme="minorEastAsia" w:hAnsiTheme="minorEastAsia" w:hint="eastAsia"/>
          <w:color w:val="000000" w:themeColor="text1"/>
          <w:szCs w:val="21"/>
        </w:rPr>
        <w:t>份</w:t>
      </w:r>
      <w:r w:rsidRPr="00490741">
        <w:rPr>
          <w:rFonts w:asciiTheme="minorEastAsia" w:eastAsiaTheme="minorEastAsia" w:hAnsiTheme="minorEastAsia"/>
          <w:color w:val="000000" w:themeColor="text1"/>
          <w:szCs w:val="21"/>
        </w:rPr>
        <w:t>额的</w:t>
      </w:r>
      <w:r w:rsidRPr="00490741">
        <w:rPr>
          <w:rFonts w:asciiTheme="minorEastAsia" w:eastAsiaTheme="minorEastAsia" w:hAnsiTheme="minorEastAsia" w:hint="eastAsia"/>
          <w:color w:val="000000" w:themeColor="text1"/>
          <w:szCs w:val="21"/>
        </w:rPr>
        <w:t>50</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hint="eastAsia"/>
          <w:color w:val="000000" w:themeColor="text1"/>
          <w:szCs w:val="21"/>
        </w:rPr>
        <w:t>（含</w:t>
      </w:r>
      <w:r w:rsidRPr="00490741">
        <w:rPr>
          <w:rFonts w:asciiTheme="minorEastAsia" w:eastAsiaTheme="minorEastAsia" w:hAnsiTheme="minorEastAsia" w:hint="eastAsia"/>
          <w:color w:val="000000" w:themeColor="text1"/>
          <w:szCs w:val="21"/>
        </w:rPr>
        <w:t>50%</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通讯开会。</w:t>
      </w:r>
      <w:r w:rsidRPr="00490741">
        <w:rPr>
          <w:rFonts w:asciiTheme="minorEastAsia" w:eastAsiaTheme="minorEastAsia" w:hAnsiTheme="minorEastAsia" w:hint="eastAsia"/>
          <w:color w:val="000000" w:themeColor="text1"/>
          <w:szCs w:val="21"/>
        </w:rPr>
        <w:t>通讯开会系指基金份额持有人将其对表决事项的投票以书面形式在表决截止日以前送达至召集人指定的地址。</w:t>
      </w:r>
      <w:r w:rsidRPr="00490741">
        <w:rPr>
          <w:rFonts w:asciiTheme="minorEastAsia" w:eastAsiaTheme="minorEastAsia" w:hAnsiTheme="minorEastAsia"/>
          <w:color w:val="000000" w:themeColor="text1"/>
          <w:szCs w:val="21"/>
        </w:rPr>
        <w:t>通讯开会应以书面方式进行表决。</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在</w:t>
      </w:r>
      <w:r w:rsidRPr="00490741">
        <w:rPr>
          <w:rFonts w:asciiTheme="minorEastAsia" w:eastAsiaTheme="minorEastAsia" w:hAnsiTheme="minorEastAsia" w:hint="eastAsia"/>
          <w:color w:val="000000" w:themeColor="text1"/>
          <w:szCs w:val="21"/>
        </w:rPr>
        <w:t>同时</w:t>
      </w:r>
      <w:r w:rsidRPr="00490741">
        <w:rPr>
          <w:rFonts w:asciiTheme="minorEastAsia" w:eastAsiaTheme="minorEastAsia" w:hAnsiTheme="minorEastAsia"/>
          <w:color w:val="000000" w:themeColor="text1"/>
          <w:szCs w:val="21"/>
        </w:rPr>
        <w:t>符合以下条件时，通讯开会的方式视为有效：</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）会议召集人</w:t>
      </w:r>
      <w:r w:rsidRPr="00490741">
        <w:rPr>
          <w:rFonts w:asciiTheme="minorEastAsia" w:eastAsiaTheme="minorEastAsia" w:hAnsiTheme="minorEastAsia"/>
          <w:color w:val="000000" w:themeColor="text1"/>
          <w:szCs w:val="21"/>
        </w:rPr>
        <w:t>按《基金合同》规定公布会议通知后，在</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color w:val="000000" w:themeColor="text1"/>
          <w:szCs w:val="21"/>
        </w:rPr>
        <w:t>个工作日内连续公布相关提示性公告；</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）会议召集人</w:t>
      </w:r>
      <w:r w:rsidRPr="00490741">
        <w:rPr>
          <w:rFonts w:asciiTheme="minorEastAsia" w:eastAsiaTheme="minorEastAsia" w:hAnsiTheme="minorEastAsia"/>
          <w:color w:val="000000" w:themeColor="text1"/>
          <w:szCs w:val="21"/>
        </w:rPr>
        <w:t>在基金托管人</w:t>
      </w:r>
      <w:r w:rsidRPr="00490741">
        <w:rPr>
          <w:rFonts w:asciiTheme="minorEastAsia" w:eastAsiaTheme="minorEastAsia" w:hAnsiTheme="minorEastAsia" w:hint="eastAsia"/>
          <w:color w:val="000000" w:themeColor="text1"/>
          <w:szCs w:val="21"/>
        </w:rPr>
        <w:t>（如果基金托管人为召集人，则为基金管理人）</w:t>
      </w:r>
      <w:r w:rsidRPr="00490741">
        <w:rPr>
          <w:rFonts w:asciiTheme="minorEastAsia" w:eastAsiaTheme="minorEastAsia" w:hAnsiTheme="minorEastAsia"/>
          <w:color w:val="000000" w:themeColor="text1"/>
          <w:szCs w:val="21"/>
        </w:rPr>
        <w:t>和公证机关的监督下按照会议通知规定的方式收取基金份额持有人的</w:t>
      </w:r>
      <w:r w:rsidRPr="00490741">
        <w:rPr>
          <w:rFonts w:asciiTheme="minorEastAsia" w:eastAsiaTheme="minorEastAsia" w:hAnsiTheme="minorEastAsia"/>
          <w:color w:val="000000" w:themeColor="text1"/>
          <w:szCs w:val="21"/>
        </w:rPr>
        <w:t>书面表决意见；</w:t>
      </w:r>
      <w:r w:rsidRPr="00490741">
        <w:rPr>
          <w:rFonts w:asciiTheme="minorEastAsia" w:eastAsiaTheme="minorEastAsia" w:hAnsiTheme="minorEastAsia" w:hint="eastAsia"/>
          <w:color w:val="000000" w:themeColor="text1"/>
          <w:szCs w:val="21"/>
        </w:rPr>
        <w:t>基金托管人或基金管理人经通知不参加收取书面表决意见的，不影响表决效力</w:t>
      </w:r>
      <w:r w:rsidRPr="00490741">
        <w:rPr>
          <w:rFonts w:asciiTheme="minorEastAsia" w:eastAsiaTheme="minorEastAsia" w:hAnsiTheme="minorEastAsia"/>
          <w:color w:val="000000" w:themeColor="text1"/>
          <w:szCs w:val="21"/>
        </w:rPr>
        <w:t>；</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本人直接出具书面意见或授权他人代表出具书面意见的，基金份额持有人所持有的基金份额</w:t>
      </w:r>
      <w:r w:rsidRPr="00490741">
        <w:rPr>
          <w:rFonts w:asciiTheme="minorEastAsia" w:eastAsiaTheme="minorEastAsia" w:hAnsiTheme="minorEastAsia" w:hint="eastAsia"/>
          <w:color w:val="000000" w:themeColor="text1"/>
          <w:szCs w:val="21"/>
        </w:rPr>
        <w:t>不小</w:t>
      </w:r>
      <w:r w:rsidRPr="00490741">
        <w:rPr>
          <w:rFonts w:asciiTheme="minorEastAsia" w:eastAsiaTheme="minorEastAsia" w:hAnsiTheme="minorEastAsia"/>
          <w:color w:val="000000" w:themeColor="text1"/>
          <w:szCs w:val="21"/>
        </w:rPr>
        <w:t>于在</w:t>
      </w:r>
      <w:r w:rsidRPr="00490741">
        <w:rPr>
          <w:rFonts w:asciiTheme="minorEastAsia" w:eastAsiaTheme="minorEastAsia" w:hAnsiTheme="minorEastAsia" w:hint="eastAsia"/>
          <w:color w:val="000000" w:themeColor="text1"/>
          <w:szCs w:val="21"/>
        </w:rPr>
        <w:t>权益</w:t>
      </w:r>
      <w:r w:rsidRPr="00490741">
        <w:rPr>
          <w:rFonts w:asciiTheme="minorEastAsia" w:eastAsiaTheme="minorEastAsia" w:hAnsiTheme="minorEastAsia"/>
          <w:color w:val="000000" w:themeColor="text1"/>
          <w:szCs w:val="21"/>
        </w:rPr>
        <w:t>登记日基金总份额的</w:t>
      </w:r>
      <w:r w:rsidRPr="00490741">
        <w:rPr>
          <w:rFonts w:asciiTheme="minorEastAsia" w:eastAsiaTheme="minorEastAsia" w:hAnsiTheme="minorEastAsia" w:hint="eastAsia"/>
          <w:color w:val="000000" w:themeColor="text1"/>
          <w:szCs w:val="21"/>
        </w:rPr>
        <w:t>50%</w:t>
      </w:r>
      <w:r w:rsidRPr="00490741">
        <w:rPr>
          <w:rFonts w:asciiTheme="minorEastAsia" w:eastAsiaTheme="minorEastAsia" w:hAnsiTheme="minorEastAsia" w:hint="eastAsia"/>
          <w:color w:val="000000" w:themeColor="text1"/>
          <w:szCs w:val="21"/>
        </w:rPr>
        <w:t>（含</w:t>
      </w:r>
      <w:r w:rsidRPr="00490741">
        <w:rPr>
          <w:rFonts w:asciiTheme="minorEastAsia" w:eastAsiaTheme="minorEastAsia" w:hAnsiTheme="minorEastAsia" w:hint="eastAsia"/>
          <w:color w:val="000000" w:themeColor="text1"/>
          <w:szCs w:val="21"/>
        </w:rPr>
        <w:t>50%</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）上述第</w:t>
      </w: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）项中</w:t>
      </w:r>
      <w:r w:rsidRPr="00490741">
        <w:rPr>
          <w:rFonts w:asciiTheme="minorEastAsia" w:eastAsiaTheme="minorEastAsia" w:hAnsiTheme="minorEastAsia"/>
          <w:color w:val="000000" w:themeColor="text1"/>
          <w:szCs w:val="21"/>
        </w:rPr>
        <w:t>直接出具书面意见的基金份额持有人或受托代表他人出具书面意见的代理人，同时提交的持有基金份额的凭证、受托</w:t>
      </w:r>
      <w:r w:rsidRPr="00490741">
        <w:rPr>
          <w:rFonts w:asciiTheme="minorEastAsia" w:eastAsiaTheme="minorEastAsia" w:hAnsiTheme="minorEastAsia" w:hint="eastAsia"/>
          <w:color w:val="000000" w:themeColor="text1"/>
          <w:szCs w:val="21"/>
        </w:rPr>
        <w:t>出具书面意见的代理人</w:t>
      </w:r>
      <w:r w:rsidRPr="00490741">
        <w:rPr>
          <w:rFonts w:asciiTheme="minorEastAsia" w:eastAsiaTheme="minorEastAsia" w:hAnsiTheme="minorEastAsia"/>
          <w:color w:val="000000" w:themeColor="text1"/>
          <w:szCs w:val="21"/>
        </w:rPr>
        <w:t>出具的委托人持有基金份额的凭证及委托人的代理投票授权委托书符合法律法规、《基金合同》和会议通知的规定；</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5</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会议通知公布前报中国证监会备案。</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采取通讯</w:t>
      </w:r>
      <w:r w:rsidRPr="00490741">
        <w:rPr>
          <w:rFonts w:asciiTheme="minorEastAsia" w:eastAsiaTheme="minorEastAsia" w:hAnsiTheme="minorEastAsia" w:hint="eastAsia"/>
          <w:color w:val="000000" w:themeColor="text1"/>
          <w:szCs w:val="21"/>
        </w:rPr>
        <w:t>方式进行表决时，除非在计票时有充分的相反证据证明，否则提交符合会议通</w:t>
      </w:r>
      <w:r w:rsidRPr="00490741">
        <w:rPr>
          <w:rFonts w:asciiTheme="minorEastAsia" w:eastAsiaTheme="minorEastAsia" w:hAnsiTheme="minorEastAsia" w:hint="eastAsia"/>
          <w:color w:val="000000" w:themeColor="text1"/>
          <w:szCs w:val="21"/>
        </w:rPr>
        <w:t>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6</w:t>
      </w:r>
      <w:r w:rsidRPr="00490741" w:rsidR="00CE2F50">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议事内容与程序</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议事内容及提案权</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议事内容为关系基金份额持有人利益的重大事项，如</w:t>
      </w:r>
      <w:r w:rsidRPr="00490741">
        <w:rPr>
          <w:rFonts w:asciiTheme="minorEastAsia" w:eastAsiaTheme="minorEastAsia" w:hAnsiTheme="minorEastAsia" w:hint="eastAsia"/>
          <w:color w:val="000000" w:themeColor="text1"/>
          <w:szCs w:val="21"/>
        </w:rPr>
        <w:t>《基金合同》的重大修改</w:t>
      </w:r>
      <w:r w:rsidRPr="00490741">
        <w:rPr>
          <w:rFonts w:asciiTheme="minorEastAsia" w:eastAsiaTheme="minorEastAsia" w:hAnsiTheme="minorEastAsia"/>
          <w:color w:val="000000" w:themeColor="text1"/>
          <w:szCs w:val="21"/>
        </w:rPr>
        <w:t>、决定终止</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基金</w:t>
      </w:r>
      <w:r w:rsidRPr="00490741">
        <w:rPr>
          <w:rFonts w:asciiTheme="minorEastAsia" w:eastAsiaTheme="minorEastAsia" w:hAnsiTheme="minorEastAsia" w:hint="eastAsia"/>
          <w:color w:val="000000" w:themeColor="text1"/>
          <w:szCs w:val="21"/>
        </w:rPr>
        <w:t>合同》</w:t>
      </w:r>
      <w:r w:rsidRPr="00490741">
        <w:rPr>
          <w:rFonts w:asciiTheme="minorEastAsia" w:eastAsiaTheme="minorEastAsia" w:hAnsiTheme="minorEastAsia"/>
          <w:color w:val="000000" w:themeColor="text1"/>
          <w:szCs w:val="21"/>
        </w:rPr>
        <w:t>、更换基金管理人、更换基金托管人、与其他基金合并</w:t>
      </w:r>
      <w:r w:rsidRPr="00490741">
        <w:rPr>
          <w:rFonts w:asciiTheme="minorEastAsia" w:eastAsiaTheme="minorEastAsia" w:hAnsiTheme="minorEastAsia" w:hint="eastAsia"/>
          <w:color w:val="000000" w:themeColor="text1"/>
          <w:szCs w:val="21"/>
        </w:rPr>
        <w:t>、法律法规及《基金合同》规定的其他事项</w:t>
      </w:r>
      <w:r w:rsidRPr="00490741">
        <w:rPr>
          <w:rFonts w:asciiTheme="minorEastAsia" w:eastAsiaTheme="minorEastAsia" w:hAnsiTheme="minorEastAsia"/>
          <w:color w:val="000000" w:themeColor="text1"/>
          <w:szCs w:val="21"/>
        </w:rPr>
        <w:t>以及</w:t>
      </w:r>
      <w:r w:rsidRPr="00490741">
        <w:rPr>
          <w:rFonts w:asciiTheme="minorEastAsia" w:eastAsiaTheme="minorEastAsia" w:hAnsiTheme="minorEastAsia" w:hint="eastAsia"/>
          <w:color w:val="000000" w:themeColor="text1"/>
          <w:szCs w:val="21"/>
        </w:rPr>
        <w:t>会议</w:t>
      </w:r>
      <w:r w:rsidRPr="00490741">
        <w:rPr>
          <w:rFonts w:asciiTheme="minorEastAsia" w:eastAsiaTheme="minorEastAsia" w:hAnsiTheme="minorEastAsia"/>
          <w:color w:val="000000" w:themeColor="text1"/>
          <w:szCs w:val="21"/>
        </w:rPr>
        <w:t>召集人认为需提交基金份额持有人大会讨论的其他事项。</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基金管理人、基金托管人、单独或合并持有权</w:t>
      </w:r>
      <w:r w:rsidRPr="00490741">
        <w:rPr>
          <w:rFonts w:asciiTheme="minorEastAsia" w:eastAsiaTheme="minorEastAsia" w:hAnsiTheme="minorEastAsia" w:hint="eastAsia"/>
          <w:color w:val="000000" w:themeColor="text1"/>
          <w:szCs w:val="21"/>
        </w:rPr>
        <w:t>益</w:t>
      </w:r>
      <w:r w:rsidRPr="00490741">
        <w:rPr>
          <w:rFonts w:asciiTheme="minorEastAsia" w:eastAsiaTheme="minorEastAsia" w:hAnsiTheme="minorEastAsia"/>
          <w:color w:val="000000" w:themeColor="text1"/>
          <w:szCs w:val="21"/>
        </w:rPr>
        <w:t>登记日基金总份额</w:t>
      </w:r>
      <w:r w:rsidRPr="00490741">
        <w:rPr>
          <w:rFonts w:asciiTheme="minorEastAsia" w:eastAsiaTheme="minorEastAsia" w:hAnsiTheme="minorEastAsia"/>
          <w:color w:val="000000" w:themeColor="text1"/>
          <w:szCs w:val="21"/>
        </w:rPr>
        <w:t>10%</w:t>
      </w:r>
      <w:r w:rsidRPr="00490741">
        <w:rPr>
          <w:rFonts w:asciiTheme="minorEastAsia" w:eastAsiaTheme="minorEastAsia" w:hAnsiTheme="minorEastAsia" w:hint="eastAsia"/>
          <w:color w:val="000000" w:themeColor="text1"/>
          <w:szCs w:val="21"/>
        </w:rPr>
        <w:t>（含</w:t>
      </w:r>
      <w:r w:rsidRPr="00490741">
        <w:rPr>
          <w:rFonts w:asciiTheme="minorEastAsia" w:eastAsiaTheme="minorEastAsia" w:hAnsiTheme="minorEastAsia" w:hint="eastAsia"/>
          <w:color w:val="000000" w:themeColor="text1"/>
          <w:szCs w:val="21"/>
        </w:rPr>
        <w:t>10%</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以上的基金份额持有人可以在大会召集人发出会议通知前向大会召集人提交需由基金份额持有人大会审议表决的提案；也可以在会议通知发出后向大会召集人提交临时提案，临时提案应当在大会召开日</w:t>
      </w:r>
      <w:r w:rsidRPr="00490741">
        <w:rPr>
          <w:rFonts w:asciiTheme="minorEastAsia" w:eastAsiaTheme="minorEastAsia" w:hAnsiTheme="minorEastAsia" w:hint="eastAsia"/>
          <w:color w:val="000000" w:themeColor="text1"/>
          <w:szCs w:val="21"/>
        </w:rPr>
        <w:t>至少</w:t>
      </w:r>
      <w:r w:rsidRPr="00490741">
        <w:rPr>
          <w:rFonts w:asciiTheme="minorEastAsia" w:eastAsiaTheme="minorEastAsia" w:hAnsiTheme="minorEastAsia" w:hint="eastAsia"/>
          <w:color w:val="000000" w:themeColor="text1"/>
          <w:szCs w:val="21"/>
        </w:rPr>
        <w:t>35</w:t>
      </w:r>
      <w:r w:rsidRPr="00490741">
        <w:rPr>
          <w:rFonts w:asciiTheme="minorEastAsia" w:eastAsiaTheme="minorEastAsia" w:hAnsiTheme="minorEastAsia"/>
          <w:color w:val="000000" w:themeColor="text1"/>
          <w:szCs w:val="21"/>
        </w:rPr>
        <w:t>天</w:t>
      </w:r>
      <w:r w:rsidRPr="00490741">
        <w:rPr>
          <w:rFonts w:asciiTheme="minorEastAsia" w:eastAsiaTheme="minorEastAsia" w:hAnsiTheme="minorEastAsia" w:hint="eastAsia"/>
          <w:color w:val="000000" w:themeColor="text1"/>
          <w:szCs w:val="21"/>
        </w:rPr>
        <w:t>前</w:t>
      </w:r>
      <w:r w:rsidRPr="00490741">
        <w:rPr>
          <w:rFonts w:asciiTheme="minorEastAsia" w:eastAsiaTheme="minorEastAsia" w:hAnsiTheme="minorEastAsia"/>
          <w:color w:val="000000" w:themeColor="text1"/>
          <w:szCs w:val="21"/>
        </w:rPr>
        <w:t>提交召集人</w:t>
      </w:r>
      <w:r w:rsidRPr="00490741">
        <w:rPr>
          <w:rFonts w:asciiTheme="minorEastAsia" w:eastAsiaTheme="minorEastAsia" w:hAnsiTheme="minorEastAsia" w:hint="eastAsia"/>
          <w:color w:val="000000" w:themeColor="text1"/>
          <w:szCs w:val="21"/>
        </w:rPr>
        <w:t>并由召集人公告</w:t>
      </w:r>
      <w:r w:rsidRPr="00490741">
        <w:rPr>
          <w:rFonts w:asciiTheme="minorEastAsia" w:eastAsiaTheme="minorEastAsia" w:hAnsiTheme="minorEastAsia"/>
          <w:color w:val="000000" w:themeColor="text1"/>
          <w:szCs w:val="21"/>
        </w:rPr>
        <w:t>。</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基金份额持有人大会的召集人发出召集会议的通知后，对原有提案的修改应当在基金份额持有人大会召开日</w:t>
      </w:r>
      <w:r w:rsidRPr="00490741">
        <w:rPr>
          <w:rFonts w:asciiTheme="minorEastAsia" w:eastAsiaTheme="minorEastAsia" w:hAnsiTheme="minorEastAsia" w:hint="eastAsia"/>
          <w:color w:val="000000" w:themeColor="text1"/>
          <w:szCs w:val="21"/>
        </w:rPr>
        <w:t>30</w:t>
      </w:r>
      <w:r w:rsidRPr="00490741">
        <w:rPr>
          <w:rFonts w:asciiTheme="minorEastAsia" w:eastAsiaTheme="minorEastAsia" w:hAnsiTheme="minorEastAsia"/>
          <w:color w:val="000000" w:themeColor="text1"/>
          <w:szCs w:val="21"/>
        </w:rPr>
        <w:t>天</w:t>
      </w:r>
      <w:r w:rsidRPr="00490741">
        <w:rPr>
          <w:rFonts w:asciiTheme="minorEastAsia" w:eastAsiaTheme="minorEastAsia" w:hAnsiTheme="minorEastAsia" w:hint="eastAsia"/>
          <w:color w:val="000000" w:themeColor="text1"/>
          <w:szCs w:val="21"/>
        </w:rPr>
        <w:t>前</w:t>
      </w:r>
      <w:r w:rsidRPr="00490741">
        <w:rPr>
          <w:rFonts w:asciiTheme="minorEastAsia" w:eastAsiaTheme="minorEastAsia" w:hAnsiTheme="minorEastAsia"/>
          <w:color w:val="000000" w:themeColor="text1"/>
          <w:szCs w:val="21"/>
        </w:rPr>
        <w:t>公告。</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基金份额持有人大会不得对未事先公告的议事内容进行表决。</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召集人对于基金管理人</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基金托管人和</w:t>
      </w:r>
      <w:r w:rsidRPr="00490741">
        <w:rPr>
          <w:rFonts w:asciiTheme="minorEastAsia" w:eastAsiaTheme="minorEastAsia" w:hAnsiTheme="minorEastAsia" w:hint="eastAsia"/>
          <w:color w:val="000000" w:themeColor="text1"/>
          <w:szCs w:val="21"/>
        </w:rPr>
        <w:t>基金份额持有人</w:t>
      </w:r>
      <w:r w:rsidRPr="00490741">
        <w:rPr>
          <w:rFonts w:asciiTheme="minorEastAsia" w:eastAsiaTheme="minorEastAsia" w:hAnsiTheme="minorEastAsia"/>
          <w:color w:val="000000" w:themeColor="text1"/>
          <w:szCs w:val="21"/>
        </w:rPr>
        <w:t>提交的临时提案</w:t>
      </w:r>
      <w:r w:rsidRPr="00490741">
        <w:rPr>
          <w:rFonts w:asciiTheme="minorEastAsia" w:eastAsiaTheme="minorEastAsia" w:hAnsiTheme="minorEastAsia" w:hint="eastAsia"/>
          <w:color w:val="000000" w:themeColor="text1"/>
          <w:szCs w:val="21"/>
        </w:rPr>
        <w:t>进行审核，符合条件的</w:t>
      </w:r>
      <w:r w:rsidRPr="00490741">
        <w:rPr>
          <w:rFonts w:asciiTheme="minorEastAsia" w:eastAsiaTheme="minorEastAsia" w:hAnsiTheme="minorEastAsia"/>
          <w:color w:val="000000" w:themeColor="text1"/>
          <w:szCs w:val="21"/>
        </w:rPr>
        <w:t>应当在大会召开日</w:t>
      </w:r>
      <w:r w:rsidRPr="00490741">
        <w:rPr>
          <w:rFonts w:asciiTheme="minorEastAsia" w:eastAsiaTheme="minorEastAsia" w:hAnsiTheme="minorEastAsia" w:hint="eastAsia"/>
          <w:color w:val="000000" w:themeColor="text1"/>
          <w:szCs w:val="21"/>
        </w:rPr>
        <w:t>30</w:t>
      </w:r>
      <w:r w:rsidRPr="00490741">
        <w:rPr>
          <w:rFonts w:asciiTheme="minorEastAsia" w:eastAsiaTheme="minorEastAsia" w:hAnsiTheme="minorEastAsia"/>
          <w:color w:val="000000" w:themeColor="text1"/>
          <w:szCs w:val="21"/>
        </w:rPr>
        <w:t>天前公告。大会召集人应当按照以下原则对提案进行审核：</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关联性。大会召集人对于提案涉及事项与基金有直接关系，并且不超出法律法规和</w:t>
      </w:r>
      <w:r w:rsidRPr="00490741">
        <w:rPr>
          <w:rFonts w:asciiTheme="minorEastAsia" w:eastAsiaTheme="minorEastAsia" w:hAnsiTheme="minorEastAsia" w:hint="eastAsia"/>
          <w:color w:val="000000" w:themeColor="text1"/>
          <w:szCs w:val="21"/>
        </w:rPr>
        <w:t>《基金合同》</w:t>
      </w:r>
      <w:r w:rsidRPr="00490741">
        <w:rPr>
          <w:rFonts w:asciiTheme="minorEastAsia" w:eastAsiaTheme="minorEastAsia" w:hAnsiTheme="minorEastAsia"/>
          <w:color w:val="000000" w:themeColor="text1"/>
          <w:szCs w:val="21"/>
        </w:rPr>
        <w:t>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程序性</w:t>
      </w:r>
      <w:r w:rsidRPr="00490741">
        <w:rPr>
          <w:rFonts w:asciiTheme="minorEastAsia" w:eastAsiaTheme="minorEastAsia" w:hAnsiTheme="minorEastAsia"/>
          <w:color w:val="000000" w:themeColor="text1"/>
          <w:szCs w:val="21"/>
        </w:rPr>
        <w:t>。大会召集人可以对提案涉及的程序性问题</w:t>
      </w:r>
      <w:r w:rsidRPr="00490741">
        <w:rPr>
          <w:rFonts w:asciiTheme="minorEastAsia" w:eastAsiaTheme="minorEastAsia" w:hAnsiTheme="minorEastAsia" w:hint="eastAsia"/>
          <w:color w:val="000000" w:themeColor="text1"/>
          <w:szCs w:val="21"/>
        </w:rPr>
        <w:t>做</w:t>
      </w:r>
      <w:r w:rsidRPr="00490741">
        <w:rPr>
          <w:rFonts w:asciiTheme="minorEastAsia" w:eastAsiaTheme="minorEastAsia" w:hAnsiTheme="minorEastAsia"/>
          <w:color w:val="000000" w:themeColor="text1"/>
          <w:szCs w:val="21"/>
        </w:rPr>
        <w:t>出决定。如将提案进行分拆或合并表决，需征得原提案人同意；原提案人不同意变更的，大会主持人可以就程序性问题提请基金份额持有人大会</w:t>
      </w:r>
      <w:r w:rsidRPr="00490741">
        <w:rPr>
          <w:rFonts w:asciiTheme="minorEastAsia" w:eastAsiaTheme="minorEastAsia" w:hAnsiTheme="minorEastAsia" w:hint="eastAsia"/>
          <w:color w:val="000000" w:themeColor="text1"/>
          <w:szCs w:val="21"/>
        </w:rPr>
        <w:t>做</w:t>
      </w:r>
      <w:r w:rsidRPr="00490741">
        <w:rPr>
          <w:rFonts w:asciiTheme="minorEastAsia" w:eastAsiaTheme="minorEastAsia" w:hAnsiTheme="minorEastAsia"/>
          <w:color w:val="000000" w:themeColor="text1"/>
          <w:szCs w:val="21"/>
        </w:rPr>
        <w:t>出决定，并按照基金份额持有人大会决定的程序进行审议。</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单独或合并持有权益登记日基金总份额</w:t>
      </w:r>
      <w:r w:rsidRPr="00490741">
        <w:rPr>
          <w:rFonts w:asciiTheme="minorEastAsia" w:eastAsiaTheme="minorEastAsia" w:hAnsiTheme="minorEastAsia" w:hint="eastAsia"/>
          <w:color w:val="000000" w:themeColor="text1"/>
          <w:szCs w:val="21"/>
        </w:rPr>
        <w:t>10%</w:t>
      </w:r>
      <w:r w:rsidRPr="00490741">
        <w:rPr>
          <w:rFonts w:asciiTheme="minorEastAsia" w:eastAsiaTheme="minorEastAsia" w:hAnsiTheme="minorEastAsia" w:hint="eastAsia"/>
          <w:color w:val="000000" w:themeColor="text1"/>
          <w:szCs w:val="21"/>
        </w:rPr>
        <w:t>（含</w:t>
      </w:r>
      <w:r w:rsidRPr="00490741">
        <w:rPr>
          <w:rFonts w:asciiTheme="minorEastAsia" w:eastAsiaTheme="minorEastAsia" w:hAnsiTheme="minorEastAsia" w:hint="eastAsia"/>
          <w:color w:val="000000" w:themeColor="text1"/>
          <w:szCs w:val="21"/>
        </w:rPr>
        <w:t>10%</w:t>
      </w:r>
      <w:r w:rsidRPr="00490741">
        <w:rPr>
          <w:rFonts w:asciiTheme="minorEastAsia" w:eastAsiaTheme="minorEastAsia" w:hAnsiTheme="minorEastAsia" w:hint="eastAsia"/>
          <w:color w:val="000000" w:themeColor="text1"/>
          <w:szCs w:val="21"/>
        </w:rPr>
        <w:t>）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w:t>
      </w:r>
      <w:r w:rsidRPr="00490741">
        <w:rPr>
          <w:rFonts w:asciiTheme="minorEastAsia" w:eastAsiaTheme="minorEastAsia" w:hAnsiTheme="minorEastAsia" w:hint="eastAsia"/>
          <w:color w:val="000000" w:themeColor="text1"/>
          <w:szCs w:val="21"/>
        </w:rPr>
        <w:t>6</w:t>
      </w:r>
      <w:r w:rsidRPr="00490741">
        <w:rPr>
          <w:rFonts w:asciiTheme="minorEastAsia" w:eastAsiaTheme="minorEastAsia" w:hAnsiTheme="minorEastAsia" w:hint="eastAsia"/>
          <w:color w:val="000000" w:themeColor="text1"/>
          <w:szCs w:val="21"/>
        </w:rPr>
        <w:t>个月。</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议事程序</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现场开会</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在现场开会的方式下，首先由大会主持人按照下列第七</w:t>
      </w:r>
      <w:r w:rsidRPr="00490741">
        <w:rPr>
          <w:rFonts w:asciiTheme="minorEastAsia" w:eastAsiaTheme="minorEastAsia" w:hAnsiTheme="minorEastAsia" w:hint="eastAsia"/>
          <w:color w:val="000000" w:themeColor="text1"/>
          <w:szCs w:val="21"/>
        </w:rPr>
        <w:t>条</w:t>
      </w:r>
      <w:r w:rsidRPr="00490741">
        <w:rPr>
          <w:rFonts w:asciiTheme="minorEastAsia" w:eastAsiaTheme="minorEastAsia" w:hAnsiTheme="minorEastAsia"/>
          <w:color w:val="000000" w:themeColor="text1"/>
          <w:szCs w:val="21"/>
        </w:rPr>
        <w:t>规定程序确定和公布监票人，然后由大会主持人宣读提案，经讨论后进行表决，并形成大会决议。大会主持人为基金管理人授权出席会议的代表，在基金管理人</w:t>
      </w:r>
      <w:r w:rsidRPr="00490741">
        <w:rPr>
          <w:rFonts w:asciiTheme="minorEastAsia" w:eastAsiaTheme="minorEastAsia" w:hAnsiTheme="minorEastAsia" w:hint="eastAsia"/>
          <w:color w:val="000000" w:themeColor="text1"/>
          <w:szCs w:val="21"/>
        </w:rPr>
        <w:t>授权代表</w:t>
      </w:r>
      <w:r w:rsidRPr="00490741">
        <w:rPr>
          <w:rFonts w:asciiTheme="minorEastAsia" w:eastAsiaTheme="minorEastAsia" w:hAnsiTheme="minorEastAsia"/>
          <w:color w:val="000000" w:themeColor="text1"/>
          <w:szCs w:val="21"/>
        </w:rPr>
        <w:t>未能主持大会的情况下，由基金托管人授权其出席会议的代表主持；如果基金管理人</w:t>
      </w:r>
      <w:r w:rsidRPr="00490741">
        <w:rPr>
          <w:rFonts w:asciiTheme="minorEastAsia" w:eastAsiaTheme="minorEastAsia" w:hAnsiTheme="minorEastAsia" w:hint="eastAsia"/>
          <w:color w:val="000000" w:themeColor="text1"/>
          <w:szCs w:val="21"/>
        </w:rPr>
        <w:t>授权代表</w:t>
      </w:r>
      <w:r w:rsidRPr="00490741">
        <w:rPr>
          <w:rFonts w:asciiTheme="minorEastAsia" w:eastAsiaTheme="minorEastAsia" w:hAnsiTheme="minorEastAsia"/>
          <w:color w:val="000000" w:themeColor="text1"/>
          <w:szCs w:val="21"/>
        </w:rPr>
        <w:t>和基金托管人</w:t>
      </w:r>
      <w:r w:rsidRPr="00490741">
        <w:rPr>
          <w:rFonts w:asciiTheme="minorEastAsia" w:eastAsiaTheme="minorEastAsia" w:hAnsiTheme="minorEastAsia" w:hint="eastAsia"/>
          <w:color w:val="000000" w:themeColor="text1"/>
          <w:szCs w:val="21"/>
        </w:rPr>
        <w:t>授权代表</w:t>
      </w:r>
      <w:r w:rsidRPr="00490741">
        <w:rPr>
          <w:rFonts w:asciiTheme="minorEastAsia" w:eastAsiaTheme="minorEastAsia" w:hAnsiTheme="minorEastAsia"/>
          <w:color w:val="000000" w:themeColor="text1"/>
          <w:szCs w:val="21"/>
        </w:rPr>
        <w:t>均未能主持大会，</w:t>
      </w:r>
      <w:r w:rsidRPr="00490741">
        <w:rPr>
          <w:rFonts w:asciiTheme="minorEastAsia" w:eastAsiaTheme="minorEastAsia" w:hAnsiTheme="minorEastAsia"/>
          <w:color w:val="000000" w:themeColor="text1"/>
          <w:szCs w:val="21"/>
        </w:rPr>
        <w:t>则由出席大会的基金份额持有人</w:t>
      </w:r>
      <w:r w:rsidRPr="00490741">
        <w:rPr>
          <w:rFonts w:asciiTheme="minorEastAsia" w:eastAsiaTheme="minorEastAsia" w:hAnsiTheme="minorEastAsia" w:hint="eastAsia"/>
          <w:color w:val="000000" w:themeColor="text1"/>
          <w:szCs w:val="21"/>
        </w:rPr>
        <w:t>所持表决权的</w:t>
      </w:r>
      <w:r w:rsidRPr="00490741">
        <w:rPr>
          <w:rFonts w:asciiTheme="minorEastAsia" w:eastAsiaTheme="minorEastAsia" w:hAnsiTheme="minorEastAsia"/>
          <w:color w:val="000000" w:themeColor="text1"/>
          <w:szCs w:val="21"/>
        </w:rPr>
        <w:t>50%</w:t>
      </w:r>
      <w:r w:rsidRPr="00490741">
        <w:rPr>
          <w:rFonts w:asciiTheme="minorEastAsia" w:eastAsiaTheme="minorEastAsia" w:hAnsiTheme="minorEastAsia"/>
          <w:color w:val="000000" w:themeColor="text1"/>
          <w:szCs w:val="21"/>
        </w:rPr>
        <w:t>以上（含</w:t>
      </w:r>
      <w:r w:rsidRPr="00490741">
        <w:rPr>
          <w:rFonts w:asciiTheme="minorEastAsia" w:eastAsiaTheme="minorEastAsia" w:hAnsiTheme="minorEastAsia"/>
          <w:color w:val="000000" w:themeColor="text1"/>
          <w:szCs w:val="21"/>
        </w:rPr>
        <w:t>50%</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hint="eastAsia"/>
          <w:color w:val="000000" w:themeColor="text1"/>
          <w:szCs w:val="21"/>
        </w:rPr>
        <w:t>选举</w:t>
      </w:r>
      <w:r w:rsidRPr="00490741">
        <w:rPr>
          <w:rFonts w:asciiTheme="minorEastAsia" w:eastAsiaTheme="minorEastAsia" w:hAnsiTheme="minorEastAsia"/>
          <w:color w:val="000000" w:themeColor="text1"/>
          <w:szCs w:val="21"/>
        </w:rPr>
        <w:t>产生一名基金份额持有人作为该次基金份额持有人大会的主持人。</w:t>
      </w:r>
      <w:r w:rsidRPr="00490741">
        <w:rPr>
          <w:rFonts w:asciiTheme="minorEastAsia" w:eastAsiaTheme="minorEastAsia" w:hAnsiTheme="minorEastAsia" w:hint="eastAsia"/>
          <w:color w:val="000000" w:themeColor="text1"/>
          <w:szCs w:val="21"/>
        </w:rPr>
        <w:t>基金管理人和基金托管人不出席或主持基金份额持有人大会，不影响基金份额持有人大会作出的决议的效力。</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通讯开会</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在通讯开会的情况下，</w:t>
      </w:r>
      <w:r w:rsidRPr="00490741">
        <w:rPr>
          <w:rFonts w:asciiTheme="minorEastAsia" w:eastAsiaTheme="minorEastAsia" w:hAnsiTheme="minorEastAsia" w:hint="eastAsia"/>
          <w:color w:val="000000" w:themeColor="text1"/>
          <w:szCs w:val="21"/>
        </w:rPr>
        <w:t>公告会议通知时应当同时</w:t>
      </w:r>
      <w:r w:rsidRPr="00490741">
        <w:rPr>
          <w:rFonts w:asciiTheme="minorEastAsia" w:eastAsiaTheme="minorEastAsia" w:hAnsiTheme="minorEastAsia"/>
          <w:color w:val="000000" w:themeColor="text1"/>
          <w:szCs w:val="21"/>
        </w:rPr>
        <w:t>公布提案，在所通知的表决截止日期</w:t>
      </w:r>
      <w:r w:rsidRPr="00490741">
        <w:rPr>
          <w:rFonts w:asciiTheme="minorEastAsia" w:eastAsiaTheme="minorEastAsia" w:hAnsiTheme="minorEastAsia" w:hint="eastAsia"/>
          <w:color w:val="000000" w:themeColor="text1"/>
          <w:szCs w:val="21"/>
        </w:rPr>
        <w:t>后</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个工作日内</w:t>
      </w:r>
      <w:r w:rsidRPr="00490741">
        <w:rPr>
          <w:rFonts w:asciiTheme="minorEastAsia" w:eastAsiaTheme="minorEastAsia" w:hAnsiTheme="minorEastAsia"/>
          <w:color w:val="000000" w:themeColor="text1"/>
          <w:szCs w:val="21"/>
        </w:rPr>
        <w:t>统计全部有效表决，在公证</w:t>
      </w:r>
      <w:r w:rsidRPr="00490741">
        <w:rPr>
          <w:rFonts w:asciiTheme="minorEastAsia" w:eastAsiaTheme="minorEastAsia" w:hAnsiTheme="minorEastAsia" w:hint="eastAsia"/>
          <w:color w:val="000000" w:themeColor="text1"/>
          <w:szCs w:val="21"/>
        </w:rPr>
        <w:t>机关</w:t>
      </w:r>
      <w:r w:rsidRPr="00490741">
        <w:rPr>
          <w:rFonts w:asciiTheme="minorEastAsia" w:eastAsiaTheme="minorEastAsia" w:hAnsiTheme="minorEastAsia"/>
          <w:color w:val="000000" w:themeColor="text1"/>
          <w:szCs w:val="21"/>
        </w:rPr>
        <w:t>监督下形成决议。</w:t>
      </w:r>
    </w:p>
    <w:p w:rsidR="0002608C" w:rsidRPr="00490741" w:rsidP="00107648">
      <w:pPr>
        <w:adjustRightInd w:val="0"/>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7</w:t>
      </w:r>
      <w:r w:rsidRPr="00490741" w:rsidR="00CE2F50">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表决</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基金份额持有人所持每份基金份额有一票表决权。</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基金份额持有人大会决议分为一般决议和特别决议：</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一般决议，一般决议须经参加大会的基金份额持有人</w:t>
      </w:r>
      <w:r w:rsidRPr="00490741">
        <w:rPr>
          <w:rFonts w:asciiTheme="minorEastAsia" w:eastAsiaTheme="minorEastAsia" w:hAnsiTheme="minorEastAsia" w:hint="eastAsia"/>
          <w:color w:val="000000" w:themeColor="text1"/>
        </w:rPr>
        <w:t>或其代理人</w:t>
      </w:r>
      <w:r w:rsidRPr="00490741">
        <w:rPr>
          <w:rFonts w:asciiTheme="minorEastAsia" w:eastAsiaTheme="minorEastAsia" w:hAnsiTheme="minorEastAsia"/>
          <w:color w:val="000000" w:themeColor="text1"/>
          <w:szCs w:val="21"/>
        </w:rPr>
        <w:t>所持表决权的</w:t>
      </w:r>
      <w:r w:rsidRPr="00490741">
        <w:rPr>
          <w:rFonts w:asciiTheme="minorEastAsia" w:eastAsiaTheme="minorEastAsia" w:hAnsiTheme="minorEastAsia" w:hint="eastAsia"/>
          <w:color w:val="000000" w:themeColor="text1"/>
          <w:szCs w:val="21"/>
        </w:rPr>
        <w:t>50%</w:t>
      </w:r>
      <w:r w:rsidRPr="00490741">
        <w:rPr>
          <w:rFonts w:asciiTheme="minorEastAsia" w:eastAsiaTheme="minorEastAsia" w:hAnsiTheme="minorEastAsia"/>
          <w:color w:val="000000" w:themeColor="text1"/>
          <w:szCs w:val="21"/>
        </w:rPr>
        <w:t>以上（含</w:t>
      </w:r>
      <w:r w:rsidRPr="00490741">
        <w:rPr>
          <w:rFonts w:asciiTheme="minorEastAsia" w:eastAsiaTheme="minorEastAsia" w:hAnsiTheme="minorEastAsia" w:hint="eastAsia"/>
          <w:color w:val="000000" w:themeColor="text1"/>
          <w:szCs w:val="21"/>
        </w:rPr>
        <w:t>50%</w:t>
      </w:r>
      <w:r w:rsidRPr="00490741">
        <w:rPr>
          <w:rFonts w:asciiTheme="minorEastAsia" w:eastAsiaTheme="minorEastAsia" w:hAnsiTheme="minorEastAsia"/>
          <w:color w:val="000000" w:themeColor="text1"/>
          <w:szCs w:val="21"/>
        </w:rPr>
        <w:t>）通过方为有效；除下列</w:t>
      </w:r>
      <w:r w:rsidRPr="00490741">
        <w:rPr>
          <w:rFonts w:asciiTheme="minorEastAsia" w:eastAsiaTheme="minorEastAsia" w:hAnsiTheme="minorEastAsia" w:hint="eastAsia"/>
          <w:color w:val="000000" w:themeColor="text1"/>
          <w:szCs w:val="21"/>
        </w:rPr>
        <w:t>第</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项</w:t>
      </w:r>
      <w:r w:rsidRPr="00490741">
        <w:rPr>
          <w:rFonts w:asciiTheme="minorEastAsia" w:eastAsiaTheme="minorEastAsia" w:hAnsiTheme="minorEastAsia"/>
          <w:color w:val="000000" w:themeColor="text1"/>
          <w:szCs w:val="21"/>
        </w:rPr>
        <w:t>所规定的须以特别决议通过事项以外的其他事</w:t>
      </w:r>
      <w:r w:rsidRPr="00490741">
        <w:rPr>
          <w:rFonts w:asciiTheme="minorEastAsia" w:eastAsiaTheme="minorEastAsia" w:hAnsiTheme="minorEastAsia"/>
          <w:color w:val="000000" w:themeColor="text1"/>
          <w:szCs w:val="21"/>
        </w:rPr>
        <w:t>项均以一般决议的方式通过。</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特别决议，特别决议应当经参加大会的基金份额持有人</w:t>
      </w:r>
      <w:r w:rsidRPr="00490741">
        <w:rPr>
          <w:rFonts w:asciiTheme="minorEastAsia" w:eastAsiaTheme="minorEastAsia" w:hAnsiTheme="minorEastAsia" w:hint="eastAsia"/>
          <w:color w:val="000000" w:themeColor="text1"/>
          <w:szCs w:val="21"/>
        </w:rPr>
        <w:t>或其代理人</w:t>
      </w:r>
      <w:r w:rsidRPr="00490741">
        <w:rPr>
          <w:rFonts w:asciiTheme="minorEastAsia" w:eastAsiaTheme="minorEastAsia" w:hAnsiTheme="minorEastAsia"/>
          <w:color w:val="000000" w:themeColor="text1"/>
          <w:szCs w:val="21"/>
        </w:rPr>
        <w:t>所持表决权的三分之二</w:t>
      </w:r>
      <w:r w:rsidRPr="00490741">
        <w:rPr>
          <w:rFonts w:asciiTheme="minorEastAsia" w:eastAsiaTheme="minorEastAsia" w:hAnsiTheme="minorEastAsia" w:hint="eastAsia"/>
          <w:color w:val="000000" w:themeColor="text1"/>
          <w:szCs w:val="21"/>
        </w:rPr>
        <w:t>以上（含</w:t>
      </w:r>
      <w:r w:rsidRPr="00490741">
        <w:rPr>
          <w:rFonts w:asciiTheme="minorEastAsia" w:eastAsiaTheme="minorEastAsia" w:hAnsiTheme="minorEastAsia"/>
          <w:color w:val="000000" w:themeColor="text1"/>
          <w:szCs w:val="21"/>
        </w:rPr>
        <w:t>三分之二</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通过方可</w:t>
      </w:r>
      <w:r w:rsidRPr="00490741">
        <w:rPr>
          <w:rFonts w:asciiTheme="minorEastAsia" w:eastAsiaTheme="minorEastAsia" w:hAnsiTheme="minorEastAsia" w:hint="eastAsia"/>
          <w:color w:val="000000" w:themeColor="text1"/>
          <w:szCs w:val="21"/>
        </w:rPr>
        <w:t>做</w:t>
      </w:r>
      <w:r w:rsidRPr="00490741">
        <w:rPr>
          <w:rFonts w:asciiTheme="minorEastAsia" w:eastAsiaTheme="minorEastAsia" w:hAnsiTheme="minorEastAsia"/>
          <w:color w:val="000000" w:themeColor="text1"/>
          <w:szCs w:val="21"/>
        </w:rPr>
        <w:t>出。转换基金运作方式、更换基金管理人或者基金托管人、终止</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基金合同</w:t>
      </w:r>
      <w:r w:rsidRPr="00490741">
        <w:rPr>
          <w:rFonts w:asciiTheme="minorEastAsia" w:eastAsiaTheme="minorEastAsia" w:hAnsiTheme="minorEastAsia" w:hint="eastAsia"/>
          <w:color w:val="000000" w:themeColor="text1"/>
          <w:szCs w:val="21"/>
        </w:rPr>
        <w:t>》</w:t>
      </w:r>
      <w:r w:rsidRPr="00490741" w:rsidR="00B148D8">
        <w:rPr>
          <w:rFonts w:asciiTheme="minorEastAsia" w:eastAsiaTheme="minorEastAsia" w:hAnsiTheme="minorEastAsia" w:hint="eastAsia"/>
          <w:color w:val="000000" w:themeColor="text1"/>
          <w:szCs w:val="21"/>
        </w:rPr>
        <w:t>、本基金与其他基金合并</w:t>
      </w:r>
      <w:r w:rsidRPr="00490741">
        <w:rPr>
          <w:rFonts w:asciiTheme="minorEastAsia" w:eastAsiaTheme="minorEastAsia" w:hAnsiTheme="minorEastAsia"/>
          <w:color w:val="000000" w:themeColor="text1"/>
          <w:szCs w:val="21"/>
        </w:rPr>
        <w:t>以特别决议通过方为有效。</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基金份额持有人大会采取记名方式进行投票表决。</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采取通讯方式进行表决时，</w:t>
      </w:r>
      <w:r w:rsidRPr="00490741">
        <w:rPr>
          <w:rFonts w:asciiTheme="minorEastAsia" w:eastAsiaTheme="minorEastAsia" w:hAnsiTheme="minorEastAsia" w:hint="eastAsia"/>
          <w:color w:val="000000" w:themeColor="text1"/>
          <w:szCs w:val="21"/>
        </w:rPr>
        <w:t>除非在计票时有充分的相反证据证明，提交符合会议通知中规定的确认投资者身份文件的表决视为有效出席的投资者，</w:t>
      </w:r>
      <w:r w:rsidRPr="00490741">
        <w:rPr>
          <w:rFonts w:asciiTheme="minorEastAsia" w:eastAsiaTheme="minorEastAsia" w:hAnsiTheme="minorEastAsia"/>
          <w:color w:val="000000" w:themeColor="text1"/>
          <w:szCs w:val="21"/>
        </w:rPr>
        <w:t>符合会议通知规定的书面表决意见视为有效表决</w:t>
      </w:r>
      <w:r w:rsidRPr="00490741">
        <w:rPr>
          <w:rFonts w:asciiTheme="minorEastAsia" w:eastAsiaTheme="minorEastAsia" w:hAnsiTheme="minorEastAsia" w:hint="eastAsia"/>
          <w:color w:val="000000" w:themeColor="text1"/>
          <w:szCs w:val="21"/>
        </w:rPr>
        <w:t>，表决意见模糊不清或相互矛盾的视为弃权表</w:t>
      </w:r>
      <w:r w:rsidRPr="00490741">
        <w:rPr>
          <w:rFonts w:asciiTheme="minorEastAsia" w:eastAsiaTheme="minorEastAsia" w:hAnsiTheme="minorEastAsia" w:hint="eastAsia"/>
          <w:color w:val="000000" w:themeColor="text1"/>
          <w:szCs w:val="21"/>
        </w:rPr>
        <w:t>决，但应当计入出具书面意见的基金份额持有人所代表的基金份额总数。</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基金份额持有人大会的各项提案或同一项提案内并列的各项议题应当分开审议、逐项表决。</w:t>
      </w:r>
    </w:p>
    <w:p w:rsidR="0002608C" w:rsidRPr="00490741" w:rsidP="00107648">
      <w:pPr>
        <w:adjustRightInd w:val="0"/>
        <w:snapToGrid w:val="0"/>
        <w:spacing w:line="360" w:lineRule="auto"/>
        <w:ind w:firstLine="48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8</w:t>
      </w:r>
      <w:r w:rsidRPr="00490741" w:rsidR="00CE2F50">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计票</w:t>
      </w:r>
    </w:p>
    <w:p w:rsidR="0002608C" w:rsidRPr="00490741" w:rsidP="00107648">
      <w:pPr>
        <w:snapToGrid w:val="0"/>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color w:val="000000" w:themeColor="text1"/>
        </w:rPr>
        <w:t>1</w:t>
      </w:r>
      <w:r w:rsidRPr="00490741">
        <w:rPr>
          <w:rFonts w:asciiTheme="minorEastAsia" w:eastAsiaTheme="minorEastAsia" w:hAnsiTheme="minorEastAsia" w:hint="eastAsia"/>
          <w:color w:val="000000" w:themeColor="text1"/>
        </w:rPr>
        <w:t>）现场开会</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1</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w:t>
      </w:r>
      <w:r w:rsidRPr="00490741">
        <w:rPr>
          <w:rFonts w:asciiTheme="minorEastAsia" w:eastAsiaTheme="minorEastAsia" w:hAnsiTheme="minorEastAsia" w:hint="eastAsia"/>
          <w:color w:val="000000" w:themeColor="text1"/>
          <w:szCs w:val="21"/>
        </w:rPr>
        <w:t>或大会虽然由基金管理人或基金托管人召集，但是基金管理人或基金托管人未出席大会的</w:t>
      </w:r>
      <w:r w:rsidRPr="00490741">
        <w:rPr>
          <w:rFonts w:asciiTheme="minorEastAsia" w:eastAsiaTheme="minorEastAsia" w:hAnsiTheme="minorEastAsia"/>
          <w:color w:val="000000" w:themeColor="text1"/>
          <w:szCs w:val="21"/>
        </w:rPr>
        <w:t>，基金份额持有人大会的主持人应当在会议开始后宣布在出席会议的基金份额持有人中选举三名基金份额持有人代表担任监票人。</w:t>
      </w:r>
      <w:r w:rsidRPr="00490741">
        <w:rPr>
          <w:rFonts w:asciiTheme="minorEastAsia" w:eastAsiaTheme="minorEastAsia" w:hAnsiTheme="minorEastAsia" w:hint="eastAsia"/>
          <w:color w:val="000000" w:themeColor="text1"/>
          <w:szCs w:val="21"/>
        </w:rPr>
        <w:t>基金管理人或基金托管人不出席大会的，不影响计票的效力。</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监票人应当在基金份额持有人表决后立即进行清点并由大会主持人当场公布计票结果。</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如果会议主持人</w:t>
      </w:r>
      <w:r w:rsidRPr="00490741">
        <w:rPr>
          <w:rFonts w:asciiTheme="minorEastAsia" w:eastAsiaTheme="minorEastAsia" w:hAnsiTheme="minorEastAsia" w:hint="eastAsia"/>
          <w:color w:val="000000" w:themeColor="text1"/>
          <w:szCs w:val="21"/>
        </w:rPr>
        <w:t>或</w:t>
      </w:r>
      <w:r w:rsidRPr="00490741">
        <w:rPr>
          <w:rFonts w:asciiTheme="minorEastAsia" w:eastAsiaTheme="minorEastAsia" w:hAnsiTheme="minorEastAsia"/>
          <w:color w:val="000000" w:themeColor="text1"/>
          <w:szCs w:val="21"/>
        </w:rPr>
        <w:t>基金份额持有人对于提交的表决结果有怀疑，可以在宣布表决结果后立即对所投票数</w:t>
      </w:r>
      <w:r w:rsidRPr="00490741">
        <w:rPr>
          <w:rFonts w:asciiTheme="minorEastAsia" w:eastAsiaTheme="minorEastAsia" w:hAnsiTheme="minorEastAsia" w:hint="eastAsia"/>
          <w:color w:val="000000" w:themeColor="text1"/>
          <w:szCs w:val="21"/>
        </w:rPr>
        <w:t>要求</w:t>
      </w:r>
      <w:r w:rsidRPr="00490741">
        <w:rPr>
          <w:rFonts w:asciiTheme="minorEastAsia" w:eastAsiaTheme="minorEastAsia" w:hAnsiTheme="minorEastAsia"/>
          <w:color w:val="000000" w:themeColor="text1"/>
          <w:szCs w:val="21"/>
        </w:rPr>
        <w:t>进行重新清点</w:t>
      </w:r>
      <w:r w:rsidRPr="00490741">
        <w:rPr>
          <w:rFonts w:asciiTheme="minorEastAsia" w:eastAsiaTheme="minorEastAsia" w:hAnsiTheme="minorEastAsia" w:hint="eastAsia"/>
          <w:color w:val="000000" w:themeColor="text1"/>
          <w:szCs w:val="21"/>
        </w:rPr>
        <w:t>。监票人应当进行重新清点，重新清点以一次为限。</w:t>
      </w:r>
      <w:r w:rsidRPr="00490741">
        <w:rPr>
          <w:rFonts w:asciiTheme="minorEastAsia" w:eastAsiaTheme="minorEastAsia" w:hAnsiTheme="minorEastAsia" w:hint="eastAsia"/>
          <w:color w:val="000000" w:themeColor="text1"/>
          <w:szCs w:val="21"/>
        </w:rPr>
        <w:t>重新清点后，大会主持人应当当场公布重新清点结果。</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）计票过程应由公证机关予以公证。</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通讯开会</w:t>
      </w:r>
    </w:p>
    <w:p w:rsidR="0002608C" w:rsidRPr="00490741" w:rsidP="00107648">
      <w:pPr>
        <w:snapToGrid w:val="0"/>
        <w:spacing w:line="360" w:lineRule="auto"/>
        <w:ind w:firstLine="48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在通讯开会的情况下，计票方式为：由大会召集人授权的两名监督员在基金托管人授权代表</w:t>
      </w:r>
      <w:r w:rsidRPr="00490741">
        <w:rPr>
          <w:rFonts w:asciiTheme="minorEastAsia" w:eastAsiaTheme="minorEastAsia" w:hAnsiTheme="minorEastAsia" w:hint="eastAsia"/>
          <w:color w:val="000000" w:themeColor="text1"/>
          <w:szCs w:val="21"/>
        </w:rPr>
        <w:t>（若由基金托管人召集，则为基金管理人</w:t>
      </w:r>
      <w:r w:rsidRPr="00490741">
        <w:rPr>
          <w:rFonts w:asciiTheme="minorEastAsia" w:eastAsiaTheme="minorEastAsia" w:hAnsiTheme="minorEastAsia"/>
          <w:color w:val="000000" w:themeColor="text1"/>
          <w:szCs w:val="21"/>
        </w:rPr>
        <w:t>授权代表</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的监督下进行计票，并由公证机关对其计票过程予以公证。</w:t>
      </w:r>
      <w:r w:rsidRPr="00490741">
        <w:rPr>
          <w:rFonts w:asciiTheme="minorEastAsia" w:eastAsiaTheme="minorEastAsia" w:hAnsiTheme="minorEastAsia" w:hint="eastAsia"/>
          <w:color w:val="000000" w:themeColor="text1"/>
          <w:szCs w:val="21"/>
        </w:rPr>
        <w:t>基金管理人或托管人不派代表监督计票的，不影响计票效力。基金管理人或托管人不派代表监督计票时，应由召集人邀请无直接利害关系的第三方担任监督计票人员。</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9</w:t>
      </w:r>
      <w:r w:rsidRPr="00490741" w:rsidR="00CE2F50">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生效与公告</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基金份额持有人大会表决通过的事项，召集人应当自通过之日起</w:t>
      </w:r>
      <w:r w:rsidRPr="00490741">
        <w:rPr>
          <w:rFonts w:asciiTheme="minorEastAsia" w:eastAsiaTheme="minorEastAsia" w:hAnsiTheme="minorEastAsia" w:hint="eastAsia"/>
          <w:color w:val="000000" w:themeColor="text1"/>
          <w:szCs w:val="21"/>
        </w:rPr>
        <w:t>5</w:t>
      </w:r>
      <w:r w:rsidRPr="00490741">
        <w:rPr>
          <w:rFonts w:asciiTheme="minorEastAsia" w:eastAsiaTheme="minorEastAsia" w:hAnsiTheme="minorEastAsia" w:hint="eastAsia"/>
          <w:color w:val="000000" w:themeColor="text1"/>
          <w:szCs w:val="21"/>
        </w:rPr>
        <w:t>日内报中国证监会备案。</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基金份额持有人大会决定的事项自</w:t>
      </w:r>
      <w:r w:rsidRPr="00490741" w:rsidR="00B148D8">
        <w:rPr>
          <w:rFonts w:asciiTheme="minorEastAsia" w:eastAsiaTheme="minorEastAsia" w:hAnsiTheme="minorEastAsia" w:hint="eastAsia"/>
          <w:color w:val="000000" w:themeColor="text1"/>
          <w:szCs w:val="21"/>
        </w:rPr>
        <w:t>表决通过</w:t>
      </w:r>
      <w:r w:rsidRPr="00490741">
        <w:rPr>
          <w:rFonts w:asciiTheme="minorEastAsia" w:eastAsiaTheme="minorEastAsia" w:hAnsiTheme="minorEastAsia" w:hint="eastAsia"/>
          <w:color w:val="000000" w:themeColor="text1"/>
          <w:szCs w:val="21"/>
        </w:rPr>
        <w:t>之日起生效。</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基金份额持有人大会决议自生效之日起</w:t>
      </w:r>
      <w:r w:rsidRPr="00490741" w:rsidR="00AD6F54">
        <w:rPr>
          <w:rFonts w:asciiTheme="minorEastAsia" w:eastAsiaTheme="minorEastAsia" w:hAnsiTheme="minorEastAsia" w:hint="eastAsia"/>
          <w:color w:val="000000" w:themeColor="text1"/>
          <w:szCs w:val="21"/>
        </w:rPr>
        <w:t>2日内在指定媒介上公告</w:t>
      </w:r>
      <w:r w:rsidRPr="00490741">
        <w:rPr>
          <w:rFonts w:asciiTheme="minorEastAsia" w:eastAsiaTheme="minorEastAsia" w:hAnsiTheme="minorEastAsia"/>
          <w:color w:val="000000" w:themeColor="text1"/>
          <w:szCs w:val="21"/>
        </w:rPr>
        <w:t>。</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基金管理人、基金托管人和基金份额持有人应当执行生效的基金份额持有人大会的决定。</w:t>
      </w:r>
    </w:p>
    <w:p w:rsidR="0002608C" w:rsidRPr="00490741" w:rsidP="00107648">
      <w:pPr>
        <w:snapToGrid w:val="0"/>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szCs w:val="21"/>
        </w:rPr>
        <w:t>基金份额持有人大会决议对全体基金份额持有人、基金管理人、基金托管人均有约束力。</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color w:val="000000" w:themeColor="text1"/>
          <w:sz w:val="21"/>
          <w:szCs w:val="21"/>
        </w:rPr>
      </w:pPr>
      <w:bookmarkStart w:id="184" w:name="_Toc114237477"/>
      <w:r w:rsidRPr="00490741">
        <w:rPr>
          <w:rFonts w:asciiTheme="minorEastAsia" w:eastAsiaTheme="minorEastAsia" w:hAnsiTheme="minorEastAsia" w:hint="eastAsia"/>
          <w:b w:val="0"/>
          <w:bCs/>
          <w:color w:val="000000" w:themeColor="text1"/>
          <w:sz w:val="21"/>
        </w:rPr>
        <w:t>（六）基金合同的变更和终止</w:t>
      </w:r>
      <w:bookmarkEnd w:id="184"/>
    </w:p>
    <w:p w:rsidR="0002608C" w:rsidRPr="00490741" w:rsidP="00107648">
      <w:pPr>
        <w:adjustRightInd w:val="0"/>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sidR="00CE2F50">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《基金合同》的变更</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）除非法律法规和《基金合同》另有规定，对《基金合同》的变更应当召开基金份额持有人大会的，《基金合同》变更的内容应经基金份额持有人大会决议通过，并报中国证监会备案。</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）依现行有效的有关法律法规，对《基金合同》的变更自</w:t>
      </w:r>
      <w:r w:rsidRPr="00490741" w:rsidR="00B148D8">
        <w:rPr>
          <w:rFonts w:asciiTheme="minorEastAsia" w:eastAsiaTheme="minorEastAsia" w:hAnsiTheme="minorEastAsia" w:hint="eastAsia"/>
          <w:color w:val="000000" w:themeColor="text1"/>
          <w:szCs w:val="21"/>
        </w:rPr>
        <w:t>表决通过</w:t>
      </w:r>
      <w:r w:rsidRPr="00490741">
        <w:rPr>
          <w:rFonts w:asciiTheme="minorEastAsia" w:eastAsiaTheme="minorEastAsia" w:hAnsiTheme="minorEastAsia" w:hint="eastAsia"/>
          <w:color w:val="000000" w:themeColor="text1"/>
          <w:szCs w:val="21"/>
        </w:rPr>
        <w:t>之日起生效。</w:t>
      </w:r>
    </w:p>
    <w:p w:rsidR="0002608C" w:rsidRPr="00490741" w:rsidP="00107648">
      <w:pPr>
        <w:adjustRightInd w:val="0"/>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）除依本《基金合同》和</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或依现行有效的有关法律法规，对《基金合同》的变更须基金份额持有人大会决议通过和</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或须报中国证监会</w:t>
      </w:r>
      <w:r w:rsidRPr="00490741" w:rsidR="00954FC9">
        <w:rPr>
          <w:rFonts w:asciiTheme="minorEastAsia" w:eastAsiaTheme="minorEastAsia" w:hAnsiTheme="minorEastAsia" w:hint="eastAsia"/>
          <w:color w:val="000000" w:themeColor="text1"/>
          <w:szCs w:val="21"/>
        </w:rPr>
        <w:t>备案</w:t>
      </w:r>
      <w:r w:rsidRPr="00490741">
        <w:rPr>
          <w:rFonts w:asciiTheme="minorEastAsia" w:eastAsiaTheme="minorEastAsia" w:hAnsiTheme="minorEastAsia" w:hint="eastAsia"/>
          <w:color w:val="000000" w:themeColor="text1"/>
          <w:szCs w:val="21"/>
        </w:rPr>
        <w:t>以外的情形，经基金管理人和基金托管人同意可对《基金合同》进行变更后公布，并报中国证监会备案。</w:t>
      </w:r>
    </w:p>
    <w:p w:rsidR="0002608C" w:rsidRPr="00490741" w:rsidP="00107648">
      <w:pPr>
        <w:adjustRightInd w:val="0"/>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sidR="00CE2F50">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《基金合同》的终止</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有下列情形之一的，基金合同应当终止：</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）基金份额持有人大会决定终止的；</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）基金管理人、基金托管人职责终止，在</w:t>
      </w:r>
      <w:r w:rsidRPr="00490741">
        <w:rPr>
          <w:rFonts w:asciiTheme="minorEastAsia" w:eastAsiaTheme="minorEastAsia" w:hAnsiTheme="minorEastAsia" w:hint="eastAsia"/>
          <w:color w:val="000000" w:themeColor="text1"/>
          <w:szCs w:val="21"/>
        </w:rPr>
        <w:t>6</w:t>
      </w:r>
      <w:r w:rsidRPr="00490741">
        <w:rPr>
          <w:rFonts w:asciiTheme="minorEastAsia" w:eastAsiaTheme="minorEastAsia" w:hAnsiTheme="minorEastAsia" w:hint="eastAsia"/>
          <w:color w:val="000000" w:themeColor="text1"/>
          <w:szCs w:val="21"/>
        </w:rPr>
        <w:t>个月内没有新基金管理人、新基金托管人承接的；</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）《基金合同》约定的其他情形；</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）相关法律法规和中国证监会规定的其他情况。</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 w:val="21"/>
        </w:rPr>
      </w:pPr>
      <w:bookmarkStart w:id="185" w:name="_Toc38437218"/>
      <w:bookmarkStart w:id="186" w:name="_Toc38437354"/>
      <w:bookmarkStart w:id="187" w:name="_Toc38437490"/>
      <w:bookmarkStart w:id="188" w:name="_Toc38437626"/>
      <w:bookmarkStart w:id="189" w:name="_Toc38437772"/>
      <w:bookmarkStart w:id="190" w:name="_Toc38437918"/>
      <w:bookmarkStart w:id="191" w:name="_Toc38438064"/>
      <w:bookmarkStart w:id="192" w:name="_Toc38438210"/>
      <w:bookmarkStart w:id="193" w:name="_Toc38438547"/>
      <w:bookmarkStart w:id="194" w:name="_Toc38438884"/>
      <w:bookmarkStart w:id="195" w:name="_Toc38439221"/>
      <w:bookmarkStart w:id="196" w:name="_Toc38439558"/>
      <w:bookmarkStart w:id="197" w:name="_Toc38439895"/>
      <w:bookmarkStart w:id="198" w:name="_Toc38440232"/>
      <w:bookmarkStart w:id="199" w:name="_Toc38440569"/>
      <w:bookmarkStart w:id="200" w:name="_Toc38440768"/>
      <w:bookmarkStart w:id="201" w:name="_Toc38441101"/>
      <w:bookmarkStart w:id="202" w:name="_Toc38441433"/>
      <w:bookmarkStart w:id="203" w:name="_Toc38441765"/>
      <w:bookmarkStart w:id="204" w:name="_Toc38442093"/>
      <w:bookmarkStart w:id="205" w:name="_Toc38442425"/>
      <w:bookmarkStart w:id="206" w:name="_Toc38442757"/>
      <w:bookmarkStart w:id="207" w:name="_Toc38443088"/>
      <w:bookmarkStart w:id="208" w:name="_Toc38443419"/>
      <w:bookmarkStart w:id="209" w:name="_Toc38443750"/>
      <w:bookmarkStart w:id="210" w:name="_Toc38433500"/>
      <w:bookmarkStart w:id="211" w:name="_Toc38433635"/>
      <w:bookmarkStart w:id="212" w:name="_Toc38433769"/>
      <w:bookmarkStart w:id="213" w:name="_Toc38433919"/>
      <w:bookmarkStart w:id="214" w:name="_Toc38434067"/>
      <w:bookmarkStart w:id="215" w:name="_Toc38434215"/>
      <w:bookmarkStart w:id="216" w:name="_Toc38434361"/>
      <w:bookmarkStart w:id="217" w:name="_Toc38434504"/>
      <w:bookmarkStart w:id="218" w:name="_Toc38434647"/>
      <w:bookmarkStart w:id="219" w:name="_Toc38434790"/>
      <w:bookmarkStart w:id="220" w:name="_Toc38434934"/>
      <w:bookmarkStart w:id="221" w:name="_Toc38437630"/>
      <w:bookmarkStart w:id="222" w:name="_Toc38437776"/>
      <w:bookmarkStart w:id="223" w:name="_Toc38437922"/>
      <w:bookmarkStart w:id="224" w:name="_Toc38438068"/>
      <w:bookmarkStart w:id="225" w:name="_Toc38438214"/>
      <w:bookmarkStart w:id="226" w:name="_Toc38438551"/>
      <w:bookmarkStart w:id="227" w:name="_Toc38438888"/>
      <w:bookmarkStart w:id="228" w:name="_Toc38439225"/>
      <w:bookmarkStart w:id="229" w:name="_Toc38439562"/>
      <w:bookmarkStart w:id="230" w:name="_Toc38439899"/>
      <w:bookmarkStart w:id="231" w:name="_Toc38440236"/>
      <w:bookmarkStart w:id="232" w:name="_Toc38440573"/>
      <w:bookmarkStart w:id="233" w:name="_Toc38440772"/>
      <w:bookmarkStart w:id="234" w:name="_Toc38441105"/>
      <w:bookmarkStart w:id="235" w:name="_Toc38441437"/>
      <w:bookmarkStart w:id="236" w:name="_Toc38441769"/>
      <w:bookmarkStart w:id="237" w:name="_Toc38442097"/>
      <w:bookmarkStart w:id="238" w:name="_Toc38442429"/>
      <w:bookmarkStart w:id="239" w:name="_Toc38442761"/>
      <w:bookmarkStart w:id="240" w:name="_Toc38443092"/>
      <w:bookmarkStart w:id="241" w:name="_Toc38443423"/>
      <w:bookmarkStart w:id="242" w:name="_Toc38443754"/>
      <w:bookmarkStart w:id="243" w:name="_Toc38433501"/>
      <w:bookmarkStart w:id="244" w:name="_Toc38433636"/>
      <w:bookmarkStart w:id="245" w:name="_Toc38433770"/>
      <w:bookmarkStart w:id="246" w:name="_Toc38433920"/>
      <w:bookmarkStart w:id="247" w:name="_Toc38434068"/>
      <w:bookmarkStart w:id="248" w:name="_Toc38434216"/>
      <w:bookmarkStart w:id="249" w:name="_Toc38434362"/>
      <w:bookmarkStart w:id="250" w:name="_Toc38434505"/>
      <w:bookmarkStart w:id="251" w:name="_Toc38434648"/>
      <w:bookmarkStart w:id="252" w:name="_Toc38434791"/>
      <w:bookmarkStart w:id="253" w:name="_Toc38434935"/>
      <w:bookmarkStart w:id="254" w:name="_Toc38437631"/>
      <w:bookmarkStart w:id="255" w:name="_Toc38437777"/>
      <w:bookmarkStart w:id="256" w:name="_Toc38437923"/>
      <w:bookmarkStart w:id="257" w:name="_Toc38438069"/>
      <w:bookmarkStart w:id="258" w:name="_Toc38438215"/>
      <w:bookmarkStart w:id="259" w:name="_Toc38438552"/>
      <w:bookmarkStart w:id="260" w:name="_Toc38438889"/>
      <w:bookmarkStart w:id="261" w:name="_Toc38439226"/>
      <w:bookmarkStart w:id="262" w:name="_Toc38439563"/>
      <w:bookmarkStart w:id="263" w:name="_Toc38439900"/>
      <w:bookmarkStart w:id="264" w:name="_Toc38440237"/>
      <w:bookmarkStart w:id="265" w:name="_Toc38440574"/>
      <w:bookmarkStart w:id="266" w:name="_Toc38440773"/>
      <w:bookmarkStart w:id="267" w:name="_Toc38441106"/>
      <w:bookmarkStart w:id="268" w:name="_Toc38441438"/>
      <w:bookmarkStart w:id="269" w:name="_Toc38441770"/>
      <w:bookmarkStart w:id="270" w:name="_Toc38442098"/>
      <w:bookmarkStart w:id="271" w:name="_Toc38442430"/>
      <w:bookmarkStart w:id="272" w:name="_Toc38442762"/>
      <w:bookmarkStart w:id="273" w:name="_Toc38443093"/>
      <w:bookmarkStart w:id="274" w:name="_Toc38443424"/>
      <w:bookmarkStart w:id="275" w:name="_Toc38443755"/>
      <w:bookmarkStart w:id="276" w:name="_Toc38433502"/>
      <w:bookmarkStart w:id="277" w:name="_Toc38433637"/>
      <w:bookmarkStart w:id="278" w:name="_Toc38433771"/>
      <w:bookmarkStart w:id="279" w:name="_Toc38433921"/>
      <w:bookmarkStart w:id="280" w:name="_Toc38434069"/>
      <w:bookmarkStart w:id="281" w:name="_Toc38434217"/>
      <w:bookmarkStart w:id="282" w:name="_Toc38434363"/>
      <w:bookmarkStart w:id="283" w:name="_Toc38434506"/>
      <w:bookmarkStart w:id="284" w:name="_Toc38434649"/>
      <w:bookmarkStart w:id="285" w:name="_Toc38434792"/>
      <w:bookmarkStart w:id="286" w:name="_Toc38434936"/>
      <w:bookmarkStart w:id="287" w:name="_Toc38437632"/>
      <w:bookmarkStart w:id="288" w:name="_Toc38437778"/>
      <w:bookmarkStart w:id="289" w:name="_Toc38437924"/>
      <w:bookmarkStart w:id="290" w:name="_Toc38438070"/>
      <w:bookmarkStart w:id="291" w:name="_Toc38438216"/>
      <w:bookmarkStart w:id="292" w:name="_Toc38438553"/>
      <w:bookmarkStart w:id="293" w:name="_Toc38438890"/>
      <w:bookmarkStart w:id="294" w:name="_Toc38439227"/>
      <w:bookmarkStart w:id="295" w:name="_Toc38439564"/>
      <w:bookmarkStart w:id="296" w:name="_Toc38439901"/>
      <w:bookmarkStart w:id="297" w:name="_Toc38440238"/>
      <w:bookmarkStart w:id="298" w:name="_Toc38440575"/>
      <w:bookmarkStart w:id="299" w:name="_Toc38440774"/>
      <w:bookmarkStart w:id="300" w:name="_Toc38441107"/>
      <w:bookmarkStart w:id="301" w:name="_Toc38441439"/>
      <w:bookmarkStart w:id="302" w:name="_Toc38441771"/>
      <w:bookmarkStart w:id="303" w:name="_Toc38442099"/>
      <w:bookmarkStart w:id="304" w:name="_Toc38442431"/>
      <w:bookmarkStart w:id="305" w:name="_Toc38442763"/>
      <w:bookmarkStart w:id="306" w:name="_Toc38443094"/>
      <w:bookmarkStart w:id="307" w:name="_Toc38443425"/>
      <w:bookmarkStart w:id="308" w:name="_Toc38443756"/>
      <w:bookmarkStart w:id="309" w:name="_Toc38433503"/>
      <w:bookmarkStart w:id="310" w:name="_Toc38433638"/>
      <w:bookmarkStart w:id="311" w:name="_Toc38433772"/>
      <w:bookmarkStart w:id="312" w:name="_Toc38433922"/>
      <w:bookmarkStart w:id="313" w:name="_Toc38434070"/>
      <w:bookmarkStart w:id="314" w:name="_Toc38434218"/>
      <w:bookmarkStart w:id="315" w:name="_Toc38434364"/>
      <w:bookmarkStart w:id="316" w:name="_Toc38434507"/>
      <w:bookmarkStart w:id="317" w:name="_Toc38434650"/>
      <w:bookmarkStart w:id="318" w:name="_Toc38434793"/>
      <w:bookmarkStart w:id="319" w:name="_Toc38434937"/>
      <w:bookmarkStart w:id="320" w:name="_Toc38437633"/>
      <w:bookmarkStart w:id="321" w:name="_Toc38437779"/>
      <w:bookmarkStart w:id="322" w:name="_Toc38437925"/>
      <w:bookmarkStart w:id="323" w:name="_Toc38438071"/>
      <w:bookmarkStart w:id="324" w:name="_Toc38438217"/>
      <w:bookmarkStart w:id="325" w:name="_Toc38438554"/>
      <w:bookmarkStart w:id="326" w:name="_Toc38438891"/>
      <w:bookmarkStart w:id="327" w:name="_Toc38439228"/>
      <w:bookmarkStart w:id="328" w:name="_Toc38439565"/>
      <w:bookmarkStart w:id="329" w:name="_Toc38439902"/>
      <w:bookmarkStart w:id="330" w:name="_Toc38440239"/>
      <w:bookmarkStart w:id="331" w:name="_Toc38440576"/>
      <w:bookmarkStart w:id="332" w:name="_Toc38440775"/>
      <w:bookmarkStart w:id="333" w:name="_Toc38441108"/>
      <w:bookmarkStart w:id="334" w:name="_Toc38441440"/>
      <w:bookmarkStart w:id="335" w:name="_Toc38441772"/>
      <w:bookmarkStart w:id="336" w:name="_Toc38442100"/>
      <w:bookmarkStart w:id="337" w:name="_Toc38442432"/>
      <w:bookmarkStart w:id="338" w:name="_Toc38442764"/>
      <w:bookmarkStart w:id="339" w:name="_Toc38443095"/>
      <w:bookmarkStart w:id="340" w:name="_Toc38443426"/>
      <w:bookmarkStart w:id="341" w:name="_Toc38443757"/>
      <w:bookmarkStart w:id="342" w:name="_Toc38433504"/>
      <w:bookmarkStart w:id="343" w:name="_Toc38433639"/>
      <w:bookmarkStart w:id="344" w:name="_Toc38433773"/>
      <w:bookmarkStart w:id="345" w:name="_Toc38433923"/>
      <w:bookmarkStart w:id="346" w:name="_Toc38434071"/>
      <w:bookmarkStart w:id="347" w:name="_Toc38434219"/>
      <w:bookmarkStart w:id="348" w:name="_Toc38434365"/>
      <w:bookmarkStart w:id="349" w:name="_Toc38434508"/>
      <w:bookmarkStart w:id="350" w:name="_Toc38434651"/>
      <w:bookmarkStart w:id="351" w:name="_Toc38434794"/>
      <w:bookmarkStart w:id="352" w:name="_Toc38434938"/>
      <w:bookmarkStart w:id="353" w:name="_Toc38437634"/>
      <w:bookmarkStart w:id="354" w:name="_Toc38437780"/>
      <w:bookmarkStart w:id="355" w:name="_Toc38437926"/>
      <w:bookmarkStart w:id="356" w:name="_Toc38438072"/>
      <w:bookmarkStart w:id="357" w:name="_Toc38438218"/>
      <w:bookmarkStart w:id="358" w:name="_Toc38438555"/>
      <w:bookmarkStart w:id="359" w:name="_Toc38438892"/>
      <w:bookmarkStart w:id="360" w:name="_Toc38439229"/>
      <w:bookmarkStart w:id="361" w:name="_Toc38439566"/>
      <w:bookmarkStart w:id="362" w:name="_Toc38439903"/>
      <w:bookmarkStart w:id="363" w:name="_Toc38440240"/>
      <w:bookmarkStart w:id="364" w:name="_Toc38440577"/>
      <w:bookmarkStart w:id="365" w:name="_Toc38440776"/>
      <w:bookmarkStart w:id="366" w:name="_Toc38441109"/>
      <w:bookmarkStart w:id="367" w:name="_Toc38441441"/>
      <w:bookmarkStart w:id="368" w:name="_Toc38441773"/>
      <w:bookmarkStart w:id="369" w:name="_Toc38442101"/>
      <w:bookmarkStart w:id="370" w:name="_Toc38442433"/>
      <w:bookmarkStart w:id="371" w:name="_Toc38442765"/>
      <w:bookmarkStart w:id="372" w:name="_Toc38443096"/>
      <w:bookmarkStart w:id="373" w:name="_Toc38443427"/>
      <w:bookmarkStart w:id="374" w:name="_Toc38443758"/>
      <w:bookmarkStart w:id="375" w:name="_Toc38433505"/>
      <w:bookmarkStart w:id="376" w:name="_Toc38433640"/>
      <w:bookmarkStart w:id="377" w:name="_Toc38433774"/>
      <w:bookmarkStart w:id="378" w:name="_Toc38433924"/>
      <w:bookmarkStart w:id="379" w:name="_Toc38434072"/>
      <w:bookmarkStart w:id="380" w:name="_Toc38434220"/>
      <w:bookmarkStart w:id="381" w:name="_Toc38434366"/>
      <w:bookmarkStart w:id="382" w:name="_Toc38434509"/>
      <w:bookmarkStart w:id="383" w:name="_Toc38434652"/>
      <w:bookmarkStart w:id="384" w:name="_Toc38434795"/>
      <w:bookmarkStart w:id="385" w:name="_Toc38434939"/>
      <w:bookmarkStart w:id="386" w:name="_Toc38437635"/>
      <w:bookmarkStart w:id="387" w:name="_Toc38437781"/>
      <w:bookmarkStart w:id="388" w:name="_Toc38437927"/>
      <w:bookmarkStart w:id="389" w:name="_Toc38438073"/>
      <w:bookmarkStart w:id="390" w:name="_Toc38438219"/>
      <w:bookmarkStart w:id="391" w:name="_Toc38438556"/>
      <w:bookmarkStart w:id="392" w:name="_Toc38438893"/>
      <w:bookmarkStart w:id="393" w:name="_Toc38439230"/>
      <w:bookmarkStart w:id="394" w:name="_Toc38439567"/>
      <w:bookmarkStart w:id="395" w:name="_Toc38439904"/>
      <w:bookmarkStart w:id="396" w:name="_Toc38440241"/>
      <w:bookmarkStart w:id="397" w:name="_Toc38440578"/>
      <w:bookmarkStart w:id="398" w:name="_Toc38440777"/>
      <w:bookmarkStart w:id="399" w:name="_Toc38441110"/>
      <w:bookmarkStart w:id="400" w:name="_Toc38441442"/>
      <w:bookmarkStart w:id="401" w:name="_Toc38441774"/>
      <w:bookmarkStart w:id="402" w:name="_Toc38442102"/>
      <w:bookmarkStart w:id="403" w:name="_Toc38442434"/>
      <w:bookmarkStart w:id="404" w:name="_Toc38442766"/>
      <w:bookmarkStart w:id="405" w:name="_Toc38443097"/>
      <w:bookmarkStart w:id="406" w:name="_Toc38443428"/>
      <w:bookmarkStart w:id="407" w:name="_Toc38443759"/>
      <w:bookmarkStart w:id="408" w:name="_Toc38433506"/>
      <w:bookmarkStart w:id="409" w:name="_Toc38433641"/>
      <w:bookmarkStart w:id="410" w:name="_Toc38433775"/>
      <w:bookmarkStart w:id="411" w:name="_Toc38433925"/>
      <w:bookmarkStart w:id="412" w:name="_Toc38434073"/>
      <w:bookmarkStart w:id="413" w:name="_Toc38434221"/>
      <w:bookmarkStart w:id="414" w:name="_Toc38434367"/>
      <w:bookmarkStart w:id="415" w:name="_Toc38434510"/>
      <w:bookmarkStart w:id="416" w:name="_Toc38434653"/>
      <w:bookmarkStart w:id="417" w:name="_Toc38434796"/>
      <w:bookmarkStart w:id="418" w:name="_Toc38434940"/>
      <w:bookmarkStart w:id="419" w:name="_Toc38437636"/>
      <w:bookmarkStart w:id="420" w:name="_Toc38437782"/>
      <w:bookmarkStart w:id="421" w:name="_Toc38437928"/>
      <w:bookmarkStart w:id="422" w:name="_Toc38438074"/>
      <w:bookmarkStart w:id="423" w:name="_Toc38438220"/>
      <w:bookmarkStart w:id="424" w:name="_Toc38438557"/>
      <w:bookmarkStart w:id="425" w:name="_Toc38438894"/>
      <w:bookmarkStart w:id="426" w:name="_Toc38439231"/>
      <w:bookmarkStart w:id="427" w:name="_Toc38439568"/>
      <w:bookmarkStart w:id="428" w:name="_Toc38439905"/>
      <w:bookmarkStart w:id="429" w:name="_Toc38440242"/>
      <w:bookmarkStart w:id="430" w:name="_Toc38440579"/>
      <w:bookmarkStart w:id="431" w:name="_Toc38440778"/>
      <w:bookmarkStart w:id="432" w:name="_Toc38441111"/>
      <w:bookmarkStart w:id="433" w:name="_Toc38441443"/>
      <w:bookmarkStart w:id="434" w:name="_Toc38441775"/>
      <w:bookmarkStart w:id="435" w:name="_Toc38442103"/>
      <w:bookmarkStart w:id="436" w:name="_Toc38442435"/>
      <w:bookmarkStart w:id="437" w:name="_Toc38442767"/>
      <w:bookmarkStart w:id="438" w:name="_Toc38443098"/>
      <w:bookmarkStart w:id="439" w:name="_Toc38443429"/>
      <w:bookmarkStart w:id="440" w:name="_Toc38443760"/>
      <w:bookmarkStart w:id="441" w:name="_Toc38433507"/>
      <w:bookmarkStart w:id="442" w:name="_Toc38433642"/>
      <w:bookmarkStart w:id="443" w:name="_Toc38433776"/>
      <w:bookmarkStart w:id="444" w:name="_Toc38433926"/>
      <w:bookmarkStart w:id="445" w:name="_Toc38434074"/>
      <w:bookmarkStart w:id="446" w:name="_Toc38434222"/>
      <w:bookmarkStart w:id="447" w:name="_Toc38434368"/>
      <w:bookmarkStart w:id="448" w:name="_Toc38434511"/>
      <w:bookmarkStart w:id="449" w:name="_Toc38434654"/>
      <w:bookmarkStart w:id="450" w:name="_Toc38434797"/>
      <w:bookmarkStart w:id="451" w:name="_Toc38434941"/>
      <w:bookmarkStart w:id="452" w:name="_Toc38437637"/>
      <w:bookmarkStart w:id="453" w:name="_Toc38437783"/>
      <w:bookmarkStart w:id="454" w:name="_Toc38437929"/>
      <w:bookmarkStart w:id="455" w:name="_Toc38438075"/>
      <w:bookmarkStart w:id="456" w:name="_Toc38438221"/>
      <w:bookmarkStart w:id="457" w:name="_Toc38438558"/>
      <w:bookmarkStart w:id="458" w:name="_Toc38438895"/>
      <w:bookmarkStart w:id="459" w:name="_Toc38439232"/>
      <w:bookmarkStart w:id="460" w:name="_Toc38439569"/>
      <w:bookmarkStart w:id="461" w:name="_Toc38439906"/>
      <w:bookmarkStart w:id="462" w:name="_Toc38440243"/>
      <w:bookmarkStart w:id="463" w:name="_Toc38440580"/>
      <w:bookmarkStart w:id="464" w:name="_Toc38440779"/>
      <w:bookmarkStart w:id="465" w:name="_Toc38441112"/>
      <w:bookmarkStart w:id="466" w:name="_Toc38441444"/>
      <w:bookmarkStart w:id="467" w:name="_Toc38441776"/>
      <w:bookmarkStart w:id="468" w:name="_Toc38442104"/>
      <w:bookmarkStart w:id="469" w:name="_Toc38442436"/>
      <w:bookmarkStart w:id="470" w:name="_Toc38442768"/>
      <w:bookmarkStart w:id="471" w:name="_Toc38443099"/>
      <w:bookmarkStart w:id="472" w:name="_Toc38443430"/>
      <w:bookmarkStart w:id="473" w:name="_Toc38443761"/>
      <w:bookmarkStart w:id="474" w:name="_Toc38433508"/>
      <w:bookmarkStart w:id="475" w:name="_Toc38433643"/>
      <w:bookmarkStart w:id="476" w:name="_Toc38433777"/>
      <w:bookmarkStart w:id="477" w:name="_Toc38433927"/>
      <w:bookmarkStart w:id="478" w:name="_Toc38434075"/>
      <w:bookmarkStart w:id="479" w:name="_Toc38434223"/>
      <w:bookmarkStart w:id="480" w:name="_Toc38434369"/>
      <w:bookmarkStart w:id="481" w:name="_Toc38434512"/>
      <w:bookmarkStart w:id="482" w:name="_Toc38434655"/>
      <w:bookmarkStart w:id="483" w:name="_Toc38434798"/>
      <w:bookmarkStart w:id="484" w:name="_Toc38434942"/>
      <w:bookmarkStart w:id="485" w:name="_Toc38437638"/>
      <w:bookmarkStart w:id="486" w:name="_Toc38437784"/>
      <w:bookmarkStart w:id="487" w:name="_Toc38437930"/>
      <w:bookmarkStart w:id="488" w:name="_Toc38438076"/>
      <w:bookmarkStart w:id="489" w:name="_Toc38438222"/>
      <w:bookmarkStart w:id="490" w:name="_Toc38438559"/>
      <w:bookmarkStart w:id="491" w:name="_Toc38438896"/>
      <w:bookmarkStart w:id="492" w:name="_Toc38439233"/>
      <w:bookmarkStart w:id="493" w:name="_Toc38439570"/>
      <w:bookmarkStart w:id="494" w:name="_Toc38439907"/>
      <w:bookmarkStart w:id="495" w:name="_Toc38440244"/>
      <w:bookmarkStart w:id="496" w:name="_Toc38440581"/>
      <w:bookmarkStart w:id="497" w:name="_Toc38440780"/>
      <w:bookmarkStart w:id="498" w:name="_Toc38441113"/>
      <w:bookmarkStart w:id="499" w:name="_Toc38441445"/>
      <w:bookmarkStart w:id="500" w:name="_Toc38441777"/>
      <w:bookmarkStart w:id="501" w:name="_Toc38442105"/>
      <w:bookmarkStart w:id="502" w:name="_Toc38442437"/>
      <w:bookmarkStart w:id="503" w:name="_Toc38442769"/>
      <w:bookmarkStart w:id="504" w:name="_Toc38443100"/>
      <w:bookmarkStart w:id="505" w:name="_Toc38443431"/>
      <w:bookmarkStart w:id="506" w:name="_Toc38443762"/>
      <w:bookmarkStart w:id="507" w:name="_Toc38433510"/>
      <w:bookmarkStart w:id="508" w:name="_Toc38433645"/>
      <w:bookmarkStart w:id="509" w:name="_Toc38433779"/>
      <w:bookmarkStart w:id="510" w:name="_Toc38433929"/>
      <w:bookmarkStart w:id="511" w:name="_Toc38434077"/>
      <w:bookmarkStart w:id="512" w:name="_Toc38434225"/>
      <w:bookmarkStart w:id="513" w:name="_Toc38434371"/>
      <w:bookmarkStart w:id="514" w:name="_Toc38434514"/>
      <w:bookmarkStart w:id="515" w:name="_Toc38434657"/>
      <w:bookmarkStart w:id="516" w:name="_Toc38434800"/>
      <w:bookmarkStart w:id="517" w:name="_Toc38434944"/>
      <w:bookmarkStart w:id="518" w:name="_Toc38437640"/>
      <w:bookmarkStart w:id="519" w:name="_Toc38437786"/>
      <w:bookmarkStart w:id="520" w:name="_Toc38437932"/>
      <w:bookmarkStart w:id="521" w:name="_Toc38438078"/>
      <w:bookmarkStart w:id="522" w:name="_Toc38438224"/>
      <w:bookmarkStart w:id="523" w:name="_Toc38438561"/>
      <w:bookmarkStart w:id="524" w:name="_Toc38438898"/>
      <w:bookmarkStart w:id="525" w:name="_Toc38439235"/>
      <w:bookmarkStart w:id="526" w:name="_Toc38439572"/>
      <w:bookmarkStart w:id="527" w:name="_Toc38439909"/>
      <w:bookmarkStart w:id="528" w:name="_Toc38440246"/>
      <w:bookmarkStart w:id="529" w:name="_Toc38440583"/>
      <w:bookmarkStart w:id="530" w:name="_Toc38440782"/>
      <w:bookmarkStart w:id="531" w:name="_Toc38441115"/>
      <w:bookmarkStart w:id="532" w:name="_Toc38441447"/>
      <w:bookmarkStart w:id="533" w:name="_Toc38441779"/>
      <w:bookmarkStart w:id="534" w:name="_Toc38442107"/>
      <w:bookmarkStart w:id="535" w:name="_Toc38442439"/>
      <w:bookmarkStart w:id="536" w:name="_Toc38442771"/>
      <w:bookmarkStart w:id="537" w:name="_Toc38443102"/>
      <w:bookmarkStart w:id="538" w:name="_Toc38443433"/>
      <w:bookmarkStart w:id="539" w:name="_Toc38443764"/>
      <w:bookmarkStart w:id="540" w:name="_Toc13148353"/>
      <w:bookmarkStart w:id="541" w:name="_Toc13150581"/>
      <w:bookmarkStart w:id="542" w:name="_Toc13291966"/>
      <w:bookmarkStart w:id="543" w:name="_Toc13504692"/>
      <w:bookmarkStart w:id="544" w:name="_Toc13504808"/>
      <w:bookmarkStart w:id="545" w:name="_Toc13556301"/>
      <w:bookmarkStart w:id="546" w:name="_Toc14337423"/>
      <w:bookmarkStart w:id="547" w:name="_Toc13148354"/>
      <w:bookmarkStart w:id="548" w:name="_Toc13150582"/>
      <w:bookmarkStart w:id="549" w:name="_Toc13291967"/>
      <w:bookmarkStart w:id="550" w:name="_Toc13504693"/>
      <w:bookmarkStart w:id="551" w:name="_Toc13504809"/>
      <w:bookmarkStart w:id="552" w:name="_Toc13556302"/>
      <w:bookmarkStart w:id="553" w:name="_Toc14337424"/>
      <w:bookmarkStart w:id="554" w:name="_Toc13148355"/>
      <w:bookmarkStart w:id="555" w:name="_Toc13150583"/>
      <w:bookmarkStart w:id="556" w:name="_Toc13291968"/>
      <w:bookmarkStart w:id="557" w:name="_Toc13504694"/>
      <w:bookmarkStart w:id="558" w:name="_Toc13504810"/>
      <w:bookmarkStart w:id="559" w:name="_Toc13556303"/>
      <w:bookmarkStart w:id="560" w:name="_Toc14337425"/>
      <w:bookmarkStart w:id="561" w:name="_Toc13148356"/>
      <w:bookmarkStart w:id="562" w:name="_Toc13150584"/>
      <w:bookmarkStart w:id="563" w:name="_Toc13291969"/>
      <w:bookmarkStart w:id="564" w:name="_Toc13504695"/>
      <w:bookmarkStart w:id="565" w:name="_Toc13504811"/>
      <w:bookmarkStart w:id="566" w:name="_Toc13556304"/>
      <w:bookmarkStart w:id="567" w:name="_Toc14337426"/>
      <w:bookmarkStart w:id="568" w:name="_Toc13148357"/>
      <w:bookmarkStart w:id="569" w:name="_Toc13150585"/>
      <w:bookmarkStart w:id="570" w:name="_Toc13291970"/>
      <w:bookmarkStart w:id="571" w:name="_Toc13504696"/>
      <w:bookmarkStart w:id="572" w:name="_Toc13504812"/>
      <w:bookmarkStart w:id="573" w:name="_Toc13556305"/>
      <w:bookmarkStart w:id="574" w:name="_Toc14337427"/>
      <w:bookmarkStart w:id="575" w:name="_Toc13148358"/>
      <w:bookmarkStart w:id="576" w:name="_Toc13150586"/>
      <w:bookmarkStart w:id="577" w:name="_Toc13291971"/>
      <w:bookmarkStart w:id="578" w:name="_Toc13504697"/>
      <w:bookmarkStart w:id="579" w:name="_Toc13504813"/>
      <w:bookmarkStart w:id="580" w:name="_Toc13556306"/>
      <w:bookmarkStart w:id="581" w:name="_Toc14337428"/>
      <w:bookmarkStart w:id="582" w:name="_Toc13148359"/>
      <w:bookmarkStart w:id="583" w:name="_Toc13150587"/>
      <w:bookmarkStart w:id="584" w:name="_Toc13291972"/>
      <w:bookmarkStart w:id="585" w:name="_Toc13504698"/>
      <w:bookmarkStart w:id="586" w:name="_Toc13504814"/>
      <w:bookmarkStart w:id="587" w:name="_Toc13556307"/>
      <w:bookmarkStart w:id="588" w:name="_Toc14337429"/>
      <w:bookmarkStart w:id="589" w:name="_Toc13148360"/>
      <w:bookmarkStart w:id="590" w:name="_Toc13150588"/>
      <w:bookmarkStart w:id="591" w:name="_Toc13291973"/>
      <w:bookmarkStart w:id="592" w:name="_Toc13504699"/>
      <w:bookmarkStart w:id="593" w:name="_Toc13504815"/>
      <w:bookmarkStart w:id="594" w:name="_Toc13556308"/>
      <w:bookmarkStart w:id="595" w:name="_Toc14337430"/>
      <w:bookmarkStart w:id="596" w:name="_Toc13148361"/>
      <w:bookmarkStart w:id="597" w:name="_Toc13150589"/>
      <w:bookmarkStart w:id="598" w:name="_Toc13291974"/>
      <w:bookmarkStart w:id="599" w:name="_Toc13504700"/>
      <w:bookmarkStart w:id="600" w:name="_Toc13504816"/>
      <w:bookmarkStart w:id="601" w:name="_Toc13556309"/>
      <w:bookmarkStart w:id="602" w:name="_Toc14337431"/>
      <w:bookmarkStart w:id="603" w:name="_Toc13148362"/>
      <w:bookmarkStart w:id="604" w:name="_Toc13150590"/>
      <w:bookmarkStart w:id="605" w:name="_Toc13291975"/>
      <w:bookmarkStart w:id="606" w:name="_Toc13504701"/>
      <w:bookmarkStart w:id="607" w:name="_Toc13504817"/>
      <w:bookmarkStart w:id="608" w:name="_Toc13556310"/>
      <w:bookmarkStart w:id="609" w:name="_Toc14337432"/>
      <w:bookmarkStart w:id="610" w:name="_Toc13148369"/>
      <w:bookmarkStart w:id="611" w:name="_Toc13150597"/>
      <w:bookmarkStart w:id="612" w:name="_Toc13291982"/>
      <w:bookmarkStart w:id="613" w:name="_Toc13504708"/>
      <w:bookmarkStart w:id="614" w:name="_Toc13504824"/>
      <w:bookmarkStart w:id="615" w:name="_Toc13556317"/>
      <w:bookmarkStart w:id="616" w:name="_Toc14337439"/>
      <w:bookmarkStart w:id="617" w:name="_Toc13148370"/>
      <w:bookmarkStart w:id="618" w:name="_Toc13150598"/>
      <w:bookmarkStart w:id="619" w:name="_Toc13291983"/>
      <w:bookmarkStart w:id="620" w:name="_Toc13504709"/>
      <w:bookmarkStart w:id="621" w:name="_Toc13504825"/>
      <w:bookmarkStart w:id="622" w:name="_Toc13556318"/>
      <w:bookmarkStart w:id="623" w:name="_Toc14337440"/>
      <w:bookmarkStart w:id="624" w:name="_Toc13148371"/>
      <w:bookmarkStart w:id="625" w:name="_Toc13150599"/>
      <w:bookmarkStart w:id="626" w:name="_Toc13291984"/>
      <w:bookmarkStart w:id="627" w:name="_Toc13504710"/>
      <w:bookmarkStart w:id="628" w:name="_Toc13504826"/>
      <w:bookmarkStart w:id="629" w:name="_Toc13556319"/>
      <w:bookmarkStart w:id="630" w:name="_Toc14337441"/>
      <w:bookmarkStart w:id="631" w:name="_Toc13148372"/>
      <w:bookmarkStart w:id="632" w:name="_Toc13150600"/>
      <w:bookmarkStart w:id="633" w:name="_Toc13291985"/>
      <w:bookmarkStart w:id="634" w:name="_Toc13504711"/>
      <w:bookmarkStart w:id="635" w:name="_Toc13504827"/>
      <w:bookmarkStart w:id="636" w:name="_Toc13556320"/>
      <w:bookmarkStart w:id="637" w:name="_Toc14337442"/>
      <w:bookmarkStart w:id="638" w:name="_Toc13148373"/>
      <w:bookmarkStart w:id="639" w:name="_Toc13150601"/>
      <w:bookmarkStart w:id="640" w:name="_Toc13291986"/>
      <w:bookmarkStart w:id="641" w:name="_Toc13504712"/>
      <w:bookmarkStart w:id="642" w:name="_Toc13504828"/>
      <w:bookmarkStart w:id="643" w:name="_Toc13556321"/>
      <w:bookmarkStart w:id="644" w:name="_Toc14337443"/>
      <w:bookmarkStart w:id="645" w:name="_Toc13148374"/>
      <w:bookmarkStart w:id="646" w:name="_Toc13150602"/>
      <w:bookmarkStart w:id="647" w:name="_Toc13291987"/>
      <w:bookmarkStart w:id="648" w:name="_Toc13504713"/>
      <w:bookmarkStart w:id="649" w:name="_Toc13504829"/>
      <w:bookmarkStart w:id="650" w:name="_Toc13556322"/>
      <w:bookmarkStart w:id="651" w:name="_Toc14337444"/>
      <w:bookmarkStart w:id="652" w:name="_Toc13148376"/>
      <w:bookmarkStart w:id="653" w:name="_Toc13150604"/>
      <w:bookmarkStart w:id="654" w:name="_Toc13291989"/>
      <w:bookmarkStart w:id="655" w:name="_Toc13504715"/>
      <w:bookmarkStart w:id="656" w:name="_Toc13504831"/>
      <w:bookmarkStart w:id="657" w:name="_Toc13556324"/>
      <w:bookmarkStart w:id="658" w:name="_Toc14337446"/>
      <w:bookmarkStart w:id="659" w:name="_Toc13148377"/>
      <w:bookmarkStart w:id="660" w:name="_Toc13150605"/>
      <w:bookmarkStart w:id="661" w:name="_Toc13291990"/>
      <w:bookmarkStart w:id="662" w:name="_Toc13504716"/>
      <w:bookmarkStart w:id="663" w:name="_Toc13504832"/>
      <w:bookmarkStart w:id="664" w:name="_Toc13556325"/>
      <w:bookmarkStart w:id="665" w:name="_Toc14337447"/>
      <w:bookmarkStart w:id="666" w:name="_Toc13148379"/>
      <w:bookmarkStart w:id="667" w:name="_Toc13150607"/>
      <w:bookmarkStart w:id="668" w:name="_Toc13291992"/>
      <w:bookmarkStart w:id="669" w:name="_Toc13504718"/>
      <w:bookmarkStart w:id="670" w:name="_Toc13504834"/>
      <w:bookmarkStart w:id="671" w:name="_Toc13556327"/>
      <w:bookmarkStart w:id="672" w:name="_Toc14337449"/>
      <w:bookmarkStart w:id="673" w:name="_Toc13148381"/>
      <w:bookmarkStart w:id="674" w:name="_Toc13150609"/>
      <w:bookmarkStart w:id="675" w:name="_Toc13291994"/>
      <w:bookmarkStart w:id="676" w:name="_Toc13504720"/>
      <w:bookmarkStart w:id="677" w:name="_Toc13504836"/>
      <w:bookmarkStart w:id="678" w:name="_Toc13556329"/>
      <w:bookmarkStart w:id="679" w:name="_Toc14337451"/>
      <w:bookmarkStart w:id="680" w:name="_Toc13148384"/>
      <w:bookmarkStart w:id="681" w:name="_Toc13150612"/>
      <w:bookmarkStart w:id="682" w:name="_Toc13291997"/>
      <w:bookmarkStart w:id="683" w:name="_Toc13504723"/>
      <w:bookmarkStart w:id="684" w:name="_Toc13504839"/>
      <w:bookmarkStart w:id="685" w:name="_Toc13556332"/>
      <w:bookmarkStart w:id="686" w:name="_Toc14337454"/>
      <w:bookmarkStart w:id="687" w:name="_Toc13148385"/>
      <w:bookmarkStart w:id="688" w:name="_Toc13150613"/>
      <w:bookmarkStart w:id="689" w:name="_Toc13291998"/>
      <w:bookmarkStart w:id="690" w:name="_Toc13504724"/>
      <w:bookmarkStart w:id="691" w:name="_Toc13504840"/>
      <w:bookmarkStart w:id="692" w:name="_Toc13556333"/>
      <w:bookmarkStart w:id="693" w:name="_Toc14337455"/>
      <w:bookmarkStart w:id="694" w:name="_Toc13148390"/>
      <w:bookmarkStart w:id="695" w:name="_Toc13150618"/>
      <w:bookmarkStart w:id="696" w:name="_Toc13292003"/>
      <w:bookmarkStart w:id="697" w:name="_Toc13504729"/>
      <w:bookmarkStart w:id="698" w:name="_Toc13504845"/>
      <w:bookmarkStart w:id="699" w:name="_Toc13556338"/>
      <w:bookmarkStart w:id="700" w:name="_Toc14337460"/>
      <w:bookmarkStart w:id="701" w:name="_Toc13148391"/>
      <w:bookmarkStart w:id="702" w:name="_Toc13150619"/>
      <w:bookmarkStart w:id="703" w:name="_Toc13292004"/>
      <w:bookmarkStart w:id="704" w:name="_Toc13504730"/>
      <w:bookmarkStart w:id="705" w:name="_Toc13504846"/>
      <w:bookmarkStart w:id="706" w:name="_Toc13556339"/>
      <w:bookmarkStart w:id="707" w:name="_Toc14337461"/>
      <w:bookmarkStart w:id="708" w:name="_Toc13148392"/>
      <w:bookmarkStart w:id="709" w:name="_Toc13150620"/>
      <w:bookmarkStart w:id="710" w:name="_Toc13292005"/>
      <w:bookmarkStart w:id="711" w:name="_Toc13504731"/>
      <w:bookmarkStart w:id="712" w:name="_Toc13504847"/>
      <w:bookmarkStart w:id="713" w:name="_Toc13556340"/>
      <w:bookmarkStart w:id="714" w:name="_Toc14337462"/>
      <w:bookmarkStart w:id="715" w:name="_Toc13148393"/>
      <w:bookmarkStart w:id="716" w:name="_Toc13150621"/>
      <w:bookmarkStart w:id="717" w:name="_Toc13292006"/>
      <w:bookmarkStart w:id="718" w:name="_Toc13504732"/>
      <w:bookmarkStart w:id="719" w:name="_Toc13504848"/>
      <w:bookmarkStart w:id="720" w:name="_Toc13556341"/>
      <w:bookmarkStart w:id="721" w:name="_Toc14337463"/>
      <w:bookmarkStart w:id="722" w:name="_Toc13148394"/>
      <w:bookmarkStart w:id="723" w:name="_Toc13150622"/>
      <w:bookmarkStart w:id="724" w:name="_Toc13292007"/>
      <w:bookmarkStart w:id="725" w:name="_Toc13504733"/>
      <w:bookmarkStart w:id="726" w:name="_Toc13504849"/>
      <w:bookmarkStart w:id="727" w:name="_Toc13556342"/>
      <w:bookmarkStart w:id="728" w:name="_Toc14337464"/>
      <w:bookmarkStart w:id="729" w:name="_Toc13148395"/>
      <w:bookmarkStart w:id="730" w:name="_Toc13150623"/>
      <w:bookmarkStart w:id="731" w:name="_Toc13292008"/>
      <w:bookmarkStart w:id="732" w:name="_Toc13504734"/>
      <w:bookmarkStart w:id="733" w:name="_Toc13504850"/>
      <w:bookmarkStart w:id="734" w:name="_Toc13556343"/>
      <w:bookmarkStart w:id="735" w:name="_Toc14337465"/>
      <w:bookmarkStart w:id="736" w:name="_Toc13148396"/>
      <w:bookmarkStart w:id="737" w:name="_Toc13150624"/>
      <w:bookmarkStart w:id="738" w:name="_Toc13292009"/>
      <w:bookmarkStart w:id="739" w:name="_Toc13504735"/>
      <w:bookmarkStart w:id="740" w:name="_Toc13504851"/>
      <w:bookmarkStart w:id="741" w:name="_Toc13556344"/>
      <w:bookmarkStart w:id="742" w:name="_Toc14337466"/>
      <w:bookmarkStart w:id="743" w:name="_Toc13148397"/>
      <w:bookmarkStart w:id="744" w:name="_Toc13150625"/>
      <w:bookmarkStart w:id="745" w:name="_Toc13292010"/>
      <w:bookmarkStart w:id="746" w:name="_Toc13504736"/>
      <w:bookmarkStart w:id="747" w:name="_Toc13504852"/>
      <w:bookmarkStart w:id="748" w:name="_Toc13556345"/>
      <w:bookmarkStart w:id="749" w:name="_Toc14337467"/>
      <w:bookmarkStart w:id="750" w:name="_Toc13148398"/>
      <w:bookmarkStart w:id="751" w:name="_Toc13150626"/>
      <w:bookmarkStart w:id="752" w:name="_Toc13292011"/>
      <w:bookmarkStart w:id="753" w:name="_Toc13504737"/>
      <w:bookmarkStart w:id="754" w:name="_Toc13504853"/>
      <w:bookmarkStart w:id="755" w:name="_Toc13556346"/>
      <w:bookmarkStart w:id="756" w:name="_Toc14337468"/>
      <w:bookmarkStart w:id="757" w:name="_Toc13148399"/>
      <w:bookmarkStart w:id="758" w:name="_Toc13150627"/>
      <w:bookmarkStart w:id="759" w:name="_Toc13292012"/>
      <w:bookmarkStart w:id="760" w:name="_Toc13504738"/>
      <w:bookmarkStart w:id="761" w:name="_Toc13504854"/>
      <w:bookmarkStart w:id="762" w:name="_Toc13556347"/>
      <w:bookmarkStart w:id="763" w:name="_Toc14337469"/>
      <w:bookmarkStart w:id="764" w:name="_Toc13148400"/>
      <w:bookmarkStart w:id="765" w:name="_Toc13150628"/>
      <w:bookmarkStart w:id="766" w:name="_Toc13292013"/>
      <w:bookmarkStart w:id="767" w:name="_Toc13504739"/>
      <w:bookmarkStart w:id="768" w:name="_Toc13504855"/>
      <w:bookmarkStart w:id="769" w:name="_Toc13556348"/>
      <w:bookmarkStart w:id="770" w:name="_Toc14337470"/>
      <w:bookmarkStart w:id="771" w:name="_Toc13148401"/>
      <w:bookmarkStart w:id="772" w:name="_Toc13150629"/>
      <w:bookmarkStart w:id="773" w:name="_Toc13292014"/>
      <w:bookmarkStart w:id="774" w:name="_Toc13504740"/>
      <w:bookmarkStart w:id="775" w:name="_Toc13504856"/>
      <w:bookmarkStart w:id="776" w:name="_Toc13556349"/>
      <w:bookmarkStart w:id="777" w:name="_Toc14337471"/>
      <w:bookmarkStart w:id="778" w:name="_Toc13148402"/>
      <w:bookmarkStart w:id="779" w:name="_Toc13150630"/>
      <w:bookmarkStart w:id="780" w:name="_Toc13292015"/>
      <w:bookmarkStart w:id="781" w:name="_Toc13504741"/>
      <w:bookmarkStart w:id="782" w:name="_Toc13504857"/>
      <w:bookmarkStart w:id="783" w:name="_Toc13556350"/>
      <w:bookmarkStart w:id="784" w:name="_Toc14337472"/>
      <w:bookmarkStart w:id="785" w:name="_Toc13148408"/>
      <w:bookmarkStart w:id="786" w:name="_Toc13150636"/>
      <w:bookmarkStart w:id="787" w:name="_Toc13292021"/>
      <w:bookmarkStart w:id="788" w:name="_Toc13504747"/>
      <w:bookmarkStart w:id="789" w:name="_Toc13504863"/>
      <w:bookmarkStart w:id="790" w:name="_Toc13556356"/>
      <w:bookmarkStart w:id="791" w:name="_Toc14337478"/>
      <w:bookmarkStart w:id="792" w:name="_Toc13148409"/>
      <w:bookmarkStart w:id="793" w:name="_Toc13150637"/>
      <w:bookmarkStart w:id="794" w:name="_Toc13292022"/>
      <w:bookmarkStart w:id="795" w:name="_Toc13504748"/>
      <w:bookmarkStart w:id="796" w:name="_Toc13504864"/>
      <w:bookmarkStart w:id="797" w:name="_Toc13556357"/>
      <w:bookmarkStart w:id="798" w:name="_Toc14337479"/>
      <w:bookmarkStart w:id="799" w:name="_Toc13148411"/>
      <w:bookmarkStart w:id="800" w:name="_Toc13150639"/>
      <w:bookmarkStart w:id="801" w:name="_Toc13292024"/>
      <w:bookmarkStart w:id="802" w:name="_Toc13504750"/>
      <w:bookmarkStart w:id="803" w:name="_Toc13504866"/>
      <w:bookmarkStart w:id="804" w:name="_Toc13556359"/>
      <w:bookmarkStart w:id="805" w:name="_Toc14337481"/>
      <w:bookmarkStart w:id="806" w:name="_Toc13148412"/>
      <w:bookmarkStart w:id="807" w:name="_Toc13150640"/>
      <w:bookmarkStart w:id="808" w:name="_Toc13292025"/>
      <w:bookmarkStart w:id="809" w:name="_Toc13504751"/>
      <w:bookmarkStart w:id="810" w:name="_Toc13504867"/>
      <w:bookmarkStart w:id="811" w:name="_Toc13556360"/>
      <w:bookmarkStart w:id="812" w:name="_Toc14337482"/>
      <w:bookmarkStart w:id="813" w:name="_Toc13148413"/>
      <w:bookmarkStart w:id="814" w:name="_Toc13150641"/>
      <w:bookmarkStart w:id="815" w:name="_Toc13292026"/>
      <w:bookmarkStart w:id="816" w:name="_Toc13504752"/>
      <w:bookmarkStart w:id="817" w:name="_Toc13504868"/>
      <w:bookmarkStart w:id="818" w:name="_Toc13556361"/>
      <w:bookmarkStart w:id="819" w:name="_Toc14337483"/>
      <w:bookmarkStart w:id="820" w:name="_Toc114237478"/>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490741">
        <w:rPr>
          <w:rFonts w:asciiTheme="minorEastAsia" w:eastAsiaTheme="minorEastAsia" w:hAnsiTheme="minorEastAsia" w:hint="eastAsia"/>
          <w:b w:val="0"/>
          <w:bCs/>
          <w:color w:val="000000" w:themeColor="text1"/>
          <w:sz w:val="21"/>
        </w:rPr>
        <w:t>（七）争议的处理</w:t>
      </w:r>
      <w:bookmarkStart w:id="821" w:name="_Toc38438236"/>
      <w:bookmarkStart w:id="822" w:name="_Toc38438573"/>
      <w:bookmarkStart w:id="823" w:name="_Toc38438910"/>
      <w:bookmarkStart w:id="824" w:name="_Toc38439247"/>
      <w:bookmarkStart w:id="825" w:name="_Toc38439584"/>
      <w:bookmarkStart w:id="826" w:name="_Toc38439921"/>
      <w:bookmarkStart w:id="827" w:name="_Toc38440258"/>
      <w:bookmarkStart w:id="828" w:name="_Toc38440595"/>
      <w:bookmarkStart w:id="829" w:name="_Toc38440794"/>
      <w:bookmarkStart w:id="830" w:name="_Toc38441127"/>
      <w:bookmarkStart w:id="831" w:name="_Toc38441459"/>
      <w:bookmarkStart w:id="832" w:name="_Toc38441791"/>
      <w:bookmarkStart w:id="833" w:name="_Toc38442119"/>
      <w:bookmarkStart w:id="834" w:name="_Toc38442451"/>
      <w:bookmarkStart w:id="835" w:name="_Toc38442783"/>
      <w:bookmarkStart w:id="836" w:name="_Toc38443114"/>
      <w:bookmarkStart w:id="837" w:name="_Toc38443445"/>
      <w:bookmarkStart w:id="838" w:name="_Toc38443776"/>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20"/>
    </w:p>
    <w:p w:rsidR="0002608C" w:rsidRPr="00490741" w:rsidP="00107648">
      <w:pPr>
        <w:autoSpaceDE w:val="0"/>
        <w:autoSpaceDN w:val="0"/>
        <w:snapToGrid w:val="0"/>
        <w:spacing w:line="360" w:lineRule="auto"/>
        <w:ind w:firstLine="420" w:firstLineChars="200"/>
        <w:textAlignment w:val="bottom"/>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各方当事人同意，因《基金合同》而产生的或与《基金合同》有关的一切争议，如经友好协商未能解决的，应提交中国国际经济贸易仲裁委员会根据该会当时有效的仲裁规则进行</w:t>
      </w:r>
      <w:r w:rsidRPr="00490741">
        <w:rPr>
          <w:rFonts w:asciiTheme="minorEastAsia" w:eastAsiaTheme="minorEastAsia" w:hAnsiTheme="minorEastAsia" w:hint="eastAsia"/>
          <w:color w:val="000000" w:themeColor="text1"/>
          <w:szCs w:val="21"/>
        </w:rPr>
        <w:t>仲裁，仲裁的地点在北京，仲裁裁决是终局性的并对各方当事人具有约束力，仲裁费由败诉方承担。</w:t>
      </w:r>
    </w:p>
    <w:p w:rsidR="0002608C" w:rsidRPr="00490741" w:rsidP="00107648">
      <w:pPr>
        <w:autoSpaceDE w:val="0"/>
        <w:autoSpaceDN w:val="0"/>
        <w:snapToGrid w:val="0"/>
        <w:spacing w:line="360" w:lineRule="auto"/>
        <w:ind w:firstLine="420" w:firstLineChars="200"/>
        <w:textAlignment w:val="bottom"/>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本《基金合同》受中国法律管辖。</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 w:val="21"/>
        </w:rPr>
      </w:pPr>
      <w:bookmarkStart w:id="839" w:name="_Toc110945633"/>
      <w:bookmarkStart w:id="840" w:name="_Toc114237479"/>
      <w:r w:rsidRPr="00490741">
        <w:rPr>
          <w:rFonts w:asciiTheme="minorEastAsia" w:eastAsiaTheme="minorEastAsia" w:hAnsiTheme="minorEastAsia" w:hint="eastAsia"/>
          <w:b w:val="0"/>
          <w:bCs/>
          <w:color w:val="000000" w:themeColor="text1"/>
          <w:sz w:val="21"/>
        </w:rPr>
        <w:t>（八）基金合同的存放及查阅方式</w:t>
      </w:r>
      <w:bookmarkEnd w:id="839"/>
      <w:bookmarkEnd w:id="840"/>
    </w:p>
    <w:p w:rsidR="0002608C" w:rsidRPr="00490741" w:rsidP="00107648">
      <w:pPr>
        <w:autoSpaceDE w:val="0"/>
        <w:autoSpaceDN w:val="0"/>
        <w:snapToGrid w:val="0"/>
        <w:spacing w:line="360" w:lineRule="auto"/>
        <w:ind w:firstLine="420" w:firstLineChars="200"/>
        <w:textAlignment w:val="bottom"/>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《基金合同》</w:t>
      </w:r>
      <w:r w:rsidRPr="00490741">
        <w:rPr>
          <w:rFonts w:asciiTheme="minorEastAsia" w:eastAsiaTheme="minorEastAsia" w:hAnsiTheme="minorEastAsia"/>
          <w:color w:val="000000" w:themeColor="text1"/>
          <w:szCs w:val="21"/>
        </w:rPr>
        <w:t>可印制成册</w:t>
      </w:r>
      <w:r w:rsidRPr="00490741">
        <w:rPr>
          <w:rFonts w:asciiTheme="minorEastAsia" w:eastAsiaTheme="minorEastAsia" w:hAnsiTheme="minorEastAsia" w:hint="eastAsia"/>
          <w:color w:val="000000" w:themeColor="text1"/>
          <w:szCs w:val="21"/>
        </w:rPr>
        <w:t>，供投资者在基金管理人、基金托管人、代销机构的办公场所和营业场所查阅；投资者也可按工本费购买《基金合同》复制件或复印件，但内容应以本基金合同正本为准。</w:t>
      </w:r>
    </w:p>
    <w:p w:rsidR="00E1094C" w:rsidRPr="00490741" w:rsidP="00107648">
      <w:pPr>
        <w:autoSpaceDE w:val="0"/>
        <w:autoSpaceDN w:val="0"/>
        <w:snapToGrid w:val="0"/>
        <w:spacing w:line="360" w:lineRule="auto"/>
        <w:ind w:firstLine="420" w:firstLineChars="200"/>
        <w:textAlignment w:val="bottom"/>
        <w:rPr>
          <w:rFonts w:asciiTheme="minorEastAsia" w:eastAsiaTheme="minorEastAsia" w:hAnsiTheme="minorEastAsia"/>
          <w:color w:val="000000" w:themeColor="text1"/>
          <w:szCs w:val="21"/>
        </w:rPr>
        <w:sectPr w:rsidSect="0035472D">
          <w:pgSz w:w="11906" w:h="16838" w:code="9"/>
          <w:pgMar w:top="1440" w:right="1800" w:bottom="1440" w:left="1800" w:header="851" w:footer="992" w:gutter="0"/>
          <w:cols w:space="425"/>
          <w:docGrid w:type="lines" w:linePitch="312"/>
        </w:sectPr>
      </w:pPr>
    </w:p>
    <w:p w:rsidR="0002608C" w:rsidRPr="00490741" w:rsidP="00107648">
      <w:pPr>
        <w:pStyle w:val="Heading1"/>
        <w:snapToGrid w:val="0"/>
        <w:spacing w:beforeLines="0" w:afterLines="0" w:line="360" w:lineRule="auto"/>
        <w:ind w:firstLine="643"/>
        <w:rPr>
          <w:rFonts w:asciiTheme="minorEastAsia" w:eastAsiaTheme="minorEastAsia" w:hAnsiTheme="minorEastAsia"/>
          <w:bCs/>
          <w:color w:val="000000" w:themeColor="text1"/>
        </w:rPr>
      </w:pPr>
      <w:bookmarkStart w:id="841" w:name="_Toc114237480"/>
      <w:r w:rsidRPr="00490741">
        <w:rPr>
          <w:rFonts w:asciiTheme="minorEastAsia" w:eastAsiaTheme="minorEastAsia" w:hAnsiTheme="minorEastAsia" w:hint="eastAsia"/>
          <w:b/>
          <w:bCs/>
          <w:color w:val="000000" w:themeColor="text1"/>
        </w:rPr>
        <w:t>二十二、基金托管协议的内容摘要</w:t>
      </w:r>
      <w:bookmarkEnd w:id="841"/>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842" w:name="_Toc40511576"/>
      <w:bookmarkStart w:id="843" w:name="_Toc114237481"/>
      <w:r w:rsidRPr="00490741">
        <w:rPr>
          <w:rFonts w:asciiTheme="minorEastAsia" w:eastAsiaTheme="minorEastAsia" w:hAnsiTheme="minorEastAsia" w:hint="eastAsia"/>
          <w:b w:val="0"/>
          <w:bCs/>
          <w:color w:val="000000" w:themeColor="text1"/>
        </w:rPr>
        <w:t>（一）基金托管协议当事人</w:t>
      </w:r>
      <w:bookmarkEnd w:id="842"/>
      <w:bookmarkEnd w:id="843"/>
    </w:p>
    <w:p w:rsidR="0002608C" w:rsidRPr="00490741" w:rsidP="00107648">
      <w:pPr>
        <w:pStyle w:val="PlainText"/>
        <w:snapToGrid w:val="0"/>
        <w:spacing w:line="360" w:lineRule="auto"/>
        <w:ind w:firstLine="403" w:firstLineChars="192"/>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1</w:t>
      </w:r>
      <w:r w:rsidRPr="00490741">
        <w:rPr>
          <w:rFonts w:asciiTheme="minorEastAsia" w:eastAsiaTheme="minorEastAsia" w:hAnsiTheme="minorEastAsia" w:hint="eastAsia"/>
          <w:color w:val="000000" w:themeColor="text1"/>
        </w:rPr>
        <w:t>、基金管理人</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名称：易方达基金管理有限公司</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rPr>
        <w:t>住所：广东省珠海市横琴新区荣粤道</w:t>
      </w:r>
      <w:r w:rsidRPr="00490741">
        <w:rPr>
          <w:rFonts w:asciiTheme="minorEastAsia" w:eastAsiaTheme="minorEastAsia" w:hAnsiTheme="minorEastAsia"/>
          <w:color w:val="000000" w:themeColor="text1"/>
        </w:rPr>
        <w:t>188</w:t>
      </w:r>
      <w:r w:rsidRPr="00490741">
        <w:rPr>
          <w:rFonts w:asciiTheme="minorEastAsia" w:eastAsiaTheme="minorEastAsia" w:hAnsiTheme="minorEastAsia"/>
          <w:color w:val="000000" w:themeColor="text1"/>
        </w:rPr>
        <w:t>号</w:t>
      </w:r>
      <w:r w:rsidRPr="00490741">
        <w:rPr>
          <w:rFonts w:asciiTheme="minorEastAsia" w:eastAsiaTheme="minorEastAsia" w:hAnsiTheme="minorEastAsia"/>
          <w:color w:val="000000" w:themeColor="text1"/>
        </w:rPr>
        <w:t>6</w:t>
      </w:r>
      <w:r w:rsidRPr="00490741">
        <w:rPr>
          <w:rFonts w:asciiTheme="minorEastAsia" w:eastAsiaTheme="minorEastAsia" w:hAnsiTheme="minorEastAsia"/>
          <w:color w:val="000000" w:themeColor="text1"/>
        </w:rPr>
        <w:t>层</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法定代表人：</w:t>
      </w:r>
      <w:r w:rsidRPr="00490741" w:rsidR="00404A63">
        <w:rPr>
          <w:rFonts w:asciiTheme="minorEastAsia" w:eastAsiaTheme="minorEastAsia" w:hAnsiTheme="minorEastAsia" w:hint="eastAsia"/>
          <w:color w:val="000000" w:themeColor="text1"/>
          <w:szCs w:val="21"/>
        </w:rPr>
        <w:t>刘晓艳</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成立时间：</w:t>
      </w:r>
      <w:r w:rsidRPr="00490741">
        <w:rPr>
          <w:rFonts w:asciiTheme="minorEastAsia" w:eastAsiaTheme="minorEastAsia" w:hAnsiTheme="minorEastAsia" w:hint="eastAsia"/>
          <w:color w:val="000000" w:themeColor="text1"/>
          <w:szCs w:val="21"/>
        </w:rPr>
        <w:t>2001</w:t>
      </w:r>
      <w:r w:rsidRPr="00490741">
        <w:rPr>
          <w:rFonts w:asciiTheme="minorEastAsia" w:eastAsiaTheme="minorEastAsia" w:hAnsiTheme="minorEastAsia" w:hint="eastAsia"/>
          <w:color w:val="000000" w:themeColor="text1"/>
          <w:szCs w:val="21"/>
        </w:rPr>
        <w:t>年</w:t>
      </w: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月</w:t>
      </w:r>
      <w:r w:rsidRPr="00490741">
        <w:rPr>
          <w:rFonts w:asciiTheme="minorEastAsia" w:eastAsiaTheme="minorEastAsia" w:hAnsiTheme="minorEastAsia" w:hint="eastAsia"/>
          <w:color w:val="000000" w:themeColor="text1"/>
          <w:szCs w:val="21"/>
        </w:rPr>
        <w:t>17</w:t>
      </w:r>
      <w:r w:rsidRPr="00490741">
        <w:rPr>
          <w:rFonts w:asciiTheme="minorEastAsia" w:eastAsiaTheme="minorEastAsia" w:hAnsiTheme="minorEastAsia" w:hint="eastAsia"/>
          <w:color w:val="000000" w:themeColor="text1"/>
          <w:szCs w:val="21"/>
        </w:rPr>
        <w:t>日</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批准设立机关及批准设立文号：中国证</w:t>
      </w:r>
      <w:r w:rsidRPr="00490741" w:rsidR="00A80777">
        <w:rPr>
          <w:rFonts w:asciiTheme="minorEastAsia" w:eastAsiaTheme="minorEastAsia" w:hAnsiTheme="minorEastAsia" w:hint="eastAsia"/>
          <w:color w:val="000000" w:themeColor="text1"/>
          <w:szCs w:val="21"/>
        </w:rPr>
        <w:t>券监督管理委员</w:t>
      </w:r>
      <w:r w:rsidRPr="00490741">
        <w:rPr>
          <w:rFonts w:asciiTheme="minorEastAsia" w:eastAsiaTheme="minorEastAsia" w:hAnsiTheme="minorEastAsia" w:hint="eastAsia"/>
          <w:color w:val="000000" w:themeColor="text1"/>
          <w:szCs w:val="21"/>
        </w:rPr>
        <w:t>会，证监基金字</w:t>
      </w:r>
      <w:r w:rsidRPr="00490741">
        <w:rPr>
          <w:rFonts w:asciiTheme="minorEastAsia" w:eastAsiaTheme="minorEastAsia" w:hAnsiTheme="minorEastAsia" w:hint="eastAsia"/>
          <w:color w:val="000000" w:themeColor="text1"/>
          <w:szCs w:val="21"/>
        </w:rPr>
        <w:t>[2001]4</w:t>
      </w:r>
      <w:r w:rsidRPr="00490741">
        <w:rPr>
          <w:rFonts w:asciiTheme="minorEastAsia" w:eastAsiaTheme="minorEastAsia" w:hAnsiTheme="minorEastAsia" w:hint="eastAsia"/>
          <w:color w:val="000000" w:themeColor="text1"/>
          <w:szCs w:val="21"/>
        </w:rPr>
        <w:t>号</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注册资本：</w:t>
      </w:r>
      <w:r w:rsidRPr="00490741">
        <w:rPr>
          <w:rFonts w:asciiTheme="minorEastAsia" w:eastAsiaTheme="minorEastAsia" w:hAnsiTheme="minorEastAsia" w:hint="eastAsia"/>
          <w:color w:val="000000" w:themeColor="text1"/>
          <w:szCs w:val="21"/>
        </w:rPr>
        <w:t>13,244.2</w:t>
      </w:r>
      <w:r w:rsidRPr="00490741">
        <w:rPr>
          <w:rFonts w:asciiTheme="minorEastAsia" w:eastAsiaTheme="minorEastAsia" w:hAnsiTheme="minorEastAsia" w:hint="eastAsia"/>
          <w:color w:val="000000" w:themeColor="text1"/>
          <w:szCs w:val="21"/>
        </w:rPr>
        <w:t>万元人民币</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组织形式：有限责任公司</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经营范围：</w:t>
      </w:r>
      <w:r w:rsidRPr="00490741" w:rsidR="00D37D82">
        <w:rPr>
          <w:rFonts w:asciiTheme="minorEastAsia" w:eastAsiaTheme="minorEastAsia" w:hAnsiTheme="minorEastAsia" w:hint="eastAsia"/>
          <w:color w:val="000000" w:themeColor="text1"/>
          <w:szCs w:val="21"/>
        </w:rPr>
        <w:t>公开募集证券投资基金管理、基金销售、特定客户资产管理</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存续期间：持续经营</w:t>
      </w:r>
    </w:p>
    <w:p w:rsidR="0002608C" w:rsidRPr="00490741" w:rsidP="00107648">
      <w:pPr>
        <w:pStyle w:val="PlainText"/>
        <w:snapToGrid w:val="0"/>
        <w:spacing w:line="360" w:lineRule="auto"/>
        <w:ind w:firstLine="403" w:firstLineChars="192"/>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2</w:t>
      </w:r>
      <w:r w:rsidRPr="00490741">
        <w:rPr>
          <w:rFonts w:asciiTheme="minorEastAsia" w:eastAsiaTheme="minorEastAsia" w:hAnsiTheme="minorEastAsia" w:hint="eastAsia"/>
          <w:color w:val="000000" w:themeColor="text1"/>
        </w:rPr>
        <w:t>、基金托管人</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基金托管人名称：中国工商银行股份有限公司</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注册地址：北京市西城区复兴门内大街</w:t>
      </w:r>
      <w:r w:rsidRPr="00490741">
        <w:rPr>
          <w:rFonts w:asciiTheme="minorEastAsia" w:eastAsiaTheme="minorEastAsia" w:hAnsiTheme="minorEastAsia" w:hint="eastAsia"/>
          <w:color w:val="000000" w:themeColor="text1"/>
          <w:szCs w:val="21"/>
        </w:rPr>
        <w:t>55</w:t>
      </w:r>
      <w:r w:rsidRPr="00490741">
        <w:rPr>
          <w:rFonts w:asciiTheme="minorEastAsia" w:eastAsiaTheme="minorEastAsia" w:hAnsiTheme="minorEastAsia" w:hint="eastAsia"/>
          <w:color w:val="000000" w:themeColor="text1"/>
          <w:szCs w:val="21"/>
        </w:rPr>
        <w:t>号</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法定代表人：</w:t>
      </w:r>
      <w:r w:rsidRPr="00490741" w:rsidR="0002792D">
        <w:rPr>
          <w:rFonts w:asciiTheme="minorEastAsia" w:eastAsiaTheme="minorEastAsia" w:hAnsiTheme="minorEastAsia" w:hint="eastAsia"/>
          <w:color w:val="000000" w:themeColor="text1"/>
          <w:szCs w:val="21"/>
        </w:rPr>
        <w:t>陈四清</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成立时间：</w:t>
      </w:r>
      <w:r w:rsidRPr="00490741">
        <w:rPr>
          <w:rFonts w:asciiTheme="minorEastAsia" w:eastAsiaTheme="minorEastAsia" w:hAnsiTheme="minorEastAsia"/>
          <w:color w:val="000000" w:themeColor="text1"/>
          <w:szCs w:val="21"/>
        </w:rPr>
        <w:t>1984</w:t>
      </w:r>
      <w:r w:rsidRPr="00490741">
        <w:rPr>
          <w:rFonts w:asciiTheme="minorEastAsia" w:eastAsiaTheme="minorEastAsia" w:hAnsiTheme="minorEastAsia"/>
          <w:color w:val="000000" w:themeColor="text1"/>
          <w:szCs w:val="21"/>
        </w:rPr>
        <w:t>年</w:t>
      </w:r>
      <w:r w:rsidRPr="00490741">
        <w:rPr>
          <w:rFonts w:asciiTheme="minorEastAsia" w:eastAsiaTheme="minorEastAsia" w:hAnsiTheme="minorEastAsia"/>
          <w:color w:val="000000" w:themeColor="text1"/>
          <w:szCs w:val="21"/>
        </w:rPr>
        <w:t>1</w:t>
      </w:r>
      <w:r w:rsidRPr="00490741">
        <w:rPr>
          <w:rFonts w:asciiTheme="minorEastAsia" w:eastAsiaTheme="minorEastAsia" w:hAnsiTheme="minorEastAsia"/>
          <w:color w:val="000000" w:themeColor="text1"/>
          <w:szCs w:val="21"/>
        </w:rPr>
        <w:t>月</w:t>
      </w:r>
      <w:r w:rsidRPr="00490741">
        <w:rPr>
          <w:rFonts w:asciiTheme="minorEastAsia" w:eastAsiaTheme="minorEastAsia" w:hAnsiTheme="minorEastAsia"/>
          <w:color w:val="000000" w:themeColor="text1"/>
          <w:szCs w:val="21"/>
        </w:rPr>
        <w:t>1</w:t>
      </w:r>
      <w:r w:rsidRPr="00490741">
        <w:rPr>
          <w:rFonts w:asciiTheme="minorEastAsia" w:eastAsiaTheme="minorEastAsia" w:hAnsiTheme="minorEastAsia"/>
          <w:color w:val="000000" w:themeColor="text1"/>
          <w:szCs w:val="21"/>
        </w:rPr>
        <w:t>日</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批准设立机关及批准设立文号：</w:t>
      </w:r>
      <w:r w:rsidRPr="00490741">
        <w:rPr>
          <w:rFonts w:asciiTheme="minorEastAsia" w:eastAsiaTheme="minorEastAsia" w:hAnsiTheme="minorEastAsia" w:hint="eastAsia"/>
          <w:color w:val="000000" w:themeColor="text1"/>
          <w:szCs w:val="21"/>
        </w:rPr>
        <w:t>国务院《关于中国人民银行专门行使中央银行职能的决定》（国发</w:t>
      </w:r>
      <w:r w:rsidRPr="00490741">
        <w:rPr>
          <w:rFonts w:asciiTheme="minorEastAsia" w:eastAsiaTheme="minorEastAsia" w:hAnsiTheme="minorEastAsia" w:hint="eastAsia"/>
          <w:color w:val="000000" w:themeColor="text1"/>
          <w:szCs w:val="21"/>
        </w:rPr>
        <w:t>[1983]146</w:t>
      </w:r>
      <w:r w:rsidRPr="00490741">
        <w:rPr>
          <w:rFonts w:asciiTheme="minorEastAsia" w:eastAsiaTheme="minorEastAsia" w:hAnsiTheme="minorEastAsia" w:hint="eastAsia"/>
          <w:color w:val="000000" w:themeColor="text1"/>
          <w:szCs w:val="21"/>
        </w:rPr>
        <w:t>号）</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组织形式：股份有限公司</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注册资本：</w:t>
      </w:r>
      <w:r w:rsidRPr="00490741" w:rsidR="00294711">
        <w:rPr>
          <w:rFonts w:asciiTheme="minorEastAsia" w:eastAsiaTheme="minorEastAsia" w:hAnsiTheme="minorEastAsia" w:hint="eastAsia"/>
          <w:color w:val="000000" w:themeColor="text1"/>
          <w:szCs w:val="21"/>
        </w:rPr>
        <w:t>人民币35,640,625.7089万元</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存续期间：持续经营</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w:t>
      </w:r>
      <w:r w:rsidRPr="00490741">
        <w:rPr>
          <w:rFonts w:asciiTheme="minorEastAsia" w:eastAsiaTheme="minorEastAsia" w:hAnsiTheme="minorEastAsia" w:hint="eastAsia"/>
          <w:color w:val="000000" w:themeColor="text1"/>
          <w:szCs w:val="21"/>
        </w:rPr>
        <w:t>、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color w:val="000000" w:themeColor="text1"/>
          <w:sz w:val="24"/>
        </w:rPr>
      </w:pPr>
      <w:bookmarkStart w:id="844" w:name="_Toc40511578"/>
      <w:bookmarkStart w:id="845" w:name="_Toc114237482"/>
      <w:r w:rsidRPr="00490741">
        <w:rPr>
          <w:rFonts w:asciiTheme="minorEastAsia" w:eastAsiaTheme="minorEastAsia" w:hAnsiTheme="minorEastAsia" w:hint="eastAsia"/>
          <w:b w:val="0"/>
          <w:bCs/>
          <w:color w:val="000000" w:themeColor="text1"/>
        </w:rPr>
        <w:t>（二）基金托管人和基金管理人之间的业务监督、核查</w:t>
      </w:r>
      <w:bookmarkEnd w:id="844"/>
      <w:bookmarkEnd w:id="845"/>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、基金托管人对基金管理人的投资行为行使监督权</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）基金托管人根据有关法律法规的规定和基金合同的约定，对下述基金投资范围、投资对象进行监督。</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本基金将投资于以下金融工具：</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本基金将投资于具有良好流动性的金融工具，包括投资于国内依法公开发行、上市的股票</w:t>
      </w:r>
      <w:r w:rsidRPr="00490741" w:rsidR="00371F41">
        <w:rPr>
          <w:rFonts w:asciiTheme="minorEastAsia" w:eastAsiaTheme="minorEastAsia" w:hAnsiTheme="minorEastAsia" w:hint="eastAsia"/>
          <w:color w:val="000000" w:themeColor="text1"/>
          <w:szCs w:val="21"/>
        </w:rPr>
        <w:t>（含存托凭证）</w:t>
      </w:r>
      <w:r w:rsidRPr="00490741">
        <w:rPr>
          <w:rFonts w:asciiTheme="minorEastAsia" w:eastAsiaTheme="minorEastAsia" w:hAnsiTheme="minorEastAsia" w:hint="eastAsia"/>
          <w:color w:val="000000" w:themeColor="text1"/>
          <w:szCs w:val="21"/>
        </w:rPr>
        <w:t>和债券以及法律、法规或中国证监会允许基金投资的其它金融工具。股票部分主要投资于具有中长期持续增长能力或阶段性高速成长能力、价值被低估的优势企业。</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）基金托管人根据有关法律法规的规定及基金合同的约定对下述基金投融资比例进行监督：</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）按法律法规的规定及基金合同的约定，本基金的投资资产配置比例</w:t>
      </w:r>
      <w:r w:rsidRPr="00490741">
        <w:rPr>
          <w:rFonts w:asciiTheme="minorEastAsia" w:eastAsiaTheme="minorEastAsia" w:hAnsiTheme="minorEastAsia" w:hint="eastAsia"/>
          <w:color w:val="000000" w:themeColor="text1"/>
          <w:szCs w:val="21"/>
        </w:rPr>
        <w:t>为：</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股票资产占基金资产的比例为</w:t>
      </w:r>
      <w:r w:rsidRPr="00490741">
        <w:rPr>
          <w:rFonts w:asciiTheme="minorEastAsia" w:eastAsiaTheme="minorEastAsia" w:hAnsiTheme="minorEastAsia" w:hint="eastAsia"/>
          <w:color w:val="000000" w:themeColor="text1"/>
          <w:szCs w:val="21"/>
        </w:rPr>
        <w:t>60-95%</w:t>
      </w:r>
      <w:r w:rsidRPr="00490741">
        <w:rPr>
          <w:rFonts w:asciiTheme="minorEastAsia" w:eastAsiaTheme="minorEastAsia" w:hAnsiTheme="minorEastAsia" w:hint="eastAsia"/>
          <w:color w:val="000000" w:themeColor="text1"/>
          <w:szCs w:val="21"/>
        </w:rPr>
        <w:t>，债券资产占基金资产的比例为</w:t>
      </w:r>
      <w:r w:rsidRPr="00490741">
        <w:rPr>
          <w:rFonts w:asciiTheme="minorEastAsia" w:eastAsiaTheme="minorEastAsia" w:hAnsiTheme="minorEastAsia" w:hint="eastAsia"/>
          <w:color w:val="000000" w:themeColor="text1"/>
          <w:szCs w:val="21"/>
        </w:rPr>
        <w:t>0-35%</w:t>
      </w:r>
      <w:r w:rsidRPr="00490741">
        <w:rPr>
          <w:rFonts w:asciiTheme="minorEastAsia" w:eastAsiaTheme="minorEastAsia" w:hAnsiTheme="minorEastAsia" w:hint="eastAsia"/>
          <w:color w:val="000000" w:themeColor="text1"/>
          <w:szCs w:val="21"/>
        </w:rPr>
        <w:t>。</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基金托管人对上述投资资产配置比例的监督与检查自本基金合同生效之日起满六个月开始。</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）根据法律法规的规定及基金合同的约定，本基金投资组合遵循以下投资限制：</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①</w:t>
      </w:r>
      <w:r w:rsidRPr="00490741">
        <w:rPr>
          <w:rFonts w:asciiTheme="minorEastAsia" w:eastAsiaTheme="minorEastAsia" w:hAnsiTheme="minorEastAsia"/>
          <w:color w:val="000000" w:themeColor="text1"/>
          <w:szCs w:val="21"/>
        </w:rPr>
        <w:t>持有一家</w:t>
      </w:r>
      <w:r w:rsidRPr="00490741">
        <w:rPr>
          <w:rFonts w:asciiTheme="minorEastAsia" w:eastAsiaTheme="minorEastAsia" w:hAnsiTheme="minorEastAsia" w:hint="eastAsia"/>
          <w:color w:val="000000" w:themeColor="text1"/>
          <w:szCs w:val="21"/>
        </w:rPr>
        <w:t>上市</w:t>
      </w:r>
      <w:r w:rsidRPr="00490741">
        <w:rPr>
          <w:rFonts w:asciiTheme="minorEastAsia" w:eastAsiaTheme="minorEastAsia" w:hAnsiTheme="minorEastAsia"/>
          <w:color w:val="000000" w:themeColor="text1"/>
          <w:szCs w:val="21"/>
        </w:rPr>
        <w:t>公司的股票，</w:t>
      </w:r>
      <w:r w:rsidRPr="00490741">
        <w:rPr>
          <w:rFonts w:asciiTheme="minorEastAsia" w:eastAsiaTheme="minorEastAsia" w:hAnsiTheme="minorEastAsia" w:hint="eastAsia"/>
          <w:color w:val="000000" w:themeColor="text1"/>
          <w:szCs w:val="21"/>
        </w:rPr>
        <w:t>其市值</w:t>
      </w:r>
      <w:r w:rsidRPr="00490741">
        <w:rPr>
          <w:rFonts w:asciiTheme="minorEastAsia" w:eastAsiaTheme="minorEastAsia" w:hAnsiTheme="minorEastAsia"/>
          <w:color w:val="000000" w:themeColor="text1"/>
          <w:szCs w:val="21"/>
        </w:rPr>
        <w:t>不得超过基金资产净值的</w:t>
      </w:r>
      <w:r w:rsidRPr="00490741">
        <w:rPr>
          <w:rFonts w:asciiTheme="minorEastAsia" w:eastAsiaTheme="minorEastAsia" w:hAnsiTheme="minorEastAsia"/>
          <w:color w:val="000000" w:themeColor="text1"/>
          <w:szCs w:val="21"/>
        </w:rPr>
        <w:t>10%</w:t>
      </w:r>
      <w:r w:rsidRPr="00490741">
        <w:rPr>
          <w:rFonts w:asciiTheme="minorEastAsia" w:eastAsiaTheme="minorEastAsia" w:hAnsiTheme="minorEastAsia"/>
          <w:color w:val="000000" w:themeColor="text1"/>
          <w:szCs w:val="21"/>
        </w:rPr>
        <w:t>；</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②</w:t>
      </w:r>
      <w:r w:rsidRPr="00490741" w:rsidR="00B148D8">
        <w:rPr>
          <w:rFonts w:asciiTheme="minorEastAsia" w:eastAsiaTheme="minorEastAsia" w:hAnsiTheme="minorEastAsia" w:hint="eastAsia"/>
          <w:color w:val="000000" w:themeColor="text1"/>
          <w:szCs w:val="21"/>
        </w:rPr>
        <w:t>基金管理人管理且由基金托管人托管的全部基金</w:t>
      </w:r>
      <w:r w:rsidRPr="00490741">
        <w:rPr>
          <w:rFonts w:asciiTheme="minorEastAsia" w:eastAsiaTheme="minorEastAsia" w:hAnsiTheme="minorEastAsia" w:hint="eastAsia"/>
          <w:color w:val="000000" w:themeColor="text1"/>
          <w:szCs w:val="21"/>
        </w:rPr>
        <w:t>共同</w:t>
      </w:r>
      <w:r w:rsidRPr="00490741">
        <w:rPr>
          <w:rFonts w:asciiTheme="minorEastAsia" w:eastAsiaTheme="minorEastAsia" w:hAnsiTheme="minorEastAsia"/>
          <w:color w:val="000000" w:themeColor="text1"/>
          <w:szCs w:val="21"/>
        </w:rPr>
        <w:t>持有一家公司发行的证券，不得超过该证券的</w:t>
      </w:r>
      <w:r w:rsidRPr="00490741">
        <w:rPr>
          <w:rFonts w:asciiTheme="minorEastAsia" w:eastAsiaTheme="minorEastAsia" w:hAnsiTheme="minorEastAsia"/>
          <w:color w:val="000000" w:themeColor="text1"/>
          <w:szCs w:val="21"/>
        </w:rPr>
        <w:t>10%</w:t>
      </w:r>
      <w:r w:rsidRPr="00490741">
        <w:rPr>
          <w:rFonts w:asciiTheme="minorEastAsia" w:eastAsiaTheme="minorEastAsia" w:hAnsiTheme="minorEastAsia"/>
          <w:color w:val="000000" w:themeColor="text1"/>
          <w:szCs w:val="21"/>
        </w:rPr>
        <w:t>；</w:t>
      </w:r>
    </w:p>
    <w:p w:rsidR="00F3254E"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③本基金投资股权分置改革中产生的权证，在任何交易日买入的总金额，不超过上一交易日基金资产净值的</w:t>
      </w:r>
      <w:r w:rsidRPr="00490741">
        <w:rPr>
          <w:rFonts w:asciiTheme="minorEastAsia" w:eastAsiaTheme="minorEastAsia" w:hAnsiTheme="minorEastAsia" w:hint="eastAsia"/>
          <w:color w:val="000000" w:themeColor="text1"/>
          <w:szCs w:val="21"/>
        </w:rPr>
        <w:t>0.5%</w:t>
      </w:r>
      <w:r w:rsidRPr="00490741">
        <w:rPr>
          <w:rFonts w:asciiTheme="minorEastAsia" w:eastAsiaTheme="minorEastAsia" w:hAnsiTheme="minorEastAsia" w:hint="eastAsia"/>
          <w:color w:val="000000" w:themeColor="text1"/>
          <w:szCs w:val="21"/>
        </w:rPr>
        <w:t>，基金</w:t>
      </w:r>
      <w:r w:rsidRPr="00490741">
        <w:rPr>
          <w:rFonts w:asciiTheme="minorEastAsia" w:eastAsiaTheme="minorEastAsia" w:hAnsiTheme="minorEastAsia" w:hint="eastAsia"/>
          <w:color w:val="000000" w:themeColor="text1"/>
          <w:szCs w:val="21"/>
        </w:rPr>
        <w:t>持有的全部权证的市值不超过基金资产净值的</w:t>
      </w: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w:t>
      </w:r>
      <w:r w:rsidRPr="00490741" w:rsidR="00B148D8">
        <w:rPr>
          <w:rFonts w:asciiTheme="minorEastAsia" w:eastAsiaTheme="minorEastAsia" w:hAnsiTheme="minorEastAsia" w:hint="eastAsia"/>
          <w:color w:val="000000" w:themeColor="text1"/>
          <w:szCs w:val="21"/>
        </w:rPr>
        <w:t>基金管理人管理且由基金托管人托管的全部基金</w:t>
      </w:r>
      <w:r w:rsidRPr="00490741">
        <w:rPr>
          <w:rFonts w:asciiTheme="minorEastAsia" w:eastAsiaTheme="minorEastAsia" w:hAnsiTheme="minorEastAsia" w:hint="eastAsia"/>
          <w:color w:val="000000" w:themeColor="text1"/>
          <w:szCs w:val="21"/>
        </w:rPr>
        <w:t>持有同一权证的比例不超过该权证的</w:t>
      </w:r>
      <w:r w:rsidRPr="00490741">
        <w:rPr>
          <w:rFonts w:asciiTheme="minorEastAsia" w:eastAsiaTheme="minorEastAsia" w:hAnsiTheme="minorEastAsia" w:hint="eastAsia"/>
          <w:color w:val="000000" w:themeColor="text1"/>
          <w:szCs w:val="21"/>
        </w:rPr>
        <w:t>10%</w:t>
      </w:r>
      <w:r w:rsidRPr="00490741" w:rsidR="009724FB">
        <w:rPr>
          <w:rFonts w:asciiTheme="minorEastAsia" w:eastAsiaTheme="minorEastAsia" w:hAnsiTheme="minorEastAsia" w:hint="eastAsia"/>
          <w:color w:val="000000" w:themeColor="text1"/>
          <w:szCs w:val="21"/>
        </w:rPr>
        <w:t>；</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④现金和到期日不超过</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年的政府债券不低于</w:t>
      </w:r>
      <w:r w:rsidRPr="00490741">
        <w:rPr>
          <w:rFonts w:asciiTheme="minorEastAsia" w:eastAsiaTheme="minorEastAsia" w:hAnsiTheme="minorEastAsia" w:hint="eastAsia"/>
          <w:color w:val="000000" w:themeColor="text1"/>
          <w:szCs w:val="21"/>
        </w:rPr>
        <w:t>5%</w:t>
      </w:r>
      <w:r w:rsidRPr="00490741" w:rsidR="002846B1">
        <w:rPr>
          <w:rFonts w:asciiTheme="minorEastAsia" w:eastAsiaTheme="minorEastAsia" w:hAnsiTheme="minorEastAsia" w:hint="eastAsia"/>
          <w:color w:val="000000" w:themeColor="text1"/>
          <w:szCs w:val="21"/>
        </w:rPr>
        <w:t>，现金不包括结算备付金、存出保证金、应收申购款等</w:t>
      </w:r>
      <w:r w:rsidRPr="00490741">
        <w:rPr>
          <w:rFonts w:asciiTheme="minorEastAsia" w:eastAsiaTheme="minorEastAsia" w:hAnsiTheme="minorEastAsia" w:hint="eastAsia"/>
          <w:color w:val="000000" w:themeColor="text1"/>
          <w:szCs w:val="21"/>
        </w:rPr>
        <w:t>；</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⑤本基金财产参与股票发行申购，所申报的金额不得超过本基金的总资产，所申报的股票数量不得超过拟发行股票公司本次发行股票的总量；</w:t>
      </w:r>
    </w:p>
    <w:p w:rsidR="002846B1" w:rsidRPr="00490741" w:rsidP="002846B1">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⑥本基金管理人管理且由基金托管人托管的全部开放式基金持有一家上市公司发行的可流通股票，不得超过该上市公司可流通股票的</w:t>
      </w:r>
      <w:r w:rsidRPr="00490741">
        <w:rPr>
          <w:rFonts w:asciiTheme="minorEastAsia" w:eastAsiaTheme="minorEastAsia" w:hAnsiTheme="minorEastAsia" w:hint="eastAsia"/>
          <w:color w:val="000000" w:themeColor="text1"/>
          <w:szCs w:val="21"/>
        </w:rPr>
        <w:t>15%</w:t>
      </w:r>
      <w:r w:rsidRPr="00490741">
        <w:rPr>
          <w:rFonts w:asciiTheme="minorEastAsia" w:eastAsiaTheme="minorEastAsia" w:hAnsiTheme="minorEastAsia" w:hint="eastAsia"/>
          <w:color w:val="000000" w:themeColor="text1"/>
          <w:szCs w:val="21"/>
        </w:rPr>
        <w:t>；本基金管理人管理且由基金托管人托管的全部投资组合持有一家上市公司发行的可流通股票，不得超过该上市公司可流通股票的</w:t>
      </w:r>
      <w:r w:rsidRPr="00490741">
        <w:rPr>
          <w:rFonts w:asciiTheme="minorEastAsia" w:eastAsiaTheme="minorEastAsia" w:hAnsiTheme="minorEastAsia" w:hint="eastAsia"/>
          <w:color w:val="000000" w:themeColor="text1"/>
          <w:szCs w:val="21"/>
        </w:rPr>
        <w:t>30%</w:t>
      </w:r>
      <w:r w:rsidRPr="00490741">
        <w:rPr>
          <w:rFonts w:asciiTheme="minorEastAsia" w:eastAsiaTheme="minorEastAsia" w:hAnsiTheme="minorEastAsia" w:hint="eastAsia"/>
          <w:color w:val="000000" w:themeColor="text1"/>
          <w:szCs w:val="21"/>
        </w:rPr>
        <w:t>。</w:t>
      </w:r>
    </w:p>
    <w:p w:rsidR="00371F41" w:rsidRPr="00490741" w:rsidP="00371F41">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⑦本基金主动投资于流动性受限资产的市值合计不得超过该基金资产净值的</w:t>
      </w:r>
      <w:r w:rsidRPr="00490741">
        <w:rPr>
          <w:rFonts w:asciiTheme="minorEastAsia" w:eastAsiaTheme="minorEastAsia" w:hAnsiTheme="minorEastAsia" w:hint="eastAsia"/>
          <w:color w:val="000000" w:themeColor="text1"/>
          <w:szCs w:val="21"/>
        </w:rPr>
        <w:t>15%</w:t>
      </w:r>
      <w:r w:rsidRPr="00490741">
        <w:rPr>
          <w:rFonts w:asciiTheme="minorEastAsia" w:eastAsiaTheme="minorEastAsia" w:hAnsiTheme="minorEastAsia" w:hint="eastAsia"/>
          <w:color w:val="000000" w:themeColor="text1"/>
          <w:szCs w:val="21"/>
        </w:rPr>
        <w:t>。</w:t>
      </w:r>
    </w:p>
    <w:p w:rsidR="002846B1" w:rsidRPr="00490741" w:rsidP="00371F41">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⑧本基金投资存托凭证的比例限制依照境内上市交易的股票执行，与境内上市交易的股票合并计算。</w:t>
      </w:r>
    </w:p>
    <w:p w:rsidR="0002608C" w:rsidRPr="00490741" w:rsidP="002846B1">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⑨本基金不得违反本基金合同关于投资范围、投资策略和投资比例的约定；</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szCs w:val="21"/>
        </w:rPr>
        <w:t>《基金法》及其他有关法律法规或监</w:t>
      </w:r>
      <w:r w:rsidRPr="00490741">
        <w:rPr>
          <w:rFonts w:asciiTheme="minorEastAsia" w:eastAsiaTheme="minorEastAsia" w:hAnsiTheme="minorEastAsia"/>
          <w:color w:val="000000" w:themeColor="text1"/>
          <w:szCs w:val="21"/>
        </w:rPr>
        <w:t>管部门</w:t>
      </w:r>
      <w:r w:rsidRPr="00490741">
        <w:rPr>
          <w:rFonts w:asciiTheme="minorEastAsia" w:eastAsiaTheme="minorEastAsia" w:hAnsiTheme="minorEastAsia" w:hint="eastAsia"/>
          <w:color w:val="000000" w:themeColor="text1"/>
          <w:szCs w:val="21"/>
        </w:rPr>
        <w:t>取消</w:t>
      </w:r>
      <w:r w:rsidRPr="00490741">
        <w:rPr>
          <w:rFonts w:asciiTheme="minorEastAsia" w:eastAsiaTheme="minorEastAsia" w:hAnsiTheme="minorEastAsia"/>
          <w:color w:val="000000" w:themeColor="text1"/>
          <w:szCs w:val="21"/>
        </w:rPr>
        <w:t>上述限制</w:t>
      </w:r>
      <w:r w:rsidRPr="00490741">
        <w:rPr>
          <w:rFonts w:asciiTheme="minorEastAsia" w:eastAsiaTheme="minorEastAsia" w:hAnsiTheme="minorEastAsia" w:hint="eastAsia"/>
          <w:color w:val="000000" w:themeColor="text1"/>
          <w:szCs w:val="21"/>
        </w:rPr>
        <w:t>的</w:t>
      </w:r>
      <w:r w:rsidRPr="00490741">
        <w:rPr>
          <w:rFonts w:asciiTheme="minorEastAsia" w:eastAsiaTheme="minorEastAsia" w:hAnsiTheme="minorEastAsia"/>
          <w:color w:val="000000" w:themeColor="text1"/>
          <w:szCs w:val="21"/>
        </w:rPr>
        <w:t>，</w:t>
      </w:r>
      <w:r w:rsidRPr="00490741">
        <w:rPr>
          <w:rFonts w:asciiTheme="minorEastAsia" w:eastAsiaTheme="minorEastAsia" w:hAnsiTheme="minorEastAsia" w:hint="eastAsia"/>
          <w:color w:val="000000" w:themeColor="text1"/>
          <w:szCs w:val="21"/>
        </w:rPr>
        <w:t>基金不受上述限制</w:t>
      </w:r>
      <w:r w:rsidRPr="00490741">
        <w:rPr>
          <w:rFonts w:asciiTheme="minorEastAsia" w:eastAsiaTheme="minorEastAsia" w:hAnsiTheme="minorEastAsia"/>
          <w:color w:val="000000" w:themeColor="text1"/>
          <w:szCs w:val="21"/>
        </w:rPr>
        <w:t>。</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）法规允许的基金投资比例调整期限</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除上述④、⑤、⑦以外，</w:t>
      </w:r>
      <w:r w:rsidRPr="00490741">
        <w:rPr>
          <w:rFonts w:asciiTheme="minorEastAsia" w:eastAsiaTheme="minorEastAsia" w:hAnsiTheme="minorEastAsia"/>
          <w:color w:val="000000" w:themeColor="text1"/>
          <w:szCs w:val="21"/>
        </w:rPr>
        <w:t>由于</w:t>
      </w:r>
      <w:r w:rsidRPr="00490741">
        <w:rPr>
          <w:rFonts w:asciiTheme="minorEastAsia" w:eastAsiaTheme="minorEastAsia" w:hAnsiTheme="minorEastAsia" w:hint="eastAsia"/>
          <w:color w:val="000000" w:themeColor="text1"/>
          <w:szCs w:val="21"/>
        </w:rPr>
        <w:t>证券市场波动、上市公司合并</w:t>
      </w:r>
      <w:r w:rsidRPr="00490741">
        <w:rPr>
          <w:rFonts w:asciiTheme="minorEastAsia" w:eastAsiaTheme="minorEastAsia" w:hAnsiTheme="minorEastAsia"/>
          <w:color w:val="000000" w:themeColor="text1"/>
          <w:szCs w:val="21"/>
        </w:rPr>
        <w:t>或</w:t>
      </w:r>
      <w:r w:rsidRPr="00490741">
        <w:rPr>
          <w:rFonts w:asciiTheme="minorEastAsia" w:eastAsiaTheme="minorEastAsia" w:hAnsiTheme="minorEastAsia" w:hint="eastAsia"/>
          <w:color w:val="000000" w:themeColor="text1"/>
          <w:szCs w:val="21"/>
        </w:rPr>
        <w:t>基金规模变动等基金管理人之外的原因</w:t>
      </w:r>
      <w:r w:rsidRPr="00490741">
        <w:rPr>
          <w:rFonts w:asciiTheme="minorEastAsia" w:eastAsiaTheme="minorEastAsia" w:hAnsiTheme="minorEastAsia"/>
          <w:color w:val="000000" w:themeColor="text1"/>
          <w:szCs w:val="21"/>
        </w:rPr>
        <w:t>导致的投资组合</w:t>
      </w:r>
      <w:r w:rsidRPr="00490741">
        <w:rPr>
          <w:rFonts w:asciiTheme="minorEastAsia" w:eastAsiaTheme="minorEastAsia" w:hAnsiTheme="minorEastAsia" w:hint="eastAsia"/>
          <w:color w:val="000000" w:themeColor="text1"/>
          <w:szCs w:val="21"/>
        </w:rPr>
        <w:t>不符合</w:t>
      </w:r>
      <w:r w:rsidRPr="00490741">
        <w:rPr>
          <w:rFonts w:asciiTheme="minorEastAsia" w:eastAsiaTheme="minorEastAsia" w:hAnsiTheme="minorEastAsia"/>
          <w:color w:val="000000" w:themeColor="text1"/>
          <w:szCs w:val="21"/>
        </w:rPr>
        <w:t>上述约定的比例</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color w:val="000000" w:themeColor="text1"/>
          <w:szCs w:val="21"/>
        </w:rPr>
        <w:t>不在限制之内，但基金管理人应在</w:t>
      </w:r>
      <w:r w:rsidRPr="00490741">
        <w:rPr>
          <w:rFonts w:asciiTheme="minorEastAsia" w:eastAsiaTheme="minorEastAsia" w:hAnsiTheme="minorEastAsia" w:hint="eastAsia"/>
          <w:color w:val="000000" w:themeColor="text1"/>
          <w:szCs w:val="21"/>
        </w:rPr>
        <w:t>10</w:t>
      </w:r>
      <w:r w:rsidRPr="00490741">
        <w:rPr>
          <w:rFonts w:asciiTheme="minorEastAsia" w:eastAsiaTheme="minorEastAsia" w:hAnsiTheme="minorEastAsia" w:hint="eastAsia"/>
          <w:color w:val="000000" w:themeColor="text1"/>
          <w:szCs w:val="21"/>
        </w:rPr>
        <w:t>个交易日</w:t>
      </w:r>
      <w:r w:rsidRPr="00490741">
        <w:rPr>
          <w:rFonts w:asciiTheme="minorEastAsia" w:eastAsiaTheme="minorEastAsia" w:hAnsiTheme="minorEastAsia"/>
          <w:color w:val="000000" w:themeColor="text1"/>
          <w:szCs w:val="21"/>
        </w:rPr>
        <w:t>内进行调整，以达到</w:t>
      </w:r>
      <w:r w:rsidRPr="00490741">
        <w:rPr>
          <w:rFonts w:asciiTheme="minorEastAsia" w:eastAsiaTheme="minorEastAsia" w:hAnsiTheme="minorEastAsia" w:hint="eastAsia"/>
          <w:color w:val="000000" w:themeColor="text1"/>
          <w:szCs w:val="21"/>
        </w:rPr>
        <w:t>规定的投资比例限制要求。法律法规另有规定的从其规定。</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）本基金可以按照国家的有关规定进行融资。</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5</w:t>
      </w:r>
      <w:r w:rsidRPr="00490741">
        <w:rPr>
          <w:rFonts w:asciiTheme="minorEastAsia" w:eastAsiaTheme="minorEastAsia" w:hAnsiTheme="minorEastAsia" w:hint="eastAsia"/>
          <w:color w:val="000000" w:themeColor="text1"/>
          <w:szCs w:val="21"/>
        </w:rPr>
        <w:t>）相关法律、法规或部门规章规定的其他比例限制。</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除投资资产配置比例外，基金托管人对基金的投资比例的监督和检查自本基金合同生效之日起开始。</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）基金托</w:t>
      </w:r>
      <w:r w:rsidRPr="00490741">
        <w:rPr>
          <w:rFonts w:asciiTheme="minorEastAsia" w:eastAsiaTheme="minorEastAsia" w:hAnsiTheme="minorEastAsia" w:hint="eastAsia"/>
          <w:color w:val="000000" w:themeColor="text1"/>
          <w:szCs w:val="21"/>
        </w:rPr>
        <w:t>管人根据有关法律法规的规定及基金合同的约定对下述基金投资禁止行为进行监督：</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根据法律法规的规定及基金合同的约定，本基金禁止从事下列行为：</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）承销证券；</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）向他人贷款或提供担保；</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w:t>
      </w:r>
      <w:r w:rsidRPr="00490741" w:rsidR="00B148D8">
        <w:rPr>
          <w:rFonts w:asciiTheme="minorEastAsia" w:eastAsiaTheme="minorEastAsia" w:hAnsiTheme="minorEastAsia" w:hint="eastAsia"/>
          <w:color w:val="000000" w:themeColor="text1"/>
          <w:szCs w:val="21"/>
        </w:rPr>
        <w:t>从事承担无限责任的投资</w:t>
      </w:r>
      <w:r w:rsidRPr="00490741">
        <w:rPr>
          <w:rFonts w:asciiTheme="minorEastAsia" w:eastAsiaTheme="minorEastAsia" w:hAnsiTheme="minorEastAsia"/>
          <w:color w:val="000000" w:themeColor="text1"/>
          <w:szCs w:val="21"/>
        </w:rPr>
        <w:t>；</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）买卖其他基金份额，但国务院另有规定的除外；</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5</w:t>
      </w:r>
      <w:r w:rsidRPr="00490741">
        <w:rPr>
          <w:rFonts w:asciiTheme="minorEastAsia" w:eastAsiaTheme="minorEastAsia" w:hAnsiTheme="minorEastAsia" w:hint="eastAsia"/>
          <w:color w:val="000000" w:themeColor="text1"/>
          <w:szCs w:val="21"/>
        </w:rPr>
        <w:t>）向基金管理人、基金托管人出资或者买卖其基金管理人、基金托管人发行的股票或债券；</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6</w:t>
      </w:r>
      <w:r w:rsidRPr="00490741">
        <w:rPr>
          <w:rFonts w:asciiTheme="minorEastAsia" w:eastAsiaTheme="minorEastAsia" w:hAnsiTheme="minorEastAsia" w:hint="eastAsia"/>
          <w:color w:val="000000" w:themeColor="text1"/>
          <w:szCs w:val="21"/>
        </w:rPr>
        <w:t>）买卖与基金管理人、基金托管人有控股关系的股东或者与基金管理人、基金托管人有其他重大利害关系的公司发行的证券或者承销期内承销的证券；</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7</w:t>
      </w:r>
      <w:r w:rsidRPr="00490741">
        <w:rPr>
          <w:rFonts w:asciiTheme="minorEastAsia" w:eastAsiaTheme="minorEastAsia" w:hAnsiTheme="minorEastAsia" w:hint="eastAsia"/>
          <w:color w:val="000000" w:themeColor="text1"/>
          <w:szCs w:val="21"/>
        </w:rPr>
        <w:t>）从事内幕交易、操纵证券价格及</w:t>
      </w:r>
      <w:r w:rsidRPr="00490741">
        <w:rPr>
          <w:rFonts w:asciiTheme="minorEastAsia" w:eastAsiaTheme="minorEastAsia" w:hAnsiTheme="minorEastAsia" w:hint="eastAsia"/>
          <w:color w:val="000000" w:themeColor="text1"/>
          <w:szCs w:val="21"/>
        </w:rPr>
        <w:t>其他不正当的证券交易活动；</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8</w:t>
      </w:r>
      <w:r w:rsidRPr="00490741">
        <w:rPr>
          <w:rFonts w:asciiTheme="minorEastAsia" w:eastAsiaTheme="minorEastAsia" w:hAnsiTheme="minorEastAsia" w:hint="eastAsia"/>
          <w:color w:val="000000" w:themeColor="text1"/>
          <w:szCs w:val="21"/>
        </w:rPr>
        <w:t>）当时有效的法律法规、中国证监会及《基金合同》规定禁止从事的其他行为。</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）基金托管人依据有关法律法规的规定和基金合同的约定对于基金关联投资限制进行监督。</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w:t>
      </w:r>
      <w:r w:rsidRPr="00490741">
        <w:rPr>
          <w:rFonts w:asciiTheme="minorEastAsia" w:eastAsiaTheme="minorEastAsia" w:hAnsiTheme="minorEastAsia" w:hint="eastAsia"/>
          <w:color w:val="000000" w:themeColor="text1"/>
          <w:szCs w:val="21"/>
        </w:rPr>
        <w:t>时发送基金托管人，基金托管人于</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个工作日内进行回函确认已知名单的变更。如果基金托管人在运作中严格遵循了监督流程，基金管理人仍违规进行关联交易，并造成基金资产损失的，由基金管理人承担责任。</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若基金托管人发现基金管理人与关联交易名单中列示的关联方进行法律法规禁止基金从事的关联交易时，基金托管人应及时提醒并协助基金管理人采取必要措施阻止该关联交</w:t>
      </w:r>
      <w:r w:rsidRPr="00490741">
        <w:rPr>
          <w:rFonts w:asciiTheme="minorEastAsia" w:eastAsiaTheme="minorEastAsia" w:hAnsiTheme="minorEastAsia" w:hint="eastAsia"/>
          <w:color w:val="000000" w:themeColor="text1"/>
          <w:szCs w:val="21"/>
        </w:rPr>
        <w:t>易的发生，若基金托管人采取必要措施后仍无法阻止关联交易发生时，基金托管人有权向中国证监会报告。对于交易所场内已成交的关联交易，基金托管人无法阻止该关联交易的发生，只能进行结</w:t>
      </w:r>
      <w:r w:rsidRPr="00490741">
        <w:rPr>
          <w:rFonts w:asciiTheme="minorEastAsia" w:eastAsiaTheme="minorEastAsia" w:hAnsiTheme="minorEastAsia" w:hint="eastAsia"/>
          <w:color w:val="000000" w:themeColor="text1"/>
          <w:szCs w:val="21"/>
        </w:rPr>
        <w:t>算，同时向中国证监会报告。</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5</w:t>
      </w:r>
      <w:r w:rsidRPr="00490741">
        <w:rPr>
          <w:rFonts w:asciiTheme="minorEastAsia" w:eastAsiaTheme="minorEastAsia" w:hAnsiTheme="minorEastAsia" w:hint="eastAsia"/>
          <w:color w:val="000000" w:themeColor="text1"/>
          <w:szCs w:val="21"/>
        </w:rPr>
        <w:t>）基金托管人依据有关法律法规的规定和基金合同的约定对基金管理人参与银行间债券市场进行监督。</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）基金托管人依据有关法律法规的规定和基金合同的约定对于基金管理人参与银行间市场交易时面临的交易对手资信风险进行监督。</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基金管理人向基金托管人提供符合法律法规及行业标准的银行间市场交易对手的名单，并按照审慎的风险控制原则在该名单中约定各交易对手所适用的交易结算方式。基金托管人在收到名单后</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个工作日内回函确认收到该名单。基金管理人应定期或不定期对银行间市场现券及回购交易对手的名单进行更新，名单中增加或减少银行间市场交易对手时须向基金托管人发出书面通知，基金托管人于</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个工作日内回函确认收到后，对名单进行更新。基金管理人收到基金托管人书面确认后，被确认调整的名单开始生效，新名单生效前已与本次剔除的交易对手所进行但尚未结算的交易，仍</w:t>
      </w:r>
      <w:r w:rsidRPr="00490741">
        <w:rPr>
          <w:rFonts w:asciiTheme="minorEastAsia" w:eastAsiaTheme="minorEastAsia" w:hAnsiTheme="minorEastAsia" w:hint="eastAsia"/>
          <w:color w:val="000000" w:themeColor="text1"/>
          <w:szCs w:val="21"/>
        </w:rPr>
        <w:t>应按照协议进行结算。</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）基金托管人对于基金管理人参与银行间市场交易的交易方式的控制</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w:t>
      </w:r>
      <w:r w:rsidRPr="00490741">
        <w:rPr>
          <w:rFonts w:asciiTheme="minorEastAsia" w:eastAsiaTheme="minorEastAsia" w:hAnsiTheme="minorEastAsia" w:hint="eastAsia"/>
          <w:color w:val="000000" w:themeColor="text1"/>
          <w:szCs w:val="21"/>
        </w:rPr>
        <w:t>及时提醒基金管理人与交易对手重新确定交易方式，经提醒后仍未改正时造成基金资产损失的，基金托管人不承担责任。</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基金管理人参与银行间市场交易时，有责任控制交易对手的资信风险，由于交易对手资信风险引起的损失先由基金管理人承担，其后有权要求相关责任人进行赔偿，如果基金托管人在运作中严格遵循了上述监督流程，则对于由于交易对手资信风险引起的损失，不承担赔偿责任。</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6</w:t>
      </w:r>
      <w:r w:rsidRPr="00490741">
        <w:rPr>
          <w:rFonts w:asciiTheme="minorEastAsia" w:eastAsiaTheme="minorEastAsia" w:hAnsiTheme="minorEastAsia" w:hint="eastAsia"/>
          <w:color w:val="000000" w:themeColor="text1"/>
          <w:szCs w:val="21"/>
        </w:rPr>
        <w:t>）基金托管人应根据有关法律法规的规定及基金合同的约定，对基金资产净值计算、基金份额净值计算、应收资金到账、基金费用开支及收入确定、基金收益分配、相关信</w:t>
      </w:r>
      <w:r w:rsidRPr="00490741">
        <w:rPr>
          <w:rFonts w:asciiTheme="minorEastAsia" w:eastAsiaTheme="minorEastAsia" w:hAnsiTheme="minorEastAsia" w:hint="eastAsia"/>
          <w:color w:val="000000" w:themeColor="text1"/>
          <w:szCs w:val="21"/>
        </w:rPr>
        <w:t>息披露、基金宣传推介材料中登载基金业绩表现数据等进行监督和核查。</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7</w:t>
      </w:r>
      <w:r w:rsidRPr="00490741">
        <w:rPr>
          <w:rFonts w:asciiTheme="minorEastAsia" w:eastAsiaTheme="minorEastAsia" w:hAnsiTheme="minorEastAsia" w:hint="eastAsia"/>
          <w:color w:val="000000" w:themeColor="text1"/>
          <w:szCs w:val="21"/>
        </w:rPr>
        <w:t>）基金托管人发现基金管理人的投资运作及其他运作违反《基金法》、基金合同、基金托管协议及其他有关规定时，应及时以书面形式通知基金管理人限期纠正，基金管理人收到通知后应最晚于下一个工作日核对，并以书面形式向基金托管人发出回函，进行解释或举证。</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w:t>
      </w:r>
      <w:r w:rsidRPr="00490741">
        <w:rPr>
          <w:rFonts w:asciiTheme="minorEastAsia" w:eastAsiaTheme="minorEastAsia" w:hAnsiTheme="minorEastAsia" w:hint="eastAsia"/>
          <w:color w:val="000000" w:themeColor="text1"/>
          <w:szCs w:val="21"/>
        </w:rPr>
        <w:t>而致使投资者遭受的损失。</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基金托管人发现基金管理人有重大违规行为，应立即报告中国证监会，同时通知基金管理人限期纠正。</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基金管理人无正当理由，拒绝、阻挠基金托管人根据本协议规定行使监督权，或采取拖延、欺诈等手段妨碍基金托管人进行有效监督，情节严重或经基金托管人提出警告仍不改正的，基金托</w:t>
      </w:r>
      <w:r w:rsidRPr="00490741">
        <w:rPr>
          <w:rFonts w:asciiTheme="minorEastAsia" w:eastAsiaTheme="minorEastAsia" w:hAnsiTheme="minorEastAsia" w:hint="eastAsia"/>
          <w:color w:val="000000" w:themeColor="text1"/>
          <w:szCs w:val="21"/>
        </w:rPr>
        <w:t>管人应报告中国证监会。</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、基金管理人对基金托管人的业务核查</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w:t>
      </w:r>
      <w:r w:rsidRPr="00490741">
        <w:rPr>
          <w:rFonts w:asciiTheme="minorEastAsia" w:eastAsiaTheme="minorEastAsia" w:hAnsiTheme="minorEastAsia" w:hint="eastAsia"/>
          <w:color w:val="000000" w:themeColor="text1"/>
          <w:szCs w:val="21"/>
        </w:rPr>
        <w:t>以书面形式通知基金托管人限期纠正，基金托管人收到通知后应最晚于下一个工作日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基金管理人发现基金托管人有重大违规行为，应立即报告中国证监会和银行业监督管理机构，同时通知基金托管人限期纠正。</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基金托管人应积极配合基金管理人的核查行为，包括但不限于：提交</w:t>
      </w:r>
      <w:r w:rsidRPr="00490741">
        <w:rPr>
          <w:rFonts w:asciiTheme="minorEastAsia" w:eastAsiaTheme="minorEastAsia" w:hAnsiTheme="minorEastAsia" w:hint="eastAsia"/>
          <w:color w:val="000000" w:themeColor="text1"/>
          <w:szCs w:val="21"/>
        </w:rPr>
        <w:t>相关资料以供基金管理人核查托管财产的完整性和真实性，在规定时间内答复基金管理人并改正。</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846" w:name="_Toc40511579"/>
      <w:bookmarkStart w:id="847" w:name="_Toc114237483"/>
      <w:r w:rsidRPr="00490741">
        <w:rPr>
          <w:rFonts w:asciiTheme="minorEastAsia" w:eastAsiaTheme="minorEastAsia" w:hAnsiTheme="minorEastAsia" w:hint="eastAsia"/>
          <w:b w:val="0"/>
          <w:bCs/>
          <w:color w:val="000000" w:themeColor="text1"/>
        </w:rPr>
        <w:t>（三）</w:t>
      </w:r>
      <w:bookmarkStart w:id="848" w:name="_Toc466788854"/>
      <w:bookmarkStart w:id="849" w:name="_Toc523829995"/>
      <w:bookmarkStart w:id="850" w:name="_Toc22454437"/>
      <w:bookmarkStart w:id="851" w:name="_Toc48703889"/>
      <w:bookmarkStart w:id="852" w:name="_Toc123626171"/>
      <w:bookmarkStart w:id="853" w:name="_Toc124749229"/>
      <w:bookmarkStart w:id="854" w:name="_Toc124749940"/>
      <w:bookmarkStart w:id="855" w:name="_Toc131334283"/>
      <w:r w:rsidRPr="00490741">
        <w:rPr>
          <w:rFonts w:asciiTheme="minorEastAsia" w:eastAsiaTheme="minorEastAsia" w:hAnsiTheme="minorEastAsia" w:hint="eastAsia"/>
          <w:b w:val="0"/>
          <w:bCs/>
          <w:color w:val="000000" w:themeColor="text1"/>
        </w:rPr>
        <w:t>基金财产保管</w:t>
      </w:r>
      <w:bookmarkEnd w:id="846"/>
      <w:bookmarkEnd w:id="848"/>
      <w:bookmarkEnd w:id="849"/>
      <w:bookmarkEnd w:id="850"/>
      <w:bookmarkEnd w:id="851"/>
      <w:bookmarkEnd w:id="852"/>
      <w:bookmarkEnd w:id="853"/>
      <w:bookmarkEnd w:id="854"/>
      <w:bookmarkEnd w:id="855"/>
      <w:bookmarkEnd w:id="847"/>
    </w:p>
    <w:p w:rsidR="0002608C" w:rsidRPr="00490741" w:rsidP="00107648">
      <w:pPr>
        <w:pStyle w:val="CharCharCharCharCharCharChar"/>
        <w:snapToGrid w:val="0"/>
        <w:spacing w:after="0" w:line="360" w:lineRule="auto"/>
        <w:ind w:firstLine="420" w:firstLineChars="200"/>
        <w:rPr>
          <w:rFonts w:asciiTheme="minorEastAsia" w:eastAsiaTheme="minorEastAsia" w:hAnsiTheme="minorEastAsia"/>
          <w:color w:val="000000" w:themeColor="text1"/>
          <w:sz w:val="21"/>
          <w:szCs w:val="21"/>
        </w:rPr>
      </w:pPr>
      <w:r w:rsidRPr="00490741">
        <w:rPr>
          <w:rFonts w:asciiTheme="minorEastAsia" w:eastAsiaTheme="minorEastAsia" w:hAnsiTheme="minorEastAsia" w:hint="eastAsia"/>
          <w:color w:val="000000" w:themeColor="text1"/>
          <w:sz w:val="21"/>
          <w:szCs w:val="21"/>
        </w:rPr>
        <w:t>1</w:t>
      </w:r>
      <w:r w:rsidRPr="00490741">
        <w:rPr>
          <w:rFonts w:asciiTheme="minorEastAsia" w:eastAsiaTheme="minorEastAsia" w:hAnsiTheme="minorEastAsia" w:hint="eastAsia"/>
          <w:color w:val="000000" w:themeColor="text1"/>
          <w:sz w:val="21"/>
          <w:szCs w:val="21"/>
        </w:rPr>
        <w:t>、基金财产保管的原则</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）基金财产应独立于基金管理人、基金托管人的固有财产。</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）基金托管人应安全保管基金财产。未经基金管理人的正当指令，不得自行运用、</w:t>
      </w:r>
      <w:r w:rsidRPr="00490741">
        <w:rPr>
          <w:rFonts w:asciiTheme="minorEastAsia" w:eastAsiaTheme="minorEastAsia" w:hAnsiTheme="minorEastAsia" w:hint="eastAsia"/>
          <w:color w:val="000000" w:themeColor="text1"/>
          <w:szCs w:val="21"/>
        </w:rPr>
        <w:t>处分、分配基金的任何财产。</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）基金托管人按照规定开设基金财产的资金账户和证券账户。</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）基金托管人对所托管的不同基金财产分别设置账户，与基金托管人的其他业务和其他基金的托管业务实行严格的分账管理，确保基金财产的完整与独立。</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5</w:t>
      </w:r>
      <w:r w:rsidRPr="00490741">
        <w:rPr>
          <w:rFonts w:asciiTheme="minorEastAsia" w:eastAsiaTheme="minorEastAsia" w:hAnsiTheme="minorEastAsia" w:hint="eastAsia"/>
          <w:color w:val="000000" w:themeColor="text1"/>
          <w:szCs w:val="21"/>
        </w:rPr>
        <w:t>）对于因基金认（申）购、基金投资过程中产生的应收财产，应由基金管理人负责与有关当事人确定到账日期并通知托管人，到账日基金财产没有到达托管人处的，托管人应及时通知基金管理人采取措施进行催收。由此给基金造成损失的，基金管理人应负责向有关当事人追偿基金的损失，基金托管人对此不承担责任。</w:t>
      </w:r>
    </w:p>
    <w:p w:rsidR="0002608C" w:rsidRPr="00490741" w:rsidP="00107648">
      <w:pPr>
        <w:pStyle w:val="CharCharCharCharCharCharChar"/>
        <w:snapToGrid w:val="0"/>
        <w:spacing w:after="0" w:line="360" w:lineRule="auto"/>
        <w:ind w:left="320"/>
        <w:rPr>
          <w:rFonts w:asciiTheme="minorEastAsia" w:eastAsiaTheme="minorEastAsia" w:hAnsiTheme="minorEastAsia"/>
          <w:color w:val="000000" w:themeColor="text1"/>
          <w:sz w:val="21"/>
          <w:szCs w:val="21"/>
        </w:rPr>
      </w:pPr>
      <w:r w:rsidRPr="00490741">
        <w:rPr>
          <w:rFonts w:asciiTheme="minorEastAsia" w:eastAsiaTheme="minorEastAsia" w:hAnsiTheme="minorEastAsia" w:hint="eastAsia"/>
          <w:color w:val="000000" w:themeColor="text1"/>
          <w:sz w:val="21"/>
          <w:szCs w:val="21"/>
        </w:rPr>
        <w:t>2</w:t>
      </w:r>
      <w:r w:rsidRPr="00490741">
        <w:rPr>
          <w:rFonts w:asciiTheme="minorEastAsia" w:eastAsiaTheme="minorEastAsia" w:hAnsiTheme="minorEastAsia" w:hint="eastAsia"/>
          <w:color w:val="000000" w:themeColor="text1"/>
          <w:sz w:val="21"/>
          <w:szCs w:val="21"/>
        </w:rPr>
        <w:t>、募集资金的验证</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募集</w:t>
      </w:r>
      <w:r w:rsidRPr="00490741">
        <w:rPr>
          <w:rFonts w:asciiTheme="minorEastAsia" w:eastAsiaTheme="minorEastAsia" w:hAnsiTheme="minorEastAsia" w:hint="eastAsia"/>
          <w:color w:val="000000" w:themeColor="text1"/>
          <w:szCs w:val="21"/>
        </w:rPr>
        <w:t>期内销售机构按销售与服务代理协议的约定，将认购资金划入基金管理人在具有托管资格的商业银行开设的“易方达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490741">
        <w:rPr>
          <w:rFonts w:asciiTheme="minorEastAsia" w:eastAsiaTheme="minorEastAsia" w:hAnsiTheme="minorEastAsia"/>
          <w:color w:val="000000" w:themeColor="text1"/>
          <w:szCs w:val="21"/>
        </w:rPr>
        <w:t>2</w:t>
      </w:r>
      <w:r w:rsidRPr="00490741">
        <w:rPr>
          <w:rFonts w:asciiTheme="minorEastAsia" w:eastAsiaTheme="minorEastAsia" w:hAnsiTheme="minorEastAsia" w:hint="eastAsia"/>
          <w:color w:val="000000" w:themeColor="text1"/>
          <w:szCs w:val="21"/>
        </w:rPr>
        <w:t>名以上（含</w:t>
      </w:r>
      <w:r w:rsidRPr="00490741">
        <w:rPr>
          <w:rFonts w:asciiTheme="minorEastAsia" w:eastAsiaTheme="minorEastAsia" w:hAnsiTheme="minorEastAsia"/>
          <w:color w:val="000000" w:themeColor="text1"/>
          <w:szCs w:val="21"/>
        </w:rPr>
        <w:t>2</w:t>
      </w:r>
      <w:r w:rsidRPr="00490741">
        <w:rPr>
          <w:rFonts w:asciiTheme="minorEastAsia" w:eastAsiaTheme="minorEastAsia" w:hAnsiTheme="minorEastAsia" w:hint="eastAsia"/>
          <w:color w:val="000000" w:themeColor="text1"/>
          <w:szCs w:val="21"/>
        </w:rPr>
        <w:t>名）中国注册会计师签字有效。验资完成，基金管理人应将募集的属于本基金财产的全部资金划入基金托管人为基金开立的基金托管专户中，</w:t>
      </w:r>
      <w:r w:rsidRPr="00490741">
        <w:rPr>
          <w:rFonts w:asciiTheme="minorEastAsia" w:eastAsiaTheme="minorEastAsia" w:hAnsiTheme="minorEastAsia" w:hint="eastAsia"/>
          <w:color w:val="000000" w:themeColor="text1"/>
          <w:szCs w:val="21"/>
        </w:rPr>
        <w:t>基金托管人在收到资金当日出具确认文件。</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若基金募集期限届满，未能达到基金合同生效的条件，由基金管理人按规定办理退款事宜。</w:t>
      </w:r>
    </w:p>
    <w:p w:rsidR="0002608C" w:rsidRPr="00490741" w:rsidP="00107648">
      <w:pPr>
        <w:pStyle w:val="CharCharCharCharCharCharChar"/>
        <w:snapToGrid w:val="0"/>
        <w:spacing w:after="0" w:line="360" w:lineRule="auto"/>
        <w:ind w:left="320"/>
        <w:rPr>
          <w:rFonts w:asciiTheme="minorEastAsia" w:eastAsiaTheme="minorEastAsia" w:hAnsiTheme="minorEastAsia"/>
          <w:color w:val="000000" w:themeColor="text1"/>
          <w:sz w:val="21"/>
          <w:szCs w:val="21"/>
        </w:rPr>
      </w:pPr>
      <w:r w:rsidRPr="00490741">
        <w:rPr>
          <w:rFonts w:asciiTheme="minorEastAsia" w:eastAsiaTheme="minorEastAsia" w:hAnsiTheme="minorEastAsia" w:hint="eastAsia"/>
          <w:color w:val="000000" w:themeColor="text1"/>
          <w:sz w:val="21"/>
          <w:szCs w:val="21"/>
        </w:rPr>
        <w:t>3</w:t>
      </w:r>
      <w:r w:rsidRPr="00490741">
        <w:rPr>
          <w:rFonts w:asciiTheme="minorEastAsia" w:eastAsiaTheme="minorEastAsia" w:hAnsiTheme="minorEastAsia" w:hint="eastAsia"/>
          <w:color w:val="000000" w:themeColor="text1"/>
          <w:sz w:val="21"/>
          <w:szCs w:val="21"/>
        </w:rPr>
        <w:t>、基金的银行账户的开立和管理</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托管人以基金托管人的名义在其营业机构开设基金托管专户，保管基金的银行存款。该基金托管专户是指基金托管人在集中托管模式下，代表所托管的基金与中国证券登记结算有限责任公司进行一级结算的专用账户。该账户的开设和管理由基金托管人承担。本基金的一切货币收支活动，均需通过基金托管人的基金托管专户进行。</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基金托管专户的开立和使用，限于满足开展本基金业务的需要。基金托管人和基金管理人不得假借本基金的名义开立其他任何银行账户；亦不得使用基金的任何银行账户进行本基金业务以外的活动。</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基金托管专户的管理应符合《银行账户管理办法》、《现金管理条例》、《中国人民银行利率管理的有关规定》、《关于大额现金支付管理的通知》、《支付结算办法》以及银行业监督管理机构的其他规定。</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、基金证券账户与证券交易资金账户的开设和管理</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基金托管人以基金托管人和本基金联名的方式在中国证券登记结算有限公司上海分公司</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深圳分公司开设证券账户。</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基金托管人</w:t>
      </w:r>
      <w:r w:rsidRPr="00490741">
        <w:rPr>
          <w:rFonts w:asciiTheme="minorEastAsia" w:eastAsiaTheme="minorEastAsia" w:hAnsiTheme="minorEastAsia"/>
          <w:color w:val="000000" w:themeColor="text1"/>
          <w:szCs w:val="21"/>
        </w:rPr>
        <w:t>以</w:t>
      </w:r>
      <w:r w:rsidRPr="00490741">
        <w:rPr>
          <w:rFonts w:asciiTheme="minorEastAsia" w:eastAsiaTheme="minorEastAsia" w:hAnsiTheme="minorEastAsia" w:hint="eastAsia"/>
          <w:color w:val="000000" w:themeColor="text1"/>
          <w:szCs w:val="21"/>
        </w:rPr>
        <w:t>基金托管人的名义在中国证券登记结算有限责任公司上海分公司</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深圳</w:t>
      </w:r>
      <w:r w:rsidRPr="00490741">
        <w:rPr>
          <w:rFonts w:asciiTheme="minorEastAsia" w:eastAsiaTheme="minorEastAsia" w:hAnsiTheme="minorEastAsia" w:hint="eastAsia"/>
          <w:color w:val="000000" w:themeColor="text1"/>
          <w:szCs w:val="21"/>
        </w:rPr>
        <w:t>分公司开立基金证券交易资金账户，用于证券清算。</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5</w:t>
      </w:r>
      <w:r w:rsidRPr="00490741">
        <w:rPr>
          <w:rFonts w:asciiTheme="minorEastAsia" w:eastAsiaTheme="minorEastAsia" w:hAnsiTheme="minorEastAsia" w:hint="eastAsia"/>
          <w:color w:val="000000" w:themeColor="text1"/>
          <w:szCs w:val="21"/>
        </w:rPr>
        <w:t>、债券托管账户的开立和管理</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）基金合同生效后，基金管理人负责以基金的名义申请并取得进入全国银行间同业拆借市场的交易资格，并代表基金进行交易；基金托管人负责以基金的名义在中央国债登记结算有限责任公司开设银行</w:t>
      </w:r>
      <w:r w:rsidRPr="00490741">
        <w:rPr>
          <w:rFonts w:asciiTheme="minorEastAsia" w:eastAsiaTheme="minorEastAsia" w:hAnsiTheme="minorEastAsia" w:hint="eastAsia"/>
          <w:color w:val="000000" w:themeColor="text1"/>
          <w:szCs w:val="21"/>
        </w:rPr>
        <w:t>间债券市场债券托管自营账户，并由基金托管人负责基金的债券的后台匹配及资金的清算。</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）基金管理人和基金托管人应一起负责为基金对外签订全国银行间国债市场回购主协议，正本由基金托管人保管，基金管理人保存副本。</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6</w:t>
      </w:r>
      <w:r w:rsidRPr="00490741">
        <w:rPr>
          <w:rFonts w:asciiTheme="minorEastAsia" w:eastAsiaTheme="minorEastAsia" w:hAnsiTheme="minorEastAsia" w:hint="eastAsia"/>
          <w:color w:val="000000" w:themeColor="text1"/>
          <w:szCs w:val="21"/>
        </w:rPr>
        <w:t>、其他账户的开设和管理</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7</w:t>
      </w:r>
      <w:r w:rsidRPr="00490741">
        <w:rPr>
          <w:rFonts w:asciiTheme="minorEastAsia" w:eastAsiaTheme="minorEastAsia" w:hAnsiTheme="minorEastAsia" w:hint="eastAsia"/>
          <w:color w:val="000000" w:themeColor="text1"/>
          <w:szCs w:val="21"/>
        </w:rPr>
        <w:t>、基金财产投资的有关实物证券等有价凭证的保</w:t>
      </w:r>
      <w:r w:rsidRPr="00490741">
        <w:rPr>
          <w:rFonts w:asciiTheme="minorEastAsia" w:eastAsiaTheme="minorEastAsia" w:hAnsiTheme="minorEastAsia" w:hint="eastAsia"/>
          <w:color w:val="000000" w:themeColor="text1"/>
          <w:szCs w:val="21"/>
        </w:rPr>
        <w:t>管</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基金财产投资的有关实物证券由基金托管人存放于托管银行的保管库；其中实物证券也可存入中央国债登记结算有限责任公司或中国证券登记结算有限责任公司上海分公司</w:t>
      </w:r>
      <w:r w:rsidRPr="00490741">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托管人对上述托管人以外机构实际有效控制的实物证券不承担保管责任。</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bookmarkStart w:id="856" w:name="_Toc37159180"/>
      <w:r w:rsidRPr="00490741">
        <w:rPr>
          <w:rFonts w:asciiTheme="minorEastAsia" w:eastAsiaTheme="minorEastAsia" w:hAnsiTheme="minorEastAsia" w:hint="eastAsia"/>
          <w:color w:val="000000" w:themeColor="text1"/>
          <w:szCs w:val="21"/>
        </w:rPr>
        <w:t>8</w:t>
      </w:r>
      <w:r w:rsidRPr="00490741">
        <w:rPr>
          <w:rFonts w:asciiTheme="minorEastAsia" w:eastAsiaTheme="minorEastAsia" w:hAnsiTheme="minorEastAsia" w:hint="eastAsia"/>
          <w:color w:val="000000" w:themeColor="text1"/>
          <w:szCs w:val="21"/>
        </w:rPr>
        <w:t>、与基金财产有关的重大合同的保管</w:t>
      </w:r>
      <w:bookmarkEnd w:id="856"/>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由基金管理人代表基金签署的与基金有关的重大合同的原件</w:t>
      </w:r>
      <w:r w:rsidRPr="00490741">
        <w:rPr>
          <w:rFonts w:asciiTheme="minorEastAsia" w:eastAsiaTheme="minorEastAsia" w:hAnsiTheme="minorEastAsia" w:hint="eastAsia"/>
          <w:color w:val="000000" w:themeColor="text1"/>
          <w:szCs w:val="21"/>
        </w:rPr>
        <w:t>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sidRPr="00490741">
        <w:rPr>
          <w:rFonts w:asciiTheme="minorEastAsia" w:eastAsiaTheme="minorEastAsia" w:hAnsiTheme="minorEastAsia" w:hint="eastAsia"/>
          <w:color w:val="000000" w:themeColor="text1"/>
          <w:szCs w:val="21"/>
        </w:rPr>
        <w:t>10</w:t>
      </w:r>
      <w:r w:rsidRPr="00490741">
        <w:rPr>
          <w:rFonts w:asciiTheme="minorEastAsia" w:eastAsiaTheme="minorEastAsia" w:hAnsiTheme="minorEastAsia" w:hint="eastAsia"/>
          <w:color w:val="000000" w:themeColor="text1"/>
          <w:szCs w:val="21"/>
        </w:rPr>
        <w:t>个工作日内通过专人送达、挂号邮寄等安全方式将合同原件送达基金托管人处。合同原件应存放于基金管理人和基金托管人各自文件保管部门</w:t>
      </w:r>
      <w:r w:rsidRPr="00490741">
        <w:rPr>
          <w:rFonts w:asciiTheme="minorEastAsia" w:eastAsiaTheme="minorEastAsia" w:hAnsiTheme="minorEastAsia" w:hint="eastAsia"/>
          <w:color w:val="000000" w:themeColor="text1"/>
          <w:szCs w:val="21"/>
        </w:rPr>
        <w:t>15</w:t>
      </w:r>
      <w:r w:rsidRPr="00490741">
        <w:rPr>
          <w:rFonts w:asciiTheme="minorEastAsia" w:eastAsiaTheme="minorEastAsia" w:hAnsiTheme="minorEastAsia" w:hint="eastAsia"/>
          <w:color w:val="000000" w:themeColor="text1"/>
          <w:szCs w:val="21"/>
        </w:rPr>
        <w:t>年以上。</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857" w:name="_Toc114237484"/>
      <w:r w:rsidRPr="00490741">
        <w:rPr>
          <w:rFonts w:asciiTheme="minorEastAsia" w:eastAsiaTheme="minorEastAsia" w:hAnsiTheme="minorEastAsia" w:hint="eastAsia"/>
          <w:b w:val="0"/>
          <w:bCs/>
          <w:color w:val="000000" w:themeColor="text1"/>
        </w:rPr>
        <w:t>（四）基金资产净值计算与复核</w:t>
      </w:r>
      <w:bookmarkEnd w:id="857"/>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、基金资产净值的计算</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基金资产净值是指基金资产总值减去负债后的价值。基金份额净值是指计算日基金资产净值除以该计算日基金份额总份额后的数值。基金份额净值的计算保留到小数点后</w:t>
      </w: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位，小数点后第</w:t>
      </w:r>
      <w:r w:rsidRPr="00490741">
        <w:rPr>
          <w:rFonts w:asciiTheme="minorEastAsia" w:eastAsiaTheme="minorEastAsia" w:hAnsiTheme="minorEastAsia" w:hint="eastAsia"/>
          <w:color w:val="000000" w:themeColor="text1"/>
          <w:szCs w:val="21"/>
        </w:rPr>
        <w:t>5</w:t>
      </w:r>
      <w:r w:rsidRPr="00490741">
        <w:rPr>
          <w:rFonts w:asciiTheme="minorEastAsia" w:eastAsiaTheme="minorEastAsia" w:hAnsiTheme="minorEastAsia" w:hint="eastAsia"/>
          <w:color w:val="000000" w:themeColor="text1"/>
          <w:szCs w:val="21"/>
        </w:rPr>
        <w:t>位四舍五入。</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基金管理人应每工作日对基金资产估值。估值原则应符合《基金合同》、《</w:t>
      </w:r>
      <w:r w:rsidRPr="00490741" w:rsidR="00B148D8">
        <w:rPr>
          <w:rFonts w:asciiTheme="minorEastAsia" w:eastAsiaTheme="minorEastAsia" w:hAnsiTheme="minorEastAsia" w:hint="eastAsia"/>
          <w:color w:val="000000" w:themeColor="text1"/>
          <w:szCs w:val="21"/>
        </w:rPr>
        <w:t>证券投资基金会计核算业务指引</w:t>
      </w:r>
      <w:r w:rsidRPr="00490741">
        <w:rPr>
          <w:rFonts w:asciiTheme="minorEastAsia" w:eastAsiaTheme="minorEastAsia" w:hAnsiTheme="minorEastAsia" w:hint="eastAsia"/>
          <w:color w:val="000000" w:themeColor="text1"/>
          <w:szCs w:val="21"/>
        </w:rPr>
        <w:t>》及其他法律、法规的规定。用于基金信息披露的基金资产净值和基金份额净值由基金管理人负责计算，基金托管人复核。基金管理人应于每个工作日交易结束后计算当日的基金份额净值并以加密传真方式发送给基金托管人。基金托管人对净值计算结果复核后，签名、盖</w:t>
      </w:r>
      <w:r w:rsidRPr="00490741">
        <w:rPr>
          <w:rFonts w:asciiTheme="minorEastAsia" w:eastAsiaTheme="minorEastAsia" w:hAnsiTheme="minorEastAsia" w:hint="eastAsia"/>
          <w:color w:val="000000" w:themeColor="text1"/>
          <w:szCs w:val="21"/>
        </w:rPr>
        <w:t>章并以加密传真方式传送给基金管理人，由基金管理人对基金净值予以公布。</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资产净值计算和基金会计核算的义务由基金管理人承担。因此，就与本基金有关的会计问题，本基金的会计责任方是基金管理人，如经相关各方在平等基础上充分讨论后，仍无法达成一致的意见，按照基金管理人对基金资产净值的计算结果对外予以公布。</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、基金资产估值方法</w:t>
      </w:r>
    </w:p>
    <w:p w:rsidR="0002608C" w:rsidRPr="00490741" w:rsidP="00107648">
      <w:pPr>
        <w:widowControl/>
        <w:snapToGrid w:val="0"/>
        <w:spacing w:line="360" w:lineRule="auto"/>
        <w:ind w:firstLine="420" w:firstLineChars="200"/>
        <w:jc w:val="left"/>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s="宋体" w:hint="eastAsia"/>
          <w:color w:val="000000" w:themeColor="text1"/>
          <w:kern w:val="0"/>
          <w:szCs w:val="21"/>
        </w:rPr>
        <w:t>(1)</w:t>
      </w:r>
      <w:r w:rsidRPr="00490741">
        <w:rPr>
          <w:rFonts w:asciiTheme="minorEastAsia" w:eastAsiaTheme="minorEastAsia" w:hAnsiTheme="minorEastAsia" w:cs="宋体" w:hint="eastAsia"/>
          <w:color w:val="000000" w:themeColor="text1"/>
          <w:kern w:val="0"/>
          <w:szCs w:val="21"/>
        </w:rPr>
        <w:t>证券交易所上市的有价证券的估值</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w:t>
      </w:r>
      <w:r w:rsidRPr="00490741">
        <w:rPr>
          <w:rFonts w:asciiTheme="minorEastAsia" w:eastAsiaTheme="minorEastAsia" w:hAnsiTheme="minorEastAsia" w:hint="eastAsia"/>
          <w:color w:val="000000" w:themeColor="text1"/>
          <w:szCs w:val="21"/>
        </w:rPr>
        <w:t>因素，调整最近交易市价，确定公允价格；</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交易所上市未实行净价交易的债券按估值日收盘价减去债券收盘价中所含的债券应收利息得到的净价进行估值；估值日没有交易的，且最近交易日后经济环境未发生重大变化，按有交易的最近交易日所采用的净价估值。如最近交易日后经济环境发生了重大变化的，可参考类似投资品种的现行市价及重大变化因素，调整最近交易市价，确定公允价格；</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交易所上市不存在活跃市场的有价证券，采用估值技术确定公允价值。交易所上市的资产支持证券，采用估值技术确定公允价值，在估值技术难以可靠计量公允价值的情况下，</w:t>
      </w:r>
      <w:r w:rsidRPr="00490741">
        <w:rPr>
          <w:rFonts w:asciiTheme="minorEastAsia" w:eastAsiaTheme="minorEastAsia" w:hAnsiTheme="minorEastAsia" w:hint="eastAsia"/>
          <w:color w:val="000000" w:themeColor="text1"/>
          <w:szCs w:val="21"/>
        </w:rPr>
        <w:t>按成本估值。</w:t>
      </w:r>
    </w:p>
    <w:p w:rsidR="0002608C" w:rsidRPr="00490741" w:rsidP="00107648">
      <w:pPr>
        <w:widowControl/>
        <w:snapToGrid w:val="0"/>
        <w:spacing w:line="360" w:lineRule="auto"/>
        <w:ind w:firstLine="420" w:firstLineChars="200"/>
        <w:jc w:val="left"/>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s="宋体" w:hint="eastAsia"/>
          <w:color w:val="000000" w:themeColor="text1"/>
          <w:kern w:val="0"/>
          <w:szCs w:val="21"/>
        </w:rPr>
        <w:t>(2)</w:t>
      </w:r>
      <w:r w:rsidRPr="00490741">
        <w:rPr>
          <w:rFonts w:asciiTheme="minorEastAsia" w:eastAsiaTheme="minorEastAsia" w:hAnsiTheme="minorEastAsia" w:cs="宋体" w:hint="eastAsia"/>
          <w:color w:val="000000" w:themeColor="text1"/>
          <w:kern w:val="0"/>
          <w:szCs w:val="21"/>
        </w:rPr>
        <w:t>处于未上市期间的有价证券应区分如下情况处理：</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）送股、转增股、配股和公开增发的新股，按估值日在证券交易所挂牌的同一股票的市价（收盘价）估值；该日无交易的，以最近一日的市价（收盘价）估值；</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）首次公开发行未上市的股票、债券和权证，采用估值技术确定公允价值，在估值技术难以可靠计量公允价值的情况下，按成本估值。</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）首次公开发行有明确锁定期的股票，同一股票在交易所上市后，按交易所上市的同一股票的市价（收盘价）估值；非公开发行有明确锁定期的股票，按监管机构或行业协会有关规定确定公允价值。</w:t>
      </w:r>
    </w:p>
    <w:p w:rsidR="00371F41" w:rsidRPr="00490741" w:rsidP="00371F41">
      <w:pPr>
        <w:widowControl/>
        <w:snapToGrid w:val="0"/>
        <w:spacing w:line="360" w:lineRule="auto"/>
        <w:ind w:firstLine="420" w:firstLineChars="200"/>
        <w:jc w:val="left"/>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s="宋体" w:hint="eastAsia"/>
          <w:color w:val="000000" w:themeColor="text1"/>
          <w:kern w:val="0"/>
          <w:szCs w:val="21"/>
        </w:rPr>
        <w:t>(</w:t>
      </w:r>
      <w:r w:rsidRPr="00490741">
        <w:rPr>
          <w:rFonts w:asciiTheme="minorEastAsia" w:eastAsiaTheme="minorEastAsia" w:hAnsiTheme="minorEastAsia" w:cs="宋体" w:hint="eastAsia"/>
          <w:color w:val="000000" w:themeColor="text1"/>
          <w:kern w:val="0"/>
          <w:szCs w:val="21"/>
        </w:rPr>
        <w:t>3)</w:t>
      </w:r>
      <w:r w:rsidRPr="00490741">
        <w:rPr>
          <w:rFonts w:asciiTheme="minorEastAsia" w:eastAsiaTheme="minorEastAsia" w:hAnsiTheme="minorEastAsia" w:cs="宋体" w:hint="eastAsia"/>
          <w:color w:val="000000" w:themeColor="text1"/>
          <w:kern w:val="0"/>
          <w:szCs w:val="21"/>
        </w:rPr>
        <w:t>因持有股票而享有的配股权，以及停止交易、但未行权的权证，采用估值技术确定公允价值。</w:t>
      </w:r>
    </w:p>
    <w:p w:rsidR="0002608C" w:rsidRPr="00490741" w:rsidP="00371F41">
      <w:pPr>
        <w:widowControl/>
        <w:snapToGrid w:val="0"/>
        <w:spacing w:line="360" w:lineRule="auto"/>
        <w:ind w:firstLine="420" w:firstLineChars="200"/>
        <w:jc w:val="left"/>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s="宋体" w:hint="eastAsia"/>
          <w:color w:val="000000" w:themeColor="text1"/>
          <w:kern w:val="0"/>
          <w:szCs w:val="21"/>
        </w:rPr>
        <w:t>(4)</w:t>
      </w:r>
      <w:r w:rsidRPr="00490741">
        <w:rPr>
          <w:rFonts w:asciiTheme="minorEastAsia" w:eastAsiaTheme="minorEastAsia" w:hAnsiTheme="minorEastAsia" w:cs="宋体" w:hint="eastAsia"/>
          <w:color w:val="000000" w:themeColor="text1"/>
          <w:kern w:val="0"/>
          <w:szCs w:val="21"/>
        </w:rPr>
        <w:t>本基金投资存托凭证的估值核算，依照境内上市交易的股票执行。</w:t>
      </w:r>
    </w:p>
    <w:p w:rsidR="0002608C" w:rsidRPr="00490741" w:rsidP="00107648">
      <w:pPr>
        <w:widowControl/>
        <w:snapToGrid w:val="0"/>
        <w:spacing w:line="360" w:lineRule="auto"/>
        <w:ind w:firstLine="420" w:firstLineChars="200"/>
        <w:jc w:val="left"/>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s="宋体" w:hint="eastAsia"/>
          <w:color w:val="000000" w:themeColor="text1"/>
          <w:kern w:val="0"/>
          <w:szCs w:val="21"/>
        </w:rPr>
        <w:t>(</w:t>
      </w:r>
      <w:r w:rsidRPr="00490741" w:rsidR="00371F41">
        <w:rPr>
          <w:rFonts w:asciiTheme="minorEastAsia" w:eastAsiaTheme="minorEastAsia" w:hAnsiTheme="minorEastAsia" w:cs="宋体" w:hint="eastAsia"/>
          <w:color w:val="000000" w:themeColor="text1"/>
          <w:kern w:val="0"/>
          <w:szCs w:val="21"/>
        </w:rPr>
        <w:t>5</w:t>
      </w:r>
      <w:r w:rsidRPr="00490741">
        <w:rPr>
          <w:rFonts w:asciiTheme="minorEastAsia" w:eastAsiaTheme="minorEastAsia" w:hAnsiTheme="minorEastAsia" w:cs="宋体" w:hint="eastAsia"/>
          <w:color w:val="000000" w:themeColor="text1"/>
          <w:kern w:val="0"/>
          <w:szCs w:val="21"/>
        </w:rPr>
        <w:t>)</w:t>
      </w:r>
      <w:r w:rsidRPr="00490741">
        <w:rPr>
          <w:rFonts w:asciiTheme="minorEastAsia" w:eastAsiaTheme="minorEastAsia" w:hAnsiTheme="minorEastAsia" w:cs="宋体" w:hint="eastAsia"/>
          <w:color w:val="000000" w:themeColor="text1"/>
          <w:kern w:val="0"/>
          <w:szCs w:val="21"/>
        </w:rPr>
        <w:t>全国银行间债券市场交易的债券、资产支持证券等固定收益品种，采用估值技术确定公允价值。</w:t>
      </w:r>
    </w:p>
    <w:p w:rsidR="0002608C" w:rsidRPr="00490741" w:rsidP="00107648">
      <w:pPr>
        <w:widowControl/>
        <w:snapToGrid w:val="0"/>
        <w:spacing w:line="360" w:lineRule="auto"/>
        <w:ind w:firstLine="420" w:firstLineChars="200"/>
        <w:jc w:val="left"/>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s="宋体" w:hint="eastAsia"/>
          <w:color w:val="000000" w:themeColor="text1"/>
          <w:kern w:val="0"/>
          <w:szCs w:val="21"/>
        </w:rPr>
        <w:t>(</w:t>
      </w:r>
      <w:r w:rsidRPr="00490741" w:rsidR="00371F41">
        <w:rPr>
          <w:rFonts w:asciiTheme="minorEastAsia" w:eastAsiaTheme="minorEastAsia" w:hAnsiTheme="minorEastAsia" w:cs="宋体" w:hint="eastAsia"/>
          <w:color w:val="000000" w:themeColor="text1"/>
          <w:kern w:val="0"/>
          <w:szCs w:val="21"/>
        </w:rPr>
        <w:t>6</w:t>
      </w:r>
      <w:r w:rsidRPr="00490741">
        <w:rPr>
          <w:rFonts w:asciiTheme="minorEastAsia" w:eastAsiaTheme="minorEastAsia" w:hAnsiTheme="minorEastAsia" w:cs="宋体" w:hint="eastAsia"/>
          <w:color w:val="000000" w:themeColor="text1"/>
          <w:kern w:val="0"/>
          <w:szCs w:val="21"/>
        </w:rPr>
        <w:t>)</w:t>
      </w:r>
      <w:r w:rsidRPr="00490741">
        <w:rPr>
          <w:rFonts w:asciiTheme="minorEastAsia" w:eastAsiaTheme="minorEastAsia" w:hAnsiTheme="minorEastAsia" w:cs="宋体" w:hint="eastAsia"/>
          <w:color w:val="000000" w:themeColor="text1"/>
          <w:kern w:val="0"/>
          <w:szCs w:val="21"/>
        </w:rPr>
        <w:t>同一债券同时在两个或两个以上市场交易的，按债券所处的市场分别估值。</w:t>
      </w:r>
    </w:p>
    <w:p w:rsidR="0002608C" w:rsidRPr="00490741" w:rsidP="00107648">
      <w:pPr>
        <w:widowControl/>
        <w:snapToGrid w:val="0"/>
        <w:spacing w:line="360" w:lineRule="auto"/>
        <w:ind w:firstLine="420" w:firstLineChars="200"/>
        <w:jc w:val="left"/>
        <w:rPr>
          <w:rFonts w:asciiTheme="minorEastAsia" w:eastAsiaTheme="minorEastAsia" w:hAnsiTheme="minorEastAsia" w:cs="宋体"/>
          <w:color w:val="000000" w:themeColor="text1"/>
          <w:kern w:val="0"/>
          <w:szCs w:val="21"/>
        </w:rPr>
      </w:pPr>
      <w:r w:rsidRPr="00490741">
        <w:rPr>
          <w:rFonts w:asciiTheme="minorEastAsia" w:eastAsiaTheme="minorEastAsia" w:hAnsiTheme="minorEastAsia" w:cs="宋体" w:hint="eastAsia"/>
          <w:color w:val="000000" w:themeColor="text1"/>
          <w:kern w:val="0"/>
          <w:szCs w:val="21"/>
        </w:rPr>
        <w:t>(</w:t>
      </w:r>
      <w:r w:rsidRPr="00490741" w:rsidR="00371F41">
        <w:rPr>
          <w:rFonts w:asciiTheme="minorEastAsia" w:eastAsiaTheme="minorEastAsia" w:hAnsiTheme="minorEastAsia" w:cs="宋体" w:hint="eastAsia"/>
          <w:color w:val="000000" w:themeColor="text1"/>
          <w:kern w:val="0"/>
          <w:szCs w:val="21"/>
        </w:rPr>
        <w:t>7</w:t>
      </w:r>
      <w:r w:rsidRPr="00490741">
        <w:rPr>
          <w:rFonts w:asciiTheme="minorEastAsia" w:eastAsiaTheme="minorEastAsia" w:hAnsiTheme="minorEastAsia" w:cs="宋体" w:hint="eastAsia"/>
          <w:color w:val="000000" w:themeColor="text1"/>
          <w:kern w:val="0"/>
          <w:szCs w:val="21"/>
        </w:rPr>
        <w:t>)</w:t>
      </w:r>
      <w:r w:rsidRPr="00490741">
        <w:rPr>
          <w:rFonts w:asciiTheme="minorEastAsia" w:eastAsiaTheme="minorEastAsia" w:hAnsiTheme="minorEastAsia" w:cs="宋体" w:hint="eastAsia"/>
          <w:color w:val="000000" w:themeColor="text1"/>
          <w:kern w:val="0"/>
          <w:szCs w:val="21"/>
        </w:rPr>
        <w:t>如有确凿证据表明按上述方法进行估值不能客观反映其公允价值的，基金管理人可根据具体情况与基金托管人商定后，按最能反映公允价值的价格估值。</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s="宋体" w:hint="eastAsia"/>
          <w:color w:val="000000" w:themeColor="text1"/>
          <w:kern w:val="0"/>
          <w:szCs w:val="21"/>
        </w:rPr>
        <w:t>(</w:t>
      </w:r>
      <w:r w:rsidRPr="00490741" w:rsidR="00371F41">
        <w:rPr>
          <w:rFonts w:asciiTheme="minorEastAsia" w:eastAsiaTheme="minorEastAsia" w:hAnsiTheme="minorEastAsia" w:cs="宋体" w:hint="eastAsia"/>
          <w:color w:val="000000" w:themeColor="text1"/>
          <w:kern w:val="0"/>
          <w:szCs w:val="21"/>
        </w:rPr>
        <w:t>8</w:t>
      </w:r>
      <w:r w:rsidRPr="00490741">
        <w:rPr>
          <w:rFonts w:asciiTheme="minorEastAsia" w:eastAsiaTheme="minorEastAsia" w:hAnsiTheme="minorEastAsia" w:cs="宋体" w:hint="eastAsia"/>
          <w:color w:val="000000" w:themeColor="text1"/>
          <w:kern w:val="0"/>
          <w:szCs w:val="21"/>
        </w:rPr>
        <w:t>)</w:t>
      </w:r>
      <w:r w:rsidRPr="00490741">
        <w:rPr>
          <w:rFonts w:asciiTheme="minorEastAsia" w:eastAsiaTheme="minorEastAsia" w:hAnsiTheme="minorEastAsia" w:cs="宋体" w:hint="eastAsia"/>
          <w:color w:val="000000" w:themeColor="text1"/>
          <w:kern w:val="0"/>
          <w:szCs w:val="21"/>
        </w:rPr>
        <w:t>相关法律法规以及监管部门有强制规定的，从其规定。如有新增事项，按国家最新规定估值。</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估值错误的处理</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关于差错处理，本合同的当事人按照以下约定处理：</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差错类型</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上述差错的主要类型包括但不限于：资料申报差错、数据传输差错、数据计算差错、系统故障差错、下达指令差错等</w:t>
      </w:r>
      <w:r w:rsidRPr="00490741">
        <w:rPr>
          <w:rFonts w:asciiTheme="minorEastAsia" w:eastAsiaTheme="minorEastAsia" w:hAnsiTheme="minorEastAsia" w:hint="eastAsia"/>
          <w:color w:val="000000" w:themeColor="text1"/>
          <w:szCs w:val="21"/>
        </w:rPr>
        <w:t>；对于因技术原因引起的差错，若系同行业现有技术水平无法预见、无法避免、无法抗拒，则属不可抗力，按照下述规定执行。</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差错处理原则</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差错已发生，但尚未给当事人造成损失时，差错责任方应及时协调各方，及时进行更正，因更正差错发生的费用由差错责任方承担；由于差错责任方未及时更正已产生的差错，给当事人造成损失的由差错责任方承担</w:t>
      </w:r>
      <w:r w:rsidRPr="00490741">
        <w:rPr>
          <w:rFonts w:asciiTheme="minorEastAsia" w:eastAsiaTheme="minorEastAsia" w:hAnsiTheme="minorEastAsia" w:hint="eastAsia"/>
          <w:color w:val="000000" w:themeColor="text1"/>
          <w:szCs w:val="21"/>
        </w:rPr>
        <w:t>；若差错责任方已经积极协调，并且有协助义务的当事人有足够的时间进行更正而未更正，则其应当承担相应赔偿责任。差错责任方应对更正的情况向有关当事人进行确认，确保差错已得到更正。</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）差错的责任方对可能导致有关当事人的直接损失负责，不对间接损失负责，并且仅对差错的有关直接当事人负责，不对第三方负责。</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w:t>
      </w:r>
      <w:r w:rsidRPr="00490741">
        <w:rPr>
          <w:rFonts w:asciiTheme="minorEastAsia" w:eastAsiaTheme="minorEastAsia" w:hAnsiTheme="minorEastAsia" w:hint="eastAsia"/>
          <w:color w:val="000000" w:themeColor="text1"/>
          <w:szCs w:val="21"/>
        </w:rPr>
        <w:t>在其支付的赔偿金额的范围内对获得不当得利的当事人享有要求交付不当得利的权利；如果获得不当得利的当事人已</w:t>
      </w:r>
      <w:r w:rsidRPr="00490741">
        <w:rPr>
          <w:rFonts w:asciiTheme="minorEastAsia" w:eastAsiaTheme="minorEastAsia" w:hAnsiTheme="minorEastAsia" w:hint="eastAsia"/>
          <w:color w:val="000000" w:themeColor="text1"/>
          <w:szCs w:val="21"/>
        </w:rPr>
        <w:t>经将此部分不当得利返还给受损方，则受损方应当将其已经获得的赔偿额加上已经获得的不当得利返还的总和超过其实际损失的差额部分支付给差错责任方。</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）差错调整采用尽量恢复至假设未发生差错的正确情形的方式。</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5</w:t>
      </w:r>
      <w:r w:rsidRPr="00490741">
        <w:rPr>
          <w:rFonts w:asciiTheme="minorEastAsia" w:eastAsiaTheme="minorEastAsia" w:hAnsiTheme="minorEastAsia" w:hint="eastAsia"/>
          <w:color w:val="000000" w:themeColor="text1"/>
          <w:szCs w:val="21"/>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6</w:t>
      </w:r>
      <w:r w:rsidRPr="00490741">
        <w:rPr>
          <w:rFonts w:asciiTheme="minorEastAsia" w:eastAsiaTheme="minorEastAsia" w:hAnsiTheme="minorEastAsia" w:hint="eastAsia"/>
          <w:color w:val="000000" w:themeColor="text1"/>
          <w:szCs w:val="21"/>
        </w:rPr>
        <w:t>）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w:t>
      </w:r>
      <w:r w:rsidRPr="00490741">
        <w:rPr>
          <w:rFonts w:asciiTheme="minorEastAsia" w:eastAsiaTheme="minorEastAsia" w:hAnsiTheme="minorEastAsia" w:hint="eastAsia"/>
          <w:color w:val="000000" w:themeColor="text1"/>
          <w:szCs w:val="21"/>
        </w:rPr>
        <w:t>赔偿或补偿由此发生的费用和遭受的损失。</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7</w:t>
      </w:r>
      <w:r w:rsidRPr="00490741">
        <w:rPr>
          <w:rFonts w:asciiTheme="minorEastAsia" w:eastAsiaTheme="minorEastAsia" w:hAnsiTheme="minorEastAsia" w:hint="eastAsia"/>
          <w:color w:val="000000" w:themeColor="text1"/>
          <w:szCs w:val="21"/>
        </w:rPr>
        <w:t>）按法律法规规定的其他原则处理差错。</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差错处理程序</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差错被发现后，有关的当事人应当及时进行处理，处理的程序如下：</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Pr>
          <w:rFonts w:asciiTheme="minorEastAsia" w:eastAsiaTheme="minorEastAsia" w:hAnsiTheme="minorEastAsia" w:hint="eastAsia"/>
          <w:color w:val="000000" w:themeColor="text1"/>
          <w:szCs w:val="21"/>
        </w:rPr>
        <w:t>）查明差错发生的原因，列明所有的当事人，并根据差错发生的原因确定差错的责任方；</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2</w:t>
      </w:r>
      <w:r w:rsidRPr="00490741">
        <w:rPr>
          <w:rFonts w:asciiTheme="minorEastAsia" w:eastAsiaTheme="minorEastAsia" w:hAnsiTheme="minorEastAsia" w:hint="eastAsia"/>
          <w:color w:val="000000" w:themeColor="text1"/>
          <w:szCs w:val="21"/>
        </w:rPr>
        <w:t>）根据差错处理原则或当事人协商的方法对因差错造成的损失进行评估；</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3</w:t>
      </w:r>
      <w:r w:rsidRPr="00490741">
        <w:rPr>
          <w:rFonts w:asciiTheme="minorEastAsia" w:eastAsiaTheme="minorEastAsia" w:hAnsiTheme="minorEastAsia" w:hint="eastAsia"/>
          <w:color w:val="000000" w:themeColor="text1"/>
          <w:szCs w:val="21"/>
        </w:rPr>
        <w:t>）根据差错处理原则或当事人协商的方法由差错的责任方进行更正和赔偿损失；</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4</w:t>
      </w:r>
      <w:r w:rsidRPr="00490741">
        <w:rPr>
          <w:rFonts w:asciiTheme="minorEastAsia" w:eastAsiaTheme="minorEastAsia" w:hAnsiTheme="minorEastAsia" w:hint="eastAsia"/>
          <w:color w:val="000000" w:themeColor="text1"/>
          <w:szCs w:val="21"/>
        </w:rPr>
        <w:t>）根据差错处理的方法，需要修改基金注册登记机构的交易数据的，由基金注册登记机构进行更正，并就差错的更正向有关当事人进行确认；</w:t>
      </w:r>
    </w:p>
    <w:p w:rsidR="0002608C" w:rsidRPr="00490741" w:rsidP="00107648">
      <w:pPr>
        <w:snapToGrid w:val="0"/>
        <w:spacing w:line="360" w:lineRule="auto"/>
        <w:ind w:firstLine="420" w:firstLineChars="200"/>
        <w:rPr>
          <w:rFonts w:asciiTheme="minorEastAsia" w:eastAsiaTheme="minorEastAsia" w:hAnsiTheme="minorEastAsia"/>
          <w:b/>
          <w:bCs/>
          <w:color w:val="000000" w:themeColor="text1"/>
        </w:rPr>
      </w:pPr>
      <w:r w:rsidRPr="00490741">
        <w:rPr>
          <w:rFonts w:asciiTheme="minorEastAsia" w:eastAsiaTheme="minorEastAsia" w:hAnsiTheme="minorEastAsia" w:hint="eastAsia"/>
          <w:color w:val="000000" w:themeColor="text1"/>
          <w:szCs w:val="21"/>
        </w:rPr>
        <w:t>5</w:t>
      </w:r>
      <w:r w:rsidRPr="00490741">
        <w:rPr>
          <w:rFonts w:asciiTheme="minorEastAsia" w:eastAsiaTheme="minorEastAsia" w:hAnsiTheme="minorEastAsia" w:hint="eastAsia"/>
          <w:color w:val="000000" w:themeColor="text1"/>
          <w:szCs w:val="21"/>
        </w:rPr>
        <w:t>）基金管理人及基金托管人基金份额净值计算错误偏差达到基金份额净值的</w:t>
      </w:r>
      <w:r w:rsidRPr="00490741">
        <w:rPr>
          <w:rFonts w:asciiTheme="minorEastAsia" w:eastAsiaTheme="minorEastAsia" w:hAnsiTheme="minorEastAsia" w:hint="eastAsia"/>
          <w:color w:val="000000" w:themeColor="text1"/>
          <w:szCs w:val="21"/>
        </w:rPr>
        <w:t>0.25%</w:t>
      </w:r>
      <w:r w:rsidRPr="00490741">
        <w:rPr>
          <w:rFonts w:asciiTheme="minorEastAsia" w:eastAsiaTheme="minorEastAsia" w:hAnsiTheme="minorEastAsia" w:hint="eastAsia"/>
          <w:color w:val="000000" w:themeColor="text1"/>
          <w:szCs w:val="21"/>
        </w:rPr>
        <w:t>时，基金管理人应当报告中国证监会；基金管理人及基金托管人基金份额净值计算错误偏差达到基金份额净值的</w:t>
      </w:r>
      <w:r w:rsidRPr="00490741">
        <w:rPr>
          <w:rFonts w:asciiTheme="minorEastAsia" w:eastAsiaTheme="minorEastAsia" w:hAnsiTheme="minorEastAsia" w:hint="eastAsia"/>
          <w:color w:val="000000" w:themeColor="text1"/>
          <w:szCs w:val="21"/>
        </w:rPr>
        <w:t>0.5%</w:t>
      </w:r>
      <w:r w:rsidRPr="00490741">
        <w:rPr>
          <w:rFonts w:asciiTheme="minorEastAsia" w:eastAsiaTheme="minorEastAsia" w:hAnsiTheme="minorEastAsia" w:hint="eastAsia"/>
          <w:color w:val="000000" w:themeColor="text1"/>
          <w:szCs w:val="21"/>
        </w:rPr>
        <w:t>时，基金管理人应当公告并报中国证监会备案。</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 w:val="21"/>
        </w:rPr>
      </w:pPr>
      <w:bookmarkStart w:id="858" w:name="_Toc114237485"/>
      <w:r w:rsidRPr="00490741">
        <w:rPr>
          <w:rFonts w:asciiTheme="minorEastAsia" w:eastAsiaTheme="minorEastAsia" w:hAnsiTheme="minorEastAsia" w:hint="eastAsia"/>
          <w:b w:val="0"/>
          <w:bCs/>
          <w:color w:val="000000" w:themeColor="text1"/>
        </w:rPr>
        <w:t>（五）基金份额持有人名册的保管</w:t>
      </w:r>
      <w:bookmarkEnd w:id="858"/>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基金管理人和基金托管人须分别妥善保管的基金份额持有人名册，包括基金合同生效日、基金合同终止日、基金份额持有人大会权益登记日、每年</w:t>
      </w:r>
      <w:r w:rsidRPr="00490741">
        <w:rPr>
          <w:rFonts w:asciiTheme="minorEastAsia" w:eastAsiaTheme="minorEastAsia" w:hAnsiTheme="minorEastAsia" w:hint="eastAsia"/>
          <w:color w:val="000000" w:themeColor="text1"/>
          <w:szCs w:val="21"/>
        </w:rPr>
        <w:t>6</w:t>
      </w:r>
      <w:r w:rsidRPr="00490741">
        <w:rPr>
          <w:rFonts w:asciiTheme="minorEastAsia" w:eastAsiaTheme="minorEastAsia" w:hAnsiTheme="minorEastAsia" w:hint="eastAsia"/>
          <w:color w:val="000000" w:themeColor="text1"/>
          <w:szCs w:val="21"/>
        </w:rPr>
        <w:t>月</w:t>
      </w:r>
      <w:r w:rsidRPr="00490741">
        <w:rPr>
          <w:rFonts w:asciiTheme="minorEastAsia" w:eastAsiaTheme="minorEastAsia" w:hAnsiTheme="minorEastAsia" w:hint="eastAsia"/>
          <w:color w:val="000000" w:themeColor="text1"/>
          <w:szCs w:val="21"/>
        </w:rPr>
        <w:t>30</w:t>
      </w:r>
      <w:r w:rsidRPr="00490741">
        <w:rPr>
          <w:rFonts w:asciiTheme="minorEastAsia" w:eastAsiaTheme="minorEastAsia" w:hAnsiTheme="minorEastAsia" w:hint="eastAsia"/>
          <w:color w:val="000000" w:themeColor="text1"/>
          <w:szCs w:val="21"/>
        </w:rPr>
        <w:t>日、</w:t>
      </w:r>
      <w:r w:rsidRPr="00490741">
        <w:rPr>
          <w:rFonts w:asciiTheme="minorEastAsia" w:eastAsiaTheme="minorEastAsia" w:hAnsiTheme="minorEastAsia" w:hint="eastAsia"/>
          <w:color w:val="000000" w:themeColor="text1"/>
          <w:szCs w:val="21"/>
        </w:rPr>
        <w:t>12</w:t>
      </w:r>
      <w:r w:rsidRPr="00490741">
        <w:rPr>
          <w:rFonts w:asciiTheme="minorEastAsia" w:eastAsiaTheme="minorEastAsia" w:hAnsiTheme="minorEastAsia" w:hint="eastAsia"/>
          <w:color w:val="000000" w:themeColor="text1"/>
          <w:szCs w:val="21"/>
        </w:rPr>
        <w:t>月</w:t>
      </w:r>
      <w:r w:rsidRPr="00490741">
        <w:rPr>
          <w:rFonts w:asciiTheme="minorEastAsia" w:eastAsiaTheme="minorEastAsia" w:hAnsiTheme="minorEastAsia" w:hint="eastAsia"/>
          <w:color w:val="000000" w:themeColor="text1"/>
          <w:szCs w:val="21"/>
        </w:rPr>
        <w:t>31</w:t>
      </w:r>
      <w:r w:rsidRPr="00490741">
        <w:rPr>
          <w:rFonts w:asciiTheme="minorEastAsia" w:eastAsiaTheme="minorEastAsia" w:hAnsiTheme="minorEastAsia" w:hint="eastAsia"/>
          <w:color w:val="000000" w:themeColor="text1"/>
          <w:szCs w:val="21"/>
        </w:rPr>
        <w:t>日的基金份额持有人名册。基金份额持有人名册的内容必须包括持有人的名称和持有的基金份额。</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基金份额持有人名册由基金的注册登记人编制，由基金的注册登记人保管。保管方式可以采用电子或文档的形式。保管期限为</w:t>
      </w:r>
      <w:r w:rsidRPr="00490741" w:rsidR="00B148D8">
        <w:rPr>
          <w:rFonts w:asciiTheme="minorEastAsia" w:eastAsiaTheme="minorEastAsia" w:hAnsiTheme="minorEastAsia"/>
          <w:color w:val="000000" w:themeColor="text1"/>
          <w:szCs w:val="21"/>
        </w:rPr>
        <w:t>20年</w:t>
      </w:r>
      <w:r w:rsidRPr="00490741">
        <w:rPr>
          <w:rFonts w:asciiTheme="minorEastAsia" w:eastAsiaTheme="minorEastAsia" w:hAnsiTheme="minorEastAsia" w:hint="eastAsia"/>
          <w:color w:val="000000" w:themeColor="text1"/>
          <w:szCs w:val="21"/>
        </w:rPr>
        <w:t>。</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基金管理人应当及时向基金托管人提交下列日期的基金份额持有人名册：基金合同生效日、基金合同终止日、基金份额持有人大会权益登记日、每年</w:t>
      </w:r>
      <w:r w:rsidRPr="00490741">
        <w:rPr>
          <w:rFonts w:asciiTheme="minorEastAsia" w:eastAsiaTheme="minorEastAsia" w:hAnsiTheme="minorEastAsia" w:hint="eastAsia"/>
          <w:color w:val="000000" w:themeColor="text1"/>
          <w:szCs w:val="21"/>
        </w:rPr>
        <w:t>6</w:t>
      </w:r>
      <w:r w:rsidRPr="00490741">
        <w:rPr>
          <w:rFonts w:asciiTheme="minorEastAsia" w:eastAsiaTheme="minorEastAsia" w:hAnsiTheme="minorEastAsia" w:hint="eastAsia"/>
          <w:color w:val="000000" w:themeColor="text1"/>
          <w:szCs w:val="21"/>
        </w:rPr>
        <w:t>月</w:t>
      </w:r>
      <w:r w:rsidRPr="00490741">
        <w:rPr>
          <w:rFonts w:asciiTheme="minorEastAsia" w:eastAsiaTheme="minorEastAsia" w:hAnsiTheme="minorEastAsia" w:hint="eastAsia"/>
          <w:color w:val="000000" w:themeColor="text1"/>
          <w:szCs w:val="21"/>
        </w:rPr>
        <w:t>30</w:t>
      </w:r>
      <w:r w:rsidRPr="00490741">
        <w:rPr>
          <w:rFonts w:asciiTheme="minorEastAsia" w:eastAsiaTheme="minorEastAsia" w:hAnsiTheme="minorEastAsia" w:hint="eastAsia"/>
          <w:color w:val="000000" w:themeColor="text1"/>
          <w:szCs w:val="21"/>
        </w:rPr>
        <w:t>日、每年</w:t>
      </w:r>
      <w:r w:rsidRPr="00490741">
        <w:rPr>
          <w:rFonts w:asciiTheme="minorEastAsia" w:eastAsiaTheme="minorEastAsia" w:hAnsiTheme="minorEastAsia" w:hint="eastAsia"/>
          <w:color w:val="000000" w:themeColor="text1"/>
          <w:szCs w:val="21"/>
        </w:rPr>
        <w:t>12</w:t>
      </w:r>
      <w:r w:rsidRPr="00490741">
        <w:rPr>
          <w:rFonts w:asciiTheme="minorEastAsia" w:eastAsiaTheme="minorEastAsia" w:hAnsiTheme="minorEastAsia" w:hint="eastAsia"/>
          <w:color w:val="000000" w:themeColor="text1"/>
          <w:szCs w:val="21"/>
        </w:rPr>
        <w:t>月</w:t>
      </w:r>
      <w:r w:rsidRPr="00490741">
        <w:rPr>
          <w:rFonts w:asciiTheme="minorEastAsia" w:eastAsiaTheme="minorEastAsia" w:hAnsiTheme="minorEastAsia" w:hint="eastAsia"/>
          <w:color w:val="000000" w:themeColor="text1"/>
          <w:szCs w:val="21"/>
        </w:rPr>
        <w:t>31</w:t>
      </w:r>
      <w:r w:rsidRPr="00490741">
        <w:rPr>
          <w:rFonts w:asciiTheme="minorEastAsia" w:eastAsiaTheme="minorEastAsia" w:hAnsiTheme="minorEastAsia" w:hint="eastAsia"/>
          <w:color w:val="000000" w:themeColor="text1"/>
          <w:szCs w:val="21"/>
        </w:rPr>
        <w:t>日的基金份额持有人名册。基金份额持有人名册的内容必须包括持有人的名称和持有的基金份额。其中每年</w:t>
      </w:r>
      <w:r w:rsidRPr="00490741">
        <w:rPr>
          <w:rFonts w:asciiTheme="minorEastAsia" w:eastAsiaTheme="minorEastAsia" w:hAnsiTheme="minorEastAsia" w:hint="eastAsia"/>
          <w:color w:val="000000" w:themeColor="text1"/>
          <w:szCs w:val="21"/>
        </w:rPr>
        <w:t>12</w:t>
      </w:r>
      <w:r w:rsidRPr="00490741">
        <w:rPr>
          <w:rFonts w:asciiTheme="minorEastAsia" w:eastAsiaTheme="minorEastAsia" w:hAnsiTheme="minorEastAsia" w:hint="eastAsia"/>
          <w:color w:val="000000" w:themeColor="text1"/>
          <w:szCs w:val="21"/>
        </w:rPr>
        <w:t>月</w:t>
      </w:r>
      <w:r w:rsidRPr="00490741">
        <w:rPr>
          <w:rFonts w:asciiTheme="minorEastAsia" w:eastAsiaTheme="minorEastAsia" w:hAnsiTheme="minorEastAsia" w:hint="eastAsia"/>
          <w:color w:val="000000" w:themeColor="text1"/>
          <w:szCs w:val="21"/>
        </w:rPr>
        <w:t>31</w:t>
      </w:r>
      <w:r w:rsidRPr="00490741">
        <w:rPr>
          <w:rFonts w:asciiTheme="minorEastAsia" w:eastAsiaTheme="minorEastAsia" w:hAnsiTheme="minorEastAsia" w:hint="eastAsia"/>
          <w:color w:val="000000" w:themeColor="text1"/>
          <w:szCs w:val="21"/>
        </w:rPr>
        <w:t>日的基金份额持有人名册应于下月前十个工作日内提交；基金合同生效日、基金合同终止日等涉及到基金重要事项日期的基金份额持有人名册应于发生</w:t>
      </w:r>
      <w:r w:rsidRPr="00490741">
        <w:rPr>
          <w:rFonts w:asciiTheme="minorEastAsia" w:eastAsiaTheme="minorEastAsia" w:hAnsiTheme="minorEastAsia" w:hint="eastAsia"/>
          <w:color w:val="000000" w:themeColor="text1"/>
          <w:szCs w:val="21"/>
        </w:rPr>
        <w:t>日后十个工作日内提交。</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基金托管人以电子版形式妥善保管基金份额持有人名册，并定期刻成光盘备份，保存期限为</w:t>
      </w:r>
      <w:r w:rsidRPr="00490741" w:rsidR="00B148D8">
        <w:rPr>
          <w:rFonts w:asciiTheme="minorEastAsia" w:eastAsiaTheme="minorEastAsia" w:hAnsiTheme="minorEastAsia"/>
          <w:color w:val="000000" w:themeColor="text1"/>
          <w:szCs w:val="21"/>
        </w:rPr>
        <w:t>20年</w:t>
      </w:r>
      <w:r w:rsidRPr="00490741">
        <w:rPr>
          <w:rFonts w:asciiTheme="minorEastAsia" w:eastAsiaTheme="minorEastAsia" w:hAnsiTheme="minorEastAsia" w:hint="eastAsia"/>
          <w:color w:val="000000" w:themeColor="text1"/>
          <w:szCs w:val="21"/>
        </w:rPr>
        <w:t>。基金托管人不得将所保管的基金份额持有人名册用于基金托管业务以外的其他用途，并应遵守保密义务。</w:t>
      </w:r>
    </w:p>
    <w:p w:rsidR="0002608C" w:rsidRPr="00490741" w:rsidP="00107648">
      <w:pPr>
        <w:snapToGrid w:val="0"/>
        <w:spacing w:line="360" w:lineRule="auto"/>
        <w:ind w:right="28" w:firstLine="420" w:firstLineChars="200"/>
        <w:rPr>
          <w:rFonts w:asciiTheme="minorEastAsia" w:eastAsiaTheme="minorEastAsia" w:hAnsiTheme="minorEastAsia"/>
          <w:b/>
          <w:bCs/>
          <w:color w:val="000000" w:themeColor="text1"/>
        </w:rPr>
      </w:pPr>
      <w:r w:rsidRPr="00490741">
        <w:rPr>
          <w:rFonts w:asciiTheme="minorEastAsia" w:eastAsiaTheme="minorEastAsia" w:hAnsiTheme="minorEastAsia" w:hint="eastAsia"/>
          <w:color w:val="000000" w:themeColor="text1"/>
          <w:szCs w:val="21"/>
        </w:rPr>
        <w:t>若基金管理人或基金托管人由于自身原因无法妥善保管基金份额持有人名册，应按有关法规规定各自承担相应的责任。</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 w:val="21"/>
        </w:rPr>
      </w:pPr>
      <w:bookmarkStart w:id="859" w:name="_Toc114237486"/>
      <w:r w:rsidRPr="00490741">
        <w:rPr>
          <w:rFonts w:asciiTheme="minorEastAsia" w:eastAsiaTheme="minorEastAsia" w:hAnsiTheme="minorEastAsia" w:hint="eastAsia"/>
          <w:b w:val="0"/>
          <w:bCs/>
          <w:color w:val="000000" w:themeColor="text1"/>
        </w:rPr>
        <w:t>（六）争议解决方式</w:t>
      </w:r>
      <w:bookmarkEnd w:id="859"/>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相关各方当事人同意，因本协议而产生的或与本协议有关的一切争议，除经友好协商可以解决的，应提交中国国际经济贸易仲裁委员会根据该会当时有效的仲裁规则进行仲裁，仲裁的地点在北京，仲裁裁决</w:t>
      </w:r>
      <w:r w:rsidRPr="00490741">
        <w:rPr>
          <w:rFonts w:asciiTheme="minorEastAsia" w:eastAsiaTheme="minorEastAsia" w:hAnsiTheme="minorEastAsia" w:hint="eastAsia"/>
          <w:color w:val="000000" w:themeColor="text1"/>
        </w:rPr>
        <w:t>是终局性的并对相关各方均有约束力，仲裁费用由败诉方承担。</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争议处理期间，相关各方当事人应恪守基金管理人和基金托管人职责，继续忠实、勤勉、尽责地履行《基金合同》和托管协议规定的义务，维护基金份额持有人的合法权益。</w:t>
      </w:r>
    </w:p>
    <w:p w:rsidR="0002608C" w:rsidRPr="00490741" w:rsidP="00107648">
      <w:pPr>
        <w:snapToGrid w:val="0"/>
        <w:spacing w:line="360" w:lineRule="auto"/>
        <w:ind w:right="28" w:firstLine="420" w:firstLineChars="200"/>
        <w:rPr>
          <w:rFonts w:asciiTheme="minorEastAsia" w:eastAsiaTheme="minorEastAsia" w:hAnsiTheme="minorEastAsia"/>
          <w:b/>
          <w:bCs/>
          <w:color w:val="000000" w:themeColor="text1"/>
        </w:rPr>
      </w:pPr>
      <w:r w:rsidRPr="00490741">
        <w:rPr>
          <w:rFonts w:asciiTheme="minorEastAsia" w:eastAsiaTheme="minorEastAsia" w:hAnsiTheme="minorEastAsia" w:hint="eastAsia"/>
          <w:color w:val="000000" w:themeColor="text1"/>
        </w:rPr>
        <w:t>本协议受中国法律管辖。</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 w:val="21"/>
        </w:rPr>
      </w:pPr>
      <w:bookmarkStart w:id="860" w:name="_Toc114237487"/>
      <w:r w:rsidRPr="00490741">
        <w:rPr>
          <w:rFonts w:asciiTheme="minorEastAsia" w:eastAsiaTheme="minorEastAsia" w:hAnsiTheme="minorEastAsia" w:hint="eastAsia"/>
          <w:b w:val="0"/>
          <w:bCs/>
          <w:color w:val="000000" w:themeColor="text1"/>
        </w:rPr>
        <w:t>（七）托管协议的修改与终止</w:t>
      </w:r>
      <w:bookmarkEnd w:id="860"/>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1</w:t>
      </w:r>
      <w:r w:rsidRPr="00490741">
        <w:rPr>
          <w:rFonts w:asciiTheme="minorEastAsia" w:eastAsiaTheme="minorEastAsia" w:hAnsiTheme="minorEastAsia" w:hint="eastAsia"/>
          <w:color w:val="000000" w:themeColor="text1"/>
        </w:rPr>
        <w:t>、本协议双方当事人经协商一致，可以对协议的内容进行变更。变更后的托管协议，其内容不得与《基金合同》的规定有任何冲突。基金托管协议的变更报中国证监会</w:t>
      </w:r>
      <w:r w:rsidRPr="00490741" w:rsidR="00B148D8">
        <w:rPr>
          <w:rFonts w:asciiTheme="minorEastAsia" w:eastAsiaTheme="minorEastAsia" w:hAnsiTheme="minorEastAsia" w:hint="eastAsia"/>
          <w:color w:val="000000" w:themeColor="text1"/>
        </w:rPr>
        <w:t>备案</w:t>
      </w:r>
      <w:r w:rsidRPr="00490741">
        <w:rPr>
          <w:rFonts w:asciiTheme="minorEastAsia" w:eastAsiaTheme="minorEastAsia" w:hAnsiTheme="minorEastAsia" w:hint="eastAsia"/>
          <w:color w:val="000000" w:themeColor="text1"/>
        </w:rPr>
        <w:t>。</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2</w:t>
      </w:r>
      <w:r w:rsidRPr="00490741">
        <w:rPr>
          <w:rFonts w:asciiTheme="minorEastAsia" w:eastAsiaTheme="minorEastAsia" w:hAnsiTheme="minorEastAsia" w:hint="eastAsia"/>
          <w:color w:val="000000" w:themeColor="text1"/>
        </w:rPr>
        <w:t>、基金托管协议终止的情形</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发生以下情况，本托管协议终止：</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1</w:t>
      </w:r>
      <w:r w:rsidRPr="00490741">
        <w:rPr>
          <w:rFonts w:asciiTheme="minorEastAsia" w:eastAsiaTheme="minorEastAsia" w:hAnsiTheme="minorEastAsia" w:hint="eastAsia"/>
          <w:color w:val="000000" w:themeColor="text1"/>
        </w:rPr>
        <w:t>）《基金合同》终止；</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2</w:t>
      </w:r>
      <w:r w:rsidRPr="00490741">
        <w:rPr>
          <w:rFonts w:asciiTheme="minorEastAsia" w:eastAsiaTheme="minorEastAsia" w:hAnsiTheme="minorEastAsia" w:hint="eastAsia"/>
          <w:color w:val="000000" w:themeColor="text1"/>
        </w:rPr>
        <w:t>）基金托管人解散、依法被撤销、破产或有其他基金托管人接管基金财产；</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3</w:t>
      </w:r>
      <w:r w:rsidRPr="00490741">
        <w:rPr>
          <w:rFonts w:asciiTheme="minorEastAsia" w:eastAsiaTheme="minorEastAsia" w:hAnsiTheme="minorEastAsia" w:hint="eastAsia"/>
          <w:color w:val="000000" w:themeColor="text1"/>
        </w:rPr>
        <w:t>）基金管理人解散、依法被撤销、破产或有其他基金管理人接管基金管理权；</w:t>
      </w:r>
    </w:p>
    <w:p w:rsidR="0002608C" w:rsidRPr="00490741" w:rsidP="00107648">
      <w:pPr>
        <w:snapToGrid w:val="0"/>
        <w:spacing w:line="360" w:lineRule="auto"/>
        <w:ind w:right="28"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4</w:t>
      </w:r>
      <w:r w:rsidRPr="00490741">
        <w:rPr>
          <w:rFonts w:asciiTheme="minorEastAsia" w:eastAsiaTheme="minorEastAsia" w:hAnsiTheme="minorEastAsia" w:hint="eastAsia"/>
          <w:color w:val="000000" w:themeColor="text1"/>
        </w:rPr>
        <w:t>）发生法律法规或基金合同规定的终止事项。</w:t>
      </w:r>
    </w:p>
    <w:p w:rsidR="00E1094C" w:rsidRPr="00490741" w:rsidP="00107648">
      <w:pPr>
        <w:snapToGrid w:val="0"/>
        <w:spacing w:line="360" w:lineRule="auto"/>
        <w:ind w:right="28" w:firstLine="420" w:firstLineChars="200"/>
        <w:rPr>
          <w:rFonts w:asciiTheme="minorEastAsia" w:eastAsiaTheme="minorEastAsia" w:hAnsiTheme="minorEastAsia"/>
          <w:color w:val="000000" w:themeColor="text1"/>
        </w:rPr>
        <w:sectPr w:rsidSect="0035472D">
          <w:pgSz w:w="11906" w:h="16838" w:code="9"/>
          <w:pgMar w:top="1440" w:right="1800" w:bottom="1440" w:left="1800" w:header="851" w:footer="992" w:gutter="0"/>
          <w:cols w:space="425"/>
          <w:docGrid w:type="lines" w:linePitch="312"/>
        </w:sectPr>
      </w:pPr>
    </w:p>
    <w:p w:rsidR="0002608C" w:rsidRPr="00490741" w:rsidP="00107648">
      <w:pPr>
        <w:pStyle w:val="Heading1"/>
        <w:snapToGrid w:val="0"/>
        <w:spacing w:beforeLines="0" w:afterLines="0" w:line="360" w:lineRule="auto"/>
        <w:ind w:firstLine="643"/>
        <w:rPr>
          <w:rFonts w:asciiTheme="minorEastAsia" w:eastAsiaTheme="minorEastAsia" w:hAnsiTheme="minorEastAsia"/>
          <w:b/>
          <w:bCs/>
          <w:color w:val="000000" w:themeColor="text1"/>
        </w:rPr>
      </w:pPr>
      <w:bookmarkStart w:id="861" w:name="_Toc114237488"/>
      <w:r w:rsidRPr="00490741">
        <w:rPr>
          <w:rFonts w:asciiTheme="minorEastAsia" w:eastAsiaTheme="minorEastAsia" w:hAnsiTheme="minorEastAsia" w:hint="eastAsia"/>
          <w:b/>
          <w:bCs/>
          <w:color w:val="000000" w:themeColor="text1"/>
        </w:rPr>
        <w:t>二十三、对基金份额持有人的服务</w:t>
      </w:r>
      <w:bookmarkStart w:id="862" w:name="_Toc38186634"/>
      <w:bookmarkEnd w:id="861"/>
    </w:p>
    <w:p w:rsidR="0002608C" w:rsidRPr="00490741" w:rsidP="00107648">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基金管理人承诺为基金份额持有人提供一系列的服务。以下是主要的服务内容，基金管理人根据基金份额持有人的需要和市场的变化，有权增加、修改这些服务项目：</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863" w:name="_Toc114237489"/>
      <w:r w:rsidRPr="00490741">
        <w:rPr>
          <w:rFonts w:asciiTheme="minorEastAsia" w:eastAsiaTheme="minorEastAsia" w:hAnsiTheme="minorEastAsia" w:hint="eastAsia"/>
          <w:b w:val="0"/>
          <w:bCs/>
          <w:color w:val="000000" w:themeColor="text1"/>
        </w:rPr>
        <w:t>（一）基金份额持有人投资交易确认服务</w:t>
      </w:r>
      <w:bookmarkEnd w:id="863"/>
    </w:p>
    <w:p w:rsidR="0002608C" w:rsidRPr="00490741" w:rsidP="00107648">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基金注册登记机构保留基金份额持有人名册上列明的所有基金份额持有人的基金交易记录。</w:t>
      </w:r>
    </w:p>
    <w:p w:rsidR="0002608C" w:rsidRPr="00490741" w:rsidP="00107648">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我公司根据在直销网点进行交易的投资人的要求提供成交确认单。非直销销售机构基金份额持有人投资交易确认服务请参照各销售机构实际业务流程及规定。</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864" w:name="_Toc114237490"/>
      <w:r w:rsidRPr="00490741">
        <w:rPr>
          <w:rFonts w:asciiTheme="minorEastAsia" w:eastAsiaTheme="minorEastAsia" w:hAnsiTheme="minorEastAsia" w:hint="eastAsia"/>
          <w:b w:val="0"/>
          <w:bCs/>
          <w:color w:val="000000" w:themeColor="text1"/>
        </w:rPr>
        <w:t>（二）基金份额持有人交易记录查询服务</w:t>
      </w:r>
      <w:bookmarkEnd w:id="864"/>
    </w:p>
    <w:p w:rsidR="0002608C" w:rsidRPr="00490741" w:rsidP="00107648">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本基金份额持有人可通过基金管理人的客户服务中心查询历史交易记录。</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865" w:name="_Toc114237491"/>
      <w:r w:rsidRPr="00490741">
        <w:rPr>
          <w:rFonts w:asciiTheme="minorEastAsia" w:eastAsiaTheme="minorEastAsia" w:hAnsiTheme="minorEastAsia" w:hint="eastAsia"/>
          <w:b w:val="0"/>
          <w:bCs/>
          <w:color w:val="000000" w:themeColor="text1"/>
        </w:rPr>
        <w:t>（三）基金份额持有人的对账单服务</w:t>
      </w:r>
      <w:bookmarkEnd w:id="865"/>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1</w:t>
      </w:r>
      <w:r w:rsidRPr="00490741" w:rsidR="00851044">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基金份额持有人可登录本公司网站（</w:t>
      </w:r>
      <w:r w:rsidRPr="00490741">
        <w:rPr>
          <w:rFonts w:asciiTheme="minorEastAsia" w:eastAsiaTheme="minorEastAsia" w:hAnsiTheme="minorEastAsia" w:hint="eastAsia"/>
          <w:color w:val="000000" w:themeColor="text1"/>
          <w:szCs w:val="21"/>
        </w:rPr>
        <w:t>http://www.efunds.com.cn</w:t>
      </w:r>
      <w:r w:rsidRPr="00490741">
        <w:rPr>
          <w:rFonts w:asciiTheme="minorEastAsia" w:eastAsiaTheme="minorEastAsia" w:hAnsiTheme="minorEastAsia" w:hint="eastAsia"/>
          <w:color w:val="000000" w:themeColor="text1"/>
          <w:szCs w:val="21"/>
        </w:rPr>
        <w:t>）查阅对账单。</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color w:val="000000" w:themeColor="text1"/>
        </w:rPr>
        <w:t>2</w:t>
      </w:r>
      <w:r w:rsidRPr="00490741">
        <w:rPr>
          <w:rFonts w:asciiTheme="minorEastAsia" w:eastAsiaTheme="minorEastAsia" w:hAnsiTheme="minorEastAsia"/>
          <w:color w:val="000000" w:themeColor="text1"/>
        </w:rPr>
        <w:t>、本公司至少每年度以电子邮件、短信或其他形式向通过</w:t>
      </w:r>
      <w:r w:rsidRPr="00490741">
        <w:rPr>
          <w:rFonts w:asciiTheme="minorEastAsia" w:eastAsiaTheme="minorEastAsia" w:hAnsiTheme="minorEastAsia"/>
          <w:color w:val="000000" w:themeColor="text1"/>
        </w:rPr>
        <w:t>易方达直销系统持有本公司基金份额的基金份额持有人提供基金保有情况信息，基金份额持有人也可以向本公司定制电子邮件形式的月度对账单。</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具体查阅和定制账单的方法可参见本公司网站或拨打客服热线咨询。</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866" w:name="_Toc114237492"/>
      <w:r w:rsidRPr="00490741">
        <w:rPr>
          <w:rFonts w:asciiTheme="minorEastAsia" w:eastAsiaTheme="minorEastAsia" w:hAnsiTheme="minorEastAsia" w:hint="eastAsia"/>
          <w:b w:val="0"/>
          <w:bCs/>
          <w:color w:val="000000" w:themeColor="text1"/>
        </w:rPr>
        <w:t>（</w:t>
      </w:r>
      <w:r w:rsidRPr="00490741" w:rsidR="008D506F">
        <w:rPr>
          <w:rFonts w:asciiTheme="minorEastAsia" w:eastAsiaTheme="minorEastAsia" w:hAnsiTheme="minorEastAsia" w:hint="eastAsia"/>
          <w:b w:val="0"/>
          <w:bCs/>
          <w:color w:val="000000" w:themeColor="text1"/>
        </w:rPr>
        <w:t>四</w:t>
      </w:r>
      <w:r w:rsidRPr="00490741">
        <w:rPr>
          <w:rFonts w:asciiTheme="minorEastAsia" w:eastAsiaTheme="minorEastAsia" w:hAnsiTheme="minorEastAsia" w:hint="eastAsia"/>
          <w:b w:val="0"/>
          <w:bCs/>
          <w:color w:val="000000" w:themeColor="text1"/>
        </w:rPr>
        <w:t>）定期定额投资计划</w:t>
      </w:r>
      <w:bookmarkEnd w:id="866"/>
    </w:p>
    <w:p w:rsidR="0002608C" w:rsidRPr="00490741" w:rsidP="00107648">
      <w:pPr>
        <w:pStyle w:val="a"/>
        <w:snapToGrid w:val="0"/>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基金管理人可利用</w:t>
      </w:r>
      <w:r w:rsidRPr="00490741" w:rsidR="00D109A3">
        <w:rPr>
          <w:rFonts w:asciiTheme="minorEastAsia" w:eastAsiaTheme="minorEastAsia" w:hAnsiTheme="minorEastAsia" w:hint="eastAsia"/>
          <w:color w:val="000000" w:themeColor="text1"/>
        </w:rPr>
        <w:t>非直销销售机构</w:t>
      </w:r>
      <w:r w:rsidRPr="00490741">
        <w:rPr>
          <w:rFonts w:asciiTheme="minorEastAsia" w:eastAsiaTheme="minorEastAsia" w:hAnsiTheme="minorEastAsia" w:hint="eastAsia"/>
          <w:color w:val="000000" w:themeColor="text1"/>
        </w:rPr>
        <w:t>网点和本公司网上交易系统为投资者提供定期定额投资的服务</w:t>
      </w:r>
      <w:r w:rsidRPr="00490741" w:rsidR="00151A2F">
        <w:rPr>
          <w:rFonts w:asciiTheme="minorEastAsia" w:eastAsiaTheme="minorEastAsia" w:hAnsiTheme="minorEastAsia" w:hint="eastAsia"/>
          <w:color w:val="000000" w:themeColor="text1"/>
        </w:rPr>
        <w:t>（本公司网上交易系统的定期定额投资服务目前仅对个人投资者开通）</w:t>
      </w:r>
      <w:r w:rsidRPr="00490741">
        <w:rPr>
          <w:rFonts w:asciiTheme="minorEastAsia" w:eastAsiaTheme="minorEastAsia" w:hAnsiTheme="minorEastAsia" w:hint="eastAsia"/>
          <w:color w:val="000000" w:themeColor="text1"/>
        </w:rPr>
        <w:t>。通过定期定额投资计划，投资者可以通过固定的渠道，定期定额申购基金份额，具体实施方法见有关公告。</w:t>
      </w:r>
    </w:p>
    <w:p w:rsidR="0002608C" w:rsidRPr="00490741" w:rsidP="00107648">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867" w:name="_Toc114237493"/>
      <w:r w:rsidRPr="00490741">
        <w:rPr>
          <w:rFonts w:asciiTheme="minorEastAsia" w:eastAsiaTheme="minorEastAsia" w:hAnsiTheme="minorEastAsia" w:hint="eastAsia"/>
          <w:b w:val="0"/>
          <w:bCs/>
          <w:color w:val="000000" w:themeColor="text1"/>
        </w:rPr>
        <w:t>（</w:t>
      </w:r>
      <w:r w:rsidRPr="00490741" w:rsidR="008D506F">
        <w:rPr>
          <w:rFonts w:asciiTheme="minorEastAsia" w:eastAsiaTheme="minorEastAsia" w:hAnsiTheme="minorEastAsia" w:hint="eastAsia"/>
          <w:b w:val="0"/>
          <w:bCs/>
          <w:color w:val="000000" w:themeColor="text1"/>
        </w:rPr>
        <w:t>五</w:t>
      </w:r>
      <w:r w:rsidRPr="00490741">
        <w:rPr>
          <w:rFonts w:asciiTheme="minorEastAsia" w:eastAsiaTheme="minorEastAsia" w:hAnsiTheme="minorEastAsia" w:hint="eastAsia"/>
          <w:b w:val="0"/>
          <w:bCs/>
          <w:color w:val="000000" w:themeColor="text1"/>
        </w:rPr>
        <w:t>）资讯服务</w:t>
      </w:r>
      <w:bookmarkEnd w:id="867"/>
    </w:p>
    <w:p w:rsidR="0002608C" w:rsidRPr="00490741" w:rsidP="00107648">
      <w:pPr>
        <w:pStyle w:val="BodyTextFirstIndent"/>
        <w:autoSpaceDE w:val="0"/>
        <w:autoSpaceDN w:val="0"/>
        <w:snapToGrid w:val="0"/>
        <w:spacing w:after="0"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1</w:t>
      </w:r>
      <w:r w:rsidRPr="00490741" w:rsidR="00851044">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客户服务电话</w:t>
      </w:r>
    </w:p>
    <w:p w:rsidR="0002608C" w:rsidRPr="00490741" w:rsidP="00107648">
      <w:pPr>
        <w:pStyle w:val="BodyTextFirstIndent"/>
        <w:autoSpaceDE w:val="0"/>
        <w:autoSpaceDN w:val="0"/>
        <w:snapToGrid w:val="0"/>
        <w:spacing w:after="0"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投资者如果想了解申购与赎回的交易情况、基金账户余额、基金产品与服务等信息，</w:t>
      </w:r>
      <w:r w:rsidRPr="00490741" w:rsidR="0029796B">
        <w:rPr>
          <w:rFonts w:asciiTheme="minorEastAsia" w:eastAsiaTheme="minorEastAsia" w:hAnsiTheme="minorEastAsia" w:hint="eastAsia"/>
          <w:color w:val="000000" w:themeColor="text1"/>
          <w:kern w:val="0"/>
        </w:rPr>
        <w:t>或反馈投资过程中需要投诉与建议的情况，</w:t>
      </w:r>
      <w:r w:rsidRPr="00490741">
        <w:rPr>
          <w:rFonts w:asciiTheme="minorEastAsia" w:eastAsiaTheme="minorEastAsia" w:hAnsiTheme="minorEastAsia" w:hint="eastAsia"/>
          <w:color w:val="000000" w:themeColor="text1"/>
        </w:rPr>
        <w:t>可拨打如下电话：</w:t>
      </w:r>
      <w:r w:rsidRPr="00490741">
        <w:rPr>
          <w:rFonts w:asciiTheme="minorEastAsia" w:eastAsiaTheme="minorEastAsia" w:hAnsiTheme="minorEastAsia"/>
          <w:color w:val="000000" w:themeColor="text1"/>
        </w:rPr>
        <w:t>40088</w:t>
      </w:r>
      <w:r w:rsidRPr="00490741">
        <w:rPr>
          <w:rFonts w:asciiTheme="minorEastAsia" w:eastAsiaTheme="minorEastAsia" w:hAnsiTheme="minorEastAsia" w:hint="eastAsia"/>
          <w:color w:val="000000" w:themeColor="text1"/>
        </w:rPr>
        <w:t>18088</w:t>
      </w:r>
      <w:r w:rsidRPr="00490741">
        <w:rPr>
          <w:rFonts w:asciiTheme="minorEastAsia" w:eastAsiaTheme="minorEastAsia" w:hAnsiTheme="minorEastAsia" w:hint="eastAsia"/>
          <w:color w:val="000000" w:themeColor="text1"/>
        </w:rPr>
        <w:t>。</w:t>
      </w:r>
      <w:r w:rsidRPr="00490741" w:rsidR="0029796B">
        <w:rPr>
          <w:rFonts w:asciiTheme="minorEastAsia" w:eastAsiaTheme="minorEastAsia" w:hAnsiTheme="minorEastAsia" w:hint="eastAsia"/>
          <w:color w:val="000000" w:themeColor="text1"/>
          <w:kern w:val="0"/>
          <w:szCs w:val="21"/>
        </w:rPr>
        <w:t>投资者如果认为自己不能准确理解本基金《招募说明书》、《基金合同》的具体内容，也可拨打上述电话详询。</w:t>
      </w:r>
    </w:p>
    <w:p w:rsidR="0002608C" w:rsidRPr="00490741" w:rsidP="00107648">
      <w:pPr>
        <w:pStyle w:val="BodyTextFirstIndent"/>
        <w:autoSpaceDE w:val="0"/>
        <w:autoSpaceDN w:val="0"/>
        <w:snapToGrid w:val="0"/>
        <w:spacing w:after="0"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2</w:t>
      </w:r>
      <w:r w:rsidRPr="00490741" w:rsidR="00851044">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互联网站及电子信箱</w:t>
      </w:r>
    </w:p>
    <w:p w:rsidR="0002608C" w:rsidRPr="00490741" w:rsidP="00107648">
      <w:pPr>
        <w:pStyle w:val="BodyTextFirstIndent"/>
        <w:autoSpaceDE w:val="0"/>
        <w:autoSpaceDN w:val="0"/>
        <w:snapToGrid w:val="0"/>
        <w:spacing w:after="0"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网址：</w:t>
      </w:r>
      <w:r w:rsidRPr="00490741">
        <w:rPr>
          <w:rFonts w:asciiTheme="minorEastAsia" w:eastAsiaTheme="minorEastAsia" w:hAnsiTheme="minorEastAsia" w:hint="eastAsia"/>
          <w:color w:val="000000" w:themeColor="text1"/>
        </w:rPr>
        <w:t>http://www.efunds.com.cn</w:t>
      </w:r>
    </w:p>
    <w:p w:rsidR="0002608C" w:rsidRPr="00490741" w:rsidP="00107648">
      <w:pPr>
        <w:pStyle w:val="BodyTextFirstIndent"/>
        <w:autoSpaceDE w:val="0"/>
        <w:autoSpaceDN w:val="0"/>
        <w:snapToGrid w:val="0"/>
        <w:spacing w:after="0" w:line="360" w:lineRule="auto"/>
        <w:ind w:firstLine="420" w:firstLineChars="200"/>
        <w:rPr>
          <w:rStyle w:val="Hyperlink"/>
          <w:rFonts w:asciiTheme="minorEastAsia" w:eastAsiaTheme="minorEastAsia" w:hAnsiTheme="minorEastAsia"/>
          <w:color w:val="000000" w:themeColor="text1"/>
          <w:u w:val="none"/>
        </w:rPr>
      </w:pPr>
      <w:r w:rsidRPr="00490741">
        <w:rPr>
          <w:rFonts w:asciiTheme="minorEastAsia" w:eastAsiaTheme="minorEastAsia" w:hAnsiTheme="minorEastAsia" w:hint="eastAsia"/>
          <w:color w:val="000000" w:themeColor="text1"/>
        </w:rPr>
        <w:t>电子信箱：</w:t>
      </w:r>
      <w:hyperlink r:id="rId13" w:history="1">
        <w:r w:rsidRPr="00490741" w:rsidR="00535526">
          <w:rPr>
            <w:rStyle w:val="Hyperlink"/>
            <w:rFonts w:asciiTheme="minorEastAsia" w:eastAsiaTheme="minorEastAsia" w:hAnsiTheme="minorEastAsia" w:hint="eastAsia"/>
            <w:color w:val="000000" w:themeColor="text1"/>
            <w:u w:val="none"/>
          </w:rPr>
          <w:t>service@efunds.com.cn</w:t>
        </w:r>
      </w:hyperlink>
    </w:p>
    <w:p w:rsidR="00E1094C" w:rsidRPr="00490741" w:rsidP="00107648">
      <w:pPr>
        <w:pStyle w:val="BodyTextFirstIndent"/>
        <w:autoSpaceDE w:val="0"/>
        <w:autoSpaceDN w:val="0"/>
        <w:snapToGrid w:val="0"/>
        <w:spacing w:after="0" w:line="360" w:lineRule="auto"/>
        <w:ind w:firstLine="420" w:firstLineChars="200"/>
        <w:rPr>
          <w:rFonts w:asciiTheme="minorEastAsia" w:eastAsiaTheme="minorEastAsia" w:hAnsiTheme="minorEastAsia"/>
          <w:color w:val="000000" w:themeColor="text1"/>
        </w:rPr>
        <w:sectPr w:rsidSect="0035472D">
          <w:pgSz w:w="11906" w:h="16838" w:code="9"/>
          <w:pgMar w:top="1440" w:right="1800" w:bottom="1440" w:left="1800" w:header="851" w:footer="992" w:gutter="0"/>
          <w:cols w:space="425"/>
          <w:docGrid w:type="lines" w:linePitch="312"/>
        </w:sectPr>
      </w:pPr>
    </w:p>
    <w:p w:rsidR="0002608C" w:rsidRPr="00490741" w:rsidP="00107648">
      <w:pPr>
        <w:pStyle w:val="Heading1"/>
        <w:snapToGrid w:val="0"/>
        <w:spacing w:beforeLines="0" w:afterLines="0" w:line="360" w:lineRule="auto"/>
        <w:ind w:firstLine="643"/>
        <w:rPr>
          <w:rFonts w:asciiTheme="minorEastAsia" w:eastAsiaTheme="minorEastAsia" w:hAnsiTheme="minorEastAsia"/>
          <w:b/>
          <w:bCs/>
          <w:color w:val="000000" w:themeColor="text1"/>
        </w:rPr>
      </w:pPr>
      <w:bookmarkStart w:id="868" w:name="_Toc38438275"/>
      <w:bookmarkStart w:id="869" w:name="_Toc38438612"/>
      <w:bookmarkStart w:id="870" w:name="_Toc38438949"/>
      <w:bookmarkStart w:id="871" w:name="_Toc38439286"/>
      <w:bookmarkStart w:id="872" w:name="_Toc38439623"/>
      <w:bookmarkStart w:id="873" w:name="_Toc38439960"/>
      <w:bookmarkStart w:id="874" w:name="_Toc38440297"/>
      <w:bookmarkStart w:id="875" w:name="_Toc38440630"/>
      <w:bookmarkStart w:id="876" w:name="_Toc38440829"/>
      <w:bookmarkStart w:id="877" w:name="_Toc38441161"/>
      <w:bookmarkStart w:id="878" w:name="_Toc38441493"/>
      <w:bookmarkStart w:id="879" w:name="_Toc38441821"/>
      <w:bookmarkStart w:id="880" w:name="_Toc38442153"/>
      <w:bookmarkStart w:id="881" w:name="_Toc38442485"/>
      <w:bookmarkStart w:id="882" w:name="_Toc38442816"/>
      <w:bookmarkStart w:id="883" w:name="_Toc38443147"/>
      <w:bookmarkStart w:id="884" w:name="_Toc38443478"/>
      <w:bookmarkStart w:id="885" w:name="_Toc38443809"/>
      <w:bookmarkStart w:id="886" w:name="_Toc38438277"/>
      <w:bookmarkStart w:id="887" w:name="_Toc38438614"/>
      <w:bookmarkStart w:id="888" w:name="_Toc38438951"/>
      <w:bookmarkStart w:id="889" w:name="_Toc38439288"/>
      <w:bookmarkStart w:id="890" w:name="_Toc38439625"/>
      <w:bookmarkStart w:id="891" w:name="_Toc38439962"/>
      <w:bookmarkStart w:id="892" w:name="_Toc38440299"/>
      <w:bookmarkStart w:id="893" w:name="_Toc38440632"/>
      <w:bookmarkStart w:id="894" w:name="_Toc38440831"/>
      <w:bookmarkStart w:id="895" w:name="_Toc38441163"/>
      <w:bookmarkStart w:id="896" w:name="_Toc38441495"/>
      <w:bookmarkStart w:id="897" w:name="_Toc38441823"/>
      <w:bookmarkStart w:id="898" w:name="_Toc38442155"/>
      <w:bookmarkStart w:id="899" w:name="_Toc38442487"/>
      <w:bookmarkStart w:id="900" w:name="_Toc38442818"/>
      <w:bookmarkStart w:id="901" w:name="_Toc38443149"/>
      <w:bookmarkStart w:id="902" w:name="_Toc38443480"/>
      <w:bookmarkStart w:id="903" w:name="_Toc38443811"/>
      <w:bookmarkStart w:id="904" w:name="_Toc38438278"/>
      <w:bookmarkStart w:id="905" w:name="_Toc38438615"/>
      <w:bookmarkStart w:id="906" w:name="_Toc38438952"/>
      <w:bookmarkStart w:id="907" w:name="_Toc38439289"/>
      <w:bookmarkStart w:id="908" w:name="_Toc38439626"/>
      <w:bookmarkStart w:id="909" w:name="_Toc38439963"/>
      <w:bookmarkStart w:id="910" w:name="_Toc38440300"/>
      <w:bookmarkStart w:id="911" w:name="_Toc38440633"/>
      <w:bookmarkStart w:id="912" w:name="_Toc38440832"/>
      <w:bookmarkStart w:id="913" w:name="_Toc38441164"/>
      <w:bookmarkStart w:id="914" w:name="_Toc38441496"/>
      <w:bookmarkStart w:id="915" w:name="_Toc38441824"/>
      <w:bookmarkStart w:id="916" w:name="_Toc38442156"/>
      <w:bookmarkStart w:id="917" w:name="_Toc38442488"/>
      <w:bookmarkStart w:id="918" w:name="_Toc38442819"/>
      <w:bookmarkStart w:id="919" w:name="_Toc38443150"/>
      <w:bookmarkStart w:id="920" w:name="_Toc38443481"/>
      <w:bookmarkStart w:id="921" w:name="_Toc38443812"/>
      <w:bookmarkStart w:id="922" w:name="_Toc38438279"/>
      <w:bookmarkStart w:id="923" w:name="_Toc38438616"/>
      <w:bookmarkStart w:id="924" w:name="_Toc38438953"/>
      <w:bookmarkStart w:id="925" w:name="_Toc38439290"/>
      <w:bookmarkStart w:id="926" w:name="_Toc38439627"/>
      <w:bookmarkStart w:id="927" w:name="_Toc38439964"/>
      <w:bookmarkStart w:id="928" w:name="_Toc38440301"/>
      <w:bookmarkStart w:id="929" w:name="_Toc38440634"/>
      <w:bookmarkStart w:id="930" w:name="_Toc38440833"/>
      <w:bookmarkStart w:id="931" w:name="_Toc38441165"/>
      <w:bookmarkStart w:id="932" w:name="_Toc38441497"/>
      <w:bookmarkStart w:id="933" w:name="_Toc38441825"/>
      <w:bookmarkStart w:id="934" w:name="_Toc38442157"/>
      <w:bookmarkStart w:id="935" w:name="_Toc38442489"/>
      <w:bookmarkStart w:id="936" w:name="_Toc38442820"/>
      <w:bookmarkStart w:id="937" w:name="_Toc38443151"/>
      <w:bookmarkStart w:id="938" w:name="_Toc38443482"/>
      <w:bookmarkStart w:id="939" w:name="_Toc38443813"/>
      <w:bookmarkStart w:id="940" w:name="_Toc38438280"/>
      <w:bookmarkStart w:id="941" w:name="_Toc38438617"/>
      <w:bookmarkStart w:id="942" w:name="_Toc38438954"/>
      <w:bookmarkStart w:id="943" w:name="_Toc38439291"/>
      <w:bookmarkStart w:id="944" w:name="_Toc38439628"/>
      <w:bookmarkStart w:id="945" w:name="_Toc38439965"/>
      <w:bookmarkStart w:id="946" w:name="_Toc38440302"/>
      <w:bookmarkStart w:id="947" w:name="_Toc38440635"/>
      <w:bookmarkStart w:id="948" w:name="_Toc38440834"/>
      <w:bookmarkStart w:id="949" w:name="_Toc38441166"/>
      <w:bookmarkStart w:id="950" w:name="_Toc38441498"/>
      <w:bookmarkStart w:id="951" w:name="_Toc38441826"/>
      <w:bookmarkStart w:id="952" w:name="_Toc38442158"/>
      <w:bookmarkStart w:id="953" w:name="_Toc38442490"/>
      <w:bookmarkStart w:id="954" w:name="_Toc38442821"/>
      <w:bookmarkStart w:id="955" w:name="_Toc38443152"/>
      <w:bookmarkStart w:id="956" w:name="_Toc38443483"/>
      <w:bookmarkStart w:id="957" w:name="_Toc38443814"/>
      <w:bookmarkStart w:id="958" w:name="_Toc38438281"/>
      <w:bookmarkStart w:id="959" w:name="_Toc38438618"/>
      <w:bookmarkStart w:id="960" w:name="_Toc38438955"/>
      <w:bookmarkStart w:id="961" w:name="_Toc38439292"/>
      <w:bookmarkStart w:id="962" w:name="_Toc38439629"/>
      <w:bookmarkStart w:id="963" w:name="_Toc38439966"/>
      <w:bookmarkStart w:id="964" w:name="_Toc38440303"/>
      <w:bookmarkStart w:id="965" w:name="_Toc38440636"/>
      <w:bookmarkStart w:id="966" w:name="_Toc38440835"/>
      <w:bookmarkStart w:id="967" w:name="_Toc38441167"/>
      <w:bookmarkStart w:id="968" w:name="_Toc38441499"/>
      <w:bookmarkStart w:id="969" w:name="_Toc38441827"/>
      <w:bookmarkStart w:id="970" w:name="_Toc38442159"/>
      <w:bookmarkStart w:id="971" w:name="_Toc38442491"/>
      <w:bookmarkStart w:id="972" w:name="_Toc38442822"/>
      <w:bookmarkStart w:id="973" w:name="_Toc38443153"/>
      <w:bookmarkStart w:id="974" w:name="_Toc38443484"/>
      <w:bookmarkStart w:id="975" w:name="_Toc38443815"/>
      <w:bookmarkStart w:id="976" w:name="_Toc38438282"/>
      <w:bookmarkStart w:id="977" w:name="_Toc38438619"/>
      <w:bookmarkStart w:id="978" w:name="_Toc38438956"/>
      <w:bookmarkStart w:id="979" w:name="_Toc38439293"/>
      <w:bookmarkStart w:id="980" w:name="_Toc38439630"/>
      <w:bookmarkStart w:id="981" w:name="_Toc38439967"/>
      <w:bookmarkStart w:id="982" w:name="_Toc38440304"/>
      <w:bookmarkStart w:id="983" w:name="_Toc38440637"/>
      <w:bookmarkStart w:id="984" w:name="_Toc38440836"/>
      <w:bookmarkStart w:id="985" w:name="_Toc38441168"/>
      <w:bookmarkStart w:id="986" w:name="_Toc38441500"/>
      <w:bookmarkStart w:id="987" w:name="_Toc38441828"/>
      <w:bookmarkStart w:id="988" w:name="_Toc38442160"/>
      <w:bookmarkStart w:id="989" w:name="_Toc38442492"/>
      <w:bookmarkStart w:id="990" w:name="_Toc38442823"/>
      <w:bookmarkStart w:id="991" w:name="_Toc38443154"/>
      <w:bookmarkStart w:id="992" w:name="_Toc38443485"/>
      <w:bookmarkStart w:id="993" w:name="_Toc38443816"/>
      <w:bookmarkStart w:id="994" w:name="_Toc38438283"/>
      <w:bookmarkStart w:id="995" w:name="_Toc38438620"/>
      <w:bookmarkStart w:id="996" w:name="_Toc38438957"/>
      <w:bookmarkStart w:id="997" w:name="_Toc38439294"/>
      <w:bookmarkStart w:id="998" w:name="_Toc38439631"/>
      <w:bookmarkStart w:id="999" w:name="_Toc38439968"/>
      <w:bookmarkStart w:id="1000" w:name="_Toc38440305"/>
      <w:bookmarkStart w:id="1001" w:name="_Toc38440638"/>
      <w:bookmarkStart w:id="1002" w:name="_Toc38440837"/>
      <w:bookmarkStart w:id="1003" w:name="_Toc38441169"/>
      <w:bookmarkStart w:id="1004" w:name="_Toc38441501"/>
      <w:bookmarkStart w:id="1005" w:name="_Toc38441829"/>
      <w:bookmarkStart w:id="1006" w:name="_Toc38442161"/>
      <w:bookmarkStart w:id="1007" w:name="_Toc38442493"/>
      <w:bookmarkStart w:id="1008" w:name="_Toc38442824"/>
      <w:bookmarkStart w:id="1009" w:name="_Toc38443155"/>
      <w:bookmarkStart w:id="1010" w:name="_Toc38443486"/>
      <w:bookmarkStart w:id="1011" w:name="_Toc38443817"/>
      <w:bookmarkStart w:id="1012" w:name="_Toc38438284"/>
      <w:bookmarkStart w:id="1013" w:name="_Toc38438621"/>
      <w:bookmarkStart w:id="1014" w:name="_Toc38438958"/>
      <w:bookmarkStart w:id="1015" w:name="_Toc38439295"/>
      <w:bookmarkStart w:id="1016" w:name="_Toc38439632"/>
      <w:bookmarkStart w:id="1017" w:name="_Toc38439969"/>
      <w:bookmarkStart w:id="1018" w:name="_Toc38440306"/>
      <w:bookmarkStart w:id="1019" w:name="_Toc38440639"/>
      <w:bookmarkStart w:id="1020" w:name="_Toc38440838"/>
      <w:bookmarkStart w:id="1021" w:name="_Toc38441170"/>
      <w:bookmarkStart w:id="1022" w:name="_Toc38441502"/>
      <w:bookmarkStart w:id="1023" w:name="_Toc38441830"/>
      <w:bookmarkStart w:id="1024" w:name="_Toc38442162"/>
      <w:bookmarkStart w:id="1025" w:name="_Toc38442494"/>
      <w:bookmarkStart w:id="1026" w:name="_Toc38442825"/>
      <w:bookmarkStart w:id="1027" w:name="_Toc38443156"/>
      <w:bookmarkStart w:id="1028" w:name="_Toc38443487"/>
      <w:bookmarkStart w:id="1029" w:name="_Toc38443818"/>
      <w:bookmarkStart w:id="1030" w:name="_Toc38438285"/>
      <w:bookmarkStart w:id="1031" w:name="_Toc38438622"/>
      <w:bookmarkStart w:id="1032" w:name="_Toc38438959"/>
      <w:bookmarkStart w:id="1033" w:name="_Toc38439296"/>
      <w:bookmarkStart w:id="1034" w:name="_Toc38439633"/>
      <w:bookmarkStart w:id="1035" w:name="_Toc38439970"/>
      <w:bookmarkStart w:id="1036" w:name="_Toc38440307"/>
      <w:bookmarkStart w:id="1037" w:name="_Toc38440640"/>
      <w:bookmarkStart w:id="1038" w:name="_Toc38440839"/>
      <w:bookmarkStart w:id="1039" w:name="_Toc38441171"/>
      <w:bookmarkStart w:id="1040" w:name="_Toc38441503"/>
      <w:bookmarkStart w:id="1041" w:name="_Toc38441831"/>
      <w:bookmarkStart w:id="1042" w:name="_Toc38442163"/>
      <w:bookmarkStart w:id="1043" w:name="_Toc38442495"/>
      <w:bookmarkStart w:id="1044" w:name="_Toc38442826"/>
      <w:bookmarkStart w:id="1045" w:name="_Toc38443157"/>
      <w:bookmarkStart w:id="1046" w:name="_Toc38443488"/>
      <w:bookmarkStart w:id="1047" w:name="_Toc38443819"/>
      <w:bookmarkStart w:id="1048" w:name="_Toc38438286"/>
      <w:bookmarkStart w:id="1049" w:name="_Toc38438623"/>
      <w:bookmarkStart w:id="1050" w:name="_Toc38438960"/>
      <w:bookmarkStart w:id="1051" w:name="_Toc38439297"/>
      <w:bookmarkStart w:id="1052" w:name="_Toc38439634"/>
      <w:bookmarkStart w:id="1053" w:name="_Toc38439971"/>
      <w:bookmarkStart w:id="1054" w:name="_Toc38440308"/>
      <w:bookmarkStart w:id="1055" w:name="_Toc38440641"/>
      <w:bookmarkStart w:id="1056" w:name="_Toc38440840"/>
      <w:bookmarkStart w:id="1057" w:name="_Toc38441172"/>
      <w:bookmarkStart w:id="1058" w:name="_Toc38441504"/>
      <w:bookmarkStart w:id="1059" w:name="_Toc38441832"/>
      <w:bookmarkStart w:id="1060" w:name="_Toc38442164"/>
      <w:bookmarkStart w:id="1061" w:name="_Toc38442496"/>
      <w:bookmarkStart w:id="1062" w:name="_Toc38442827"/>
      <w:bookmarkStart w:id="1063" w:name="_Toc38443158"/>
      <w:bookmarkStart w:id="1064" w:name="_Toc38443489"/>
      <w:bookmarkStart w:id="1065" w:name="_Toc38443820"/>
      <w:bookmarkStart w:id="1066" w:name="_Toc38438287"/>
      <w:bookmarkStart w:id="1067" w:name="_Toc38438624"/>
      <w:bookmarkStart w:id="1068" w:name="_Toc38438961"/>
      <w:bookmarkStart w:id="1069" w:name="_Toc38439298"/>
      <w:bookmarkStart w:id="1070" w:name="_Toc38439635"/>
      <w:bookmarkStart w:id="1071" w:name="_Toc38439972"/>
      <w:bookmarkStart w:id="1072" w:name="_Toc38440309"/>
      <w:bookmarkStart w:id="1073" w:name="_Toc38440642"/>
      <w:bookmarkStart w:id="1074" w:name="_Toc38440841"/>
      <w:bookmarkStart w:id="1075" w:name="_Toc38441173"/>
      <w:bookmarkStart w:id="1076" w:name="_Toc38441505"/>
      <w:bookmarkStart w:id="1077" w:name="_Toc38441833"/>
      <w:bookmarkStart w:id="1078" w:name="_Toc38442165"/>
      <w:bookmarkStart w:id="1079" w:name="_Toc38442497"/>
      <w:bookmarkStart w:id="1080" w:name="_Toc38442828"/>
      <w:bookmarkStart w:id="1081" w:name="_Toc38443159"/>
      <w:bookmarkStart w:id="1082" w:name="_Toc38443490"/>
      <w:bookmarkStart w:id="1083" w:name="_Toc38443821"/>
      <w:bookmarkStart w:id="1084" w:name="_Toc38438288"/>
      <w:bookmarkStart w:id="1085" w:name="_Toc38438625"/>
      <w:bookmarkStart w:id="1086" w:name="_Toc38438962"/>
      <w:bookmarkStart w:id="1087" w:name="_Toc38439299"/>
      <w:bookmarkStart w:id="1088" w:name="_Toc38439636"/>
      <w:bookmarkStart w:id="1089" w:name="_Toc38439973"/>
      <w:bookmarkStart w:id="1090" w:name="_Toc38440310"/>
      <w:bookmarkStart w:id="1091" w:name="_Toc38440643"/>
      <w:bookmarkStart w:id="1092" w:name="_Toc38440842"/>
      <w:bookmarkStart w:id="1093" w:name="_Toc38441174"/>
      <w:bookmarkStart w:id="1094" w:name="_Toc38441506"/>
      <w:bookmarkStart w:id="1095" w:name="_Toc38441834"/>
      <w:bookmarkStart w:id="1096" w:name="_Toc38442166"/>
      <w:bookmarkStart w:id="1097" w:name="_Toc38442498"/>
      <w:bookmarkStart w:id="1098" w:name="_Toc38442829"/>
      <w:bookmarkStart w:id="1099" w:name="_Toc38443160"/>
      <w:bookmarkStart w:id="1100" w:name="_Toc38443491"/>
      <w:bookmarkStart w:id="1101" w:name="_Toc38443822"/>
      <w:bookmarkStart w:id="1102" w:name="_Toc38438289"/>
      <w:bookmarkStart w:id="1103" w:name="_Toc38438626"/>
      <w:bookmarkStart w:id="1104" w:name="_Toc38438963"/>
      <w:bookmarkStart w:id="1105" w:name="_Toc38439300"/>
      <w:bookmarkStart w:id="1106" w:name="_Toc38439637"/>
      <w:bookmarkStart w:id="1107" w:name="_Toc38439974"/>
      <w:bookmarkStart w:id="1108" w:name="_Toc38440311"/>
      <w:bookmarkStart w:id="1109" w:name="_Toc38440644"/>
      <w:bookmarkStart w:id="1110" w:name="_Toc38440843"/>
      <w:bookmarkStart w:id="1111" w:name="_Toc38441175"/>
      <w:bookmarkStart w:id="1112" w:name="_Toc38441507"/>
      <w:bookmarkStart w:id="1113" w:name="_Toc38441835"/>
      <w:bookmarkStart w:id="1114" w:name="_Toc38442167"/>
      <w:bookmarkStart w:id="1115" w:name="_Toc38442499"/>
      <w:bookmarkStart w:id="1116" w:name="_Toc38442830"/>
      <w:bookmarkStart w:id="1117" w:name="_Toc38443161"/>
      <w:bookmarkStart w:id="1118" w:name="_Toc38443492"/>
      <w:bookmarkStart w:id="1119" w:name="_Toc38443823"/>
      <w:bookmarkStart w:id="1120" w:name="_Toc38438290"/>
      <w:bookmarkStart w:id="1121" w:name="_Toc38438627"/>
      <w:bookmarkStart w:id="1122" w:name="_Toc38438964"/>
      <w:bookmarkStart w:id="1123" w:name="_Toc38439301"/>
      <w:bookmarkStart w:id="1124" w:name="_Toc38439638"/>
      <w:bookmarkStart w:id="1125" w:name="_Toc38439975"/>
      <w:bookmarkStart w:id="1126" w:name="_Toc38440312"/>
      <w:bookmarkStart w:id="1127" w:name="_Toc38440645"/>
      <w:bookmarkStart w:id="1128" w:name="_Toc38440844"/>
      <w:bookmarkStart w:id="1129" w:name="_Toc38441176"/>
      <w:bookmarkStart w:id="1130" w:name="_Toc38441508"/>
      <w:bookmarkStart w:id="1131" w:name="_Toc38441836"/>
      <w:bookmarkStart w:id="1132" w:name="_Toc38442168"/>
      <w:bookmarkStart w:id="1133" w:name="_Toc38442500"/>
      <w:bookmarkStart w:id="1134" w:name="_Toc38442831"/>
      <w:bookmarkStart w:id="1135" w:name="_Toc38443162"/>
      <w:bookmarkStart w:id="1136" w:name="_Toc38443493"/>
      <w:bookmarkStart w:id="1137" w:name="_Toc38443824"/>
      <w:bookmarkStart w:id="1138" w:name="_Toc38438291"/>
      <w:bookmarkStart w:id="1139" w:name="_Toc38438628"/>
      <w:bookmarkStart w:id="1140" w:name="_Toc38438965"/>
      <w:bookmarkStart w:id="1141" w:name="_Toc38439302"/>
      <w:bookmarkStart w:id="1142" w:name="_Toc38439639"/>
      <w:bookmarkStart w:id="1143" w:name="_Toc38439976"/>
      <w:bookmarkStart w:id="1144" w:name="_Toc38440313"/>
      <w:bookmarkStart w:id="1145" w:name="_Toc38440646"/>
      <w:bookmarkStart w:id="1146" w:name="_Toc38440845"/>
      <w:bookmarkStart w:id="1147" w:name="_Toc38441177"/>
      <w:bookmarkStart w:id="1148" w:name="_Toc38441509"/>
      <w:bookmarkStart w:id="1149" w:name="_Toc38441837"/>
      <w:bookmarkStart w:id="1150" w:name="_Toc38442169"/>
      <w:bookmarkStart w:id="1151" w:name="_Toc38442501"/>
      <w:bookmarkStart w:id="1152" w:name="_Toc38442832"/>
      <w:bookmarkStart w:id="1153" w:name="_Toc38443163"/>
      <w:bookmarkStart w:id="1154" w:name="_Toc38443494"/>
      <w:bookmarkStart w:id="1155" w:name="_Toc38443825"/>
      <w:bookmarkStart w:id="1156" w:name="_Toc38438292"/>
      <w:bookmarkStart w:id="1157" w:name="_Toc38438629"/>
      <w:bookmarkStart w:id="1158" w:name="_Toc38438966"/>
      <w:bookmarkStart w:id="1159" w:name="_Toc38439303"/>
      <w:bookmarkStart w:id="1160" w:name="_Toc38439640"/>
      <w:bookmarkStart w:id="1161" w:name="_Toc38439977"/>
      <w:bookmarkStart w:id="1162" w:name="_Toc38440314"/>
      <w:bookmarkStart w:id="1163" w:name="_Toc38440647"/>
      <w:bookmarkStart w:id="1164" w:name="_Toc38440846"/>
      <w:bookmarkStart w:id="1165" w:name="_Toc38441178"/>
      <w:bookmarkStart w:id="1166" w:name="_Toc38441510"/>
      <w:bookmarkStart w:id="1167" w:name="_Toc38441838"/>
      <w:bookmarkStart w:id="1168" w:name="_Toc38442170"/>
      <w:bookmarkStart w:id="1169" w:name="_Toc38442502"/>
      <w:bookmarkStart w:id="1170" w:name="_Toc38442833"/>
      <w:bookmarkStart w:id="1171" w:name="_Toc38443164"/>
      <w:bookmarkStart w:id="1172" w:name="_Toc38443495"/>
      <w:bookmarkStart w:id="1173" w:name="_Toc38443826"/>
      <w:bookmarkStart w:id="1174" w:name="_Toc38438293"/>
      <w:bookmarkStart w:id="1175" w:name="_Toc38438630"/>
      <w:bookmarkStart w:id="1176" w:name="_Toc38438967"/>
      <w:bookmarkStart w:id="1177" w:name="_Toc38439304"/>
      <w:bookmarkStart w:id="1178" w:name="_Toc38439641"/>
      <w:bookmarkStart w:id="1179" w:name="_Toc38439978"/>
      <w:bookmarkStart w:id="1180" w:name="_Toc38440315"/>
      <w:bookmarkStart w:id="1181" w:name="_Toc38440648"/>
      <w:bookmarkStart w:id="1182" w:name="_Toc38440847"/>
      <w:bookmarkStart w:id="1183" w:name="_Toc38441179"/>
      <w:bookmarkStart w:id="1184" w:name="_Toc38441511"/>
      <w:bookmarkStart w:id="1185" w:name="_Toc38441839"/>
      <w:bookmarkStart w:id="1186" w:name="_Toc38442171"/>
      <w:bookmarkStart w:id="1187" w:name="_Toc38442503"/>
      <w:bookmarkStart w:id="1188" w:name="_Toc38442834"/>
      <w:bookmarkStart w:id="1189" w:name="_Toc38443165"/>
      <w:bookmarkStart w:id="1190" w:name="_Toc38443496"/>
      <w:bookmarkStart w:id="1191" w:name="_Toc38443827"/>
      <w:bookmarkStart w:id="1192" w:name="_Toc38438296"/>
      <w:bookmarkStart w:id="1193" w:name="_Toc38438633"/>
      <w:bookmarkStart w:id="1194" w:name="_Toc38438970"/>
      <w:bookmarkStart w:id="1195" w:name="_Toc38439307"/>
      <w:bookmarkStart w:id="1196" w:name="_Toc38439644"/>
      <w:bookmarkStart w:id="1197" w:name="_Toc38439981"/>
      <w:bookmarkStart w:id="1198" w:name="_Toc38440318"/>
      <w:bookmarkStart w:id="1199" w:name="_Toc38440651"/>
      <w:bookmarkStart w:id="1200" w:name="_Toc38440850"/>
      <w:bookmarkStart w:id="1201" w:name="_Toc38441182"/>
      <w:bookmarkStart w:id="1202" w:name="_Toc38441514"/>
      <w:bookmarkStart w:id="1203" w:name="_Toc38441842"/>
      <w:bookmarkStart w:id="1204" w:name="_Toc38442174"/>
      <w:bookmarkStart w:id="1205" w:name="_Toc38442506"/>
      <w:bookmarkStart w:id="1206" w:name="_Toc38442837"/>
      <w:bookmarkStart w:id="1207" w:name="_Toc38443168"/>
      <w:bookmarkStart w:id="1208" w:name="_Toc38443499"/>
      <w:bookmarkStart w:id="1209" w:name="_Toc38443830"/>
      <w:bookmarkStart w:id="1210" w:name="_Toc38438297"/>
      <w:bookmarkStart w:id="1211" w:name="_Toc38438634"/>
      <w:bookmarkStart w:id="1212" w:name="_Toc38438971"/>
      <w:bookmarkStart w:id="1213" w:name="_Toc38439308"/>
      <w:bookmarkStart w:id="1214" w:name="_Toc38439645"/>
      <w:bookmarkStart w:id="1215" w:name="_Toc38439982"/>
      <w:bookmarkStart w:id="1216" w:name="_Toc38440319"/>
      <w:bookmarkStart w:id="1217" w:name="_Toc38440652"/>
      <w:bookmarkStart w:id="1218" w:name="_Toc38440851"/>
      <w:bookmarkStart w:id="1219" w:name="_Toc38441183"/>
      <w:bookmarkStart w:id="1220" w:name="_Toc38441515"/>
      <w:bookmarkStart w:id="1221" w:name="_Toc38441843"/>
      <w:bookmarkStart w:id="1222" w:name="_Toc38442175"/>
      <w:bookmarkStart w:id="1223" w:name="_Toc38442507"/>
      <w:bookmarkStart w:id="1224" w:name="_Toc38442838"/>
      <w:bookmarkStart w:id="1225" w:name="_Toc38443169"/>
      <w:bookmarkStart w:id="1226" w:name="_Toc38443500"/>
      <w:bookmarkStart w:id="1227" w:name="_Toc38443831"/>
      <w:bookmarkStart w:id="1228" w:name="_Toc38438298"/>
      <w:bookmarkStart w:id="1229" w:name="_Toc38438635"/>
      <w:bookmarkStart w:id="1230" w:name="_Toc38438972"/>
      <w:bookmarkStart w:id="1231" w:name="_Toc38439309"/>
      <w:bookmarkStart w:id="1232" w:name="_Toc38439646"/>
      <w:bookmarkStart w:id="1233" w:name="_Toc38439983"/>
      <w:bookmarkStart w:id="1234" w:name="_Toc38440320"/>
      <w:bookmarkStart w:id="1235" w:name="_Toc38440653"/>
      <w:bookmarkStart w:id="1236" w:name="_Toc38440852"/>
      <w:bookmarkStart w:id="1237" w:name="_Toc38441184"/>
      <w:bookmarkStart w:id="1238" w:name="_Toc38441516"/>
      <w:bookmarkStart w:id="1239" w:name="_Toc38441844"/>
      <w:bookmarkStart w:id="1240" w:name="_Toc38442176"/>
      <w:bookmarkStart w:id="1241" w:name="_Toc38442508"/>
      <w:bookmarkStart w:id="1242" w:name="_Toc38442839"/>
      <w:bookmarkStart w:id="1243" w:name="_Toc38443170"/>
      <w:bookmarkStart w:id="1244" w:name="_Toc38443501"/>
      <w:bookmarkStart w:id="1245" w:name="_Toc38443832"/>
      <w:bookmarkStart w:id="1246" w:name="_Toc38438299"/>
      <w:bookmarkStart w:id="1247" w:name="_Toc38438636"/>
      <w:bookmarkStart w:id="1248" w:name="_Toc38438973"/>
      <w:bookmarkStart w:id="1249" w:name="_Toc38439310"/>
      <w:bookmarkStart w:id="1250" w:name="_Toc38439647"/>
      <w:bookmarkStart w:id="1251" w:name="_Toc38439984"/>
      <w:bookmarkStart w:id="1252" w:name="_Toc38440321"/>
      <w:bookmarkStart w:id="1253" w:name="_Toc38440654"/>
      <w:bookmarkStart w:id="1254" w:name="_Toc38440853"/>
      <w:bookmarkStart w:id="1255" w:name="_Toc38441185"/>
      <w:bookmarkStart w:id="1256" w:name="_Toc38441517"/>
      <w:bookmarkStart w:id="1257" w:name="_Toc38441845"/>
      <w:bookmarkStart w:id="1258" w:name="_Toc38442177"/>
      <w:bookmarkStart w:id="1259" w:name="_Toc38442509"/>
      <w:bookmarkStart w:id="1260" w:name="_Toc38442840"/>
      <w:bookmarkStart w:id="1261" w:name="_Toc38443171"/>
      <w:bookmarkStart w:id="1262" w:name="_Toc38443502"/>
      <w:bookmarkStart w:id="1263" w:name="_Toc38443833"/>
      <w:bookmarkStart w:id="1264" w:name="_Toc38438301"/>
      <w:bookmarkStart w:id="1265" w:name="_Toc38438638"/>
      <w:bookmarkStart w:id="1266" w:name="_Toc38438975"/>
      <w:bookmarkStart w:id="1267" w:name="_Toc38439312"/>
      <w:bookmarkStart w:id="1268" w:name="_Toc38439649"/>
      <w:bookmarkStart w:id="1269" w:name="_Toc38439986"/>
      <w:bookmarkStart w:id="1270" w:name="_Toc38440323"/>
      <w:bookmarkStart w:id="1271" w:name="_Toc38440656"/>
      <w:bookmarkStart w:id="1272" w:name="_Toc38440855"/>
      <w:bookmarkStart w:id="1273" w:name="_Toc38441187"/>
      <w:bookmarkStart w:id="1274" w:name="_Toc38441519"/>
      <w:bookmarkStart w:id="1275" w:name="_Toc38441847"/>
      <w:bookmarkStart w:id="1276" w:name="_Toc38442179"/>
      <w:bookmarkStart w:id="1277" w:name="_Toc38442511"/>
      <w:bookmarkStart w:id="1278" w:name="_Toc38442842"/>
      <w:bookmarkStart w:id="1279" w:name="_Toc38443173"/>
      <w:bookmarkStart w:id="1280" w:name="_Toc38443504"/>
      <w:bookmarkStart w:id="1281" w:name="_Toc38443835"/>
      <w:bookmarkStart w:id="1282" w:name="_Toc38438302"/>
      <w:bookmarkStart w:id="1283" w:name="_Toc38438639"/>
      <w:bookmarkStart w:id="1284" w:name="_Toc38438976"/>
      <w:bookmarkStart w:id="1285" w:name="_Toc38439313"/>
      <w:bookmarkStart w:id="1286" w:name="_Toc38439650"/>
      <w:bookmarkStart w:id="1287" w:name="_Toc38439987"/>
      <w:bookmarkStart w:id="1288" w:name="_Toc38440324"/>
      <w:bookmarkStart w:id="1289" w:name="_Toc38440657"/>
      <w:bookmarkStart w:id="1290" w:name="_Toc38440856"/>
      <w:bookmarkStart w:id="1291" w:name="_Toc38441188"/>
      <w:bookmarkStart w:id="1292" w:name="_Toc38441520"/>
      <w:bookmarkStart w:id="1293" w:name="_Toc38441848"/>
      <w:bookmarkStart w:id="1294" w:name="_Toc38442180"/>
      <w:bookmarkStart w:id="1295" w:name="_Toc38442512"/>
      <w:bookmarkStart w:id="1296" w:name="_Toc38442843"/>
      <w:bookmarkStart w:id="1297" w:name="_Toc38443174"/>
      <w:bookmarkStart w:id="1298" w:name="_Toc38443505"/>
      <w:bookmarkStart w:id="1299" w:name="_Toc38443836"/>
      <w:bookmarkStart w:id="1300" w:name="_Toc38438303"/>
      <w:bookmarkStart w:id="1301" w:name="_Toc38438640"/>
      <w:bookmarkStart w:id="1302" w:name="_Toc38438977"/>
      <w:bookmarkStart w:id="1303" w:name="_Toc38439314"/>
      <w:bookmarkStart w:id="1304" w:name="_Toc38439651"/>
      <w:bookmarkStart w:id="1305" w:name="_Toc38439988"/>
      <w:bookmarkStart w:id="1306" w:name="_Toc38440325"/>
      <w:bookmarkStart w:id="1307" w:name="_Toc38440658"/>
      <w:bookmarkStart w:id="1308" w:name="_Toc38440857"/>
      <w:bookmarkStart w:id="1309" w:name="_Toc38441189"/>
      <w:bookmarkStart w:id="1310" w:name="_Toc38441521"/>
      <w:bookmarkStart w:id="1311" w:name="_Toc38441849"/>
      <w:bookmarkStart w:id="1312" w:name="_Toc38442181"/>
      <w:bookmarkStart w:id="1313" w:name="_Toc38442513"/>
      <w:bookmarkStart w:id="1314" w:name="_Toc38442844"/>
      <w:bookmarkStart w:id="1315" w:name="_Toc38443175"/>
      <w:bookmarkStart w:id="1316" w:name="_Toc38443506"/>
      <w:bookmarkStart w:id="1317" w:name="_Toc38443837"/>
      <w:bookmarkStart w:id="1318" w:name="_Toc38438304"/>
      <w:bookmarkStart w:id="1319" w:name="_Toc38438641"/>
      <w:bookmarkStart w:id="1320" w:name="_Toc38438978"/>
      <w:bookmarkStart w:id="1321" w:name="_Toc38439315"/>
      <w:bookmarkStart w:id="1322" w:name="_Toc38439652"/>
      <w:bookmarkStart w:id="1323" w:name="_Toc38439989"/>
      <w:bookmarkStart w:id="1324" w:name="_Toc38440326"/>
      <w:bookmarkStart w:id="1325" w:name="_Toc38440659"/>
      <w:bookmarkStart w:id="1326" w:name="_Toc38440858"/>
      <w:bookmarkStart w:id="1327" w:name="_Toc38441190"/>
      <w:bookmarkStart w:id="1328" w:name="_Toc38441522"/>
      <w:bookmarkStart w:id="1329" w:name="_Toc38441850"/>
      <w:bookmarkStart w:id="1330" w:name="_Toc38442182"/>
      <w:bookmarkStart w:id="1331" w:name="_Toc38442514"/>
      <w:bookmarkStart w:id="1332" w:name="_Toc38442845"/>
      <w:bookmarkStart w:id="1333" w:name="_Toc38443176"/>
      <w:bookmarkStart w:id="1334" w:name="_Toc38443507"/>
      <w:bookmarkStart w:id="1335" w:name="_Toc38443838"/>
      <w:bookmarkStart w:id="1336" w:name="_Toc38438305"/>
      <w:bookmarkStart w:id="1337" w:name="_Toc38438642"/>
      <w:bookmarkStart w:id="1338" w:name="_Toc38438979"/>
      <w:bookmarkStart w:id="1339" w:name="_Toc38439316"/>
      <w:bookmarkStart w:id="1340" w:name="_Toc38439653"/>
      <w:bookmarkStart w:id="1341" w:name="_Toc38439990"/>
      <w:bookmarkStart w:id="1342" w:name="_Toc38440327"/>
      <w:bookmarkStart w:id="1343" w:name="_Toc38440660"/>
      <w:bookmarkStart w:id="1344" w:name="_Toc38440859"/>
      <w:bookmarkStart w:id="1345" w:name="_Toc38441191"/>
      <w:bookmarkStart w:id="1346" w:name="_Toc38441523"/>
      <w:bookmarkStart w:id="1347" w:name="_Toc38441851"/>
      <w:bookmarkStart w:id="1348" w:name="_Toc38442183"/>
      <w:bookmarkStart w:id="1349" w:name="_Toc38442515"/>
      <w:bookmarkStart w:id="1350" w:name="_Toc38442846"/>
      <w:bookmarkStart w:id="1351" w:name="_Toc38443177"/>
      <w:bookmarkStart w:id="1352" w:name="_Toc38443508"/>
      <w:bookmarkStart w:id="1353" w:name="_Toc38443839"/>
      <w:bookmarkStart w:id="1354" w:name="_Toc38438306"/>
      <w:bookmarkStart w:id="1355" w:name="_Toc38438643"/>
      <w:bookmarkStart w:id="1356" w:name="_Toc38438980"/>
      <w:bookmarkStart w:id="1357" w:name="_Toc38439317"/>
      <w:bookmarkStart w:id="1358" w:name="_Toc38439654"/>
      <w:bookmarkStart w:id="1359" w:name="_Toc38439991"/>
      <w:bookmarkStart w:id="1360" w:name="_Toc38440328"/>
      <w:bookmarkStart w:id="1361" w:name="_Toc38440661"/>
      <w:bookmarkStart w:id="1362" w:name="_Toc38440860"/>
      <w:bookmarkStart w:id="1363" w:name="_Toc38441192"/>
      <w:bookmarkStart w:id="1364" w:name="_Toc38441524"/>
      <w:bookmarkStart w:id="1365" w:name="_Toc38441852"/>
      <w:bookmarkStart w:id="1366" w:name="_Toc38442184"/>
      <w:bookmarkStart w:id="1367" w:name="_Toc38442516"/>
      <w:bookmarkStart w:id="1368" w:name="_Toc38442847"/>
      <w:bookmarkStart w:id="1369" w:name="_Toc38443178"/>
      <w:bookmarkStart w:id="1370" w:name="_Toc38443509"/>
      <w:bookmarkStart w:id="1371" w:name="_Toc38443840"/>
      <w:bookmarkStart w:id="1372" w:name="_Toc38438310"/>
      <w:bookmarkStart w:id="1373" w:name="_Toc38438647"/>
      <w:bookmarkStart w:id="1374" w:name="_Toc38438984"/>
      <w:bookmarkStart w:id="1375" w:name="_Toc38439321"/>
      <w:bookmarkStart w:id="1376" w:name="_Toc38439658"/>
      <w:bookmarkStart w:id="1377" w:name="_Toc38439995"/>
      <w:bookmarkStart w:id="1378" w:name="_Toc38440332"/>
      <w:bookmarkStart w:id="1379" w:name="_Toc38440665"/>
      <w:bookmarkStart w:id="1380" w:name="_Toc38440864"/>
      <w:bookmarkStart w:id="1381" w:name="_Toc38441196"/>
      <w:bookmarkStart w:id="1382" w:name="_Toc38441528"/>
      <w:bookmarkStart w:id="1383" w:name="_Toc38441856"/>
      <w:bookmarkStart w:id="1384" w:name="_Toc38442188"/>
      <w:bookmarkStart w:id="1385" w:name="_Toc38442520"/>
      <w:bookmarkStart w:id="1386" w:name="_Toc38442851"/>
      <w:bookmarkStart w:id="1387" w:name="_Toc38443182"/>
      <w:bookmarkStart w:id="1388" w:name="_Toc38443513"/>
      <w:bookmarkStart w:id="1389" w:name="_Toc38443844"/>
      <w:bookmarkStart w:id="1390" w:name="_Toc38438311"/>
      <w:bookmarkStart w:id="1391" w:name="_Toc38438648"/>
      <w:bookmarkStart w:id="1392" w:name="_Toc38438985"/>
      <w:bookmarkStart w:id="1393" w:name="_Toc38439322"/>
      <w:bookmarkStart w:id="1394" w:name="_Toc38439659"/>
      <w:bookmarkStart w:id="1395" w:name="_Toc38439996"/>
      <w:bookmarkStart w:id="1396" w:name="_Toc38440333"/>
      <w:bookmarkStart w:id="1397" w:name="_Toc38440666"/>
      <w:bookmarkStart w:id="1398" w:name="_Toc38440865"/>
      <w:bookmarkStart w:id="1399" w:name="_Toc38441197"/>
      <w:bookmarkStart w:id="1400" w:name="_Toc38441529"/>
      <w:bookmarkStart w:id="1401" w:name="_Toc38441857"/>
      <w:bookmarkStart w:id="1402" w:name="_Toc38442189"/>
      <w:bookmarkStart w:id="1403" w:name="_Toc38442521"/>
      <w:bookmarkStart w:id="1404" w:name="_Toc38442852"/>
      <w:bookmarkStart w:id="1405" w:name="_Toc38443183"/>
      <w:bookmarkStart w:id="1406" w:name="_Toc38443514"/>
      <w:bookmarkStart w:id="1407" w:name="_Toc38443845"/>
      <w:bookmarkStart w:id="1408" w:name="_Toc38438312"/>
      <w:bookmarkStart w:id="1409" w:name="_Toc38438649"/>
      <w:bookmarkStart w:id="1410" w:name="_Toc38438986"/>
      <w:bookmarkStart w:id="1411" w:name="_Toc38439323"/>
      <w:bookmarkStart w:id="1412" w:name="_Toc38439660"/>
      <w:bookmarkStart w:id="1413" w:name="_Toc38439997"/>
      <w:bookmarkStart w:id="1414" w:name="_Toc38440334"/>
      <w:bookmarkStart w:id="1415" w:name="_Toc38440667"/>
      <w:bookmarkStart w:id="1416" w:name="_Toc38440866"/>
      <w:bookmarkStart w:id="1417" w:name="_Toc38441198"/>
      <w:bookmarkStart w:id="1418" w:name="_Toc38441530"/>
      <w:bookmarkStart w:id="1419" w:name="_Toc38441858"/>
      <w:bookmarkStart w:id="1420" w:name="_Toc38442190"/>
      <w:bookmarkStart w:id="1421" w:name="_Toc38442522"/>
      <w:bookmarkStart w:id="1422" w:name="_Toc38442853"/>
      <w:bookmarkStart w:id="1423" w:name="_Toc38443184"/>
      <w:bookmarkStart w:id="1424" w:name="_Toc38443515"/>
      <w:bookmarkStart w:id="1425" w:name="_Toc38443846"/>
      <w:bookmarkStart w:id="1426" w:name="_Toc38438313"/>
      <w:bookmarkStart w:id="1427" w:name="_Toc38438650"/>
      <w:bookmarkStart w:id="1428" w:name="_Toc38438987"/>
      <w:bookmarkStart w:id="1429" w:name="_Toc38439324"/>
      <w:bookmarkStart w:id="1430" w:name="_Toc38439661"/>
      <w:bookmarkStart w:id="1431" w:name="_Toc38439998"/>
      <w:bookmarkStart w:id="1432" w:name="_Toc38440335"/>
      <w:bookmarkStart w:id="1433" w:name="_Toc38440668"/>
      <w:bookmarkStart w:id="1434" w:name="_Toc38440867"/>
      <w:bookmarkStart w:id="1435" w:name="_Toc38441199"/>
      <w:bookmarkStart w:id="1436" w:name="_Toc38441531"/>
      <w:bookmarkStart w:id="1437" w:name="_Toc38441859"/>
      <w:bookmarkStart w:id="1438" w:name="_Toc38442191"/>
      <w:bookmarkStart w:id="1439" w:name="_Toc38442523"/>
      <w:bookmarkStart w:id="1440" w:name="_Toc38442854"/>
      <w:bookmarkStart w:id="1441" w:name="_Toc38443185"/>
      <w:bookmarkStart w:id="1442" w:name="_Toc38443516"/>
      <w:bookmarkStart w:id="1443" w:name="_Toc38443847"/>
      <w:bookmarkStart w:id="1444" w:name="_Toc38438314"/>
      <w:bookmarkStart w:id="1445" w:name="_Toc38438651"/>
      <w:bookmarkStart w:id="1446" w:name="_Toc38438988"/>
      <w:bookmarkStart w:id="1447" w:name="_Toc38439325"/>
      <w:bookmarkStart w:id="1448" w:name="_Toc38439662"/>
      <w:bookmarkStart w:id="1449" w:name="_Toc38439999"/>
      <w:bookmarkStart w:id="1450" w:name="_Toc38440336"/>
      <w:bookmarkStart w:id="1451" w:name="_Toc38440669"/>
      <w:bookmarkStart w:id="1452" w:name="_Toc38440868"/>
      <w:bookmarkStart w:id="1453" w:name="_Toc38441200"/>
      <w:bookmarkStart w:id="1454" w:name="_Toc38441532"/>
      <w:bookmarkStart w:id="1455" w:name="_Toc38441860"/>
      <w:bookmarkStart w:id="1456" w:name="_Toc38442192"/>
      <w:bookmarkStart w:id="1457" w:name="_Toc38442524"/>
      <w:bookmarkStart w:id="1458" w:name="_Toc38442855"/>
      <w:bookmarkStart w:id="1459" w:name="_Toc38443186"/>
      <w:bookmarkStart w:id="1460" w:name="_Toc38443517"/>
      <w:bookmarkStart w:id="1461" w:name="_Toc38443848"/>
      <w:bookmarkStart w:id="1462" w:name="_Toc38438315"/>
      <w:bookmarkStart w:id="1463" w:name="_Toc38438652"/>
      <w:bookmarkStart w:id="1464" w:name="_Toc38438989"/>
      <w:bookmarkStart w:id="1465" w:name="_Toc38439326"/>
      <w:bookmarkStart w:id="1466" w:name="_Toc38439663"/>
      <w:bookmarkStart w:id="1467" w:name="_Toc38440000"/>
      <w:bookmarkStart w:id="1468" w:name="_Toc38440337"/>
      <w:bookmarkStart w:id="1469" w:name="_Toc38440670"/>
      <w:bookmarkStart w:id="1470" w:name="_Toc38440869"/>
      <w:bookmarkStart w:id="1471" w:name="_Toc38441201"/>
      <w:bookmarkStart w:id="1472" w:name="_Toc38441533"/>
      <w:bookmarkStart w:id="1473" w:name="_Toc38441861"/>
      <w:bookmarkStart w:id="1474" w:name="_Toc38442193"/>
      <w:bookmarkStart w:id="1475" w:name="_Toc38442525"/>
      <w:bookmarkStart w:id="1476" w:name="_Toc38442856"/>
      <w:bookmarkStart w:id="1477" w:name="_Toc38443187"/>
      <w:bookmarkStart w:id="1478" w:name="_Toc38443518"/>
      <w:bookmarkStart w:id="1479" w:name="_Toc38443849"/>
      <w:bookmarkStart w:id="1480" w:name="_Toc38438316"/>
      <w:bookmarkStart w:id="1481" w:name="_Toc38438653"/>
      <w:bookmarkStart w:id="1482" w:name="_Toc38438990"/>
      <w:bookmarkStart w:id="1483" w:name="_Toc38439327"/>
      <w:bookmarkStart w:id="1484" w:name="_Toc38439664"/>
      <w:bookmarkStart w:id="1485" w:name="_Toc38440001"/>
      <w:bookmarkStart w:id="1486" w:name="_Toc38440338"/>
      <w:bookmarkStart w:id="1487" w:name="_Toc38440671"/>
      <w:bookmarkStart w:id="1488" w:name="_Toc38440870"/>
      <w:bookmarkStart w:id="1489" w:name="_Toc38441202"/>
      <w:bookmarkStart w:id="1490" w:name="_Toc38441534"/>
      <w:bookmarkStart w:id="1491" w:name="_Toc38441862"/>
      <w:bookmarkStart w:id="1492" w:name="_Toc38442194"/>
      <w:bookmarkStart w:id="1493" w:name="_Toc38442526"/>
      <w:bookmarkStart w:id="1494" w:name="_Toc38442857"/>
      <w:bookmarkStart w:id="1495" w:name="_Toc38443188"/>
      <w:bookmarkStart w:id="1496" w:name="_Toc38443519"/>
      <w:bookmarkStart w:id="1497" w:name="_Toc38443850"/>
      <w:bookmarkStart w:id="1498" w:name="_Toc38438317"/>
      <w:bookmarkStart w:id="1499" w:name="_Toc38438654"/>
      <w:bookmarkStart w:id="1500" w:name="_Toc38438991"/>
      <w:bookmarkStart w:id="1501" w:name="_Toc38439328"/>
      <w:bookmarkStart w:id="1502" w:name="_Toc38439665"/>
      <w:bookmarkStart w:id="1503" w:name="_Toc38440002"/>
      <w:bookmarkStart w:id="1504" w:name="_Toc38440339"/>
      <w:bookmarkStart w:id="1505" w:name="_Toc38440672"/>
      <w:bookmarkStart w:id="1506" w:name="_Toc38440871"/>
      <w:bookmarkStart w:id="1507" w:name="_Toc38441203"/>
      <w:bookmarkStart w:id="1508" w:name="_Toc38441535"/>
      <w:bookmarkStart w:id="1509" w:name="_Toc38441863"/>
      <w:bookmarkStart w:id="1510" w:name="_Toc38442195"/>
      <w:bookmarkStart w:id="1511" w:name="_Toc38442527"/>
      <w:bookmarkStart w:id="1512" w:name="_Toc38442858"/>
      <w:bookmarkStart w:id="1513" w:name="_Toc38443189"/>
      <w:bookmarkStart w:id="1514" w:name="_Toc38443520"/>
      <w:bookmarkStart w:id="1515" w:name="_Toc38443851"/>
      <w:bookmarkStart w:id="1516" w:name="_Toc38438318"/>
      <w:bookmarkStart w:id="1517" w:name="_Toc38438655"/>
      <w:bookmarkStart w:id="1518" w:name="_Toc38438992"/>
      <w:bookmarkStart w:id="1519" w:name="_Toc38439329"/>
      <w:bookmarkStart w:id="1520" w:name="_Toc38439666"/>
      <w:bookmarkStart w:id="1521" w:name="_Toc38440003"/>
      <w:bookmarkStart w:id="1522" w:name="_Toc38440340"/>
      <w:bookmarkStart w:id="1523" w:name="_Toc38440673"/>
      <w:bookmarkStart w:id="1524" w:name="_Toc38440872"/>
      <w:bookmarkStart w:id="1525" w:name="_Toc38441204"/>
      <w:bookmarkStart w:id="1526" w:name="_Toc38441536"/>
      <w:bookmarkStart w:id="1527" w:name="_Toc38441864"/>
      <w:bookmarkStart w:id="1528" w:name="_Toc38442196"/>
      <w:bookmarkStart w:id="1529" w:name="_Toc38442528"/>
      <w:bookmarkStart w:id="1530" w:name="_Toc38442859"/>
      <w:bookmarkStart w:id="1531" w:name="_Toc38443190"/>
      <w:bookmarkStart w:id="1532" w:name="_Toc38443521"/>
      <w:bookmarkStart w:id="1533" w:name="_Toc38443852"/>
      <w:bookmarkStart w:id="1534" w:name="_Toc38438319"/>
      <w:bookmarkStart w:id="1535" w:name="_Toc38438656"/>
      <w:bookmarkStart w:id="1536" w:name="_Toc38438993"/>
      <w:bookmarkStart w:id="1537" w:name="_Toc38439330"/>
      <w:bookmarkStart w:id="1538" w:name="_Toc38439667"/>
      <w:bookmarkStart w:id="1539" w:name="_Toc38440004"/>
      <w:bookmarkStart w:id="1540" w:name="_Toc38440341"/>
      <w:bookmarkStart w:id="1541" w:name="_Toc38440674"/>
      <w:bookmarkStart w:id="1542" w:name="_Toc38440873"/>
      <w:bookmarkStart w:id="1543" w:name="_Toc38441205"/>
      <w:bookmarkStart w:id="1544" w:name="_Toc38441537"/>
      <w:bookmarkStart w:id="1545" w:name="_Toc38441865"/>
      <w:bookmarkStart w:id="1546" w:name="_Toc38442197"/>
      <w:bookmarkStart w:id="1547" w:name="_Toc38442529"/>
      <w:bookmarkStart w:id="1548" w:name="_Toc38442860"/>
      <w:bookmarkStart w:id="1549" w:name="_Toc38443191"/>
      <w:bookmarkStart w:id="1550" w:name="_Toc38443522"/>
      <w:bookmarkStart w:id="1551" w:name="_Toc38443853"/>
      <w:bookmarkStart w:id="1552" w:name="_Toc38438320"/>
      <w:bookmarkStart w:id="1553" w:name="_Toc38438657"/>
      <w:bookmarkStart w:id="1554" w:name="_Toc38438994"/>
      <w:bookmarkStart w:id="1555" w:name="_Toc38439331"/>
      <w:bookmarkStart w:id="1556" w:name="_Toc38439668"/>
      <w:bookmarkStart w:id="1557" w:name="_Toc38440005"/>
      <w:bookmarkStart w:id="1558" w:name="_Toc38440342"/>
      <w:bookmarkStart w:id="1559" w:name="_Toc38440675"/>
      <w:bookmarkStart w:id="1560" w:name="_Toc38440874"/>
      <w:bookmarkStart w:id="1561" w:name="_Toc38441206"/>
      <w:bookmarkStart w:id="1562" w:name="_Toc38441538"/>
      <w:bookmarkStart w:id="1563" w:name="_Toc38441866"/>
      <w:bookmarkStart w:id="1564" w:name="_Toc38442198"/>
      <w:bookmarkStart w:id="1565" w:name="_Toc38442530"/>
      <w:bookmarkStart w:id="1566" w:name="_Toc38442861"/>
      <w:bookmarkStart w:id="1567" w:name="_Toc38443192"/>
      <w:bookmarkStart w:id="1568" w:name="_Toc38443523"/>
      <w:bookmarkStart w:id="1569" w:name="_Toc38443854"/>
      <w:bookmarkStart w:id="1570" w:name="_Toc38438321"/>
      <w:bookmarkStart w:id="1571" w:name="_Toc38438658"/>
      <w:bookmarkStart w:id="1572" w:name="_Toc38438995"/>
      <w:bookmarkStart w:id="1573" w:name="_Toc38439332"/>
      <w:bookmarkStart w:id="1574" w:name="_Toc38439669"/>
      <w:bookmarkStart w:id="1575" w:name="_Toc38440006"/>
      <w:bookmarkStart w:id="1576" w:name="_Toc38440343"/>
      <w:bookmarkStart w:id="1577" w:name="_Toc38440676"/>
      <w:bookmarkStart w:id="1578" w:name="_Toc38440875"/>
      <w:bookmarkStart w:id="1579" w:name="_Toc38441207"/>
      <w:bookmarkStart w:id="1580" w:name="_Toc38441539"/>
      <w:bookmarkStart w:id="1581" w:name="_Toc38441867"/>
      <w:bookmarkStart w:id="1582" w:name="_Toc38442199"/>
      <w:bookmarkStart w:id="1583" w:name="_Toc38442531"/>
      <w:bookmarkStart w:id="1584" w:name="_Toc38442862"/>
      <w:bookmarkStart w:id="1585" w:name="_Toc38443193"/>
      <w:bookmarkStart w:id="1586" w:name="_Toc38443524"/>
      <w:bookmarkStart w:id="1587" w:name="_Toc38443855"/>
      <w:bookmarkStart w:id="1588" w:name="_Toc38438322"/>
      <w:bookmarkStart w:id="1589" w:name="_Toc38438659"/>
      <w:bookmarkStart w:id="1590" w:name="_Toc38438996"/>
      <w:bookmarkStart w:id="1591" w:name="_Toc38439333"/>
      <w:bookmarkStart w:id="1592" w:name="_Toc38439670"/>
      <w:bookmarkStart w:id="1593" w:name="_Toc38440007"/>
      <w:bookmarkStart w:id="1594" w:name="_Toc38440344"/>
      <w:bookmarkStart w:id="1595" w:name="_Toc38440677"/>
      <w:bookmarkStart w:id="1596" w:name="_Toc38440876"/>
      <w:bookmarkStart w:id="1597" w:name="_Toc38441208"/>
      <w:bookmarkStart w:id="1598" w:name="_Toc38441540"/>
      <w:bookmarkStart w:id="1599" w:name="_Toc38441868"/>
      <w:bookmarkStart w:id="1600" w:name="_Toc38442200"/>
      <w:bookmarkStart w:id="1601" w:name="_Toc38442532"/>
      <w:bookmarkStart w:id="1602" w:name="_Toc38442863"/>
      <w:bookmarkStart w:id="1603" w:name="_Toc38443194"/>
      <w:bookmarkStart w:id="1604" w:name="_Toc38443525"/>
      <w:bookmarkStart w:id="1605" w:name="_Toc38443856"/>
      <w:bookmarkStart w:id="1606" w:name="_Toc38438323"/>
      <w:bookmarkStart w:id="1607" w:name="_Toc38438660"/>
      <w:bookmarkStart w:id="1608" w:name="_Toc38438997"/>
      <w:bookmarkStart w:id="1609" w:name="_Toc38439334"/>
      <w:bookmarkStart w:id="1610" w:name="_Toc38439671"/>
      <w:bookmarkStart w:id="1611" w:name="_Toc38440008"/>
      <w:bookmarkStart w:id="1612" w:name="_Toc38440345"/>
      <w:bookmarkStart w:id="1613" w:name="_Toc38440678"/>
      <w:bookmarkStart w:id="1614" w:name="_Toc38440877"/>
      <w:bookmarkStart w:id="1615" w:name="_Toc38441209"/>
      <w:bookmarkStart w:id="1616" w:name="_Toc38441541"/>
      <w:bookmarkStart w:id="1617" w:name="_Toc38441869"/>
      <w:bookmarkStart w:id="1618" w:name="_Toc38442201"/>
      <w:bookmarkStart w:id="1619" w:name="_Toc38442533"/>
      <w:bookmarkStart w:id="1620" w:name="_Toc38442864"/>
      <w:bookmarkStart w:id="1621" w:name="_Toc38443195"/>
      <w:bookmarkStart w:id="1622" w:name="_Toc38443526"/>
      <w:bookmarkStart w:id="1623" w:name="_Toc38443857"/>
      <w:bookmarkStart w:id="1624" w:name="_Toc38438324"/>
      <w:bookmarkStart w:id="1625" w:name="_Toc38438661"/>
      <w:bookmarkStart w:id="1626" w:name="_Toc38438998"/>
      <w:bookmarkStart w:id="1627" w:name="_Toc38439335"/>
      <w:bookmarkStart w:id="1628" w:name="_Toc38439672"/>
      <w:bookmarkStart w:id="1629" w:name="_Toc38440009"/>
      <w:bookmarkStart w:id="1630" w:name="_Toc38440346"/>
      <w:bookmarkStart w:id="1631" w:name="_Toc38440679"/>
      <w:bookmarkStart w:id="1632" w:name="_Toc38440878"/>
      <w:bookmarkStart w:id="1633" w:name="_Toc38441210"/>
      <w:bookmarkStart w:id="1634" w:name="_Toc38441542"/>
      <w:bookmarkStart w:id="1635" w:name="_Toc38441870"/>
      <w:bookmarkStart w:id="1636" w:name="_Toc38442202"/>
      <w:bookmarkStart w:id="1637" w:name="_Toc38442534"/>
      <w:bookmarkStart w:id="1638" w:name="_Toc38442865"/>
      <w:bookmarkStart w:id="1639" w:name="_Toc38443196"/>
      <w:bookmarkStart w:id="1640" w:name="_Toc38443527"/>
      <w:bookmarkStart w:id="1641" w:name="_Toc38443858"/>
      <w:bookmarkStart w:id="1642" w:name="_Toc38438325"/>
      <w:bookmarkStart w:id="1643" w:name="_Toc38438662"/>
      <w:bookmarkStart w:id="1644" w:name="_Toc38438999"/>
      <w:bookmarkStart w:id="1645" w:name="_Toc38439336"/>
      <w:bookmarkStart w:id="1646" w:name="_Toc38439673"/>
      <w:bookmarkStart w:id="1647" w:name="_Toc38440010"/>
      <w:bookmarkStart w:id="1648" w:name="_Toc38440347"/>
      <w:bookmarkStart w:id="1649" w:name="_Toc38440879"/>
      <w:bookmarkStart w:id="1650" w:name="_Toc38441211"/>
      <w:bookmarkStart w:id="1651" w:name="_Toc38441543"/>
      <w:bookmarkStart w:id="1652" w:name="_Toc38441871"/>
      <w:bookmarkStart w:id="1653" w:name="_Toc38442203"/>
      <w:bookmarkStart w:id="1654" w:name="_Toc38442535"/>
      <w:bookmarkStart w:id="1655" w:name="_Toc38442866"/>
      <w:bookmarkStart w:id="1656" w:name="_Toc38443197"/>
      <w:bookmarkStart w:id="1657" w:name="_Toc38443528"/>
      <w:bookmarkStart w:id="1658" w:name="_Toc38443859"/>
      <w:bookmarkStart w:id="1659" w:name="_Toc38438326"/>
      <w:bookmarkStart w:id="1660" w:name="_Toc38438663"/>
      <w:bookmarkStart w:id="1661" w:name="_Toc38439000"/>
      <w:bookmarkStart w:id="1662" w:name="_Toc38439337"/>
      <w:bookmarkStart w:id="1663" w:name="_Toc38439674"/>
      <w:bookmarkStart w:id="1664" w:name="_Toc38440011"/>
      <w:bookmarkStart w:id="1665" w:name="_Toc38440348"/>
      <w:bookmarkStart w:id="1666" w:name="_Toc38440880"/>
      <w:bookmarkStart w:id="1667" w:name="_Toc38441212"/>
      <w:bookmarkStart w:id="1668" w:name="_Toc38441544"/>
      <w:bookmarkStart w:id="1669" w:name="_Toc38441872"/>
      <w:bookmarkStart w:id="1670" w:name="_Toc38442204"/>
      <w:bookmarkStart w:id="1671" w:name="_Toc38442536"/>
      <w:bookmarkStart w:id="1672" w:name="_Toc38442867"/>
      <w:bookmarkStart w:id="1673" w:name="_Toc38443198"/>
      <w:bookmarkStart w:id="1674" w:name="_Toc38443529"/>
      <w:bookmarkStart w:id="1675" w:name="_Toc38443860"/>
      <w:bookmarkStart w:id="1676" w:name="_Toc38438327"/>
      <w:bookmarkStart w:id="1677" w:name="_Toc38438664"/>
      <w:bookmarkStart w:id="1678" w:name="_Toc38439001"/>
      <w:bookmarkStart w:id="1679" w:name="_Toc38439338"/>
      <w:bookmarkStart w:id="1680" w:name="_Toc38439675"/>
      <w:bookmarkStart w:id="1681" w:name="_Toc38440012"/>
      <w:bookmarkStart w:id="1682" w:name="_Toc38440349"/>
      <w:bookmarkStart w:id="1683" w:name="_Toc38440881"/>
      <w:bookmarkStart w:id="1684" w:name="_Toc38441213"/>
      <w:bookmarkStart w:id="1685" w:name="_Toc38441545"/>
      <w:bookmarkStart w:id="1686" w:name="_Toc38441873"/>
      <w:bookmarkStart w:id="1687" w:name="_Toc38442205"/>
      <w:bookmarkStart w:id="1688" w:name="_Toc38442537"/>
      <w:bookmarkStart w:id="1689" w:name="_Toc38442868"/>
      <w:bookmarkStart w:id="1690" w:name="_Toc38443199"/>
      <w:bookmarkStart w:id="1691" w:name="_Toc38443530"/>
      <w:bookmarkStart w:id="1692" w:name="_Toc38443861"/>
      <w:bookmarkStart w:id="1693" w:name="_Toc38438328"/>
      <w:bookmarkStart w:id="1694" w:name="_Toc38438665"/>
      <w:bookmarkStart w:id="1695" w:name="_Toc38439002"/>
      <w:bookmarkStart w:id="1696" w:name="_Toc38439339"/>
      <w:bookmarkStart w:id="1697" w:name="_Toc38439676"/>
      <w:bookmarkStart w:id="1698" w:name="_Toc38440013"/>
      <w:bookmarkStart w:id="1699" w:name="_Toc38440350"/>
      <w:bookmarkStart w:id="1700" w:name="_Toc38440882"/>
      <w:bookmarkStart w:id="1701" w:name="_Toc38441214"/>
      <w:bookmarkStart w:id="1702" w:name="_Toc38441546"/>
      <w:bookmarkStart w:id="1703" w:name="_Toc38441874"/>
      <w:bookmarkStart w:id="1704" w:name="_Toc38442206"/>
      <w:bookmarkStart w:id="1705" w:name="_Toc38442538"/>
      <w:bookmarkStart w:id="1706" w:name="_Toc38442869"/>
      <w:bookmarkStart w:id="1707" w:name="_Toc38443200"/>
      <w:bookmarkStart w:id="1708" w:name="_Toc38443531"/>
      <w:bookmarkStart w:id="1709" w:name="_Toc38443862"/>
      <w:bookmarkStart w:id="1710" w:name="_Toc38438329"/>
      <w:bookmarkStart w:id="1711" w:name="_Toc38438666"/>
      <w:bookmarkStart w:id="1712" w:name="_Toc38439003"/>
      <w:bookmarkStart w:id="1713" w:name="_Toc38439340"/>
      <w:bookmarkStart w:id="1714" w:name="_Toc38439677"/>
      <w:bookmarkStart w:id="1715" w:name="_Toc38440014"/>
      <w:bookmarkStart w:id="1716" w:name="_Toc38440351"/>
      <w:bookmarkStart w:id="1717" w:name="_Toc38440883"/>
      <w:bookmarkStart w:id="1718" w:name="_Toc38441215"/>
      <w:bookmarkStart w:id="1719" w:name="_Toc38441547"/>
      <w:bookmarkStart w:id="1720" w:name="_Toc38441875"/>
      <w:bookmarkStart w:id="1721" w:name="_Toc38442207"/>
      <w:bookmarkStart w:id="1722" w:name="_Toc38442539"/>
      <w:bookmarkStart w:id="1723" w:name="_Toc38442870"/>
      <w:bookmarkStart w:id="1724" w:name="_Toc38443201"/>
      <w:bookmarkStart w:id="1725" w:name="_Toc38443532"/>
      <w:bookmarkStart w:id="1726" w:name="_Toc38443863"/>
      <w:bookmarkStart w:id="1727" w:name="_Toc38438330"/>
      <w:bookmarkStart w:id="1728" w:name="_Toc38438667"/>
      <w:bookmarkStart w:id="1729" w:name="_Toc38439004"/>
      <w:bookmarkStart w:id="1730" w:name="_Toc38439341"/>
      <w:bookmarkStart w:id="1731" w:name="_Toc38439678"/>
      <w:bookmarkStart w:id="1732" w:name="_Toc38440015"/>
      <w:bookmarkStart w:id="1733" w:name="_Toc38440352"/>
      <w:bookmarkStart w:id="1734" w:name="_Toc38440884"/>
      <w:bookmarkStart w:id="1735" w:name="_Toc38441216"/>
      <w:bookmarkStart w:id="1736" w:name="_Toc38441548"/>
      <w:bookmarkStart w:id="1737" w:name="_Toc38441876"/>
      <w:bookmarkStart w:id="1738" w:name="_Toc38442208"/>
      <w:bookmarkStart w:id="1739" w:name="_Toc38442540"/>
      <w:bookmarkStart w:id="1740" w:name="_Toc38442871"/>
      <w:bookmarkStart w:id="1741" w:name="_Toc38443202"/>
      <w:bookmarkStart w:id="1742" w:name="_Toc38443533"/>
      <w:bookmarkStart w:id="1743" w:name="_Toc38443864"/>
      <w:bookmarkStart w:id="1744" w:name="_Toc38438331"/>
      <w:bookmarkStart w:id="1745" w:name="_Toc38438668"/>
      <w:bookmarkStart w:id="1746" w:name="_Toc38439005"/>
      <w:bookmarkStart w:id="1747" w:name="_Toc38439342"/>
      <w:bookmarkStart w:id="1748" w:name="_Toc38439679"/>
      <w:bookmarkStart w:id="1749" w:name="_Toc38440016"/>
      <w:bookmarkStart w:id="1750" w:name="_Toc38440353"/>
      <w:bookmarkStart w:id="1751" w:name="_Toc38440885"/>
      <w:bookmarkStart w:id="1752" w:name="_Toc38441217"/>
      <w:bookmarkStart w:id="1753" w:name="_Toc38441549"/>
      <w:bookmarkStart w:id="1754" w:name="_Toc38441877"/>
      <w:bookmarkStart w:id="1755" w:name="_Toc38442209"/>
      <w:bookmarkStart w:id="1756" w:name="_Toc38442541"/>
      <w:bookmarkStart w:id="1757" w:name="_Toc38442872"/>
      <w:bookmarkStart w:id="1758" w:name="_Toc38443203"/>
      <w:bookmarkStart w:id="1759" w:name="_Toc38443534"/>
      <w:bookmarkStart w:id="1760" w:name="_Toc38443865"/>
      <w:bookmarkStart w:id="1761" w:name="_Toc38438332"/>
      <w:bookmarkStart w:id="1762" w:name="_Toc38438669"/>
      <w:bookmarkStart w:id="1763" w:name="_Toc38439006"/>
      <w:bookmarkStart w:id="1764" w:name="_Toc38439343"/>
      <w:bookmarkStart w:id="1765" w:name="_Toc38439680"/>
      <w:bookmarkStart w:id="1766" w:name="_Toc38440017"/>
      <w:bookmarkStart w:id="1767" w:name="_Toc38440354"/>
      <w:bookmarkStart w:id="1768" w:name="_Toc38440886"/>
      <w:bookmarkStart w:id="1769" w:name="_Toc38441218"/>
      <w:bookmarkStart w:id="1770" w:name="_Toc38441550"/>
      <w:bookmarkStart w:id="1771" w:name="_Toc38441878"/>
      <w:bookmarkStart w:id="1772" w:name="_Toc38442210"/>
      <w:bookmarkStart w:id="1773" w:name="_Toc38442542"/>
      <w:bookmarkStart w:id="1774" w:name="_Toc38442873"/>
      <w:bookmarkStart w:id="1775" w:name="_Toc38443204"/>
      <w:bookmarkStart w:id="1776" w:name="_Toc38443535"/>
      <w:bookmarkStart w:id="1777" w:name="_Toc38443866"/>
      <w:bookmarkStart w:id="1778" w:name="_Toc38438333"/>
      <w:bookmarkStart w:id="1779" w:name="_Toc38438670"/>
      <w:bookmarkStart w:id="1780" w:name="_Toc38439007"/>
      <w:bookmarkStart w:id="1781" w:name="_Toc38439344"/>
      <w:bookmarkStart w:id="1782" w:name="_Toc38439681"/>
      <w:bookmarkStart w:id="1783" w:name="_Toc38440018"/>
      <w:bookmarkStart w:id="1784" w:name="_Toc38440355"/>
      <w:bookmarkStart w:id="1785" w:name="_Toc38440887"/>
      <w:bookmarkStart w:id="1786" w:name="_Toc38441219"/>
      <w:bookmarkStart w:id="1787" w:name="_Toc38441551"/>
      <w:bookmarkStart w:id="1788" w:name="_Toc38441879"/>
      <w:bookmarkStart w:id="1789" w:name="_Toc38442211"/>
      <w:bookmarkStart w:id="1790" w:name="_Toc38442543"/>
      <w:bookmarkStart w:id="1791" w:name="_Toc38442874"/>
      <w:bookmarkStart w:id="1792" w:name="_Toc38443205"/>
      <w:bookmarkStart w:id="1793" w:name="_Toc38443536"/>
      <w:bookmarkStart w:id="1794" w:name="_Toc38443867"/>
      <w:bookmarkStart w:id="1795" w:name="_Toc38438334"/>
      <w:bookmarkStart w:id="1796" w:name="_Toc38438671"/>
      <w:bookmarkStart w:id="1797" w:name="_Toc38439008"/>
      <w:bookmarkStart w:id="1798" w:name="_Toc38439345"/>
      <w:bookmarkStart w:id="1799" w:name="_Toc38439682"/>
      <w:bookmarkStart w:id="1800" w:name="_Toc38440019"/>
      <w:bookmarkStart w:id="1801" w:name="_Toc38440356"/>
      <w:bookmarkStart w:id="1802" w:name="_Toc38440888"/>
      <w:bookmarkStart w:id="1803" w:name="_Toc38441220"/>
      <w:bookmarkStart w:id="1804" w:name="_Toc38441552"/>
      <w:bookmarkStart w:id="1805" w:name="_Toc38441880"/>
      <w:bookmarkStart w:id="1806" w:name="_Toc38442212"/>
      <w:bookmarkStart w:id="1807" w:name="_Toc38442544"/>
      <w:bookmarkStart w:id="1808" w:name="_Toc38442875"/>
      <w:bookmarkStart w:id="1809" w:name="_Toc38443206"/>
      <w:bookmarkStart w:id="1810" w:name="_Toc38443537"/>
      <w:bookmarkStart w:id="1811" w:name="_Toc38443868"/>
      <w:bookmarkStart w:id="1812" w:name="_Toc38438335"/>
      <w:bookmarkStart w:id="1813" w:name="_Toc38438672"/>
      <w:bookmarkStart w:id="1814" w:name="_Toc38439009"/>
      <w:bookmarkStart w:id="1815" w:name="_Toc38439346"/>
      <w:bookmarkStart w:id="1816" w:name="_Toc38439683"/>
      <w:bookmarkStart w:id="1817" w:name="_Toc38440020"/>
      <w:bookmarkStart w:id="1818" w:name="_Toc38440357"/>
      <w:bookmarkStart w:id="1819" w:name="_Toc38440889"/>
      <w:bookmarkStart w:id="1820" w:name="_Toc38441221"/>
      <w:bookmarkStart w:id="1821" w:name="_Toc38441553"/>
      <w:bookmarkStart w:id="1822" w:name="_Toc38441881"/>
      <w:bookmarkStart w:id="1823" w:name="_Toc38442213"/>
      <w:bookmarkStart w:id="1824" w:name="_Toc38442545"/>
      <w:bookmarkStart w:id="1825" w:name="_Toc38442876"/>
      <w:bookmarkStart w:id="1826" w:name="_Toc38443207"/>
      <w:bookmarkStart w:id="1827" w:name="_Toc38443538"/>
      <w:bookmarkStart w:id="1828" w:name="_Toc38443869"/>
      <w:bookmarkStart w:id="1829" w:name="_Toc38438336"/>
      <w:bookmarkStart w:id="1830" w:name="_Toc38438673"/>
      <w:bookmarkStart w:id="1831" w:name="_Toc38439010"/>
      <w:bookmarkStart w:id="1832" w:name="_Toc38439347"/>
      <w:bookmarkStart w:id="1833" w:name="_Toc38439684"/>
      <w:bookmarkStart w:id="1834" w:name="_Toc38440021"/>
      <w:bookmarkStart w:id="1835" w:name="_Toc38440358"/>
      <w:bookmarkStart w:id="1836" w:name="_Toc38440890"/>
      <w:bookmarkStart w:id="1837" w:name="_Toc38441222"/>
      <w:bookmarkStart w:id="1838" w:name="_Toc38441554"/>
      <w:bookmarkStart w:id="1839" w:name="_Toc38441882"/>
      <w:bookmarkStart w:id="1840" w:name="_Toc38442214"/>
      <w:bookmarkStart w:id="1841" w:name="_Toc38442546"/>
      <w:bookmarkStart w:id="1842" w:name="_Toc38442877"/>
      <w:bookmarkStart w:id="1843" w:name="_Toc38443208"/>
      <w:bookmarkStart w:id="1844" w:name="_Toc38443539"/>
      <w:bookmarkStart w:id="1845" w:name="_Toc38443870"/>
      <w:bookmarkStart w:id="1846" w:name="_Toc38438337"/>
      <w:bookmarkStart w:id="1847" w:name="_Toc38438674"/>
      <w:bookmarkStart w:id="1848" w:name="_Toc38439011"/>
      <w:bookmarkStart w:id="1849" w:name="_Toc38439348"/>
      <w:bookmarkStart w:id="1850" w:name="_Toc38439685"/>
      <w:bookmarkStart w:id="1851" w:name="_Toc38440022"/>
      <w:bookmarkStart w:id="1852" w:name="_Toc38440359"/>
      <w:bookmarkStart w:id="1853" w:name="_Toc38440891"/>
      <w:bookmarkStart w:id="1854" w:name="_Toc38441223"/>
      <w:bookmarkStart w:id="1855" w:name="_Toc38441555"/>
      <w:bookmarkStart w:id="1856" w:name="_Toc38441883"/>
      <w:bookmarkStart w:id="1857" w:name="_Toc38442215"/>
      <w:bookmarkStart w:id="1858" w:name="_Toc38442547"/>
      <w:bookmarkStart w:id="1859" w:name="_Toc38442878"/>
      <w:bookmarkStart w:id="1860" w:name="_Toc38443209"/>
      <w:bookmarkStart w:id="1861" w:name="_Toc38443540"/>
      <w:bookmarkStart w:id="1862" w:name="_Toc38443871"/>
      <w:bookmarkStart w:id="1863" w:name="_Toc38438338"/>
      <w:bookmarkStart w:id="1864" w:name="_Toc38438675"/>
      <w:bookmarkStart w:id="1865" w:name="_Toc38439012"/>
      <w:bookmarkStart w:id="1866" w:name="_Toc38439349"/>
      <w:bookmarkStart w:id="1867" w:name="_Toc38439686"/>
      <w:bookmarkStart w:id="1868" w:name="_Toc38440023"/>
      <w:bookmarkStart w:id="1869" w:name="_Toc38440360"/>
      <w:bookmarkStart w:id="1870" w:name="_Toc38440892"/>
      <w:bookmarkStart w:id="1871" w:name="_Toc38441224"/>
      <w:bookmarkStart w:id="1872" w:name="_Toc38441556"/>
      <w:bookmarkStart w:id="1873" w:name="_Toc38441884"/>
      <w:bookmarkStart w:id="1874" w:name="_Toc38442216"/>
      <w:bookmarkStart w:id="1875" w:name="_Toc38442548"/>
      <w:bookmarkStart w:id="1876" w:name="_Toc38442879"/>
      <w:bookmarkStart w:id="1877" w:name="_Toc38443210"/>
      <w:bookmarkStart w:id="1878" w:name="_Toc38443541"/>
      <w:bookmarkStart w:id="1879" w:name="_Toc38443872"/>
      <w:bookmarkStart w:id="1880" w:name="_Toc38438339"/>
      <w:bookmarkStart w:id="1881" w:name="_Toc38438676"/>
      <w:bookmarkStart w:id="1882" w:name="_Toc38439013"/>
      <w:bookmarkStart w:id="1883" w:name="_Toc38439350"/>
      <w:bookmarkStart w:id="1884" w:name="_Toc38439687"/>
      <w:bookmarkStart w:id="1885" w:name="_Toc38440024"/>
      <w:bookmarkStart w:id="1886" w:name="_Toc38440361"/>
      <w:bookmarkStart w:id="1887" w:name="_Toc38440893"/>
      <w:bookmarkStart w:id="1888" w:name="_Toc38441225"/>
      <w:bookmarkStart w:id="1889" w:name="_Toc38441557"/>
      <w:bookmarkStart w:id="1890" w:name="_Toc38441885"/>
      <w:bookmarkStart w:id="1891" w:name="_Toc38442217"/>
      <w:bookmarkStart w:id="1892" w:name="_Toc38442549"/>
      <w:bookmarkStart w:id="1893" w:name="_Toc38442880"/>
      <w:bookmarkStart w:id="1894" w:name="_Toc38443211"/>
      <w:bookmarkStart w:id="1895" w:name="_Toc38443542"/>
      <w:bookmarkStart w:id="1896" w:name="_Toc38443873"/>
      <w:bookmarkStart w:id="1897" w:name="_Toc38438340"/>
      <w:bookmarkStart w:id="1898" w:name="_Toc38438677"/>
      <w:bookmarkStart w:id="1899" w:name="_Toc38439014"/>
      <w:bookmarkStart w:id="1900" w:name="_Toc38439351"/>
      <w:bookmarkStart w:id="1901" w:name="_Toc38439688"/>
      <w:bookmarkStart w:id="1902" w:name="_Toc38440025"/>
      <w:bookmarkStart w:id="1903" w:name="_Toc38440362"/>
      <w:bookmarkStart w:id="1904" w:name="_Toc38440894"/>
      <w:bookmarkStart w:id="1905" w:name="_Toc38441226"/>
      <w:bookmarkStart w:id="1906" w:name="_Toc38441558"/>
      <w:bookmarkStart w:id="1907" w:name="_Toc38441886"/>
      <w:bookmarkStart w:id="1908" w:name="_Toc38442218"/>
      <w:bookmarkStart w:id="1909" w:name="_Toc38442550"/>
      <w:bookmarkStart w:id="1910" w:name="_Toc38442881"/>
      <w:bookmarkStart w:id="1911" w:name="_Toc38443212"/>
      <w:bookmarkStart w:id="1912" w:name="_Toc38443543"/>
      <w:bookmarkStart w:id="1913" w:name="_Toc38443874"/>
      <w:bookmarkStart w:id="1914" w:name="_Toc38438341"/>
      <w:bookmarkStart w:id="1915" w:name="_Toc38438678"/>
      <w:bookmarkStart w:id="1916" w:name="_Toc38439015"/>
      <w:bookmarkStart w:id="1917" w:name="_Toc38439352"/>
      <w:bookmarkStart w:id="1918" w:name="_Toc38439689"/>
      <w:bookmarkStart w:id="1919" w:name="_Toc38440026"/>
      <w:bookmarkStart w:id="1920" w:name="_Toc38440363"/>
      <w:bookmarkStart w:id="1921" w:name="_Toc38440895"/>
      <w:bookmarkStart w:id="1922" w:name="_Toc38441227"/>
      <w:bookmarkStart w:id="1923" w:name="_Toc38441559"/>
      <w:bookmarkStart w:id="1924" w:name="_Toc38441887"/>
      <w:bookmarkStart w:id="1925" w:name="_Toc38442219"/>
      <w:bookmarkStart w:id="1926" w:name="_Toc38442551"/>
      <w:bookmarkStart w:id="1927" w:name="_Toc38442882"/>
      <w:bookmarkStart w:id="1928" w:name="_Toc38443213"/>
      <w:bookmarkStart w:id="1929" w:name="_Toc38443544"/>
      <w:bookmarkStart w:id="1930" w:name="_Toc38443875"/>
      <w:bookmarkStart w:id="1931" w:name="_Toc38438342"/>
      <w:bookmarkStart w:id="1932" w:name="_Toc38438679"/>
      <w:bookmarkStart w:id="1933" w:name="_Toc38439016"/>
      <w:bookmarkStart w:id="1934" w:name="_Toc38439353"/>
      <w:bookmarkStart w:id="1935" w:name="_Toc38439690"/>
      <w:bookmarkStart w:id="1936" w:name="_Toc38440027"/>
      <w:bookmarkStart w:id="1937" w:name="_Toc38440364"/>
      <w:bookmarkStart w:id="1938" w:name="_Toc38440896"/>
      <w:bookmarkStart w:id="1939" w:name="_Toc38441228"/>
      <w:bookmarkStart w:id="1940" w:name="_Toc38441560"/>
      <w:bookmarkStart w:id="1941" w:name="_Toc38441888"/>
      <w:bookmarkStart w:id="1942" w:name="_Toc38442220"/>
      <w:bookmarkStart w:id="1943" w:name="_Toc38442552"/>
      <w:bookmarkStart w:id="1944" w:name="_Toc38442883"/>
      <w:bookmarkStart w:id="1945" w:name="_Toc38443214"/>
      <w:bookmarkStart w:id="1946" w:name="_Toc38443545"/>
      <w:bookmarkStart w:id="1947" w:name="_Toc38443876"/>
      <w:bookmarkStart w:id="1948" w:name="_Toc38438343"/>
      <w:bookmarkStart w:id="1949" w:name="_Toc38438680"/>
      <w:bookmarkStart w:id="1950" w:name="_Toc38439017"/>
      <w:bookmarkStart w:id="1951" w:name="_Toc38439354"/>
      <w:bookmarkStart w:id="1952" w:name="_Toc38439691"/>
      <w:bookmarkStart w:id="1953" w:name="_Toc38440028"/>
      <w:bookmarkStart w:id="1954" w:name="_Toc38440365"/>
      <w:bookmarkStart w:id="1955" w:name="_Toc38440897"/>
      <w:bookmarkStart w:id="1956" w:name="_Toc38441229"/>
      <w:bookmarkStart w:id="1957" w:name="_Toc38441561"/>
      <w:bookmarkStart w:id="1958" w:name="_Toc38441889"/>
      <w:bookmarkStart w:id="1959" w:name="_Toc38442221"/>
      <w:bookmarkStart w:id="1960" w:name="_Toc38442553"/>
      <w:bookmarkStart w:id="1961" w:name="_Toc38442884"/>
      <w:bookmarkStart w:id="1962" w:name="_Toc38443215"/>
      <w:bookmarkStart w:id="1963" w:name="_Toc38443546"/>
      <w:bookmarkStart w:id="1964" w:name="_Toc38443877"/>
      <w:bookmarkStart w:id="1965" w:name="_Toc13148422"/>
      <w:bookmarkStart w:id="1966" w:name="_Toc114237494"/>
      <w:bookmarkEnd w:id="862"/>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r w:rsidRPr="00490741">
        <w:rPr>
          <w:rFonts w:asciiTheme="minorEastAsia" w:eastAsiaTheme="minorEastAsia" w:hAnsiTheme="minorEastAsia" w:hint="eastAsia"/>
          <w:b/>
          <w:bCs/>
          <w:color w:val="000000" w:themeColor="text1"/>
        </w:rPr>
        <w:t>二十四、</w:t>
      </w:r>
      <w:bookmarkEnd w:id="1965"/>
      <w:r w:rsidRPr="00490741">
        <w:rPr>
          <w:rFonts w:asciiTheme="minorEastAsia" w:eastAsiaTheme="minorEastAsia" w:hAnsiTheme="minorEastAsia" w:hint="eastAsia"/>
          <w:b/>
          <w:bCs/>
          <w:color w:val="000000" w:themeColor="text1"/>
        </w:rPr>
        <w:t>其他应披露事项</w:t>
      </w:r>
      <w:bookmarkEnd w:id="1966"/>
    </w:p>
    <w:tbl>
      <w:tblPr>
        <w:tblW w:w="8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1794"/>
      </w:tblGrid>
      <w:tr w:rsidTr="00A37C83">
        <w:tblPrEx>
          <w:tblW w:w="8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65"/>
        </w:trPr>
        <w:tc>
          <w:tcPr>
            <w:tcW w:w="6629" w:type="dxa"/>
            <w:shd w:val="clear" w:color="auto" w:fill="auto"/>
            <w:vAlign w:val="center"/>
            <w:hideMark/>
          </w:tcPr>
          <w:p w:rsidR="00694C29" w:rsidRPr="00490741" w:rsidP="003F7408">
            <w:pPr>
              <w:spacing w:line="360" w:lineRule="auto"/>
              <w:ind w:firstLine="420" w:firstLineChars="200"/>
              <w:jc w:val="center"/>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公告事项</w:t>
            </w:r>
          </w:p>
        </w:tc>
        <w:tc>
          <w:tcPr>
            <w:tcW w:w="1794" w:type="dxa"/>
            <w:shd w:val="clear" w:color="auto" w:fill="auto"/>
            <w:vAlign w:val="center"/>
            <w:hideMark/>
          </w:tcPr>
          <w:p w:rsidR="00694C29" w:rsidRPr="00490741" w:rsidP="002D4A4B">
            <w:pPr>
              <w:spacing w:line="360" w:lineRule="auto"/>
              <w:jc w:val="center"/>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披露日期</w:t>
            </w:r>
          </w:p>
        </w:tc>
      </w:tr>
      <w:tr>
        <w:tblPrEx>
          <w:tblW w:w="8423" w:type="dxa"/>
          <w:tblLayout w:type="fixed"/>
          <w:tblLook w:val="04A0"/>
        </w:tblPrEx>
        <w:tc>
          <w:tcPr>
            <w:tcW w:w="6629" w:type="dxa"/>
          </w:tcPr>
          <w:p w:rsidR="00267126" w:rsidRPr="00490741">
            <w:pPr>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易方达基金管理有限公司旗下基金</w:t>
            </w:r>
            <w:r w:rsidRPr="00490741">
              <w:rPr>
                <w:rFonts w:asciiTheme="minorEastAsia" w:eastAsiaTheme="minorEastAsia" w:hAnsiTheme="minorEastAsia"/>
                <w:color w:val="000000" w:themeColor="text1"/>
              </w:rPr>
              <w:t>2020</w:t>
            </w:r>
            <w:r w:rsidRPr="00490741">
              <w:rPr>
                <w:rFonts w:asciiTheme="minorEastAsia" w:eastAsiaTheme="minorEastAsia" w:hAnsiTheme="minorEastAsia"/>
                <w:color w:val="000000" w:themeColor="text1"/>
              </w:rPr>
              <w:t>年年度报告提示性公告</w:t>
            </w:r>
          </w:p>
        </w:tc>
        <w:tc>
          <w:tcPr>
            <w:tcW w:w="179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2021-03-30</w:t>
            </w:r>
          </w:p>
        </w:tc>
      </w:tr>
      <w:tr>
        <w:tblPrEx>
          <w:tblW w:w="8423" w:type="dxa"/>
          <w:tblLayout w:type="fixed"/>
          <w:tblLook w:val="04A0"/>
        </w:tblPrEx>
        <w:tc>
          <w:tcPr>
            <w:tcW w:w="6629" w:type="dxa"/>
          </w:tcPr>
          <w:p w:rsidR="00267126" w:rsidRPr="00490741">
            <w:pPr>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易方达基金管理有限公司关于提醒投资者及时提供或更新身份信息资料的公告</w:t>
            </w:r>
          </w:p>
        </w:tc>
        <w:tc>
          <w:tcPr>
            <w:tcW w:w="179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2021-04-02</w:t>
            </w:r>
          </w:p>
        </w:tc>
      </w:tr>
      <w:tr>
        <w:tblPrEx>
          <w:tblW w:w="8423" w:type="dxa"/>
          <w:tblLayout w:type="fixed"/>
          <w:tblLook w:val="04A0"/>
        </w:tblPrEx>
        <w:tc>
          <w:tcPr>
            <w:tcW w:w="6629" w:type="dxa"/>
          </w:tcPr>
          <w:p w:rsidR="00267126" w:rsidRPr="00490741">
            <w:pPr>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易方达基金管理有限公司旗下基金</w:t>
            </w:r>
            <w:r w:rsidRPr="00490741">
              <w:rPr>
                <w:rFonts w:asciiTheme="minorEastAsia" w:eastAsiaTheme="minorEastAsia" w:hAnsiTheme="minorEastAsia"/>
                <w:color w:val="000000" w:themeColor="text1"/>
              </w:rPr>
              <w:t>2021</w:t>
            </w:r>
            <w:r w:rsidRPr="00490741">
              <w:rPr>
                <w:rFonts w:asciiTheme="minorEastAsia" w:eastAsiaTheme="minorEastAsia" w:hAnsiTheme="minorEastAsia"/>
                <w:color w:val="000000" w:themeColor="text1"/>
              </w:rPr>
              <w:t>年第</w:t>
            </w:r>
            <w:r w:rsidRPr="00490741">
              <w:rPr>
                <w:rFonts w:asciiTheme="minorEastAsia" w:eastAsiaTheme="minorEastAsia" w:hAnsiTheme="minorEastAsia"/>
                <w:color w:val="000000" w:themeColor="text1"/>
              </w:rPr>
              <w:t>1</w:t>
            </w:r>
            <w:r w:rsidRPr="00490741">
              <w:rPr>
                <w:rFonts w:asciiTheme="minorEastAsia" w:eastAsiaTheme="minorEastAsia" w:hAnsiTheme="minorEastAsia"/>
                <w:color w:val="000000" w:themeColor="text1"/>
              </w:rPr>
              <w:t>季度报告提示性公告</w:t>
            </w:r>
          </w:p>
        </w:tc>
        <w:tc>
          <w:tcPr>
            <w:tcW w:w="179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2021-04-19</w:t>
            </w:r>
          </w:p>
        </w:tc>
      </w:tr>
      <w:tr>
        <w:tblPrEx>
          <w:tblW w:w="8423" w:type="dxa"/>
          <w:tblLayout w:type="fixed"/>
          <w:tblLook w:val="04A0"/>
        </w:tblPrEx>
        <w:tc>
          <w:tcPr>
            <w:tcW w:w="6629" w:type="dxa"/>
          </w:tcPr>
          <w:p w:rsidR="00267126" w:rsidRPr="00490741">
            <w:pPr>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易方达基金管理有限公司高级管理人员变更公告</w:t>
            </w:r>
          </w:p>
        </w:tc>
        <w:tc>
          <w:tcPr>
            <w:tcW w:w="179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2021-07-17</w:t>
            </w:r>
          </w:p>
        </w:tc>
      </w:tr>
      <w:tr>
        <w:tblPrEx>
          <w:tblW w:w="8423" w:type="dxa"/>
          <w:tblLayout w:type="fixed"/>
          <w:tblLook w:val="04A0"/>
        </w:tblPrEx>
        <w:tc>
          <w:tcPr>
            <w:tcW w:w="6629" w:type="dxa"/>
          </w:tcPr>
          <w:p w:rsidR="00267126" w:rsidRPr="00490741">
            <w:pPr>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易方达基金管理有限公司旗下基金</w:t>
            </w:r>
            <w:r w:rsidRPr="00490741">
              <w:rPr>
                <w:rFonts w:asciiTheme="minorEastAsia" w:eastAsiaTheme="minorEastAsia" w:hAnsiTheme="minorEastAsia"/>
                <w:color w:val="000000" w:themeColor="text1"/>
              </w:rPr>
              <w:t>2021</w:t>
            </w:r>
            <w:r w:rsidRPr="00490741">
              <w:rPr>
                <w:rFonts w:asciiTheme="minorEastAsia" w:eastAsiaTheme="minorEastAsia" w:hAnsiTheme="minorEastAsia"/>
                <w:color w:val="000000" w:themeColor="text1"/>
              </w:rPr>
              <w:t>年第</w:t>
            </w:r>
            <w:r w:rsidRPr="00490741">
              <w:rPr>
                <w:rFonts w:asciiTheme="minorEastAsia" w:eastAsiaTheme="minorEastAsia" w:hAnsiTheme="minorEastAsia"/>
                <w:color w:val="000000" w:themeColor="text1"/>
              </w:rPr>
              <w:t>2</w:t>
            </w:r>
            <w:r w:rsidRPr="00490741">
              <w:rPr>
                <w:rFonts w:asciiTheme="minorEastAsia" w:eastAsiaTheme="minorEastAsia" w:hAnsiTheme="minorEastAsia"/>
                <w:color w:val="000000" w:themeColor="text1"/>
              </w:rPr>
              <w:t>季度报告提示性公告</w:t>
            </w:r>
          </w:p>
        </w:tc>
        <w:tc>
          <w:tcPr>
            <w:tcW w:w="179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2021-07-20</w:t>
            </w:r>
          </w:p>
        </w:tc>
      </w:tr>
      <w:tr>
        <w:tblPrEx>
          <w:tblW w:w="8423" w:type="dxa"/>
          <w:tblLayout w:type="fixed"/>
          <w:tblLook w:val="04A0"/>
        </w:tblPrEx>
        <w:tc>
          <w:tcPr>
            <w:tcW w:w="6629" w:type="dxa"/>
          </w:tcPr>
          <w:p w:rsidR="00267126" w:rsidRPr="00490741">
            <w:pPr>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易方达基金管理有限公司高级管理人员变更公告</w:t>
            </w:r>
          </w:p>
        </w:tc>
        <w:tc>
          <w:tcPr>
            <w:tcW w:w="179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2021-07-24</w:t>
            </w:r>
          </w:p>
        </w:tc>
      </w:tr>
      <w:tr>
        <w:tblPrEx>
          <w:tblW w:w="8423" w:type="dxa"/>
          <w:tblLayout w:type="fixed"/>
          <w:tblLook w:val="04A0"/>
        </w:tblPrEx>
        <w:tc>
          <w:tcPr>
            <w:tcW w:w="6629" w:type="dxa"/>
          </w:tcPr>
          <w:p w:rsidR="00267126" w:rsidRPr="00490741">
            <w:pPr>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易方达基金管理有限公司高级管理人员变更公告</w:t>
            </w:r>
          </w:p>
        </w:tc>
        <w:tc>
          <w:tcPr>
            <w:tcW w:w="179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2021-07-24</w:t>
            </w:r>
          </w:p>
        </w:tc>
      </w:tr>
      <w:tr>
        <w:tblPrEx>
          <w:tblW w:w="8423" w:type="dxa"/>
          <w:tblLayout w:type="fixed"/>
          <w:tblLook w:val="04A0"/>
        </w:tblPrEx>
        <w:tc>
          <w:tcPr>
            <w:tcW w:w="6629" w:type="dxa"/>
          </w:tcPr>
          <w:p w:rsidR="00267126" w:rsidRPr="00490741">
            <w:pPr>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易方达基金管理有限公司关于南京分公司营业场所变更的公告</w:t>
            </w:r>
          </w:p>
        </w:tc>
        <w:tc>
          <w:tcPr>
            <w:tcW w:w="179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2021-07-28</w:t>
            </w:r>
          </w:p>
        </w:tc>
      </w:tr>
      <w:tr>
        <w:tblPrEx>
          <w:tblW w:w="8423" w:type="dxa"/>
          <w:tblLayout w:type="fixed"/>
          <w:tblLook w:val="04A0"/>
        </w:tblPrEx>
        <w:tc>
          <w:tcPr>
            <w:tcW w:w="6629" w:type="dxa"/>
          </w:tcPr>
          <w:p w:rsidR="00267126" w:rsidRPr="00490741">
            <w:pPr>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易方达基金管理有限公司高级管理人员变更公告</w:t>
            </w:r>
          </w:p>
        </w:tc>
        <w:tc>
          <w:tcPr>
            <w:tcW w:w="179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2021-07-30</w:t>
            </w:r>
          </w:p>
        </w:tc>
      </w:tr>
      <w:tr>
        <w:tblPrEx>
          <w:tblW w:w="8423" w:type="dxa"/>
          <w:tblLayout w:type="fixed"/>
          <w:tblLook w:val="04A0"/>
        </w:tblPrEx>
        <w:tc>
          <w:tcPr>
            <w:tcW w:w="6629" w:type="dxa"/>
          </w:tcPr>
          <w:p w:rsidR="00267126" w:rsidRPr="00490741">
            <w:pPr>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易方达基金管理有限公司旗下基金</w:t>
            </w:r>
            <w:r w:rsidRPr="00490741">
              <w:rPr>
                <w:rFonts w:asciiTheme="minorEastAsia" w:eastAsiaTheme="minorEastAsia" w:hAnsiTheme="minorEastAsia"/>
                <w:color w:val="000000" w:themeColor="text1"/>
              </w:rPr>
              <w:t>2021</w:t>
            </w:r>
            <w:r w:rsidRPr="00490741">
              <w:rPr>
                <w:rFonts w:asciiTheme="minorEastAsia" w:eastAsiaTheme="minorEastAsia" w:hAnsiTheme="minorEastAsia"/>
                <w:color w:val="000000" w:themeColor="text1"/>
              </w:rPr>
              <w:t>年中期报告提示性公告</w:t>
            </w:r>
          </w:p>
        </w:tc>
        <w:tc>
          <w:tcPr>
            <w:tcW w:w="179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2021-08-28</w:t>
            </w:r>
          </w:p>
        </w:tc>
      </w:tr>
      <w:tr>
        <w:tblPrEx>
          <w:tblW w:w="8423" w:type="dxa"/>
          <w:tblLayout w:type="fixed"/>
          <w:tblLook w:val="04A0"/>
        </w:tblPrEx>
        <w:tc>
          <w:tcPr>
            <w:tcW w:w="6629" w:type="dxa"/>
          </w:tcPr>
          <w:p w:rsidR="00267126" w:rsidRPr="00490741">
            <w:pPr>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易方达基金管理有限公司旗下基金</w:t>
            </w:r>
            <w:r w:rsidRPr="00490741">
              <w:rPr>
                <w:rFonts w:asciiTheme="minorEastAsia" w:eastAsiaTheme="minorEastAsia" w:hAnsiTheme="minorEastAsia"/>
                <w:color w:val="000000" w:themeColor="text1"/>
              </w:rPr>
              <w:t>2021</w:t>
            </w:r>
            <w:r w:rsidRPr="00490741">
              <w:rPr>
                <w:rFonts w:asciiTheme="minorEastAsia" w:eastAsiaTheme="minorEastAsia" w:hAnsiTheme="minorEastAsia"/>
                <w:color w:val="000000" w:themeColor="text1"/>
              </w:rPr>
              <w:t>年第</w:t>
            </w:r>
            <w:r w:rsidRPr="00490741">
              <w:rPr>
                <w:rFonts w:asciiTheme="minorEastAsia" w:eastAsiaTheme="minorEastAsia" w:hAnsiTheme="minorEastAsia"/>
                <w:color w:val="000000" w:themeColor="text1"/>
              </w:rPr>
              <w:t>3</w:t>
            </w:r>
            <w:r w:rsidRPr="00490741">
              <w:rPr>
                <w:rFonts w:asciiTheme="minorEastAsia" w:eastAsiaTheme="minorEastAsia" w:hAnsiTheme="minorEastAsia"/>
                <w:color w:val="000000" w:themeColor="text1"/>
              </w:rPr>
              <w:t>季度报告提示性公告</w:t>
            </w:r>
          </w:p>
        </w:tc>
        <w:tc>
          <w:tcPr>
            <w:tcW w:w="179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2021-10-27</w:t>
            </w:r>
          </w:p>
        </w:tc>
      </w:tr>
      <w:tr>
        <w:tblPrEx>
          <w:tblW w:w="8423" w:type="dxa"/>
          <w:tblLayout w:type="fixed"/>
          <w:tblLook w:val="04A0"/>
        </w:tblPrEx>
        <w:tc>
          <w:tcPr>
            <w:tcW w:w="6629" w:type="dxa"/>
          </w:tcPr>
          <w:p w:rsidR="00267126" w:rsidRPr="00490741">
            <w:pPr>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易方达基金管理有限公司关于旗下部分公开募集证券投资基金可投资于北京证券交易所股票的公告</w:t>
            </w:r>
          </w:p>
        </w:tc>
        <w:tc>
          <w:tcPr>
            <w:tcW w:w="179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2021-11-15</w:t>
            </w:r>
          </w:p>
        </w:tc>
      </w:tr>
      <w:tr>
        <w:tblPrEx>
          <w:tblW w:w="8423" w:type="dxa"/>
          <w:tblLayout w:type="fixed"/>
          <w:tblLook w:val="04A0"/>
        </w:tblPrEx>
        <w:tc>
          <w:tcPr>
            <w:tcW w:w="6629" w:type="dxa"/>
          </w:tcPr>
          <w:p w:rsidR="00267126" w:rsidRPr="00490741">
            <w:pPr>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易方达价值精选混合型证券投资基金暂停机构客户申购、转换转入及定期定额投资业务的公告</w:t>
            </w:r>
          </w:p>
        </w:tc>
        <w:tc>
          <w:tcPr>
            <w:tcW w:w="179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2021-12-07</w:t>
            </w:r>
          </w:p>
        </w:tc>
      </w:tr>
      <w:tr>
        <w:tblPrEx>
          <w:tblW w:w="8423" w:type="dxa"/>
          <w:tblLayout w:type="fixed"/>
          <w:tblLook w:val="04A0"/>
        </w:tblPrEx>
        <w:tc>
          <w:tcPr>
            <w:tcW w:w="6629" w:type="dxa"/>
          </w:tcPr>
          <w:p w:rsidR="00267126" w:rsidRPr="00490741">
            <w:pPr>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易方达价值精选混合型证券投资基金分红公告</w:t>
            </w:r>
          </w:p>
        </w:tc>
        <w:tc>
          <w:tcPr>
            <w:tcW w:w="179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2021-12-08</w:t>
            </w:r>
          </w:p>
        </w:tc>
      </w:tr>
      <w:tr>
        <w:tblPrEx>
          <w:tblW w:w="8423" w:type="dxa"/>
          <w:tblLayout w:type="fixed"/>
          <w:tblLook w:val="04A0"/>
        </w:tblPrEx>
        <w:tc>
          <w:tcPr>
            <w:tcW w:w="6629" w:type="dxa"/>
          </w:tcPr>
          <w:p w:rsidR="00267126" w:rsidRPr="00490741">
            <w:pPr>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易方达价值精选混合型证券投资基金恢复机构客户申购、转换转入及定期定额投资业务的公告</w:t>
            </w:r>
          </w:p>
        </w:tc>
        <w:tc>
          <w:tcPr>
            <w:tcW w:w="179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2021-12-09</w:t>
            </w:r>
          </w:p>
        </w:tc>
      </w:tr>
      <w:tr>
        <w:tblPrEx>
          <w:tblW w:w="8423" w:type="dxa"/>
          <w:tblLayout w:type="fixed"/>
          <w:tblLook w:val="04A0"/>
        </w:tblPrEx>
        <w:tc>
          <w:tcPr>
            <w:tcW w:w="6629" w:type="dxa"/>
          </w:tcPr>
          <w:p w:rsidR="00267126" w:rsidRPr="00490741">
            <w:pPr>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易方达基金管理有限公司关于暂停北京钱景基金销售有限公司办理旗下基金相关销售业务的公告</w:t>
            </w:r>
          </w:p>
        </w:tc>
        <w:tc>
          <w:tcPr>
            <w:tcW w:w="179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2021-12-10</w:t>
            </w:r>
          </w:p>
        </w:tc>
      </w:tr>
      <w:tr>
        <w:tblPrEx>
          <w:tblW w:w="8423" w:type="dxa"/>
          <w:tblLayout w:type="fixed"/>
          <w:tblLook w:val="04A0"/>
        </w:tblPrEx>
        <w:tc>
          <w:tcPr>
            <w:tcW w:w="6629" w:type="dxa"/>
          </w:tcPr>
          <w:p w:rsidR="00267126" w:rsidRPr="00490741">
            <w:pPr>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易方达基金管理有限公司关于成都分公司营业场所变更的公告</w:t>
            </w:r>
          </w:p>
        </w:tc>
        <w:tc>
          <w:tcPr>
            <w:tcW w:w="179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2021-12-17</w:t>
            </w:r>
          </w:p>
        </w:tc>
      </w:tr>
      <w:tr>
        <w:tblPrEx>
          <w:tblW w:w="8423" w:type="dxa"/>
          <w:tblLayout w:type="fixed"/>
          <w:tblLook w:val="04A0"/>
        </w:tblPrEx>
        <w:tc>
          <w:tcPr>
            <w:tcW w:w="6629" w:type="dxa"/>
          </w:tcPr>
          <w:p w:rsidR="00267126" w:rsidRPr="00490741">
            <w:pPr>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易方达基金管理有限公司关于旗下公开募集证券投资基金执行新金融工具相关会计准则的公告</w:t>
            </w:r>
          </w:p>
        </w:tc>
        <w:tc>
          <w:tcPr>
            <w:tcW w:w="179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2022-01-01</w:t>
            </w:r>
          </w:p>
        </w:tc>
      </w:tr>
      <w:tr>
        <w:tblPrEx>
          <w:tblW w:w="8423" w:type="dxa"/>
          <w:tblLayout w:type="fixed"/>
          <w:tblLook w:val="04A0"/>
        </w:tblPrEx>
        <w:tc>
          <w:tcPr>
            <w:tcW w:w="6629" w:type="dxa"/>
          </w:tcPr>
          <w:p w:rsidR="00267126" w:rsidRPr="00490741">
            <w:pPr>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易方达基金管理有限公司关于公司住所变更的公告</w:t>
            </w:r>
          </w:p>
        </w:tc>
        <w:tc>
          <w:tcPr>
            <w:tcW w:w="179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2022-01-07</w:t>
            </w:r>
          </w:p>
        </w:tc>
      </w:tr>
      <w:tr>
        <w:tblPrEx>
          <w:tblW w:w="8423" w:type="dxa"/>
          <w:tblLayout w:type="fixed"/>
          <w:tblLook w:val="04A0"/>
        </w:tblPrEx>
        <w:tc>
          <w:tcPr>
            <w:tcW w:w="6629" w:type="dxa"/>
          </w:tcPr>
          <w:p w:rsidR="00267126" w:rsidRPr="00490741">
            <w:pPr>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易方达价值精选混合型证券投资基金暂停机构客户申购、转换转入及定期定额投资业务的公告</w:t>
            </w:r>
          </w:p>
        </w:tc>
        <w:tc>
          <w:tcPr>
            <w:tcW w:w="179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2022-01-19</w:t>
            </w:r>
          </w:p>
        </w:tc>
      </w:tr>
      <w:tr>
        <w:tblPrEx>
          <w:tblW w:w="8423" w:type="dxa"/>
          <w:tblLayout w:type="fixed"/>
          <w:tblLook w:val="04A0"/>
        </w:tblPrEx>
        <w:tc>
          <w:tcPr>
            <w:tcW w:w="6629" w:type="dxa"/>
          </w:tcPr>
          <w:p w:rsidR="00267126" w:rsidRPr="00490741">
            <w:pPr>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易方达价值精选混合型证券投资基金分红公告</w:t>
            </w:r>
          </w:p>
        </w:tc>
        <w:tc>
          <w:tcPr>
            <w:tcW w:w="179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2022-01-20</w:t>
            </w:r>
          </w:p>
        </w:tc>
      </w:tr>
      <w:tr>
        <w:tblPrEx>
          <w:tblW w:w="8423" w:type="dxa"/>
          <w:tblLayout w:type="fixed"/>
          <w:tblLook w:val="04A0"/>
        </w:tblPrEx>
        <w:tc>
          <w:tcPr>
            <w:tcW w:w="6629" w:type="dxa"/>
          </w:tcPr>
          <w:p w:rsidR="00267126" w:rsidRPr="00490741">
            <w:pPr>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易方达价值精选混合型证券投资基金恢复机构客户申购、转换转入及定期定额投资业务的公告</w:t>
            </w:r>
          </w:p>
        </w:tc>
        <w:tc>
          <w:tcPr>
            <w:tcW w:w="179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2022-01-21</w:t>
            </w:r>
          </w:p>
        </w:tc>
      </w:tr>
      <w:tr>
        <w:tblPrEx>
          <w:tblW w:w="8423" w:type="dxa"/>
          <w:tblLayout w:type="fixed"/>
          <w:tblLook w:val="04A0"/>
        </w:tblPrEx>
        <w:tc>
          <w:tcPr>
            <w:tcW w:w="6629" w:type="dxa"/>
          </w:tcPr>
          <w:p w:rsidR="00267126" w:rsidRPr="00490741">
            <w:pPr>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易方达基金管理有限公司关于旗下基金申购江阴标榜汽车部件股份有限公司首次公开发行股票的公告</w:t>
            </w:r>
          </w:p>
        </w:tc>
        <w:tc>
          <w:tcPr>
            <w:tcW w:w="179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2022-02-12</w:t>
            </w:r>
          </w:p>
        </w:tc>
      </w:tr>
      <w:tr>
        <w:tblPrEx>
          <w:tblW w:w="8423" w:type="dxa"/>
          <w:tblLayout w:type="fixed"/>
          <w:tblLook w:val="04A0"/>
        </w:tblPrEx>
        <w:tc>
          <w:tcPr>
            <w:tcW w:w="6629" w:type="dxa"/>
          </w:tcPr>
          <w:p w:rsidR="00267126" w:rsidRPr="00490741">
            <w:pPr>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易方达价值精选混合型证券投资基金暂停机构客户申购、转换转入及定期定额投资业务的公告</w:t>
            </w:r>
          </w:p>
        </w:tc>
        <w:tc>
          <w:tcPr>
            <w:tcW w:w="179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2022-02-15</w:t>
            </w:r>
          </w:p>
        </w:tc>
      </w:tr>
      <w:tr>
        <w:tblPrEx>
          <w:tblW w:w="8423" w:type="dxa"/>
          <w:tblLayout w:type="fixed"/>
          <w:tblLook w:val="04A0"/>
        </w:tblPrEx>
        <w:tc>
          <w:tcPr>
            <w:tcW w:w="6629" w:type="dxa"/>
          </w:tcPr>
          <w:p w:rsidR="00267126" w:rsidRPr="00490741">
            <w:pPr>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易方达价值精选混合型证券投资基金分红公告</w:t>
            </w:r>
          </w:p>
        </w:tc>
        <w:tc>
          <w:tcPr>
            <w:tcW w:w="1794" w:type="dxa"/>
          </w:tcPr>
          <w:p w:rsidR="00267126" w:rsidRPr="00490741">
            <w:pPr>
              <w:jc w:val="center"/>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2022-02-16</w:t>
            </w:r>
          </w:p>
        </w:tc>
      </w:tr>
    </w:tbl>
    <w:p w:rsidR="00263F25" w:rsidRPr="00490741" w:rsidP="00263F25">
      <w:pPr>
        <w:widowControl/>
        <w:snapToGrid w:val="0"/>
        <w:spacing w:line="360" w:lineRule="auto"/>
        <w:jc w:val="lef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注：以上公告事项披露在规定媒介及基金管理人网站上。</w:t>
      </w:r>
    </w:p>
    <w:p w:rsidR="00535526" w:rsidRPr="00490741" w:rsidP="00107648">
      <w:pPr>
        <w:widowControl/>
        <w:snapToGrid w:val="0"/>
        <w:spacing w:line="360" w:lineRule="auto"/>
        <w:jc w:val="left"/>
        <w:rPr>
          <w:rFonts w:asciiTheme="minorEastAsia" w:eastAsiaTheme="minorEastAsia" w:hAnsiTheme="minorEastAsia"/>
          <w:color w:val="000000" w:themeColor="text1"/>
        </w:rPr>
      </w:pPr>
    </w:p>
    <w:p w:rsidR="00535526" w:rsidRPr="00490741" w:rsidP="00107648">
      <w:pPr>
        <w:widowControl/>
        <w:snapToGrid w:val="0"/>
        <w:spacing w:line="360" w:lineRule="auto"/>
        <w:jc w:val="left"/>
        <w:rPr>
          <w:rFonts w:asciiTheme="minorEastAsia" w:eastAsiaTheme="minorEastAsia" w:hAnsiTheme="minorEastAsia"/>
          <w:color w:val="000000" w:themeColor="text1"/>
        </w:rPr>
      </w:pPr>
    </w:p>
    <w:p w:rsidR="003920FC" w:rsidRPr="00490741" w:rsidP="00107648">
      <w:pPr>
        <w:widowControl/>
        <w:snapToGrid w:val="0"/>
        <w:spacing w:line="360" w:lineRule="auto"/>
        <w:jc w:val="left"/>
        <w:rPr>
          <w:rFonts w:asciiTheme="minorEastAsia" w:eastAsiaTheme="minorEastAsia" w:hAnsiTheme="minorEastAsia"/>
          <w:color w:val="000000" w:themeColor="text1"/>
          <w:kern w:val="0"/>
          <w:szCs w:val="21"/>
        </w:rPr>
        <w:sectPr w:rsidSect="0035472D">
          <w:pgSz w:w="11906" w:h="16838" w:code="9"/>
          <w:pgMar w:top="1440" w:right="1800" w:bottom="1440" w:left="1800" w:header="851" w:footer="992" w:gutter="0"/>
          <w:cols w:space="425"/>
          <w:docGrid w:type="lines" w:linePitch="312"/>
        </w:sectPr>
      </w:pPr>
    </w:p>
    <w:p w:rsidR="0002608C" w:rsidRPr="00490741" w:rsidP="00107648">
      <w:pPr>
        <w:pStyle w:val="Heading1"/>
        <w:snapToGrid w:val="0"/>
        <w:spacing w:beforeLines="0" w:afterLines="0" w:line="360" w:lineRule="auto"/>
        <w:ind w:firstLine="643"/>
        <w:rPr>
          <w:rFonts w:asciiTheme="minorEastAsia" w:eastAsiaTheme="minorEastAsia" w:hAnsiTheme="minorEastAsia"/>
          <w:bCs/>
          <w:color w:val="000000" w:themeColor="text1"/>
        </w:rPr>
      </w:pPr>
      <w:bookmarkStart w:id="1967" w:name="_Toc38438350"/>
      <w:bookmarkStart w:id="1968" w:name="_Toc38438687"/>
      <w:bookmarkStart w:id="1969" w:name="_Toc38439024"/>
      <w:bookmarkStart w:id="1970" w:name="_Toc38439361"/>
      <w:bookmarkStart w:id="1971" w:name="_Toc38439698"/>
      <w:bookmarkStart w:id="1972" w:name="_Toc38440035"/>
      <w:bookmarkStart w:id="1973" w:name="_Toc38440372"/>
      <w:bookmarkStart w:id="1974" w:name="_Toc38440904"/>
      <w:bookmarkStart w:id="1975" w:name="_Toc38441236"/>
      <w:bookmarkStart w:id="1976" w:name="_Toc38441568"/>
      <w:bookmarkStart w:id="1977" w:name="_Toc38441896"/>
      <w:bookmarkStart w:id="1978" w:name="_Toc38442228"/>
      <w:bookmarkStart w:id="1979" w:name="_Toc38442560"/>
      <w:bookmarkStart w:id="1980" w:name="_Toc38442891"/>
      <w:bookmarkStart w:id="1981" w:name="_Toc38443222"/>
      <w:bookmarkStart w:id="1982" w:name="_Toc38443553"/>
      <w:bookmarkStart w:id="1983" w:name="_Toc38443883"/>
      <w:bookmarkStart w:id="1984" w:name="_Toc38438351"/>
      <w:bookmarkStart w:id="1985" w:name="_Toc38438688"/>
      <w:bookmarkStart w:id="1986" w:name="_Toc38439025"/>
      <w:bookmarkStart w:id="1987" w:name="_Toc38439362"/>
      <w:bookmarkStart w:id="1988" w:name="_Toc38439699"/>
      <w:bookmarkStart w:id="1989" w:name="_Toc38440036"/>
      <w:bookmarkStart w:id="1990" w:name="_Toc38440373"/>
      <w:bookmarkStart w:id="1991" w:name="_Toc38440905"/>
      <w:bookmarkStart w:id="1992" w:name="_Toc38441237"/>
      <w:bookmarkStart w:id="1993" w:name="_Toc38441569"/>
      <w:bookmarkStart w:id="1994" w:name="_Toc38441897"/>
      <w:bookmarkStart w:id="1995" w:name="_Toc38442229"/>
      <w:bookmarkStart w:id="1996" w:name="_Toc38442561"/>
      <w:bookmarkStart w:id="1997" w:name="_Toc38442892"/>
      <w:bookmarkStart w:id="1998" w:name="_Toc38443223"/>
      <w:bookmarkStart w:id="1999" w:name="_Toc38443554"/>
      <w:bookmarkStart w:id="2000" w:name="_Toc38443884"/>
      <w:bookmarkStart w:id="2001" w:name="_Toc38438352"/>
      <w:bookmarkStart w:id="2002" w:name="_Toc38438689"/>
      <w:bookmarkStart w:id="2003" w:name="_Toc38439026"/>
      <w:bookmarkStart w:id="2004" w:name="_Toc38439363"/>
      <w:bookmarkStart w:id="2005" w:name="_Toc38439700"/>
      <w:bookmarkStart w:id="2006" w:name="_Toc38440037"/>
      <w:bookmarkStart w:id="2007" w:name="_Toc38440374"/>
      <w:bookmarkStart w:id="2008" w:name="_Toc38440906"/>
      <w:bookmarkStart w:id="2009" w:name="_Toc38441238"/>
      <w:bookmarkStart w:id="2010" w:name="_Toc38441570"/>
      <w:bookmarkStart w:id="2011" w:name="_Toc38441898"/>
      <w:bookmarkStart w:id="2012" w:name="_Toc38442230"/>
      <w:bookmarkStart w:id="2013" w:name="_Toc38442562"/>
      <w:bookmarkStart w:id="2014" w:name="_Toc38442893"/>
      <w:bookmarkStart w:id="2015" w:name="_Toc38443224"/>
      <w:bookmarkStart w:id="2016" w:name="_Toc38443555"/>
      <w:bookmarkStart w:id="2017" w:name="_Toc38443885"/>
      <w:bookmarkStart w:id="2018" w:name="_Toc38438353"/>
      <w:bookmarkStart w:id="2019" w:name="_Toc38438690"/>
      <w:bookmarkStart w:id="2020" w:name="_Toc38439027"/>
      <w:bookmarkStart w:id="2021" w:name="_Toc38439364"/>
      <w:bookmarkStart w:id="2022" w:name="_Toc38439701"/>
      <w:bookmarkStart w:id="2023" w:name="_Toc38440038"/>
      <w:bookmarkStart w:id="2024" w:name="_Toc38440375"/>
      <w:bookmarkStart w:id="2025" w:name="_Toc38440907"/>
      <w:bookmarkStart w:id="2026" w:name="_Toc38441239"/>
      <w:bookmarkStart w:id="2027" w:name="_Toc38441571"/>
      <w:bookmarkStart w:id="2028" w:name="_Toc38441899"/>
      <w:bookmarkStart w:id="2029" w:name="_Toc38442231"/>
      <w:bookmarkStart w:id="2030" w:name="_Toc38442563"/>
      <w:bookmarkStart w:id="2031" w:name="_Toc38442894"/>
      <w:bookmarkStart w:id="2032" w:name="_Toc38443225"/>
      <w:bookmarkStart w:id="2033" w:name="_Toc38443556"/>
      <w:bookmarkStart w:id="2034" w:name="_Toc38443886"/>
      <w:bookmarkStart w:id="2035" w:name="_Toc38438354"/>
      <w:bookmarkStart w:id="2036" w:name="_Toc38438691"/>
      <w:bookmarkStart w:id="2037" w:name="_Toc38439028"/>
      <w:bookmarkStart w:id="2038" w:name="_Toc38439365"/>
      <w:bookmarkStart w:id="2039" w:name="_Toc38439702"/>
      <w:bookmarkStart w:id="2040" w:name="_Toc38440039"/>
      <w:bookmarkStart w:id="2041" w:name="_Toc38440376"/>
      <w:bookmarkStart w:id="2042" w:name="_Toc38440908"/>
      <w:bookmarkStart w:id="2043" w:name="_Toc38441240"/>
      <w:bookmarkStart w:id="2044" w:name="_Toc38441572"/>
      <w:bookmarkStart w:id="2045" w:name="_Toc38441900"/>
      <w:bookmarkStart w:id="2046" w:name="_Toc38442232"/>
      <w:bookmarkStart w:id="2047" w:name="_Toc38442564"/>
      <w:bookmarkStart w:id="2048" w:name="_Toc38442895"/>
      <w:bookmarkStart w:id="2049" w:name="_Toc38443226"/>
      <w:bookmarkStart w:id="2050" w:name="_Toc38443557"/>
      <w:bookmarkStart w:id="2051" w:name="_Toc38443887"/>
      <w:bookmarkStart w:id="2052" w:name="_Toc38438355"/>
      <w:bookmarkStart w:id="2053" w:name="_Toc38438692"/>
      <w:bookmarkStart w:id="2054" w:name="_Toc38439029"/>
      <w:bookmarkStart w:id="2055" w:name="_Toc38439366"/>
      <w:bookmarkStart w:id="2056" w:name="_Toc38439703"/>
      <w:bookmarkStart w:id="2057" w:name="_Toc38440040"/>
      <w:bookmarkStart w:id="2058" w:name="_Toc38440377"/>
      <w:bookmarkStart w:id="2059" w:name="_Toc38440909"/>
      <w:bookmarkStart w:id="2060" w:name="_Toc38441241"/>
      <w:bookmarkStart w:id="2061" w:name="_Toc38441573"/>
      <w:bookmarkStart w:id="2062" w:name="_Toc38441901"/>
      <w:bookmarkStart w:id="2063" w:name="_Toc38442233"/>
      <w:bookmarkStart w:id="2064" w:name="_Toc38442565"/>
      <w:bookmarkStart w:id="2065" w:name="_Toc38442896"/>
      <w:bookmarkStart w:id="2066" w:name="_Toc38443227"/>
      <w:bookmarkStart w:id="2067" w:name="_Toc38443558"/>
      <w:bookmarkStart w:id="2068" w:name="_Toc38443888"/>
      <w:bookmarkStart w:id="2069" w:name="_Toc38438356"/>
      <w:bookmarkStart w:id="2070" w:name="_Toc38438693"/>
      <w:bookmarkStart w:id="2071" w:name="_Toc38439030"/>
      <w:bookmarkStart w:id="2072" w:name="_Toc38439367"/>
      <w:bookmarkStart w:id="2073" w:name="_Toc38439704"/>
      <w:bookmarkStart w:id="2074" w:name="_Toc38440041"/>
      <w:bookmarkStart w:id="2075" w:name="_Toc38440378"/>
      <w:bookmarkStart w:id="2076" w:name="_Toc38440910"/>
      <w:bookmarkStart w:id="2077" w:name="_Toc38441242"/>
      <w:bookmarkStart w:id="2078" w:name="_Toc38441574"/>
      <w:bookmarkStart w:id="2079" w:name="_Toc38441902"/>
      <w:bookmarkStart w:id="2080" w:name="_Toc38442234"/>
      <w:bookmarkStart w:id="2081" w:name="_Toc38442566"/>
      <w:bookmarkStart w:id="2082" w:name="_Toc38442897"/>
      <w:bookmarkStart w:id="2083" w:name="_Toc38443228"/>
      <w:bookmarkStart w:id="2084" w:name="_Toc38443559"/>
      <w:bookmarkStart w:id="2085" w:name="_Toc38443889"/>
      <w:bookmarkStart w:id="2086" w:name="_Toc38438357"/>
      <w:bookmarkStart w:id="2087" w:name="_Toc38438694"/>
      <w:bookmarkStart w:id="2088" w:name="_Toc38439031"/>
      <w:bookmarkStart w:id="2089" w:name="_Toc38439368"/>
      <w:bookmarkStart w:id="2090" w:name="_Toc38439705"/>
      <w:bookmarkStart w:id="2091" w:name="_Toc38440042"/>
      <w:bookmarkStart w:id="2092" w:name="_Toc38440379"/>
      <w:bookmarkStart w:id="2093" w:name="_Toc38440911"/>
      <w:bookmarkStart w:id="2094" w:name="_Toc38441243"/>
      <w:bookmarkStart w:id="2095" w:name="_Toc38441575"/>
      <w:bookmarkStart w:id="2096" w:name="_Toc38441903"/>
      <w:bookmarkStart w:id="2097" w:name="_Toc38442235"/>
      <w:bookmarkStart w:id="2098" w:name="_Toc38442567"/>
      <w:bookmarkStart w:id="2099" w:name="_Toc38442898"/>
      <w:bookmarkStart w:id="2100" w:name="_Toc38443229"/>
      <w:bookmarkStart w:id="2101" w:name="_Toc38443560"/>
      <w:bookmarkStart w:id="2102" w:name="_Toc38443890"/>
      <w:bookmarkStart w:id="2103" w:name="_Toc38438358"/>
      <w:bookmarkStart w:id="2104" w:name="_Toc38438695"/>
      <w:bookmarkStart w:id="2105" w:name="_Toc38439032"/>
      <w:bookmarkStart w:id="2106" w:name="_Toc38439369"/>
      <w:bookmarkStart w:id="2107" w:name="_Toc38439706"/>
      <w:bookmarkStart w:id="2108" w:name="_Toc38440043"/>
      <w:bookmarkStart w:id="2109" w:name="_Toc38440380"/>
      <w:bookmarkStart w:id="2110" w:name="_Toc38440912"/>
      <w:bookmarkStart w:id="2111" w:name="_Toc38441244"/>
      <w:bookmarkStart w:id="2112" w:name="_Toc38441576"/>
      <w:bookmarkStart w:id="2113" w:name="_Toc38441904"/>
      <w:bookmarkStart w:id="2114" w:name="_Toc38442236"/>
      <w:bookmarkStart w:id="2115" w:name="_Toc38442568"/>
      <w:bookmarkStart w:id="2116" w:name="_Toc38442899"/>
      <w:bookmarkStart w:id="2117" w:name="_Toc38443230"/>
      <w:bookmarkStart w:id="2118" w:name="_Toc38443561"/>
      <w:bookmarkStart w:id="2119" w:name="_Toc38443891"/>
      <w:bookmarkStart w:id="2120" w:name="_Toc38438359"/>
      <w:bookmarkStart w:id="2121" w:name="_Toc38438696"/>
      <w:bookmarkStart w:id="2122" w:name="_Toc38439033"/>
      <w:bookmarkStart w:id="2123" w:name="_Toc38439370"/>
      <w:bookmarkStart w:id="2124" w:name="_Toc38439707"/>
      <w:bookmarkStart w:id="2125" w:name="_Toc38440044"/>
      <w:bookmarkStart w:id="2126" w:name="_Toc38440381"/>
      <w:bookmarkStart w:id="2127" w:name="_Toc38440913"/>
      <w:bookmarkStart w:id="2128" w:name="_Toc38441245"/>
      <w:bookmarkStart w:id="2129" w:name="_Toc38441577"/>
      <w:bookmarkStart w:id="2130" w:name="_Toc38441905"/>
      <w:bookmarkStart w:id="2131" w:name="_Toc38442237"/>
      <w:bookmarkStart w:id="2132" w:name="_Toc38442569"/>
      <w:bookmarkStart w:id="2133" w:name="_Toc38442900"/>
      <w:bookmarkStart w:id="2134" w:name="_Toc38443231"/>
      <w:bookmarkStart w:id="2135" w:name="_Toc38443562"/>
      <w:bookmarkStart w:id="2136" w:name="_Toc38443892"/>
      <w:bookmarkStart w:id="2137" w:name="_Toc38438360"/>
      <w:bookmarkStart w:id="2138" w:name="_Toc38438697"/>
      <w:bookmarkStart w:id="2139" w:name="_Toc38439034"/>
      <w:bookmarkStart w:id="2140" w:name="_Toc38439371"/>
      <w:bookmarkStart w:id="2141" w:name="_Toc38439708"/>
      <w:bookmarkStart w:id="2142" w:name="_Toc38440045"/>
      <w:bookmarkStart w:id="2143" w:name="_Toc38440382"/>
      <w:bookmarkStart w:id="2144" w:name="_Toc38440914"/>
      <w:bookmarkStart w:id="2145" w:name="_Toc38441246"/>
      <w:bookmarkStart w:id="2146" w:name="_Toc38441578"/>
      <w:bookmarkStart w:id="2147" w:name="_Toc38441906"/>
      <w:bookmarkStart w:id="2148" w:name="_Toc38442238"/>
      <w:bookmarkStart w:id="2149" w:name="_Toc38442570"/>
      <w:bookmarkStart w:id="2150" w:name="_Toc38442901"/>
      <w:bookmarkStart w:id="2151" w:name="_Toc38443232"/>
      <w:bookmarkStart w:id="2152" w:name="_Toc38443563"/>
      <w:bookmarkStart w:id="2153" w:name="_Toc38443893"/>
      <w:bookmarkStart w:id="2154" w:name="_Toc38438361"/>
      <w:bookmarkStart w:id="2155" w:name="_Toc38438698"/>
      <w:bookmarkStart w:id="2156" w:name="_Toc38439035"/>
      <w:bookmarkStart w:id="2157" w:name="_Toc38439372"/>
      <w:bookmarkStart w:id="2158" w:name="_Toc38439709"/>
      <w:bookmarkStart w:id="2159" w:name="_Toc38440046"/>
      <w:bookmarkStart w:id="2160" w:name="_Toc38440383"/>
      <w:bookmarkStart w:id="2161" w:name="_Toc38440915"/>
      <w:bookmarkStart w:id="2162" w:name="_Toc38441247"/>
      <w:bookmarkStart w:id="2163" w:name="_Toc38441579"/>
      <w:bookmarkStart w:id="2164" w:name="_Toc38441907"/>
      <w:bookmarkStart w:id="2165" w:name="_Toc38442239"/>
      <w:bookmarkStart w:id="2166" w:name="_Toc38442571"/>
      <w:bookmarkStart w:id="2167" w:name="_Toc38442902"/>
      <w:bookmarkStart w:id="2168" w:name="_Toc38443233"/>
      <w:bookmarkStart w:id="2169" w:name="_Toc38443564"/>
      <w:bookmarkStart w:id="2170" w:name="_Toc38443894"/>
      <w:bookmarkStart w:id="2171" w:name="_Toc38438362"/>
      <w:bookmarkStart w:id="2172" w:name="_Toc38438699"/>
      <w:bookmarkStart w:id="2173" w:name="_Toc38439036"/>
      <w:bookmarkStart w:id="2174" w:name="_Toc38439373"/>
      <w:bookmarkStart w:id="2175" w:name="_Toc38439710"/>
      <w:bookmarkStart w:id="2176" w:name="_Toc38440047"/>
      <w:bookmarkStart w:id="2177" w:name="_Toc38440384"/>
      <w:bookmarkStart w:id="2178" w:name="_Toc38440916"/>
      <w:bookmarkStart w:id="2179" w:name="_Toc38441248"/>
      <w:bookmarkStart w:id="2180" w:name="_Toc38441580"/>
      <w:bookmarkStart w:id="2181" w:name="_Toc38441908"/>
      <w:bookmarkStart w:id="2182" w:name="_Toc38442240"/>
      <w:bookmarkStart w:id="2183" w:name="_Toc38442572"/>
      <w:bookmarkStart w:id="2184" w:name="_Toc38442903"/>
      <w:bookmarkStart w:id="2185" w:name="_Toc38443234"/>
      <w:bookmarkStart w:id="2186" w:name="_Toc38443565"/>
      <w:bookmarkStart w:id="2187" w:name="_Toc38443895"/>
      <w:bookmarkStart w:id="2188" w:name="_Toc38438363"/>
      <w:bookmarkStart w:id="2189" w:name="_Toc38438700"/>
      <w:bookmarkStart w:id="2190" w:name="_Toc38439037"/>
      <w:bookmarkStart w:id="2191" w:name="_Toc38439374"/>
      <w:bookmarkStart w:id="2192" w:name="_Toc38439711"/>
      <w:bookmarkStart w:id="2193" w:name="_Toc38440048"/>
      <w:bookmarkStart w:id="2194" w:name="_Toc38440385"/>
      <w:bookmarkStart w:id="2195" w:name="_Toc38440917"/>
      <w:bookmarkStart w:id="2196" w:name="_Toc38441249"/>
      <w:bookmarkStart w:id="2197" w:name="_Toc38441581"/>
      <w:bookmarkStart w:id="2198" w:name="_Toc38441909"/>
      <w:bookmarkStart w:id="2199" w:name="_Toc38442241"/>
      <w:bookmarkStart w:id="2200" w:name="_Toc38442573"/>
      <w:bookmarkStart w:id="2201" w:name="_Toc38442904"/>
      <w:bookmarkStart w:id="2202" w:name="_Toc38443235"/>
      <w:bookmarkStart w:id="2203" w:name="_Toc38443566"/>
      <w:bookmarkStart w:id="2204" w:name="_Toc38443896"/>
      <w:bookmarkStart w:id="2205" w:name="_Toc38438364"/>
      <w:bookmarkStart w:id="2206" w:name="_Toc38438701"/>
      <w:bookmarkStart w:id="2207" w:name="_Toc38439038"/>
      <w:bookmarkStart w:id="2208" w:name="_Toc38439375"/>
      <w:bookmarkStart w:id="2209" w:name="_Toc38439712"/>
      <w:bookmarkStart w:id="2210" w:name="_Toc38440049"/>
      <w:bookmarkStart w:id="2211" w:name="_Toc38440386"/>
      <w:bookmarkStart w:id="2212" w:name="_Toc38440918"/>
      <w:bookmarkStart w:id="2213" w:name="_Toc38441250"/>
      <w:bookmarkStart w:id="2214" w:name="_Toc38441582"/>
      <w:bookmarkStart w:id="2215" w:name="_Toc38441910"/>
      <w:bookmarkStart w:id="2216" w:name="_Toc38442242"/>
      <w:bookmarkStart w:id="2217" w:name="_Toc38442574"/>
      <w:bookmarkStart w:id="2218" w:name="_Toc38442905"/>
      <w:bookmarkStart w:id="2219" w:name="_Toc38443236"/>
      <w:bookmarkStart w:id="2220" w:name="_Toc38443567"/>
      <w:bookmarkStart w:id="2221" w:name="_Toc38443897"/>
      <w:bookmarkStart w:id="2222" w:name="_Toc38438365"/>
      <w:bookmarkStart w:id="2223" w:name="_Toc38438702"/>
      <w:bookmarkStart w:id="2224" w:name="_Toc38439039"/>
      <w:bookmarkStart w:id="2225" w:name="_Toc38439376"/>
      <w:bookmarkStart w:id="2226" w:name="_Toc38439713"/>
      <w:bookmarkStart w:id="2227" w:name="_Toc38440050"/>
      <w:bookmarkStart w:id="2228" w:name="_Toc38440387"/>
      <w:bookmarkStart w:id="2229" w:name="_Toc38440919"/>
      <w:bookmarkStart w:id="2230" w:name="_Toc38441251"/>
      <w:bookmarkStart w:id="2231" w:name="_Toc38441583"/>
      <w:bookmarkStart w:id="2232" w:name="_Toc38441911"/>
      <w:bookmarkStart w:id="2233" w:name="_Toc38442243"/>
      <w:bookmarkStart w:id="2234" w:name="_Toc38442575"/>
      <w:bookmarkStart w:id="2235" w:name="_Toc38442906"/>
      <w:bookmarkStart w:id="2236" w:name="_Toc38443237"/>
      <w:bookmarkStart w:id="2237" w:name="_Toc38443568"/>
      <w:bookmarkStart w:id="2238" w:name="_Toc38443898"/>
      <w:bookmarkStart w:id="2239" w:name="_Toc38438366"/>
      <w:bookmarkStart w:id="2240" w:name="_Toc38438703"/>
      <w:bookmarkStart w:id="2241" w:name="_Toc38439040"/>
      <w:bookmarkStart w:id="2242" w:name="_Toc38439377"/>
      <w:bookmarkStart w:id="2243" w:name="_Toc38439714"/>
      <w:bookmarkStart w:id="2244" w:name="_Toc38440051"/>
      <w:bookmarkStart w:id="2245" w:name="_Toc38440388"/>
      <w:bookmarkStart w:id="2246" w:name="_Toc38440920"/>
      <w:bookmarkStart w:id="2247" w:name="_Toc38441252"/>
      <w:bookmarkStart w:id="2248" w:name="_Toc38441584"/>
      <w:bookmarkStart w:id="2249" w:name="_Toc38441912"/>
      <w:bookmarkStart w:id="2250" w:name="_Toc38442244"/>
      <w:bookmarkStart w:id="2251" w:name="_Toc38442576"/>
      <w:bookmarkStart w:id="2252" w:name="_Toc38442907"/>
      <w:bookmarkStart w:id="2253" w:name="_Toc38443238"/>
      <w:bookmarkStart w:id="2254" w:name="_Toc38443569"/>
      <w:bookmarkStart w:id="2255" w:name="_Toc38443899"/>
      <w:bookmarkStart w:id="2256" w:name="_Toc38438367"/>
      <w:bookmarkStart w:id="2257" w:name="_Toc38438704"/>
      <w:bookmarkStart w:id="2258" w:name="_Toc38439041"/>
      <w:bookmarkStart w:id="2259" w:name="_Toc38439378"/>
      <w:bookmarkStart w:id="2260" w:name="_Toc38439715"/>
      <w:bookmarkStart w:id="2261" w:name="_Toc38440052"/>
      <w:bookmarkStart w:id="2262" w:name="_Toc38440389"/>
      <w:bookmarkStart w:id="2263" w:name="_Toc38440921"/>
      <w:bookmarkStart w:id="2264" w:name="_Toc38441253"/>
      <w:bookmarkStart w:id="2265" w:name="_Toc38441585"/>
      <w:bookmarkStart w:id="2266" w:name="_Toc38441913"/>
      <w:bookmarkStart w:id="2267" w:name="_Toc38442245"/>
      <w:bookmarkStart w:id="2268" w:name="_Toc38442577"/>
      <w:bookmarkStart w:id="2269" w:name="_Toc38442908"/>
      <w:bookmarkStart w:id="2270" w:name="_Toc38443239"/>
      <w:bookmarkStart w:id="2271" w:name="_Toc38443570"/>
      <w:bookmarkStart w:id="2272" w:name="_Toc38443900"/>
      <w:bookmarkStart w:id="2273" w:name="_Toc38438368"/>
      <w:bookmarkStart w:id="2274" w:name="_Toc38438705"/>
      <w:bookmarkStart w:id="2275" w:name="_Toc38439042"/>
      <w:bookmarkStart w:id="2276" w:name="_Toc38439379"/>
      <w:bookmarkStart w:id="2277" w:name="_Toc38439716"/>
      <w:bookmarkStart w:id="2278" w:name="_Toc38440053"/>
      <w:bookmarkStart w:id="2279" w:name="_Toc38440390"/>
      <w:bookmarkStart w:id="2280" w:name="_Toc38440922"/>
      <w:bookmarkStart w:id="2281" w:name="_Toc38441254"/>
      <w:bookmarkStart w:id="2282" w:name="_Toc38441586"/>
      <w:bookmarkStart w:id="2283" w:name="_Toc38441914"/>
      <w:bookmarkStart w:id="2284" w:name="_Toc38442246"/>
      <w:bookmarkStart w:id="2285" w:name="_Toc38442578"/>
      <w:bookmarkStart w:id="2286" w:name="_Toc38442909"/>
      <w:bookmarkStart w:id="2287" w:name="_Toc38443240"/>
      <w:bookmarkStart w:id="2288" w:name="_Toc38443571"/>
      <w:bookmarkStart w:id="2289" w:name="_Toc38443901"/>
      <w:bookmarkStart w:id="2290" w:name="_Toc38438369"/>
      <w:bookmarkStart w:id="2291" w:name="_Toc38438706"/>
      <w:bookmarkStart w:id="2292" w:name="_Toc38439043"/>
      <w:bookmarkStart w:id="2293" w:name="_Toc38439380"/>
      <w:bookmarkStart w:id="2294" w:name="_Toc38439717"/>
      <w:bookmarkStart w:id="2295" w:name="_Toc38440054"/>
      <w:bookmarkStart w:id="2296" w:name="_Toc38440391"/>
      <w:bookmarkStart w:id="2297" w:name="_Toc38440923"/>
      <w:bookmarkStart w:id="2298" w:name="_Toc38441255"/>
      <w:bookmarkStart w:id="2299" w:name="_Toc38441587"/>
      <w:bookmarkStart w:id="2300" w:name="_Toc38441915"/>
      <w:bookmarkStart w:id="2301" w:name="_Toc38442247"/>
      <w:bookmarkStart w:id="2302" w:name="_Toc38442579"/>
      <w:bookmarkStart w:id="2303" w:name="_Toc38442910"/>
      <w:bookmarkStart w:id="2304" w:name="_Toc38443241"/>
      <w:bookmarkStart w:id="2305" w:name="_Toc38443572"/>
      <w:bookmarkStart w:id="2306" w:name="_Toc38443902"/>
      <w:bookmarkStart w:id="2307" w:name="_Toc38438371"/>
      <w:bookmarkStart w:id="2308" w:name="_Toc38438708"/>
      <w:bookmarkStart w:id="2309" w:name="_Toc38439045"/>
      <w:bookmarkStart w:id="2310" w:name="_Toc38439382"/>
      <w:bookmarkStart w:id="2311" w:name="_Toc38439719"/>
      <w:bookmarkStart w:id="2312" w:name="_Toc38440056"/>
      <w:bookmarkStart w:id="2313" w:name="_Toc38440393"/>
      <w:bookmarkStart w:id="2314" w:name="_Toc38440925"/>
      <w:bookmarkStart w:id="2315" w:name="_Toc38441257"/>
      <w:bookmarkStart w:id="2316" w:name="_Toc38441589"/>
      <w:bookmarkStart w:id="2317" w:name="_Toc38441917"/>
      <w:bookmarkStart w:id="2318" w:name="_Toc38442249"/>
      <w:bookmarkStart w:id="2319" w:name="_Toc38442581"/>
      <w:bookmarkStart w:id="2320" w:name="_Toc38442912"/>
      <w:bookmarkStart w:id="2321" w:name="_Toc38443243"/>
      <w:bookmarkStart w:id="2322" w:name="_Toc38443574"/>
      <w:bookmarkStart w:id="2323" w:name="_Toc38443904"/>
      <w:bookmarkStart w:id="2324" w:name="_Toc38438372"/>
      <w:bookmarkStart w:id="2325" w:name="_Toc38438709"/>
      <w:bookmarkStart w:id="2326" w:name="_Toc38439046"/>
      <w:bookmarkStart w:id="2327" w:name="_Toc38439383"/>
      <w:bookmarkStart w:id="2328" w:name="_Toc38439720"/>
      <w:bookmarkStart w:id="2329" w:name="_Toc38440057"/>
      <w:bookmarkStart w:id="2330" w:name="_Toc38440394"/>
      <w:bookmarkStart w:id="2331" w:name="_Toc38440926"/>
      <w:bookmarkStart w:id="2332" w:name="_Toc38441258"/>
      <w:bookmarkStart w:id="2333" w:name="_Toc38441590"/>
      <w:bookmarkStart w:id="2334" w:name="_Toc38441918"/>
      <w:bookmarkStart w:id="2335" w:name="_Toc38442250"/>
      <w:bookmarkStart w:id="2336" w:name="_Toc38442582"/>
      <w:bookmarkStart w:id="2337" w:name="_Toc38442913"/>
      <w:bookmarkStart w:id="2338" w:name="_Toc38443244"/>
      <w:bookmarkStart w:id="2339" w:name="_Toc38443575"/>
      <w:bookmarkStart w:id="2340" w:name="_Toc38443905"/>
      <w:bookmarkStart w:id="2341" w:name="_Toc38438373"/>
      <w:bookmarkStart w:id="2342" w:name="_Toc38438710"/>
      <w:bookmarkStart w:id="2343" w:name="_Toc38439047"/>
      <w:bookmarkStart w:id="2344" w:name="_Toc38439384"/>
      <w:bookmarkStart w:id="2345" w:name="_Toc38439721"/>
      <w:bookmarkStart w:id="2346" w:name="_Toc38440058"/>
      <w:bookmarkStart w:id="2347" w:name="_Toc38440395"/>
      <w:bookmarkStart w:id="2348" w:name="_Toc38440927"/>
      <w:bookmarkStart w:id="2349" w:name="_Toc38441259"/>
      <w:bookmarkStart w:id="2350" w:name="_Toc38441591"/>
      <w:bookmarkStart w:id="2351" w:name="_Toc38441919"/>
      <w:bookmarkStart w:id="2352" w:name="_Toc38442251"/>
      <w:bookmarkStart w:id="2353" w:name="_Toc38442583"/>
      <w:bookmarkStart w:id="2354" w:name="_Toc38442914"/>
      <w:bookmarkStart w:id="2355" w:name="_Toc38443245"/>
      <w:bookmarkStart w:id="2356" w:name="_Toc38443576"/>
      <w:bookmarkStart w:id="2357" w:name="_Toc38443906"/>
      <w:bookmarkStart w:id="2358" w:name="_Toc38438374"/>
      <w:bookmarkStart w:id="2359" w:name="_Toc38438711"/>
      <w:bookmarkStart w:id="2360" w:name="_Toc38439048"/>
      <w:bookmarkStart w:id="2361" w:name="_Toc38439385"/>
      <w:bookmarkStart w:id="2362" w:name="_Toc38439722"/>
      <w:bookmarkStart w:id="2363" w:name="_Toc38440059"/>
      <w:bookmarkStart w:id="2364" w:name="_Toc38440396"/>
      <w:bookmarkStart w:id="2365" w:name="_Toc38440928"/>
      <w:bookmarkStart w:id="2366" w:name="_Toc38441260"/>
      <w:bookmarkStart w:id="2367" w:name="_Toc38441592"/>
      <w:bookmarkStart w:id="2368" w:name="_Toc38441920"/>
      <w:bookmarkStart w:id="2369" w:name="_Toc38442252"/>
      <w:bookmarkStart w:id="2370" w:name="_Toc38442584"/>
      <w:bookmarkStart w:id="2371" w:name="_Toc38442915"/>
      <w:bookmarkStart w:id="2372" w:name="_Toc38443246"/>
      <w:bookmarkStart w:id="2373" w:name="_Toc38443577"/>
      <w:bookmarkStart w:id="2374" w:name="_Toc38443907"/>
      <w:bookmarkStart w:id="2375" w:name="_Toc38438375"/>
      <w:bookmarkStart w:id="2376" w:name="_Toc38438712"/>
      <w:bookmarkStart w:id="2377" w:name="_Toc38439049"/>
      <w:bookmarkStart w:id="2378" w:name="_Toc38439386"/>
      <w:bookmarkStart w:id="2379" w:name="_Toc38439723"/>
      <w:bookmarkStart w:id="2380" w:name="_Toc38440060"/>
      <w:bookmarkStart w:id="2381" w:name="_Toc38440397"/>
      <w:bookmarkStart w:id="2382" w:name="_Toc38440929"/>
      <w:bookmarkStart w:id="2383" w:name="_Toc38441261"/>
      <w:bookmarkStart w:id="2384" w:name="_Toc38441593"/>
      <w:bookmarkStart w:id="2385" w:name="_Toc38441921"/>
      <w:bookmarkStart w:id="2386" w:name="_Toc38442253"/>
      <w:bookmarkStart w:id="2387" w:name="_Toc38442585"/>
      <w:bookmarkStart w:id="2388" w:name="_Toc38442916"/>
      <w:bookmarkStart w:id="2389" w:name="_Toc38443247"/>
      <w:bookmarkStart w:id="2390" w:name="_Toc38443578"/>
      <w:bookmarkStart w:id="2391" w:name="_Toc38443908"/>
      <w:bookmarkStart w:id="2392" w:name="_Toc38438376"/>
      <w:bookmarkStart w:id="2393" w:name="_Toc38438713"/>
      <w:bookmarkStart w:id="2394" w:name="_Toc38439050"/>
      <w:bookmarkStart w:id="2395" w:name="_Toc38439387"/>
      <w:bookmarkStart w:id="2396" w:name="_Toc38439724"/>
      <w:bookmarkStart w:id="2397" w:name="_Toc38440061"/>
      <w:bookmarkStart w:id="2398" w:name="_Toc38440398"/>
      <w:bookmarkStart w:id="2399" w:name="_Toc38440930"/>
      <w:bookmarkStart w:id="2400" w:name="_Toc38441262"/>
      <w:bookmarkStart w:id="2401" w:name="_Toc38441594"/>
      <w:bookmarkStart w:id="2402" w:name="_Toc38441922"/>
      <w:bookmarkStart w:id="2403" w:name="_Toc38442254"/>
      <w:bookmarkStart w:id="2404" w:name="_Toc38442586"/>
      <w:bookmarkStart w:id="2405" w:name="_Toc38442917"/>
      <w:bookmarkStart w:id="2406" w:name="_Toc38443248"/>
      <w:bookmarkStart w:id="2407" w:name="_Toc38443579"/>
      <w:bookmarkStart w:id="2408" w:name="_Toc38443909"/>
      <w:bookmarkStart w:id="2409" w:name="_Toc38438377"/>
      <w:bookmarkStart w:id="2410" w:name="_Toc38438714"/>
      <w:bookmarkStart w:id="2411" w:name="_Toc38439051"/>
      <w:bookmarkStart w:id="2412" w:name="_Toc38439388"/>
      <w:bookmarkStart w:id="2413" w:name="_Toc38439725"/>
      <w:bookmarkStart w:id="2414" w:name="_Toc38440062"/>
      <w:bookmarkStart w:id="2415" w:name="_Toc38440399"/>
      <w:bookmarkStart w:id="2416" w:name="_Toc38440931"/>
      <w:bookmarkStart w:id="2417" w:name="_Toc38441263"/>
      <w:bookmarkStart w:id="2418" w:name="_Toc38441595"/>
      <w:bookmarkStart w:id="2419" w:name="_Toc38441923"/>
      <w:bookmarkStart w:id="2420" w:name="_Toc38442255"/>
      <w:bookmarkStart w:id="2421" w:name="_Toc38442587"/>
      <w:bookmarkStart w:id="2422" w:name="_Toc38442918"/>
      <w:bookmarkStart w:id="2423" w:name="_Toc38443249"/>
      <w:bookmarkStart w:id="2424" w:name="_Toc38443580"/>
      <w:bookmarkStart w:id="2425" w:name="_Toc38443910"/>
      <w:bookmarkStart w:id="2426" w:name="_Toc38438378"/>
      <w:bookmarkStart w:id="2427" w:name="_Toc38438715"/>
      <w:bookmarkStart w:id="2428" w:name="_Toc38439052"/>
      <w:bookmarkStart w:id="2429" w:name="_Toc38439389"/>
      <w:bookmarkStart w:id="2430" w:name="_Toc38439726"/>
      <w:bookmarkStart w:id="2431" w:name="_Toc38440063"/>
      <w:bookmarkStart w:id="2432" w:name="_Toc38440400"/>
      <w:bookmarkStart w:id="2433" w:name="_Toc38440932"/>
      <w:bookmarkStart w:id="2434" w:name="_Toc38441264"/>
      <w:bookmarkStart w:id="2435" w:name="_Toc38441596"/>
      <w:bookmarkStart w:id="2436" w:name="_Toc38441924"/>
      <w:bookmarkStart w:id="2437" w:name="_Toc38442256"/>
      <w:bookmarkStart w:id="2438" w:name="_Toc38442588"/>
      <w:bookmarkStart w:id="2439" w:name="_Toc38442919"/>
      <w:bookmarkStart w:id="2440" w:name="_Toc38443250"/>
      <w:bookmarkStart w:id="2441" w:name="_Toc38443581"/>
      <w:bookmarkStart w:id="2442" w:name="_Toc38443911"/>
      <w:bookmarkStart w:id="2443" w:name="_Toc38438379"/>
      <w:bookmarkStart w:id="2444" w:name="_Toc38438716"/>
      <w:bookmarkStart w:id="2445" w:name="_Toc38439053"/>
      <w:bookmarkStart w:id="2446" w:name="_Toc38439390"/>
      <w:bookmarkStart w:id="2447" w:name="_Toc38439727"/>
      <w:bookmarkStart w:id="2448" w:name="_Toc38440064"/>
      <w:bookmarkStart w:id="2449" w:name="_Toc38440401"/>
      <w:bookmarkStart w:id="2450" w:name="_Toc38440933"/>
      <w:bookmarkStart w:id="2451" w:name="_Toc38441265"/>
      <w:bookmarkStart w:id="2452" w:name="_Toc38441597"/>
      <w:bookmarkStart w:id="2453" w:name="_Toc38441925"/>
      <w:bookmarkStart w:id="2454" w:name="_Toc38442257"/>
      <w:bookmarkStart w:id="2455" w:name="_Toc38442589"/>
      <w:bookmarkStart w:id="2456" w:name="_Toc38442920"/>
      <w:bookmarkStart w:id="2457" w:name="_Toc38443251"/>
      <w:bookmarkStart w:id="2458" w:name="_Toc38443582"/>
      <w:bookmarkStart w:id="2459" w:name="_Toc38443912"/>
      <w:bookmarkStart w:id="2460" w:name="_Toc38438380"/>
      <w:bookmarkStart w:id="2461" w:name="_Toc38438717"/>
      <w:bookmarkStart w:id="2462" w:name="_Toc38439054"/>
      <w:bookmarkStart w:id="2463" w:name="_Toc38439391"/>
      <w:bookmarkStart w:id="2464" w:name="_Toc38439728"/>
      <w:bookmarkStart w:id="2465" w:name="_Toc38440065"/>
      <w:bookmarkStart w:id="2466" w:name="_Toc38440402"/>
      <w:bookmarkStart w:id="2467" w:name="_Toc38440934"/>
      <w:bookmarkStart w:id="2468" w:name="_Toc38441266"/>
      <w:bookmarkStart w:id="2469" w:name="_Toc38441598"/>
      <w:bookmarkStart w:id="2470" w:name="_Toc38441926"/>
      <w:bookmarkStart w:id="2471" w:name="_Toc38442258"/>
      <w:bookmarkStart w:id="2472" w:name="_Toc38442590"/>
      <w:bookmarkStart w:id="2473" w:name="_Toc38442921"/>
      <w:bookmarkStart w:id="2474" w:name="_Toc38443252"/>
      <w:bookmarkStart w:id="2475" w:name="_Toc38443583"/>
      <w:bookmarkStart w:id="2476" w:name="_Toc38443913"/>
      <w:bookmarkStart w:id="2477" w:name="_Toc38438381"/>
      <w:bookmarkStart w:id="2478" w:name="_Toc38438718"/>
      <w:bookmarkStart w:id="2479" w:name="_Toc38439055"/>
      <w:bookmarkStart w:id="2480" w:name="_Toc38439392"/>
      <w:bookmarkStart w:id="2481" w:name="_Toc38439729"/>
      <w:bookmarkStart w:id="2482" w:name="_Toc38440066"/>
      <w:bookmarkStart w:id="2483" w:name="_Toc38440403"/>
      <w:bookmarkStart w:id="2484" w:name="_Toc38440935"/>
      <w:bookmarkStart w:id="2485" w:name="_Toc38441267"/>
      <w:bookmarkStart w:id="2486" w:name="_Toc38441599"/>
      <w:bookmarkStart w:id="2487" w:name="_Toc38441927"/>
      <w:bookmarkStart w:id="2488" w:name="_Toc38442259"/>
      <w:bookmarkStart w:id="2489" w:name="_Toc38442591"/>
      <w:bookmarkStart w:id="2490" w:name="_Toc38442922"/>
      <w:bookmarkStart w:id="2491" w:name="_Toc38443253"/>
      <w:bookmarkStart w:id="2492" w:name="_Toc38443584"/>
      <w:bookmarkStart w:id="2493" w:name="_Toc38443914"/>
      <w:bookmarkStart w:id="2494" w:name="_Toc38438382"/>
      <w:bookmarkStart w:id="2495" w:name="_Toc38438719"/>
      <w:bookmarkStart w:id="2496" w:name="_Toc38439056"/>
      <w:bookmarkStart w:id="2497" w:name="_Toc38439393"/>
      <w:bookmarkStart w:id="2498" w:name="_Toc38439730"/>
      <w:bookmarkStart w:id="2499" w:name="_Toc38440067"/>
      <w:bookmarkStart w:id="2500" w:name="_Toc38440404"/>
      <w:bookmarkStart w:id="2501" w:name="_Toc38440936"/>
      <w:bookmarkStart w:id="2502" w:name="_Toc38441268"/>
      <w:bookmarkStart w:id="2503" w:name="_Toc38441600"/>
      <w:bookmarkStart w:id="2504" w:name="_Toc38441928"/>
      <w:bookmarkStart w:id="2505" w:name="_Toc38442260"/>
      <w:bookmarkStart w:id="2506" w:name="_Toc38442592"/>
      <w:bookmarkStart w:id="2507" w:name="_Toc38442923"/>
      <w:bookmarkStart w:id="2508" w:name="_Toc38443254"/>
      <w:bookmarkStart w:id="2509" w:name="_Toc38443585"/>
      <w:bookmarkStart w:id="2510" w:name="_Toc38443915"/>
      <w:bookmarkStart w:id="2511" w:name="_Toc38438383"/>
      <w:bookmarkStart w:id="2512" w:name="_Toc38438720"/>
      <w:bookmarkStart w:id="2513" w:name="_Toc38439057"/>
      <w:bookmarkStart w:id="2514" w:name="_Toc38439394"/>
      <w:bookmarkStart w:id="2515" w:name="_Toc38439731"/>
      <w:bookmarkStart w:id="2516" w:name="_Toc38440068"/>
      <w:bookmarkStart w:id="2517" w:name="_Toc38440405"/>
      <w:bookmarkStart w:id="2518" w:name="_Toc38440937"/>
      <w:bookmarkStart w:id="2519" w:name="_Toc38441269"/>
      <w:bookmarkStart w:id="2520" w:name="_Toc38441601"/>
      <w:bookmarkStart w:id="2521" w:name="_Toc38441929"/>
      <w:bookmarkStart w:id="2522" w:name="_Toc38442261"/>
      <w:bookmarkStart w:id="2523" w:name="_Toc38442593"/>
      <w:bookmarkStart w:id="2524" w:name="_Toc38442924"/>
      <w:bookmarkStart w:id="2525" w:name="_Toc38443255"/>
      <w:bookmarkStart w:id="2526" w:name="_Toc38443586"/>
      <w:bookmarkStart w:id="2527" w:name="_Toc38443916"/>
      <w:bookmarkStart w:id="2528" w:name="_Toc38438384"/>
      <w:bookmarkStart w:id="2529" w:name="_Toc38438721"/>
      <w:bookmarkStart w:id="2530" w:name="_Toc38439058"/>
      <w:bookmarkStart w:id="2531" w:name="_Toc38439395"/>
      <w:bookmarkStart w:id="2532" w:name="_Toc38439732"/>
      <w:bookmarkStart w:id="2533" w:name="_Toc38440069"/>
      <w:bookmarkStart w:id="2534" w:name="_Toc38440406"/>
      <w:bookmarkStart w:id="2535" w:name="_Toc38440938"/>
      <w:bookmarkStart w:id="2536" w:name="_Toc38441270"/>
      <w:bookmarkStart w:id="2537" w:name="_Toc38441602"/>
      <w:bookmarkStart w:id="2538" w:name="_Toc38441930"/>
      <w:bookmarkStart w:id="2539" w:name="_Toc38442262"/>
      <w:bookmarkStart w:id="2540" w:name="_Toc38442594"/>
      <w:bookmarkStart w:id="2541" w:name="_Toc38442925"/>
      <w:bookmarkStart w:id="2542" w:name="_Toc38443256"/>
      <w:bookmarkStart w:id="2543" w:name="_Toc38443587"/>
      <w:bookmarkStart w:id="2544" w:name="_Toc38443917"/>
      <w:bookmarkStart w:id="2545" w:name="_Toc38438385"/>
      <w:bookmarkStart w:id="2546" w:name="_Toc38438722"/>
      <w:bookmarkStart w:id="2547" w:name="_Toc38439059"/>
      <w:bookmarkStart w:id="2548" w:name="_Toc38439396"/>
      <w:bookmarkStart w:id="2549" w:name="_Toc38439733"/>
      <w:bookmarkStart w:id="2550" w:name="_Toc38440070"/>
      <w:bookmarkStart w:id="2551" w:name="_Toc38440407"/>
      <w:bookmarkStart w:id="2552" w:name="_Toc38440939"/>
      <w:bookmarkStart w:id="2553" w:name="_Toc38441271"/>
      <w:bookmarkStart w:id="2554" w:name="_Toc38441603"/>
      <w:bookmarkStart w:id="2555" w:name="_Toc38441931"/>
      <w:bookmarkStart w:id="2556" w:name="_Toc38442263"/>
      <w:bookmarkStart w:id="2557" w:name="_Toc38442595"/>
      <w:bookmarkStart w:id="2558" w:name="_Toc38442926"/>
      <w:bookmarkStart w:id="2559" w:name="_Toc38443257"/>
      <w:bookmarkStart w:id="2560" w:name="_Toc38443588"/>
      <w:bookmarkStart w:id="2561" w:name="_Toc38443918"/>
      <w:bookmarkStart w:id="2562" w:name="_Toc38438386"/>
      <w:bookmarkStart w:id="2563" w:name="_Toc38438723"/>
      <w:bookmarkStart w:id="2564" w:name="_Toc38439060"/>
      <w:bookmarkStart w:id="2565" w:name="_Toc38439397"/>
      <w:bookmarkStart w:id="2566" w:name="_Toc38439734"/>
      <w:bookmarkStart w:id="2567" w:name="_Toc38440071"/>
      <w:bookmarkStart w:id="2568" w:name="_Toc38440408"/>
      <w:bookmarkStart w:id="2569" w:name="_Toc38440940"/>
      <w:bookmarkStart w:id="2570" w:name="_Toc38441272"/>
      <w:bookmarkStart w:id="2571" w:name="_Toc38441604"/>
      <w:bookmarkStart w:id="2572" w:name="_Toc38441932"/>
      <w:bookmarkStart w:id="2573" w:name="_Toc38442264"/>
      <w:bookmarkStart w:id="2574" w:name="_Toc38442596"/>
      <w:bookmarkStart w:id="2575" w:name="_Toc38442927"/>
      <w:bookmarkStart w:id="2576" w:name="_Toc38443258"/>
      <w:bookmarkStart w:id="2577" w:name="_Toc38443589"/>
      <w:bookmarkStart w:id="2578" w:name="_Toc38443919"/>
      <w:bookmarkStart w:id="2579" w:name="_Toc38438387"/>
      <w:bookmarkStart w:id="2580" w:name="_Toc38438724"/>
      <w:bookmarkStart w:id="2581" w:name="_Toc38439061"/>
      <w:bookmarkStart w:id="2582" w:name="_Toc38439398"/>
      <w:bookmarkStart w:id="2583" w:name="_Toc38439735"/>
      <w:bookmarkStart w:id="2584" w:name="_Toc38440072"/>
      <w:bookmarkStart w:id="2585" w:name="_Toc38440409"/>
      <w:bookmarkStart w:id="2586" w:name="_Toc38440941"/>
      <w:bookmarkStart w:id="2587" w:name="_Toc38441273"/>
      <w:bookmarkStart w:id="2588" w:name="_Toc38441605"/>
      <w:bookmarkStart w:id="2589" w:name="_Toc38441933"/>
      <w:bookmarkStart w:id="2590" w:name="_Toc38442265"/>
      <w:bookmarkStart w:id="2591" w:name="_Toc38442597"/>
      <w:bookmarkStart w:id="2592" w:name="_Toc38442928"/>
      <w:bookmarkStart w:id="2593" w:name="_Toc38443259"/>
      <w:bookmarkStart w:id="2594" w:name="_Toc38443590"/>
      <w:bookmarkStart w:id="2595" w:name="_Toc38443920"/>
      <w:bookmarkStart w:id="2596" w:name="_Toc38438388"/>
      <w:bookmarkStart w:id="2597" w:name="_Toc38438725"/>
      <w:bookmarkStart w:id="2598" w:name="_Toc38439062"/>
      <w:bookmarkStart w:id="2599" w:name="_Toc38439399"/>
      <w:bookmarkStart w:id="2600" w:name="_Toc38439736"/>
      <w:bookmarkStart w:id="2601" w:name="_Toc38440073"/>
      <w:bookmarkStart w:id="2602" w:name="_Toc38440410"/>
      <w:bookmarkStart w:id="2603" w:name="_Toc38440942"/>
      <w:bookmarkStart w:id="2604" w:name="_Toc38441274"/>
      <w:bookmarkStart w:id="2605" w:name="_Toc38441606"/>
      <w:bookmarkStart w:id="2606" w:name="_Toc38441934"/>
      <w:bookmarkStart w:id="2607" w:name="_Toc38442266"/>
      <w:bookmarkStart w:id="2608" w:name="_Toc38442598"/>
      <w:bookmarkStart w:id="2609" w:name="_Toc38442929"/>
      <w:bookmarkStart w:id="2610" w:name="_Toc38443260"/>
      <w:bookmarkStart w:id="2611" w:name="_Toc38443591"/>
      <w:bookmarkStart w:id="2612" w:name="_Toc38443921"/>
      <w:bookmarkStart w:id="2613" w:name="_Toc38438389"/>
      <w:bookmarkStart w:id="2614" w:name="_Toc38438726"/>
      <w:bookmarkStart w:id="2615" w:name="_Toc38439063"/>
      <w:bookmarkStart w:id="2616" w:name="_Toc38439400"/>
      <w:bookmarkStart w:id="2617" w:name="_Toc38439737"/>
      <w:bookmarkStart w:id="2618" w:name="_Toc38440074"/>
      <w:bookmarkStart w:id="2619" w:name="_Toc38440411"/>
      <w:bookmarkStart w:id="2620" w:name="_Toc38440943"/>
      <w:bookmarkStart w:id="2621" w:name="_Toc38441275"/>
      <w:bookmarkStart w:id="2622" w:name="_Toc38441607"/>
      <w:bookmarkStart w:id="2623" w:name="_Toc38441935"/>
      <w:bookmarkStart w:id="2624" w:name="_Toc38442267"/>
      <w:bookmarkStart w:id="2625" w:name="_Toc38442599"/>
      <w:bookmarkStart w:id="2626" w:name="_Toc38442930"/>
      <w:bookmarkStart w:id="2627" w:name="_Toc38443261"/>
      <w:bookmarkStart w:id="2628" w:name="_Toc38443592"/>
      <w:bookmarkStart w:id="2629" w:name="_Toc38443922"/>
      <w:bookmarkStart w:id="2630" w:name="_Toc38438390"/>
      <w:bookmarkStart w:id="2631" w:name="_Toc38438727"/>
      <w:bookmarkStart w:id="2632" w:name="_Toc38439064"/>
      <w:bookmarkStart w:id="2633" w:name="_Toc38439401"/>
      <w:bookmarkStart w:id="2634" w:name="_Toc38439738"/>
      <w:bookmarkStart w:id="2635" w:name="_Toc38440075"/>
      <w:bookmarkStart w:id="2636" w:name="_Toc38440412"/>
      <w:bookmarkStart w:id="2637" w:name="_Toc38440944"/>
      <w:bookmarkStart w:id="2638" w:name="_Toc38441276"/>
      <w:bookmarkStart w:id="2639" w:name="_Toc38441608"/>
      <w:bookmarkStart w:id="2640" w:name="_Toc38441936"/>
      <w:bookmarkStart w:id="2641" w:name="_Toc38442268"/>
      <w:bookmarkStart w:id="2642" w:name="_Toc38442600"/>
      <w:bookmarkStart w:id="2643" w:name="_Toc38442931"/>
      <w:bookmarkStart w:id="2644" w:name="_Toc38443262"/>
      <w:bookmarkStart w:id="2645" w:name="_Toc38443593"/>
      <w:bookmarkStart w:id="2646" w:name="_Toc38443923"/>
      <w:bookmarkStart w:id="2647" w:name="_Toc38438391"/>
      <w:bookmarkStart w:id="2648" w:name="_Toc38438728"/>
      <w:bookmarkStart w:id="2649" w:name="_Toc38439065"/>
      <w:bookmarkStart w:id="2650" w:name="_Toc38439402"/>
      <w:bookmarkStart w:id="2651" w:name="_Toc38439739"/>
      <w:bookmarkStart w:id="2652" w:name="_Toc38440076"/>
      <w:bookmarkStart w:id="2653" w:name="_Toc38440413"/>
      <w:bookmarkStart w:id="2654" w:name="_Toc38440945"/>
      <w:bookmarkStart w:id="2655" w:name="_Toc38441277"/>
      <w:bookmarkStart w:id="2656" w:name="_Toc38441609"/>
      <w:bookmarkStart w:id="2657" w:name="_Toc38441937"/>
      <w:bookmarkStart w:id="2658" w:name="_Toc38442269"/>
      <w:bookmarkStart w:id="2659" w:name="_Toc38442601"/>
      <w:bookmarkStart w:id="2660" w:name="_Toc38442932"/>
      <w:bookmarkStart w:id="2661" w:name="_Toc38443263"/>
      <w:bookmarkStart w:id="2662" w:name="_Toc38443594"/>
      <w:bookmarkStart w:id="2663" w:name="_Toc38443924"/>
      <w:bookmarkStart w:id="2664" w:name="_Toc38438392"/>
      <w:bookmarkStart w:id="2665" w:name="_Toc38438729"/>
      <w:bookmarkStart w:id="2666" w:name="_Toc38439066"/>
      <w:bookmarkStart w:id="2667" w:name="_Toc38439403"/>
      <w:bookmarkStart w:id="2668" w:name="_Toc38439740"/>
      <w:bookmarkStart w:id="2669" w:name="_Toc38440077"/>
      <w:bookmarkStart w:id="2670" w:name="_Toc38440414"/>
      <w:bookmarkStart w:id="2671" w:name="_Toc38440946"/>
      <w:bookmarkStart w:id="2672" w:name="_Toc38441278"/>
      <w:bookmarkStart w:id="2673" w:name="_Toc38441610"/>
      <w:bookmarkStart w:id="2674" w:name="_Toc38441938"/>
      <w:bookmarkStart w:id="2675" w:name="_Toc38442270"/>
      <w:bookmarkStart w:id="2676" w:name="_Toc38442602"/>
      <w:bookmarkStart w:id="2677" w:name="_Toc38442933"/>
      <w:bookmarkStart w:id="2678" w:name="_Toc38443264"/>
      <w:bookmarkStart w:id="2679" w:name="_Toc38443595"/>
      <w:bookmarkStart w:id="2680" w:name="_Toc38443925"/>
      <w:bookmarkStart w:id="2681" w:name="_Toc38438393"/>
      <w:bookmarkStart w:id="2682" w:name="_Toc38438730"/>
      <w:bookmarkStart w:id="2683" w:name="_Toc38439067"/>
      <w:bookmarkStart w:id="2684" w:name="_Toc38439404"/>
      <w:bookmarkStart w:id="2685" w:name="_Toc38439741"/>
      <w:bookmarkStart w:id="2686" w:name="_Toc38440078"/>
      <w:bookmarkStart w:id="2687" w:name="_Toc38440415"/>
      <w:bookmarkStart w:id="2688" w:name="_Toc38440947"/>
      <w:bookmarkStart w:id="2689" w:name="_Toc38441279"/>
      <w:bookmarkStart w:id="2690" w:name="_Toc38441611"/>
      <w:bookmarkStart w:id="2691" w:name="_Toc38441939"/>
      <w:bookmarkStart w:id="2692" w:name="_Toc38442271"/>
      <w:bookmarkStart w:id="2693" w:name="_Toc38442603"/>
      <w:bookmarkStart w:id="2694" w:name="_Toc38442934"/>
      <w:bookmarkStart w:id="2695" w:name="_Toc38443265"/>
      <w:bookmarkStart w:id="2696" w:name="_Toc38443596"/>
      <w:bookmarkStart w:id="2697" w:name="_Toc38443926"/>
      <w:bookmarkStart w:id="2698" w:name="_Toc38438394"/>
      <w:bookmarkStart w:id="2699" w:name="_Toc38438731"/>
      <w:bookmarkStart w:id="2700" w:name="_Toc38439068"/>
      <w:bookmarkStart w:id="2701" w:name="_Toc38439405"/>
      <w:bookmarkStart w:id="2702" w:name="_Toc38439742"/>
      <w:bookmarkStart w:id="2703" w:name="_Toc38440079"/>
      <w:bookmarkStart w:id="2704" w:name="_Toc38440416"/>
      <w:bookmarkStart w:id="2705" w:name="_Toc38440948"/>
      <w:bookmarkStart w:id="2706" w:name="_Toc38441280"/>
      <w:bookmarkStart w:id="2707" w:name="_Toc38441612"/>
      <w:bookmarkStart w:id="2708" w:name="_Toc38441940"/>
      <w:bookmarkStart w:id="2709" w:name="_Toc38442272"/>
      <w:bookmarkStart w:id="2710" w:name="_Toc38442604"/>
      <w:bookmarkStart w:id="2711" w:name="_Toc38442935"/>
      <w:bookmarkStart w:id="2712" w:name="_Toc38443266"/>
      <w:bookmarkStart w:id="2713" w:name="_Toc38443597"/>
      <w:bookmarkStart w:id="2714" w:name="_Toc38443927"/>
      <w:bookmarkStart w:id="2715" w:name="_Toc38438395"/>
      <w:bookmarkStart w:id="2716" w:name="_Toc38438732"/>
      <w:bookmarkStart w:id="2717" w:name="_Toc38439069"/>
      <w:bookmarkStart w:id="2718" w:name="_Toc38439406"/>
      <w:bookmarkStart w:id="2719" w:name="_Toc38439743"/>
      <w:bookmarkStart w:id="2720" w:name="_Toc38440080"/>
      <w:bookmarkStart w:id="2721" w:name="_Toc38440417"/>
      <w:bookmarkStart w:id="2722" w:name="_Toc38440949"/>
      <w:bookmarkStart w:id="2723" w:name="_Toc38441281"/>
      <w:bookmarkStart w:id="2724" w:name="_Toc38441613"/>
      <w:bookmarkStart w:id="2725" w:name="_Toc38441941"/>
      <w:bookmarkStart w:id="2726" w:name="_Toc38442273"/>
      <w:bookmarkStart w:id="2727" w:name="_Toc38442605"/>
      <w:bookmarkStart w:id="2728" w:name="_Toc38442936"/>
      <w:bookmarkStart w:id="2729" w:name="_Toc38443267"/>
      <w:bookmarkStart w:id="2730" w:name="_Toc38443598"/>
      <w:bookmarkStart w:id="2731" w:name="_Toc38443928"/>
      <w:bookmarkStart w:id="2732" w:name="_Toc38438396"/>
      <w:bookmarkStart w:id="2733" w:name="_Toc38438733"/>
      <w:bookmarkStart w:id="2734" w:name="_Toc38439070"/>
      <w:bookmarkStart w:id="2735" w:name="_Toc38439407"/>
      <w:bookmarkStart w:id="2736" w:name="_Toc38439744"/>
      <w:bookmarkStart w:id="2737" w:name="_Toc38440081"/>
      <w:bookmarkStart w:id="2738" w:name="_Toc38440418"/>
      <w:bookmarkStart w:id="2739" w:name="_Toc38440950"/>
      <w:bookmarkStart w:id="2740" w:name="_Toc38441282"/>
      <w:bookmarkStart w:id="2741" w:name="_Toc38441614"/>
      <w:bookmarkStart w:id="2742" w:name="_Toc38441942"/>
      <w:bookmarkStart w:id="2743" w:name="_Toc38442274"/>
      <w:bookmarkStart w:id="2744" w:name="_Toc38442606"/>
      <w:bookmarkStart w:id="2745" w:name="_Toc38442937"/>
      <w:bookmarkStart w:id="2746" w:name="_Toc38443268"/>
      <w:bookmarkStart w:id="2747" w:name="_Toc38443599"/>
      <w:bookmarkStart w:id="2748" w:name="_Toc38443929"/>
      <w:bookmarkStart w:id="2749" w:name="_Toc38438397"/>
      <w:bookmarkStart w:id="2750" w:name="_Toc38438734"/>
      <w:bookmarkStart w:id="2751" w:name="_Toc38439071"/>
      <w:bookmarkStart w:id="2752" w:name="_Toc38439408"/>
      <w:bookmarkStart w:id="2753" w:name="_Toc38439745"/>
      <w:bookmarkStart w:id="2754" w:name="_Toc38440082"/>
      <w:bookmarkStart w:id="2755" w:name="_Toc38440419"/>
      <w:bookmarkStart w:id="2756" w:name="_Toc38440951"/>
      <w:bookmarkStart w:id="2757" w:name="_Toc38441283"/>
      <w:bookmarkStart w:id="2758" w:name="_Toc38441615"/>
      <w:bookmarkStart w:id="2759" w:name="_Toc38441943"/>
      <w:bookmarkStart w:id="2760" w:name="_Toc38442275"/>
      <w:bookmarkStart w:id="2761" w:name="_Toc38442607"/>
      <w:bookmarkStart w:id="2762" w:name="_Toc38442938"/>
      <w:bookmarkStart w:id="2763" w:name="_Toc38443269"/>
      <w:bookmarkStart w:id="2764" w:name="_Toc38443600"/>
      <w:bookmarkStart w:id="2765" w:name="_Toc38443930"/>
      <w:bookmarkStart w:id="2766" w:name="_Toc38438398"/>
      <w:bookmarkStart w:id="2767" w:name="_Toc38438735"/>
      <w:bookmarkStart w:id="2768" w:name="_Toc38439072"/>
      <w:bookmarkStart w:id="2769" w:name="_Toc38439409"/>
      <w:bookmarkStart w:id="2770" w:name="_Toc38439746"/>
      <w:bookmarkStart w:id="2771" w:name="_Toc38440083"/>
      <w:bookmarkStart w:id="2772" w:name="_Toc38440420"/>
      <w:bookmarkStart w:id="2773" w:name="_Toc38440952"/>
      <w:bookmarkStart w:id="2774" w:name="_Toc38441284"/>
      <w:bookmarkStart w:id="2775" w:name="_Toc38441616"/>
      <w:bookmarkStart w:id="2776" w:name="_Toc38441944"/>
      <w:bookmarkStart w:id="2777" w:name="_Toc38442276"/>
      <w:bookmarkStart w:id="2778" w:name="_Toc38442608"/>
      <w:bookmarkStart w:id="2779" w:name="_Toc38442939"/>
      <w:bookmarkStart w:id="2780" w:name="_Toc38443270"/>
      <w:bookmarkStart w:id="2781" w:name="_Toc38443601"/>
      <w:bookmarkStart w:id="2782" w:name="_Toc38443931"/>
      <w:bookmarkStart w:id="2783" w:name="_Toc38438400"/>
      <w:bookmarkStart w:id="2784" w:name="_Toc38438737"/>
      <w:bookmarkStart w:id="2785" w:name="_Toc38439074"/>
      <w:bookmarkStart w:id="2786" w:name="_Toc38439411"/>
      <w:bookmarkStart w:id="2787" w:name="_Toc38439748"/>
      <w:bookmarkStart w:id="2788" w:name="_Toc38440085"/>
      <w:bookmarkStart w:id="2789" w:name="_Toc38440422"/>
      <w:bookmarkStart w:id="2790" w:name="_Toc38440954"/>
      <w:bookmarkStart w:id="2791" w:name="_Toc38441286"/>
      <w:bookmarkStart w:id="2792" w:name="_Toc38441618"/>
      <w:bookmarkStart w:id="2793" w:name="_Toc38441946"/>
      <w:bookmarkStart w:id="2794" w:name="_Toc38442278"/>
      <w:bookmarkStart w:id="2795" w:name="_Toc38442610"/>
      <w:bookmarkStart w:id="2796" w:name="_Toc38442941"/>
      <w:bookmarkStart w:id="2797" w:name="_Toc38443272"/>
      <w:bookmarkStart w:id="2798" w:name="_Toc38443603"/>
      <w:bookmarkStart w:id="2799" w:name="_Toc38443933"/>
      <w:bookmarkStart w:id="2800" w:name="_Toc38438401"/>
      <w:bookmarkStart w:id="2801" w:name="_Toc38438738"/>
      <w:bookmarkStart w:id="2802" w:name="_Toc38439075"/>
      <w:bookmarkStart w:id="2803" w:name="_Toc38439412"/>
      <w:bookmarkStart w:id="2804" w:name="_Toc38439749"/>
      <w:bookmarkStart w:id="2805" w:name="_Toc38440086"/>
      <w:bookmarkStart w:id="2806" w:name="_Toc38440423"/>
      <w:bookmarkStart w:id="2807" w:name="_Toc38440955"/>
      <w:bookmarkStart w:id="2808" w:name="_Toc38441287"/>
      <w:bookmarkStart w:id="2809" w:name="_Toc38441619"/>
      <w:bookmarkStart w:id="2810" w:name="_Toc38441947"/>
      <w:bookmarkStart w:id="2811" w:name="_Toc38442279"/>
      <w:bookmarkStart w:id="2812" w:name="_Toc38442611"/>
      <w:bookmarkStart w:id="2813" w:name="_Toc38442942"/>
      <w:bookmarkStart w:id="2814" w:name="_Toc38443273"/>
      <w:bookmarkStart w:id="2815" w:name="_Toc38443604"/>
      <w:bookmarkStart w:id="2816" w:name="_Toc38443934"/>
      <w:bookmarkStart w:id="2817" w:name="_Toc38438402"/>
      <w:bookmarkStart w:id="2818" w:name="_Toc38438739"/>
      <w:bookmarkStart w:id="2819" w:name="_Toc38439076"/>
      <w:bookmarkStart w:id="2820" w:name="_Toc38439413"/>
      <w:bookmarkStart w:id="2821" w:name="_Toc38439750"/>
      <w:bookmarkStart w:id="2822" w:name="_Toc38440087"/>
      <w:bookmarkStart w:id="2823" w:name="_Toc38440424"/>
      <w:bookmarkStart w:id="2824" w:name="_Toc38440956"/>
      <w:bookmarkStart w:id="2825" w:name="_Toc38441288"/>
      <w:bookmarkStart w:id="2826" w:name="_Toc38441620"/>
      <w:bookmarkStart w:id="2827" w:name="_Toc38441948"/>
      <w:bookmarkStart w:id="2828" w:name="_Toc38442280"/>
      <w:bookmarkStart w:id="2829" w:name="_Toc38442612"/>
      <w:bookmarkStart w:id="2830" w:name="_Toc38442943"/>
      <w:bookmarkStart w:id="2831" w:name="_Toc38443274"/>
      <w:bookmarkStart w:id="2832" w:name="_Toc38443605"/>
      <w:bookmarkStart w:id="2833" w:name="_Toc38443935"/>
      <w:bookmarkStart w:id="2834" w:name="_Toc38438404"/>
      <w:bookmarkStart w:id="2835" w:name="_Toc38438741"/>
      <w:bookmarkStart w:id="2836" w:name="_Toc38439078"/>
      <w:bookmarkStart w:id="2837" w:name="_Toc38439415"/>
      <w:bookmarkStart w:id="2838" w:name="_Toc38439752"/>
      <w:bookmarkStart w:id="2839" w:name="_Toc38440089"/>
      <w:bookmarkStart w:id="2840" w:name="_Toc38440426"/>
      <w:bookmarkStart w:id="2841" w:name="_Toc38440958"/>
      <w:bookmarkStart w:id="2842" w:name="_Toc38441290"/>
      <w:bookmarkStart w:id="2843" w:name="_Toc38441622"/>
      <w:bookmarkStart w:id="2844" w:name="_Toc38441950"/>
      <w:bookmarkStart w:id="2845" w:name="_Toc38442282"/>
      <w:bookmarkStart w:id="2846" w:name="_Toc38442614"/>
      <w:bookmarkStart w:id="2847" w:name="_Toc38442945"/>
      <w:bookmarkStart w:id="2848" w:name="_Toc38443276"/>
      <w:bookmarkStart w:id="2849" w:name="_Toc38443607"/>
      <w:bookmarkStart w:id="2850" w:name="_Toc38443937"/>
      <w:bookmarkStart w:id="2851" w:name="_Toc38438405"/>
      <w:bookmarkStart w:id="2852" w:name="_Toc38438742"/>
      <w:bookmarkStart w:id="2853" w:name="_Toc38439079"/>
      <w:bookmarkStart w:id="2854" w:name="_Toc38439416"/>
      <w:bookmarkStart w:id="2855" w:name="_Toc38439753"/>
      <w:bookmarkStart w:id="2856" w:name="_Toc38440090"/>
      <w:bookmarkStart w:id="2857" w:name="_Toc38440427"/>
      <w:bookmarkStart w:id="2858" w:name="_Toc38440959"/>
      <w:bookmarkStart w:id="2859" w:name="_Toc38441291"/>
      <w:bookmarkStart w:id="2860" w:name="_Toc38441623"/>
      <w:bookmarkStart w:id="2861" w:name="_Toc38441951"/>
      <w:bookmarkStart w:id="2862" w:name="_Toc38442283"/>
      <w:bookmarkStart w:id="2863" w:name="_Toc38442615"/>
      <w:bookmarkStart w:id="2864" w:name="_Toc38442946"/>
      <w:bookmarkStart w:id="2865" w:name="_Toc38443277"/>
      <w:bookmarkStart w:id="2866" w:name="_Toc38443608"/>
      <w:bookmarkStart w:id="2867" w:name="_Toc38443938"/>
      <w:bookmarkStart w:id="2868" w:name="_Toc38438406"/>
      <w:bookmarkStart w:id="2869" w:name="_Toc38438743"/>
      <w:bookmarkStart w:id="2870" w:name="_Toc38439080"/>
      <w:bookmarkStart w:id="2871" w:name="_Toc38439417"/>
      <w:bookmarkStart w:id="2872" w:name="_Toc38439754"/>
      <w:bookmarkStart w:id="2873" w:name="_Toc38440091"/>
      <w:bookmarkStart w:id="2874" w:name="_Toc38440428"/>
      <w:bookmarkStart w:id="2875" w:name="_Toc38440960"/>
      <w:bookmarkStart w:id="2876" w:name="_Toc38441292"/>
      <w:bookmarkStart w:id="2877" w:name="_Toc38441624"/>
      <w:bookmarkStart w:id="2878" w:name="_Toc38441952"/>
      <w:bookmarkStart w:id="2879" w:name="_Toc38442284"/>
      <w:bookmarkStart w:id="2880" w:name="_Toc38442616"/>
      <w:bookmarkStart w:id="2881" w:name="_Toc38442947"/>
      <w:bookmarkStart w:id="2882" w:name="_Toc38443278"/>
      <w:bookmarkStart w:id="2883" w:name="_Toc38443609"/>
      <w:bookmarkStart w:id="2884" w:name="_Toc38443939"/>
      <w:bookmarkStart w:id="2885" w:name="_Toc38438407"/>
      <w:bookmarkStart w:id="2886" w:name="_Toc38438744"/>
      <w:bookmarkStart w:id="2887" w:name="_Toc38439081"/>
      <w:bookmarkStart w:id="2888" w:name="_Toc38439418"/>
      <w:bookmarkStart w:id="2889" w:name="_Toc38439755"/>
      <w:bookmarkStart w:id="2890" w:name="_Toc38440092"/>
      <w:bookmarkStart w:id="2891" w:name="_Toc38440429"/>
      <w:bookmarkStart w:id="2892" w:name="_Toc38440961"/>
      <w:bookmarkStart w:id="2893" w:name="_Toc38441293"/>
      <w:bookmarkStart w:id="2894" w:name="_Toc38441625"/>
      <w:bookmarkStart w:id="2895" w:name="_Toc38441953"/>
      <w:bookmarkStart w:id="2896" w:name="_Toc38442285"/>
      <w:bookmarkStart w:id="2897" w:name="_Toc38442617"/>
      <w:bookmarkStart w:id="2898" w:name="_Toc38442948"/>
      <w:bookmarkStart w:id="2899" w:name="_Toc38443279"/>
      <w:bookmarkStart w:id="2900" w:name="_Toc38443610"/>
      <w:bookmarkStart w:id="2901" w:name="_Toc38443940"/>
      <w:bookmarkStart w:id="2902" w:name="_Toc38438408"/>
      <w:bookmarkStart w:id="2903" w:name="_Toc38438745"/>
      <w:bookmarkStart w:id="2904" w:name="_Toc38439082"/>
      <w:bookmarkStart w:id="2905" w:name="_Toc38439419"/>
      <w:bookmarkStart w:id="2906" w:name="_Toc38439756"/>
      <w:bookmarkStart w:id="2907" w:name="_Toc38440093"/>
      <w:bookmarkStart w:id="2908" w:name="_Toc38440430"/>
      <w:bookmarkStart w:id="2909" w:name="_Toc38440962"/>
      <w:bookmarkStart w:id="2910" w:name="_Toc38441294"/>
      <w:bookmarkStart w:id="2911" w:name="_Toc38441626"/>
      <w:bookmarkStart w:id="2912" w:name="_Toc38441954"/>
      <w:bookmarkStart w:id="2913" w:name="_Toc38442286"/>
      <w:bookmarkStart w:id="2914" w:name="_Toc38442618"/>
      <w:bookmarkStart w:id="2915" w:name="_Toc38442949"/>
      <w:bookmarkStart w:id="2916" w:name="_Toc38443280"/>
      <w:bookmarkStart w:id="2917" w:name="_Toc38443611"/>
      <w:bookmarkStart w:id="2918" w:name="_Toc38443941"/>
      <w:bookmarkStart w:id="2919" w:name="_Toc38438409"/>
      <w:bookmarkStart w:id="2920" w:name="_Toc38438746"/>
      <w:bookmarkStart w:id="2921" w:name="_Toc38439083"/>
      <w:bookmarkStart w:id="2922" w:name="_Toc38439420"/>
      <w:bookmarkStart w:id="2923" w:name="_Toc38439757"/>
      <w:bookmarkStart w:id="2924" w:name="_Toc38440094"/>
      <w:bookmarkStart w:id="2925" w:name="_Toc38440431"/>
      <w:bookmarkStart w:id="2926" w:name="_Toc38440963"/>
      <w:bookmarkStart w:id="2927" w:name="_Toc38441295"/>
      <w:bookmarkStart w:id="2928" w:name="_Toc38441627"/>
      <w:bookmarkStart w:id="2929" w:name="_Toc38441955"/>
      <w:bookmarkStart w:id="2930" w:name="_Toc38442287"/>
      <w:bookmarkStart w:id="2931" w:name="_Toc38442619"/>
      <w:bookmarkStart w:id="2932" w:name="_Toc38442950"/>
      <w:bookmarkStart w:id="2933" w:name="_Toc38443281"/>
      <w:bookmarkStart w:id="2934" w:name="_Toc38443612"/>
      <w:bookmarkStart w:id="2935" w:name="_Toc38443942"/>
      <w:bookmarkStart w:id="2936" w:name="_Toc38438410"/>
      <w:bookmarkStart w:id="2937" w:name="_Toc38438747"/>
      <w:bookmarkStart w:id="2938" w:name="_Toc38439084"/>
      <w:bookmarkStart w:id="2939" w:name="_Toc38439421"/>
      <w:bookmarkStart w:id="2940" w:name="_Toc38439758"/>
      <w:bookmarkStart w:id="2941" w:name="_Toc38440095"/>
      <w:bookmarkStart w:id="2942" w:name="_Toc38440432"/>
      <w:bookmarkStart w:id="2943" w:name="_Toc38440964"/>
      <w:bookmarkStart w:id="2944" w:name="_Toc38441296"/>
      <w:bookmarkStart w:id="2945" w:name="_Toc38441628"/>
      <w:bookmarkStart w:id="2946" w:name="_Toc38441956"/>
      <w:bookmarkStart w:id="2947" w:name="_Toc38442288"/>
      <w:bookmarkStart w:id="2948" w:name="_Toc38442620"/>
      <w:bookmarkStart w:id="2949" w:name="_Toc38442951"/>
      <w:bookmarkStart w:id="2950" w:name="_Toc38443282"/>
      <w:bookmarkStart w:id="2951" w:name="_Toc38443613"/>
      <w:bookmarkStart w:id="2952" w:name="_Toc38443943"/>
      <w:bookmarkStart w:id="2953" w:name="_Toc38438411"/>
      <w:bookmarkStart w:id="2954" w:name="_Toc38438748"/>
      <w:bookmarkStart w:id="2955" w:name="_Toc38439085"/>
      <w:bookmarkStart w:id="2956" w:name="_Toc38439422"/>
      <w:bookmarkStart w:id="2957" w:name="_Toc38439759"/>
      <w:bookmarkStart w:id="2958" w:name="_Toc38440096"/>
      <w:bookmarkStart w:id="2959" w:name="_Toc38440433"/>
      <w:bookmarkStart w:id="2960" w:name="_Toc38440965"/>
      <w:bookmarkStart w:id="2961" w:name="_Toc38441297"/>
      <w:bookmarkStart w:id="2962" w:name="_Toc38441629"/>
      <w:bookmarkStart w:id="2963" w:name="_Toc38441957"/>
      <w:bookmarkStart w:id="2964" w:name="_Toc38442289"/>
      <w:bookmarkStart w:id="2965" w:name="_Toc38442621"/>
      <w:bookmarkStart w:id="2966" w:name="_Toc38442952"/>
      <w:bookmarkStart w:id="2967" w:name="_Toc38443283"/>
      <w:bookmarkStart w:id="2968" w:name="_Toc38443614"/>
      <w:bookmarkStart w:id="2969" w:name="_Toc38443944"/>
      <w:bookmarkStart w:id="2970" w:name="_Toc38438412"/>
      <w:bookmarkStart w:id="2971" w:name="_Toc38438749"/>
      <w:bookmarkStart w:id="2972" w:name="_Toc38439086"/>
      <w:bookmarkStart w:id="2973" w:name="_Toc38439423"/>
      <w:bookmarkStart w:id="2974" w:name="_Toc38439760"/>
      <w:bookmarkStart w:id="2975" w:name="_Toc38440097"/>
      <w:bookmarkStart w:id="2976" w:name="_Toc38440434"/>
      <w:bookmarkStart w:id="2977" w:name="_Toc38440966"/>
      <w:bookmarkStart w:id="2978" w:name="_Toc38441298"/>
      <w:bookmarkStart w:id="2979" w:name="_Toc38441630"/>
      <w:bookmarkStart w:id="2980" w:name="_Toc38441958"/>
      <w:bookmarkStart w:id="2981" w:name="_Toc38442290"/>
      <w:bookmarkStart w:id="2982" w:name="_Toc38442622"/>
      <w:bookmarkStart w:id="2983" w:name="_Toc38442953"/>
      <w:bookmarkStart w:id="2984" w:name="_Toc38443284"/>
      <w:bookmarkStart w:id="2985" w:name="_Toc38443615"/>
      <w:bookmarkStart w:id="2986" w:name="_Toc38443945"/>
      <w:bookmarkStart w:id="2987" w:name="_Toc38438413"/>
      <w:bookmarkStart w:id="2988" w:name="_Toc38438750"/>
      <w:bookmarkStart w:id="2989" w:name="_Toc38439087"/>
      <w:bookmarkStart w:id="2990" w:name="_Toc38439424"/>
      <w:bookmarkStart w:id="2991" w:name="_Toc38439761"/>
      <w:bookmarkStart w:id="2992" w:name="_Toc38440098"/>
      <w:bookmarkStart w:id="2993" w:name="_Toc38440435"/>
      <w:bookmarkStart w:id="2994" w:name="_Toc38440967"/>
      <w:bookmarkStart w:id="2995" w:name="_Toc38441299"/>
      <w:bookmarkStart w:id="2996" w:name="_Toc38441631"/>
      <w:bookmarkStart w:id="2997" w:name="_Toc38441959"/>
      <w:bookmarkStart w:id="2998" w:name="_Toc38442291"/>
      <w:bookmarkStart w:id="2999" w:name="_Toc38442623"/>
      <w:bookmarkStart w:id="3000" w:name="_Toc38442954"/>
      <w:bookmarkStart w:id="3001" w:name="_Toc38443285"/>
      <w:bookmarkStart w:id="3002" w:name="_Toc38443616"/>
      <w:bookmarkStart w:id="3003" w:name="_Toc38443946"/>
      <w:bookmarkStart w:id="3004" w:name="_Toc38438414"/>
      <w:bookmarkStart w:id="3005" w:name="_Toc38438751"/>
      <w:bookmarkStart w:id="3006" w:name="_Toc38439088"/>
      <w:bookmarkStart w:id="3007" w:name="_Toc38439425"/>
      <w:bookmarkStart w:id="3008" w:name="_Toc38439762"/>
      <w:bookmarkStart w:id="3009" w:name="_Toc38440099"/>
      <w:bookmarkStart w:id="3010" w:name="_Toc38440436"/>
      <w:bookmarkStart w:id="3011" w:name="_Toc38440968"/>
      <w:bookmarkStart w:id="3012" w:name="_Toc38441300"/>
      <w:bookmarkStart w:id="3013" w:name="_Toc38441632"/>
      <w:bookmarkStart w:id="3014" w:name="_Toc38441960"/>
      <w:bookmarkStart w:id="3015" w:name="_Toc38442292"/>
      <w:bookmarkStart w:id="3016" w:name="_Toc38442624"/>
      <w:bookmarkStart w:id="3017" w:name="_Toc38442955"/>
      <w:bookmarkStart w:id="3018" w:name="_Toc38443286"/>
      <w:bookmarkStart w:id="3019" w:name="_Toc38443617"/>
      <w:bookmarkStart w:id="3020" w:name="_Toc38443947"/>
      <w:bookmarkStart w:id="3021" w:name="_Toc38438415"/>
      <w:bookmarkStart w:id="3022" w:name="_Toc38438752"/>
      <w:bookmarkStart w:id="3023" w:name="_Toc38439089"/>
      <w:bookmarkStart w:id="3024" w:name="_Toc38439426"/>
      <w:bookmarkStart w:id="3025" w:name="_Toc38439763"/>
      <w:bookmarkStart w:id="3026" w:name="_Toc38440100"/>
      <w:bookmarkStart w:id="3027" w:name="_Toc38440437"/>
      <w:bookmarkStart w:id="3028" w:name="_Toc38440969"/>
      <w:bookmarkStart w:id="3029" w:name="_Toc38441301"/>
      <w:bookmarkStart w:id="3030" w:name="_Toc38441633"/>
      <w:bookmarkStart w:id="3031" w:name="_Toc38441961"/>
      <w:bookmarkStart w:id="3032" w:name="_Toc38442293"/>
      <w:bookmarkStart w:id="3033" w:name="_Toc38442625"/>
      <w:bookmarkStart w:id="3034" w:name="_Toc38442956"/>
      <w:bookmarkStart w:id="3035" w:name="_Toc38443287"/>
      <w:bookmarkStart w:id="3036" w:name="_Toc38443618"/>
      <w:bookmarkStart w:id="3037" w:name="_Toc38443948"/>
      <w:bookmarkStart w:id="3038" w:name="_Toc38438416"/>
      <w:bookmarkStart w:id="3039" w:name="_Toc38438753"/>
      <w:bookmarkStart w:id="3040" w:name="_Toc38439090"/>
      <w:bookmarkStart w:id="3041" w:name="_Toc38439427"/>
      <w:bookmarkStart w:id="3042" w:name="_Toc38439764"/>
      <w:bookmarkStart w:id="3043" w:name="_Toc38440101"/>
      <w:bookmarkStart w:id="3044" w:name="_Toc38440438"/>
      <w:bookmarkStart w:id="3045" w:name="_Toc38440970"/>
      <w:bookmarkStart w:id="3046" w:name="_Toc38441302"/>
      <w:bookmarkStart w:id="3047" w:name="_Toc38441634"/>
      <w:bookmarkStart w:id="3048" w:name="_Toc38441962"/>
      <w:bookmarkStart w:id="3049" w:name="_Toc38442294"/>
      <w:bookmarkStart w:id="3050" w:name="_Toc38442626"/>
      <w:bookmarkStart w:id="3051" w:name="_Toc38442957"/>
      <w:bookmarkStart w:id="3052" w:name="_Toc38443288"/>
      <w:bookmarkStart w:id="3053" w:name="_Toc38443619"/>
      <w:bookmarkStart w:id="3054" w:name="_Toc38443949"/>
      <w:bookmarkStart w:id="3055" w:name="_Toc38438417"/>
      <w:bookmarkStart w:id="3056" w:name="_Toc38438754"/>
      <w:bookmarkStart w:id="3057" w:name="_Toc38439091"/>
      <w:bookmarkStart w:id="3058" w:name="_Toc38439428"/>
      <w:bookmarkStart w:id="3059" w:name="_Toc38439765"/>
      <w:bookmarkStart w:id="3060" w:name="_Toc38440102"/>
      <w:bookmarkStart w:id="3061" w:name="_Toc38440439"/>
      <w:bookmarkStart w:id="3062" w:name="_Toc38440971"/>
      <w:bookmarkStart w:id="3063" w:name="_Toc38441303"/>
      <w:bookmarkStart w:id="3064" w:name="_Toc38441635"/>
      <w:bookmarkStart w:id="3065" w:name="_Toc38441963"/>
      <w:bookmarkStart w:id="3066" w:name="_Toc38442295"/>
      <w:bookmarkStart w:id="3067" w:name="_Toc38442627"/>
      <w:bookmarkStart w:id="3068" w:name="_Toc38442958"/>
      <w:bookmarkStart w:id="3069" w:name="_Toc38443289"/>
      <w:bookmarkStart w:id="3070" w:name="_Toc38443620"/>
      <w:bookmarkStart w:id="3071" w:name="_Toc38443950"/>
      <w:bookmarkStart w:id="3072" w:name="_Toc38438418"/>
      <w:bookmarkStart w:id="3073" w:name="_Toc38438755"/>
      <w:bookmarkStart w:id="3074" w:name="_Toc38439092"/>
      <w:bookmarkStart w:id="3075" w:name="_Toc38439429"/>
      <w:bookmarkStart w:id="3076" w:name="_Toc38439766"/>
      <w:bookmarkStart w:id="3077" w:name="_Toc38440103"/>
      <w:bookmarkStart w:id="3078" w:name="_Toc38440440"/>
      <w:bookmarkStart w:id="3079" w:name="_Toc38440972"/>
      <w:bookmarkStart w:id="3080" w:name="_Toc38441304"/>
      <w:bookmarkStart w:id="3081" w:name="_Toc38441636"/>
      <w:bookmarkStart w:id="3082" w:name="_Toc38441964"/>
      <w:bookmarkStart w:id="3083" w:name="_Toc38442296"/>
      <w:bookmarkStart w:id="3084" w:name="_Toc38442628"/>
      <w:bookmarkStart w:id="3085" w:name="_Toc38442959"/>
      <w:bookmarkStart w:id="3086" w:name="_Toc38443290"/>
      <w:bookmarkStart w:id="3087" w:name="_Toc38443621"/>
      <w:bookmarkStart w:id="3088" w:name="_Toc38443951"/>
      <w:bookmarkStart w:id="3089" w:name="_Toc38438419"/>
      <w:bookmarkStart w:id="3090" w:name="_Toc38438756"/>
      <w:bookmarkStart w:id="3091" w:name="_Toc38439093"/>
      <w:bookmarkStart w:id="3092" w:name="_Toc38439430"/>
      <w:bookmarkStart w:id="3093" w:name="_Toc38439767"/>
      <w:bookmarkStart w:id="3094" w:name="_Toc38440104"/>
      <w:bookmarkStart w:id="3095" w:name="_Toc38440441"/>
      <w:bookmarkStart w:id="3096" w:name="_Toc38440973"/>
      <w:bookmarkStart w:id="3097" w:name="_Toc38441305"/>
      <w:bookmarkStart w:id="3098" w:name="_Toc38441637"/>
      <w:bookmarkStart w:id="3099" w:name="_Toc38441965"/>
      <w:bookmarkStart w:id="3100" w:name="_Toc38442297"/>
      <w:bookmarkStart w:id="3101" w:name="_Toc38442629"/>
      <w:bookmarkStart w:id="3102" w:name="_Toc38442960"/>
      <w:bookmarkStart w:id="3103" w:name="_Toc38443291"/>
      <w:bookmarkStart w:id="3104" w:name="_Toc38443622"/>
      <w:bookmarkStart w:id="3105" w:name="_Toc38443952"/>
      <w:bookmarkStart w:id="3106" w:name="_Toc38438420"/>
      <w:bookmarkStart w:id="3107" w:name="_Toc38438757"/>
      <w:bookmarkStart w:id="3108" w:name="_Toc38439094"/>
      <w:bookmarkStart w:id="3109" w:name="_Toc38439431"/>
      <w:bookmarkStart w:id="3110" w:name="_Toc38439768"/>
      <w:bookmarkStart w:id="3111" w:name="_Toc38440105"/>
      <w:bookmarkStart w:id="3112" w:name="_Toc38440442"/>
      <w:bookmarkStart w:id="3113" w:name="_Toc38440974"/>
      <w:bookmarkStart w:id="3114" w:name="_Toc38441306"/>
      <w:bookmarkStart w:id="3115" w:name="_Toc38441638"/>
      <w:bookmarkStart w:id="3116" w:name="_Toc38441966"/>
      <w:bookmarkStart w:id="3117" w:name="_Toc38442298"/>
      <w:bookmarkStart w:id="3118" w:name="_Toc38442630"/>
      <w:bookmarkStart w:id="3119" w:name="_Toc38442961"/>
      <w:bookmarkStart w:id="3120" w:name="_Toc38443292"/>
      <w:bookmarkStart w:id="3121" w:name="_Toc38443623"/>
      <w:bookmarkStart w:id="3122" w:name="_Toc38443953"/>
      <w:bookmarkStart w:id="3123" w:name="_Toc38438421"/>
      <w:bookmarkStart w:id="3124" w:name="_Toc38438758"/>
      <w:bookmarkStart w:id="3125" w:name="_Toc38439095"/>
      <w:bookmarkStart w:id="3126" w:name="_Toc38439432"/>
      <w:bookmarkStart w:id="3127" w:name="_Toc38439769"/>
      <w:bookmarkStart w:id="3128" w:name="_Toc38440106"/>
      <w:bookmarkStart w:id="3129" w:name="_Toc38440443"/>
      <w:bookmarkStart w:id="3130" w:name="_Toc38440975"/>
      <w:bookmarkStart w:id="3131" w:name="_Toc38441307"/>
      <w:bookmarkStart w:id="3132" w:name="_Toc38441639"/>
      <w:bookmarkStart w:id="3133" w:name="_Toc38441967"/>
      <w:bookmarkStart w:id="3134" w:name="_Toc38442299"/>
      <w:bookmarkStart w:id="3135" w:name="_Toc38442631"/>
      <w:bookmarkStart w:id="3136" w:name="_Toc38442962"/>
      <w:bookmarkStart w:id="3137" w:name="_Toc38443293"/>
      <w:bookmarkStart w:id="3138" w:name="_Toc38443624"/>
      <w:bookmarkStart w:id="3139" w:name="_Toc38443954"/>
      <w:bookmarkStart w:id="3140" w:name="_Toc38438422"/>
      <w:bookmarkStart w:id="3141" w:name="_Toc38438759"/>
      <w:bookmarkStart w:id="3142" w:name="_Toc38439096"/>
      <w:bookmarkStart w:id="3143" w:name="_Toc38439433"/>
      <w:bookmarkStart w:id="3144" w:name="_Toc38439770"/>
      <w:bookmarkStart w:id="3145" w:name="_Toc38440107"/>
      <w:bookmarkStart w:id="3146" w:name="_Toc38440444"/>
      <w:bookmarkStart w:id="3147" w:name="_Toc38440976"/>
      <w:bookmarkStart w:id="3148" w:name="_Toc38441308"/>
      <w:bookmarkStart w:id="3149" w:name="_Toc38441640"/>
      <w:bookmarkStart w:id="3150" w:name="_Toc38441968"/>
      <w:bookmarkStart w:id="3151" w:name="_Toc38442300"/>
      <w:bookmarkStart w:id="3152" w:name="_Toc38442632"/>
      <w:bookmarkStart w:id="3153" w:name="_Toc38442963"/>
      <w:bookmarkStart w:id="3154" w:name="_Toc38443294"/>
      <w:bookmarkStart w:id="3155" w:name="_Toc38443625"/>
      <w:bookmarkStart w:id="3156" w:name="_Toc38443955"/>
      <w:bookmarkStart w:id="3157" w:name="_Toc38438423"/>
      <w:bookmarkStart w:id="3158" w:name="_Toc38438760"/>
      <w:bookmarkStart w:id="3159" w:name="_Toc38439097"/>
      <w:bookmarkStart w:id="3160" w:name="_Toc38439434"/>
      <w:bookmarkStart w:id="3161" w:name="_Toc38439771"/>
      <w:bookmarkStart w:id="3162" w:name="_Toc38440108"/>
      <w:bookmarkStart w:id="3163" w:name="_Toc38440445"/>
      <w:bookmarkStart w:id="3164" w:name="_Toc38440977"/>
      <w:bookmarkStart w:id="3165" w:name="_Toc38441309"/>
      <w:bookmarkStart w:id="3166" w:name="_Toc38441641"/>
      <w:bookmarkStart w:id="3167" w:name="_Toc38441969"/>
      <w:bookmarkStart w:id="3168" w:name="_Toc38442301"/>
      <w:bookmarkStart w:id="3169" w:name="_Toc38442633"/>
      <w:bookmarkStart w:id="3170" w:name="_Toc38442964"/>
      <w:bookmarkStart w:id="3171" w:name="_Toc38443295"/>
      <w:bookmarkStart w:id="3172" w:name="_Toc38443626"/>
      <w:bookmarkStart w:id="3173" w:name="_Toc38443956"/>
      <w:bookmarkStart w:id="3174" w:name="_Toc38438424"/>
      <w:bookmarkStart w:id="3175" w:name="_Toc38438761"/>
      <w:bookmarkStart w:id="3176" w:name="_Toc38439098"/>
      <w:bookmarkStart w:id="3177" w:name="_Toc38439435"/>
      <w:bookmarkStart w:id="3178" w:name="_Toc38439772"/>
      <w:bookmarkStart w:id="3179" w:name="_Toc38440109"/>
      <w:bookmarkStart w:id="3180" w:name="_Toc38440446"/>
      <w:bookmarkStart w:id="3181" w:name="_Toc38440978"/>
      <w:bookmarkStart w:id="3182" w:name="_Toc38441310"/>
      <w:bookmarkStart w:id="3183" w:name="_Toc38441642"/>
      <w:bookmarkStart w:id="3184" w:name="_Toc38441970"/>
      <w:bookmarkStart w:id="3185" w:name="_Toc38442302"/>
      <w:bookmarkStart w:id="3186" w:name="_Toc38442634"/>
      <w:bookmarkStart w:id="3187" w:name="_Toc38442965"/>
      <w:bookmarkStart w:id="3188" w:name="_Toc38443296"/>
      <w:bookmarkStart w:id="3189" w:name="_Toc38443627"/>
      <w:bookmarkStart w:id="3190" w:name="_Toc38443957"/>
      <w:bookmarkStart w:id="3191" w:name="_Toc38438425"/>
      <w:bookmarkStart w:id="3192" w:name="_Toc38438762"/>
      <w:bookmarkStart w:id="3193" w:name="_Toc38439099"/>
      <w:bookmarkStart w:id="3194" w:name="_Toc38439436"/>
      <w:bookmarkStart w:id="3195" w:name="_Toc38439773"/>
      <w:bookmarkStart w:id="3196" w:name="_Toc38440110"/>
      <w:bookmarkStart w:id="3197" w:name="_Toc38440447"/>
      <w:bookmarkStart w:id="3198" w:name="_Toc38440979"/>
      <w:bookmarkStart w:id="3199" w:name="_Toc38441311"/>
      <w:bookmarkStart w:id="3200" w:name="_Toc38441643"/>
      <w:bookmarkStart w:id="3201" w:name="_Toc38441971"/>
      <w:bookmarkStart w:id="3202" w:name="_Toc38442303"/>
      <w:bookmarkStart w:id="3203" w:name="_Toc38442635"/>
      <w:bookmarkStart w:id="3204" w:name="_Toc38442966"/>
      <w:bookmarkStart w:id="3205" w:name="_Toc38443297"/>
      <w:bookmarkStart w:id="3206" w:name="_Toc38443628"/>
      <w:bookmarkStart w:id="3207" w:name="_Toc38443958"/>
      <w:bookmarkStart w:id="3208" w:name="_Toc38438426"/>
      <w:bookmarkStart w:id="3209" w:name="_Toc38438763"/>
      <w:bookmarkStart w:id="3210" w:name="_Toc38439100"/>
      <w:bookmarkStart w:id="3211" w:name="_Toc38439437"/>
      <w:bookmarkStart w:id="3212" w:name="_Toc38439774"/>
      <w:bookmarkStart w:id="3213" w:name="_Toc38440111"/>
      <w:bookmarkStart w:id="3214" w:name="_Toc38440448"/>
      <w:bookmarkStart w:id="3215" w:name="_Toc38440980"/>
      <w:bookmarkStart w:id="3216" w:name="_Toc38441312"/>
      <w:bookmarkStart w:id="3217" w:name="_Toc38441644"/>
      <w:bookmarkStart w:id="3218" w:name="_Toc38441972"/>
      <w:bookmarkStart w:id="3219" w:name="_Toc38442304"/>
      <w:bookmarkStart w:id="3220" w:name="_Toc38442636"/>
      <w:bookmarkStart w:id="3221" w:name="_Toc38442967"/>
      <w:bookmarkStart w:id="3222" w:name="_Toc38443298"/>
      <w:bookmarkStart w:id="3223" w:name="_Toc38443629"/>
      <w:bookmarkStart w:id="3224" w:name="_Toc38443959"/>
      <w:bookmarkStart w:id="3225" w:name="_Toc38438427"/>
      <w:bookmarkStart w:id="3226" w:name="_Toc38438764"/>
      <w:bookmarkStart w:id="3227" w:name="_Toc38439101"/>
      <w:bookmarkStart w:id="3228" w:name="_Toc38439438"/>
      <w:bookmarkStart w:id="3229" w:name="_Toc38439775"/>
      <w:bookmarkStart w:id="3230" w:name="_Toc38440112"/>
      <w:bookmarkStart w:id="3231" w:name="_Toc38440449"/>
      <w:bookmarkStart w:id="3232" w:name="_Toc38440981"/>
      <w:bookmarkStart w:id="3233" w:name="_Toc38441313"/>
      <w:bookmarkStart w:id="3234" w:name="_Toc38441645"/>
      <w:bookmarkStart w:id="3235" w:name="_Toc38441973"/>
      <w:bookmarkStart w:id="3236" w:name="_Toc38442305"/>
      <w:bookmarkStart w:id="3237" w:name="_Toc38442637"/>
      <w:bookmarkStart w:id="3238" w:name="_Toc38442968"/>
      <w:bookmarkStart w:id="3239" w:name="_Toc38443299"/>
      <w:bookmarkStart w:id="3240" w:name="_Toc38443630"/>
      <w:bookmarkStart w:id="3241" w:name="_Toc38443960"/>
      <w:bookmarkStart w:id="3242" w:name="_Toc38438428"/>
      <w:bookmarkStart w:id="3243" w:name="_Toc38438765"/>
      <w:bookmarkStart w:id="3244" w:name="_Toc38439102"/>
      <w:bookmarkStart w:id="3245" w:name="_Toc38439439"/>
      <w:bookmarkStart w:id="3246" w:name="_Toc38439776"/>
      <w:bookmarkStart w:id="3247" w:name="_Toc38440113"/>
      <w:bookmarkStart w:id="3248" w:name="_Toc38440450"/>
      <w:bookmarkStart w:id="3249" w:name="_Toc38440982"/>
      <w:bookmarkStart w:id="3250" w:name="_Toc38441314"/>
      <w:bookmarkStart w:id="3251" w:name="_Toc38441646"/>
      <w:bookmarkStart w:id="3252" w:name="_Toc38441974"/>
      <w:bookmarkStart w:id="3253" w:name="_Toc38442306"/>
      <w:bookmarkStart w:id="3254" w:name="_Toc38442638"/>
      <w:bookmarkStart w:id="3255" w:name="_Toc38442969"/>
      <w:bookmarkStart w:id="3256" w:name="_Toc38443300"/>
      <w:bookmarkStart w:id="3257" w:name="_Toc38443631"/>
      <w:bookmarkStart w:id="3258" w:name="_Toc38443961"/>
      <w:bookmarkStart w:id="3259" w:name="_Toc38438429"/>
      <w:bookmarkStart w:id="3260" w:name="_Toc38438766"/>
      <w:bookmarkStart w:id="3261" w:name="_Toc38439103"/>
      <w:bookmarkStart w:id="3262" w:name="_Toc38439440"/>
      <w:bookmarkStart w:id="3263" w:name="_Toc38439777"/>
      <w:bookmarkStart w:id="3264" w:name="_Toc38440114"/>
      <w:bookmarkStart w:id="3265" w:name="_Toc38440451"/>
      <w:bookmarkStart w:id="3266" w:name="_Toc38440983"/>
      <w:bookmarkStart w:id="3267" w:name="_Toc38441315"/>
      <w:bookmarkStart w:id="3268" w:name="_Toc38441647"/>
      <w:bookmarkStart w:id="3269" w:name="_Toc38441975"/>
      <w:bookmarkStart w:id="3270" w:name="_Toc38442307"/>
      <w:bookmarkStart w:id="3271" w:name="_Toc38442639"/>
      <w:bookmarkStart w:id="3272" w:name="_Toc38442970"/>
      <w:bookmarkStart w:id="3273" w:name="_Toc38443301"/>
      <w:bookmarkStart w:id="3274" w:name="_Toc38443632"/>
      <w:bookmarkStart w:id="3275" w:name="_Toc38443962"/>
      <w:bookmarkStart w:id="3276" w:name="_Toc38438430"/>
      <w:bookmarkStart w:id="3277" w:name="_Toc38438767"/>
      <w:bookmarkStart w:id="3278" w:name="_Toc38439104"/>
      <w:bookmarkStart w:id="3279" w:name="_Toc38439441"/>
      <w:bookmarkStart w:id="3280" w:name="_Toc38439778"/>
      <w:bookmarkStart w:id="3281" w:name="_Toc38440115"/>
      <w:bookmarkStart w:id="3282" w:name="_Toc38440452"/>
      <w:bookmarkStart w:id="3283" w:name="_Toc38440984"/>
      <w:bookmarkStart w:id="3284" w:name="_Toc38441316"/>
      <w:bookmarkStart w:id="3285" w:name="_Toc38441648"/>
      <w:bookmarkStart w:id="3286" w:name="_Toc38441976"/>
      <w:bookmarkStart w:id="3287" w:name="_Toc38442308"/>
      <w:bookmarkStart w:id="3288" w:name="_Toc38442640"/>
      <w:bookmarkStart w:id="3289" w:name="_Toc38442971"/>
      <w:bookmarkStart w:id="3290" w:name="_Toc38443302"/>
      <w:bookmarkStart w:id="3291" w:name="_Toc38443633"/>
      <w:bookmarkStart w:id="3292" w:name="_Toc38443963"/>
      <w:bookmarkStart w:id="3293" w:name="_Toc38438431"/>
      <w:bookmarkStart w:id="3294" w:name="_Toc38438768"/>
      <w:bookmarkStart w:id="3295" w:name="_Toc38439105"/>
      <w:bookmarkStart w:id="3296" w:name="_Toc38439442"/>
      <w:bookmarkStart w:id="3297" w:name="_Toc38439779"/>
      <w:bookmarkStart w:id="3298" w:name="_Toc38440116"/>
      <w:bookmarkStart w:id="3299" w:name="_Toc38440453"/>
      <w:bookmarkStart w:id="3300" w:name="_Toc38440985"/>
      <w:bookmarkStart w:id="3301" w:name="_Toc38441317"/>
      <w:bookmarkStart w:id="3302" w:name="_Toc38441649"/>
      <w:bookmarkStart w:id="3303" w:name="_Toc38441977"/>
      <w:bookmarkStart w:id="3304" w:name="_Toc38442309"/>
      <w:bookmarkStart w:id="3305" w:name="_Toc38442641"/>
      <w:bookmarkStart w:id="3306" w:name="_Toc38442972"/>
      <w:bookmarkStart w:id="3307" w:name="_Toc38443303"/>
      <w:bookmarkStart w:id="3308" w:name="_Toc38443634"/>
      <w:bookmarkStart w:id="3309" w:name="_Toc38443964"/>
      <w:bookmarkStart w:id="3310" w:name="_Toc38438432"/>
      <w:bookmarkStart w:id="3311" w:name="_Toc38438769"/>
      <w:bookmarkStart w:id="3312" w:name="_Toc38439106"/>
      <w:bookmarkStart w:id="3313" w:name="_Toc38439443"/>
      <w:bookmarkStart w:id="3314" w:name="_Toc38439780"/>
      <w:bookmarkStart w:id="3315" w:name="_Toc38440117"/>
      <w:bookmarkStart w:id="3316" w:name="_Toc38440454"/>
      <w:bookmarkStart w:id="3317" w:name="_Toc38440986"/>
      <w:bookmarkStart w:id="3318" w:name="_Toc38441318"/>
      <w:bookmarkStart w:id="3319" w:name="_Toc38441650"/>
      <w:bookmarkStart w:id="3320" w:name="_Toc38441978"/>
      <w:bookmarkStart w:id="3321" w:name="_Toc38442310"/>
      <w:bookmarkStart w:id="3322" w:name="_Toc38442642"/>
      <w:bookmarkStart w:id="3323" w:name="_Toc38442973"/>
      <w:bookmarkStart w:id="3324" w:name="_Toc38443304"/>
      <w:bookmarkStart w:id="3325" w:name="_Toc38443635"/>
      <w:bookmarkStart w:id="3326" w:name="_Toc38443965"/>
      <w:bookmarkStart w:id="3327" w:name="_Toc38438433"/>
      <w:bookmarkStart w:id="3328" w:name="_Toc38438770"/>
      <w:bookmarkStart w:id="3329" w:name="_Toc38439107"/>
      <w:bookmarkStart w:id="3330" w:name="_Toc38439444"/>
      <w:bookmarkStart w:id="3331" w:name="_Toc38439781"/>
      <w:bookmarkStart w:id="3332" w:name="_Toc38440118"/>
      <w:bookmarkStart w:id="3333" w:name="_Toc38440455"/>
      <w:bookmarkStart w:id="3334" w:name="_Toc38440987"/>
      <w:bookmarkStart w:id="3335" w:name="_Toc38441319"/>
      <w:bookmarkStart w:id="3336" w:name="_Toc38441651"/>
      <w:bookmarkStart w:id="3337" w:name="_Toc38441979"/>
      <w:bookmarkStart w:id="3338" w:name="_Toc38442311"/>
      <w:bookmarkStart w:id="3339" w:name="_Toc38442643"/>
      <w:bookmarkStart w:id="3340" w:name="_Toc38442974"/>
      <w:bookmarkStart w:id="3341" w:name="_Toc38443305"/>
      <w:bookmarkStart w:id="3342" w:name="_Toc38443636"/>
      <w:bookmarkStart w:id="3343" w:name="_Toc38443966"/>
      <w:bookmarkStart w:id="3344" w:name="_Toc38438434"/>
      <w:bookmarkStart w:id="3345" w:name="_Toc38438771"/>
      <w:bookmarkStart w:id="3346" w:name="_Toc38439108"/>
      <w:bookmarkStart w:id="3347" w:name="_Toc38439445"/>
      <w:bookmarkStart w:id="3348" w:name="_Toc38439782"/>
      <w:bookmarkStart w:id="3349" w:name="_Toc38440119"/>
      <w:bookmarkStart w:id="3350" w:name="_Toc38440456"/>
      <w:bookmarkStart w:id="3351" w:name="_Toc38440988"/>
      <w:bookmarkStart w:id="3352" w:name="_Toc38441320"/>
      <w:bookmarkStart w:id="3353" w:name="_Toc38441652"/>
      <w:bookmarkStart w:id="3354" w:name="_Toc38441980"/>
      <w:bookmarkStart w:id="3355" w:name="_Toc38442312"/>
      <w:bookmarkStart w:id="3356" w:name="_Toc38442644"/>
      <w:bookmarkStart w:id="3357" w:name="_Toc38442975"/>
      <w:bookmarkStart w:id="3358" w:name="_Toc38443306"/>
      <w:bookmarkStart w:id="3359" w:name="_Toc38443637"/>
      <w:bookmarkStart w:id="3360" w:name="_Toc38443967"/>
      <w:bookmarkStart w:id="3361" w:name="_Toc38438435"/>
      <w:bookmarkStart w:id="3362" w:name="_Toc38438772"/>
      <w:bookmarkStart w:id="3363" w:name="_Toc38439109"/>
      <w:bookmarkStart w:id="3364" w:name="_Toc38439446"/>
      <w:bookmarkStart w:id="3365" w:name="_Toc38439783"/>
      <w:bookmarkStart w:id="3366" w:name="_Toc38440120"/>
      <w:bookmarkStart w:id="3367" w:name="_Toc38440457"/>
      <w:bookmarkStart w:id="3368" w:name="_Toc38440989"/>
      <w:bookmarkStart w:id="3369" w:name="_Toc38441321"/>
      <w:bookmarkStart w:id="3370" w:name="_Toc38441653"/>
      <w:bookmarkStart w:id="3371" w:name="_Toc38441981"/>
      <w:bookmarkStart w:id="3372" w:name="_Toc38442313"/>
      <w:bookmarkStart w:id="3373" w:name="_Toc38442645"/>
      <w:bookmarkStart w:id="3374" w:name="_Toc38442976"/>
      <w:bookmarkStart w:id="3375" w:name="_Toc38443307"/>
      <w:bookmarkStart w:id="3376" w:name="_Toc38443638"/>
      <w:bookmarkStart w:id="3377" w:name="_Toc38443968"/>
      <w:bookmarkStart w:id="3378" w:name="_Toc38438436"/>
      <w:bookmarkStart w:id="3379" w:name="_Toc38438773"/>
      <w:bookmarkStart w:id="3380" w:name="_Toc38439110"/>
      <w:bookmarkStart w:id="3381" w:name="_Toc38439447"/>
      <w:bookmarkStart w:id="3382" w:name="_Toc38439784"/>
      <w:bookmarkStart w:id="3383" w:name="_Toc38440121"/>
      <w:bookmarkStart w:id="3384" w:name="_Toc38440458"/>
      <w:bookmarkStart w:id="3385" w:name="_Toc38440990"/>
      <w:bookmarkStart w:id="3386" w:name="_Toc38441322"/>
      <w:bookmarkStart w:id="3387" w:name="_Toc38441654"/>
      <w:bookmarkStart w:id="3388" w:name="_Toc38441982"/>
      <w:bookmarkStart w:id="3389" w:name="_Toc38442314"/>
      <w:bookmarkStart w:id="3390" w:name="_Toc38442646"/>
      <w:bookmarkStart w:id="3391" w:name="_Toc38442977"/>
      <w:bookmarkStart w:id="3392" w:name="_Toc38443308"/>
      <w:bookmarkStart w:id="3393" w:name="_Toc38443639"/>
      <w:bookmarkStart w:id="3394" w:name="_Toc38443969"/>
      <w:bookmarkStart w:id="3395" w:name="_Toc38438437"/>
      <w:bookmarkStart w:id="3396" w:name="_Toc38438774"/>
      <w:bookmarkStart w:id="3397" w:name="_Toc38439111"/>
      <w:bookmarkStart w:id="3398" w:name="_Toc38439448"/>
      <w:bookmarkStart w:id="3399" w:name="_Toc38439785"/>
      <w:bookmarkStart w:id="3400" w:name="_Toc38440122"/>
      <w:bookmarkStart w:id="3401" w:name="_Toc38440459"/>
      <w:bookmarkStart w:id="3402" w:name="_Toc38440991"/>
      <w:bookmarkStart w:id="3403" w:name="_Toc38441323"/>
      <w:bookmarkStart w:id="3404" w:name="_Toc38441655"/>
      <w:bookmarkStart w:id="3405" w:name="_Toc38441983"/>
      <w:bookmarkStart w:id="3406" w:name="_Toc38442315"/>
      <w:bookmarkStart w:id="3407" w:name="_Toc38442647"/>
      <w:bookmarkStart w:id="3408" w:name="_Toc38442978"/>
      <w:bookmarkStart w:id="3409" w:name="_Toc38443309"/>
      <w:bookmarkStart w:id="3410" w:name="_Toc38443640"/>
      <w:bookmarkStart w:id="3411" w:name="_Toc38443970"/>
      <w:bookmarkStart w:id="3412" w:name="_Toc38438438"/>
      <w:bookmarkStart w:id="3413" w:name="_Toc38438775"/>
      <w:bookmarkStart w:id="3414" w:name="_Toc38439112"/>
      <w:bookmarkStart w:id="3415" w:name="_Toc38439449"/>
      <w:bookmarkStart w:id="3416" w:name="_Toc38439786"/>
      <w:bookmarkStart w:id="3417" w:name="_Toc38440123"/>
      <w:bookmarkStart w:id="3418" w:name="_Toc38440460"/>
      <w:bookmarkStart w:id="3419" w:name="_Toc38440992"/>
      <w:bookmarkStart w:id="3420" w:name="_Toc38441324"/>
      <w:bookmarkStart w:id="3421" w:name="_Toc38441656"/>
      <w:bookmarkStart w:id="3422" w:name="_Toc38441984"/>
      <w:bookmarkStart w:id="3423" w:name="_Toc38442316"/>
      <w:bookmarkStart w:id="3424" w:name="_Toc38442648"/>
      <w:bookmarkStart w:id="3425" w:name="_Toc38442979"/>
      <w:bookmarkStart w:id="3426" w:name="_Toc38443310"/>
      <w:bookmarkStart w:id="3427" w:name="_Toc38443641"/>
      <w:bookmarkStart w:id="3428" w:name="_Toc38443971"/>
      <w:bookmarkStart w:id="3429" w:name="_Toc38438439"/>
      <w:bookmarkStart w:id="3430" w:name="_Toc38438776"/>
      <w:bookmarkStart w:id="3431" w:name="_Toc38439113"/>
      <w:bookmarkStart w:id="3432" w:name="_Toc38439450"/>
      <w:bookmarkStart w:id="3433" w:name="_Toc38439787"/>
      <w:bookmarkStart w:id="3434" w:name="_Toc38440124"/>
      <w:bookmarkStart w:id="3435" w:name="_Toc38440461"/>
      <w:bookmarkStart w:id="3436" w:name="_Toc38440993"/>
      <w:bookmarkStart w:id="3437" w:name="_Toc38441325"/>
      <w:bookmarkStart w:id="3438" w:name="_Toc38441657"/>
      <w:bookmarkStart w:id="3439" w:name="_Toc38441985"/>
      <w:bookmarkStart w:id="3440" w:name="_Toc38442317"/>
      <w:bookmarkStart w:id="3441" w:name="_Toc38442649"/>
      <w:bookmarkStart w:id="3442" w:name="_Toc38442980"/>
      <w:bookmarkStart w:id="3443" w:name="_Toc38443311"/>
      <w:bookmarkStart w:id="3444" w:name="_Toc38443642"/>
      <w:bookmarkStart w:id="3445" w:name="_Toc38443972"/>
      <w:bookmarkStart w:id="3446" w:name="_Toc38438440"/>
      <w:bookmarkStart w:id="3447" w:name="_Toc38438777"/>
      <w:bookmarkStart w:id="3448" w:name="_Toc38439114"/>
      <w:bookmarkStart w:id="3449" w:name="_Toc38439451"/>
      <w:bookmarkStart w:id="3450" w:name="_Toc38439788"/>
      <w:bookmarkStart w:id="3451" w:name="_Toc38440125"/>
      <w:bookmarkStart w:id="3452" w:name="_Toc38440462"/>
      <w:bookmarkStart w:id="3453" w:name="_Toc38440994"/>
      <w:bookmarkStart w:id="3454" w:name="_Toc38441326"/>
      <w:bookmarkStart w:id="3455" w:name="_Toc38441658"/>
      <w:bookmarkStart w:id="3456" w:name="_Toc38441986"/>
      <w:bookmarkStart w:id="3457" w:name="_Toc38442318"/>
      <w:bookmarkStart w:id="3458" w:name="_Toc38442650"/>
      <w:bookmarkStart w:id="3459" w:name="_Toc38442981"/>
      <w:bookmarkStart w:id="3460" w:name="_Toc38443312"/>
      <w:bookmarkStart w:id="3461" w:name="_Toc38443643"/>
      <w:bookmarkStart w:id="3462" w:name="_Toc38443973"/>
      <w:bookmarkStart w:id="3463" w:name="_Toc38438441"/>
      <w:bookmarkStart w:id="3464" w:name="_Toc38438778"/>
      <w:bookmarkStart w:id="3465" w:name="_Toc38439115"/>
      <w:bookmarkStart w:id="3466" w:name="_Toc38439452"/>
      <w:bookmarkStart w:id="3467" w:name="_Toc38439789"/>
      <w:bookmarkStart w:id="3468" w:name="_Toc38440126"/>
      <w:bookmarkStart w:id="3469" w:name="_Toc38440463"/>
      <w:bookmarkStart w:id="3470" w:name="_Toc38440995"/>
      <w:bookmarkStart w:id="3471" w:name="_Toc38441327"/>
      <w:bookmarkStart w:id="3472" w:name="_Toc38441659"/>
      <w:bookmarkStart w:id="3473" w:name="_Toc38441987"/>
      <w:bookmarkStart w:id="3474" w:name="_Toc38442319"/>
      <w:bookmarkStart w:id="3475" w:name="_Toc38442651"/>
      <w:bookmarkStart w:id="3476" w:name="_Toc38442982"/>
      <w:bookmarkStart w:id="3477" w:name="_Toc38443313"/>
      <w:bookmarkStart w:id="3478" w:name="_Toc38443644"/>
      <w:bookmarkStart w:id="3479" w:name="_Toc38443974"/>
      <w:bookmarkStart w:id="3480" w:name="_Toc38438442"/>
      <w:bookmarkStart w:id="3481" w:name="_Toc38438779"/>
      <w:bookmarkStart w:id="3482" w:name="_Toc38439116"/>
      <w:bookmarkStart w:id="3483" w:name="_Toc38439453"/>
      <w:bookmarkStart w:id="3484" w:name="_Toc38439790"/>
      <w:bookmarkStart w:id="3485" w:name="_Toc38440127"/>
      <w:bookmarkStart w:id="3486" w:name="_Toc38440464"/>
      <w:bookmarkStart w:id="3487" w:name="_Toc38440996"/>
      <w:bookmarkStart w:id="3488" w:name="_Toc38441328"/>
      <w:bookmarkStart w:id="3489" w:name="_Toc38441660"/>
      <w:bookmarkStart w:id="3490" w:name="_Toc38441988"/>
      <w:bookmarkStart w:id="3491" w:name="_Toc38442320"/>
      <w:bookmarkStart w:id="3492" w:name="_Toc38442652"/>
      <w:bookmarkStart w:id="3493" w:name="_Toc38442983"/>
      <w:bookmarkStart w:id="3494" w:name="_Toc38443314"/>
      <w:bookmarkStart w:id="3495" w:name="_Toc38443645"/>
      <w:bookmarkStart w:id="3496" w:name="_Toc38443975"/>
      <w:bookmarkStart w:id="3497" w:name="_Toc38438443"/>
      <w:bookmarkStart w:id="3498" w:name="_Toc38438780"/>
      <w:bookmarkStart w:id="3499" w:name="_Toc38439117"/>
      <w:bookmarkStart w:id="3500" w:name="_Toc38439454"/>
      <w:bookmarkStart w:id="3501" w:name="_Toc38439791"/>
      <w:bookmarkStart w:id="3502" w:name="_Toc38440128"/>
      <w:bookmarkStart w:id="3503" w:name="_Toc38440465"/>
      <w:bookmarkStart w:id="3504" w:name="_Toc38440997"/>
      <w:bookmarkStart w:id="3505" w:name="_Toc38441329"/>
      <w:bookmarkStart w:id="3506" w:name="_Toc38441661"/>
      <w:bookmarkStart w:id="3507" w:name="_Toc38441989"/>
      <w:bookmarkStart w:id="3508" w:name="_Toc38442321"/>
      <w:bookmarkStart w:id="3509" w:name="_Toc38442653"/>
      <w:bookmarkStart w:id="3510" w:name="_Toc38442984"/>
      <w:bookmarkStart w:id="3511" w:name="_Toc38443315"/>
      <w:bookmarkStart w:id="3512" w:name="_Toc38443646"/>
      <w:bookmarkStart w:id="3513" w:name="_Toc38443976"/>
      <w:bookmarkStart w:id="3514" w:name="_Toc38438444"/>
      <w:bookmarkStart w:id="3515" w:name="_Toc38438781"/>
      <w:bookmarkStart w:id="3516" w:name="_Toc38439118"/>
      <w:bookmarkStart w:id="3517" w:name="_Toc38439455"/>
      <w:bookmarkStart w:id="3518" w:name="_Toc38439792"/>
      <w:bookmarkStart w:id="3519" w:name="_Toc38440129"/>
      <w:bookmarkStart w:id="3520" w:name="_Toc38440466"/>
      <w:bookmarkStart w:id="3521" w:name="_Toc38440998"/>
      <w:bookmarkStart w:id="3522" w:name="_Toc38441330"/>
      <w:bookmarkStart w:id="3523" w:name="_Toc38441662"/>
      <w:bookmarkStart w:id="3524" w:name="_Toc38441990"/>
      <w:bookmarkStart w:id="3525" w:name="_Toc38442322"/>
      <w:bookmarkStart w:id="3526" w:name="_Toc38442654"/>
      <w:bookmarkStart w:id="3527" w:name="_Toc38442985"/>
      <w:bookmarkStart w:id="3528" w:name="_Toc38443316"/>
      <w:bookmarkStart w:id="3529" w:name="_Toc38443647"/>
      <w:bookmarkStart w:id="3530" w:name="_Toc38443977"/>
      <w:bookmarkStart w:id="3531" w:name="_Toc38438445"/>
      <w:bookmarkStart w:id="3532" w:name="_Toc38438782"/>
      <w:bookmarkStart w:id="3533" w:name="_Toc38439119"/>
      <w:bookmarkStart w:id="3534" w:name="_Toc38439456"/>
      <w:bookmarkStart w:id="3535" w:name="_Toc38439793"/>
      <w:bookmarkStart w:id="3536" w:name="_Toc38440130"/>
      <w:bookmarkStart w:id="3537" w:name="_Toc38440467"/>
      <w:bookmarkStart w:id="3538" w:name="_Toc38440999"/>
      <w:bookmarkStart w:id="3539" w:name="_Toc38441331"/>
      <w:bookmarkStart w:id="3540" w:name="_Toc38441663"/>
      <w:bookmarkStart w:id="3541" w:name="_Toc38441991"/>
      <w:bookmarkStart w:id="3542" w:name="_Toc38442323"/>
      <w:bookmarkStart w:id="3543" w:name="_Toc38442655"/>
      <w:bookmarkStart w:id="3544" w:name="_Toc38442986"/>
      <w:bookmarkStart w:id="3545" w:name="_Toc38443317"/>
      <w:bookmarkStart w:id="3546" w:name="_Toc38443648"/>
      <w:bookmarkStart w:id="3547" w:name="_Toc38443978"/>
      <w:bookmarkStart w:id="3548" w:name="_Toc38438446"/>
      <w:bookmarkStart w:id="3549" w:name="_Toc38438783"/>
      <w:bookmarkStart w:id="3550" w:name="_Toc38439120"/>
      <w:bookmarkStart w:id="3551" w:name="_Toc38439457"/>
      <w:bookmarkStart w:id="3552" w:name="_Toc38439794"/>
      <w:bookmarkStart w:id="3553" w:name="_Toc38440131"/>
      <w:bookmarkStart w:id="3554" w:name="_Toc38440468"/>
      <w:bookmarkStart w:id="3555" w:name="_Toc38441000"/>
      <w:bookmarkStart w:id="3556" w:name="_Toc38441332"/>
      <w:bookmarkStart w:id="3557" w:name="_Toc38441664"/>
      <w:bookmarkStart w:id="3558" w:name="_Toc38441992"/>
      <w:bookmarkStart w:id="3559" w:name="_Toc38442324"/>
      <w:bookmarkStart w:id="3560" w:name="_Toc38442656"/>
      <w:bookmarkStart w:id="3561" w:name="_Toc38442987"/>
      <w:bookmarkStart w:id="3562" w:name="_Toc38443318"/>
      <w:bookmarkStart w:id="3563" w:name="_Toc38443649"/>
      <w:bookmarkStart w:id="3564" w:name="_Toc38443979"/>
      <w:bookmarkStart w:id="3565" w:name="_Toc38438447"/>
      <w:bookmarkStart w:id="3566" w:name="_Toc38438784"/>
      <w:bookmarkStart w:id="3567" w:name="_Toc38439121"/>
      <w:bookmarkStart w:id="3568" w:name="_Toc38439458"/>
      <w:bookmarkStart w:id="3569" w:name="_Toc38439795"/>
      <w:bookmarkStart w:id="3570" w:name="_Toc38440132"/>
      <w:bookmarkStart w:id="3571" w:name="_Toc38440469"/>
      <w:bookmarkStart w:id="3572" w:name="_Toc38441001"/>
      <w:bookmarkStart w:id="3573" w:name="_Toc38441333"/>
      <w:bookmarkStart w:id="3574" w:name="_Toc38441665"/>
      <w:bookmarkStart w:id="3575" w:name="_Toc38441993"/>
      <w:bookmarkStart w:id="3576" w:name="_Toc38442325"/>
      <w:bookmarkStart w:id="3577" w:name="_Toc38442657"/>
      <w:bookmarkStart w:id="3578" w:name="_Toc38442988"/>
      <w:bookmarkStart w:id="3579" w:name="_Toc38443319"/>
      <w:bookmarkStart w:id="3580" w:name="_Toc38443650"/>
      <w:bookmarkStart w:id="3581" w:name="_Toc38443980"/>
      <w:bookmarkStart w:id="3582" w:name="_Toc38438448"/>
      <w:bookmarkStart w:id="3583" w:name="_Toc38438785"/>
      <w:bookmarkStart w:id="3584" w:name="_Toc38439122"/>
      <w:bookmarkStart w:id="3585" w:name="_Toc38439459"/>
      <w:bookmarkStart w:id="3586" w:name="_Toc38439796"/>
      <w:bookmarkStart w:id="3587" w:name="_Toc38440133"/>
      <w:bookmarkStart w:id="3588" w:name="_Toc38440470"/>
      <w:bookmarkStart w:id="3589" w:name="_Toc38441002"/>
      <w:bookmarkStart w:id="3590" w:name="_Toc38441334"/>
      <w:bookmarkStart w:id="3591" w:name="_Toc38441666"/>
      <w:bookmarkStart w:id="3592" w:name="_Toc38441994"/>
      <w:bookmarkStart w:id="3593" w:name="_Toc38442326"/>
      <w:bookmarkStart w:id="3594" w:name="_Toc38442658"/>
      <w:bookmarkStart w:id="3595" w:name="_Toc38442989"/>
      <w:bookmarkStart w:id="3596" w:name="_Toc38443320"/>
      <w:bookmarkStart w:id="3597" w:name="_Toc38443651"/>
      <w:bookmarkStart w:id="3598" w:name="_Toc38443981"/>
      <w:bookmarkStart w:id="3599" w:name="_Toc38438449"/>
      <w:bookmarkStart w:id="3600" w:name="_Toc38438786"/>
      <w:bookmarkStart w:id="3601" w:name="_Toc38439123"/>
      <w:bookmarkStart w:id="3602" w:name="_Toc38439460"/>
      <w:bookmarkStart w:id="3603" w:name="_Toc38439797"/>
      <w:bookmarkStart w:id="3604" w:name="_Toc38440134"/>
      <w:bookmarkStart w:id="3605" w:name="_Toc38440471"/>
      <w:bookmarkStart w:id="3606" w:name="_Toc38441003"/>
      <w:bookmarkStart w:id="3607" w:name="_Toc38441335"/>
      <w:bookmarkStart w:id="3608" w:name="_Toc38441667"/>
      <w:bookmarkStart w:id="3609" w:name="_Toc38441995"/>
      <w:bookmarkStart w:id="3610" w:name="_Toc38442327"/>
      <w:bookmarkStart w:id="3611" w:name="_Toc38442659"/>
      <w:bookmarkStart w:id="3612" w:name="_Toc38442990"/>
      <w:bookmarkStart w:id="3613" w:name="_Toc38443321"/>
      <w:bookmarkStart w:id="3614" w:name="_Toc38443652"/>
      <w:bookmarkStart w:id="3615" w:name="_Toc38443982"/>
      <w:bookmarkStart w:id="3616" w:name="_Toc38438450"/>
      <w:bookmarkStart w:id="3617" w:name="_Toc38438787"/>
      <w:bookmarkStart w:id="3618" w:name="_Toc38439124"/>
      <w:bookmarkStart w:id="3619" w:name="_Toc38439461"/>
      <w:bookmarkStart w:id="3620" w:name="_Toc38439798"/>
      <w:bookmarkStart w:id="3621" w:name="_Toc38440135"/>
      <w:bookmarkStart w:id="3622" w:name="_Toc38440472"/>
      <w:bookmarkStart w:id="3623" w:name="_Toc38441004"/>
      <w:bookmarkStart w:id="3624" w:name="_Toc38441336"/>
      <w:bookmarkStart w:id="3625" w:name="_Toc38441668"/>
      <w:bookmarkStart w:id="3626" w:name="_Toc38441996"/>
      <w:bookmarkStart w:id="3627" w:name="_Toc38442328"/>
      <w:bookmarkStart w:id="3628" w:name="_Toc38442660"/>
      <w:bookmarkStart w:id="3629" w:name="_Toc38442991"/>
      <w:bookmarkStart w:id="3630" w:name="_Toc38443322"/>
      <w:bookmarkStart w:id="3631" w:name="_Toc38443653"/>
      <w:bookmarkStart w:id="3632" w:name="_Toc38443983"/>
      <w:bookmarkStart w:id="3633" w:name="_Toc38438451"/>
      <w:bookmarkStart w:id="3634" w:name="_Toc38438788"/>
      <w:bookmarkStart w:id="3635" w:name="_Toc38439125"/>
      <w:bookmarkStart w:id="3636" w:name="_Toc38439462"/>
      <w:bookmarkStart w:id="3637" w:name="_Toc38439799"/>
      <w:bookmarkStart w:id="3638" w:name="_Toc38440136"/>
      <w:bookmarkStart w:id="3639" w:name="_Toc38440473"/>
      <w:bookmarkStart w:id="3640" w:name="_Toc38441005"/>
      <w:bookmarkStart w:id="3641" w:name="_Toc38441337"/>
      <w:bookmarkStart w:id="3642" w:name="_Toc38441669"/>
      <w:bookmarkStart w:id="3643" w:name="_Toc38441997"/>
      <w:bookmarkStart w:id="3644" w:name="_Toc38442329"/>
      <w:bookmarkStart w:id="3645" w:name="_Toc38442661"/>
      <w:bookmarkStart w:id="3646" w:name="_Toc38442992"/>
      <w:bookmarkStart w:id="3647" w:name="_Toc38443323"/>
      <w:bookmarkStart w:id="3648" w:name="_Toc38443654"/>
      <w:bookmarkStart w:id="3649" w:name="_Toc38443984"/>
      <w:bookmarkStart w:id="3650" w:name="_Toc38438452"/>
      <w:bookmarkStart w:id="3651" w:name="_Toc38438789"/>
      <w:bookmarkStart w:id="3652" w:name="_Toc38439126"/>
      <w:bookmarkStart w:id="3653" w:name="_Toc38439463"/>
      <w:bookmarkStart w:id="3654" w:name="_Toc38439800"/>
      <w:bookmarkStart w:id="3655" w:name="_Toc38440137"/>
      <w:bookmarkStart w:id="3656" w:name="_Toc38440474"/>
      <w:bookmarkStart w:id="3657" w:name="_Toc38441006"/>
      <w:bookmarkStart w:id="3658" w:name="_Toc38441338"/>
      <w:bookmarkStart w:id="3659" w:name="_Toc38441670"/>
      <w:bookmarkStart w:id="3660" w:name="_Toc38441998"/>
      <w:bookmarkStart w:id="3661" w:name="_Toc38442330"/>
      <w:bookmarkStart w:id="3662" w:name="_Toc38442662"/>
      <w:bookmarkStart w:id="3663" w:name="_Toc38442993"/>
      <w:bookmarkStart w:id="3664" w:name="_Toc38443324"/>
      <w:bookmarkStart w:id="3665" w:name="_Toc38443655"/>
      <w:bookmarkStart w:id="3666" w:name="_Toc38443985"/>
      <w:bookmarkStart w:id="3667" w:name="_Toc38438453"/>
      <w:bookmarkStart w:id="3668" w:name="_Toc38438790"/>
      <w:bookmarkStart w:id="3669" w:name="_Toc38439127"/>
      <w:bookmarkStart w:id="3670" w:name="_Toc38439464"/>
      <w:bookmarkStart w:id="3671" w:name="_Toc38439801"/>
      <w:bookmarkStart w:id="3672" w:name="_Toc38440138"/>
      <w:bookmarkStart w:id="3673" w:name="_Toc38440475"/>
      <w:bookmarkStart w:id="3674" w:name="_Toc38441007"/>
      <w:bookmarkStart w:id="3675" w:name="_Toc38441339"/>
      <w:bookmarkStart w:id="3676" w:name="_Toc38441671"/>
      <w:bookmarkStart w:id="3677" w:name="_Toc38441999"/>
      <w:bookmarkStart w:id="3678" w:name="_Toc38442331"/>
      <w:bookmarkStart w:id="3679" w:name="_Toc38442663"/>
      <w:bookmarkStart w:id="3680" w:name="_Toc38442994"/>
      <w:bookmarkStart w:id="3681" w:name="_Toc38443325"/>
      <w:bookmarkStart w:id="3682" w:name="_Toc38443656"/>
      <w:bookmarkStart w:id="3683" w:name="_Toc38443986"/>
      <w:bookmarkStart w:id="3684" w:name="_Toc38438454"/>
      <w:bookmarkStart w:id="3685" w:name="_Toc38438791"/>
      <w:bookmarkStart w:id="3686" w:name="_Toc38439128"/>
      <w:bookmarkStart w:id="3687" w:name="_Toc38439465"/>
      <w:bookmarkStart w:id="3688" w:name="_Toc38439802"/>
      <w:bookmarkStart w:id="3689" w:name="_Toc38440139"/>
      <w:bookmarkStart w:id="3690" w:name="_Toc38440476"/>
      <w:bookmarkStart w:id="3691" w:name="_Toc38441008"/>
      <w:bookmarkStart w:id="3692" w:name="_Toc38441340"/>
      <w:bookmarkStart w:id="3693" w:name="_Toc38441672"/>
      <w:bookmarkStart w:id="3694" w:name="_Toc38442000"/>
      <w:bookmarkStart w:id="3695" w:name="_Toc38442332"/>
      <w:bookmarkStart w:id="3696" w:name="_Toc38442664"/>
      <w:bookmarkStart w:id="3697" w:name="_Toc38442995"/>
      <w:bookmarkStart w:id="3698" w:name="_Toc38443326"/>
      <w:bookmarkStart w:id="3699" w:name="_Toc38443657"/>
      <w:bookmarkStart w:id="3700" w:name="_Toc38443987"/>
      <w:bookmarkStart w:id="3701" w:name="_Toc38438455"/>
      <w:bookmarkStart w:id="3702" w:name="_Toc38438792"/>
      <w:bookmarkStart w:id="3703" w:name="_Toc38439129"/>
      <w:bookmarkStart w:id="3704" w:name="_Toc38439466"/>
      <w:bookmarkStart w:id="3705" w:name="_Toc38439803"/>
      <w:bookmarkStart w:id="3706" w:name="_Toc38440140"/>
      <w:bookmarkStart w:id="3707" w:name="_Toc38440477"/>
      <w:bookmarkStart w:id="3708" w:name="_Toc38441009"/>
      <w:bookmarkStart w:id="3709" w:name="_Toc38441341"/>
      <w:bookmarkStart w:id="3710" w:name="_Toc38441673"/>
      <w:bookmarkStart w:id="3711" w:name="_Toc38442001"/>
      <w:bookmarkStart w:id="3712" w:name="_Toc38442333"/>
      <w:bookmarkStart w:id="3713" w:name="_Toc38442665"/>
      <w:bookmarkStart w:id="3714" w:name="_Toc38442996"/>
      <w:bookmarkStart w:id="3715" w:name="_Toc38443327"/>
      <w:bookmarkStart w:id="3716" w:name="_Toc38443658"/>
      <w:bookmarkStart w:id="3717" w:name="_Toc38443988"/>
      <w:bookmarkStart w:id="3718" w:name="_Toc38438456"/>
      <w:bookmarkStart w:id="3719" w:name="_Toc38438793"/>
      <w:bookmarkStart w:id="3720" w:name="_Toc38439130"/>
      <w:bookmarkStart w:id="3721" w:name="_Toc38439467"/>
      <w:bookmarkStart w:id="3722" w:name="_Toc38439804"/>
      <w:bookmarkStart w:id="3723" w:name="_Toc38440141"/>
      <w:bookmarkStart w:id="3724" w:name="_Toc38440478"/>
      <w:bookmarkStart w:id="3725" w:name="_Toc38441010"/>
      <w:bookmarkStart w:id="3726" w:name="_Toc38441342"/>
      <w:bookmarkStart w:id="3727" w:name="_Toc38441674"/>
      <w:bookmarkStart w:id="3728" w:name="_Toc38442002"/>
      <w:bookmarkStart w:id="3729" w:name="_Toc38442334"/>
      <w:bookmarkStart w:id="3730" w:name="_Toc38442666"/>
      <w:bookmarkStart w:id="3731" w:name="_Toc38442997"/>
      <w:bookmarkStart w:id="3732" w:name="_Toc38443328"/>
      <w:bookmarkStart w:id="3733" w:name="_Toc38443659"/>
      <w:bookmarkStart w:id="3734" w:name="_Toc38443989"/>
      <w:bookmarkStart w:id="3735" w:name="_Toc38438457"/>
      <w:bookmarkStart w:id="3736" w:name="_Toc38438794"/>
      <w:bookmarkStart w:id="3737" w:name="_Toc38439131"/>
      <w:bookmarkStart w:id="3738" w:name="_Toc38439468"/>
      <w:bookmarkStart w:id="3739" w:name="_Toc38439805"/>
      <w:bookmarkStart w:id="3740" w:name="_Toc38440142"/>
      <w:bookmarkStart w:id="3741" w:name="_Toc38440479"/>
      <w:bookmarkStart w:id="3742" w:name="_Toc38441011"/>
      <w:bookmarkStart w:id="3743" w:name="_Toc38441343"/>
      <w:bookmarkStart w:id="3744" w:name="_Toc38441675"/>
      <w:bookmarkStart w:id="3745" w:name="_Toc38442003"/>
      <w:bookmarkStart w:id="3746" w:name="_Toc38442335"/>
      <w:bookmarkStart w:id="3747" w:name="_Toc38442667"/>
      <w:bookmarkStart w:id="3748" w:name="_Toc38442998"/>
      <w:bookmarkStart w:id="3749" w:name="_Toc38443329"/>
      <w:bookmarkStart w:id="3750" w:name="_Toc38443660"/>
      <w:bookmarkStart w:id="3751" w:name="_Toc38443990"/>
      <w:bookmarkStart w:id="3752" w:name="_Toc38438458"/>
      <w:bookmarkStart w:id="3753" w:name="_Toc38438795"/>
      <w:bookmarkStart w:id="3754" w:name="_Toc38439132"/>
      <w:bookmarkStart w:id="3755" w:name="_Toc38439469"/>
      <w:bookmarkStart w:id="3756" w:name="_Toc38439806"/>
      <w:bookmarkStart w:id="3757" w:name="_Toc38440143"/>
      <w:bookmarkStart w:id="3758" w:name="_Toc38440480"/>
      <w:bookmarkStart w:id="3759" w:name="_Toc38441012"/>
      <w:bookmarkStart w:id="3760" w:name="_Toc38441344"/>
      <w:bookmarkStart w:id="3761" w:name="_Toc38441676"/>
      <w:bookmarkStart w:id="3762" w:name="_Toc38442004"/>
      <w:bookmarkStart w:id="3763" w:name="_Toc38442336"/>
      <w:bookmarkStart w:id="3764" w:name="_Toc38442668"/>
      <w:bookmarkStart w:id="3765" w:name="_Toc38442999"/>
      <w:bookmarkStart w:id="3766" w:name="_Toc38443330"/>
      <w:bookmarkStart w:id="3767" w:name="_Toc38443661"/>
      <w:bookmarkStart w:id="3768" w:name="_Toc38443991"/>
      <w:bookmarkStart w:id="3769" w:name="_Toc114237495"/>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r w:rsidRPr="00490741">
        <w:rPr>
          <w:rFonts w:asciiTheme="minorEastAsia" w:eastAsiaTheme="minorEastAsia" w:hAnsiTheme="minorEastAsia" w:hint="eastAsia"/>
          <w:b/>
          <w:color w:val="000000" w:themeColor="text1"/>
        </w:rPr>
        <w:t>二十五、</w:t>
      </w:r>
      <w:r w:rsidRPr="00490741">
        <w:rPr>
          <w:rFonts w:asciiTheme="minorEastAsia" w:eastAsiaTheme="minorEastAsia" w:hAnsiTheme="minorEastAsia" w:hint="eastAsia"/>
          <w:b/>
          <w:bCs/>
          <w:color w:val="000000" w:themeColor="text1"/>
        </w:rPr>
        <w:t>招募说明书存放及查阅方式</w:t>
      </w:r>
      <w:bookmarkEnd w:id="3769"/>
    </w:p>
    <w:p w:rsidR="00E1094C" w:rsidRPr="00490741" w:rsidP="00107648">
      <w:pPr>
        <w:snapToGrid w:val="0"/>
        <w:spacing w:line="360" w:lineRule="auto"/>
        <w:ind w:firstLine="480"/>
        <w:rPr>
          <w:rFonts w:asciiTheme="minorEastAsia" w:eastAsiaTheme="minorEastAsia" w:hAnsiTheme="minorEastAsia"/>
          <w:color w:val="000000" w:themeColor="text1"/>
        </w:rPr>
        <w:sectPr w:rsidSect="0035472D">
          <w:pgSz w:w="11906" w:h="16838" w:code="9"/>
          <w:pgMar w:top="1440" w:right="1800" w:bottom="1440" w:left="1800" w:header="851" w:footer="992" w:gutter="0"/>
          <w:cols w:space="425"/>
          <w:docGrid w:type="lines" w:linePitch="312"/>
        </w:sectPr>
      </w:pPr>
      <w:r w:rsidRPr="00490741">
        <w:rPr>
          <w:rFonts w:asciiTheme="minorEastAsia" w:eastAsiaTheme="minorEastAsia" w:hAnsiTheme="minorEastAsia" w:hint="eastAsia"/>
          <w:color w:val="000000" w:themeColor="text1"/>
          <w:szCs w:val="21"/>
        </w:rPr>
        <w:t>本《招募说明书》存放在基金管理人、基金托管人及基金</w:t>
      </w:r>
      <w:r w:rsidRPr="00490741" w:rsidR="0014219A">
        <w:rPr>
          <w:rFonts w:asciiTheme="minorEastAsia" w:eastAsiaTheme="minorEastAsia" w:hAnsiTheme="minorEastAsia" w:hint="eastAsia"/>
          <w:color w:val="000000" w:themeColor="text1"/>
          <w:szCs w:val="21"/>
        </w:rPr>
        <w:t>销售</w:t>
      </w:r>
      <w:r w:rsidRPr="00490741">
        <w:rPr>
          <w:rFonts w:asciiTheme="minorEastAsia" w:eastAsiaTheme="minorEastAsia" w:hAnsiTheme="minorEastAsia" w:hint="eastAsia"/>
          <w:color w:val="000000" w:themeColor="text1"/>
          <w:szCs w:val="21"/>
        </w:rPr>
        <w:t>机构</w:t>
      </w:r>
      <w:r w:rsidRPr="00490741" w:rsidR="00160E3C">
        <w:rPr>
          <w:rFonts w:asciiTheme="minorEastAsia" w:eastAsiaTheme="minorEastAsia" w:hAnsiTheme="minorEastAsia" w:hint="eastAsia"/>
          <w:color w:val="000000" w:themeColor="text1"/>
          <w:szCs w:val="21"/>
        </w:rPr>
        <w:t>处</w:t>
      </w:r>
      <w:r w:rsidRPr="00490741">
        <w:rPr>
          <w:rFonts w:asciiTheme="minorEastAsia" w:eastAsiaTheme="minorEastAsia" w:hAnsiTheme="minorEastAsia" w:hint="eastAsia"/>
          <w:color w:val="000000" w:themeColor="text1"/>
          <w:szCs w:val="21"/>
        </w:rPr>
        <w:t>，投资者可在营业时间免费查阅，也可按工本费购买复印件。</w:t>
      </w:r>
      <w:r w:rsidRPr="00490741">
        <w:rPr>
          <w:rFonts w:asciiTheme="minorEastAsia" w:eastAsiaTheme="minorEastAsia" w:hAnsiTheme="minorEastAsia"/>
          <w:color w:val="000000" w:themeColor="text1"/>
        </w:rPr>
        <w:t>基金管理人和基金托管人保证</w:t>
      </w:r>
      <w:r w:rsidRPr="00490741">
        <w:rPr>
          <w:rFonts w:asciiTheme="minorEastAsia" w:eastAsiaTheme="minorEastAsia" w:hAnsiTheme="minorEastAsia" w:hint="eastAsia"/>
          <w:color w:val="000000" w:themeColor="text1"/>
        </w:rPr>
        <w:t>其所提供的</w:t>
      </w:r>
      <w:r w:rsidRPr="00490741">
        <w:rPr>
          <w:rFonts w:asciiTheme="minorEastAsia" w:eastAsiaTheme="minorEastAsia" w:hAnsiTheme="minorEastAsia"/>
          <w:color w:val="000000" w:themeColor="text1"/>
        </w:rPr>
        <w:t>文本的内容与所公告的内容完全一致。</w:t>
      </w:r>
    </w:p>
    <w:p w:rsidR="0002608C" w:rsidRPr="00490741" w:rsidP="00107648">
      <w:pPr>
        <w:pStyle w:val="Heading1"/>
        <w:snapToGrid w:val="0"/>
        <w:spacing w:beforeLines="0" w:afterLines="0" w:line="360" w:lineRule="auto"/>
        <w:ind w:firstLine="643"/>
        <w:rPr>
          <w:rFonts w:asciiTheme="minorEastAsia" w:eastAsiaTheme="minorEastAsia" w:hAnsiTheme="minorEastAsia"/>
          <w:b/>
          <w:color w:val="000000" w:themeColor="text1"/>
          <w:szCs w:val="21"/>
        </w:rPr>
      </w:pPr>
      <w:bookmarkStart w:id="3770" w:name="_Toc114237496"/>
      <w:r w:rsidRPr="00490741">
        <w:rPr>
          <w:rFonts w:asciiTheme="minorEastAsia" w:eastAsiaTheme="minorEastAsia" w:hAnsiTheme="minorEastAsia" w:hint="eastAsia"/>
          <w:b/>
          <w:color w:val="000000" w:themeColor="text1"/>
        </w:rPr>
        <w:t>二十六、备查文件</w:t>
      </w:r>
      <w:bookmarkEnd w:id="3770"/>
    </w:p>
    <w:p w:rsidR="0002608C" w:rsidRPr="00490741" w:rsidP="00107648">
      <w:pPr>
        <w:pStyle w:val="BodyTextFirstIndent"/>
        <w:autoSpaceDE w:val="0"/>
        <w:autoSpaceDN w:val="0"/>
        <w:adjustRightInd w:val="0"/>
        <w:snapToGrid w:val="0"/>
        <w:spacing w:after="0" w:line="360" w:lineRule="auto"/>
        <w:ind w:firstLineChars="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1</w:t>
      </w:r>
      <w:r w:rsidRPr="00490741" w:rsidR="00C75FC8">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中国证监会核准易方达价值精选股票型证券投资基金募集的文件；</w:t>
      </w:r>
    </w:p>
    <w:p w:rsidR="0002608C" w:rsidRPr="00490741" w:rsidP="00107648">
      <w:pPr>
        <w:pStyle w:val="BodyTextFirstIndent"/>
        <w:autoSpaceDE w:val="0"/>
        <w:autoSpaceDN w:val="0"/>
        <w:adjustRightInd w:val="0"/>
        <w:snapToGrid w:val="0"/>
        <w:spacing w:after="0" w:line="360" w:lineRule="auto"/>
        <w:ind w:firstLineChars="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2</w:t>
      </w:r>
      <w:r w:rsidRPr="00490741" w:rsidR="00C75FC8">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w:t>
      </w:r>
      <w:r w:rsidRPr="00490741" w:rsidR="00906A80">
        <w:rPr>
          <w:rFonts w:asciiTheme="minorEastAsia" w:eastAsiaTheme="minorEastAsia" w:hAnsiTheme="minorEastAsia" w:hint="eastAsia"/>
          <w:color w:val="000000" w:themeColor="text1"/>
        </w:rPr>
        <w:t>易方达价值精选混合型证券投资基金</w:t>
      </w:r>
      <w:r w:rsidRPr="00490741">
        <w:rPr>
          <w:rFonts w:asciiTheme="minorEastAsia" w:eastAsiaTheme="minorEastAsia" w:hAnsiTheme="minorEastAsia" w:hint="eastAsia"/>
          <w:color w:val="000000" w:themeColor="text1"/>
        </w:rPr>
        <w:t>基金合同》；</w:t>
      </w:r>
    </w:p>
    <w:p w:rsidR="0002608C" w:rsidRPr="00490741" w:rsidP="00107648">
      <w:pPr>
        <w:pStyle w:val="BodyTextFirstIndent"/>
        <w:autoSpaceDE w:val="0"/>
        <w:autoSpaceDN w:val="0"/>
        <w:adjustRightInd w:val="0"/>
        <w:snapToGrid w:val="0"/>
        <w:spacing w:after="0" w:line="360" w:lineRule="auto"/>
        <w:ind w:firstLineChars="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3</w:t>
      </w:r>
      <w:r w:rsidRPr="00490741" w:rsidR="00C75FC8">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《易方达基金管理有限公司开放式基金业务规则》；</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4</w:t>
      </w:r>
      <w:r w:rsidRPr="00490741" w:rsidR="00C75FC8">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w:t>
      </w:r>
      <w:r w:rsidRPr="00490741" w:rsidR="00906A80">
        <w:rPr>
          <w:rFonts w:asciiTheme="minorEastAsia" w:eastAsiaTheme="minorEastAsia" w:hAnsiTheme="minorEastAsia" w:hint="eastAsia"/>
          <w:color w:val="000000" w:themeColor="text1"/>
          <w:szCs w:val="21"/>
        </w:rPr>
        <w:t>易方达价值精选混合型证券投资基金</w:t>
      </w:r>
      <w:r w:rsidRPr="00490741">
        <w:rPr>
          <w:rFonts w:asciiTheme="minorEastAsia" w:eastAsiaTheme="minorEastAsia" w:hAnsiTheme="minorEastAsia" w:hint="eastAsia"/>
          <w:color w:val="000000" w:themeColor="text1"/>
          <w:szCs w:val="21"/>
        </w:rPr>
        <w:t>托管协议》；</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rPr>
        <w:t>5</w:t>
      </w:r>
      <w:r w:rsidRPr="00490741" w:rsidR="00C75FC8">
        <w:rPr>
          <w:rFonts w:asciiTheme="minorEastAsia" w:eastAsiaTheme="minorEastAsia" w:hAnsiTheme="minorEastAsia" w:hint="eastAsia"/>
          <w:color w:val="000000" w:themeColor="text1"/>
        </w:rPr>
        <w:t>、</w:t>
      </w:r>
      <w:r w:rsidRPr="00490741">
        <w:rPr>
          <w:rFonts w:asciiTheme="minorEastAsia" w:eastAsiaTheme="minorEastAsia" w:hAnsiTheme="minorEastAsia" w:hint="eastAsia"/>
          <w:color w:val="000000" w:themeColor="text1"/>
        </w:rPr>
        <w:t>法律意见书；</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6</w:t>
      </w:r>
      <w:r w:rsidRPr="00490741" w:rsidR="00C75FC8">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基金管理人业务资格批件和营业执照；</w:t>
      </w:r>
    </w:p>
    <w:p w:rsidR="0002608C" w:rsidRPr="00490741" w:rsidP="00107648">
      <w:pPr>
        <w:snapToGrid w:val="0"/>
        <w:spacing w:line="360" w:lineRule="auto"/>
        <w:ind w:firstLine="42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szCs w:val="21"/>
        </w:rPr>
        <w:t>7</w:t>
      </w:r>
      <w:r w:rsidRPr="00490741" w:rsidR="00C75FC8">
        <w:rPr>
          <w:rFonts w:asciiTheme="minorEastAsia" w:eastAsiaTheme="minorEastAsia" w:hAnsiTheme="minorEastAsia" w:hint="eastAsia"/>
          <w:color w:val="000000" w:themeColor="text1"/>
          <w:szCs w:val="21"/>
        </w:rPr>
        <w:t>、</w:t>
      </w:r>
      <w:r w:rsidRPr="00490741">
        <w:rPr>
          <w:rFonts w:asciiTheme="minorEastAsia" w:eastAsiaTheme="minorEastAsia" w:hAnsiTheme="minorEastAsia" w:hint="eastAsia"/>
          <w:color w:val="000000" w:themeColor="text1"/>
          <w:szCs w:val="21"/>
        </w:rPr>
        <w:t>基金托管人业务资格批件和营业执照。</w:t>
      </w:r>
    </w:p>
    <w:p w:rsidR="0002608C" w:rsidRPr="00490741" w:rsidP="00107648">
      <w:pPr>
        <w:snapToGrid w:val="0"/>
        <w:spacing w:line="360" w:lineRule="auto"/>
        <w:ind w:firstLine="420" w:firstLineChars="200"/>
        <w:rPr>
          <w:rFonts w:asciiTheme="minorEastAsia" w:eastAsiaTheme="minorEastAsia" w:hAnsiTheme="minorEastAsia"/>
          <w:color w:val="000000" w:themeColor="text1"/>
        </w:rPr>
      </w:pPr>
      <w:r w:rsidRPr="00490741">
        <w:rPr>
          <w:rFonts w:asciiTheme="minorEastAsia" w:eastAsiaTheme="minorEastAsia" w:hAnsiTheme="minorEastAsia" w:hint="eastAsia"/>
          <w:color w:val="000000" w:themeColor="text1"/>
        </w:rPr>
        <w:t>存放地点：基金管理人、基金托管人处</w:t>
      </w:r>
    </w:p>
    <w:p w:rsidR="0002608C" w:rsidRPr="00490741" w:rsidP="00107648">
      <w:pPr>
        <w:snapToGrid w:val="0"/>
        <w:spacing w:line="360" w:lineRule="auto"/>
        <w:ind w:firstLine="420" w:firstLineChars="200"/>
        <w:rPr>
          <w:rFonts w:asciiTheme="minorEastAsia" w:eastAsiaTheme="minorEastAsia" w:hAnsiTheme="minorEastAsia"/>
          <w:color w:val="000000" w:themeColor="text1"/>
          <w:szCs w:val="21"/>
        </w:rPr>
      </w:pPr>
      <w:r w:rsidRPr="00490741">
        <w:rPr>
          <w:rFonts w:asciiTheme="minorEastAsia" w:eastAsiaTheme="minorEastAsia" w:hAnsiTheme="minorEastAsia" w:hint="eastAsia"/>
          <w:color w:val="000000" w:themeColor="text1"/>
        </w:rPr>
        <w:t>查阅方式：投资者可在营业时间免费查阅，也可按工本费购买复印件。</w:t>
      </w:r>
    </w:p>
    <w:p w:rsidR="0002608C" w:rsidRPr="00490741" w:rsidP="00107648">
      <w:pPr>
        <w:snapToGrid w:val="0"/>
        <w:spacing w:line="360" w:lineRule="auto"/>
        <w:ind w:left="480"/>
        <w:rPr>
          <w:rFonts w:asciiTheme="minorEastAsia" w:eastAsiaTheme="minorEastAsia" w:hAnsiTheme="minorEastAsia"/>
          <w:color w:val="000000" w:themeColor="text1"/>
          <w:szCs w:val="21"/>
        </w:rPr>
      </w:pPr>
    </w:p>
    <w:p w:rsidR="00851044" w:rsidRPr="00490741" w:rsidP="00107648">
      <w:pPr>
        <w:snapToGrid w:val="0"/>
        <w:spacing w:line="360" w:lineRule="auto"/>
        <w:ind w:left="480"/>
        <w:rPr>
          <w:rFonts w:asciiTheme="minorEastAsia" w:eastAsiaTheme="minorEastAsia" w:hAnsiTheme="minorEastAsia"/>
          <w:color w:val="000000" w:themeColor="text1"/>
          <w:szCs w:val="21"/>
        </w:rPr>
      </w:pPr>
    </w:p>
    <w:p w:rsidR="0002608C" w:rsidRPr="00490741" w:rsidP="00107648">
      <w:pPr>
        <w:snapToGrid w:val="0"/>
        <w:spacing w:line="360" w:lineRule="auto"/>
        <w:ind w:firstLine="480"/>
        <w:jc w:val="right"/>
        <w:rPr>
          <w:rFonts w:asciiTheme="minorEastAsia" w:eastAsiaTheme="minorEastAsia" w:hAnsiTheme="minorEastAsia"/>
          <w:color w:val="000000" w:themeColor="text1"/>
        </w:rPr>
      </w:pPr>
      <w:bookmarkStart w:id="3771" w:name="_PictureBullets"/>
      <w:bookmarkEnd w:id="3771"/>
      <w:r w:rsidRPr="00490741">
        <w:rPr>
          <w:rFonts w:asciiTheme="minorEastAsia" w:eastAsiaTheme="minorEastAsia" w:hAnsiTheme="minorEastAsia" w:hint="eastAsia"/>
          <w:color w:val="000000" w:themeColor="text1"/>
        </w:rPr>
        <w:t>易方达基金管理有限公司</w:t>
      </w:r>
    </w:p>
    <w:p w:rsidR="0002608C" w:rsidRPr="00490741" w:rsidP="00107648">
      <w:pPr>
        <w:snapToGrid w:val="0"/>
        <w:spacing w:line="360" w:lineRule="auto"/>
        <w:ind w:right="315"/>
        <w:jc w:val="right"/>
        <w:rPr>
          <w:rFonts w:asciiTheme="minorEastAsia" w:eastAsiaTheme="minorEastAsia" w:hAnsiTheme="minorEastAsia"/>
          <w:color w:val="000000" w:themeColor="text1"/>
        </w:rPr>
      </w:pPr>
      <w:r w:rsidRPr="00490741">
        <w:rPr>
          <w:rFonts w:asciiTheme="minorEastAsia" w:eastAsiaTheme="minorEastAsia" w:hAnsiTheme="minorEastAsia"/>
          <w:color w:val="000000" w:themeColor="text1"/>
        </w:rPr>
        <w:t>2022</w:t>
      </w:r>
      <w:r w:rsidRPr="00490741">
        <w:rPr>
          <w:rFonts w:asciiTheme="minorEastAsia" w:eastAsiaTheme="minorEastAsia" w:hAnsiTheme="minorEastAsia"/>
          <w:color w:val="000000" w:themeColor="text1"/>
        </w:rPr>
        <w:t>年</w:t>
      </w:r>
      <w:r w:rsidRPr="00490741" w:rsidR="0062269A">
        <w:rPr>
          <w:rFonts w:asciiTheme="minorEastAsia" w:eastAsiaTheme="minorEastAsia" w:hAnsiTheme="minorEastAsia"/>
          <w:color w:val="000000" w:themeColor="text1"/>
        </w:rPr>
        <w:t>9</w:t>
      </w:r>
      <w:r w:rsidRPr="00490741">
        <w:rPr>
          <w:rFonts w:asciiTheme="minorEastAsia" w:eastAsiaTheme="minorEastAsia" w:hAnsiTheme="minorEastAsia"/>
          <w:color w:val="000000" w:themeColor="text1"/>
        </w:rPr>
        <w:t>月</w:t>
      </w:r>
      <w:r w:rsidRPr="00490741" w:rsidR="0062269A">
        <w:rPr>
          <w:rFonts w:asciiTheme="minorEastAsia" w:eastAsiaTheme="minorEastAsia" w:hAnsiTheme="minorEastAsia"/>
          <w:color w:val="000000" w:themeColor="text1"/>
        </w:rPr>
        <w:t>19</w:t>
      </w:r>
      <w:r w:rsidRPr="00490741">
        <w:rPr>
          <w:rFonts w:asciiTheme="minorEastAsia" w:eastAsiaTheme="minorEastAsia" w:hAnsiTheme="minorEastAsia"/>
          <w:color w:val="000000" w:themeColor="text1"/>
        </w:rPr>
        <w:t>日</w:t>
      </w:r>
    </w:p>
    <w:sectPr w:rsidSect="0035472D">
      <w:pgSz w:w="11906" w:h="16838" w:code="9"/>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72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72D">
    <w:pPr>
      <w:pStyle w:val="Footer"/>
      <w:framePr w:wrap="around" w:vAnchor="text" w:hAnchor="margin" w:xAlign="center" w:y="1"/>
      <w:ind w:firstLine="360"/>
      <w:rPr>
        <w:rStyle w:val="PageNumber"/>
      </w:rPr>
    </w:pPr>
  </w:p>
  <w:p w:rsidR="0035472D">
    <w:pPr>
      <w:pStyle w:val="Footer"/>
      <w:ind w:right="359" w:firstLine="360" w:rightChars="171"/>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72D">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72D">
    <w:pPr>
      <w:pStyle w:val="Footer"/>
      <w:framePr w:wrap="around" w:vAnchor="text" w:hAnchor="margin" w:xAlign="center" w:y="1"/>
      <w:ind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93</w:t>
    </w:r>
    <w:r>
      <w:rPr>
        <w:rStyle w:val="PageNumber"/>
      </w:rPr>
      <w:fldChar w:fldCharType="end"/>
    </w:r>
  </w:p>
  <w:p w:rsidR="0035472D">
    <w:pPr>
      <w:pStyle w:val="Footer"/>
      <w:ind w:right="359" w:firstLine="360" w:rightChars="171"/>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72D">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72D" w:rsidRPr="00FB1159" w:rsidP="009520C1">
    <w:pPr>
      <w:pStyle w:val="Header"/>
      <w:pBdr>
        <w:bottom w:val="none" w:sz="0" w:space="0" w:color="auto"/>
      </w:pBdr>
      <w:ind w:firstLine="0" w:firstLineChars="0"/>
      <w:jc w:val="both"/>
      <w:rPr>
        <w:rFonts w:ascii="宋体" w:eastAsia="宋体" w:hAnsi="宋体"/>
        <w:color w:val="00000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72D">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8342E714"/>
    <w:lvl w:ilvl="0">
      <w:start w:val="1"/>
      <w:numFmt w:val="decimal"/>
      <w:pStyle w:val="ListNumber3"/>
      <w:lvlText w:val="%1."/>
      <w:lvlJc w:val="left"/>
      <w:pPr>
        <w:tabs>
          <w:tab w:val="num" w:pos="1200"/>
        </w:tabs>
        <w:ind w:left="1200" w:hanging="360" w:leftChars="400" w:hangingChars="200"/>
      </w:pPr>
    </w:lvl>
  </w:abstractNum>
  <w:abstractNum w:abstractNumId="1">
    <w:nsid w:val="FFFFFF82"/>
    <w:multiLevelType w:val="singleLevel"/>
    <w:tmpl w:val="30405810"/>
    <w:lvl w:ilvl="0">
      <w:start w:val="1"/>
      <w:numFmt w:val="bullet"/>
      <w:pStyle w:val="ListBullet3"/>
      <w:lvlText w:val=""/>
      <w:lvlJc w:val="left"/>
      <w:pPr>
        <w:tabs>
          <w:tab w:val="num" w:pos="1200"/>
        </w:tabs>
        <w:ind w:left="1200" w:hanging="360" w:leftChars="400" w:hangingChars="200"/>
      </w:pPr>
      <w:rPr>
        <w:rFonts w:ascii="Wingdings" w:hAnsi="Wingdings" w:hint="default"/>
      </w:rPr>
    </w:lvl>
  </w:abstractNum>
  <w:abstractNum w:abstractNumId="2">
    <w:nsid w:val="07AD2D3E"/>
    <w:multiLevelType w:val="singleLevel"/>
    <w:tmpl w:val="8A62539A"/>
    <w:lvl w:ilvl="0">
      <w:start w:val="1"/>
      <w:numFmt w:val="decimal"/>
      <w:lvlText w:val="(%1)"/>
      <w:lvlJc w:val="left"/>
      <w:pPr>
        <w:tabs>
          <w:tab w:val="num" w:pos="425"/>
        </w:tabs>
        <w:ind w:left="425" w:hanging="425"/>
      </w:pPr>
      <w:rPr>
        <w:rFonts w:ascii="宋体" w:eastAsia="宋体" w:hint="eastAsia"/>
        <w:b w:val="0"/>
        <w:i w:val="0"/>
        <w:sz w:val="21"/>
      </w:rPr>
    </w:lvl>
  </w:abstractNum>
  <w:abstractNum w:abstractNumId="3">
    <w:nsid w:val="12504B94"/>
    <w:multiLevelType w:val="hybridMultilevel"/>
    <w:tmpl w:val="F348D602"/>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4">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Heading4"/>
      <w:suff w:val="nothing"/>
      <w:lvlJc w:val="left"/>
      <w:pPr>
        <w:ind w:left="851" w:firstLine="0"/>
      </w:pPr>
      <w:rPr>
        <w:rFonts w:hint="eastAsia"/>
      </w:rPr>
    </w:lvl>
    <w:lvl w:ilvl="4">
      <w:start w:val="1"/>
      <w:numFmt w:val="none"/>
      <w:pStyle w:val="Heading5"/>
      <w:suff w:val="nothing"/>
      <w:lvlJc w:val="left"/>
      <w:pPr>
        <w:ind w:left="851" w:firstLine="0"/>
      </w:pPr>
      <w:rPr>
        <w:rFonts w:hint="eastAsia"/>
      </w:rPr>
    </w:lvl>
    <w:lvl w:ilvl="5">
      <w:start w:val="1"/>
      <w:numFmt w:val="none"/>
      <w:pStyle w:val="Heading6"/>
      <w:suff w:val="nothing"/>
      <w:lvlJc w:val="left"/>
      <w:pPr>
        <w:ind w:left="851" w:firstLine="0"/>
      </w:pPr>
      <w:rPr>
        <w:rFonts w:hint="eastAsia"/>
      </w:rPr>
    </w:lvl>
    <w:lvl w:ilvl="6">
      <w:start w:val="1"/>
      <w:numFmt w:val="none"/>
      <w:pStyle w:val="Heading7"/>
      <w:suff w:val="nothing"/>
      <w:lvlJc w:val="left"/>
      <w:pPr>
        <w:ind w:left="851" w:firstLine="0"/>
      </w:pPr>
      <w:rPr>
        <w:rFonts w:hint="eastAsia"/>
      </w:rPr>
    </w:lvl>
    <w:lvl w:ilvl="7">
      <w:start w:val="1"/>
      <w:numFmt w:val="none"/>
      <w:pStyle w:val="Heading8"/>
      <w:suff w:val="nothing"/>
      <w:lvlJc w:val="left"/>
      <w:pPr>
        <w:ind w:left="851" w:firstLine="0"/>
      </w:pPr>
      <w:rPr>
        <w:rFonts w:hint="eastAsia"/>
      </w:rPr>
    </w:lvl>
    <w:lvl w:ilvl="8">
      <w:start w:val="1"/>
      <w:numFmt w:val="none"/>
      <w:pStyle w:val="Heading9"/>
      <w:suff w:val="nothing"/>
      <w:lvlJc w:val="left"/>
      <w:pPr>
        <w:ind w:left="851" w:firstLine="0"/>
      </w:pPr>
      <w:rPr>
        <w:rFonts w:hint="eastAsia"/>
      </w:rPr>
    </w:lvl>
  </w:abstractNum>
  <w:abstractNum w:abstractNumId="5">
    <w:nsid w:val="50354D32"/>
    <w:multiLevelType w:val="hybridMultilevel"/>
    <w:tmpl w:val="9AF2A6A6"/>
    <w:lvl w:ilvl="0">
      <w:start w:val="1"/>
      <w:numFmt w:val="decimal"/>
      <w:lvlText w:val="（%1）"/>
      <w:lvlJc w:val="left"/>
      <w:pPr>
        <w:ind w:left="840" w:hanging="420"/>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6">
    <w:nsid w:val="5562621F"/>
    <w:multiLevelType w:val="hybridMultilevel"/>
    <w:tmpl w:val="1A3A79AA"/>
    <w:lvl w:ilvl="0">
      <w:start w:val="1"/>
      <w:numFmt w:val="decimal"/>
      <w:lvlText w:val="%1."/>
      <w:lvlJc w:val="left"/>
      <w:pPr>
        <w:tabs>
          <w:tab w:val="num" w:pos="780"/>
        </w:tabs>
        <w:ind w:left="420" w:firstLine="0"/>
      </w:pPr>
      <w:rPr>
        <w:rFonts w:hint="eastAsia"/>
      </w:rPr>
    </w:lvl>
    <w:lvl w:ilvl="1">
      <w:start w:val="1"/>
      <w:numFmt w:val="decimal"/>
      <w:lvlText w:val="（%2）"/>
      <w:lvlJc w:val="left"/>
      <w:pPr>
        <w:tabs>
          <w:tab w:val="num" w:pos="1134"/>
        </w:tabs>
        <w:ind w:left="1134" w:hanging="714"/>
      </w:pPr>
      <w:rPr>
        <w:rFonts w:hint="eastAsia"/>
      </w:rPr>
    </w:lvl>
    <w:lvl w:ilvl="2">
      <w:start w:val="1"/>
      <w:numFmt w:val="decimal"/>
      <w:lvlText w:val="%3"/>
      <w:lvlJc w:val="left"/>
      <w:pPr>
        <w:tabs>
          <w:tab w:val="num" w:pos="780"/>
        </w:tabs>
        <w:ind w:left="420" w:firstLine="0"/>
      </w:pPr>
      <w:rPr>
        <w:rFonts w:hint="eastAsia"/>
      </w:r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Heading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abstractNum w:abstractNumId="8">
    <w:nsid w:val="69996945"/>
    <w:multiLevelType w:val="hybridMultilevel"/>
    <w:tmpl w:val="C21C2A68"/>
    <w:lvl w:ilvl="0">
      <w:start w:val="1"/>
      <w:numFmt w:val="upperLetter"/>
      <w:lvlText w:val="%1."/>
      <w:lvlJc w:val="left"/>
      <w:pPr>
        <w:tabs>
          <w:tab w:val="num" w:pos="902"/>
        </w:tabs>
        <w:ind w:left="902" w:hanging="420"/>
      </w:pPr>
    </w:lvl>
    <w:lvl w:ilvl="1" w:tentative="1">
      <w:start w:val="1"/>
      <w:numFmt w:val="lowerLetter"/>
      <w:lvlText w:val="%2)"/>
      <w:lvlJc w:val="left"/>
      <w:pPr>
        <w:tabs>
          <w:tab w:val="num" w:pos="1322"/>
        </w:tabs>
        <w:ind w:left="1322" w:hanging="420"/>
      </w:pPr>
    </w:lvl>
    <w:lvl w:ilvl="2" w:tentative="1">
      <w:start w:val="1"/>
      <w:numFmt w:val="lowerRoman"/>
      <w:lvlText w:val="%3."/>
      <w:lvlJc w:val="right"/>
      <w:pPr>
        <w:tabs>
          <w:tab w:val="num" w:pos="1742"/>
        </w:tabs>
        <w:ind w:left="1742" w:hanging="420"/>
      </w:pPr>
    </w:lvl>
    <w:lvl w:ilvl="3" w:tentative="1">
      <w:start w:val="1"/>
      <w:numFmt w:val="decimal"/>
      <w:lvlText w:val="%4."/>
      <w:lvlJc w:val="left"/>
      <w:pPr>
        <w:tabs>
          <w:tab w:val="num" w:pos="2162"/>
        </w:tabs>
        <w:ind w:left="2162" w:hanging="420"/>
      </w:pPr>
    </w:lvl>
    <w:lvl w:ilvl="4" w:tentative="1">
      <w:start w:val="1"/>
      <w:numFmt w:val="lowerLetter"/>
      <w:lvlText w:val="%5)"/>
      <w:lvlJc w:val="left"/>
      <w:pPr>
        <w:tabs>
          <w:tab w:val="num" w:pos="2582"/>
        </w:tabs>
        <w:ind w:left="2582" w:hanging="420"/>
      </w:pPr>
    </w:lvl>
    <w:lvl w:ilvl="5" w:tentative="1">
      <w:start w:val="1"/>
      <w:numFmt w:val="lowerRoman"/>
      <w:lvlText w:val="%6."/>
      <w:lvlJc w:val="right"/>
      <w:pPr>
        <w:tabs>
          <w:tab w:val="num" w:pos="3002"/>
        </w:tabs>
        <w:ind w:left="3002" w:hanging="420"/>
      </w:pPr>
    </w:lvl>
    <w:lvl w:ilvl="6" w:tentative="1">
      <w:start w:val="1"/>
      <w:numFmt w:val="decimal"/>
      <w:lvlText w:val="%7."/>
      <w:lvlJc w:val="left"/>
      <w:pPr>
        <w:tabs>
          <w:tab w:val="num" w:pos="3422"/>
        </w:tabs>
        <w:ind w:left="3422" w:hanging="420"/>
      </w:pPr>
    </w:lvl>
    <w:lvl w:ilvl="7" w:tentative="1">
      <w:start w:val="1"/>
      <w:numFmt w:val="lowerLetter"/>
      <w:lvlText w:val="%8)"/>
      <w:lvlJc w:val="left"/>
      <w:pPr>
        <w:tabs>
          <w:tab w:val="num" w:pos="3842"/>
        </w:tabs>
        <w:ind w:left="3842" w:hanging="420"/>
      </w:pPr>
    </w:lvl>
    <w:lvl w:ilvl="8" w:tentative="1">
      <w:start w:val="1"/>
      <w:numFmt w:val="lowerRoman"/>
      <w:lvlText w:val="%9."/>
      <w:lvlJc w:val="right"/>
      <w:pPr>
        <w:tabs>
          <w:tab w:val="num" w:pos="4262"/>
        </w:tabs>
        <w:ind w:left="4262" w:hanging="420"/>
      </w:pPr>
    </w:lvl>
  </w:abstractNum>
  <w:num w:numId="1">
    <w:abstractNumId w:val="4"/>
  </w:num>
  <w:num w:numId="2">
    <w:abstractNumId w:val="7"/>
  </w:num>
  <w:num w:numId="3">
    <w:abstractNumId w:val="0"/>
  </w:num>
  <w:num w:numId="4">
    <w:abstractNumId w:val="1"/>
  </w:num>
  <w:num w:numId="5">
    <w:abstractNumId w:val="6"/>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0002608C"/>
    <w:rsid w:val="000025B8"/>
    <w:rsid w:val="0001625A"/>
    <w:rsid w:val="00021DB0"/>
    <w:rsid w:val="000256E9"/>
    <w:rsid w:val="0002608C"/>
    <w:rsid w:val="0002792D"/>
    <w:rsid w:val="00027EE7"/>
    <w:rsid w:val="0003070A"/>
    <w:rsid w:val="00032846"/>
    <w:rsid w:val="000341F8"/>
    <w:rsid w:val="00035791"/>
    <w:rsid w:val="00040DAE"/>
    <w:rsid w:val="00044EC2"/>
    <w:rsid w:val="00045206"/>
    <w:rsid w:val="00052F0E"/>
    <w:rsid w:val="00053B4F"/>
    <w:rsid w:val="0005406E"/>
    <w:rsid w:val="000617D2"/>
    <w:rsid w:val="00063CA4"/>
    <w:rsid w:val="00064FD3"/>
    <w:rsid w:val="0007157E"/>
    <w:rsid w:val="0008139F"/>
    <w:rsid w:val="000846F0"/>
    <w:rsid w:val="00087E56"/>
    <w:rsid w:val="00091480"/>
    <w:rsid w:val="00092814"/>
    <w:rsid w:val="0009315C"/>
    <w:rsid w:val="000949F0"/>
    <w:rsid w:val="000A0F49"/>
    <w:rsid w:val="000B0E65"/>
    <w:rsid w:val="000B139B"/>
    <w:rsid w:val="000B426C"/>
    <w:rsid w:val="000B548F"/>
    <w:rsid w:val="000C00D1"/>
    <w:rsid w:val="000C3400"/>
    <w:rsid w:val="000C425C"/>
    <w:rsid w:val="000C4F96"/>
    <w:rsid w:val="000D005D"/>
    <w:rsid w:val="000D4EB1"/>
    <w:rsid w:val="000D5EA4"/>
    <w:rsid w:val="000E0AFB"/>
    <w:rsid w:val="000E1411"/>
    <w:rsid w:val="000E46FF"/>
    <w:rsid w:val="000E529D"/>
    <w:rsid w:val="000E58B8"/>
    <w:rsid w:val="000F326B"/>
    <w:rsid w:val="0010176D"/>
    <w:rsid w:val="00107648"/>
    <w:rsid w:val="00107690"/>
    <w:rsid w:val="00125366"/>
    <w:rsid w:val="001365EE"/>
    <w:rsid w:val="0014219A"/>
    <w:rsid w:val="001501A0"/>
    <w:rsid w:val="00150F75"/>
    <w:rsid w:val="00151A2F"/>
    <w:rsid w:val="00157D99"/>
    <w:rsid w:val="00160C25"/>
    <w:rsid w:val="00160E3C"/>
    <w:rsid w:val="00160EFF"/>
    <w:rsid w:val="00162F9F"/>
    <w:rsid w:val="00166576"/>
    <w:rsid w:val="001710FA"/>
    <w:rsid w:val="00174531"/>
    <w:rsid w:val="00182A3A"/>
    <w:rsid w:val="001834CC"/>
    <w:rsid w:val="00184727"/>
    <w:rsid w:val="00185634"/>
    <w:rsid w:val="001947A3"/>
    <w:rsid w:val="001A7B49"/>
    <w:rsid w:val="001D08B4"/>
    <w:rsid w:val="001D2A08"/>
    <w:rsid w:val="001D386C"/>
    <w:rsid w:val="001E07D7"/>
    <w:rsid w:val="001E330C"/>
    <w:rsid w:val="001E476C"/>
    <w:rsid w:val="001E4DCD"/>
    <w:rsid w:val="001E590B"/>
    <w:rsid w:val="001E6089"/>
    <w:rsid w:val="001E70BC"/>
    <w:rsid w:val="001F0D5D"/>
    <w:rsid w:val="00201A0F"/>
    <w:rsid w:val="00202703"/>
    <w:rsid w:val="00206539"/>
    <w:rsid w:val="00211194"/>
    <w:rsid w:val="002112A0"/>
    <w:rsid w:val="002150F7"/>
    <w:rsid w:val="0021698B"/>
    <w:rsid w:val="00220B39"/>
    <w:rsid w:val="00220F42"/>
    <w:rsid w:val="00226C69"/>
    <w:rsid w:val="002313A1"/>
    <w:rsid w:val="00231FEA"/>
    <w:rsid w:val="00233E71"/>
    <w:rsid w:val="00236A42"/>
    <w:rsid w:val="0024098F"/>
    <w:rsid w:val="0025411F"/>
    <w:rsid w:val="00254C59"/>
    <w:rsid w:val="00255860"/>
    <w:rsid w:val="002558C9"/>
    <w:rsid w:val="002629C6"/>
    <w:rsid w:val="0026346A"/>
    <w:rsid w:val="00263F25"/>
    <w:rsid w:val="00267126"/>
    <w:rsid w:val="00273BB0"/>
    <w:rsid w:val="0027407C"/>
    <w:rsid w:val="002821A4"/>
    <w:rsid w:val="00282549"/>
    <w:rsid w:val="002831CC"/>
    <w:rsid w:val="00283525"/>
    <w:rsid w:val="002846B1"/>
    <w:rsid w:val="0029245A"/>
    <w:rsid w:val="00292926"/>
    <w:rsid w:val="00294711"/>
    <w:rsid w:val="0029796B"/>
    <w:rsid w:val="002A0070"/>
    <w:rsid w:val="002A2B97"/>
    <w:rsid w:val="002A7779"/>
    <w:rsid w:val="002C1DA2"/>
    <w:rsid w:val="002C26C0"/>
    <w:rsid w:val="002C2838"/>
    <w:rsid w:val="002C2AF0"/>
    <w:rsid w:val="002C5AEA"/>
    <w:rsid w:val="002C70CB"/>
    <w:rsid w:val="002C736E"/>
    <w:rsid w:val="002C7B6F"/>
    <w:rsid w:val="002D15C5"/>
    <w:rsid w:val="002D4A4B"/>
    <w:rsid w:val="002E299A"/>
    <w:rsid w:val="002E5A72"/>
    <w:rsid w:val="002E78B6"/>
    <w:rsid w:val="002E7FE3"/>
    <w:rsid w:val="002F09FF"/>
    <w:rsid w:val="002F0A89"/>
    <w:rsid w:val="002F0DA8"/>
    <w:rsid w:val="002F1964"/>
    <w:rsid w:val="002F36AF"/>
    <w:rsid w:val="002F6418"/>
    <w:rsid w:val="002F7E4A"/>
    <w:rsid w:val="003001B7"/>
    <w:rsid w:val="00307D58"/>
    <w:rsid w:val="00314698"/>
    <w:rsid w:val="00320BA2"/>
    <w:rsid w:val="00321569"/>
    <w:rsid w:val="00331A1D"/>
    <w:rsid w:val="00334E22"/>
    <w:rsid w:val="00336783"/>
    <w:rsid w:val="003371FA"/>
    <w:rsid w:val="003429A1"/>
    <w:rsid w:val="0034441D"/>
    <w:rsid w:val="003456B2"/>
    <w:rsid w:val="00346B23"/>
    <w:rsid w:val="0035472D"/>
    <w:rsid w:val="00355DA3"/>
    <w:rsid w:val="00361D30"/>
    <w:rsid w:val="00366908"/>
    <w:rsid w:val="0036798F"/>
    <w:rsid w:val="00367CD8"/>
    <w:rsid w:val="00371F41"/>
    <w:rsid w:val="00373643"/>
    <w:rsid w:val="00374B12"/>
    <w:rsid w:val="00385501"/>
    <w:rsid w:val="003920FC"/>
    <w:rsid w:val="00394F38"/>
    <w:rsid w:val="00396867"/>
    <w:rsid w:val="00396DC0"/>
    <w:rsid w:val="00397479"/>
    <w:rsid w:val="003A2EE8"/>
    <w:rsid w:val="003A7233"/>
    <w:rsid w:val="003A749C"/>
    <w:rsid w:val="003B3605"/>
    <w:rsid w:val="003B5E97"/>
    <w:rsid w:val="003C1CF2"/>
    <w:rsid w:val="003C2646"/>
    <w:rsid w:val="003C514E"/>
    <w:rsid w:val="003C5647"/>
    <w:rsid w:val="003C60F0"/>
    <w:rsid w:val="003D45E6"/>
    <w:rsid w:val="003D4A29"/>
    <w:rsid w:val="003D5A74"/>
    <w:rsid w:val="003E028A"/>
    <w:rsid w:val="003E26AD"/>
    <w:rsid w:val="003E42CE"/>
    <w:rsid w:val="003E4F7E"/>
    <w:rsid w:val="003E50B9"/>
    <w:rsid w:val="003E58D0"/>
    <w:rsid w:val="003E6BDD"/>
    <w:rsid w:val="003F7408"/>
    <w:rsid w:val="0040118D"/>
    <w:rsid w:val="00401BC2"/>
    <w:rsid w:val="004020AB"/>
    <w:rsid w:val="0040381E"/>
    <w:rsid w:val="00403B43"/>
    <w:rsid w:val="00404A63"/>
    <w:rsid w:val="0041172A"/>
    <w:rsid w:val="0041390F"/>
    <w:rsid w:val="00415605"/>
    <w:rsid w:val="00421364"/>
    <w:rsid w:val="004217EC"/>
    <w:rsid w:val="004247DF"/>
    <w:rsid w:val="00426313"/>
    <w:rsid w:val="0042726C"/>
    <w:rsid w:val="00431DCF"/>
    <w:rsid w:val="00432E4E"/>
    <w:rsid w:val="004370D8"/>
    <w:rsid w:val="004409BD"/>
    <w:rsid w:val="00441DAE"/>
    <w:rsid w:val="00443A7A"/>
    <w:rsid w:val="00445EE9"/>
    <w:rsid w:val="00446AE9"/>
    <w:rsid w:val="00446CF7"/>
    <w:rsid w:val="00451E6E"/>
    <w:rsid w:val="00454F81"/>
    <w:rsid w:val="0045600F"/>
    <w:rsid w:val="00472403"/>
    <w:rsid w:val="004763E4"/>
    <w:rsid w:val="00477C22"/>
    <w:rsid w:val="00482D26"/>
    <w:rsid w:val="00482E55"/>
    <w:rsid w:val="00485E1F"/>
    <w:rsid w:val="00486C54"/>
    <w:rsid w:val="00487F64"/>
    <w:rsid w:val="00490741"/>
    <w:rsid w:val="00492266"/>
    <w:rsid w:val="004A26B8"/>
    <w:rsid w:val="004A3D36"/>
    <w:rsid w:val="004B0513"/>
    <w:rsid w:val="004B3B1E"/>
    <w:rsid w:val="004B4881"/>
    <w:rsid w:val="004C6445"/>
    <w:rsid w:val="004D11DC"/>
    <w:rsid w:val="004D1CDE"/>
    <w:rsid w:val="004D3B26"/>
    <w:rsid w:val="004D5351"/>
    <w:rsid w:val="004D618E"/>
    <w:rsid w:val="004D7C3E"/>
    <w:rsid w:val="004E4C64"/>
    <w:rsid w:val="004E649B"/>
    <w:rsid w:val="004F10BC"/>
    <w:rsid w:val="004F149B"/>
    <w:rsid w:val="004F54CB"/>
    <w:rsid w:val="004F6EBA"/>
    <w:rsid w:val="00501A61"/>
    <w:rsid w:val="00502026"/>
    <w:rsid w:val="005027C6"/>
    <w:rsid w:val="00505DEB"/>
    <w:rsid w:val="005061CD"/>
    <w:rsid w:val="005070E2"/>
    <w:rsid w:val="005112FC"/>
    <w:rsid w:val="0051253B"/>
    <w:rsid w:val="0051491F"/>
    <w:rsid w:val="005173A8"/>
    <w:rsid w:val="005174B6"/>
    <w:rsid w:val="00527641"/>
    <w:rsid w:val="00532800"/>
    <w:rsid w:val="00535526"/>
    <w:rsid w:val="00540AC9"/>
    <w:rsid w:val="00543730"/>
    <w:rsid w:val="00544AA9"/>
    <w:rsid w:val="0054506C"/>
    <w:rsid w:val="005503ED"/>
    <w:rsid w:val="005573DF"/>
    <w:rsid w:val="00561780"/>
    <w:rsid w:val="00561D04"/>
    <w:rsid w:val="00567CDE"/>
    <w:rsid w:val="005717A4"/>
    <w:rsid w:val="00574465"/>
    <w:rsid w:val="0057493F"/>
    <w:rsid w:val="00574A74"/>
    <w:rsid w:val="00574E66"/>
    <w:rsid w:val="00580332"/>
    <w:rsid w:val="005816BD"/>
    <w:rsid w:val="00581B3D"/>
    <w:rsid w:val="00583092"/>
    <w:rsid w:val="005843CA"/>
    <w:rsid w:val="005A0E16"/>
    <w:rsid w:val="005A454F"/>
    <w:rsid w:val="005A525A"/>
    <w:rsid w:val="005B1DED"/>
    <w:rsid w:val="005B306A"/>
    <w:rsid w:val="005B5FE1"/>
    <w:rsid w:val="005C49CA"/>
    <w:rsid w:val="005C5AC6"/>
    <w:rsid w:val="005D4EB0"/>
    <w:rsid w:val="005D57A9"/>
    <w:rsid w:val="005D5CDA"/>
    <w:rsid w:val="005E17C2"/>
    <w:rsid w:val="005E7CD0"/>
    <w:rsid w:val="005F1A1C"/>
    <w:rsid w:val="005F2AB0"/>
    <w:rsid w:val="005F7675"/>
    <w:rsid w:val="00600AB1"/>
    <w:rsid w:val="00601286"/>
    <w:rsid w:val="006150DD"/>
    <w:rsid w:val="0062136A"/>
    <w:rsid w:val="0062269A"/>
    <w:rsid w:val="00625291"/>
    <w:rsid w:val="00627FE1"/>
    <w:rsid w:val="006314E9"/>
    <w:rsid w:val="00632198"/>
    <w:rsid w:val="0063365A"/>
    <w:rsid w:val="00633DA9"/>
    <w:rsid w:val="00640238"/>
    <w:rsid w:val="00640672"/>
    <w:rsid w:val="006504A1"/>
    <w:rsid w:val="006512D6"/>
    <w:rsid w:val="006517E1"/>
    <w:rsid w:val="0065227B"/>
    <w:rsid w:val="00657653"/>
    <w:rsid w:val="006620BF"/>
    <w:rsid w:val="006654F5"/>
    <w:rsid w:val="0066680E"/>
    <w:rsid w:val="006741E8"/>
    <w:rsid w:val="006749E1"/>
    <w:rsid w:val="00680610"/>
    <w:rsid w:val="0068400B"/>
    <w:rsid w:val="00693B95"/>
    <w:rsid w:val="00694807"/>
    <w:rsid w:val="00694C29"/>
    <w:rsid w:val="00695A8E"/>
    <w:rsid w:val="006A12C8"/>
    <w:rsid w:val="006A2B6E"/>
    <w:rsid w:val="006A4289"/>
    <w:rsid w:val="006A4A23"/>
    <w:rsid w:val="006A599F"/>
    <w:rsid w:val="006A69BE"/>
    <w:rsid w:val="006C0887"/>
    <w:rsid w:val="006C0BBC"/>
    <w:rsid w:val="006C17F3"/>
    <w:rsid w:val="006D0E90"/>
    <w:rsid w:val="006D19D7"/>
    <w:rsid w:val="006D4EFE"/>
    <w:rsid w:val="006D5F6E"/>
    <w:rsid w:val="006D6E1E"/>
    <w:rsid w:val="006F244C"/>
    <w:rsid w:val="006F490A"/>
    <w:rsid w:val="006F6C54"/>
    <w:rsid w:val="00704A52"/>
    <w:rsid w:val="00706AE0"/>
    <w:rsid w:val="00707140"/>
    <w:rsid w:val="00712D80"/>
    <w:rsid w:val="00712FFB"/>
    <w:rsid w:val="0071513A"/>
    <w:rsid w:val="0071574C"/>
    <w:rsid w:val="00715F77"/>
    <w:rsid w:val="00720EAF"/>
    <w:rsid w:val="0072117D"/>
    <w:rsid w:val="00727B00"/>
    <w:rsid w:val="0073112D"/>
    <w:rsid w:val="00731B05"/>
    <w:rsid w:val="00734BB4"/>
    <w:rsid w:val="0073686E"/>
    <w:rsid w:val="007408CC"/>
    <w:rsid w:val="007444E9"/>
    <w:rsid w:val="00744E4D"/>
    <w:rsid w:val="00746590"/>
    <w:rsid w:val="007472F4"/>
    <w:rsid w:val="007560EC"/>
    <w:rsid w:val="00757722"/>
    <w:rsid w:val="00762CA9"/>
    <w:rsid w:val="0076351E"/>
    <w:rsid w:val="007676BF"/>
    <w:rsid w:val="00772F1D"/>
    <w:rsid w:val="007742D1"/>
    <w:rsid w:val="0077572F"/>
    <w:rsid w:val="00775824"/>
    <w:rsid w:val="00783A7C"/>
    <w:rsid w:val="007844D7"/>
    <w:rsid w:val="00796D16"/>
    <w:rsid w:val="007A542B"/>
    <w:rsid w:val="007A7A2F"/>
    <w:rsid w:val="007B082E"/>
    <w:rsid w:val="007B08F8"/>
    <w:rsid w:val="007B0AB8"/>
    <w:rsid w:val="007B1378"/>
    <w:rsid w:val="007B284B"/>
    <w:rsid w:val="007B29B3"/>
    <w:rsid w:val="007B29EA"/>
    <w:rsid w:val="007B7F3A"/>
    <w:rsid w:val="007C00A3"/>
    <w:rsid w:val="007C2F32"/>
    <w:rsid w:val="007C7E9F"/>
    <w:rsid w:val="007D2967"/>
    <w:rsid w:val="007D5B62"/>
    <w:rsid w:val="007D73F5"/>
    <w:rsid w:val="007E03CD"/>
    <w:rsid w:val="007E11DD"/>
    <w:rsid w:val="007E28AE"/>
    <w:rsid w:val="007E4013"/>
    <w:rsid w:val="007E5C61"/>
    <w:rsid w:val="007F11CF"/>
    <w:rsid w:val="007F2278"/>
    <w:rsid w:val="00807127"/>
    <w:rsid w:val="008075DD"/>
    <w:rsid w:val="008144EC"/>
    <w:rsid w:val="008163C1"/>
    <w:rsid w:val="00824189"/>
    <w:rsid w:val="008270B1"/>
    <w:rsid w:val="00834C1C"/>
    <w:rsid w:val="00835E59"/>
    <w:rsid w:val="0084079F"/>
    <w:rsid w:val="00851044"/>
    <w:rsid w:val="008526C7"/>
    <w:rsid w:val="00853DB7"/>
    <w:rsid w:val="008629CA"/>
    <w:rsid w:val="008630B4"/>
    <w:rsid w:val="00872943"/>
    <w:rsid w:val="00874053"/>
    <w:rsid w:val="008777CF"/>
    <w:rsid w:val="0088010E"/>
    <w:rsid w:val="00880DFE"/>
    <w:rsid w:val="0088110A"/>
    <w:rsid w:val="008864C4"/>
    <w:rsid w:val="008905E4"/>
    <w:rsid w:val="008914CB"/>
    <w:rsid w:val="00891B17"/>
    <w:rsid w:val="00895DF4"/>
    <w:rsid w:val="008A14D9"/>
    <w:rsid w:val="008A778E"/>
    <w:rsid w:val="008B0C9A"/>
    <w:rsid w:val="008B6196"/>
    <w:rsid w:val="008C1489"/>
    <w:rsid w:val="008C1942"/>
    <w:rsid w:val="008C3FFF"/>
    <w:rsid w:val="008C4951"/>
    <w:rsid w:val="008C499B"/>
    <w:rsid w:val="008C5C14"/>
    <w:rsid w:val="008C709C"/>
    <w:rsid w:val="008D506F"/>
    <w:rsid w:val="008E27B6"/>
    <w:rsid w:val="008E4B4E"/>
    <w:rsid w:val="008E4BA9"/>
    <w:rsid w:val="008E5383"/>
    <w:rsid w:val="008F17E4"/>
    <w:rsid w:val="008F1810"/>
    <w:rsid w:val="008F6128"/>
    <w:rsid w:val="008F7585"/>
    <w:rsid w:val="00900833"/>
    <w:rsid w:val="00900F31"/>
    <w:rsid w:val="009064FE"/>
    <w:rsid w:val="00906A80"/>
    <w:rsid w:val="009108D6"/>
    <w:rsid w:val="00920EDD"/>
    <w:rsid w:val="00921D49"/>
    <w:rsid w:val="00923B65"/>
    <w:rsid w:val="00927859"/>
    <w:rsid w:val="00931A61"/>
    <w:rsid w:val="00933500"/>
    <w:rsid w:val="00934941"/>
    <w:rsid w:val="009369EA"/>
    <w:rsid w:val="00950660"/>
    <w:rsid w:val="00951935"/>
    <w:rsid w:val="009520C1"/>
    <w:rsid w:val="00954FC9"/>
    <w:rsid w:val="009576B8"/>
    <w:rsid w:val="009667AE"/>
    <w:rsid w:val="00967D64"/>
    <w:rsid w:val="00970687"/>
    <w:rsid w:val="00971519"/>
    <w:rsid w:val="009724FB"/>
    <w:rsid w:val="00973CF4"/>
    <w:rsid w:val="00975AC3"/>
    <w:rsid w:val="0098053D"/>
    <w:rsid w:val="0098194A"/>
    <w:rsid w:val="00982449"/>
    <w:rsid w:val="00987F43"/>
    <w:rsid w:val="00994076"/>
    <w:rsid w:val="00994922"/>
    <w:rsid w:val="00994F9A"/>
    <w:rsid w:val="009A0DFE"/>
    <w:rsid w:val="009A1EB5"/>
    <w:rsid w:val="009A57F4"/>
    <w:rsid w:val="009A5BC2"/>
    <w:rsid w:val="009A64E7"/>
    <w:rsid w:val="009A7A38"/>
    <w:rsid w:val="009B2EC7"/>
    <w:rsid w:val="009B45C5"/>
    <w:rsid w:val="009B4BC4"/>
    <w:rsid w:val="009B6062"/>
    <w:rsid w:val="009B73E9"/>
    <w:rsid w:val="009C26F6"/>
    <w:rsid w:val="009C2991"/>
    <w:rsid w:val="009C3315"/>
    <w:rsid w:val="009C5E01"/>
    <w:rsid w:val="009C6641"/>
    <w:rsid w:val="009D0A9D"/>
    <w:rsid w:val="009D1B54"/>
    <w:rsid w:val="009D24D1"/>
    <w:rsid w:val="009D33A7"/>
    <w:rsid w:val="009D4936"/>
    <w:rsid w:val="009D5BE2"/>
    <w:rsid w:val="009D65AB"/>
    <w:rsid w:val="009D6797"/>
    <w:rsid w:val="009D7DAF"/>
    <w:rsid w:val="009E207D"/>
    <w:rsid w:val="009E39CF"/>
    <w:rsid w:val="009E4529"/>
    <w:rsid w:val="009F1870"/>
    <w:rsid w:val="009F7BDB"/>
    <w:rsid w:val="00A00AC1"/>
    <w:rsid w:val="00A07B0D"/>
    <w:rsid w:val="00A10AEC"/>
    <w:rsid w:val="00A25713"/>
    <w:rsid w:val="00A258A3"/>
    <w:rsid w:val="00A26D79"/>
    <w:rsid w:val="00A275E5"/>
    <w:rsid w:val="00A307D1"/>
    <w:rsid w:val="00A37361"/>
    <w:rsid w:val="00A3751D"/>
    <w:rsid w:val="00A37C83"/>
    <w:rsid w:val="00A45A7E"/>
    <w:rsid w:val="00A4646A"/>
    <w:rsid w:val="00A5326A"/>
    <w:rsid w:val="00A5520D"/>
    <w:rsid w:val="00A554B4"/>
    <w:rsid w:val="00A57B48"/>
    <w:rsid w:val="00A62AEC"/>
    <w:rsid w:val="00A64D82"/>
    <w:rsid w:val="00A662C5"/>
    <w:rsid w:val="00A74D06"/>
    <w:rsid w:val="00A80284"/>
    <w:rsid w:val="00A80777"/>
    <w:rsid w:val="00A82317"/>
    <w:rsid w:val="00A82B3B"/>
    <w:rsid w:val="00A84065"/>
    <w:rsid w:val="00A84077"/>
    <w:rsid w:val="00A86B2A"/>
    <w:rsid w:val="00A90F7A"/>
    <w:rsid w:val="00A96254"/>
    <w:rsid w:val="00AA18A1"/>
    <w:rsid w:val="00AA545A"/>
    <w:rsid w:val="00AB0F37"/>
    <w:rsid w:val="00AC2299"/>
    <w:rsid w:val="00AC6910"/>
    <w:rsid w:val="00AD0AAE"/>
    <w:rsid w:val="00AD5326"/>
    <w:rsid w:val="00AD6F54"/>
    <w:rsid w:val="00AE05D4"/>
    <w:rsid w:val="00AE1433"/>
    <w:rsid w:val="00AE687B"/>
    <w:rsid w:val="00AE7C88"/>
    <w:rsid w:val="00AF4220"/>
    <w:rsid w:val="00AF5493"/>
    <w:rsid w:val="00AF6AAE"/>
    <w:rsid w:val="00B07978"/>
    <w:rsid w:val="00B116C3"/>
    <w:rsid w:val="00B12D45"/>
    <w:rsid w:val="00B14584"/>
    <w:rsid w:val="00B148D8"/>
    <w:rsid w:val="00B15862"/>
    <w:rsid w:val="00B15FDE"/>
    <w:rsid w:val="00B235EF"/>
    <w:rsid w:val="00B2436B"/>
    <w:rsid w:val="00B26499"/>
    <w:rsid w:val="00B26732"/>
    <w:rsid w:val="00B30B43"/>
    <w:rsid w:val="00B31482"/>
    <w:rsid w:val="00B32CF0"/>
    <w:rsid w:val="00B32E44"/>
    <w:rsid w:val="00B3338A"/>
    <w:rsid w:val="00B33D9C"/>
    <w:rsid w:val="00B34ECB"/>
    <w:rsid w:val="00B41242"/>
    <w:rsid w:val="00B42E9D"/>
    <w:rsid w:val="00B46057"/>
    <w:rsid w:val="00B543D7"/>
    <w:rsid w:val="00B55556"/>
    <w:rsid w:val="00B55B55"/>
    <w:rsid w:val="00B60AD1"/>
    <w:rsid w:val="00B61007"/>
    <w:rsid w:val="00B647DA"/>
    <w:rsid w:val="00B64E0F"/>
    <w:rsid w:val="00B650C1"/>
    <w:rsid w:val="00B659B1"/>
    <w:rsid w:val="00B70D99"/>
    <w:rsid w:val="00B71B99"/>
    <w:rsid w:val="00BA1AA4"/>
    <w:rsid w:val="00BA4859"/>
    <w:rsid w:val="00BB283C"/>
    <w:rsid w:val="00BB28BC"/>
    <w:rsid w:val="00BB47F6"/>
    <w:rsid w:val="00BB7DD4"/>
    <w:rsid w:val="00BC0BBF"/>
    <w:rsid w:val="00BD571E"/>
    <w:rsid w:val="00BF31B9"/>
    <w:rsid w:val="00BF31E8"/>
    <w:rsid w:val="00BF412F"/>
    <w:rsid w:val="00BF44A6"/>
    <w:rsid w:val="00C04000"/>
    <w:rsid w:val="00C070D4"/>
    <w:rsid w:val="00C10EB5"/>
    <w:rsid w:val="00C13AD1"/>
    <w:rsid w:val="00C15CD6"/>
    <w:rsid w:val="00C16AD8"/>
    <w:rsid w:val="00C20194"/>
    <w:rsid w:val="00C23F8E"/>
    <w:rsid w:val="00C24B2B"/>
    <w:rsid w:val="00C26C6F"/>
    <w:rsid w:val="00C275BC"/>
    <w:rsid w:val="00C31155"/>
    <w:rsid w:val="00C31907"/>
    <w:rsid w:val="00C31FC4"/>
    <w:rsid w:val="00C3432D"/>
    <w:rsid w:val="00C35316"/>
    <w:rsid w:val="00C41E46"/>
    <w:rsid w:val="00C425A5"/>
    <w:rsid w:val="00C43A6D"/>
    <w:rsid w:val="00C57EAE"/>
    <w:rsid w:val="00C634AC"/>
    <w:rsid w:val="00C64F4D"/>
    <w:rsid w:val="00C7218B"/>
    <w:rsid w:val="00C75402"/>
    <w:rsid w:val="00C75FC8"/>
    <w:rsid w:val="00C8062D"/>
    <w:rsid w:val="00C8232F"/>
    <w:rsid w:val="00C87BE6"/>
    <w:rsid w:val="00C90DD4"/>
    <w:rsid w:val="00C946A1"/>
    <w:rsid w:val="00CA0447"/>
    <w:rsid w:val="00CA4F70"/>
    <w:rsid w:val="00CA597C"/>
    <w:rsid w:val="00CB231C"/>
    <w:rsid w:val="00CB31A3"/>
    <w:rsid w:val="00CC21C7"/>
    <w:rsid w:val="00CC3EEB"/>
    <w:rsid w:val="00CC3FA2"/>
    <w:rsid w:val="00CC4212"/>
    <w:rsid w:val="00CC4B06"/>
    <w:rsid w:val="00CC5582"/>
    <w:rsid w:val="00CC7360"/>
    <w:rsid w:val="00CC7EF2"/>
    <w:rsid w:val="00CD5491"/>
    <w:rsid w:val="00CD69C9"/>
    <w:rsid w:val="00CE2B47"/>
    <w:rsid w:val="00CE2F50"/>
    <w:rsid w:val="00CF00DE"/>
    <w:rsid w:val="00CF3244"/>
    <w:rsid w:val="00CF3ACE"/>
    <w:rsid w:val="00D023A2"/>
    <w:rsid w:val="00D07EFB"/>
    <w:rsid w:val="00D109A3"/>
    <w:rsid w:val="00D14D67"/>
    <w:rsid w:val="00D23F4C"/>
    <w:rsid w:val="00D250E9"/>
    <w:rsid w:val="00D26119"/>
    <w:rsid w:val="00D268B1"/>
    <w:rsid w:val="00D3590D"/>
    <w:rsid w:val="00D37400"/>
    <w:rsid w:val="00D37739"/>
    <w:rsid w:val="00D37D82"/>
    <w:rsid w:val="00D405EB"/>
    <w:rsid w:val="00D419A4"/>
    <w:rsid w:val="00D42988"/>
    <w:rsid w:val="00D429A9"/>
    <w:rsid w:val="00D4323F"/>
    <w:rsid w:val="00D44463"/>
    <w:rsid w:val="00D44485"/>
    <w:rsid w:val="00D47807"/>
    <w:rsid w:val="00D51240"/>
    <w:rsid w:val="00D516C8"/>
    <w:rsid w:val="00D6211B"/>
    <w:rsid w:val="00D675FF"/>
    <w:rsid w:val="00D67EF8"/>
    <w:rsid w:val="00D721F0"/>
    <w:rsid w:val="00D73223"/>
    <w:rsid w:val="00D75BEF"/>
    <w:rsid w:val="00D75E38"/>
    <w:rsid w:val="00D7686A"/>
    <w:rsid w:val="00D77630"/>
    <w:rsid w:val="00D83048"/>
    <w:rsid w:val="00D8436F"/>
    <w:rsid w:val="00D850A1"/>
    <w:rsid w:val="00D87FDD"/>
    <w:rsid w:val="00D916E5"/>
    <w:rsid w:val="00D974B8"/>
    <w:rsid w:val="00DB10E3"/>
    <w:rsid w:val="00DB7EA4"/>
    <w:rsid w:val="00DC4755"/>
    <w:rsid w:val="00DC4ED7"/>
    <w:rsid w:val="00DC7C9F"/>
    <w:rsid w:val="00DD04D4"/>
    <w:rsid w:val="00DD2F95"/>
    <w:rsid w:val="00DD4B4D"/>
    <w:rsid w:val="00DD54ED"/>
    <w:rsid w:val="00DE0853"/>
    <w:rsid w:val="00DE17FA"/>
    <w:rsid w:val="00DE3232"/>
    <w:rsid w:val="00DE3977"/>
    <w:rsid w:val="00DE5F25"/>
    <w:rsid w:val="00DE722E"/>
    <w:rsid w:val="00DF0232"/>
    <w:rsid w:val="00DF0502"/>
    <w:rsid w:val="00DF6B8E"/>
    <w:rsid w:val="00DF7C5C"/>
    <w:rsid w:val="00E00CE7"/>
    <w:rsid w:val="00E037EF"/>
    <w:rsid w:val="00E04E0C"/>
    <w:rsid w:val="00E073A5"/>
    <w:rsid w:val="00E1094C"/>
    <w:rsid w:val="00E12060"/>
    <w:rsid w:val="00E13FE0"/>
    <w:rsid w:val="00E16706"/>
    <w:rsid w:val="00E303E8"/>
    <w:rsid w:val="00E335DA"/>
    <w:rsid w:val="00E350F5"/>
    <w:rsid w:val="00E36F61"/>
    <w:rsid w:val="00E374EA"/>
    <w:rsid w:val="00E427C5"/>
    <w:rsid w:val="00E44C61"/>
    <w:rsid w:val="00E457F5"/>
    <w:rsid w:val="00E5010B"/>
    <w:rsid w:val="00E54FAA"/>
    <w:rsid w:val="00E56C3D"/>
    <w:rsid w:val="00E65F32"/>
    <w:rsid w:val="00E717BC"/>
    <w:rsid w:val="00E74413"/>
    <w:rsid w:val="00E77951"/>
    <w:rsid w:val="00E862A5"/>
    <w:rsid w:val="00E87CF8"/>
    <w:rsid w:val="00E97354"/>
    <w:rsid w:val="00EA0187"/>
    <w:rsid w:val="00EB2C82"/>
    <w:rsid w:val="00EB444C"/>
    <w:rsid w:val="00EB4B17"/>
    <w:rsid w:val="00EB5C9C"/>
    <w:rsid w:val="00EB67F5"/>
    <w:rsid w:val="00EC2C3D"/>
    <w:rsid w:val="00EC6E1F"/>
    <w:rsid w:val="00ED3F54"/>
    <w:rsid w:val="00ED5065"/>
    <w:rsid w:val="00EF3BFF"/>
    <w:rsid w:val="00EF4F91"/>
    <w:rsid w:val="00F23F4C"/>
    <w:rsid w:val="00F24F85"/>
    <w:rsid w:val="00F279E4"/>
    <w:rsid w:val="00F31102"/>
    <w:rsid w:val="00F3254E"/>
    <w:rsid w:val="00F329D4"/>
    <w:rsid w:val="00F37C2D"/>
    <w:rsid w:val="00F46DA1"/>
    <w:rsid w:val="00F52F5A"/>
    <w:rsid w:val="00F5739D"/>
    <w:rsid w:val="00F633C8"/>
    <w:rsid w:val="00F63C97"/>
    <w:rsid w:val="00F72136"/>
    <w:rsid w:val="00F747C7"/>
    <w:rsid w:val="00F83F72"/>
    <w:rsid w:val="00F8447F"/>
    <w:rsid w:val="00F916B2"/>
    <w:rsid w:val="00F935DB"/>
    <w:rsid w:val="00F950DE"/>
    <w:rsid w:val="00F95841"/>
    <w:rsid w:val="00FA31AD"/>
    <w:rsid w:val="00FA4EDC"/>
    <w:rsid w:val="00FA6119"/>
    <w:rsid w:val="00FA65A6"/>
    <w:rsid w:val="00FB0538"/>
    <w:rsid w:val="00FB1159"/>
    <w:rsid w:val="00FB2E09"/>
    <w:rsid w:val="00FB69D6"/>
    <w:rsid w:val="00FC0325"/>
    <w:rsid w:val="00FC0B67"/>
    <w:rsid w:val="00FC4288"/>
    <w:rsid w:val="00FC7B9A"/>
    <w:rsid w:val="00FD0663"/>
    <w:rsid w:val="00FD2A08"/>
    <w:rsid w:val="00FD5EAC"/>
    <w:rsid w:val="00FE2394"/>
    <w:rsid w:val="00FE2EC8"/>
    <w:rsid w:val="00FE3C92"/>
    <w:rsid w:val="00FE40E1"/>
    <w:rsid w:val="00FE6AD8"/>
    <w:rsid w:val="00FE7216"/>
    <w:rsid w:val="00FE7339"/>
    <w:rsid w:val="00FF339C"/>
    <w:rsid w:val="00FF53E5"/>
  </w:rsids>
  <w:docVars>
    <w:docVar w:name="KGWebUrl" w:val="http://idp.efunds.com.cn/api/v1/backend/docSyncController/downloadAnnFile.json?force=true&amp;fileName=61520220330110009%E6%98%93%E6%96%B9%E8%BE%BE%E4%BB%B7%E5%80%BC%E7%B2%BE%E9%80%89%E6%B7%B7%E5%90%88%E5%9E%8B%E8%AF%81%E5%88%B8%E6%8A%95%E8%B5%84%E5%9F%BA%E9%87%91%E6%9B%B4%E6%96%B0%E7%9A%84%E6%8B%9B%E5%8B%9F%E8%AF%B4%E6%98%8E%E4%B9%A6.docx&amp;fileId=ANN_DOC_14464&amp;t=1648090424919"/>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6794404F-8757-4F35-8995-27EB5936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08C"/>
    <w:pPr>
      <w:widowControl w:val="0"/>
      <w:jc w:val="both"/>
    </w:pPr>
    <w:rPr>
      <w:rFonts w:ascii="Times New Roman" w:hAnsi="Times New Roman"/>
      <w:kern w:val="2"/>
      <w:sz w:val="21"/>
      <w:szCs w:val="24"/>
    </w:rPr>
  </w:style>
  <w:style w:type="paragraph" w:styleId="Heading1">
    <w:name w:val="heading 1"/>
    <w:aliases w:val="123321,H1,Heading 0,Heading 11,Level 1 Head,Level 1 Topic Heading,PIM 1,h1,level 1"/>
    <w:basedOn w:val="Normal"/>
    <w:next w:val="Normal"/>
    <w:link w:val="1Char"/>
    <w:qFormat/>
    <w:rsid w:val="0002608C"/>
    <w:pPr>
      <w:keepNext/>
      <w:spacing w:beforeLines="100" w:afterLines="100"/>
      <w:ind w:firstLine="200" w:firstLineChars="200"/>
      <w:jc w:val="center"/>
      <w:outlineLvl w:val="0"/>
    </w:pPr>
    <w:rPr>
      <w:rFonts w:ascii="黑体" w:eastAsia="黑体"/>
      <w:sz w:val="32"/>
      <w:szCs w:val="32"/>
    </w:rPr>
  </w:style>
  <w:style w:type="paragraph" w:styleId="Heading2">
    <w:name w:val="heading 2"/>
    <w:aliases w:val="2,2nd level,H2,Header 2,Heading 2 CCBS,Heading 2 Hidden,Level 2 Head,PIM2,h2,l2,proj2,proj21,proj210,proj211,proj212,proj22,proj221,proj23,proj231,proj24,proj241,proj25,proj251,proj26,proj261,proj27,proj271,proj28,proj281,proj29,标题 2 Char Char"/>
    <w:basedOn w:val="Normal"/>
    <w:next w:val="Normal"/>
    <w:link w:val="2Char"/>
    <w:qFormat/>
    <w:rsid w:val="0002608C"/>
    <w:pPr>
      <w:keepNext/>
      <w:keepLines/>
      <w:spacing w:beforeLines="100" w:afterLines="100"/>
      <w:ind w:firstLine="200" w:firstLineChars="200"/>
      <w:outlineLvl w:val="1"/>
    </w:pPr>
    <w:rPr>
      <w:rFonts w:ascii="Arial" w:hAnsi="Arial"/>
      <w:b/>
      <w:sz w:val="28"/>
      <w:szCs w:val="28"/>
    </w:rPr>
  </w:style>
  <w:style w:type="paragraph" w:styleId="Heading3">
    <w:name w:val="heading 3"/>
    <w:basedOn w:val="Normal"/>
    <w:next w:val="Normal"/>
    <w:link w:val="3Char"/>
    <w:qFormat/>
    <w:rsid w:val="0002608C"/>
    <w:pPr>
      <w:numPr>
        <w:ilvl w:val="2"/>
        <w:numId w:val="2"/>
      </w:numPr>
      <w:spacing w:before="260" w:after="260" w:line="416" w:lineRule="auto"/>
      <w:outlineLvl w:val="2"/>
    </w:pPr>
    <w:rPr>
      <w:rFonts w:ascii="仿宋_GB2312" w:eastAsia="仿宋_GB2312"/>
      <w:sz w:val="24"/>
      <w:szCs w:val="20"/>
    </w:rPr>
  </w:style>
  <w:style w:type="paragraph" w:styleId="Heading4">
    <w:name w:val="heading 4"/>
    <w:basedOn w:val="Normal"/>
    <w:next w:val="Normal"/>
    <w:link w:val="4Char"/>
    <w:qFormat/>
    <w:rsid w:val="0002608C"/>
    <w:pPr>
      <w:keepNext/>
      <w:keepLines/>
      <w:numPr>
        <w:ilvl w:val="3"/>
        <w:numId w:val="1"/>
      </w:numPr>
      <w:spacing w:before="280" w:after="290" w:line="376" w:lineRule="auto"/>
      <w:outlineLvl w:val="3"/>
    </w:pPr>
    <w:rPr>
      <w:rFonts w:ascii="Arial" w:eastAsia="黑体" w:hAnsi="Arial"/>
      <w:b/>
      <w:bCs/>
      <w:sz w:val="28"/>
      <w:szCs w:val="28"/>
    </w:rPr>
  </w:style>
  <w:style w:type="paragraph" w:styleId="Heading5">
    <w:name w:val="heading 5"/>
    <w:basedOn w:val="Normal"/>
    <w:next w:val="Normal"/>
    <w:link w:val="5Char"/>
    <w:qFormat/>
    <w:rsid w:val="0002608C"/>
    <w:pPr>
      <w:keepNext/>
      <w:keepLines/>
      <w:numPr>
        <w:ilvl w:val="4"/>
        <w:numId w:val="1"/>
      </w:numPr>
      <w:spacing w:before="280" w:after="290" w:line="376" w:lineRule="auto"/>
      <w:ind w:firstLine="200" w:firstLineChars="200"/>
      <w:outlineLvl w:val="4"/>
    </w:pPr>
    <w:rPr>
      <w:b/>
      <w:bCs/>
      <w:sz w:val="28"/>
      <w:szCs w:val="28"/>
    </w:rPr>
  </w:style>
  <w:style w:type="paragraph" w:styleId="Heading6">
    <w:name w:val="heading 6"/>
    <w:basedOn w:val="Normal"/>
    <w:next w:val="Normal"/>
    <w:link w:val="6Char"/>
    <w:qFormat/>
    <w:rsid w:val="0002608C"/>
    <w:pPr>
      <w:keepNext/>
      <w:keepLines/>
      <w:numPr>
        <w:ilvl w:val="5"/>
        <w:numId w:val="1"/>
      </w:numPr>
      <w:spacing w:before="240" w:after="64" w:line="320" w:lineRule="auto"/>
      <w:ind w:firstLine="200" w:firstLineChars="200"/>
      <w:outlineLvl w:val="5"/>
    </w:pPr>
    <w:rPr>
      <w:rFonts w:ascii="Arial" w:eastAsia="黑体" w:hAnsi="Arial"/>
      <w:b/>
      <w:bCs/>
      <w:sz w:val="24"/>
    </w:rPr>
  </w:style>
  <w:style w:type="paragraph" w:styleId="Heading7">
    <w:name w:val="heading 7"/>
    <w:basedOn w:val="Normal"/>
    <w:next w:val="Normal"/>
    <w:link w:val="7Char"/>
    <w:qFormat/>
    <w:rsid w:val="0002608C"/>
    <w:pPr>
      <w:keepNext/>
      <w:keepLines/>
      <w:numPr>
        <w:ilvl w:val="6"/>
        <w:numId w:val="1"/>
      </w:numPr>
      <w:spacing w:before="240" w:after="64" w:line="320" w:lineRule="auto"/>
      <w:ind w:firstLine="200" w:firstLineChars="200"/>
      <w:outlineLvl w:val="6"/>
    </w:pPr>
    <w:rPr>
      <w:b/>
      <w:bCs/>
      <w:sz w:val="24"/>
    </w:rPr>
  </w:style>
  <w:style w:type="paragraph" w:styleId="Heading8">
    <w:name w:val="heading 8"/>
    <w:basedOn w:val="Normal"/>
    <w:next w:val="Normal"/>
    <w:link w:val="8Char"/>
    <w:qFormat/>
    <w:rsid w:val="0002608C"/>
    <w:pPr>
      <w:keepNext/>
      <w:keepLines/>
      <w:numPr>
        <w:ilvl w:val="7"/>
        <w:numId w:val="1"/>
      </w:numPr>
      <w:spacing w:before="240" w:after="64" w:line="320" w:lineRule="auto"/>
      <w:ind w:firstLine="200" w:firstLineChars="200"/>
      <w:outlineLvl w:val="7"/>
    </w:pPr>
    <w:rPr>
      <w:rFonts w:ascii="Arial" w:eastAsia="黑体" w:hAnsi="Arial"/>
      <w:sz w:val="24"/>
    </w:rPr>
  </w:style>
  <w:style w:type="paragraph" w:styleId="Heading9">
    <w:name w:val="heading 9"/>
    <w:basedOn w:val="Normal"/>
    <w:next w:val="Normal"/>
    <w:link w:val="9Char"/>
    <w:qFormat/>
    <w:rsid w:val="0002608C"/>
    <w:pPr>
      <w:keepNext/>
      <w:keepLines/>
      <w:numPr>
        <w:ilvl w:val="8"/>
        <w:numId w:val="1"/>
      </w:numPr>
      <w:spacing w:before="240" w:after="64" w:line="320" w:lineRule="auto"/>
      <w:ind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aliases w:val="123321 Char,H1 Char,Heading 0 Char,Heading 11 Char,Level 1 Head Char,Level 1 Topic Heading Char,PIM 1 Char,h1 Char,level 1 Char"/>
    <w:basedOn w:val="DefaultParagraphFont"/>
    <w:link w:val="Heading1"/>
    <w:rsid w:val="0002608C"/>
    <w:rPr>
      <w:rFonts w:ascii="黑体" w:eastAsia="黑体" w:hAnsi="Times New Roman" w:cs="Times New Roman"/>
      <w:sz w:val="32"/>
      <w:szCs w:val="32"/>
    </w:rPr>
  </w:style>
  <w:style w:type="character" w:customStyle="1" w:styleId="2Char">
    <w:name w:val="标题 2 Char"/>
    <w:aliases w:val="2 Char,2nd level Char,H2 Char,Header 2 Char,Heading 2 CCBS Char,Heading 2 Hidden Char,Level 2 Head Char,PIM2 Char,h2 Char,l2 Char,proj2 Char,proj21 Char,proj210 Char,proj211 Char,proj212 Char,proj22 Char,proj221 Char,proj23 Char,proj231 Char"/>
    <w:basedOn w:val="DefaultParagraphFont"/>
    <w:link w:val="Heading2"/>
    <w:rsid w:val="0002608C"/>
    <w:rPr>
      <w:rFonts w:ascii="Arial" w:eastAsia="宋体" w:hAnsi="Arial" w:cs="Times New Roman"/>
      <w:b/>
      <w:sz w:val="28"/>
      <w:szCs w:val="28"/>
    </w:rPr>
  </w:style>
  <w:style w:type="character" w:customStyle="1" w:styleId="3Char">
    <w:name w:val="标题 3 Char"/>
    <w:basedOn w:val="DefaultParagraphFont"/>
    <w:link w:val="Heading3"/>
    <w:rsid w:val="0002608C"/>
    <w:rPr>
      <w:rFonts w:ascii="仿宋_GB2312" w:eastAsia="仿宋_GB2312" w:hAnsi="Times New Roman" w:cs="Times New Roman"/>
      <w:sz w:val="24"/>
      <w:szCs w:val="20"/>
    </w:rPr>
  </w:style>
  <w:style w:type="character" w:customStyle="1" w:styleId="4Char">
    <w:name w:val="标题 4 Char"/>
    <w:basedOn w:val="DefaultParagraphFont"/>
    <w:link w:val="Heading4"/>
    <w:rsid w:val="0002608C"/>
    <w:rPr>
      <w:rFonts w:ascii="Arial" w:eastAsia="黑体" w:hAnsi="Arial" w:cs="Times New Roman"/>
      <w:b/>
      <w:bCs/>
      <w:sz w:val="28"/>
      <w:szCs w:val="28"/>
    </w:rPr>
  </w:style>
  <w:style w:type="character" w:customStyle="1" w:styleId="5Char">
    <w:name w:val="标题 5 Char"/>
    <w:basedOn w:val="DefaultParagraphFont"/>
    <w:link w:val="Heading5"/>
    <w:rsid w:val="0002608C"/>
    <w:rPr>
      <w:rFonts w:ascii="Times New Roman" w:eastAsia="宋体" w:hAnsi="Times New Roman" w:cs="Times New Roman"/>
      <w:b/>
      <w:bCs/>
      <w:sz w:val="28"/>
      <w:szCs w:val="28"/>
    </w:rPr>
  </w:style>
  <w:style w:type="character" w:customStyle="1" w:styleId="6Char">
    <w:name w:val="标题 6 Char"/>
    <w:basedOn w:val="DefaultParagraphFont"/>
    <w:link w:val="Heading6"/>
    <w:rsid w:val="0002608C"/>
    <w:rPr>
      <w:rFonts w:ascii="Arial" w:eastAsia="黑体" w:hAnsi="Arial" w:cs="Times New Roman"/>
      <w:b/>
      <w:bCs/>
      <w:sz w:val="24"/>
      <w:szCs w:val="24"/>
    </w:rPr>
  </w:style>
  <w:style w:type="character" w:customStyle="1" w:styleId="7Char">
    <w:name w:val="标题 7 Char"/>
    <w:basedOn w:val="DefaultParagraphFont"/>
    <w:link w:val="Heading7"/>
    <w:rsid w:val="0002608C"/>
    <w:rPr>
      <w:rFonts w:ascii="Times New Roman" w:eastAsia="宋体" w:hAnsi="Times New Roman" w:cs="Times New Roman"/>
      <w:b/>
      <w:bCs/>
      <w:sz w:val="24"/>
      <w:szCs w:val="24"/>
    </w:rPr>
  </w:style>
  <w:style w:type="character" w:customStyle="1" w:styleId="8Char">
    <w:name w:val="标题 8 Char"/>
    <w:basedOn w:val="DefaultParagraphFont"/>
    <w:link w:val="Heading8"/>
    <w:rsid w:val="0002608C"/>
    <w:rPr>
      <w:rFonts w:ascii="Arial" w:eastAsia="黑体" w:hAnsi="Arial" w:cs="Times New Roman"/>
      <w:sz w:val="24"/>
      <w:szCs w:val="24"/>
    </w:rPr>
  </w:style>
  <w:style w:type="character" w:customStyle="1" w:styleId="9Char">
    <w:name w:val="标题 9 Char"/>
    <w:basedOn w:val="DefaultParagraphFont"/>
    <w:link w:val="Heading9"/>
    <w:rsid w:val="0002608C"/>
    <w:rPr>
      <w:rFonts w:ascii="Arial" w:eastAsia="黑体" w:hAnsi="Arial" w:cs="Times New Roman"/>
      <w:sz w:val="24"/>
      <w:szCs w:val="21"/>
    </w:rPr>
  </w:style>
  <w:style w:type="paragraph" w:customStyle="1" w:styleId="CharCharCharCharCharCharChar">
    <w:name w:val="正文文字 Char Char Char Char Char Char Char"/>
    <w:basedOn w:val="Normal"/>
    <w:next w:val="BodyText3"/>
    <w:rsid w:val="0002608C"/>
    <w:pPr>
      <w:spacing w:after="120"/>
    </w:pPr>
    <w:rPr>
      <w:sz w:val="16"/>
      <w:szCs w:val="16"/>
    </w:rPr>
  </w:style>
  <w:style w:type="paragraph" w:styleId="BodyText3">
    <w:name w:val="Body Text 3"/>
    <w:basedOn w:val="Normal"/>
    <w:link w:val="3Char0"/>
    <w:rsid w:val="0002608C"/>
    <w:pPr>
      <w:spacing w:after="120"/>
    </w:pPr>
    <w:rPr>
      <w:sz w:val="16"/>
      <w:szCs w:val="16"/>
    </w:rPr>
  </w:style>
  <w:style w:type="character" w:customStyle="1" w:styleId="3Char0">
    <w:name w:val="正文文本 3 Char"/>
    <w:basedOn w:val="DefaultParagraphFont"/>
    <w:link w:val="BodyText3"/>
    <w:rsid w:val="0002608C"/>
    <w:rPr>
      <w:rFonts w:ascii="Times New Roman" w:eastAsia="宋体" w:hAnsi="Times New Roman" w:cs="Times New Roman"/>
      <w:sz w:val="16"/>
      <w:szCs w:val="16"/>
    </w:rPr>
  </w:style>
  <w:style w:type="paragraph" w:styleId="TOC1">
    <w:name w:val="toc 1"/>
    <w:basedOn w:val="Normal"/>
    <w:next w:val="Normal"/>
    <w:autoRedefine/>
    <w:uiPriority w:val="39"/>
    <w:rsid w:val="0002608C"/>
    <w:pPr>
      <w:tabs>
        <w:tab w:val="right" w:leader="dot" w:pos="8296"/>
      </w:tabs>
      <w:jc w:val="left"/>
    </w:pPr>
    <w:rPr>
      <w:rFonts w:ascii="宋体" w:eastAsia="黑体" w:hAnsi="宋体"/>
      <w:caps/>
      <w:noProof/>
      <w:sz w:val="24"/>
      <w:szCs w:val="28"/>
    </w:rPr>
  </w:style>
  <w:style w:type="paragraph" w:styleId="TOC2">
    <w:name w:val="toc 2"/>
    <w:basedOn w:val="Normal"/>
    <w:next w:val="Normal"/>
    <w:autoRedefine/>
    <w:uiPriority w:val="39"/>
    <w:rsid w:val="0002608C"/>
    <w:pPr>
      <w:tabs>
        <w:tab w:val="right" w:leader="dot" w:pos="8268"/>
      </w:tabs>
      <w:ind w:left="319" w:firstLine="731" w:leftChars="152" w:firstLineChars="348"/>
      <w:jc w:val="left"/>
    </w:pPr>
    <w:rPr>
      <w:rFonts w:eastAsia="仿宋_GB2312"/>
      <w:smallCaps/>
      <w:noProof/>
      <w:szCs w:val="20"/>
    </w:rPr>
  </w:style>
  <w:style w:type="paragraph" w:customStyle="1" w:styleId="1">
    <w:name w:val="样式 标题 1 + 黑体 非加粗"/>
    <w:basedOn w:val="Heading1"/>
    <w:rsid w:val="0002608C"/>
    <w:pPr>
      <w:pageBreakBefore/>
    </w:pPr>
    <w:rPr>
      <w:rFonts w:hAnsi="黑体"/>
      <w:b/>
    </w:rPr>
  </w:style>
  <w:style w:type="paragraph" w:customStyle="1" w:styleId="111">
    <w:name w:val="样式 标题 1 + 段前: 1 行 段后: 1 行"/>
    <w:basedOn w:val="Heading1"/>
    <w:rsid w:val="0002608C"/>
    <w:pPr>
      <w:pageBreakBefore/>
    </w:pPr>
    <w:rPr>
      <w:szCs w:val="20"/>
    </w:rPr>
  </w:style>
  <w:style w:type="paragraph" w:customStyle="1" w:styleId="20">
    <w:name w:val="样式 首行缩进:  2 字符"/>
    <w:basedOn w:val="Normal"/>
    <w:rsid w:val="0002608C"/>
    <w:pPr>
      <w:spacing w:before="100" w:beforeAutospacing="1" w:after="100" w:afterAutospacing="1" w:line="360" w:lineRule="auto"/>
      <w:ind w:firstLine="480" w:firstLineChars="200"/>
    </w:pPr>
    <w:rPr>
      <w:szCs w:val="20"/>
    </w:rPr>
  </w:style>
  <w:style w:type="paragraph" w:styleId="Header">
    <w:name w:val="header"/>
    <w:basedOn w:val="Normal"/>
    <w:link w:val="Char"/>
    <w:uiPriority w:val="99"/>
    <w:rsid w:val="0002608C"/>
    <w:pPr>
      <w:pBdr>
        <w:bottom w:val="single" w:sz="6" w:space="1" w:color="auto"/>
      </w:pBdr>
      <w:tabs>
        <w:tab w:val="center" w:pos="4153"/>
        <w:tab w:val="right" w:pos="8306"/>
      </w:tabs>
      <w:snapToGrid w:val="0"/>
      <w:ind w:firstLine="200" w:firstLineChars="200"/>
      <w:jc w:val="center"/>
    </w:pPr>
    <w:rPr>
      <w:rFonts w:eastAsia="仿宋_GB2312"/>
      <w:sz w:val="18"/>
      <w:szCs w:val="20"/>
    </w:rPr>
  </w:style>
  <w:style w:type="character" w:customStyle="1" w:styleId="Char">
    <w:name w:val="页眉 Char"/>
    <w:basedOn w:val="DefaultParagraphFont"/>
    <w:link w:val="Header"/>
    <w:uiPriority w:val="99"/>
    <w:rsid w:val="0002608C"/>
    <w:rPr>
      <w:rFonts w:ascii="Times New Roman" w:eastAsia="仿宋_GB2312" w:hAnsi="Times New Roman" w:cs="Times New Roman"/>
      <w:sz w:val="18"/>
      <w:szCs w:val="20"/>
    </w:rPr>
  </w:style>
  <w:style w:type="character" w:styleId="PageNumber">
    <w:name w:val="page number"/>
    <w:basedOn w:val="DefaultParagraphFont"/>
    <w:rsid w:val="0002608C"/>
  </w:style>
  <w:style w:type="paragraph" w:styleId="Footer">
    <w:name w:val="footer"/>
    <w:basedOn w:val="Normal"/>
    <w:link w:val="Char0"/>
    <w:uiPriority w:val="99"/>
    <w:rsid w:val="0002608C"/>
    <w:pPr>
      <w:tabs>
        <w:tab w:val="center" w:pos="4153"/>
        <w:tab w:val="right" w:pos="8306"/>
      </w:tabs>
      <w:snapToGrid w:val="0"/>
      <w:ind w:firstLine="200" w:firstLineChars="200"/>
      <w:jc w:val="left"/>
    </w:pPr>
    <w:rPr>
      <w:rFonts w:eastAsia="仿宋_GB2312"/>
      <w:sz w:val="18"/>
      <w:szCs w:val="20"/>
    </w:rPr>
  </w:style>
  <w:style w:type="character" w:customStyle="1" w:styleId="Char0">
    <w:name w:val="页脚 Char"/>
    <w:basedOn w:val="DefaultParagraphFont"/>
    <w:link w:val="Footer"/>
    <w:uiPriority w:val="99"/>
    <w:rsid w:val="0002608C"/>
    <w:rPr>
      <w:rFonts w:ascii="Times New Roman" w:eastAsia="仿宋_GB2312" w:hAnsi="Times New Roman" w:cs="Times New Roman"/>
      <w:sz w:val="18"/>
      <w:szCs w:val="20"/>
    </w:rPr>
  </w:style>
  <w:style w:type="paragraph" w:styleId="Title">
    <w:name w:val="Title"/>
    <w:basedOn w:val="Normal"/>
    <w:link w:val="Char1"/>
    <w:qFormat/>
    <w:rsid w:val="0002608C"/>
    <w:pPr>
      <w:spacing w:before="240" w:after="60"/>
      <w:jc w:val="center"/>
      <w:outlineLvl w:val="0"/>
    </w:pPr>
    <w:rPr>
      <w:rFonts w:ascii="Arial" w:hAnsi="Arial" w:cs="Arial"/>
      <w:b/>
      <w:bCs/>
      <w:sz w:val="32"/>
      <w:szCs w:val="32"/>
    </w:rPr>
  </w:style>
  <w:style w:type="character" w:customStyle="1" w:styleId="Char1">
    <w:name w:val="标题 Char"/>
    <w:basedOn w:val="DefaultParagraphFont"/>
    <w:link w:val="Title"/>
    <w:rsid w:val="0002608C"/>
    <w:rPr>
      <w:rFonts w:ascii="Arial" w:eastAsia="宋体" w:hAnsi="Arial" w:cs="Arial"/>
      <w:b/>
      <w:bCs/>
      <w:sz w:val="32"/>
      <w:szCs w:val="32"/>
    </w:rPr>
  </w:style>
  <w:style w:type="character" w:customStyle="1" w:styleId="Char2">
    <w:name w:val="结束语 Char"/>
    <w:basedOn w:val="DefaultParagraphFont"/>
    <w:link w:val="Closing"/>
    <w:rsid w:val="0002608C"/>
    <w:rPr>
      <w:rFonts w:ascii="Times New Roman" w:eastAsia="宋体" w:hAnsi="Times New Roman" w:cs="Times New Roman"/>
      <w:szCs w:val="24"/>
    </w:rPr>
  </w:style>
  <w:style w:type="paragraph" w:styleId="Closing">
    <w:name w:val="Closing"/>
    <w:basedOn w:val="Normal"/>
    <w:link w:val="Char2"/>
    <w:rsid w:val="0002608C"/>
    <w:pPr>
      <w:ind w:left="100" w:leftChars="2100"/>
    </w:pPr>
  </w:style>
  <w:style w:type="paragraph" w:styleId="ListNumber3">
    <w:name w:val="List Number 3"/>
    <w:basedOn w:val="Normal"/>
    <w:rsid w:val="0002608C"/>
    <w:pPr>
      <w:numPr>
        <w:numId w:val="3"/>
      </w:numPr>
    </w:pPr>
  </w:style>
  <w:style w:type="paragraph" w:styleId="ListBullet3">
    <w:name w:val="List Bullet 3"/>
    <w:basedOn w:val="Normal"/>
    <w:autoRedefine/>
    <w:rsid w:val="0002608C"/>
    <w:pPr>
      <w:numPr>
        <w:numId w:val="4"/>
      </w:numPr>
    </w:pPr>
  </w:style>
  <w:style w:type="paragraph" w:styleId="BodyText">
    <w:name w:val="Body Text"/>
    <w:basedOn w:val="Normal"/>
    <w:link w:val="Char3"/>
    <w:rsid w:val="0002608C"/>
    <w:pPr>
      <w:spacing w:after="120"/>
    </w:pPr>
  </w:style>
  <w:style w:type="character" w:customStyle="1" w:styleId="Char3">
    <w:name w:val="正文文本 Char"/>
    <w:basedOn w:val="DefaultParagraphFont"/>
    <w:link w:val="BodyText"/>
    <w:rsid w:val="0002608C"/>
    <w:rPr>
      <w:rFonts w:ascii="Times New Roman" w:eastAsia="宋体" w:hAnsi="Times New Roman" w:cs="Times New Roman"/>
      <w:szCs w:val="24"/>
    </w:rPr>
  </w:style>
  <w:style w:type="paragraph" w:styleId="BodyTextFirstIndent">
    <w:name w:val="Body Text First Indent"/>
    <w:basedOn w:val="BodyText"/>
    <w:link w:val="Char4"/>
    <w:rsid w:val="0002608C"/>
    <w:pPr>
      <w:ind w:firstLine="420" w:firstLineChars="100"/>
    </w:pPr>
  </w:style>
  <w:style w:type="character" w:customStyle="1" w:styleId="Char4">
    <w:name w:val="正文首行缩进 Char"/>
    <w:basedOn w:val="Char3"/>
    <w:link w:val="BodyTextFirstIndent"/>
    <w:rsid w:val="0002608C"/>
    <w:rPr>
      <w:rFonts w:ascii="Times New Roman" w:eastAsia="宋体" w:hAnsi="Times New Roman" w:cs="Times New Roman"/>
      <w:szCs w:val="24"/>
    </w:rPr>
  </w:style>
  <w:style w:type="paragraph" w:styleId="BodyTextIndent">
    <w:name w:val="Body Text Indent"/>
    <w:basedOn w:val="Normal"/>
    <w:link w:val="Char5"/>
    <w:rsid w:val="0002608C"/>
    <w:pPr>
      <w:spacing w:after="120"/>
      <w:ind w:left="420"/>
    </w:pPr>
  </w:style>
  <w:style w:type="character" w:customStyle="1" w:styleId="Char5">
    <w:name w:val="正文文本缩进 Char"/>
    <w:basedOn w:val="DefaultParagraphFont"/>
    <w:link w:val="BodyTextIndent"/>
    <w:rsid w:val="0002608C"/>
    <w:rPr>
      <w:rFonts w:ascii="Times New Roman" w:eastAsia="宋体" w:hAnsi="Times New Roman" w:cs="Times New Roman"/>
      <w:szCs w:val="24"/>
    </w:rPr>
  </w:style>
  <w:style w:type="character" w:customStyle="1" w:styleId="Char6">
    <w:name w:val="注释标题 Char"/>
    <w:basedOn w:val="DefaultParagraphFont"/>
    <w:link w:val="NoteHeading"/>
    <w:rsid w:val="0002608C"/>
    <w:rPr>
      <w:rFonts w:ascii="Times New Roman" w:eastAsia="宋体" w:hAnsi="Times New Roman" w:cs="Times New Roman"/>
      <w:szCs w:val="24"/>
    </w:rPr>
  </w:style>
  <w:style w:type="paragraph" w:styleId="NoteHeading">
    <w:name w:val="Note Heading"/>
    <w:basedOn w:val="Normal"/>
    <w:next w:val="Normal"/>
    <w:link w:val="Char6"/>
    <w:rsid w:val="0002608C"/>
    <w:pPr>
      <w:jc w:val="center"/>
    </w:pPr>
  </w:style>
  <w:style w:type="character" w:customStyle="1" w:styleId="da">
    <w:name w:val="da"/>
    <w:basedOn w:val="DefaultParagraphFont"/>
    <w:rsid w:val="0002608C"/>
  </w:style>
  <w:style w:type="paragraph" w:customStyle="1" w:styleId="a">
    <w:name w:val="特点"/>
    <w:aliases w:val="正文非缩进,段1,表正文"/>
    <w:basedOn w:val="Normal"/>
    <w:next w:val="NormalIndent"/>
    <w:rsid w:val="0002608C"/>
    <w:pPr>
      <w:ind w:firstLine="420"/>
    </w:pPr>
    <w:rPr>
      <w:szCs w:val="20"/>
    </w:rPr>
  </w:style>
  <w:style w:type="paragraph" w:styleId="NormalIndent">
    <w:name w:val="Normal Indent"/>
    <w:aliases w:val="ALT+Z,正文缩进1"/>
    <w:basedOn w:val="Normal"/>
    <w:rsid w:val="0002608C"/>
    <w:pPr>
      <w:ind w:firstLine="420"/>
    </w:pPr>
  </w:style>
  <w:style w:type="paragraph" w:styleId="BodyTextIndent3">
    <w:name w:val="Body Text Indent 3"/>
    <w:basedOn w:val="Normal"/>
    <w:link w:val="3Char1"/>
    <w:rsid w:val="0002608C"/>
    <w:pPr>
      <w:spacing w:after="120"/>
      <w:ind w:left="420"/>
    </w:pPr>
    <w:rPr>
      <w:sz w:val="16"/>
      <w:szCs w:val="16"/>
    </w:rPr>
  </w:style>
  <w:style w:type="character" w:customStyle="1" w:styleId="3Char1">
    <w:name w:val="正文文本缩进 3 Char"/>
    <w:basedOn w:val="DefaultParagraphFont"/>
    <w:link w:val="BodyTextIndent3"/>
    <w:rsid w:val="0002608C"/>
    <w:rPr>
      <w:rFonts w:ascii="Times New Roman" w:eastAsia="宋体" w:hAnsi="Times New Roman" w:cs="Times New Roman"/>
      <w:sz w:val="16"/>
      <w:szCs w:val="16"/>
    </w:rPr>
  </w:style>
  <w:style w:type="paragraph" w:styleId="PlainText">
    <w:name w:val="Plain Text"/>
    <w:basedOn w:val="Normal"/>
    <w:link w:val="Char7"/>
    <w:rsid w:val="0002608C"/>
    <w:rPr>
      <w:rFonts w:ascii="宋体" w:hAnsi="Courier New" w:cs="Courier New"/>
      <w:szCs w:val="21"/>
    </w:rPr>
  </w:style>
  <w:style w:type="character" w:customStyle="1" w:styleId="Char7">
    <w:name w:val="纯文本 Char"/>
    <w:basedOn w:val="DefaultParagraphFont"/>
    <w:link w:val="PlainText"/>
    <w:rsid w:val="0002608C"/>
    <w:rPr>
      <w:rFonts w:ascii="宋体" w:eastAsia="宋体" w:hAnsi="Courier New" w:cs="Courier New"/>
      <w:szCs w:val="21"/>
    </w:rPr>
  </w:style>
  <w:style w:type="character" w:styleId="Hyperlink">
    <w:name w:val="Hyperlink"/>
    <w:basedOn w:val="DefaultParagraphFont"/>
    <w:uiPriority w:val="99"/>
    <w:rsid w:val="0002608C"/>
    <w:rPr>
      <w:color w:val="0000FF"/>
      <w:u w:val="single"/>
    </w:rPr>
  </w:style>
  <w:style w:type="character" w:customStyle="1" w:styleId="2Char1">
    <w:name w:val="正文文本缩进 2 Char"/>
    <w:basedOn w:val="DefaultParagraphFont"/>
    <w:link w:val="BodyTextIndent2"/>
    <w:rsid w:val="0002608C"/>
    <w:rPr>
      <w:rFonts w:ascii="Times New Roman" w:eastAsia="宋体" w:hAnsi="Times New Roman" w:cs="Times New Roman"/>
      <w:szCs w:val="24"/>
    </w:rPr>
  </w:style>
  <w:style w:type="paragraph" w:styleId="BodyTextIndent2">
    <w:name w:val="Body Text Indent 2"/>
    <w:basedOn w:val="Normal"/>
    <w:link w:val="2Char1"/>
    <w:rsid w:val="0002608C"/>
    <w:pPr>
      <w:spacing w:after="120" w:line="480" w:lineRule="auto"/>
      <w:ind w:left="420"/>
    </w:pPr>
  </w:style>
  <w:style w:type="character" w:customStyle="1" w:styleId="2Char2">
    <w:name w:val="正文文本 2 Char"/>
    <w:basedOn w:val="DefaultParagraphFont"/>
    <w:link w:val="BodyText2"/>
    <w:rsid w:val="0002608C"/>
    <w:rPr>
      <w:rFonts w:ascii="Times New Roman" w:eastAsia="宋体" w:hAnsi="Times New Roman" w:cs="Times New Roman"/>
      <w:szCs w:val="24"/>
    </w:rPr>
  </w:style>
  <w:style w:type="paragraph" w:styleId="BodyText2">
    <w:name w:val="Body Text 2"/>
    <w:basedOn w:val="Normal"/>
    <w:link w:val="2Char2"/>
    <w:rsid w:val="0002608C"/>
    <w:pPr>
      <w:spacing w:after="120" w:line="480" w:lineRule="auto"/>
    </w:pPr>
  </w:style>
  <w:style w:type="character" w:customStyle="1" w:styleId="HTMLChar">
    <w:name w:val="HTML 预设格式 Char"/>
    <w:basedOn w:val="DefaultParagraphFont"/>
    <w:link w:val="HTMLPreformatted"/>
    <w:uiPriority w:val="99"/>
    <w:rsid w:val="0002608C"/>
    <w:rPr>
      <w:rFonts w:ascii="Courier New" w:eastAsia="宋体" w:hAnsi="Courier New" w:cs="Courier New"/>
      <w:sz w:val="20"/>
      <w:szCs w:val="20"/>
    </w:rPr>
  </w:style>
  <w:style w:type="paragraph" w:styleId="HTMLPreformatted">
    <w:name w:val="HTML Preformatted"/>
    <w:basedOn w:val="Normal"/>
    <w:link w:val="HTMLChar"/>
    <w:uiPriority w:val="99"/>
    <w:rsid w:val="0002608C"/>
    <w:rPr>
      <w:rFonts w:ascii="Courier New" w:hAnsi="Courier New" w:cs="Courier New"/>
      <w:sz w:val="20"/>
      <w:szCs w:val="20"/>
    </w:rPr>
  </w:style>
  <w:style w:type="paragraph" w:styleId="NormalWeb">
    <w:name w:val="Normal (Web)"/>
    <w:basedOn w:val="Normal"/>
    <w:rsid w:val="0002608C"/>
    <w:rPr>
      <w:sz w:val="24"/>
    </w:rPr>
  </w:style>
  <w:style w:type="paragraph" w:styleId="Subtitle">
    <w:name w:val="Subtitle"/>
    <w:basedOn w:val="Normal"/>
    <w:link w:val="Char8"/>
    <w:qFormat/>
    <w:rsid w:val="0002608C"/>
    <w:pPr>
      <w:spacing w:before="240" w:after="60" w:line="312" w:lineRule="auto"/>
      <w:jc w:val="center"/>
      <w:outlineLvl w:val="1"/>
    </w:pPr>
    <w:rPr>
      <w:rFonts w:ascii="Arial" w:hAnsi="Arial" w:cs="Arial"/>
      <w:b/>
      <w:bCs/>
      <w:kern w:val="28"/>
      <w:sz w:val="32"/>
      <w:szCs w:val="32"/>
    </w:rPr>
  </w:style>
  <w:style w:type="character" w:customStyle="1" w:styleId="Char8">
    <w:name w:val="副标题 Char"/>
    <w:basedOn w:val="DefaultParagraphFont"/>
    <w:link w:val="Subtitle"/>
    <w:rsid w:val="0002608C"/>
    <w:rPr>
      <w:rFonts w:ascii="Arial" w:eastAsia="宋体" w:hAnsi="Arial" w:cs="Arial"/>
      <w:b/>
      <w:bCs/>
      <w:kern w:val="28"/>
      <w:sz w:val="32"/>
      <w:szCs w:val="32"/>
    </w:rPr>
  </w:style>
  <w:style w:type="character" w:styleId="Strong">
    <w:name w:val="Strong"/>
    <w:basedOn w:val="DefaultParagraphFont"/>
    <w:uiPriority w:val="99"/>
    <w:qFormat/>
    <w:rsid w:val="0002608C"/>
    <w:rPr>
      <w:b/>
      <w:bCs/>
    </w:rPr>
  </w:style>
  <w:style w:type="character" w:customStyle="1" w:styleId="Char9">
    <w:name w:val="文档结构图 Char"/>
    <w:basedOn w:val="DefaultParagraphFont"/>
    <w:link w:val="DocumentMap"/>
    <w:semiHidden/>
    <w:rsid w:val="0002608C"/>
    <w:rPr>
      <w:rFonts w:ascii="Times New Roman" w:eastAsia="宋体" w:hAnsi="Times New Roman" w:cs="Times New Roman"/>
      <w:szCs w:val="24"/>
      <w:shd w:val="clear" w:color="auto" w:fill="000080"/>
    </w:rPr>
  </w:style>
  <w:style w:type="paragraph" w:styleId="DocumentMap">
    <w:name w:val="Document Map"/>
    <w:basedOn w:val="Normal"/>
    <w:link w:val="Char9"/>
    <w:semiHidden/>
    <w:rsid w:val="0002608C"/>
    <w:pPr>
      <w:shd w:val="clear" w:color="auto" w:fill="000080"/>
    </w:pPr>
  </w:style>
  <w:style w:type="character" w:customStyle="1" w:styleId="Char10">
    <w:name w:val="批注框文本 Char"/>
    <w:basedOn w:val="DefaultParagraphFont"/>
    <w:link w:val="BalloonText"/>
    <w:semiHidden/>
    <w:rsid w:val="0002608C"/>
    <w:rPr>
      <w:rFonts w:ascii="Times New Roman" w:eastAsia="宋体" w:hAnsi="Times New Roman" w:cs="Times New Roman"/>
      <w:sz w:val="18"/>
      <w:szCs w:val="18"/>
    </w:rPr>
  </w:style>
  <w:style w:type="paragraph" w:styleId="BalloonText">
    <w:name w:val="Balloon Text"/>
    <w:basedOn w:val="Normal"/>
    <w:link w:val="Char10"/>
    <w:semiHidden/>
    <w:rsid w:val="0002608C"/>
    <w:rPr>
      <w:sz w:val="18"/>
      <w:szCs w:val="18"/>
    </w:rPr>
  </w:style>
  <w:style w:type="paragraph" w:styleId="CommentText">
    <w:name w:val="annotation text"/>
    <w:basedOn w:val="Normal"/>
    <w:link w:val="Char11"/>
    <w:semiHidden/>
    <w:unhideWhenUsed/>
    <w:rsid w:val="0002608C"/>
    <w:pPr>
      <w:jc w:val="left"/>
    </w:pPr>
  </w:style>
  <w:style w:type="character" w:customStyle="1" w:styleId="Char11">
    <w:name w:val="批注文字 Char"/>
    <w:basedOn w:val="DefaultParagraphFont"/>
    <w:link w:val="CommentText"/>
    <w:uiPriority w:val="99"/>
    <w:semiHidden/>
    <w:rsid w:val="0002608C"/>
    <w:rPr>
      <w:rFonts w:ascii="Times New Roman" w:eastAsia="宋体" w:hAnsi="Times New Roman" w:cs="Times New Roman"/>
      <w:szCs w:val="24"/>
    </w:rPr>
  </w:style>
  <w:style w:type="character" w:customStyle="1" w:styleId="Char12">
    <w:name w:val="批注主题 Char"/>
    <w:basedOn w:val="Char11"/>
    <w:link w:val="CommentSubject"/>
    <w:semiHidden/>
    <w:rsid w:val="0002608C"/>
    <w:rPr>
      <w:rFonts w:ascii="Times New Roman" w:eastAsia="宋体" w:hAnsi="Times New Roman" w:cs="Times New Roman"/>
      <w:b/>
      <w:bCs/>
      <w:szCs w:val="24"/>
    </w:rPr>
  </w:style>
  <w:style w:type="paragraph" w:styleId="CommentSubject">
    <w:name w:val="annotation subject"/>
    <w:basedOn w:val="CommentText"/>
    <w:next w:val="CommentText"/>
    <w:link w:val="Char12"/>
    <w:semiHidden/>
    <w:rsid w:val="0002608C"/>
    <w:rPr>
      <w:b/>
      <w:bCs/>
    </w:rPr>
  </w:style>
  <w:style w:type="character" w:customStyle="1" w:styleId="2Char3">
    <w:name w:val="正文首行缩进 2 Char"/>
    <w:basedOn w:val="Char5"/>
    <w:link w:val="BodyTextFirstIndent2"/>
    <w:rsid w:val="0002608C"/>
    <w:rPr>
      <w:rFonts w:ascii="Times New Roman" w:eastAsia="宋体" w:hAnsi="Times New Roman" w:cs="Times New Roman"/>
      <w:sz w:val="24"/>
      <w:szCs w:val="24"/>
    </w:rPr>
  </w:style>
  <w:style w:type="paragraph" w:styleId="BodyTextFirstIndent2">
    <w:name w:val="Body Text First Indent 2"/>
    <w:basedOn w:val="Normal"/>
    <w:link w:val="2Char3"/>
    <w:rsid w:val="0002608C"/>
    <w:pPr>
      <w:ind w:firstLine="200" w:firstLineChars="200"/>
    </w:pPr>
    <w:rPr>
      <w:sz w:val="24"/>
    </w:rPr>
  </w:style>
  <w:style w:type="character" w:customStyle="1" w:styleId="Char13">
    <w:name w:val="日期 Char"/>
    <w:basedOn w:val="DefaultParagraphFont"/>
    <w:link w:val="Date"/>
    <w:rsid w:val="0002608C"/>
    <w:rPr>
      <w:rFonts w:ascii="Times New Roman" w:eastAsia="宋体" w:hAnsi="Times New Roman" w:cs="Times New Roman"/>
      <w:b/>
      <w:bCs/>
      <w:sz w:val="24"/>
      <w:szCs w:val="20"/>
    </w:rPr>
  </w:style>
  <w:style w:type="paragraph" w:styleId="Date">
    <w:name w:val="Date"/>
    <w:basedOn w:val="Normal"/>
    <w:next w:val="Normal"/>
    <w:link w:val="Char13"/>
    <w:rsid w:val="0002608C"/>
    <w:pPr>
      <w:ind w:left="100" w:firstLine="200" w:leftChars="2500" w:firstLineChars="200"/>
    </w:pPr>
    <w:rPr>
      <w:b/>
      <w:bCs/>
      <w:sz w:val="24"/>
      <w:szCs w:val="20"/>
    </w:rPr>
  </w:style>
  <w:style w:type="paragraph" w:styleId="TOC3">
    <w:name w:val="toc 3"/>
    <w:basedOn w:val="Normal"/>
    <w:next w:val="Normal"/>
    <w:autoRedefine/>
    <w:uiPriority w:val="39"/>
    <w:unhideWhenUsed/>
    <w:rsid w:val="00A25713"/>
    <w:pPr>
      <w:ind w:left="840" w:leftChars="40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A25713"/>
    <w:pPr>
      <w:ind w:left="1260" w:leftChars="60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A25713"/>
    <w:pPr>
      <w:ind w:left="1680" w:leftChars="80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A25713"/>
    <w:pPr>
      <w:ind w:left="2100" w:leftChars="10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A25713"/>
    <w:pPr>
      <w:ind w:left="2520" w:leftChars="120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A25713"/>
    <w:pPr>
      <w:ind w:left="2940" w:leftChars="140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A25713"/>
    <w:pPr>
      <w:ind w:left="3360" w:leftChars="1600"/>
    </w:pPr>
    <w:rPr>
      <w:rFonts w:asciiTheme="minorHAnsi" w:eastAsiaTheme="minorEastAsia" w:hAnsiTheme="minorHAnsi" w:cstheme="minorBidi"/>
      <w:szCs w:val="22"/>
    </w:rPr>
  </w:style>
  <w:style w:type="table" w:styleId="TableGrid">
    <w:name w:val="Table Grid"/>
    <w:basedOn w:val="TableNormal"/>
    <w:qFormat/>
    <w:rsid w:val="00824189"/>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653"/>
    <w:pPr>
      <w:ind w:firstLine="420" w:firstLineChars="200"/>
    </w:pPr>
  </w:style>
  <w:style w:type="paragraph" w:styleId="Revision">
    <w:name w:val="Revision"/>
    <w:hidden/>
    <w:uiPriority w:val="99"/>
    <w:semiHidden/>
    <w:rsid w:val="00374B12"/>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yperlink" Target="http://www.efunds.com.cn" TargetMode="External" /><Relationship Id="rId13" Type="http://schemas.openxmlformats.org/officeDocument/2006/relationships/hyperlink" Target="mailto:service@efunds.com.cn"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049980-390B-48B8-A2F2-5807AFB7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99</Pages>
  <Words>13037</Words>
  <Characters>74312</Characters>
  <Application>Microsoft Office Word</Application>
  <DocSecurity>0</DocSecurity>
  <Lines>619</Lines>
  <Paragraphs>174</Paragraphs>
  <ScaleCrop>false</ScaleCrop>
  <Company>E FUND</Company>
  <LinksUpToDate>false</LinksUpToDate>
  <CharactersWithSpaces>87175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陈红</dc:creator>
  <cp:lastModifiedBy>汤嘉欣</cp:lastModifiedBy>
  <cp:revision>10</cp:revision>
  <dcterms:created xsi:type="dcterms:W3CDTF">2022-03-24T02:56:00Z</dcterms:created>
  <dcterms:modified xsi:type="dcterms:W3CDTF">2022-09-16T08:16:00Z</dcterms:modified>
</cp:coreProperties>
</file>