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ahoma"/>
          <w:b/>
          <w:color w:val="000000"/>
          <w:sz w:val="32"/>
          <w:szCs w:val="32"/>
          <w:shd w:val="clear" w:color="auto" w:fill="FFFFFF"/>
        </w:rPr>
      </w:pPr>
    </w:p>
    <w:p>
      <w:pPr>
        <w:spacing w:line="360" w:lineRule="auto"/>
        <w:jc w:val="center"/>
        <w:rPr>
          <w:rFonts w:hint="eastAsia" w:ascii="宋体" w:hAnsi="宋体" w:eastAsia="宋体" w:cs="Tahoma"/>
          <w:b/>
          <w:color w:val="000000"/>
          <w:sz w:val="32"/>
          <w:szCs w:val="32"/>
          <w:shd w:val="clear" w:color="auto" w:fill="FFFFFF"/>
          <w:lang w:eastAsia="zh-CN"/>
        </w:rPr>
      </w:pPr>
      <w:r>
        <w:rPr>
          <w:rFonts w:hint="eastAsia" w:ascii="宋体" w:hAnsi="宋体" w:eastAsia="宋体" w:cs="Tahoma"/>
          <w:b/>
          <w:color w:val="000000"/>
          <w:sz w:val="32"/>
          <w:szCs w:val="32"/>
          <w:shd w:val="clear" w:color="auto" w:fill="FFFFFF"/>
          <w:lang w:eastAsia="zh-CN"/>
        </w:rPr>
        <w:t>博时颐泽稳健养老目标一年持有期混合型基金中基金（FOF）</w:t>
      </w:r>
    </w:p>
    <w:p>
      <w:pPr>
        <w:spacing w:line="360" w:lineRule="auto"/>
        <w:jc w:val="center"/>
        <w:rPr>
          <w:rFonts w:ascii="宋体" w:hAnsi="宋体" w:eastAsia="宋体" w:cs="Tahoma"/>
          <w:b/>
          <w:color w:val="000000"/>
          <w:sz w:val="32"/>
          <w:szCs w:val="32"/>
          <w:shd w:val="clear" w:color="auto" w:fill="FFFFFF"/>
        </w:rPr>
      </w:pPr>
      <w:r>
        <w:rPr>
          <w:rFonts w:hint="eastAsia" w:ascii="宋体" w:hAnsi="宋体" w:eastAsia="宋体" w:cs="Tahoma"/>
          <w:b/>
          <w:color w:val="000000"/>
          <w:sz w:val="32"/>
          <w:szCs w:val="32"/>
          <w:shd w:val="clear" w:color="auto" w:fill="FFFFFF"/>
        </w:rPr>
        <w:t>风险揭示书</w:t>
      </w:r>
    </w:p>
    <w:p>
      <w:pPr>
        <w:spacing w:line="360" w:lineRule="auto"/>
        <w:rPr>
          <w:rFonts w:ascii="宋体" w:hAnsi="宋体" w:eastAsia="宋体" w:cs="Tahoma"/>
          <w:b/>
          <w:color w:val="000000"/>
          <w:sz w:val="32"/>
          <w:szCs w:val="32"/>
          <w:shd w:val="clear" w:color="auto" w:fill="FFFFFF"/>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尊敬的投资人：</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感谢您选择由博时基金管理有限公司管理的“博时颐泽稳健养老目标一年持有期混合型基金中基金（FOF）”（以下简称“本基金”），在您做出投资决策前，敬请仔细阅读本风险揭示书和《基金合同》、《招募说明书》、《基金产品资料概要》等基金法律文件。</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本基金为基金中基金，主要投资于经中国证监会依法核准或注册的公开募集证券投资基金的基金份额，基金净值会因为持有基金的份额净值的变动而产生波动，持有基金的相关风险会直接或间接成为本基金的风险。</w:t>
      </w:r>
    </w:p>
    <w:p>
      <w:pPr>
        <w:spacing w:line="360" w:lineRule="auto"/>
        <w:ind w:firstLine="480"/>
        <w:rPr>
          <w:rFonts w:hint="eastAsia" w:ascii="宋体" w:hAnsi="宋体" w:eastAsia="宋体" w:cs="Times New Roman"/>
          <w:b/>
          <w:bCs/>
          <w:sz w:val="24"/>
          <w:szCs w:val="24"/>
        </w:rPr>
      </w:pPr>
      <w:r>
        <w:rPr>
          <w:rFonts w:hint="eastAsia" w:ascii="宋体" w:hAnsi="宋体" w:eastAsia="宋体" w:cs="Times New Roman"/>
          <w:b/>
          <w:bCs/>
          <w:sz w:val="24"/>
          <w:szCs w:val="24"/>
        </w:rPr>
        <w:t>本基金为养老目标证券投资基金，采用目标风险策略进行投资，风险等级为稳健级，其含义为对权益类资产的基准配置比例为基金资产的20%。“养老”的名称不代表收益保障或其他任何形式的收益承诺，本基金不承诺保本，投资本基金可能承担本金亏损的风险。</w:t>
      </w:r>
    </w:p>
    <w:p>
      <w:pPr>
        <w:spacing w:line="360" w:lineRule="auto"/>
        <w:ind w:firstLine="480"/>
        <w:rPr>
          <w:rFonts w:hint="eastAsia" w:ascii="宋体" w:hAnsi="宋体" w:eastAsia="宋体" w:cs="Times New Roman"/>
          <w:b w:val="0"/>
          <w:bCs w:val="0"/>
          <w:sz w:val="24"/>
          <w:szCs w:val="24"/>
        </w:rPr>
      </w:pPr>
    </w:p>
    <w:p>
      <w:pPr>
        <w:spacing w:line="360" w:lineRule="auto"/>
        <w:ind w:firstLine="480"/>
        <w:rPr>
          <w:rFonts w:hint="eastAsia" w:ascii="宋体" w:hAnsi="宋体" w:eastAsia="宋体" w:cs="Times New Roman"/>
          <w:b w:val="0"/>
          <w:bCs w:val="0"/>
          <w:sz w:val="24"/>
          <w:szCs w:val="24"/>
        </w:rPr>
      </w:pPr>
      <w:r>
        <w:rPr>
          <w:rFonts w:hint="eastAsia" w:ascii="宋体" w:hAnsi="宋体" w:eastAsia="宋体" w:cs="Times New Roman"/>
          <w:b w:val="0"/>
          <w:bCs w:val="0"/>
          <w:sz w:val="24"/>
          <w:szCs w:val="24"/>
        </w:rPr>
        <w:t>基金份额持有人须了解本基金以下投资内容：</w:t>
      </w:r>
    </w:p>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一、本基金面临的风险</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本基金将主要面临以下风险，其中部分或全部风险因素可能对基金份额净值、收益率、和／或实现投资目标的能力造成影响。</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（一）本基金特有风险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为基金中基金，主要投资于经中国证监会依法核准或注册的公开募集证券投资基金的基金份额，基金净值会因为持有基金份额净值的变动而产生波动，持有基金的相关风险会直接或间接成为本基金的风险，本基金具有如下特有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1、持有基金的风险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本基金所持有的基金可能面临的市场风险、信用风险、管理风险、流动性风险、操作和技术风险、合规性风险以及其他风险等将直接或间接成为本基金的风险。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2、持有基金收取相关费用降低本基金收益的风险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本基金持有的基金收取销售服务费、托管费和管理费等，本基金对相关费用的支付将对收益水平造成影响。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3、赎回资金到账时间、估值、净值披露时间较晚的风险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本基金的赎回资金到账时间在一定程度上取决于卖出或赎回持有基金所得款项的到账时间，赎回资金到账时间较长，受此影响本基金的赎回资金到账时间可能会较晚。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本基金持有其他公开募集证券投资基金，其估值须待持有的公开募集证券基金净值披露后方可进行，因此本基金的估值和净值披露时间较一般证券投资基金为晚。</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4、流动性风险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（1）在基金建仓时，可能由于所投资基金的流动性不足等原因而无法按预期进行建仓，从而对基金运作产生不利影响。</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（2）在所投资基金暂停交易或者暂停申购、赎回的情况下，基金管理人可能无法迅速、低成本地调整基金投资组合，从而对基金收益造成不利影响。</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5、持有基金管理人或基金管理人关联方管理基金的风险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本基金可投资于基金管理人或基金管理人关联方管理的其他基金，基金管理人或基金管理人关联方管理的其他基金的相关风险将直接或间接成为本基金的风险</w:t>
      </w:r>
      <w:r>
        <w:rPr>
          <w:rFonts w:hint="eastAsia" w:ascii="宋体" w:hAnsi="宋体" w:eastAsia="宋体" w:cs="Times New Roman"/>
          <w:b w:val="0"/>
          <w:sz w:val="24"/>
          <w:szCs w:val="24"/>
          <w:lang w:eastAsia="zh-CN"/>
        </w:rPr>
        <w:t>。</w:t>
      </w:r>
      <w:r>
        <w:rPr>
          <w:rFonts w:hint="eastAsia" w:ascii="宋体" w:hAnsi="宋体" w:eastAsia="宋体" w:cs="Times New Roman"/>
          <w:b w:val="0"/>
          <w:sz w:val="24"/>
          <w:szCs w:val="24"/>
        </w:rPr>
        <w:t xml:space="preserve">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6、投资于流通受限证券的风险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投资范围包括流通受限证券，由于流通受限证券具有锁定期，存在潜在的流动性风险。因此可能在本基金需要变现资产时，受流动性所限，本基金无法卖出所持有的流通受限证券，由此可能给基金净值带来不利影响或损失。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7、投资于资产支持证券的风险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投资范围包括资产支持证券，资产支持证券是一种债券性质的金融工具。资产支持证券的风险主要包括资产风险及证券化风险。资产风险源于资产本身，包括价格波动风险、流动性风险等。证券化风险主要表现为信用评级风险、法律风险等。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8、本基金的投资范围包括QDII基金，因此本基金可能间接面临海外市场风险、汇率风险、法律和政治风险、会计制度风险、税务风险等风险。并且，由于本基金可以投资于QDII基金，本基金的申购/赎回确认日、支付赎回款项日以及份额净值公告日等可能晚于一般基金。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9、投资于存托凭证的风险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10、其他投资风险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本基金的投资风格和决策过程决定了本基金具有其他投资风险。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（二）本基金的普通风险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1、市场风险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（1）政策风险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因财政政策、货币政策、产业政策、地区发展政策等国家宏观政策发生变化，导致市场价格波动，影响基金收益而产生风险。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（2）经济周期风险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随着经济运行的周期性变化，证券市场的收益水平也呈周期性变化，基金投资的收益水平也会随之变化，从而产生风险。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（3）收益波动风险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本基金投资于证券市场,基金收益会因为证券市场波动等因素产生波动。</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（4）利率风险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金融市场利率的波动会导致证券市场价格和收益率的变动。利率直接影响着债券的价格和收益率，影响着企业的融资成本和利润。基金投资于债券和股票，其收益水平可能会受到利率变化的影响。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（5）上市公司经营风险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（6）通货膨胀风险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基金投资的目的是基金资产的保值增值，如果发生通货膨胀，基金投资于证券所获得的收益可能会被通货膨胀抵消，从而影响基金资产的保值增值。</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（7）债券收益率曲线变动的风险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债券收益率曲线变动风险是指与收益率曲线非平行移动有关的风险，单一的久期指标并不能充分反映这一风险的存在。</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（8）再投资风险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市场利率下降将影响固定收益类证券利息收入的再投资收益率，这与利率上升所带来的价格风险互为消长。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2、信用风险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基金在交易过程中可能发生交收违约或者所投资债券的发行人违约、拒绝支付到期本息等情况，从而导致基金资产损失。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3、管理风险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基金运作过程中由于基金投资策略、人为因素、管理系统设置不当造成操作失误或公司内部失控而可能产生的损失。管理风险包括但不限于：</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(1)决策风险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规性风险，以及基金管理人的职业道德水平等，也会对基金的风险收益水平造成影响。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(2)估值风险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指基金管理或运作过程中，因估值错误而导致的风险。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(3)操作和技术风险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基金的相关当事人在各业务环节的操作过程中，可能因内部控制不到位或者人为因素造成操作失误或违反操作规程而引致风险，如越权交易、内幕交易、交易错误和欺诈等。</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此外，在开放式基金的后台运作中，可能因为技术系统的故障或者差错而影响交易的正常进行甚至导致基金份额持有人利益受到影响。这种技术风险可能来自基金管理人、基金托管人、登记机构、销售机构、证券交易所和证券登记结算机构等。</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4、流动性风险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我国证券市场作为新兴转轨市场，市场整体流动性风险较高。基金投资组合中的股票和债券会因各种原因面临较高的流动性风险，使证券交易的执行难度提高，买入成本或变现成本增加。此外，基金投资者的赎回需求可能造成基金仓位调整和资产变现困难，加剧流动性风险。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（1）拟投资市场、行业及资产的流动性风险评估</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本基金投资于中国证监会依法核准或注册的公开募集证券投资基金的比例不低于基金资产的80%，对股票、股票型基金、混合型基金和商品基金（含商品期货基金和黄金ETF）的合计投资比例不超过基金资产的30%，其中绝大部分基金资产投资于7个工作日内能够确认收到赎回款项的开放式基金，流动性情况良好。</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（2）实施备用的流动性风险管理工具的情形、程序及对投资者的潜在影响</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（3）巨额赎回情形下的流动性风险管理措施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5、合规性风险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指基金管理或运作过程中，违反国家法律、法规或基金合同有关规定的风险。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6、其他风险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（1）因基金业务快速发展而在制度建设、人员配备、风险管理和内控制度等方面不完善而产生的风险；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（2）因金融市场危机、行业竞争压力可能产生的风险；</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 xml:space="preserve">（3）战争、自然灾害等不可抗力因素的出现，可能严重影响证券市场运行，导致基金资产损失； </w:t>
      </w:r>
    </w:p>
    <w:p>
      <w:pPr>
        <w:spacing w:line="360" w:lineRule="auto"/>
        <w:ind w:firstLine="480"/>
        <w:rPr>
          <w:rFonts w:hint="eastAsia" w:ascii="宋体" w:hAnsi="宋体" w:eastAsia="宋体" w:cs="Times New Roman"/>
          <w:b w:val="0"/>
          <w:sz w:val="24"/>
          <w:szCs w:val="24"/>
        </w:rPr>
      </w:pPr>
      <w:r>
        <w:rPr>
          <w:rFonts w:hint="eastAsia" w:ascii="宋体" w:hAnsi="宋体" w:eastAsia="宋体" w:cs="Times New Roman"/>
          <w:b w:val="0"/>
          <w:sz w:val="24"/>
          <w:szCs w:val="24"/>
        </w:rPr>
        <w:t>（4）其他意外导致的风险。</w:t>
      </w:r>
    </w:p>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二、本基金的投资策略</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本基金采用目标风险策略投资，通过控制各类资产的投资比例及基准配置比例将风险等级限制在稳健级，并力争在此约束下取得最大收益回报，实现养老资产的长期稳健增值。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本基金的风险等级为稳健级，其含义为对权益类资产的基准配置比例为基金资产的20%。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（一）资产配置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依据“经济增长、通胀与货币、市场矛盾与投资者行为”等四个维度的分析框架，研判主要资产的趋势与风险，形成对股票、债券以及大宗商品等资产类别的战略配置意见，以风险等级稳健为目标确定资产配置比例。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本基金对被投资基金的投资，重点考察风格特征稳定性、风险控制和合规运作情况，并对照业绩比较基准评价中长期收益、业绩波动和回撤情况。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（二）策略配置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1、权益类资产（含股票、股票型基金及混合型基金）投资策略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（1）股票投资策略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对股票（含存托凭证）的投资，采用“自上而下”和“自下而上”相结合的策略，对上市公司的行业发展趋势、成长性与投资价值进行权衡，根据实体经济运行、产业发展趋势、上下游行业运行态势等观察并选取景气度上行行业，并通过对上市公司基本面的深入研究筛选价格处于合理水平的股票进行投资。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（2）股票型基金、混合型基金的投资策略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本基金对股票型基金、混合型基金的配置策略，分为结构配置和策略配置两方面：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1）结构配置体现在风格与行业两个维度。基于对整体市场的判断，考虑宏观经济变量的总量与结构特征、制造业与非制造业的景气比较等基本面因素，结合可客观跟踪的市场预期、投资者偏好以及市场交易特征等，确定A股的风格与行业配置倾向，以给定的资产配置比例优选与风格、行业配置相一致的股票型基金。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2）策略配置。基金管理人将保持对A股公募股票型基金、混合型基金的评估与跟踪，对长期采取稳定投资策略并能够获得超额收益的公募基金进行筛选，构建多策略的基金投资组合，在资产配置的基础上进一步分散投资风险，提高本基金投资的稳健性。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（3）基金筛选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1）被动管理型基金的筛选：基金管理人对被动管理型基金标的的筛选，将综合考虑“跟踪能力”、“流动性”及“投资成本”等多方面因素，总体上倾向于选择对意向资产跟踪能力强、流动性良好、资产规模较大以及投资成本较低的被动管理型基金标的。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基金管理人定期筛选被动管理型基金进入可投资基金池，对被动管理型基金的具体筛选标准是：被动管理型基金对境内外资产收益率的跟踪误差控制在合理范围；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2）主动管理型基金的筛选：基金管理人对主动管理型基金的筛选以量化评价为主、主观评价（走访调研等）为辅，筛选对象分基金公司、基金经理与基金表现三个层级，通过逐层评估公司治理与风控水平、管理团队实力、基金经理投资能力与投资风格、基金实际业绩表现与收益质量，对待筛选基金标的以上指标按照量化权重进行综合打分，并将综合得分居前的基金产品列入可投资基金池。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基金管理人对主动管理型基金的量化评价体系，采用国际通用的MSCI Barra多因子模型对公司内部所有组合按日录入系统，定期和不定期生成绩效和风险报告。评价体系还被广泛运用在公司外部基金的策略识别和遴选上，筛选策略风格鲜明且具有配置价值的外部基金管理人基金。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表：主动管理型基金的评价体系 </w:t>
      </w:r>
    </w:p>
    <w:p>
      <w:pPr>
        <w:spacing w:line="360" w:lineRule="auto"/>
        <w:ind w:firstLine="480"/>
        <w:jc w:val="center"/>
        <w:rPr>
          <w:rFonts w:hint="eastAsia" w:ascii="宋体" w:hAnsi="宋体" w:eastAsia="宋体" w:cs="Times New Roman"/>
          <w:sz w:val="24"/>
          <w:szCs w:val="24"/>
        </w:rPr>
      </w:pPr>
      <w:r>
        <w:drawing>
          <wp:inline distT="0" distB="0" distL="0" distR="0">
            <wp:extent cx="3756660" cy="424497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756660" cy="4244975"/>
                    </a:xfrm>
                    <a:prstGeom prst="rect">
                      <a:avLst/>
                    </a:prstGeom>
                    <a:noFill/>
                    <a:ln>
                      <a:noFill/>
                    </a:ln>
                  </pic:spPr>
                </pic:pic>
              </a:graphicData>
            </a:graphic>
          </wp:inline>
        </w:drawing>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2、固收类资产（债券、货币市场基金及债券型基金）投资策略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（1）债券投资策略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在券种选择上，本基金以长期利率趋势分析为基础，结合经济变化趋势、货币政策及不同债券品种的收益率水平、流动性和信用风险等因素，实施积极主动的债券投资管理。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随着国内债券市场的深入发展和结构性变迁，更多债券新品种和交易形式将增加债券投资盈利模式，本基金将密切跟踪市场动态变化，选择合适的介入机会，谋求高于市场平均水平的投资回报。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（2）资产支持证券投资策略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（3）债券型基金投资策略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对债券基金的配置坚持自上而下的策略框架，基于对宏观经济、通货膨胀、货币政策与流动性环境的判断，并结合对股票市场行情的预期，对利率债、信用债和可转债的表现进行比较，在此基础上确定各债券结构板块的配置比例，筛选与债券结构板块配置意见相一致的债券型基金，构建债券基金组合。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3、商品基金（含商品期货基金和黄金ETF）投资策略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本基金主要选择具备有效抵御通胀，与其他资产的相关度低的商品进行配置。在子基金的选择上，重点配置跟踪误差较小、流动性较好的产品，并合理控制投资比例及组合风险。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4、存托凭证投资策略 </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 xml:space="preserve">本基金将根据本基金的投资目标和股票投资策略，基于对基础证券投资价值的深入研究判断，进行存托凭证的投资。   </w:t>
      </w:r>
    </w:p>
    <w:p>
      <w:pPr>
        <w:spacing w:line="360" w:lineRule="auto"/>
        <w:ind w:firstLine="480"/>
        <w:rPr>
          <w:rFonts w:hint="eastAsia" w:ascii="宋体" w:hAnsi="宋体" w:eastAsia="宋体" w:cs="Times New Roman"/>
          <w:b/>
          <w:bCs/>
          <w:sz w:val="24"/>
          <w:szCs w:val="24"/>
          <w:shd w:val="clear"/>
        </w:rPr>
      </w:pPr>
      <w:r>
        <w:rPr>
          <w:rFonts w:hint="eastAsia" w:ascii="宋体" w:hAnsi="宋体" w:eastAsia="宋体" w:cs="Times New Roman"/>
          <w:b/>
          <w:bCs/>
          <w:sz w:val="24"/>
          <w:szCs w:val="24"/>
          <w:shd w:val="clear"/>
        </w:rPr>
        <w:t>三、权益类资产配置比例</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rPr>
        <w:t>本基金投资于中国证监会依法核准或注册的公开募集证券投资基金的比例不低于基金资产的80%。本基金对股票（含存托凭证）、股票型基金、混合型基金和商品基金（含商品期货基金和黄金ETF）的合计投资比例不超过基金资产的30%。本基金对权益类资产的基准配置比例为基金资产的20%，对非权益类资产的基准配置比例为基金资产的80%，对权益类资产的配置比例为基金资产的10%-25%。</w:t>
      </w:r>
      <w:r>
        <w:rPr>
          <w:rFonts w:hint="eastAsia" w:ascii="宋体" w:hAnsi="宋体" w:eastAsia="宋体" w:cs="Times New Roman"/>
          <w:sz w:val="24"/>
          <w:szCs w:val="24"/>
          <w:lang w:val="en-US" w:eastAsia="zh-CN"/>
        </w:rPr>
        <w:t xml:space="preserve">  </w:t>
      </w:r>
    </w:p>
    <w:p>
      <w:pPr>
        <w:spacing w:line="360" w:lineRule="auto"/>
        <w:ind w:firstLine="480" w:firstLineChars="0"/>
        <w:rPr>
          <w:rFonts w:hint="eastAsia" w:ascii="宋体" w:hAnsi="宋体" w:eastAsia="宋体" w:cs="Times New Roman"/>
          <w:b w:val="0"/>
          <w:sz w:val="24"/>
          <w:szCs w:val="24"/>
          <w:shd w:val="clear"/>
        </w:rPr>
      </w:pPr>
      <w:r>
        <w:rPr>
          <w:rFonts w:hint="eastAsia" w:ascii="宋体" w:hAnsi="宋体" w:eastAsia="宋体" w:cs="Times New Roman"/>
          <w:b/>
          <w:bCs/>
          <w:sz w:val="24"/>
          <w:szCs w:val="24"/>
          <w:shd w:val="clear"/>
        </w:rPr>
        <w:t>四、基金风险收益特征</w:t>
      </w:r>
    </w:p>
    <w:p>
      <w:pPr>
        <w:spacing w:line="360" w:lineRule="auto"/>
        <w:ind w:firstLine="480" w:firstLineChars="0"/>
        <w:rPr>
          <w:rFonts w:hint="eastAsia" w:ascii="宋体" w:hAnsi="宋体" w:eastAsia="宋体" w:cs="Times New Roman"/>
          <w:sz w:val="24"/>
          <w:szCs w:val="24"/>
        </w:rPr>
      </w:pPr>
      <w:bookmarkStart w:id="0" w:name="OLE_LINK5"/>
      <w:r>
        <w:rPr>
          <w:rFonts w:hint="eastAsia" w:ascii="宋体" w:hAnsi="宋体" w:eastAsia="宋体" w:cs="Times New Roman"/>
          <w:sz w:val="24"/>
          <w:szCs w:val="24"/>
        </w:rPr>
        <w:t>本基金为混合型基金中基金，属于中等预期收益和风险水平的投资品种，其预期收益和风险高于货币市场基金、货币型基金中基金、债券型基金和债券型基金中基金，低于股票型基金、股票型基金中基金。</w:t>
      </w:r>
      <w:bookmarkEnd w:id="0"/>
    </w:p>
    <w:p>
      <w:pPr>
        <w:numPr>
          <w:ilvl w:val="0"/>
          <w:numId w:val="1"/>
        </w:numPr>
        <w:spacing w:line="360" w:lineRule="auto"/>
        <w:ind w:firstLine="480" w:firstLineChars="0"/>
        <w:rPr>
          <w:rFonts w:hint="eastAsia" w:ascii="宋体" w:hAnsi="宋体" w:eastAsia="宋体" w:cs="Times New Roman"/>
          <w:b/>
          <w:bCs/>
          <w:sz w:val="24"/>
          <w:szCs w:val="24"/>
          <w:shd w:val="clear"/>
          <w:lang w:eastAsia="zh-CN"/>
        </w:rPr>
      </w:pPr>
      <w:r>
        <w:rPr>
          <w:rFonts w:hint="eastAsia" w:ascii="宋体" w:hAnsi="宋体" w:eastAsia="宋体" w:cs="Times New Roman"/>
          <w:b/>
          <w:bCs/>
          <w:sz w:val="24"/>
          <w:szCs w:val="24"/>
          <w:shd w:val="clear"/>
          <w:lang w:eastAsia="zh-CN"/>
        </w:rPr>
        <w:t>本基金的费用</w:t>
      </w:r>
    </w:p>
    <w:p>
      <w:pPr>
        <w:numPr>
          <w:ilvl w:val="0"/>
          <w:numId w:val="2"/>
        </w:numPr>
        <w:spacing w:line="360" w:lineRule="auto"/>
        <w:ind w:firstLine="240" w:firstLineChars="1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申购费和赎回费</w:t>
      </w:r>
    </w:p>
    <w:p>
      <w:pPr>
        <w:spacing w:line="360" w:lineRule="auto"/>
        <w:ind w:firstLine="480" w:firstLineChars="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1、申购费：本基金申购费率如下表，投资者在一天之内如果有多笔申购，费率按单笔分别计算。本基金C类基金份额不收取申购费。</w:t>
      </w:r>
    </w:p>
    <w:p>
      <w:pPr>
        <w:spacing w:line="360" w:lineRule="auto"/>
        <w:ind w:firstLine="480" w:firstLineChars="0"/>
        <w:jc w:val="center"/>
        <w:rPr>
          <w:rFonts w:hint="eastAsia" w:ascii="宋体" w:hAnsi="宋体" w:eastAsia="宋体" w:cs="Times New Roman"/>
          <w:sz w:val="24"/>
          <w:szCs w:val="24"/>
        </w:rPr>
      </w:pPr>
      <w:r>
        <w:rPr>
          <w:rFonts w:hint="eastAsia" w:ascii="宋体" w:hAnsi="宋体" w:eastAsia="宋体" w:cs="Times New Roman"/>
          <w:sz w:val="24"/>
          <w:szCs w:val="24"/>
        </w:rPr>
        <w:t>表：本基金A类基金份额和Y类基金份额的申购费率</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4"/>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6"/>
            </w:pPr>
            <w:r>
              <w:rPr>
                <w:rFonts w:hint="eastAsia"/>
              </w:rPr>
              <w:t xml:space="preserve">金额（M） </w:t>
            </w:r>
          </w:p>
        </w:tc>
        <w:tc>
          <w:tcPr>
            <w:tcW w:w="0" w:type="auto"/>
            <w:shd w:val="clear" w:color="auto" w:fill="auto"/>
          </w:tcPr>
          <w:p>
            <w:pPr>
              <w:pStyle w:val="6"/>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6"/>
            </w:pPr>
            <w:r>
              <w:rPr>
                <w:rFonts w:hint="eastAsia"/>
              </w:rPr>
              <w:t xml:space="preserve">M＜100万 </w:t>
            </w:r>
          </w:p>
        </w:tc>
        <w:tc>
          <w:tcPr>
            <w:tcW w:w="0" w:type="auto"/>
            <w:shd w:val="clear" w:color="auto" w:fill="auto"/>
          </w:tcPr>
          <w:p>
            <w:pPr>
              <w:pStyle w:val="6"/>
            </w:pPr>
            <w:r>
              <w:rPr>
                <w:rFonts w:hint="eastAsia"/>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6"/>
            </w:pPr>
            <w:r>
              <w:rPr>
                <w:rFonts w:hint="eastAsia"/>
              </w:rPr>
              <w:t xml:space="preserve">100万≤M＜300万 </w:t>
            </w:r>
          </w:p>
        </w:tc>
        <w:tc>
          <w:tcPr>
            <w:tcW w:w="0" w:type="auto"/>
            <w:shd w:val="clear" w:color="auto" w:fill="auto"/>
          </w:tcPr>
          <w:p>
            <w:pPr>
              <w:pStyle w:val="6"/>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6"/>
            </w:pPr>
            <w:r>
              <w:rPr>
                <w:rFonts w:hint="eastAsia"/>
              </w:rPr>
              <w:t xml:space="preserve">300万≤M＜500万 </w:t>
            </w:r>
          </w:p>
        </w:tc>
        <w:tc>
          <w:tcPr>
            <w:tcW w:w="0" w:type="auto"/>
            <w:shd w:val="clear" w:color="auto" w:fill="auto"/>
          </w:tcPr>
          <w:p>
            <w:pPr>
              <w:pStyle w:val="6"/>
            </w:pPr>
            <w:r>
              <w:rPr>
                <w:rFonts w:hint="eastAsia"/>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6"/>
            </w:pPr>
            <w:r>
              <w:rPr>
                <w:rFonts w:hint="eastAsia"/>
              </w:rPr>
              <w:t xml:space="preserve">M≥500万 </w:t>
            </w:r>
          </w:p>
        </w:tc>
        <w:tc>
          <w:tcPr>
            <w:tcW w:w="0" w:type="auto"/>
            <w:shd w:val="clear" w:color="auto" w:fill="auto"/>
          </w:tcPr>
          <w:p>
            <w:pPr>
              <w:pStyle w:val="6"/>
            </w:pPr>
            <w:r>
              <w:rPr>
                <w:rFonts w:hint="eastAsia"/>
              </w:rPr>
              <w:t xml:space="preserve">每笔1000元 </w:t>
            </w:r>
          </w:p>
        </w:tc>
      </w:tr>
    </w:tbl>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2、赎回费用 </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针对A类基金份额和C类基金份额，投资人需至少持有本基金基金份额满一年，在一年持有期内不能提出赎回申请，持有满1年后赎回不收取赎回费用。</w:t>
      </w:r>
    </w:p>
    <w:p>
      <w:pPr>
        <w:spacing w:line="360" w:lineRule="auto"/>
        <w:ind w:firstLine="480" w:firstLineChars="0"/>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 xml:space="preserve">对于Y类基金份额，在满足《个人养老金投资公开募集证券投资基金业务管理暂行规定》等法律法规及基金合同约定的情形下可豁免持有期限制，具体按更新的招募说明书执行。对持续持有期少于7日的投资者收取不低于1.5%的赎回费，并将上述赎回费全额计入基金财产，对持续持有7日（含）以上的投资者不收取赎回费。如法律法规对赎回费的强制性规定发生变动，从其新规定。 </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（二）管理费、托管费和销售服务费</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1、基金管理人的管理费</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本基金投资于本基金管理人所管理的基金的部分不收取管理费。本基金各类基金份额按照不同的年费率计提管理费，各类基金份额的管理费按前一日该类基金资产净值的年费率计提。本基金A类基金份额和C类基金份额的年管理费率为0.60%;本基金Y类基金份额的年管理费率为0.30%。</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2、基金托管人的托管费</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本基金投资于本基金托管人所托管的基金的部分不收取托管费。本基金各类基金份额按照不同的年费率计提托管费，各类基金份额的托管费按前一日该类基金资产净值的年费率计提。本基金A类基金份额和C类基金份额的年托管费率为0.15%;本基金Y类基金份额的年托管费率为0.075%。</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3、C类基金份额的销售服务费</w:t>
      </w:r>
    </w:p>
    <w:p>
      <w:pPr>
        <w:spacing w:line="360" w:lineRule="auto"/>
        <w:ind w:firstLine="48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C类基金份额的销售服务费按前一日C类基金份额的基金资产净值的0.50%年费率计提。</w:t>
      </w:r>
    </w:p>
    <w:p>
      <w:pPr>
        <w:adjustRightInd w:val="0"/>
        <w:snapToGrid w:val="0"/>
        <w:spacing w:line="360" w:lineRule="auto"/>
        <w:jc w:val="right"/>
        <w:rPr>
          <w:rFonts w:hint="eastAsia" w:ascii="宋体" w:hAnsi="宋体" w:eastAsia="宋体" w:cs="Times New Roman"/>
          <w:sz w:val="24"/>
          <w:szCs w:val="24"/>
        </w:rPr>
      </w:pPr>
    </w:p>
    <w:p>
      <w:pPr>
        <w:adjustRightInd w:val="0"/>
        <w:snapToGrid w:val="0"/>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本人/本机构已经阅读《博时颐泽稳健养老目标一年持有期混合型基金中基金（FOF）风险揭示书》并完全理</w:t>
      </w:r>
      <w:bookmarkStart w:id="1" w:name="_GoBack"/>
      <w:bookmarkEnd w:id="1"/>
      <w:r>
        <w:rPr>
          <w:rFonts w:hint="eastAsia" w:ascii="宋体" w:hAnsi="宋体" w:eastAsia="宋体"/>
          <w:sz w:val="24"/>
          <w:szCs w:val="24"/>
        </w:rPr>
        <w:t>解其内容，已充分了解博时颐泽稳健养老目标一年持有期混合型基金中基金（FOF）的产品特征和可能面临的风险。</w:t>
      </w:r>
    </w:p>
    <w:p>
      <w:pPr>
        <w:adjustRightInd w:val="0"/>
        <w:snapToGrid w:val="0"/>
        <w:spacing w:line="360" w:lineRule="auto"/>
        <w:jc w:val="right"/>
        <w:rPr>
          <w:rFonts w:hint="eastAsia" w:ascii="宋体" w:hAnsi="宋体" w:eastAsia="宋体"/>
          <w:sz w:val="24"/>
          <w:szCs w:val="24"/>
        </w:rPr>
      </w:pPr>
    </w:p>
    <w:p>
      <w:pPr>
        <w:adjustRightInd w:val="0"/>
        <w:snapToGrid w:val="0"/>
        <w:spacing w:line="360" w:lineRule="auto"/>
        <w:jc w:val="right"/>
        <w:rPr>
          <w:rFonts w:hint="eastAsia" w:ascii="宋体" w:hAnsi="宋体" w:eastAsia="宋体" w:cs="Times New Roman"/>
          <w:sz w:val="24"/>
          <w:szCs w:val="24"/>
        </w:rPr>
      </w:pPr>
      <w:r>
        <w:rPr>
          <w:rFonts w:hint="eastAsia" w:ascii="宋体" w:hAnsi="宋体" w:eastAsia="宋体"/>
          <w:sz w:val="24"/>
          <w:szCs w:val="24"/>
        </w:rPr>
        <w:t>投资人签字/盖章：</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963882"/>
      <w:docPartObj>
        <w:docPartGallery w:val="autotext"/>
      </w:docPartObj>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168FE"/>
    <w:multiLevelType w:val="singleLevel"/>
    <w:tmpl w:val="D4B168FE"/>
    <w:lvl w:ilvl="0" w:tentative="0">
      <w:start w:val="5"/>
      <w:numFmt w:val="chineseCounting"/>
      <w:suff w:val="nothing"/>
      <w:lvlText w:val="%1、"/>
      <w:lvlJc w:val="left"/>
      <w:rPr>
        <w:rFonts w:hint="eastAsia"/>
      </w:rPr>
    </w:lvl>
  </w:abstractNum>
  <w:abstractNum w:abstractNumId="1">
    <w:nsid w:val="229FCF72"/>
    <w:multiLevelType w:val="singleLevel"/>
    <w:tmpl w:val="229FCF7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428C"/>
    <w:rsid w:val="000C5D78"/>
    <w:rsid w:val="000F5D23"/>
    <w:rsid w:val="002131B6"/>
    <w:rsid w:val="00231AA3"/>
    <w:rsid w:val="002405BE"/>
    <w:rsid w:val="0029114C"/>
    <w:rsid w:val="00296C7D"/>
    <w:rsid w:val="00360190"/>
    <w:rsid w:val="00374230"/>
    <w:rsid w:val="003B6045"/>
    <w:rsid w:val="00404397"/>
    <w:rsid w:val="00450A35"/>
    <w:rsid w:val="004A3D93"/>
    <w:rsid w:val="004C741C"/>
    <w:rsid w:val="004D1670"/>
    <w:rsid w:val="00585CAE"/>
    <w:rsid w:val="0059579C"/>
    <w:rsid w:val="00622D3F"/>
    <w:rsid w:val="00626578"/>
    <w:rsid w:val="006B0BA2"/>
    <w:rsid w:val="006C5F36"/>
    <w:rsid w:val="00733747"/>
    <w:rsid w:val="00782E7D"/>
    <w:rsid w:val="0083534E"/>
    <w:rsid w:val="009000CF"/>
    <w:rsid w:val="00954372"/>
    <w:rsid w:val="00954C5F"/>
    <w:rsid w:val="009610CE"/>
    <w:rsid w:val="00966DB3"/>
    <w:rsid w:val="00972657"/>
    <w:rsid w:val="009813E4"/>
    <w:rsid w:val="00A1689B"/>
    <w:rsid w:val="00A425F5"/>
    <w:rsid w:val="00A45707"/>
    <w:rsid w:val="00A63EED"/>
    <w:rsid w:val="00A65E39"/>
    <w:rsid w:val="00A720B7"/>
    <w:rsid w:val="00AA445B"/>
    <w:rsid w:val="00AD7BD1"/>
    <w:rsid w:val="00B01F73"/>
    <w:rsid w:val="00BC685F"/>
    <w:rsid w:val="00BF10D9"/>
    <w:rsid w:val="00C10B25"/>
    <w:rsid w:val="00C61C87"/>
    <w:rsid w:val="00CC2D64"/>
    <w:rsid w:val="00D236AA"/>
    <w:rsid w:val="00DA6103"/>
    <w:rsid w:val="00E01586"/>
    <w:rsid w:val="00E01B1F"/>
    <w:rsid w:val="00E34597"/>
    <w:rsid w:val="00E51712"/>
    <w:rsid w:val="00E86361"/>
    <w:rsid w:val="00EB3EEC"/>
    <w:rsid w:val="00F73B9B"/>
    <w:rsid w:val="00FD0D14"/>
    <w:rsid w:val="00FE4AA0"/>
    <w:rsid w:val="00FF2675"/>
    <w:rsid w:val="0471586A"/>
    <w:rsid w:val="05930D9E"/>
    <w:rsid w:val="0A1C44B6"/>
    <w:rsid w:val="0A796ADA"/>
    <w:rsid w:val="0A7F4268"/>
    <w:rsid w:val="10DB271C"/>
    <w:rsid w:val="13070878"/>
    <w:rsid w:val="16513068"/>
    <w:rsid w:val="205326F3"/>
    <w:rsid w:val="29B15D31"/>
    <w:rsid w:val="2CF84841"/>
    <w:rsid w:val="387F210D"/>
    <w:rsid w:val="3E190DE0"/>
    <w:rsid w:val="3E2E7ED6"/>
    <w:rsid w:val="3F8D451B"/>
    <w:rsid w:val="42452FFA"/>
    <w:rsid w:val="499616BC"/>
    <w:rsid w:val="49BB142D"/>
    <w:rsid w:val="4E3A532F"/>
    <w:rsid w:val="5A191949"/>
    <w:rsid w:val="5BC949B6"/>
    <w:rsid w:val="5C8564E5"/>
    <w:rsid w:val="659B32B0"/>
    <w:rsid w:val="7141549F"/>
    <w:rsid w:val="720021AF"/>
    <w:rsid w:val="7C52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7">
    <w:name w:val="annotation subject"/>
    <w:basedOn w:val="2"/>
    <w:next w:val="2"/>
    <w:link w:val="16"/>
    <w:semiHidden/>
    <w:unhideWhenUsed/>
    <w:qFormat/>
    <w:uiPriority w:val="99"/>
    <w:rPr>
      <w:b/>
      <w:bCs/>
    </w:rPr>
  </w:style>
  <w:style w:type="table" w:styleId="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批注框文本 Char"/>
    <w:basedOn w:val="10"/>
    <w:link w:val="3"/>
    <w:semiHidden/>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页眉 Char"/>
    <w:basedOn w:val="10"/>
    <w:link w:val="5"/>
    <w:qFormat/>
    <w:uiPriority w:val="99"/>
    <w:rPr>
      <w:sz w:val="18"/>
      <w:szCs w:val="18"/>
    </w:rPr>
  </w:style>
  <w:style w:type="character" w:customStyle="1" w:styleId="15">
    <w:name w:val="批注文字 Char"/>
    <w:basedOn w:val="10"/>
    <w:link w:val="2"/>
    <w:semiHidden/>
    <w:qFormat/>
    <w:uiPriority w:val="99"/>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1509</Words>
  <Characters>8603</Characters>
  <Lines>71</Lines>
  <Paragraphs>20</Paragraphs>
  <TotalTime>1</TotalTime>
  <ScaleCrop>false</ScaleCrop>
  <LinksUpToDate>false</LinksUpToDate>
  <CharactersWithSpaces>10092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2019-07-25T02:43:00Z</dcterms:created>
  <dc:creator>严亚军</dc:creator>
  <cp:lastModifiedBy>tangl</cp:lastModifiedBy>
  <cp:lastPrinted>2019-07-25T02:48:00Z</cp:lastPrinted>
  <dcterms:modified xsi:type="dcterms:W3CDTF">2023-01-05T10:01:32Z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B17A2428F86B4B15AB5B26B4E121CF50</vt:lpwstr>
  </property>
</Properties>
</file>