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D7F5" w14:textId="5D8B9793" w:rsidR="00D436AC" w:rsidRDefault="00187440" w:rsidP="007371E2">
      <w:pPr>
        <w:spacing w:line="360" w:lineRule="auto"/>
        <w:jc w:val="center"/>
        <w:rPr>
          <w:rFonts w:asciiTheme="minorEastAsia" w:hAnsiTheme="minorEastAsia" w:cs="方正黑体简体"/>
          <w:b/>
          <w:iCs/>
          <w:sz w:val="28"/>
          <w:szCs w:val="28"/>
        </w:rPr>
      </w:pPr>
      <w:bookmarkStart w:id="0" w:name="_GoBack"/>
      <w:bookmarkEnd w:id="0"/>
      <w:r w:rsidRPr="00187440">
        <w:rPr>
          <w:rFonts w:asciiTheme="minorEastAsia" w:hAnsiTheme="minorEastAsia" w:cs="方正黑体简体" w:hint="eastAsia"/>
          <w:b/>
          <w:iCs/>
          <w:sz w:val="28"/>
          <w:szCs w:val="28"/>
        </w:rPr>
        <w:t>汇添富稳安三个月持有期债券型证券投资基金</w:t>
      </w:r>
      <w:r w:rsidR="00BB185C">
        <w:rPr>
          <w:rFonts w:asciiTheme="minorEastAsia" w:hAnsiTheme="minorEastAsia" w:cs="方正黑体简体"/>
          <w:b/>
          <w:iCs/>
          <w:sz w:val="28"/>
          <w:szCs w:val="28"/>
        </w:rPr>
        <w:t>B</w:t>
      </w:r>
      <w:r w:rsidR="00F03868">
        <w:rPr>
          <w:rFonts w:asciiTheme="minorEastAsia" w:hAnsiTheme="minorEastAsia" w:cs="方正黑体简体" w:hint="eastAsia"/>
          <w:b/>
          <w:iCs/>
          <w:sz w:val="28"/>
          <w:szCs w:val="28"/>
        </w:rPr>
        <w:t>类</w:t>
      </w:r>
      <w:r w:rsidR="00D436AC">
        <w:rPr>
          <w:rFonts w:asciiTheme="minorEastAsia" w:hAnsiTheme="minorEastAsia" w:cs="方正黑体简体" w:hint="eastAsia"/>
          <w:b/>
          <w:iCs/>
          <w:sz w:val="28"/>
          <w:szCs w:val="28"/>
        </w:rPr>
        <w:t>份额</w:t>
      </w:r>
    </w:p>
    <w:p w14:paraId="7A6F256F" w14:textId="69B38BD9" w:rsidR="007371E2" w:rsidRPr="002066FC" w:rsidRDefault="00B84B75"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基金产品资料概要</w:t>
      </w:r>
    </w:p>
    <w:p w14:paraId="14FC0704" w14:textId="2ADF63C2" w:rsidR="007371E2" w:rsidRPr="00235433" w:rsidRDefault="00B84B75"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235433">
        <w:rPr>
          <w:rFonts w:asciiTheme="minorEastAsia" w:hAnsiTheme="minorEastAsia" w:cs="Times New Roman"/>
          <w:szCs w:val="21"/>
        </w:rPr>
        <w:t>202</w:t>
      </w:r>
      <w:r w:rsidR="00654675">
        <w:rPr>
          <w:rFonts w:asciiTheme="minorEastAsia" w:hAnsiTheme="minorEastAsia" w:cs="Times New Roman"/>
          <w:szCs w:val="21"/>
        </w:rPr>
        <w:t>3</w:t>
      </w:r>
      <w:r w:rsidRPr="00235433">
        <w:rPr>
          <w:rFonts w:asciiTheme="minorEastAsia" w:hAnsiTheme="minorEastAsia" w:cs="Times New Roman"/>
          <w:szCs w:val="21"/>
        </w:rPr>
        <w:t>年</w:t>
      </w:r>
      <w:r w:rsidR="00196631">
        <w:rPr>
          <w:rFonts w:asciiTheme="minorEastAsia" w:hAnsiTheme="minorEastAsia" w:cs="Times New Roman"/>
          <w:szCs w:val="21"/>
        </w:rPr>
        <w:t>1</w:t>
      </w:r>
      <w:r w:rsidRPr="00235433">
        <w:rPr>
          <w:rFonts w:asciiTheme="minorEastAsia" w:hAnsiTheme="minorEastAsia" w:cs="Times New Roman"/>
          <w:szCs w:val="21"/>
        </w:rPr>
        <w:t>月</w:t>
      </w:r>
      <w:r w:rsidR="00196631">
        <w:rPr>
          <w:rFonts w:asciiTheme="minorEastAsia" w:hAnsiTheme="minorEastAsia" w:cs="Times New Roman"/>
          <w:szCs w:val="21"/>
        </w:rPr>
        <w:t>5</w:t>
      </w:r>
      <w:r w:rsidRPr="00235433">
        <w:rPr>
          <w:rFonts w:asciiTheme="minorEastAsia" w:hAnsiTheme="minorEastAsia" w:cs="Times New Roman"/>
          <w:szCs w:val="21"/>
        </w:rPr>
        <w:t>日</w:t>
      </w:r>
    </w:p>
    <w:p w14:paraId="23A5E950" w14:textId="2150D4B5" w:rsidR="00834E25" w:rsidRDefault="00B84B75" w:rsidP="00D775F8">
      <w:pPr>
        <w:spacing w:line="360" w:lineRule="auto"/>
        <w:jc w:val="center"/>
        <w:rPr>
          <w:rFonts w:asciiTheme="minorEastAsia" w:hAnsiTheme="minorEastAsia" w:cs="方正仿宋简体"/>
          <w:iCs/>
          <w:szCs w:val="21"/>
        </w:rPr>
      </w:pPr>
      <w:r w:rsidRPr="00235433">
        <w:rPr>
          <w:rFonts w:asciiTheme="minorEastAsia" w:hAnsiTheme="minorEastAsia" w:cs="Times New Roman" w:hint="eastAsia"/>
          <w:bCs/>
          <w:szCs w:val="21"/>
        </w:rPr>
        <w:t>送出日期：</w:t>
      </w:r>
      <w:r w:rsidRPr="00235433">
        <w:rPr>
          <w:rFonts w:asciiTheme="minorEastAsia" w:hAnsiTheme="minorEastAsia" w:cs="方正仿宋简体"/>
          <w:iCs/>
          <w:szCs w:val="21"/>
        </w:rPr>
        <w:t>202</w:t>
      </w:r>
      <w:r w:rsidR="00654675">
        <w:rPr>
          <w:rFonts w:asciiTheme="minorEastAsia" w:hAnsiTheme="minorEastAsia" w:cs="方正仿宋简体"/>
          <w:iCs/>
          <w:szCs w:val="21"/>
        </w:rPr>
        <w:t>3</w:t>
      </w:r>
      <w:r w:rsidRPr="00235433">
        <w:rPr>
          <w:rFonts w:asciiTheme="minorEastAsia" w:hAnsiTheme="minorEastAsia" w:cs="方正仿宋简体"/>
          <w:iCs/>
          <w:szCs w:val="21"/>
        </w:rPr>
        <w:t>年</w:t>
      </w:r>
      <w:r w:rsidR="00196631">
        <w:rPr>
          <w:rFonts w:asciiTheme="minorEastAsia" w:hAnsiTheme="minorEastAsia" w:cs="方正仿宋简体"/>
          <w:iCs/>
          <w:szCs w:val="21"/>
        </w:rPr>
        <w:t>1</w:t>
      </w:r>
      <w:r w:rsidRPr="00235433">
        <w:rPr>
          <w:rFonts w:asciiTheme="minorEastAsia" w:hAnsiTheme="minorEastAsia" w:cs="方正仿宋简体"/>
          <w:iCs/>
          <w:szCs w:val="21"/>
        </w:rPr>
        <w:t>月</w:t>
      </w:r>
      <w:r w:rsidR="00196631">
        <w:rPr>
          <w:rFonts w:asciiTheme="minorEastAsia" w:hAnsiTheme="minorEastAsia" w:cs="方正仿宋简体"/>
          <w:iCs/>
          <w:szCs w:val="21"/>
        </w:rPr>
        <w:t>6</w:t>
      </w:r>
      <w:r w:rsidRPr="00235433">
        <w:rPr>
          <w:rFonts w:asciiTheme="minorEastAsia" w:hAnsiTheme="minorEastAsia" w:cs="方正仿宋简体"/>
          <w:iCs/>
          <w:szCs w:val="21"/>
        </w:rPr>
        <w:t xml:space="preserve">日 </w:t>
      </w:r>
    </w:p>
    <w:p w14:paraId="73D7C35F" w14:textId="77777777" w:rsidR="00D775F8" w:rsidRPr="00322C15" w:rsidRDefault="00B84B75" w:rsidP="00D775F8">
      <w:pPr>
        <w:tabs>
          <w:tab w:val="left" w:pos="7770"/>
        </w:tabs>
        <w:spacing w:line="360" w:lineRule="auto"/>
        <w:jc w:val="center"/>
        <w:rPr>
          <w:rFonts w:asciiTheme="minorEastAsia" w:hAnsiTheme="minorEastAsia" w:cs="方正黑体简体"/>
          <w:bCs/>
          <w:iCs/>
          <w:szCs w:val="24"/>
        </w:rPr>
      </w:pPr>
      <w:r w:rsidRPr="00322C15">
        <w:rPr>
          <w:rFonts w:asciiTheme="minorEastAsia" w:hAnsiTheme="minorEastAsia" w:cs="方正黑体简体" w:hint="eastAsia"/>
          <w:bCs/>
          <w:iCs/>
          <w:szCs w:val="24"/>
        </w:rPr>
        <w:t>本概要提供本基金的重要信息，是招募说明书的一部分。</w:t>
      </w:r>
    </w:p>
    <w:p w14:paraId="26458C4C" w14:textId="549D4ECA" w:rsidR="00CD4F9C" w:rsidRDefault="00B84B75" w:rsidP="00D775F8">
      <w:pPr>
        <w:spacing w:line="360" w:lineRule="auto"/>
        <w:jc w:val="center"/>
        <w:rPr>
          <w:rFonts w:asciiTheme="minorEastAsia" w:hAnsiTheme="minorEastAsia" w:cs="方正黑体简体"/>
          <w:bCs/>
          <w:iCs/>
          <w:szCs w:val="24"/>
        </w:rPr>
      </w:pPr>
      <w:r w:rsidRPr="00322C15">
        <w:rPr>
          <w:rFonts w:asciiTheme="minorEastAsia" w:hAnsiTheme="minorEastAsia" w:cs="方正黑体简体" w:hint="eastAsia"/>
          <w:bCs/>
          <w:iCs/>
          <w:szCs w:val="24"/>
        </w:rPr>
        <w:t>作出投资决定前，请阅读完整的招募说明书等销售文件。</w:t>
      </w:r>
    </w:p>
    <w:p w14:paraId="3B1D879C" w14:textId="77777777" w:rsidR="00834E25" w:rsidRDefault="00B84B75"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1842"/>
        <w:gridCol w:w="2398"/>
      </w:tblGrid>
      <w:tr w:rsidR="003A3A50" w14:paraId="48C4BF15" w14:textId="77777777" w:rsidTr="00754D21">
        <w:tc>
          <w:tcPr>
            <w:tcW w:w="1696" w:type="dxa"/>
            <w:shd w:val="clear" w:color="auto" w:fill="FFFFFF"/>
            <w:vAlign w:val="center"/>
          </w:tcPr>
          <w:p w14:paraId="47EAA252" w14:textId="37EB496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694" w:type="dxa"/>
            <w:shd w:val="clear" w:color="auto" w:fill="FFFFFF"/>
            <w:vAlign w:val="center"/>
          </w:tcPr>
          <w:p w14:paraId="0F620C2B" w14:textId="2E8FBE6B" w:rsidR="00DF6E25" w:rsidRPr="0074720D" w:rsidRDefault="00187440" w:rsidP="00D03A74">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汇添富稳安三个月持有</w:t>
            </w:r>
            <w:r w:rsidR="007C0ACE">
              <w:rPr>
                <w:rFonts w:ascii="宋体" w:eastAsia="宋体" w:hAnsi="宋体" w:cs="宋体" w:hint="eastAsia"/>
                <w:bCs/>
                <w:iCs/>
                <w:color w:val="000000"/>
                <w:szCs w:val="21"/>
              </w:rPr>
              <w:t>债券</w:t>
            </w:r>
          </w:p>
        </w:tc>
        <w:tc>
          <w:tcPr>
            <w:tcW w:w="1842" w:type="dxa"/>
            <w:shd w:val="clear" w:color="auto" w:fill="FFFFFF"/>
            <w:vAlign w:val="center"/>
          </w:tcPr>
          <w:p w14:paraId="3F798212" w14:textId="586CAD3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398" w:type="dxa"/>
            <w:shd w:val="clear" w:color="auto" w:fill="FFFFFF"/>
            <w:vAlign w:val="center"/>
          </w:tcPr>
          <w:p w14:paraId="337FCC13" w14:textId="2D20CDA1" w:rsidR="00DF6E25" w:rsidRPr="0074720D" w:rsidRDefault="00485080" w:rsidP="0033013F">
            <w:pPr>
              <w:jc w:val="left"/>
              <w:rPr>
                <w:rFonts w:ascii="宋体" w:eastAsia="宋体" w:hAnsi="宋体" w:cs="宋体"/>
                <w:bCs/>
                <w:iCs/>
                <w:color w:val="000000"/>
                <w:szCs w:val="21"/>
              </w:rPr>
            </w:pPr>
            <w:r w:rsidRPr="002C54E8">
              <w:rPr>
                <w:rFonts w:ascii="宋体" w:eastAsia="宋体" w:hAnsi="宋体" w:cs="宋体"/>
                <w:bCs/>
                <w:iCs/>
                <w:color w:val="000000"/>
                <w:szCs w:val="21"/>
              </w:rPr>
              <w:t>015853</w:t>
            </w:r>
          </w:p>
        </w:tc>
      </w:tr>
      <w:tr w:rsidR="00D03A74" w14:paraId="520C48E5" w14:textId="77777777" w:rsidTr="00754D21">
        <w:tc>
          <w:tcPr>
            <w:tcW w:w="1696" w:type="dxa"/>
            <w:shd w:val="clear" w:color="auto" w:fill="FFFFFF"/>
            <w:vAlign w:val="center"/>
          </w:tcPr>
          <w:p w14:paraId="16AC0758" w14:textId="2FFF532C" w:rsidR="00D03A74" w:rsidRPr="0074720D" w:rsidRDefault="00D03A74" w:rsidP="00D03A74">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基金简称</w:t>
            </w:r>
          </w:p>
        </w:tc>
        <w:tc>
          <w:tcPr>
            <w:tcW w:w="2694" w:type="dxa"/>
            <w:shd w:val="clear" w:color="auto" w:fill="FFFFFF"/>
            <w:vAlign w:val="center"/>
          </w:tcPr>
          <w:p w14:paraId="60A27051" w14:textId="5B06D3E2" w:rsidR="00D03A74" w:rsidRPr="00812848" w:rsidRDefault="00187440" w:rsidP="008B19A8">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汇添富稳安三个月持有</w:t>
            </w:r>
            <w:r w:rsidR="007C0ACE">
              <w:rPr>
                <w:rFonts w:ascii="宋体" w:eastAsia="宋体" w:hAnsi="宋体" w:cs="宋体" w:hint="eastAsia"/>
                <w:bCs/>
                <w:iCs/>
                <w:color w:val="000000"/>
                <w:szCs w:val="21"/>
              </w:rPr>
              <w:t>债券</w:t>
            </w:r>
            <w:r w:rsidR="00BB185C">
              <w:rPr>
                <w:rFonts w:ascii="宋体" w:eastAsia="宋体" w:hAnsi="宋体" w:cs="宋体"/>
                <w:bCs/>
                <w:iCs/>
                <w:color w:val="000000"/>
                <w:szCs w:val="21"/>
              </w:rPr>
              <w:t>B</w:t>
            </w:r>
          </w:p>
        </w:tc>
        <w:tc>
          <w:tcPr>
            <w:tcW w:w="1842" w:type="dxa"/>
            <w:shd w:val="clear" w:color="auto" w:fill="FFFFFF"/>
            <w:vAlign w:val="center"/>
          </w:tcPr>
          <w:p w14:paraId="52BBB9DA" w14:textId="712684BD" w:rsidR="00D03A74" w:rsidRPr="0074720D" w:rsidRDefault="00D03A74" w:rsidP="00D03A74">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基金代码</w:t>
            </w:r>
          </w:p>
        </w:tc>
        <w:tc>
          <w:tcPr>
            <w:tcW w:w="2398" w:type="dxa"/>
            <w:shd w:val="clear" w:color="auto" w:fill="FFFFFF"/>
            <w:vAlign w:val="center"/>
          </w:tcPr>
          <w:p w14:paraId="06D5C5A7" w14:textId="66FB9483" w:rsidR="00D03A74" w:rsidRDefault="00196631" w:rsidP="0033013F">
            <w:pPr>
              <w:jc w:val="left"/>
              <w:rPr>
                <w:rFonts w:ascii="宋体" w:eastAsia="宋体" w:hAnsi="宋体" w:cs="宋体"/>
                <w:bCs/>
                <w:iCs/>
                <w:color w:val="000000"/>
                <w:szCs w:val="21"/>
              </w:rPr>
            </w:pPr>
            <w:r w:rsidRPr="00196631">
              <w:rPr>
                <w:rFonts w:ascii="宋体" w:eastAsia="宋体" w:hAnsi="宋体" w:cs="宋体"/>
                <w:bCs/>
                <w:iCs/>
                <w:color w:val="000000"/>
                <w:szCs w:val="21"/>
              </w:rPr>
              <w:t>016636</w:t>
            </w:r>
          </w:p>
        </w:tc>
      </w:tr>
      <w:tr w:rsidR="003A3A50" w14:paraId="6B0A4374" w14:textId="77777777" w:rsidTr="00754D21">
        <w:tc>
          <w:tcPr>
            <w:tcW w:w="1696" w:type="dxa"/>
            <w:shd w:val="clear" w:color="auto" w:fill="FFFFFF"/>
            <w:vAlign w:val="center"/>
          </w:tcPr>
          <w:p w14:paraId="3EE35BBA" w14:textId="5C3F0AC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694" w:type="dxa"/>
            <w:shd w:val="clear" w:color="auto" w:fill="FFFFFF"/>
            <w:vAlign w:val="center"/>
          </w:tcPr>
          <w:p w14:paraId="3342B2E8" w14:textId="7777777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1842" w:type="dxa"/>
            <w:shd w:val="clear" w:color="auto" w:fill="FFFFFF"/>
            <w:vAlign w:val="center"/>
          </w:tcPr>
          <w:p w14:paraId="20D63AEF" w14:textId="798D334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398" w:type="dxa"/>
            <w:shd w:val="clear" w:color="auto" w:fill="FFFFFF"/>
            <w:vAlign w:val="center"/>
          </w:tcPr>
          <w:p w14:paraId="559FB5B2" w14:textId="48540297" w:rsidR="00DF6E25" w:rsidRPr="0074720D" w:rsidRDefault="00187440"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中国建设</w:t>
            </w:r>
            <w:r w:rsidR="00C8239E" w:rsidRPr="00C8239E">
              <w:rPr>
                <w:rFonts w:ascii="宋体" w:eastAsia="宋体" w:hAnsi="宋体" w:cs="宋体" w:hint="eastAsia"/>
                <w:bCs/>
                <w:iCs/>
                <w:color w:val="000000"/>
                <w:szCs w:val="21"/>
              </w:rPr>
              <w:t>银行股份有限公司</w:t>
            </w:r>
          </w:p>
        </w:tc>
      </w:tr>
      <w:tr w:rsidR="003A3A50" w14:paraId="490A1F32" w14:textId="77777777" w:rsidTr="00754D21">
        <w:tc>
          <w:tcPr>
            <w:tcW w:w="1696" w:type="dxa"/>
            <w:shd w:val="clear" w:color="auto" w:fill="FFFFFF"/>
            <w:vAlign w:val="center"/>
          </w:tcPr>
          <w:p w14:paraId="75914B80" w14:textId="38F62E53"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694" w:type="dxa"/>
            <w:shd w:val="clear" w:color="auto" w:fill="FFFFFF"/>
            <w:vAlign w:val="center"/>
          </w:tcPr>
          <w:p w14:paraId="620A6023" w14:textId="63104FE1" w:rsidR="00DF6E25" w:rsidRPr="0074720D" w:rsidRDefault="00884031" w:rsidP="008A31AD">
            <w:pPr>
              <w:jc w:val="left"/>
              <w:rPr>
                <w:rFonts w:ascii="宋体" w:eastAsia="宋体" w:hAnsi="宋体" w:cs="宋体"/>
                <w:bCs/>
                <w:iCs/>
                <w:color w:val="000000"/>
                <w:szCs w:val="21"/>
              </w:rPr>
            </w:pPr>
            <w:r>
              <w:rPr>
                <w:rFonts w:ascii="宋体" w:eastAsia="宋体" w:hAnsi="宋体" w:cs="宋体"/>
                <w:bCs/>
                <w:iCs/>
                <w:color w:val="000000"/>
                <w:szCs w:val="21"/>
              </w:rPr>
              <w:t>2022</w:t>
            </w:r>
            <w:r>
              <w:rPr>
                <w:rFonts w:ascii="宋体" w:eastAsia="宋体" w:hAnsi="宋体" w:cs="宋体" w:hint="eastAsia"/>
                <w:bCs/>
                <w:iCs/>
                <w:color w:val="000000"/>
                <w:szCs w:val="21"/>
              </w:rPr>
              <w:t>年</w:t>
            </w:r>
            <w:r w:rsidR="00862CF7">
              <w:rPr>
                <w:rFonts w:ascii="宋体" w:eastAsia="宋体" w:hAnsi="宋体" w:cs="宋体" w:hint="eastAsia"/>
                <w:bCs/>
                <w:iCs/>
                <w:color w:val="000000"/>
                <w:szCs w:val="21"/>
              </w:rPr>
              <w:t>0</w:t>
            </w:r>
            <w:r>
              <w:rPr>
                <w:rFonts w:ascii="宋体" w:eastAsia="宋体" w:hAnsi="宋体" w:cs="宋体" w:hint="eastAsia"/>
                <w:bCs/>
                <w:iCs/>
                <w:color w:val="000000"/>
                <w:szCs w:val="21"/>
              </w:rPr>
              <w:t>7月</w:t>
            </w:r>
            <w:r w:rsidR="00862CF7">
              <w:rPr>
                <w:rFonts w:ascii="宋体" w:eastAsia="宋体" w:hAnsi="宋体" w:cs="宋体" w:hint="eastAsia"/>
                <w:bCs/>
                <w:iCs/>
                <w:color w:val="000000"/>
                <w:szCs w:val="21"/>
              </w:rPr>
              <w:t>0</w:t>
            </w:r>
            <w:r>
              <w:rPr>
                <w:rFonts w:ascii="宋体" w:eastAsia="宋体" w:hAnsi="宋体" w:cs="宋体" w:hint="eastAsia"/>
                <w:bCs/>
                <w:iCs/>
                <w:color w:val="000000"/>
                <w:szCs w:val="21"/>
              </w:rPr>
              <w:t>4日</w:t>
            </w:r>
          </w:p>
        </w:tc>
        <w:tc>
          <w:tcPr>
            <w:tcW w:w="1842" w:type="dxa"/>
            <w:shd w:val="clear" w:color="auto" w:fill="FFFFFF"/>
            <w:vAlign w:val="center"/>
          </w:tcPr>
          <w:p w14:paraId="43171B9F" w14:textId="575BEAB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398" w:type="dxa"/>
            <w:shd w:val="clear" w:color="auto" w:fill="FFFFFF"/>
            <w:vAlign w:val="center"/>
          </w:tcPr>
          <w:p w14:paraId="688B74BB" w14:textId="77777777" w:rsidR="00DF6E25" w:rsidRPr="0074720D" w:rsidRDefault="00DF350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r>
      <w:tr w:rsidR="003A3A50" w14:paraId="2F3442CF" w14:textId="77777777" w:rsidTr="00754D21">
        <w:tc>
          <w:tcPr>
            <w:tcW w:w="1696" w:type="dxa"/>
            <w:shd w:val="clear" w:color="auto" w:fill="FFFFFF"/>
            <w:vAlign w:val="center"/>
          </w:tcPr>
          <w:p w14:paraId="245BA545" w14:textId="7C4829AC"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694" w:type="dxa"/>
            <w:shd w:val="clear" w:color="auto" w:fill="FFFFFF"/>
            <w:vAlign w:val="center"/>
          </w:tcPr>
          <w:p w14:paraId="6AE01551" w14:textId="77777777" w:rsidR="00DF6E25" w:rsidRPr="0074720D" w:rsidRDefault="00DF350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c>
          <w:tcPr>
            <w:tcW w:w="1842" w:type="dxa"/>
            <w:shd w:val="clear" w:color="auto" w:fill="FFFFFF"/>
            <w:vAlign w:val="center"/>
          </w:tcPr>
          <w:p w14:paraId="319EA8AE" w14:textId="7773985A"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398" w:type="dxa"/>
            <w:shd w:val="clear" w:color="auto" w:fill="FFFFFF"/>
            <w:vAlign w:val="center"/>
          </w:tcPr>
          <w:p w14:paraId="2EB9F68D" w14:textId="1271A448" w:rsidR="00DF6E25" w:rsidRPr="0074720D" w:rsidRDefault="000170A6" w:rsidP="0074720D">
            <w:pPr>
              <w:jc w:val="left"/>
              <w:rPr>
                <w:rFonts w:ascii="宋体" w:eastAsia="宋体" w:hAnsi="宋体" w:cs="宋体"/>
                <w:bCs/>
                <w:iCs/>
                <w:color w:val="000000"/>
                <w:szCs w:val="21"/>
              </w:rPr>
            </w:pPr>
            <w:r>
              <w:rPr>
                <w:rFonts w:ascii="宋体" w:eastAsia="宋体" w:hAnsi="宋体" w:cs="宋体"/>
                <w:bCs/>
                <w:iCs/>
                <w:color w:val="000000"/>
                <w:szCs w:val="21"/>
              </w:rPr>
              <w:t>债券</w:t>
            </w:r>
            <w:r w:rsidR="00DF350E">
              <w:rPr>
                <w:rFonts w:ascii="宋体" w:eastAsia="宋体" w:hAnsi="宋体" w:cs="宋体"/>
                <w:bCs/>
                <w:iCs/>
                <w:color w:val="000000"/>
                <w:szCs w:val="21"/>
              </w:rPr>
              <w:t>型</w:t>
            </w:r>
          </w:p>
        </w:tc>
      </w:tr>
      <w:tr w:rsidR="003A3A50" w14:paraId="1FE901FA" w14:textId="77777777" w:rsidTr="00754D21">
        <w:tc>
          <w:tcPr>
            <w:tcW w:w="1696" w:type="dxa"/>
            <w:shd w:val="clear" w:color="auto" w:fill="FFFFFF"/>
            <w:vAlign w:val="center"/>
          </w:tcPr>
          <w:p w14:paraId="02F3D2E6" w14:textId="28A8B20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694" w:type="dxa"/>
            <w:shd w:val="clear" w:color="auto" w:fill="FFFFFF"/>
            <w:vAlign w:val="center"/>
          </w:tcPr>
          <w:p w14:paraId="5EEE70E8" w14:textId="7777777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1842" w:type="dxa"/>
            <w:shd w:val="clear" w:color="auto" w:fill="FFFFFF"/>
            <w:vAlign w:val="center"/>
          </w:tcPr>
          <w:p w14:paraId="7C6E6CB1" w14:textId="6AC3723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398" w:type="dxa"/>
            <w:shd w:val="clear" w:color="auto" w:fill="FFFFFF"/>
            <w:vAlign w:val="center"/>
          </w:tcPr>
          <w:p w14:paraId="334CAF2C" w14:textId="3E13FB15" w:rsidR="00DF6E25" w:rsidRPr="0074720D" w:rsidRDefault="00D628D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其他</w:t>
            </w:r>
            <w:r w:rsidR="008A31AD" w:rsidRPr="008A31AD">
              <w:rPr>
                <w:rFonts w:ascii="宋体" w:eastAsia="宋体" w:hAnsi="宋体" w:cs="宋体" w:hint="eastAsia"/>
                <w:bCs/>
                <w:iCs/>
                <w:color w:val="000000"/>
                <w:szCs w:val="21"/>
              </w:rPr>
              <w:t>开放式</w:t>
            </w:r>
          </w:p>
        </w:tc>
      </w:tr>
      <w:tr w:rsidR="00644DAF" w14:paraId="22DC71E7" w14:textId="77777777" w:rsidTr="00FE2EA7">
        <w:tc>
          <w:tcPr>
            <w:tcW w:w="1696" w:type="dxa"/>
            <w:shd w:val="clear" w:color="auto" w:fill="FFFFFF"/>
            <w:vAlign w:val="center"/>
          </w:tcPr>
          <w:p w14:paraId="48FDA93D" w14:textId="67018B7C" w:rsidR="00644DAF" w:rsidRPr="0074720D" w:rsidRDefault="00644DA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6934" w:type="dxa"/>
            <w:gridSpan w:val="3"/>
            <w:shd w:val="clear" w:color="auto" w:fill="FFFFFF"/>
            <w:vAlign w:val="center"/>
          </w:tcPr>
          <w:p w14:paraId="3E822BF0" w14:textId="504D08A3" w:rsidR="00644DAF" w:rsidRPr="00322C15" w:rsidRDefault="00187440" w:rsidP="00C16B43">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rsidR="00754D21" w14:paraId="60030BCC" w14:textId="77777777" w:rsidTr="00754D21">
        <w:tc>
          <w:tcPr>
            <w:tcW w:w="1696" w:type="dxa"/>
            <w:vMerge w:val="restart"/>
            <w:shd w:val="clear" w:color="auto" w:fill="FFFFFF"/>
            <w:vAlign w:val="center"/>
          </w:tcPr>
          <w:p w14:paraId="7E0A6AFA" w14:textId="4150F647" w:rsidR="00754D21" w:rsidRPr="0074720D" w:rsidRDefault="00754D21" w:rsidP="00754D21">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694" w:type="dxa"/>
            <w:vMerge w:val="restart"/>
            <w:shd w:val="clear" w:color="auto" w:fill="FFFFFF"/>
            <w:vAlign w:val="center"/>
          </w:tcPr>
          <w:p w14:paraId="70B704A2" w14:textId="535AF072" w:rsidR="00754D21" w:rsidRPr="00322C15" w:rsidRDefault="00187440" w:rsidP="00754D21">
            <w:pPr>
              <w:jc w:val="left"/>
              <w:rPr>
                <w:rFonts w:ascii="宋体" w:eastAsia="宋体" w:hAnsi="宋体" w:cs="宋体"/>
                <w:bCs/>
                <w:iCs/>
                <w:color w:val="000000"/>
                <w:szCs w:val="21"/>
              </w:rPr>
            </w:pPr>
            <w:r>
              <w:rPr>
                <w:rFonts w:ascii="宋体" w:eastAsia="宋体" w:hAnsi="宋体" w:cs="宋体" w:hint="eastAsia"/>
                <w:bCs/>
                <w:iCs/>
                <w:color w:val="000000"/>
                <w:szCs w:val="21"/>
              </w:rPr>
              <w:t>杨靖</w:t>
            </w:r>
          </w:p>
        </w:tc>
        <w:tc>
          <w:tcPr>
            <w:tcW w:w="1842" w:type="dxa"/>
            <w:shd w:val="clear" w:color="auto" w:fill="FFFFFF"/>
            <w:vAlign w:val="center"/>
          </w:tcPr>
          <w:p w14:paraId="3839B8F5" w14:textId="5B06197F" w:rsidR="00754D21" w:rsidRPr="00322C15" w:rsidRDefault="00754D21" w:rsidP="00754D21">
            <w:pPr>
              <w:jc w:val="left"/>
              <w:rPr>
                <w:rFonts w:ascii="宋体" w:eastAsia="宋体" w:hAnsi="宋体" w:cs="宋体"/>
                <w:bCs/>
                <w:iCs/>
                <w:color w:val="000000"/>
                <w:szCs w:val="21"/>
              </w:rPr>
            </w:pPr>
            <w:r w:rsidRPr="00322C15">
              <w:rPr>
                <w:rFonts w:ascii="宋体" w:eastAsia="宋体" w:hAnsi="宋体" w:cs="宋体"/>
                <w:bCs/>
                <w:iCs/>
                <w:color w:val="000000"/>
                <w:szCs w:val="21"/>
              </w:rPr>
              <w:t>开始担任本基金基金经理的日期</w:t>
            </w:r>
          </w:p>
        </w:tc>
        <w:tc>
          <w:tcPr>
            <w:tcW w:w="2398" w:type="dxa"/>
            <w:shd w:val="clear" w:color="auto" w:fill="FFFFFF"/>
            <w:vAlign w:val="center"/>
          </w:tcPr>
          <w:p w14:paraId="19795D75" w14:textId="2A63B488" w:rsidR="00754D21" w:rsidRPr="00322C15" w:rsidRDefault="00884031" w:rsidP="00754D21">
            <w:pPr>
              <w:jc w:val="left"/>
              <w:rPr>
                <w:rFonts w:ascii="宋体" w:eastAsia="宋体" w:hAnsi="宋体" w:cs="宋体"/>
                <w:bCs/>
                <w:iCs/>
                <w:color w:val="000000"/>
                <w:szCs w:val="21"/>
              </w:rPr>
            </w:pPr>
            <w:r>
              <w:rPr>
                <w:rFonts w:ascii="宋体" w:eastAsia="宋体" w:hAnsi="宋体" w:cs="宋体"/>
                <w:bCs/>
                <w:iCs/>
                <w:color w:val="000000"/>
                <w:szCs w:val="21"/>
              </w:rPr>
              <w:t>2022</w:t>
            </w:r>
            <w:r>
              <w:rPr>
                <w:rFonts w:ascii="宋体" w:eastAsia="宋体" w:hAnsi="宋体" w:cs="宋体" w:hint="eastAsia"/>
                <w:bCs/>
                <w:iCs/>
                <w:color w:val="000000"/>
                <w:szCs w:val="21"/>
              </w:rPr>
              <w:t>年</w:t>
            </w:r>
            <w:r w:rsidR="00862CF7">
              <w:rPr>
                <w:rFonts w:ascii="宋体" w:eastAsia="宋体" w:hAnsi="宋体" w:cs="宋体" w:hint="eastAsia"/>
                <w:bCs/>
                <w:iCs/>
                <w:color w:val="000000"/>
                <w:szCs w:val="21"/>
              </w:rPr>
              <w:t>0</w:t>
            </w:r>
            <w:r>
              <w:rPr>
                <w:rFonts w:ascii="宋体" w:eastAsia="宋体" w:hAnsi="宋体" w:cs="宋体" w:hint="eastAsia"/>
                <w:bCs/>
                <w:iCs/>
                <w:color w:val="000000"/>
                <w:szCs w:val="21"/>
              </w:rPr>
              <w:t>7月</w:t>
            </w:r>
            <w:r w:rsidR="00862CF7">
              <w:rPr>
                <w:rFonts w:ascii="宋体" w:eastAsia="宋体" w:hAnsi="宋体" w:cs="宋体" w:hint="eastAsia"/>
                <w:bCs/>
                <w:iCs/>
                <w:color w:val="000000"/>
                <w:szCs w:val="21"/>
              </w:rPr>
              <w:t>0</w:t>
            </w:r>
            <w:r>
              <w:rPr>
                <w:rFonts w:ascii="宋体" w:eastAsia="宋体" w:hAnsi="宋体" w:cs="宋体" w:hint="eastAsia"/>
                <w:bCs/>
                <w:iCs/>
                <w:color w:val="000000"/>
                <w:szCs w:val="21"/>
              </w:rPr>
              <w:t>4日</w:t>
            </w:r>
          </w:p>
        </w:tc>
      </w:tr>
      <w:tr w:rsidR="00754D21" w14:paraId="51C3ADDC" w14:textId="77777777" w:rsidTr="00754D21">
        <w:tc>
          <w:tcPr>
            <w:tcW w:w="1696" w:type="dxa"/>
            <w:vMerge/>
            <w:shd w:val="clear" w:color="auto" w:fill="FFFFFF"/>
            <w:vAlign w:val="center"/>
          </w:tcPr>
          <w:p w14:paraId="6FE87716" w14:textId="77777777" w:rsidR="00754D21" w:rsidRPr="0074720D" w:rsidRDefault="00754D21" w:rsidP="00754D21">
            <w:pPr>
              <w:jc w:val="left"/>
              <w:rPr>
                <w:rFonts w:ascii="宋体" w:eastAsia="宋体" w:hAnsi="宋体" w:cs="宋体"/>
                <w:bCs/>
                <w:iCs/>
                <w:color w:val="000000"/>
                <w:szCs w:val="21"/>
              </w:rPr>
            </w:pPr>
          </w:p>
        </w:tc>
        <w:tc>
          <w:tcPr>
            <w:tcW w:w="2694" w:type="dxa"/>
            <w:vMerge/>
            <w:shd w:val="clear" w:color="auto" w:fill="FFFFFF"/>
            <w:vAlign w:val="center"/>
          </w:tcPr>
          <w:p w14:paraId="442D6900" w14:textId="77777777" w:rsidR="00754D21" w:rsidRPr="00322C15" w:rsidRDefault="00754D21" w:rsidP="00754D21">
            <w:pPr>
              <w:jc w:val="left"/>
              <w:rPr>
                <w:rFonts w:ascii="宋体" w:eastAsia="宋体" w:hAnsi="宋体" w:cs="宋体"/>
                <w:bCs/>
                <w:iCs/>
                <w:color w:val="000000"/>
                <w:szCs w:val="21"/>
              </w:rPr>
            </w:pPr>
          </w:p>
        </w:tc>
        <w:tc>
          <w:tcPr>
            <w:tcW w:w="1842" w:type="dxa"/>
            <w:shd w:val="clear" w:color="auto" w:fill="FFFFFF"/>
            <w:vAlign w:val="center"/>
          </w:tcPr>
          <w:p w14:paraId="1D21EEF5" w14:textId="5F6D3A0A" w:rsidR="00754D21" w:rsidRPr="00235433" w:rsidRDefault="00754D21" w:rsidP="00754D21">
            <w:pPr>
              <w:jc w:val="left"/>
              <w:rPr>
                <w:rFonts w:ascii="宋体" w:eastAsia="宋体" w:hAnsi="宋体" w:cs="宋体"/>
                <w:bCs/>
                <w:iCs/>
                <w:color w:val="000000"/>
                <w:szCs w:val="21"/>
              </w:rPr>
            </w:pPr>
            <w:r w:rsidRPr="00235433">
              <w:rPr>
                <w:rFonts w:ascii="宋体" w:eastAsia="宋体" w:hAnsi="宋体" w:cs="宋体"/>
                <w:bCs/>
                <w:iCs/>
                <w:color w:val="000000"/>
                <w:szCs w:val="21"/>
              </w:rPr>
              <w:t>证券从业日期：</w:t>
            </w:r>
          </w:p>
        </w:tc>
        <w:tc>
          <w:tcPr>
            <w:tcW w:w="2398" w:type="dxa"/>
            <w:shd w:val="clear" w:color="auto" w:fill="FFFFFF"/>
            <w:vAlign w:val="center"/>
          </w:tcPr>
          <w:p w14:paraId="39D8EB32" w14:textId="50BEAA47" w:rsidR="00754D21" w:rsidRPr="0036399C" w:rsidRDefault="00754D21" w:rsidP="00754D21">
            <w:pPr>
              <w:jc w:val="left"/>
              <w:rPr>
                <w:rFonts w:ascii="宋体" w:eastAsia="宋体" w:hAnsi="宋体" w:cs="宋体"/>
                <w:bCs/>
                <w:iCs/>
                <w:color w:val="000000"/>
                <w:szCs w:val="21"/>
                <w:highlight w:val="yellow"/>
              </w:rPr>
            </w:pPr>
            <w:r w:rsidRPr="00812848">
              <w:rPr>
                <w:rFonts w:ascii="宋体" w:eastAsia="宋体" w:hAnsi="宋体" w:cs="宋体" w:hint="eastAsia"/>
                <w:bCs/>
                <w:iCs/>
                <w:color w:val="000000"/>
                <w:szCs w:val="21"/>
              </w:rPr>
              <w:t>20</w:t>
            </w:r>
            <w:r w:rsidR="00187440">
              <w:rPr>
                <w:rFonts w:ascii="宋体" w:eastAsia="宋体" w:hAnsi="宋体" w:cs="宋体" w:hint="eastAsia"/>
                <w:bCs/>
                <w:iCs/>
                <w:color w:val="000000"/>
                <w:szCs w:val="21"/>
              </w:rPr>
              <w:t>12</w:t>
            </w:r>
            <w:r w:rsidRPr="00812848">
              <w:rPr>
                <w:rFonts w:ascii="宋体" w:eastAsia="宋体" w:hAnsi="宋体" w:cs="宋体" w:hint="eastAsia"/>
                <w:bCs/>
                <w:iCs/>
                <w:color w:val="000000"/>
                <w:szCs w:val="21"/>
              </w:rPr>
              <w:t>年0</w:t>
            </w:r>
            <w:r w:rsidR="00187440">
              <w:rPr>
                <w:rFonts w:ascii="宋体" w:eastAsia="宋体" w:hAnsi="宋体" w:cs="宋体" w:hint="eastAsia"/>
                <w:bCs/>
                <w:iCs/>
                <w:color w:val="000000"/>
                <w:szCs w:val="21"/>
              </w:rPr>
              <w:t>6</w:t>
            </w:r>
            <w:r w:rsidRPr="00812848">
              <w:rPr>
                <w:rFonts w:ascii="宋体" w:eastAsia="宋体" w:hAnsi="宋体" w:cs="宋体" w:hint="eastAsia"/>
                <w:bCs/>
                <w:iCs/>
                <w:color w:val="000000"/>
                <w:szCs w:val="21"/>
              </w:rPr>
              <w:t>月</w:t>
            </w:r>
            <w:r w:rsidR="00187440">
              <w:rPr>
                <w:rFonts w:ascii="宋体" w:eastAsia="宋体" w:hAnsi="宋体" w:cs="宋体" w:hint="eastAsia"/>
                <w:bCs/>
                <w:iCs/>
                <w:color w:val="000000"/>
                <w:szCs w:val="21"/>
              </w:rPr>
              <w:t>28</w:t>
            </w:r>
            <w:r w:rsidRPr="00812848">
              <w:rPr>
                <w:rFonts w:ascii="宋体" w:eastAsia="宋体" w:hAnsi="宋体" w:cs="宋体" w:hint="eastAsia"/>
                <w:bCs/>
                <w:iCs/>
                <w:color w:val="000000"/>
                <w:szCs w:val="21"/>
              </w:rPr>
              <w:t>日</w:t>
            </w:r>
          </w:p>
        </w:tc>
      </w:tr>
      <w:tr w:rsidR="00CF3993" w14:paraId="416A156B" w14:textId="77777777" w:rsidTr="00FE2EA7">
        <w:tc>
          <w:tcPr>
            <w:tcW w:w="1696" w:type="dxa"/>
            <w:shd w:val="clear" w:color="auto" w:fill="FFFFFF"/>
            <w:vAlign w:val="center"/>
          </w:tcPr>
          <w:p w14:paraId="69F91231" w14:textId="15670251" w:rsidR="00CF3993" w:rsidRPr="0074720D" w:rsidRDefault="00CF3993" w:rsidP="00754D21">
            <w:pPr>
              <w:jc w:val="left"/>
              <w:rPr>
                <w:rFonts w:ascii="宋体" w:eastAsia="宋体" w:hAnsi="宋体" w:cs="宋体"/>
                <w:bCs/>
                <w:iCs/>
                <w:color w:val="000000"/>
                <w:szCs w:val="21"/>
              </w:rPr>
            </w:pPr>
            <w:r>
              <w:rPr>
                <w:rFonts w:ascii="宋体" w:eastAsia="宋体" w:hAnsi="宋体" w:cs="宋体" w:hint="eastAsia"/>
                <w:bCs/>
                <w:iCs/>
                <w:color w:val="000000"/>
                <w:szCs w:val="21"/>
              </w:rPr>
              <w:t>其他</w:t>
            </w:r>
          </w:p>
        </w:tc>
        <w:tc>
          <w:tcPr>
            <w:tcW w:w="6934" w:type="dxa"/>
            <w:gridSpan w:val="3"/>
            <w:shd w:val="clear" w:color="auto" w:fill="FFFFFF"/>
            <w:vAlign w:val="center"/>
          </w:tcPr>
          <w:p w14:paraId="2DB8C206" w14:textId="4E97D25F" w:rsidR="00CF3993" w:rsidRDefault="00196631" w:rsidP="00CF3993">
            <w:pPr>
              <w:rPr>
                <w:rFonts w:ascii="宋体" w:eastAsia="宋体" w:hAnsi="宋体" w:cs="宋体"/>
                <w:bCs/>
                <w:iCs/>
                <w:color w:val="000000"/>
                <w:szCs w:val="21"/>
              </w:rPr>
            </w:pPr>
            <w:r>
              <w:rPr>
                <w:rFonts w:ascii="宋体" w:eastAsia="宋体" w:hAnsi="宋体" w:cs="宋体" w:hint="eastAsia"/>
                <w:bCs/>
                <w:iCs/>
                <w:color w:val="000000"/>
                <w:szCs w:val="21"/>
              </w:rPr>
              <w:t>1、</w:t>
            </w:r>
            <w:r w:rsidRPr="00196631">
              <w:rPr>
                <w:rFonts w:ascii="宋体" w:eastAsia="宋体" w:hAnsi="宋体" w:cs="宋体" w:hint="eastAsia"/>
                <w:bCs/>
                <w:iCs/>
                <w:color w:val="000000"/>
                <w:szCs w:val="21"/>
              </w:rPr>
              <w:t>本基金暂不向金融机构自营账户销售</w:t>
            </w:r>
            <w:r>
              <w:rPr>
                <w:rFonts w:ascii="宋体" w:eastAsia="宋体" w:hAnsi="宋体" w:cs="宋体" w:hint="eastAsia"/>
                <w:bCs/>
                <w:iCs/>
                <w:color w:val="000000"/>
                <w:szCs w:val="21"/>
              </w:rPr>
              <w:t>。</w:t>
            </w:r>
          </w:p>
          <w:p w14:paraId="10B66C6C" w14:textId="30219E06" w:rsidR="00FE2EA7" w:rsidRPr="00CF3993" w:rsidRDefault="00196631">
            <w:pPr>
              <w:rPr>
                <w:rFonts w:ascii="宋体" w:eastAsia="宋体" w:hAnsi="宋体" w:cs="宋体"/>
                <w:bCs/>
                <w:iCs/>
                <w:color w:val="000000"/>
                <w:szCs w:val="21"/>
              </w:rPr>
            </w:pPr>
            <w:r>
              <w:rPr>
                <w:rFonts w:ascii="宋体" w:eastAsia="宋体" w:hAnsi="宋体" w:cs="宋体"/>
                <w:bCs/>
                <w:iCs/>
                <w:color w:val="000000"/>
                <w:szCs w:val="21"/>
              </w:rPr>
              <w:t>2</w:t>
            </w:r>
            <w:r>
              <w:rPr>
                <w:rFonts w:ascii="宋体" w:eastAsia="宋体" w:hAnsi="宋体" w:cs="宋体" w:hint="eastAsia"/>
                <w:bCs/>
                <w:iCs/>
                <w:color w:val="000000"/>
                <w:szCs w:val="21"/>
              </w:rPr>
              <w:t>、</w:t>
            </w:r>
            <w:r w:rsidR="00FE2EA7">
              <w:rPr>
                <w:rFonts w:ascii="宋体" w:eastAsia="宋体" w:hAnsi="宋体" w:cs="宋体"/>
                <w:bCs/>
                <w:iCs/>
                <w:color w:val="000000"/>
                <w:szCs w:val="21"/>
              </w:rPr>
              <w:t>自</w:t>
            </w:r>
            <w:r>
              <w:rPr>
                <w:rFonts w:ascii="宋体" w:eastAsia="宋体" w:hAnsi="宋体" w:cs="宋体" w:hint="eastAsia"/>
                <w:bCs/>
                <w:iCs/>
                <w:color w:val="000000"/>
                <w:szCs w:val="21"/>
              </w:rPr>
              <w:t>2</w:t>
            </w:r>
            <w:r>
              <w:rPr>
                <w:rFonts w:ascii="宋体" w:eastAsia="宋体" w:hAnsi="宋体" w:cs="宋体"/>
                <w:bCs/>
                <w:iCs/>
                <w:color w:val="000000"/>
                <w:szCs w:val="21"/>
              </w:rPr>
              <w:t>023</w:t>
            </w:r>
            <w:r w:rsidR="00FE2EA7">
              <w:rPr>
                <w:rFonts w:ascii="宋体" w:eastAsia="宋体" w:hAnsi="宋体" w:cs="宋体"/>
                <w:bCs/>
                <w:iCs/>
                <w:color w:val="000000"/>
                <w:szCs w:val="21"/>
              </w:rPr>
              <w:t>年</w:t>
            </w:r>
            <w:r>
              <w:rPr>
                <w:rFonts w:ascii="宋体" w:eastAsia="宋体" w:hAnsi="宋体" w:cs="宋体"/>
                <w:bCs/>
                <w:iCs/>
                <w:color w:val="000000"/>
                <w:szCs w:val="21"/>
              </w:rPr>
              <w:t>1</w:t>
            </w:r>
            <w:r w:rsidR="00FE2EA7">
              <w:rPr>
                <w:rFonts w:ascii="宋体" w:eastAsia="宋体" w:hAnsi="宋体" w:cs="宋体" w:hint="eastAsia"/>
                <w:bCs/>
                <w:iCs/>
                <w:color w:val="000000"/>
                <w:szCs w:val="21"/>
              </w:rPr>
              <w:t>月</w:t>
            </w:r>
            <w:r>
              <w:rPr>
                <w:rFonts w:ascii="宋体" w:eastAsia="宋体" w:hAnsi="宋体" w:cs="宋体"/>
                <w:bCs/>
                <w:iCs/>
                <w:color w:val="000000"/>
                <w:szCs w:val="21"/>
              </w:rPr>
              <w:t>6</w:t>
            </w:r>
            <w:r w:rsidR="00FE2EA7">
              <w:rPr>
                <w:rFonts w:ascii="宋体" w:eastAsia="宋体" w:hAnsi="宋体" w:cs="宋体" w:hint="eastAsia"/>
                <w:bCs/>
                <w:iCs/>
                <w:color w:val="000000"/>
                <w:szCs w:val="21"/>
              </w:rPr>
              <w:t>日起，</w:t>
            </w:r>
            <w:r w:rsidR="000B02E7" w:rsidRPr="000B02E7">
              <w:rPr>
                <w:rFonts w:ascii="宋体" w:eastAsia="宋体" w:hAnsi="宋体" w:cs="宋体" w:hint="eastAsia"/>
                <w:bCs/>
                <w:iCs/>
                <w:color w:val="000000"/>
                <w:szCs w:val="21"/>
              </w:rPr>
              <w:t>汇添富稳安三个月持有期债券型证券投资基金</w:t>
            </w:r>
            <w:r w:rsidR="000B02E7">
              <w:rPr>
                <w:rFonts w:ascii="宋体" w:eastAsia="宋体" w:hAnsi="宋体" w:cs="宋体" w:hint="eastAsia"/>
                <w:bCs/>
                <w:iCs/>
                <w:color w:val="000000"/>
                <w:szCs w:val="21"/>
              </w:rPr>
              <w:t>增设B类份额。</w:t>
            </w:r>
          </w:p>
        </w:tc>
      </w:tr>
    </w:tbl>
    <w:p w14:paraId="5433B714" w14:textId="77777777" w:rsidR="00DF6E25" w:rsidRPr="0074720D" w:rsidRDefault="00DF6E25" w:rsidP="0074720D">
      <w:pPr>
        <w:rPr>
          <w:rFonts w:ascii="宋体" w:eastAsia="宋体" w:hAnsi="宋体" w:cs="方正仿宋简体"/>
          <w:bCs/>
          <w:iCs/>
          <w:szCs w:val="21"/>
        </w:rPr>
      </w:pPr>
    </w:p>
    <w:p w14:paraId="5F035DB2" w14:textId="77777777" w:rsidR="00025EAC" w:rsidRPr="0074720D" w:rsidRDefault="00025EAC" w:rsidP="0074720D">
      <w:pPr>
        <w:rPr>
          <w:rFonts w:ascii="宋体" w:eastAsia="宋体" w:hAnsi="宋体" w:cs="方正仿宋简体"/>
          <w:iCs/>
          <w:szCs w:val="21"/>
        </w:rPr>
        <w:sectPr w:rsidR="00025EAC" w:rsidRPr="0074720D" w:rsidSect="00D941F9">
          <w:type w:val="continuous"/>
          <w:pgSz w:w="12240" w:h="15840"/>
          <w:pgMar w:top="1440" w:right="1800" w:bottom="1440" w:left="1800" w:header="720" w:footer="720" w:gutter="0"/>
          <w:cols w:space="720"/>
        </w:sectPr>
      </w:pPr>
    </w:p>
    <w:p w14:paraId="1F2E50EE" w14:textId="77777777" w:rsidR="00834E25" w:rsidRPr="00124F47" w:rsidRDefault="00B84B75" w:rsidP="00D32707">
      <w:pPr>
        <w:spacing w:line="360" w:lineRule="auto"/>
        <w:rPr>
          <w:rFonts w:ascii="宋体" w:eastAsia="宋体" w:hAnsi="宋体" w:cs="方正仿宋简体"/>
          <w:b/>
          <w:bCs/>
          <w:iCs/>
          <w:szCs w:val="21"/>
        </w:rPr>
        <w:sectPr w:rsidR="00834E25" w:rsidRPr="00124F47" w:rsidSect="00D941F9">
          <w:type w:val="continuous"/>
          <w:pgSz w:w="12240" w:h="15840"/>
          <w:pgMar w:top="1440" w:right="1800" w:bottom="1440" w:left="1800" w:header="720" w:footer="720" w:gutter="0"/>
          <w:cols w:space="720"/>
        </w:sectPr>
      </w:pPr>
      <w:r w:rsidRPr="00124F47">
        <w:rPr>
          <w:rFonts w:ascii="宋体" w:eastAsia="宋体" w:hAnsi="宋体" w:cs="方正仿宋简体" w:hint="eastAsia"/>
          <w:b/>
          <w:bCs/>
          <w:iCs/>
          <w:szCs w:val="21"/>
        </w:rPr>
        <w:lastRenderedPageBreak/>
        <w:t>二、</w:t>
      </w:r>
      <w:r w:rsidRPr="00124F47">
        <w:rPr>
          <w:rFonts w:ascii="宋体" w:eastAsia="宋体" w:hAnsi="宋体" w:cs="方正仿宋简体"/>
          <w:b/>
          <w:bCs/>
          <w:iCs/>
          <w:szCs w:val="21"/>
        </w:rPr>
        <w:t xml:space="preserve"> 基金投资与净值表现</w:t>
      </w:r>
    </w:p>
    <w:p w14:paraId="075C1216" w14:textId="2208A496" w:rsidR="00EB4244" w:rsidRPr="00EB4244" w:rsidRDefault="00B84B75" w:rsidP="00EB4244">
      <w:pPr>
        <w:spacing w:line="360" w:lineRule="auto"/>
        <w:rPr>
          <w:rFonts w:ascii="宋体" w:eastAsia="宋体" w:hAnsi="宋体" w:cs="方正仿宋简体"/>
          <w:iCs/>
          <w:szCs w:val="21"/>
        </w:rPr>
      </w:pPr>
      <w:r w:rsidRPr="00EB4244">
        <w:rPr>
          <w:rFonts w:ascii="宋体" w:eastAsia="宋体" w:hAnsi="宋体" w:cs="方正仿宋简体" w:hint="eastAsia"/>
          <w:b/>
          <w:bCs/>
          <w:iCs/>
          <w:szCs w:val="21"/>
        </w:rPr>
        <w:lastRenderedPageBreak/>
        <w:t>（一）</w:t>
      </w:r>
      <w:r w:rsidRPr="00EB4244">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7261"/>
      </w:tblGrid>
      <w:tr w:rsidR="003A3A50" w14:paraId="67E342CD" w14:textId="77777777" w:rsidTr="00322C15">
        <w:trPr>
          <w:trHeight w:val="438"/>
        </w:trPr>
        <w:tc>
          <w:tcPr>
            <w:tcW w:w="1528" w:type="dxa"/>
            <w:vAlign w:val="center"/>
          </w:tcPr>
          <w:p w14:paraId="722E84F8" w14:textId="409ECF4E"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投资目标</w:t>
            </w:r>
          </w:p>
        </w:tc>
        <w:tc>
          <w:tcPr>
            <w:tcW w:w="7261" w:type="dxa"/>
            <w:vAlign w:val="center"/>
          </w:tcPr>
          <w:p w14:paraId="7DB01A06" w14:textId="4A2786F4" w:rsidR="00EB4244" w:rsidRPr="002C5BAC" w:rsidRDefault="00754D21" w:rsidP="002C5BAC">
            <w:pPr>
              <w:rPr>
                <w:rFonts w:ascii="宋体" w:eastAsia="宋体" w:hAnsi="宋体" w:cs="方正仿宋简体"/>
                <w:iCs/>
                <w:szCs w:val="21"/>
              </w:rPr>
            </w:pPr>
            <w:r w:rsidRPr="00754D21">
              <w:rPr>
                <w:rFonts w:ascii="宋体" w:eastAsia="宋体" w:hAnsi="宋体" w:cs="方正仿宋简体" w:hint="eastAsia"/>
                <w:iCs/>
                <w:szCs w:val="21"/>
              </w:rPr>
              <w:t>在严格控制投资组合风险的前提下，力求获得超越业绩比较基准的投资回报。</w:t>
            </w:r>
          </w:p>
        </w:tc>
      </w:tr>
      <w:tr w:rsidR="003A3A50" w14:paraId="5CCE603D" w14:textId="77777777" w:rsidTr="00322C15">
        <w:trPr>
          <w:trHeight w:val="416"/>
        </w:trPr>
        <w:tc>
          <w:tcPr>
            <w:tcW w:w="1528" w:type="dxa"/>
            <w:vAlign w:val="center"/>
          </w:tcPr>
          <w:p w14:paraId="14869E99" w14:textId="2783C1BF"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投资范围</w:t>
            </w:r>
          </w:p>
        </w:tc>
        <w:tc>
          <w:tcPr>
            <w:tcW w:w="7261" w:type="dxa"/>
            <w:vAlign w:val="center"/>
          </w:tcPr>
          <w:p w14:paraId="0500498B" w14:textId="77777777" w:rsidR="00187440" w:rsidRPr="00187440"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14:paraId="77121F07" w14:textId="6B35F68C" w:rsidR="00187440" w:rsidRPr="00187440" w:rsidRDefault="00F36247" w:rsidP="00187440">
            <w:pPr>
              <w:rPr>
                <w:rFonts w:ascii="宋体" w:eastAsia="宋体" w:hAnsi="宋体" w:cs="方正仿宋简体"/>
                <w:iCs/>
                <w:szCs w:val="21"/>
              </w:rPr>
            </w:pPr>
            <w:r w:rsidRPr="00F36247">
              <w:rPr>
                <w:rFonts w:ascii="宋体" w:eastAsia="宋体" w:hAnsi="宋体" w:cs="方正仿宋简体" w:hint="eastAsia"/>
                <w:iCs/>
                <w:szCs w:val="21"/>
              </w:rPr>
              <w:lastRenderedPageBreak/>
              <w:t>本基金不投资于股票资产，因所持可转换债券与可交换债券转股或换股形成的股票等，应在可流通交易的10个交易日内卖出。</w:t>
            </w:r>
          </w:p>
          <w:p w14:paraId="0D3D3EF7" w14:textId="77777777" w:rsidR="00187440" w:rsidRPr="00187440"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如法律法规或监管机构以后允许基金投资其他品种，基金管理人在履行适当程序后，可以将其纳入投资范围，并可依据届时有效的法律法规适时合理地调整投资范围。</w:t>
            </w:r>
          </w:p>
          <w:p w14:paraId="01A5411B" w14:textId="77777777" w:rsidR="00187440" w:rsidRPr="00187440"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14:paraId="07EE520D" w14:textId="3BBF6534" w:rsidR="00285EA2" w:rsidRPr="002C5BAC"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如法律法规或中国证监会变更投资品种的投资比例限制，基金管理人在履行适当程序后，可以调整上述投资品种的投资比例。</w:t>
            </w:r>
          </w:p>
        </w:tc>
      </w:tr>
      <w:tr w:rsidR="003A3A50" w14:paraId="5B739D25" w14:textId="77777777" w:rsidTr="00322C15">
        <w:trPr>
          <w:trHeight w:val="407"/>
        </w:trPr>
        <w:tc>
          <w:tcPr>
            <w:tcW w:w="1528" w:type="dxa"/>
            <w:vAlign w:val="center"/>
          </w:tcPr>
          <w:p w14:paraId="744EE1BE" w14:textId="04AC9122"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lastRenderedPageBreak/>
              <w:t>主要投资策略</w:t>
            </w:r>
          </w:p>
        </w:tc>
        <w:tc>
          <w:tcPr>
            <w:tcW w:w="7261" w:type="dxa"/>
            <w:vAlign w:val="center"/>
          </w:tcPr>
          <w:p w14:paraId="580F3BBD" w14:textId="5627517E" w:rsidR="00EB4244" w:rsidRPr="002C5BAC" w:rsidRDefault="00187440" w:rsidP="007B3FED">
            <w:pPr>
              <w:rPr>
                <w:rFonts w:ascii="宋体" w:eastAsia="宋体" w:hAnsi="宋体" w:cs="方正仿宋简体"/>
                <w:iCs/>
                <w:szCs w:val="21"/>
              </w:rPr>
            </w:pPr>
            <w:r w:rsidRPr="00187440">
              <w:rPr>
                <w:rFonts w:ascii="宋体" w:eastAsia="宋体" w:hAnsi="宋体" w:cs="方正仿宋简体" w:hint="eastAsia"/>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R="003A3A50" w14:paraId="63FA29A2" w14:textId="77777777" w:rsidTr="00322C15">
        <w:trPr>
          <w:trHeight w:val="412"/>
        </w:trPr>
        <w:tc>
          <w:tcPr>
            <w:tcW w:w="1528" w:type="dxa"/>
            <w:vAlign w:val="center"/>
          </w:tcPr>
          <w:p w14:paraId="7D608C53" w14:textId="58D131D9"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业绩比较基准</w:t>
            </w:r>
          </w:p>
        </w:tc>
        <w:tc>
          <w:tcPr>
            <w:tcW w:w="7261" w:type="dxa"/>
            <w:vAlign w:val="center"/>
          </w:tcPr>
          <w:p w14:paraId="7BF43DF7" w14:textId="3B978EAD" w:rsidR="00EB4244" w:rsidRPr="002C5BAC" w:rsidRDefault="00187440" w:rsidP="00B10432">
            <w:pPr>
              <w:rPr>
                <w:rFonts w:ascii="宋体" w:eastAsia="宋体" w:hAnsi="宋体" w:cs="方正仿宋简体"/>
                <w:iCs/>
                <w:szCs w:val="21"/>
              </w:rPr>
            </w:pPr>
            <w:r w:rsidRPr="00187440">
              <w:rPr>
                <w:rFonts w:ascii="宋体" w:eastAsia="宋体" w:hAnsi="宋体" w:cs="方正仿宋简体" w:hint="eastAsia"/>
                <w:iCs/>
                <w:szCs w:val="21"/>
              </w:rPr>
              <w:t>本基金的业绩比较基准为：中债</w:t>
            </w:r>
            <w:r w:rsidR="00B10432">
              <w:rPr>
                <w:rFonts w:ascii="宋体" w:eastAsia="宋体" w:hAnsi="宋体" w:cs="方正仿宋简体" w:hint="eastAsia"/>
                <w:iCs/>
                <w:szCs w:val="21"/>
              </w:rPr>
              <w:t>总</w:t>
            </w:r>
            <w:r w:rsidRPr="00187440">
              <w:rPr>
                <w:rFonts w:ascii="宋体" w:eastAsia="宋体" w:hAnsi="宋体" w:cs="方正仿宋简体" w:hint="eastAsia"/>
                <w:iCs/>
                <w:szCs w:val="21"/>
              </w:rPr>
              <w:t>指数收益率*80%+银行一年期定期存款利率（税后）*20%。</w:t>
            </w:r>
          </w:p>
        </w:tc>
      </w:tr>
      <w:tr w:rsidR="003A3A50" w14:paraId="44AE72C9" w14:textId="77777777" w:rsidTr="00322C15">
        <w:trPr>
          <w:trHeight w:val="419"/>
        </w:trPr>
        <w:tc>
          <w:tcPr>
            <w:tcW w:w="1528" w:type="dxa"/>
            <w:vAlign w:val="center"/>
          </w:tcPr>
          <w:p w14:paraId="0F1C2444" w14:textId="6C722D04"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风险收益特征</w:t>
            </w:r>
          </w:p>
        </w:tc>
        <w:tc>
          <w:tcPr>
            <w:tcW w:w="7261" w:type="dxa"/>
            <w:vAlign w:val="center"/>
          </w:tcPr>
          <w:p w14:paraId="5750753C" w14:textId="35BB83B7" w:rsidR="006F3FFD" w:rsidRPr="002C5BAC" w:rsidRDefault="00F45A6D" w:rsidP="002C5BAC">
            <w:pPr>
              <w:rPr>
                <w:rFonts w:ascii="宋体" w:eastAsia="宋体" w:hAnsi="宋体" w:cs="方正仿宋简体"/>
                <w:iCs/>
                <w:szCs w:val="21"/>
              </w:rPr>
            </w:pPr>
            <w:r w:rsidRPr="00F45A6D">
              <w:rPr>
                <w:rFonts w:ascii="宋体" w:eastAsia="宋体" w:hAnsi="宋体" w:cs="方正仿宋简体" w:hint="eastAsia"/>
                <w:iCs/>
                <w:szCs w:val="21"/>
              </w:rPr>
              <w:t>本基金为债券型基金，其预期风险及预期收益水平低于股票型基金、混合型基金，高于货币市场基金。</w:t>
            </w:r>
          </w:p>
        </w:tc>
      </w:tr>
    </w:tbl>
    <w:p w14:paraId="737669C0" w14:textId="01179BD4" w:rsidR="00D206A5" w:rsidRDefault="008E21B2" w:rsidP="00322C15">
      <w:pPr>
        <w:tabs>
          <w:tab w:val="left" w:pos="7770"/>
        </w:tabs>
        <w:jc w:val="left"/>
        <w:rPr>
          <w:rFonts w:asciiTheme="minorEastAsia" w:hAnsiTheme="minorEastAsia" w:cs="方正黑体简体"/>
          <w:bCs/>
          <w:iCs/>
          <w:szCs w:val="24"/>
        </w:rPr>
      </w:pPr>
      <w:r w:rsidRPr="00322C15">
        <w:rPr>
          <w:rFonts w:asciiTheme="minorEastAsia" w:hAnsiTheme="minorEastAsia" w:cs="方正黑体简体" w:hint="eastAsia"/>
          <w:bCs/>
          <w:iCs/>
          <w:szCs w:val="24"/>
        </w:rPr>
        <w:t>注：投资者欲了解本基金的详细情况，请仔细阅读本基金的《招募说明书》。本基金产品有风险，投资需谨慎。</w:t>
      </w:r>
    </w:p>
    <w:p w14:paraId="24F645E1" w14:textId="77777777" w:rsidR="00D03A74" w:rsidRDefault="00D03A74" w:rsidP="00322C15">
      <w:pPr>
        <w:tabs>
          <w:tab w:val="left" w:pos="7770"/>
        </w:tabs>
        <w:jc w:val="left"/>
        <w:rPr>
          <w:rFonts w:asciiTheme="minorEastAsia" w:hAnsiTheme="minorEastAsia" w:cs="方正黑体简体"/>
          <w:bCs/>
          <w:iCs/>
          <w:szCs w:val="24"/>
        </w:rPr>
      </w:pPr>
    </w:p>
    <w:p w14:paraId="34684A61" w14:textId="77777777" w:rsidR="00D03A74" w:rsidRPr="00322C15" w:rsidRDefault="00D03A74" w:rsidP="00322C15">
      <w:pPr>
        <w:tabs>
          <w:tab w:val="left" w:pos="7770"/>
        </w:tabs>
        <w:jc w:val="left"/>
        <w:rPr>
          <w:rFonts w:asciiTheme="minorEastAsia" w:hAnsiTheme="minorEastAsia" w:cs="方正黑体简体"/>
          <w:bCs/>
          <w:iCs/>
          <w:szCs w:val="24"/>
        </w:rPr>
        <w:sectPr w:rsidR="00D03A74" w:rsidRPr="00322C15" w:rsidSect="00D941F9">
          <w:type w:val="continuous"/>
          <w:pgSz w:w="12240" w:h="15840"/>
          <w:pgMar w:top="1440" w:right="1800" w:bottom="1440" w:left="1800" w:header="720" w:footer="720" w:gutter="0"/>
          <w:cols w:space="720"/>
        </w:sectPr>
      </w:pPr>
    </w:p>
    <w:p w14:paraId="4B6FB679" w14:textId="77777777" w:rsidR="00834E25" w:rsidRPr="00340931" w:rsidRDefault="00B84B75" w:rsidP="00340931">
      <w:pPr>
        <w:spacing w:line="360" w:lineRule="auto"/>
        <w:rPr>
          <w:rFonts w:ascii="宋体" w:eastAsia="宋体" w:hAnsi="宋体" w:cs="方正仿宋简体"/>
          <w:b/>
          <w:bCs/>
          <w:iCs/>
          <w:szCs w:val="21"/>
        </w:rPr>
        <w:sectPr w:rsidR="00834E25" w:rsidRPr="00340931" w:rsidSect="00D941F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17B82CAE" w14:textId="77777777" w:rsidR="00263627" w:rsidRPr="004827B4" w:rsidRDefault="00B84B75" w:rsidP="00263627">
      <w:pPr>
        <w:spacing w:line="360" w:lineRule="auto"/>
        <w:rPr>
          <w:rFonts w:ascii="宋体" w:eastAsia="宋体" w:hAnsi="宋体"/>
          <w:b/>
        </w:rPr>
      </w:pPr>
      <w:r w:rsidRPr="004827B4">
        <w:rPr>
          <w:rFonts w:ascii="宋体" w:eastAsia="宋体" w:hAnsi="宋体" w:hint="eastAsia"/>
          <w:b/>
        </w:rPr>
        <w:lastRenderedPageBreak/>
        <w:t>（一）基金销售相关费用</w:t>
      </w:r>
    </w:p>
    <w:p w14:paraId="0F96D832" w14:textId="3DC447CB" w:rsidR="00263627" w:rsidRDefault="00B84B75" w:rsidP="00263627">
      <w:pPr>
        <w:spacing w:line="360" w:lineRule="auto"/>
        <w:rPr>
          <w:rFonts w:ascii="宋体" w:eastAsia="宋体" w:hAnsi="宋体"/>
        </w:rPr>
      </w:pPr>
      <w:r w:rsidRPr="00263627">
        <w:rPr>
          <w:rFonts w:ascii="宋体" w:eastAsia="宋体" w:hAnsi="宋体" w:hint="eastAsia"/>
        </w:rPr>
        <w:t>以下费用在申购</w:t>
      </w:r>
      <w:r w:rsidRPr="00263627">
        <w:rPr>
          <w:rFonts w:ascii="宋体" w:eastAsia="宋体" w:hAnsi="宋体"/>
        </w:rPr>
        <w:t>/</w:t>
      </w:r>
      <w:r w:rsidRPr="00263627">
        <w:rPr>
          <w:rFonts w:ascii="宋体" w:eastAsia="宋体" w:hAnsi="宋体" w:hint="eastAsia"/>
        </w:rPr>
        <w:t>赎回基金过程中收取：</w:t>
      </w:r>
    </w:p>
    <w:tbl>
      <w:tblPr>
        <w:tblStyle w:val="ab"/>
        <w:tblW w:w="0" w:type="auto"/>
        <w:tblLook w:val="04A0" w:firstRow="1" w:lastRow="0" w:firstColumn="1" w:lastColumn="0" w:noHBand="0" w:noVBand="1"/>
      </w:tblPr>
      <w:tblGrid>
        <w:gridCol w:w="2157"/>
        <w:gridCol w:w="2374"/>
        <w:gridCol w:w="2268"/>
        <w:gridCol w:w="1831"/>
      </w:tblGrid>
      <w:tr w:rsidR="00487CE6" w14:paraId="1BA98BD4" w14:textId="77777777" w:rsidTr="00487CE6">
        <w:tc>
          <w:tcPr>
            <w:tcW w:w="2157" w:type="dxa"/>
            <w:shd w:val="clear" w:color="auto" w:fill="D9D9D9" w:themeFill="background1" w:themeFillShade="D9"/>
            <w:vAlign w:val="center"/>
          </w:tcPr>
          <w:p w14:paraId="4A426EC2" w14:textId="377AC2D2" w:rsidR="00487CE6" w:rsidRDefault="00487CE6" w:rsidP="00487CE6">
            <w:pPr>
              <w:spacing w:line="360" w:lineRule="auto"/>
              <w:jc w:val="center"/>
              <w:rPr>
                <w:rFonts w:ascii="宋体" w:eastAsia="宋体" w:hAnsi="宋体"/>
              </w:rPr>
            </w:pPr>
            <w:r w:rsidRPr="00263627">
              <w:rPr>
                <w:rFonts w:ascii="宋体" w:eastAsia="宋体" w:hAnsi="宋体" w:cs="宋体"/>
                <w:color w:val="000000"/>
              </w:rPr>
              <w:t>费用类型</w:t>
            </w:r>
          </w:p>
        </w:tc>
        <w:tc>
          <w:tcPr>
            <w:tcW w:w="2374" w:type="dxa"/>
            <w:shd w:val="clear" w:color="auto" w:fill="D9D9D9" w:themeFill="background1" w:themeFillShade="D9"/>
            <w:vAlign w:val="center"/>
          </w:tcPr>
          <w:p w14:paraId="719FE709" w14:textId="7B90CCE0" w:rsidR="00487CE6" w:rsidRDefault="00487CE6" w:rsidP="00487CE6">
            <w:pPr>
              <w:spacing w:line="360" w:lineRule="auto"/>
              <w:jc w:val="left"/>
              <w:rPr>
                <w:rFonts w:ascii="宋体" w:eastAsia="宋体" w:hAnsi="宋体"/>
              </w:rPr>
            </w:pPr>
            <w:r w:rsidRPr="00263627">
              <w:rPr>
                <w:rFonts w:ascii="宋体" w:eastAsia="宋体" w:hAnsi="宋体" w:cs="宋体"/>
                <w:color w:val="000000"/>
              </w:rPr>
              <w:t>份额（S）或金额（M）/持有期限（N）</w:t>
            </w:r>
          </w:p>
        </w:tc>
        <w:tc>
          <w:tcPr>
            <w:tcW w:w="2268" w:type="dxa"/>
            <w:shd w:val="clear" w:color="auto" w:fill="D9D9D9" w:themeFill="background1" w:themeFillShade="D9"/>
            <w:vAlign w:val="center"/>
          </w:tcPr>
          <w:p w14:paraId="1E6F26F4" w14:textId="7D109E5D" w:rsidR="00487CE6" w:rsidRDefault="00487CE6" w:rsidP="00487CE6">
            <w:pPr>
              <w:spacing w:line="360" w:lineRule="auto"/>
              <w:jc w:val="center"/>
              <w:rPr>
                <w:rFonts w:ascii="宋体" w:eastAsia="宋体" w:hAnsi="宋体"/>
              </w:rPr>
            </w:pPr>
            <w:r w:rsidRPr="00263627">
              <w:rPr>
                <w:rFonts w:ascii="宋体" w:eastAsia="宋体" w:hAnsi="宋体" w:cs="宋体"/>
                <w:color w:val="000000"/>
              </w:rPr>
              <w:t>费率/收费方式</w:t>
            </w:r>
          </w:p>
        </w:tc>
        <w:tc>
          <w:tcPr>
            <w:tcW w:w="1831" w:type="dxa"/>
            <w:shd w:val="clear" w:color="auto" w:fill="D9D9D9" w:themeFill="background1" w:themeFillShade="D9"/>
            <w:vAlign w:val="center"/>
          </w:tcPr>
          <w:p w14:paraId="29361AA9" w14:textId="019852B2" w:rsidR="00487CE6" w:rsidRDefault="00487CE6" w:rsidP="00487CE6">
            <w:pPr>
              <w:spacing w:line="360" w:lineRule="auto"/>
              <w:jc w:val="center"/>
              <w:rPr>
                <w:rFonts w:ascii="宋体" w:eastAsia="宋体" w:hAnsi="宋体"/>
              </w:rPr>
            </w:pPr>
            <w:r w:rsidRPr="00263627">
              <w:rPr>
                <w:rFonts w:ascii="宋体" w:eastAsia="宋体" w:hAnsi="宋体" w:cs="宋体"/>
                <w:color w:val="000000"/>
              </w:rPr>
              <w:t>备注</w:t>
            </w:r>
          </w:p>
        </w:tc>
      </w:tr>
      <w:tr w:rsidR="00487CE6" w14:paraId="41A6BEC9" w14:textId="77777777" w:rsidTr="00487CE6">
        <w:tc>
          <w:tcPr>
            <w:tcW w:w="2157" w:type="dxa"/>
            <w:vMerge w:val="restart"/>
            <w:vAlign w:val="center"/>
          </w:tcPr>
          <w:p w14:paraId="526613F7" w14:textId="4DB0353A" w:rsidR="00487CE6" w:rsidRDefault="00487CE6" w:rsidP="00487CE6">
            <w:pPr>
              <w:spacing w:line="360" w:lineRule="auto"/>
              <w:jc w:val="center"/>
              <w:rPr>
                <w:rFonts w:ascii="宋体" w:eastAsia="宋体" w:hAnsi="宋体"/>
              </w:rPr>
            </w:pPr>
            <w:r w:rsidRPr="00263627">
              <w:rPr>
                <w:rFonts w:ascii="宋体" w:eastAsia="宋体" w:hAnsi="宋体" w:cs="宋体"/>
                <w:color w:val="000000"/>
              </w:rPr>
              <w:t>申购费（前收费）</w:t>
            </w:r>
          </w:p>
        </w:tc>
        <w:tc>
          <w:tcPr>
            <w:tcW w:w="2374" w:type="dxa"/>
          </w:tcPr>
          <w:p w14:paraId="3118BD4D" w14:textId="0FCA656F" w:rsidR="00487CE6" w:rsidRDefault="00487CE6" w:rsidP="00487CE6">
            <w:pPr>
              <w:spacing w:line="360" w:lineRule="auto"/>
              <w:jc w:val="center"/>
              <w:rPr>
                <w:rFonts w:ascii="宋体" w:eastAsia="宋体" w:hAnsi="宋体"/>
              </w:rPr>
            </w:pPr>
            <w:r w:rsidRPr="001A285A">
              <w:rPr>
                <w:rFonts w:ascii="宋体" w:eastAsia="宋体" w:hAnsi="宋体" w:cs="宋体" w:hint="eastAsia"/>
                <w:color w:val="000000"/>
              </w:rPr>
              <w:t>M＜100万元</w:t>
            </w:r>
          </w:p>
        </w:tc>
        <w:tc>
          <w:tcPr>
            <w:tcW w:w="2268" w:type="dxa"/>
            <w:vAlign w:val="center"/>
          </w:tcPr>
          <w:p w14:paraId="1D231342" w14:textId="2E031143" w:rsidR="00487CE6" w:rsidRDefault="00487CE6" w:rsidP="00487CE6">
            <w:pPr>
              <w:spacing w:line="360" w:lineRule="auto"/>
              <w:jc w:val="center"/>
              <w:rPr>
                <w:rFonts w:ascii="宋体" w:eastAsia="宋体" w:hAnsi="宋体"/>
              </w:rPr>
            </w:pPr>
            <w:r>
              <w:rPr>
                <w:rFonts w:ascii="宋体" w:eastAsia="宋体" w:hAnsi="宋体" w:cs="宋体"/>
                <w:color w:val="000000"/>
              </w:rPr>
              <w:t>0.6</w:t>
            </w:r>
            <w:r w:rsidRPr="001A285A">
              <w:rPr>
                <w:rFonts w:ascii="宋体" w:eastAsia="宋体" w:hAnsi="宋体" w:cs="宋体"/>
                <w:color w:val="000000"/>
              </w:rPr>
              <w:t>0%</w:t>
            </w:r>
          </w:p>
        </w:tc>
        <w:tc>
          <w:tcPr>
            <w:tcW w:w="1831" w:type="dxa"/>
            <w:vAlign w:val="center"/>
          </w:tcPr>
          <w:p w14:paraId="65A68E1C" w14:textId="05ACDE36" w:rsidR="00487CE6" w:rsidRDefault="00487CE6" w:rsidP="00487CE6">
            <w:pPr>
              <w:spacing w:line="360" w:lineRule="auto"/>
              <w:jc w:val="center"/>
              <w:rPr>
                <w:rFonts w:ascii="宋体" w:eastAsia="宋体" w:hAnsi="宋体"/>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487CE6" w14:paraId="7E0881ED" w14:textId="77777777" w:rsidTr="00487CE6">
        <w:tc>
          <w:tcPr>
            <w:tcW w:w="2157" w:type="dxa"/>
            <w:vMerge/>
          </w:tcPr>
          <w:p w14:paraId="34F1ED1A" w14:textId="77777777" w:rsidR="00487CE6" w:rsidRDefault="00487CE6" w:rsidP="00487CE6">
            <w:pPr>
              <w:spacing w:line="360" w:lineRule="auto"/>
              <w:jc w:val="center"/>
              <w:rPr>
                <w:rFonts w:ascii="宋体" w:eastAsia="宋体" w:hAnsi="宋体"/>
              </w:rPr>
            </w:pPr>
          </w:p>
        </w:tc>
        <w:tc>
          <w:tcPr>
            <w:tcW w:w="2374" w:type="dxa"/>
            <w:vAlign w:val="center"/>
          </w:tcPr>
          <w:p w14:paraId="4021CE3F" w14:textId="46B9FB00" w:rsidR="00487CE6" w:rsidRDefault="00487CE6" w:rsidP="00487CE6">
            <w:pPr>
              <w:spacing w:line="360" w:lineRule="auto"/>
              <w:jc w:val="center"/>
              <w:rPr>
                <w:rFonts w:ascii="宋体" w:eastAsia="宋体" w:hAnsi="宋体"/>
              </w:rPr>
            </w:pPr>
            <w:r>
              <w:rPr>
                <w:rFonts w:ascii="宋体" w:eastAsia="宋体" w:hAnsi="宋体" w:cs="宋体" w:hint="eastAsia"/>
                <w:color w:val="000000"/>
              </w:rPr>
              <w:t>100</w:t>
            </w:r>
            <w:r w:rsidRPr="001A285A">
              <w:rPr>
                <w:rFonts w:ascii="宋体" w:eastAsia="宋体" w:hAnsi="宋体" w:cs="宋体" w:hint="eastAsia"/>
                <w:color w:val="000000"/>
              </w:rPr>
              <w:t>万元≤M＜</w:t>
            </w:r>
            <w:r>
              <w:rPr>
                <w:rFonts w:ascii="宋体" w:eastAsia="宋体" w:hAnsi="宋体" w:cs="宋体"/>
                <w:color w:val="000000"/>
              </w:rPr>
              <w:t>2</w:t>
            </w:r>
            <w:r>
              <w:rPr>
                <w:rFonts w:ascii="宋体" w:eastAsia="宋体" w:hAnsi="宋体" w:cs="宋体" w:hint="eastAsia"/>
                <w:color w:val="000000"/>
              </w:rPr>
              <w:t>00</w:t>
            </w:r>
            <w:r w:rsidRPr="001A285A">
              <w:rPr>
                <w:rFonts w:ascii="宋体" w:eastAsia="宋体" w:hAnsi="宋体" w:cs="宋体" w:hint="eastAsia"/>
                <w:color w:val="000000"/>
              </w:rPr>
              <w:t>万元</w:t>
            </w:r>
          </w:p>
        </w:tc>
        <w:tc>
          <w:tcPr>
            <w:tcW w:w="2268" w:type="dxa"/>
            <w:vAlign w:val="center"/>
          </w:tcPr>
          <w:p w14:paraId="6BF20B85" w14:textId="67DF09A9" w:rsidR="00487CE6" w:rsidRDefault="00487CE6" w:rsidP="00487CE6">
            <w:pPr>
              <w:spacing w:line="360" w:lineRule="auto"/>
              <w:jc w:val="center"/>
              <w:rPr>
                <w:rFonts w:ascii="宋体" w:eastAsia="宋体" w:hAnsi="宋体"/>
              </w:rPr>
            </w:pPr>
            <w:r>
              <w:rPr>
                <w:rFonts w:ascii="宋体" w:eastAsia="宋体" w:hAnsi="宋体" w:cs="宋体"/>
                <w:color w:val="000000"/>
              </w:rPr>
              <w:t>0.40</w:t>
            </w:r>
            <w:r w:rsidRPr="001A285A">
              <w:rPr>
                <w:rFonts w:ascii="宋体" w:eastAsia="宋体" w:hAnsi="宋体" w:cs="宋体"/>
                <w:color w:val="000000"/>
              </w:rPr>
              <w:t>%</w:t>
            </w:r>
          </w:p>
        </w:tc>
        <w:tc>
          <w:tcPr>
            <w:tcW w:w="1831" w:type="dxa"/>
            <w:vAlign w:val="center"/>
          </w:tcPr>
          <w:p w14:paraId="3FB0D5D7" w14:textId="1474CF17" w:rsidR="00487CE6" w:rsidRDefault="00487CE6" w:rsidP="00487CE6">
            <w:pPr>
              <w:spacing w:line="360" w:lineRule="auto"/>
              <w:jc w:val="center"/>
              <w:rPr>
                <w:rFonts w:ascii="宋体" w:eastAsia="宋体" w:hAnsi="宋体"/>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487CE6" w14:paraId="6890FCBC" w14:textId="77777777" w:rsidTr="00487CE6">
        <w:tc>
          <w:tcPr>
            <w:tcW w:w="2157" w:type="dxa"/>
            <w:vMerge/>
          </w:tcPr>
          <w:p w14:paraId="276D65B9" w14:textId="77777777" w:rsidR="00487CE6" w:rsidRDefault="00487CE6" w:rsidP="00487CE6">
            <w:pPr>
              <w:spacing w:line="360" w:lineRule="auto"/>
              <w:jc w:val="center"/>
              <w:rPr>
                <w:rFonts w:ascii="宋体" w:eastAsia="宋体" w:hAnsi="宋体"/>
              </w:rPr>
            </w:pPr>
          </w:p>
        </w:tc>
        <w:tc>
          <w:tcPr>
            <w:tcW w:w="2374" w:type="dxa"/>
            <w:vAlign w:val="center"/>
          </w:tcPr>
          <w:p w14:paraId="2AE4312A" w14:textId="21424849" w:rsidR="00487CE6" w:rsidRDefault="00487CE6" w:rsidP="00487CE6">
            <w:pPr>
              <w:spacing w:line="360" w:lineRule="auto"/>
              <w:jc w:val="center"/>
              <w:rPr>
                <w:rFonts w:ascii="宋体" w:eastAsia="宋体" w:hAnsi="宋体"/>
              </w:rPr>
            </w:pPr>
            <w:r>
              <w:rPr>
                <w:rFonts w:ascii="宋体" w:eastAsia="宋体" w:hAnsi="宋体" w:cs="宋体" w:hint="eastAsia"/>
                <w:color w:val="000000"/>
              </w:rPr>
              <w:t>200</w:t>
            </w:r>
            <w:r w:rsidRPr="001A285A">
              <w:rPr>
                <w:rFonts w:ascii="宋体" w:eastAsia="宋体" w:hAnsi="宋体" w:cs="宋体" w:hint="eastAsia"/>
                <w:color w:val="000000"/>
              </w:rPr>
              <w:t>万元≤M＜</w:t>
            </w:r>
            <w:r>
              <w:rPr>
                <w:rFonts w:ascii="宋体" w:eastAsia="宋体" w:hAnsi="宋体" w:cs="宋体" w:hint="eastAsia"/>
                <w:color w:val="000000"/>
              </w:rPr>
              <w:t>500</w:t>
            </w:r>
            <w:r w:rsidRPr="001A285A">
              <w:rPr>
                <w:rFonts w:ascii="宋体" w:eastAsia="宋体" w:hAnsi="宋体" w:cs="宋体" w:hint="eastAsia"/>
                <w:color w:val="000000"/>
              </w:rPr>
              <w:t>万元</w:t>
            </w:r>
          </w:p>
        </w:tc>
        <w:tc>
          <w:tcPr>
            <w:tcW w:w="2268" w:type="dxa"/>
            <w:vAlign w:val="center"/>
          </w:tcPr>
          <w:p w14:paraId="0F3EF2A0" w14:textId="4722AE32" w:rsidR="00487CE6" w:rsidRDefault="00487CE6" w:rsidP="00487CE6">
            <w:pPr>
              <w:spacing w:line="360" w:lineRule="auto"/>
              <w:jc w:val="center"/>
              <w:rPr>
                <w:rFonts w:ascii="宋体" w:eastAsia="宋体" w:hAnsi="宋体"/>
              </w:rPr>
            </w:pPr>
            <w:r>
              <w:rPr>
                <w:rFonts w:ascii="宋体" w:eastAsia="宋体" w:hAnsi="宋体" w:cs="宋体" w:hint="eastAsia"/>
                <w:color w:val="000000"/>
              </w:rPr>
              <w:t>0</w:t>
            </w:r>
            <w:r>
              <w:rPr>
                <w:rFonts w:ascii="宋体" w:eastAsia="宋体" w:hAnsi="宋体" w:cs="宋体"/>
                <w:color w:val="000000"/>
              </w:rPr>
              <w:t>.20%</w:t>
            </w:r>
          </w:p>
        </w:tc>
        <w:tc>
          <w:tcPr>
            <w:tcW w:w="1831" w:type="dxa"/>
            <w:vAlign w:val="center"/>
          </w:tcPr>
          <w:p w14:paraId="7CEE99D8" w14:textId="3F212590" w:rsidR="00487CE6" w:rsidRDefault="00487CE6" w:rsidP="00487CE6">
            <w:pPr>
              <w:spacing w:line="360" w:lineRule="auto"/>
              <w:jc w:val="center"/>
              <w:rPr>
                <w:rFonts w:ascii="宋体" w:eastAsia="宋体" w:hAnsi="宋体"/>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487CE6" w14:paraId="21BD7AEC" w14:textId="77777777" w:rsidTr="00487CE6">
        <w:tc>
          <w:tcPr>
            <w:tcW w:w="2157" w:type="dxa"/>
            <w:vMerge/>
          </w:tcPr>
          <w:p w14:paraId="1D3CAF83" w14:textId="77777777" w:rsidR="00487CE6" w:rsidRDefault="00487CE6" w:rsidP="00487CE6">
            <w:pPr>
              <w:spacing w:line="360" w:lineRule="auto"/>
              <w:jc w:val="center"/>
              <w:rPr>
                <w:rFonts w:ascii="宋体" w:eastAsia="宋体" w:hAnsi="宋体"/>
              </w:rPr>
            </w:pPr>
          </w:p>
        </w:tc>
        <w:tc>
          <w:tcPr>
            <w:tcW w:w="2374" w:type="dxa"/>
            <w:vAlign w:val="center"/>
          </w:tcPr>
          <w:p w14:paraId="3C25E7B1" w14:textId="6934F831" w:rsidR="00487CE6" w:rsidRDefault="00487CE6" w:rsidP="00487CE6">
            <w:pPr>
              <w:spacing w:line="360" w:lineRule="auto"/>
              <w:jc w:val="center"/>
              <w:rPr>
                <w:rFonts w:ascii="宋体" w:eastAsia="宋体" w:hAnsi="宋体"/>
              </w:rPr>
            </w:pPr>
            <w:r w:rsidRPr="001A285A">
              <w:rPr>
                <w:rFonts w:ascii="宋体" w:eastAsia="宋体" w:hAnsi="宋体" w:cs="宋体" w:hint="eastAsia"/>
                <w:color w:val="000000"/>
              </w:rPr>
              <w:t>M≥500万元</w:t>
            </w:r>
          </w:p>
        </w:tc>
        <w:tc>
          <w:tcPr>
            <w:tcW w:w="2268" w:type="dxa"/>
            <w:vAlign w:val="center"/>
          </w:tcPr>
          <w:p w14:paraId="1536467F" w14:textId="30226537" w:rsidR="00487CE6" w:rsidRDefault="00487CE6" w:rsidP="00487CE6">
            <w:pPr>
              <w:spacing w:line="360" w:lineRule="auto"/>
              <w:jc w:val="center"/>
              <w:rPr>
                <w:rFonts w:ascii="宋体" w:eastAsia="宋体" w:hAnsi="宋体"/>
              </w:rPr>
            </w:pPr>
            <w:r w:rsidRPr="001A285A">
              <w:rPr>
                <w:rFonts w:ascii="宋体" w:eastAsia="宋体" w:hAnsi="宋体" w:cs="宋体" w:hint="eastAsia"/>
                <w:color w:val="000000"/>
              </w:rPr>
              <w:t>每笔1000元</w:t>
            </w:r>
          </w:p>
        </w:tc>
        <w:tc>
          <w:tcPr>
            <w:tcW w:w="1831" w:type="dxa"/>
            <w:vAlign w:val="center"/>
          </w:tcPr>
          <w:p w14:paraId="5E3B3DC4" w14:textId="3291BAA9" w:rsidR="00487CE6" w:rsidRDefault="00487CE6" w:rsidP="00487CE6">
            <w:pPr>
              <w:spacing w:line="360" w:lineRule="auto"/>
              <w:jc w:val="center"/>
              <w:rPr>
                <w:rFonts w:ascii="宋体" w:eastAsia="宋体" w:hAnsi="宋体"/>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487CE6" w14:paraId="6F0EFC04" w14:textId="77777777" w:rsidTr="00FE2EA7">
        <w:tc>
          <w:tcPr>
            <w:tcW w:w="2157" w:type="dxa"/>
            <w:vMerge/>
          </w:tcPr>
          <w:p w14:paraId="7D2166BA" w14:textId="77777777" w:rsidR="00487CE6" w:rsidRDefault="00487CE6" w:rsidP="00487CE6">
            <w:pPr>
              <w:spacing w:line="360" w:lineRule="auto"/>
              <w:rPr>
                <w:rFonts w:ascii="宋体" w:eastAsia="宋体" w:hAnsi="宋体"/>
              </w:rPr>
            </w:pPr>
          </w:p>
        </w:tc>
        <w:tc>
          <w:tcPr>
            <w:tcW w:w="6473" w:type="dxa"/>
            <w:gridSpan w:val="3"/>
          </w:tcPr>
          <w:p w14:paraId="45DDF50E" w14:textId="3F3416E3" w:rsidR="00487CE6" w:rsidRDefault="00487CE6" w:rsidP="00487CE6">
            <w:pPr>
              <w:spacing w:line="360" w:lineRule="auto"/>
              <w:rPr>
                <w:rFonts w:ascii="宋体" w:eastAsia="宋体" w:hAnsi="宋体"/>
              </w:rPr>
            </w:pPr>
            <w:r w:rsidRPr="002C5BAC">
              <w:rPr>
                <w:rFonts w:ascii="宋体" w:eastAsia="宋体" w:hAnsi="宋体" w:cs="方正仿宋简体" w:hint="eastAsia"/>
                <w:iCs/>
                <w:szCs w:val="21"/>
              </w:rPr>
              <w:t>通过</w:t>
            </w:r>
            <w:r w:rsidRPr="00D142C9">
              <w:rPr>
                <w:rFonts w:ascii="宋体" w:eastAsia="宋体" w:hAnsi="宋体" w:cs="方正仿宋简体" w:hint="eastAsia"/>
                <w:iCs/>
                <w:szCs w:val="21"/>
              </w:rPr>
              <w:t>本公司</w:t>
            </w:r>
            <w:r w:rsidRPr="002C5BAC">
              <w:rPr>
                <w:rFonts w:ascii="宋体" w:eastAsia="宋体" w:hAnsi="宋体" w:cs="方正仿宋简体" w:hint="eastAsia"/>
                <w:iCs/>
                <w:szCs w:val="21"/>
              </w:rPr>
              <w:t>直销中心申购本基金</w:t>
            </w:r>
            <w:r>
              <w:rPr>
                <w:rFonts w:ascii="宋体" w:eastAsia="宋体" w:hAnsi="宋体" w:cs="方正仿宋简体"/>
                <w:iCs/>
                <w:szCs w:val="21"/>
              </w:rPr>
              <w:t>B</w:t>
            </w:r>
            <w:r w:rsidRPr="002C5BAC">
              <w:rPr>
                <w:rFonts w:ascii="宋体" w:eastAsia="宋体" w:hAnsi="宋体" w:cs="方正仿宋简体" w:hint="eastAsia"/>
                <w:iCs/>
                <w:szCs w:val="21"/>
              </w:rPr>
              <w:t>类基金份额的特定投资群体申购费</w:t>
            </w:r>
            <w:r>
              <w:rPr>
                <w:rFonts w:ascii="宋体" w:eastAsia="宋体" w:hAnsi="宋体" w:cs="方正仿宋简体" w:hint="eastAsia"/>
                <w:iCs/>
                <w:szCs w:val="21"/>
              </w:rPr>
              <w:t>用</w:t>
            </w:r>
            <w:r w:rsidRPr="002C5BAC">
              <w:rPr>
                <w:rFonts w:ascii="宋体" w:eastAsia="宋体" w:hAnsi="宋体" w:cs="方正仿宋简体" w:hint="eastAsia"/>
                <w:iCs/>
                <w:szCs w:val="21"/>
              </w:rPr>
              <w:t>为每笔500元。</w:t>
            </w:r>
            <w:r w:rsidRPr="00285EA2">
              <w:rPr>
                <w:rFonts w:ascii="宋体" w:eastAsia="宋体" w:hAnsi="宋体" w:cs="方正仿宋简体" w:hint="eastAsia"/>
                <w:iCs/>
                <w:szCs w:val="21"/>
              </w:rPr>
              <w:t>未通过</w:t>
            </w:r>
            <w:r w:rsidRPr="00D142C9">
              <w:rPr>
                <w:rFonts w:ascii="宋体" w:eastAsia="宋体" w:hAnsi="宋体" w:cs="方正仿宋简体" w:hint="eastAsia"/>
                <w:iCs/>
                <w:szCs w:val="21"/>
              </w:rPr>
              <w:t>本公司</w:t>
            </w:r>
            <w:r w:rsidRPr="00285EA2">
              <w:rPr>
                <w:rFonts w:ascii="宋体" w:eastAsia="宋体" w:hAnsi="宋体" w:cs="方正仿宋简体" w:hint="eastAsia"/>
                <w:iCs/>
                <w:szCs w:val="21"/>
              </w:rPr>
              <w:t>直销中心</w:t>
            </w:r>
            <w:r>
              <w:rPr>
                <w:rFonts w:ascii="宋体" w:eastAsia="宋体" w:hAnsi="宋体" w:cs="方正仿宋简体" w:hint="eastAsia"/>
                <w:iCs/>
                <w:szCs w:val="21"/>
              </w:rPr>
              <w:t>申购</w:t>
            </w:r>
            <w:r w:rsidRPr="00285EA2">
              <w:rPr>
                <w:rFonts w:ascii="宋体" w:eastAsia="宋体" w:hAnsi="宋体" w:cs="方正仿宋简体" w:hint="eastAsia"/>
                <w:iCs/>
                <w:szCs w:val="21"/>
              </w:rPr>
              <w:t>本基金</w:t>
            </w:r>
            <w:r>
              <w:rPr>
                <w:rFonts w:ascii="宋体" w:eastAsia="宋体" w:hAnsi="宋体" w:cs="方正仿宋简体"/>
                <w:iCs/>
                <w:szCs w:val="21"/>
              </w:rPr>
              <w:t>B</w:t>
            </w:r>
            <w:r w:rsidRPr="00285EA2">
              <w:rPr>
                <w:rFonts w:ascii="宋体" w:eastAsia="宋体" w:hAnsi="宋体" w:cs="方正仿宋简体" w:hint="eastAsia"/>
                <w:iCs/>
                <w:szCs w:val="21"/>
              </w:rPr>
              <w:t>类基金份额的特定投资群体</w:t>
            </w:r>
            <w:r>
              <w:rPr>
                <w:rFonts w:ascii="宋体" w:eastAsia="宋体" w:hAnsi="宋体" w:cs="方正仿宋简体" w:hint="eastAsia"/>
                <w:iCs/>
                <w:szCs w:val="21"/>
              </w:rPr>
              <w:t>仍适用上表非特定投资群体的申</w:t>
            </w:r>
            <w:r w:rsidRPr="00285EA2">
              <w:rPr>
                <w:rFonts w:ascii="宋体" w:eastAsia="宋体" w:hAnsi="宋体" w:cs="方正仿宋简体" w:hint="eastAsia"/>
                <w:iCs/>
                <w:szCs w:val="21"/>
              </w:rPr>
              <w:t>购</w:t>
            </w:r>
            <w:r>
              <w:rPr>
                <w:rFonts w:ascii="宋体" w:eastAsia="宋体" w:hAnsi="宋体" w:cs="方正仿宋简体" w:hint="eastAsia"/>
                <w:iCs/>
                <w:szCs w:val="21"/>
              </w:rPr>
              <w:t>费率。</w:t>
            </w:r>
          </w:p>
        </w:tc>
      </w:tr>
      <w:tr w:rsidR="00487CE6" w14:paraId="65D548E2" w14:textId="77777777" w:rsidTr="00FE2EA7">
        <w:tc>
          <w:tcPr>
            <w:tcW w:w="2157" w:type="dxa"/>
          </w:tcPr>
          <w:p w14:paraId="5E02678F" w14:textId="173807E5" w:rsidR="00487CE6" w:rsidRDefault="00487CE6" w:rsidP="00487CE6">
            <w:pPr>
              <w:spacing w:line="360" w:lineRule="auto"/>
              <w:jc w:val="center"/>
              <w:rPr>
                <w:rFonts w:ascii="宋体" w:eastAsia="宋体" w:hAnsi="宋体"/>
              </w:rPr>
            </w:pPr>
            <w:r w:rsidRPr="00DF350E">
              <w:rPr>
                <w:rFonts w:ascii="宋体" w:eastAsia="宋体" w:hAnsi="宋体" w:cs="宋体" w:hint="eastAsia"/>
                <w:color w:val="000000"/>
              </w:rPr>
              <w:t>赎回费</w:t>
            </w:r>
          </w:p>
        </w:tc>
        <w:tc>
          <w:tcPr>
            <w:tcW w:w="6473" w:type="dxa"/>
            <w:gridSpan w:val="3"/>
          </w:tcPr>
          <w:p w14:paraId="75CA1D5C" w14:textId="4C5ED316" w:rsidR="00487CE6" w:rsidRDefault="00487CE6" w:rsidP="00487CE6">
            <w:pPr>
              <w:spacing w:line="360" w:lineRule="auto"/>
              <w:rPr>
                <w:rFonts w:ascii="宋体" w:eastAsia="宋体" w:hAnsi="宋体"/>
              </w:rPr>
            </w:pPr>
            <w:r>
              <w:rPr>
                <w:rFonts w:ascii="宋体" w:eastAsia="宋体" w:hAnsi="宋体" w:cs="宋体" w:hint="eastAsia"/>
                <w:color w:val="000000"/>
              </w:rPr>
              <w:t>本基金</w:t>
            </w:r>
            <w:r>
              <w:rPr>
                <w:rFonts w:ascii="宋体" w:eastAsia="宋体" w:hAnsi="宋体" w:cs="宋体"/>
                <w:color w:val="000000"/>
              </w:rPr>
              <w:t>B</w:t>
            </w:r>
            <w:r>
              <w:rPr>
                <w:rFonts w:ascii="宋体" w:eastAsia="宋体" w:hAnsi="宋体" w:cs="宋体" w:hint="eastAsia"/>
                <w:color w:val="000000"/>
              </w:rPr>
              <w:t>类基金份额不收取赎回费用。</w:t>
            </w:r>
          </w:p>
        </w:tc>
      </w:tr>
    </w:tbl>
    <w:p w14:paraId="3D1A0575" w14:textId="71E62D45" w:rsidR="00487CE6" w:rsidRPr="00D43D51" w:rsidRDefault="00487CE6" w:rsidP="00D43D51">
      <w:pPr>
        <w:tabs>
          <w:tab w:val="left" w:pos="7770"/>
        </w:tabs>
        <w:jc w:val="left"/>
        <w:rPr>
          <w:rFonts w:asciiTheme="minorEastAsia" w:hAnsiTheme="minorEastAsia" w:cs="方正黑体简体"/>
          <w:bCs/>
          <w:iCs/>
          <w:szCs w:val="24"/>
        </w:rPr>
      </w:pPr>
      <w:r w:rsidRPr="00BB185C">
        <w:rPr>
          <w:rFonts w:asciiTheme="minorEastAsia" w:hAnsiTheme="minorEastAsia" w:cs="方正黑体简体"/>
          <w:bCs/>
          <w:iCs/>
          <w:szCs w:val="24"/>
        </w:rPr>
        <w:t>注：本基金已成立，投资本基金不涉及认购费。</w:t>
      </w:r>
    </w:p>
    <w:p w14:paraId="3B74236E" w14:textId="77777777" w:rsidR="00263627" w:rsidRPr="00263627" w:rsidRDefault="00263627" w:rsidP="00263627">
      <w:pPr>
        <w:spacing w:line="360" w:lineRule="auto"/>
        <w:rPr>
          <w:rFonts w:ascii="宋体" w:eastAsia="宋体" w:hAnsi="宋体"/>
        </w:rPr>
        <w:sectPr w:rsidR="00263627" w:rsidRPr="00263627" w:rsidSect="00D941F9">
          <w:type w:val="continuous"/>
          <w:pgSz w:w="12240" w:h="15840"/>
          <w:pgMar w:top="1440" w:right="1800" w:bottom="1440" w:left="1800" w:header="720" w:footer="720" w:gutter="0"/>
          <w:cols w:space="720"/>
        </w:sectPr>
      </w:pPr>
    </w:p>
    <w:p w14:paraId="71800681" w14:textId="51EBD08E" w:rsidR="004118E0" w:rsidRPr="004118E0" w:rsidRDefault="00B84B75"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14:paraId="57867102" w14:textId="77777777" w:rsidR="004118E0" w:rsidRDefault="00B84B75"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3532"/>
      </w:tblGrid>
      <w:tr w:rsidR="003A3A50" w14:paraId="7FAF070D" w14:textId="77777777" w:rsidTr="00322C15">
        <w:tc>
          <w:tcPr>
            <w:tcW w:w="1555" w:type="dxa"/>
            <w:shd w:val="clear" w:color="auto" w:fill="D9D9D9"/>
            <w:vAlign w:val="center"/>
          </w:tcPr>
          <w:p w14:paraId="5BAA342A"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3543" w:type="dxa"/>
            <w:shd w:val="clear" w:color="auto" w:fill="D9D9D9"/>
            <w:vAlign w:val="center"/>
          </w:tcPr>
          <w:p w14:paraId="2BA01251"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3532" w:type="dxa"/>
            <w:shd w:val="clear" w:color="auto" w:fill="D9D9D9"/>
            <w:vAlign w:val="center"/>
          </w:tcPr>
          <w:p w14:paraId="36EB65D9"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3A3A50" w14:paraId="2D16D873" w14:textId="77777777" w:rsidTr="00322C15">
        <w:tc>
          <w:tcPr>
            <w:tcW w:w="1555" w:type="dxa"/>
            <w:shd w:val="clear" w:color="auto" w:fill="FFFFFF"/>
            <w:vAlign w:val="center"/>
          </w:tcPr>
          <w:p w14:paraId="78AE7A07" w14:textId="1A52BCBE"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3543" w:type="dxa"/>
            <w:shd w:val="clear" w:color="auto" w:fill="FFFFFF"/>
            <w:vAlign w:val="center"/>
          </w:tcPr>
          <w:p w14:paraId="588C4591" w14:textId="75AC5F68" w:rsidR="004118E0" w:rsidRPr="004118E0" w:rsidRDefault="00B84B75" w:rsidP="002C5BAC">
            <w:pPr>
              <w:jc w:val="center"/>
              <w:rPr>
                <w:rFonts w:ascii="宋体" w:eastAsia="宋体" w:hAnsi="宋体" w:cs="宋体"/>
                <w:iCs/>
                <w:color w:val="000000"/>
                <w:szCs w:val="21"/>
              </w:rPr>
            </w:pPr>
            <w:r w:rsidRPr="004118E0">
              <w:rPr>
                <w:rFonts w:ascii="宋体" w:eastAsia="宋体" w:hAnsi="宋体" w:cs="宋体"/>
                <w:iCs/>
                <w:color w:val="000000"/>
                <w:szCs w:val="21"/>
              </w:rPr>
              <w:t>0.</w:t>
            </w:r>
            <w:r w:rsidR="00F45A6D">
              <w:rPr>
                <w:rFonts w:ascii="宋体" w:eastAsia="宋体" w:hAnsi="宋体" w:cs="宋体"/>
                <w:iCs/>
                <w:color w:val="000000"/>
                <w:szCs w:val="21"/>
              </w:rPr>
              <w:t>2</w:t>
            </w:r>
            <w:r w:rsidR="001A285A">
              <w:rPr>
                <w:rFonts w:ascii="宋体" w:eastAsia="宋体" w:hAnsi="宋体" w:cs="宋体"/>
                <w:iCs/>
                <w:color w:val="000000"/>
                <w:szCs w:val="21"/>
              </w:rPr>
              <w:t>0</w:t>
            </w:r>
            <w:r w:rsidR="001A285A">
              <w:rPr>
                <w:rFonts w:ascii="宋体" w:eastAsia="宋体" w:hAnsi="宋体" w:cs="宋体" w:hint="eastAsia"/>
                <w:iCs/>
                <w:color w:val="000000"/>
                <w:szCs w:val="21"/>
              </w:rPr>
              <w:t>%</w:t>
            </w:r>
          </w:p>
        </w:tc>
        <w:tc>
          <w:tcPr>
            <w:tcW w:w="3532" w:type="dxa"/>
            <w:shd w:val="clear" w:color="auto" w:fill="FFFFFF"/>
            <w:vAlign w:val="center"/>
          </w:tcPr>
          <w:p w14:paraId="1855C297" w14:textId="58E2E44B" w:rsidR="004118E0" w:rsidRPr="004118E0" w:rsidRDefault="00834ED4"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08E887E9" w14:textId="77777777" w:rsidTr="00322C15">
        <w:tc>
          <w:tcPr>
            <w:tcW w:w="1555" w:type="dxa"/>
            <w:shd w:val="clear" w:color="auto" w:fill="FFFFFF"/>
            <w:vAlign w:val="center"/>
          </w:tcPr>
          <w:p w14:paraId="607A7317" w14:textId="731F921F"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lastRenderedPageBreak/>
              <w:t>托管费</w:t>
            </w:r>
          </w:p>
        </w:tc>
        <w:tc>
          <w:tcPr>
            <w:tcW w:w="3543" w:type="dxa"/>
            <w:shd w:val="clear" w:color="auto" w:fill="FFFFFF"/>
            <w:vAlign w:val="center"/>
          </w:tcPr>
          <w:p w14:paraId="549E25DA" w14:textId="1DD78CB7" w:rsidR="004118E0" w:rsidRPr="004118E0" w:rsidRDefault="00B84B75" w:rsidP="002C5BAC">
            <w:pPr>
              <w:jc w:val="center"/>
              <w:rPr>
                <w:rFonts w:ascii="宋体" w:eastAsia="宋体" w:hAnsi="宋体" w:cs="宋体"/>
                <w:iCs/>
                <w:color w:val="000000"/>
                <w:szCs w:val="21"/>
              </w:rPr>
            </w:pPr>
            <w:r w:rsidRPr="004118E0">
              <w:rPr>
                <w:rFonts w:ascii="宋体" w:eastAsia="宋体" w:hAnsi="宋体" w:cs="宋体"/>
                <w:iCs/>
                <w:color w:val="000000"/>
                <w:szCs w:val="21"/>
              </w:rPr>
              <w:t>0.</w:t>
            </w:r>
            <w:r w:rsidR="00F45A6D">
              <w:rPr>
                <w:rFonts w:ascii="宋体" w:eastAsia="宋体" w:hAnsi="宋体" w:cs="宋体"/>
                <w:iCs/>
                <w:color w:val="000000"/>
                <w:szCs w:val="21"/>
              </w:rPr>
              <w:t>05</w:t>
            </w:r>
            <w:r w:rsidR="001A285A">
              <w:rPr>
                <w:rFonts w:ascii="宋体" w:eastAsia="宋体" w:hAnsi="宋体" w:cs="宋体" w:hint="eastAsia"/>
                <w:iCs/>
                <w:color w:val="000000"/>
                <w:szCs w:val="21"/>
              </w:rPr>
              <w:t>%</w:t>
            </w:r>
          </w:p>
        </w:tc>
        <w:tc>
          <w:tcPr>
            <w:tcW w:w="3532" w:type="dxa"/>
            <w:shd w:val="clear" w:color="auto" w:fill="FFFFFF"/>
            <w:vAlign w:val="center"/>
          </w:tcPr>
          <w:p w14:paraId="521EF6A2" w14:textId="135CE611" w:rsidR="004118E0" w:rsidRPr="004118E0" w:rsidRDefault="00834ED4"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67046EA9" w14:textId="77777777" w:rsidTr="00322C15">
        <w:tc>
          <w:tcPr>
            <w:tcW w:w="1555" w:type="dxa"/>
            <w:shd w:val="clear" w:color="auto" w:fill="FFFFFF"/>
            <w:vAlign w:val="center"/>
          </w:tcPr>
          <w:p w14:paraId="5BB2AE10" w14:textId="1D35ABF2"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3543" w:type="dxa"/>
            <w:shd w:val="clear" w:color="auto" w:fill="FFFFFF"/>
            <w:vAlign w:val="center"/>
          </w:tcPr>
          <w:p w14:paraId="70CC9365" w14:textId="2D682066" w:rsidR="004118E0" w:rsidRPr="004118E0" w:rsidRDefault="00C92AD6" w:rsidP="00DF350E">
            <w:pPr>
              <w:jc w:val="center"/>
              <w:rPr>
                <w:rFonts w:ascii="宋体" w:eastAsia="宋体" w:hAnsi="宋体" w:cs="宋体"/>
                <w:iCs/>
                <w:color w:val="000000"/>
                <w:szCs w:val="21"/>
              </w:rPr>
            </w:pPr>
            <w:r>
              <w:rPr>
                <w:rFonts w:ascii="宋体" w:eastAsia="宋体" w:hAnsi="宋体" w:cs="宋体" w:hint="eastAsia"/>
                <w:iCs/>
                <w:color w:val="000000"/>
                <w:szCs w:val="21"/>
              </w:rPr>
              <w:t>-</w:t>
            </w:r>
          </w:p>
        </w:tc>
        <w:tc>
          <w:tcPr>
            <w:tcW w:w="3532" w:type="dxa"/>
            <w:shd w:val="clear" w:color="auto" w:fill="FFFFFF"/>
            <w:vAlign w:val="center"/>
          </w:tcPr>
          <w:p w14:paraId="733F85FF" w14:textId="4A693322" w:rsidR="004118E0" w:rsidRPr="004118E0" w:rsidRDefault="001C2D0F"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2145D4" w14:paraId="07B60090" w14:textId="77777777" w:rsidTr="00322C15">
        <w:tc>
          <w:tcPr>
            <w:tcW w:w="1555" w:type="dxa"/>
            <w:shd w:val="clear" w:color="auto" w:fill="FFFFFF"/>
            <w:vAlign w:val="center"/>
          </w:tcPr>
          <w:p w14:paraId="3016404F" w14:textId="77777777" w:rsidR="002145D4" w:rsidRPr="004118E0" w:rsidRDefault="002145D4"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7075" w:type="dxa"/>
            <w:gridSpan w:val="2"/>
            <w:shd w:val="clear" w:color="auto" w:fill="FFFFFF"/>
            <w:vAlign w:val="center"/>
          </w:tcPr>
          <w:p w14:paraId="60ADD44A" w14:textId="4803E3D7" w:rsidR="002145D4" w:rsidRPr="004118E0" w:rsidRDefault="002145D4" w:rsidP="007E21A6">
            <w:pPr>
              <w:jc w:val="left"/>
              <w:rPr>
                <w:rFonts w:ascii="宋体" w:eastAsia="宋体" w:hAnsi="宋体" w:cs="宋体"/>
                <w:iCs/>
                <w:color w:val="000000"/>
                <w:szCs w:val="21"/>
              </w:rPr>
            </w:pPr>
            <w:r w:rsidRPr="002145D4">
              <w:rPr>
                <w:rFonts w:ascii="宋体" w:eastAsia="宋体" w:hAnsi="宋体" w:cs="宋体" w:hint="eastAsia"/>
                <w:iCs/>
                <w:color w:val="000000"/>
                <w:szCs w:val="21"/>
              </w:rPr>
              <w:t>《基金合同》生效后与基金相关的信息披露费用</w:t>
            </w:r>
            <w:r w:rsidR="001649B1" w:rsidRPr="001649B1">
              <w:rPr>
                <w:rFonts w:ascii="宋体" w:eastAsia="宋体" w:hAnsi="宋体" w:cs="宋体" w:hint="eastAsia"/>
                <w:iCs/>
                <w:color w:val="000000"/>
                <w:szCs w:val="21"/>
              </w:rPr>
              <w:t>（除法律法规、中国证监会另有规定外）</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《基金合同》生效后与基金相关的会计师费、律师费、仲裁费和诉讼费</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基金份额持有人大会费用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基金的证券/期货等交易费用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基金的银行汇划费用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基金的开户费用、账户维护费用</w:t>
            </w:r>
            <w:r w:rsidR="00F4086C" w:rsidRPr="00F4086C">
              <w:rPr>
                <w:rFonts w:ascii="宋体" w:eastAsia="宋体" w:hAnsi="宋体" w:cs="宋体" w:hint="eastAsia"/>
                <w:iCs/>
                <w:color w:val="000000"/>
                <w:szCs w:val="21"/>
              </w:rPr>
              <w:t>、</w:t>
            </w:r>
            <w:r w:rsidRPr="002145D4">
              <w:rPr>
                <w:rFonts w:ascii="宋体" w:eastAsia="宋体" w:hAnsi="宋体" w:cs="宋体" w:hint="eastAsia"/>
                <w:iCs/>
                <w:color w:val="000000"/>
                <w:szCs w:val="21"/>
              </w:rPr>
              <w:t>按照国家有关规定和《基金合同》约定，可以在基金财产中列支的其他费用</w:t>
            </w:r>
            <w:r w:rsidR="008E21B2">
              <w:rPr>
                <w:rFonts w:ascii="宋体" w:eastAsia="宋体" w:hAnsi="宋体" w:cs="宋体" w:hint="eastAsia"/>
                <w:iCs/>
                <w:color w:val="000000"/>
                <w:szCs w:val="21"/>
              </w:rPr>
              <w:t>。</w:t>
            </w:r>
          </w:p>
        </w:tc>
      </w:tr>
    </w:tbl>
    <w:p w14:paraId="7BDAA1D9" w14:textId="76DAB2DA" w:rsidR="00834E25" w:rsidRPr="004118E0" w:rsidRDefault="008E21B2" w:rsidP="00322C15">
      <w:pPr>
        <w:spacing w:after="240"/>
        <w:rPr>
          <w:rFonts w:ascii="宋体" w:eastAsia="宋体" w:hAnsi="宋体" w:cs="方正仿宋简体"/>
          <w:iCs/>
          <w:szCs w:val="21"/>
        </w:rPr>
        <w:sectPr w:rsidR="00834E25" w:rsidRPr="004118E0" w:rsidSect="00D941F9">
          <w:type w:val="continuous"/>
          <w:pgSz w:w="12240" w:h="15840"/>
          <w:pgMar w:top="1440" w:right="1800" w:bottom="1440" w:left="1800" w:header="720" w:footer="720" w:gutter="0"/>
          <w:cols w:space="720"/>
        </w:sectPr>
      </w:pPr>
      <w:r w:rsidRPr="008E21B2">
        <w:rPr>
          <w:rFonts w:ascii="宋体" w:eastAsia="宋体" w:hAnsi="宋体" w:cs="方正仿宋简体" w:hint="eastAsia"/>
          <w:iCs/>
          <w:szCs w:val="21"/>
        </w:rPr>
        <w:t>注：本基金费用的计算方法和支付方式详见本基金的《招募说明书》。本基金交易证券、基金等产生的费用和税负，按实际发生额从基金资产扣除。</w:t>
      </w:r>
    </w:p>
    <w:p w14:paraId="0D800B54" w14:textId="77777777" w:rsidR="00834E25" w:rsidRPr="00C2264A" w:rsidRDefault="00B84B75" w:rsidP="00C2264A">
      <w:pPr>
        <w:spacing w:line="360" w:lineRule="auto"/>
        <w:rPr>
          <w:rFonts w:ascii="宋体" w:eastAsia="宋体" w:hAnsi="宋体" w:cs="方正仿宋简体"/>
          <w:b/>
          <w:bCs/>
          <w:iCs/>
          <w:szCs w:val="21"/>
        </w:rPr>
        <w:sectPr w:rsidR="00834E25" w:rsidRPr="00C2264A" w:rsidSect="00D941F9">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lastRenderedPageBreak/>
        <w:t>四、</w:t>
      </w:r>
      <w:r w:rsidRPr="00C2264A">
        <w:rPr>
          <w:rFonts w:ascii="宋体" w:eastAsia="宋体" w:hAnsi="宋体" w:cs="方正仿宋简体"/>
          <w:b/>
          <w:bCs/>
          <w:iCs/>
          <w:szCs w:val="21"/>
        </w:rPr>
        <w:t>风险揭示与重要提示</w:t>
      </w:r>
    </w:p>
    <w:p w14:paraId="043F54FC" w14:textId="77777777" w:rsidR="008C558C" w:rsidRPr="008C558C" w:rsidRDefault="00B84B75"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14:paraId="3BEC90CF" w14:textId="2F121FFB" w:rsidR="008C4E73" w:rsidRPr="008C4E73" w:rsidRDefault="008C4E73" w:rsidP="008E21B2">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本基金不提供任何保证。投资者可能损失本金。投资有风险，投资者购买基金时应认真阅读本基金的《招募说明书》等销售文件。</w:t>
      </w:r>
    </w:p>
    <w:p w14:paraId="21A3B31B" w14:textId="3A796394" w:rsidR="008C4E73" w:rsidRDefault="008C4E73">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本基金的风险包括:市场风险、管理风险、流动性风险、特有风险、操作或技术风险、合规性风险</w:t>
      </w:r>
      <w:r>
        <w:rPr>
          <w:rFonts w:ascii="宋体" w:eastAsia="宋体" w:hAnsi="宋体" w:cs="方正仿宋简体" w:hint="eastAsia"/>
          <w:iCs/>
          <w:szCs w:val="21"/>
        </w:rPr>
        <w:t>、</w:t>
      </w:r>
      <w:r w:rsidRPr="008C4E73">
        <w:rPr>
          <w:rFonts w:ascii="宋体" w:eastAsia="宋体" w:hAnsi="宋体" w:cs="方正仿宋简体" w:hint="eastAsia"/>
          <w:iCs/>
          <w:szCs w:val="21"/>
        </w:rPr>
        <w:t>本基金法律文件风险收益特征表述与销售机构基金风险评价可能不一致的风险及其他风险。其中特有风险包括：</w:t>
      </w:r>
    </w:p>
    <w:p w14:paraId="7D35CD2A" w14:textId="2A27D8B5" w:rsidR="000170A6" w:rsidRPr="000170A6" w:rsidRDefault="008C4E73" w:rsidP="008C4E73">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（1）</w:t>
      </w:r>
      <w:r w:rsidR="000170A6" w:rsidRPr="000170A6">
        <w:rPr>
          <w:rFonts w:ascii="宋体" w:eastAsia="宋体" w:hAnsi="宋体" w:cs="方正仿宋简体" w:hint="eastAsia"/>
          <w:iCs/>
          <w:szCs w:val="21"/>
        </w:rPr>
        <w:t>本基金为债券型基金，本基金对债券资产的投资比例不低于基金资产的80%。本基金需要承担由于市场利率波动造成的利率风险以及信用债的发债主体信用恶化造成的信用风险。</w:t>
      </w:r>
    </w:p>
    <w:p w14:paraId="588B62FE" w14:textId="7C89E6BD" w:rsidR="00F45A6D" w:rsidRDefault="000170A6" w:rsidP="00F45A6D">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（2）</w:t>
      </w:r>
      <w:r w:rsidR="00560DA9" w:rsidRPr="004F3009">
        <w:rPr>
          <w:rFonts w:ascii="宋体" w:eastAsia="宋体" w:hAnsi="宋体" w:cs="方正仿宋简体" w:hint="eastAsia"/>
          <w:iCs/>
          <w:szCs w:val="21"/>
        </w:rPr>
        <w:t>本基金可投资</w:t>
      </w:r>
      <w:r w:rsidR="00560DA9">
        <w:rPr>
          <w:rFonts w:ascii="宋体" w:eastAsia="宋体" w:hAnsi="宋体" w:cs="方正仿宋简体" w:hint="eastAsia"/>
          <w:iCs/>
          <w:szCs w:val="21"/>
        </w:rPr>
        <w:t>国债期货、资产支持证券</w:t>
      </w:r>
      <w:r w:rsidR="00AA41BA">
        <w:rPr>
          <w:rFonts w:ascii="宋体" w:eastAsia="宋体" w:hAnsi="宋体" w:cs="方正仿宋简体" w:hint="eastAsia"/>
          <w:iCs/>
          <w:szCs w:val="21"/>
        </w:rPr>
        <w:t>、</w:t>
      </w:r>
      <w:r w:rsidR="00AA41BA" w:rsidRPr="00AA41BA">
        <w:rPr>
          <w:rFonts w:ascii="宋体" w:eastAsia="宋体" w:hAnsi="宋体" w:cs="方正仿宋简体" w:hint="eastAsia"/>
          <w:bCs/>
          <w:iCs/>
          <w:szCs w:val="21"/>
        </w:rPr>
        <w:t>流通受限证券</w:t>
      </w:r>
      <w:r w:rsidR="007B3FED">
        <w:rPr>
          <w:rFonts w:ascii="宋体" w:eastAsia="宋体" w:hAnsi="宋体" w:cs="方正仿宋简体" w:hint="eastAsia"/>
          <w:bCs/>
          <w:iCs/>
          <w:szCs w:val="21"/>
        </w:rPr>
        <w:t>、可交换</w:t>
      </w:r>
      <w:r w:rsidR="007B3FED" w:rsidRPr="007B3FED">
        <w:rPr>
          <w:rFonts w:ascii="宋体" w:eastAsia="宋体" w:hAnsi="宋体" w:cs="方正仿宋简体" w:hint="eastAsia"/>
          <w:bCs/>
          <w:iCs/>
          <w:szCs w:val="21"/>
        </w:rPr>
        <w:t>债</w:t>
      </w:r>
      <w:r w:rsidR="007B3FED">
        <w:rPr>
          <w:rFonts w:ascii="宋体" w:eastAsia="宋体" w:hAnsi="宋体" w:cs="方正仿宋简体" w:hint="eastAsia"/>
          <w:bCs/>
          <w:iCs/>
          <w:szCs w:val="21"/>
        </w:rPr>
        <w:t>券及可转换</w:t>
      </w:r>
      <w:r w:rsidR="007B3FED" w:rsidRPr="007B3FED">
        <w:rPr>
          <w:rFonts w:ascii="宋体" w:eastAsia="宋体" w:hAnsi="宋体" w:cs="方正仿宋简体" w:hint="eastAsia"/>
          <w:bCs/>
          <w:iCs/>
          <w:szCs w:val="21"/>
        </w:rPr>
        <w:t>债</w:t>
      </w:r>
      <w:r w:rsidR="007B3FED">
        <w:rPr>
          <w:rFonts w:ascii="宋体" w:eastAsia="宋体" w:hAnsi="宋体" w:cs="方正仿宋简体" w:hint="eastAsia"/>
          <w:bCs/>
          <w:iCs/>
          <w:szCs w:val="21"/>
        </w:rPr>
        <w:t>券</w:t>
      </w:r>
      <w:r w:rsidR="00560DA9" w:rsidRPr="004F3009">
        <w:rPr>
          <w:rFonts w:ascii="宋体" w:eastAsia="宋体" w:hAnsi="宋体" w:cs="方正仿宋简体" w:hint="eastAsia"/>
          <w:iCs/>
          <w:szCs w:val="21"/>
        </w:rPr>
        <w:t>，因此本基金将面临投资上述投资标的的风险。</w:t>
      </w:r>
    </w:p>
    <w:p w14:paraId="2AB11763" w14:textId="159282B5" w:rsidR="007B3FED" w:rsidRPr="007B1773" w:rsidRDefault="007B1773" w:rsidP="007B3FED">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（3）</w:t>
      </w:r>
      <w:r w:rsidRPr="007B1773">
        <w:rPr>
          <w:rFonts w:ascii="宋体" w:eastAsia="宋体" w:hAnsi="宋体" w:cs="方正仿宋简体" w:hint="eastAsia"/>
          <w:iCs/>
          <w:szCs w:val="21"/>
        </w:rPr>
        <w:t>由于本基金特殊运作方式的安排，投资者的</w:t>
      </w:r>
      <w:r w:rsidR="00187440" w:rsidRPr="00187440">
        <w:rPr>
          <w:rFonts w:ascii="宋体" w:eastAsia="宋体" w:hAnsi="宋体" w:cs="方正仿宋简体" w:hint="eastAsia"/>
          <w:iCs/>
          <w:szCs w:val="21"/>
        </w:rPr>
        <w:t>每份基金份额设置三个月的最短持有期，在最短持有期内基金份额持有人不能提出赎回申请，最短持有期届满后方可提出赎回申请。</w:t>
      </w:r>
      <w:r>
        <w:rPr>
          <w:rFonts w:ascii="宋体" w:eastAsia="宋体" w:hAnsi="宋体" w:cs="方正仿宋简体" w:hint="eastAsia"/>
          <w:iCs/>
          <w:szCs w:val="21"/>
        </w:rPr>
        <w:t>因此本基金</w:t>
      </w:r>
      <w:r w:rsidR="007E7588">
        <w:rPr>
          <w:rFonts w:ascii="宋体" w:eastAsia="宋体" w:hAnsi="宋体" w:cs="方正仿宋简体" w:hint="eastAsia"/>
          <w:iCs/>
          <w:szCs w:val="21"/>
        </w:rPr>
        <w:t>投资者</w:t>
      </w:r>
      <w:r>
        <w:rPr>
          <w:rFonts w:ascii="宋体" w:eastAsia="宋体" w:hAnsi="宋体" w:cs="方正仿宋简体" w:hint="eastAsia"/>
          <w:iCs/>
          <w:szCs w:val="21"/>
        </w:rPr>
        <w:t>将面临</w:t>
      </w:r>
      <w:r w:rsidRPr="007B1773">
        <w:rPr>
          <w:rFonts w:ascii="宋体" w:eastAsia="宋体" w:hAnsi="宋体" w:cs="方正仿宋简体" w:hint="eastAsia"/>
          <w:iCs/>
          <w:szCs w:val="21"/>
        </w:rPr>
        <w:t>在</w:t>
      </w:r>
      <w:r w:rsidR="00187440" w:rsidRPr="00187440">
        <w:rPr>
          <w:rFonts w:ascii="宋体" w:eastAsia="宋体" w:hAnsi="宋体" w:cs="方正仿宋简体" w:hint="eastAsia"/>
          <w:iCs/>
          <w:szCs w:val="21"/>
        </w:rPr>
        <w:t>最短持有期到期日</w:t>
      </w:r>
      <w:r w:rsidRPr="007B1773">
        <w:rPr>
          <w:rFonts w:ascii="宋体" w:eastAsia="宋体" w:hAnsi="宋体" w:cs="方正仿宋简体" w:hint="eastAsia"/>
          <w:iCs/>
          <w:szCs w:val="21"/>
        </w:rPr>
        <w:t>前无法赎回的风险</w:t>
      </w:r>
      <w:r>
        <w:rPr>
          <w:rFonts w:ascii="宋体" w:eastAsia="宋体" w:hAnsi="宋体" w:cs="方正仿宋简体" w:hint="eastAsia"/>
          <w:iCs/>
          <w:szCs w:val="21"/>
        </w:rPr>
        <w:t>、</w:t>
      </w:r>
      <w:r w:rsidR="007E7588">
        <w:rPr>
          <w:rFonts w:ascii="宋体" w:eastAsia="宋体" w:hAnsi="宋体" w:cs="方正仿宋简体" w:hint="eastAsia"/>
          <w:iCs/>
          <w:szCs w:val="21"/>
        </w:rPr>
        <w:t>集中赎回的流动性风险。</w:t>
      </w:r>
    </w:p>
    <w:p w14:paraId="0AC93175" w14:textId="77777777" w:rsidR="005468DA" w:rsidRPr="005468DA" w:rsidRDefault="00B84B75"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14:paraId="637B08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中国证监会对本基金募集的注册，并不表明其对本基金的价值和收益作出实质性判断或保证，也不表明投资于本基金没有风险。</w:t>
      </w:r>
    </w:p>
    <w:p w14:paraId="01F4B848"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基金管理人依照恪尽职守、诚实信用、谨慎勤勉的原则管理和运用基金财产，但不保证基金一定盈利，也不保证最低收益。</w:t>
      </w:r>
    </w:p>
    <w:p w14:paraId="244E5C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基金投资者自依基金合同取得基金份额，即成为基金份额持有人和基金合同的当事人。</w:t>
      </w:r>
    </w:p>
    <w:p w14:paraId="6D320E46" w14:textId="1841DBCD" w:rsidR="00834E25" w:rsidRDefault="00B84B75" w:rsidP="00303C5F">
      <w:pPr>
        <w:spacing w:line="360" w:lineRule="auto"/>
        <w:ind w:firstLineChars="200" w:firstLine="420"/>
        <w:jc w:val="left"/>
        <w:rPr>
          <w:rFonts w:ascii="宋体" w:eastAsia="宋体" w:hAnsi="宋体" w:cs="方正仿宋简体"/>
          <w:iCs/>
          <w:szCs w:val="21"/>
        </w:rPr>
      </w:pPr>
      <w:r w:rsidRPr="00322C15">
        <w:rPr>
          <w:rFonts w:ascii="宋体" w:eastAsia="宋体" w:hAnsi="宋体" w:cs="方正仿宋简体" w:hint="eastAsia"/>
          <w:iCs/>
          <w:szCs w:val="21"/>
        </w:rPr>
        <w:t>本基金的争议解决处理方式为仲裁。具体仲裁机构和仲裁地点详见基金合同的具体约定。</w:t>
      </w:r>
    </w:p>
    <w:p w14:paraId="42CA6A8D" w14:textId="05D3AFAD" w:rsidR="00986A75" w:rsidRDefault="00160E27" w:rsidP="00160E27">
      <w:pPr>
        <w:spacing w:line="360" w:lineRule="auto"/>
        <w:ind w:firstLineChars="200" w:firstLine="420"/>
        <w:jc w:val="left"/>
        <w:rPr>
          <w:rFonts w:ascii="宋体" w:eastAsia="宋体" w:hAnsi="宋体" w:cs="方正仿宋简体"/>
          <w:iCs/>
          <w:szCs w:val="21"/>
        </w:rPr>
      </w:pPr>
      <w:r>
        <w:rPr>
          <w:rFonts w:ascii="宋体" w:eastAsia="宋体" w:hAnsi="宋体" w:cs="方正仿宋简体"/>
          <w:iCs/>
          <w:szCs w:val="21"/>
        </w:rPr>
        <w:t>基金产品资料概要信息发生重大变更的</w:t>
      </w:r>
      <w:r>
        <w:rPr>
          <w:rFonts w:ascii="宋体" w:eastAsia="宋体" w:hAnsi="宋体" w:cs="方正仿宋简体" w:hint="eastAsia"/>
          <w:iCs/>
          <w:szCs w:val="21"/>
        </w:rPr>
        <w:t>，</w:t>
      </w:r>
      <w:r>
        <w:rPr>
          <w:rFonts w:ascii="宋体" w:eastAsia="宋体" w:hAnsi="宋体" w:cs="方正仿宋简体"/>
          <w:iCs/>
          <w:szCs w:val="21"/>
        </w:rPr>
        <w:t>基金管理人将在三个工作日内更新</w:t>
      </w:r>
      <w:r>
        <w:rPr>
          <w:rFonts w:ascii="宋体" w:eastAsia="宋体" w:hAnsi="宋体" w:cs="方正仿宋简体" w:hint="eastAsia"/>
          <w:iCs/>
          <w:szCs w:val="21"/>
        </w:rPr>
        <w:t>，</w:t>
      </w:r>
      <w:r>
        <w:rPr>
          <w:rFonts w:ascii="宋体" w:eastAsia="宋体" w:hAnsi="宋体" w:cs="方正仿宋简体"/>
          <w:iCs/>
          <w:szCs w:val="21"/>
        </w:rPr>
        <w:t>其他信息发生变更的</w:t>
      </w:r>
      <w:r>
        <w:rPr>
          <w:rFonts w:ascii="宋体" w:eastAsia="宋体" w:hAnsi="宋体" w:cs="方正仿宋简体" w:hint="eastAsia"/>
          <w:iCs/>
          <w:szCs w:val="21"/>
        </w:rPr>
        <w:t>，</w:t>
      </w:r>
      <w:r>
        <w:rPr>
          <w:rFonts w:ascii="宋体" w:eastAsia="宋体" w:hAnsi="宋体" w:cs="方正仿宋简体"/>
          <w:iCs/>
          <w:szCs w:val="21"/>
        </w:rPr>
        <w:t>基金管理人每年更新一次</w:t>
      </w:r>
      <w:r>
        <w:rPr>
          <w:rFonts w:ascii="宋体" w:eastAsia="宋体" w:hAnsi="宋体" w:cs="方正仿宋简体" w:hint="eastAsia"/>
          <w:iCs/>
          <w:szCs w:val="21"/>
        </w:rPr>
        <w:t>。</w:t>
      </w:r>
      <w:r>
        <w:rPr>
          <w:rFonts w:ascii="宋体" w:eastAsia="宋体" w:hAnsi="宋体" w:cs="方正仿宋简体"/>
          <w:iCs/>
          <w:szCs w:val="21"/>
        </w:rPr>
        <w:t>因此</w:t>
      </w:r>
      <w:r>
        <w:rPr>
          <w:rFonts w:ascii="宋体" w:eastAsia="宋体" w:hAnsi="宋体" w:cs="方正仿宋简体" w:hint="eastAsia"/>
          <w:iCs/>
          <w:szCs w:val="21"/>
        </w:rPr>
        <w:t>，</w:t>
      </w:r>
      <w:r>
        <w:rPr>
          <w:rFonts w:ascii="宋体" w:eastAsia="宋体" w:hAnsi="宋体" w:cs="方正仿宋简体"/>
          <w:iCs/>
          <w:szCs w:val="21"/>
        </w:rPr>
        <w:t>本文件内容相比基金的实际情况可能存在一定的滞后</w:t>
      </w:r>
      <w:r>
        <w:rPr>
          <w:rFonts w:ascii="宋体" w:eastAsia="宋体" w:hAnsi="宋体" w:cs="方正仿宋简体" w:hint="eastAsia"/>
          <w:iCs/>
          <w:szCs w:val="21"/>
        </w:rPr>
        <w:t>，</w:t>
      </w:r>
      <w:r>
        <w:rPr>
          <w:rFonts w:ascii="宋体" w:eastAsia="宋体" w:hAnsi="宋体" w:cs="方正仿宋简体"/>
          <w:iCs/>
          <w:szCs w:val="21"/>
        </w:rPr>
        <w:t>如需及时</w:t>
      </w:r>
      <w:r>
        <w:rPr>
          <w:rFonts w:ascii="宋体" w:eastAsia="宋体" w:hAnsi="宋体" w:cs="方正仿宋简体" w:hint="eastAsia"/>
          <w:iCs/>
          <w:szCs w:val="21"/>
        </w:rPr>
        <w:t>、</w:t>
      </w:r>
      <w:r>
        <w:rPr>
          <w:rFonts w:ascii="宋体" w:eastAsia="宋体" w:hAnsi="宋体" w:cs="方正仿宋简体"/>
          <w:iCs/>
          <w:szCs w:val="21"/>
        </w:rPr>
        <w:t>准确获取基金的相关信息</w:t>
      </w:r>
      <w:r>
        <w:rPr>
          <w:rFonts w:ascii="宋体" w:eastAsia="宋体" w:hAnsi="宋体" w:cs="方正仿宋简体" w:hint="eastAsia"/>
          <w:iCs/>
          <w:szCs w:val="21"/>
        </w:rPr>
        <w:t>，</w:t>
      </w:r>
      <w:r>
        <w:rPr>
          <w:rFonts w:ascii="宋体" w:eastAsia="宋体" w:hAnsi="宋体" w:cs="方正仿宋简体"/>
          <w:iCs/>
          <w:szCs w:val="21"/>
        </w:rPr>
        <w:t>敬请同时关注基金管理人发布的相关临时公告等</w:t>
      </w:r>
      <w:r>
        <w:rPr>
          <w:rFonts w:ascii="宋体" w:eastAsia="宋体" w:hAnsi="宋体" w:cs="方正仿宋简体" w:hint="eastAsia"/>
          <w:iCs/>
          <w:szCs w:val="21"/>
        </w:rPr>
        <w:t>。</w:t>
      </w:r>
    </w:p>
    <w:p w14:paraId="333EA17A" w14:textId="4CB35C27" w:rsidR="00CD4F9C" w:rsidRPr="00322C15" w:rsidRDefault="001C2D0F" w:rsidP="00303C5F">
      <w:pPr>
        <w:spacing w:line="360" w:lineRule="auto"/>
        <w:ind w:firstLineChars="200" w:firstLine="420"/>
        <w:jc w:val="left"/>
        <w:rPr>
          <w:rFonts w:ascii="宋体" w:eastAsia="宋体" w:hAnsi="宋体" w:cs="方正仿宋简体"/>
          <w:iCs/>
          <w:szCs w:val="21"/>
        </w:rPr>
        <w:sectPr w:rsidR="00CD4F9C" w:rsidRPr="00322C15" w:rsidSect="00D941F9">
          <w:type w:val="continuous"/>
          <w:pgSz w:w="12240" w:h="15840"/>
          <w:pgMar w:top="1440" w:right="1800" w:bottom="1440" w:left="1800" w:header="720" w:footer="720" w:gutter="0"/>
          <w:cols w:space="720"/>
        </w:sectPr>
      </w:pPr>
      <w:r w:rsidRPr="001C2D0F">
        <w:rPr>
          <w:rFonts w:ascii="宋体" w:eastAsia="宋体" w:hAnsi="宋体" w:cs="方正仿宋简体" w:hint="eastAsia"/>
          <w:iCs/>
          <w:szCs w:val="21"/>
        </w:rPr>
        <w:lastRenderedPageBreak/>
        <w:t>本基金暂不向金融机构自营账户销售，如未来本基金开放向金融机构自营账户公开销售或对销售对象的范围予以进一步限定，基金管理人将另行公告。</w:t>
      </w:r>
    </w:p>
    <w:p w14:paraId="345A7690" w14:textId="77777777" w:rsidR="00575F21" w:rsidRPr="00575F21" w:rsidRDefault="00B84B75"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14:paraId="0D8331C8"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 电话：400-888-9918</w:t>
      </w:r>
    </w:p>
    <w:p w14:paraId="7D19735C"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546B88FB"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3C72E910"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1F63E986"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570283EF" w14:textId="77777777" w:rsidR="00834E25" w:rsidRPr="00575F21" w:rsidRDefault="00B84B75" w:rsidP="00575F21">
      <w:pPr>
        <w:spacing w:line="360" w:lineRule="auto"/>
        <w:ind w:firstLineChars="200" w:firstLine="420"/>
        <w:rPr>
          <w:rFonts w:ascii="宋体" w:eastAsia="宋体" w:hAnsi="宋体" w:cs="方正仿宋简体"/>
          <w:iCs/>
          <w:szCs w:val="21"/>
        </w:rPr>
        <w:sectPr w:rsidR="00834E25" w:rsidRPr="00575F21" w:rsidSect="00D941F9">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168C41E4" w14:textId="77777777" w:rsidR="00834E25" w:rsidRDefault="00B84B7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1DC8880B" w14:textId="17E3171E" w:rsidR="00C723AC" w:rsidRPr="00C723AC" w:rsidRDefault="001C2D0F" w:rsidP="00C723AC">
      <w:pPr>
        <w:spacing w:line="360" w:lineRule="auto"/>
        <w:ind w:firstLineChars="200" w:firstLine="420"/>
        <w:rPr>
          <w:rFonts w:ascii="宋体" w:eastAsia="宋体" w:hAnsi="宋体" w:cs="方正仿宋简体"/>
          <w:iCs/>
          <w:szCs w:val="21"/>
        </w:rPr>
      </w:pPr>
      <w:r w:rsidRPr="001C2D0F">
        <w:rPr>
          <w:rFonts w:hint="eastAsia"/>
        </w:rPr>
        <w:t>本次基金产品资料概要更新主要涉及本基金增设</w:t>
      </w:r>
      <w:r w:rsidRPr="001C2D0F">
        <w:rPr>
          <w:rFonts w:hint="eastAsia"/>
        </w:rPr>
        <w:t>B</w:t>
      </w:r>
      <w:r w:rsidRPr="001C2D0F">
        <w:rPr>
          <w:rFonts w:hint="eastAsia"/>
        </w:rPr>
        <w:t>类基金份额、销售对象的调整。</w:t>
      </w:r>
    </w:p>
    <w:sectPr w:rsidR="00C723AC" w:rsidRPr="00C723AC" w:rsidSect="00D941F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4742" w14:textId="77777777" w:rsidR="008A0043" w:rsidRDefault="008A0043" w:rsidP="00D02B49">
      <w:r>
        <w:separator/>
      </w:r>
    </w:p>
  </w:endnote>
  <w:endnote w:type="continuationSeparator" w:id="0">
    <w:p w14:paraId="381906E3" w14:textId="77777777" w:rsidR="008A0043" w:rsidRDefault="008A0043" w:rsidP="00D0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F403" w14:textId="77777777" w:rsidR="008A0043" w:rsidRDefault="008A0043" w:rsidP="00D02B49">
      <w:r>
        <w:separator/>
      </w:r>
    </w:p>
  </w:footnote>
  <w:footnote w:type="continuationSeparator" w:id="0">
    <w:p w14:paraId="07827E76" w14:textId="77777777" w:rsidR="008A0043" w:rsidRDefault="008A0043" w:rsidP="00D0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5DA88656">
      <w:start w:val="1"/>
      <w:numFmt w:val="japaneseCounting"/>
      <w:lvlText w:val="%1、"/>
      <w:lvlJc w:val="left"/>
      <w:pPr>
        <w:ind w:left="450" w:hanging="450"/>
      </w:pPr>
      <w:rPr>
        <w:rFonts w:hint="default"/>
      </w:rPr>
    </w:lvl>
    <w:lvl w:ilvl="1" w:tplc="17EAE20A" w:tentative="1">
      <w:start w:val="1"/>
      <w:numFmt w:val="lowerLetter"/>
      <w:lvlText w:val="%2)"/>
      <w:lvlJc w:val="left"/>
      <w:pPr>
        <w:ind w:left="840" w:hanging="420"/>
      </w:pPr>
    </w:lvl>
    <w:lvl w:ilvl="2" w:tplc="41A81B66" w:tentative="1">
      <w:start w:val="1"/>
      <w:numFmt w:val="lowerRoman"/>
      <w:lvlText w:val="%3."/>
      <w:lvlJc w:val="right"/>
      <w:pPr>
        <w:ind w:left="1260" w:hanging="420"/>
      </w:pPr>
    </w:lvl>
    <w:lvl w:ilvl="3" w:tplc="8A741CA6" w:tentative="1">
      <w:start w:val="1"/>
      <w:numFmt w:val="decimal"/>
      <w:lvlText w:val="%4."/>
      <w:lvlJc w:val="left"/>
      <w:pPr>
        <w:ind w:left="1680" w:hanging="420"/>
      </w:pPr>
    </w:lvl>
    <w:lvl w:ilvl="4" w:tplc="6C02E83E" w:tentative="1">
      <w:start w:val="1"/>
      <w:numFmt w:val="lowerLetter"/>
      <w:lvlText w:val="%5)"/>
      <w:lvlJc w:val="left"/>
      <w:pPr>
        <w:ind w:left="2100" w:hanging="420"/>
      </w:pPr>
    </w:lvl>
    <w:lvl w:ilvl="5" w:tplc="58EE2E22" w:tentative="1">
      <w:start w:val="1"/>
      <w:numFmt w:val="lowerRoman"/>
      <w:lvlText w:val="%6."/>
      <w:lvlJc w:val="right"/>
      <w:pPr>
        <w:ind w:left="2520" w:hanging="420"/>
      </w:pPr>
    </w:lvl>
    <w:lvl w:ilvl="6" w:tplc="3A6A5682" w:tentative="1">
      <w:start w:val="1"/>
      <w:numFmt w:val="decimal"/>
      <w:lvlText w:val="%7."/>
      <w:lvlJc w:val="left"/>
      <w:pPr>
        <w:ind w:left="2940" w:hanging="420"/>
      </w:pPr>
    </w:lvl>
    <w:lvl w:ilvl="7" w:tplc="2CC026EA" w:tentative="1">
      <w:start w:val="1"/>
      <w:numFmt w:val="lowerLetter"/>
      <w:lvlText w:val="%8)"/>
      <w:lvlJc w:val="left"/>
      <w:pPr>
        <w:ind w:left="3360" w:hanging="420"/>
      </w:pPr>
    </w:lvl>
    <w:lvl w:ilvl="8" w:tplc="20EC5674"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12628"/>
    <w:rsid w:val="00012692"/>
    <w:rsid w:val="000170A6"/>
    <w:rsid w:val="000249EC"/>
    <w:rsid w:val="00025EAC"/>
    <w:rsid w:val="00030B70"/>
    <w:rsid w:val="0003248B"/>
    <w:rsid w:val="000344CD"/>
    <w:rsid w:val="00036BDF"/>
    <w:rsid w:val="000A2FF5"/>
    <w:rsid w:val="000B02E7"/>
    <w:rsid w:val="000E2939"/>
    <w:rsid w:val="0010577D"/>
    <w:rsid w:val="0011430D"/>
    <w:rsid w:val="00124F47"/>
    <w:rsid w:val="00137C87"/>
    <w:rsid w:val="001443D9"/>
    <w:rsid w:val="00147922"/>
    <w:rsid w:val="0015491F"/>
    <w:rsid w:val="00160E27"/>
    <w:rsid w:val="001649B1"/>
    <w:rsid w:val="00187440"/>
    <w:rsid w:val="00196631"/>
    <w:rsid w:val="001A285A"/>
    <w:rsid w:val="001A71DF"/>
    <w:rsid w:val="001B0B3D"/>
    <w:rsid w:val="001C2AB0"/>
    <w:rsid w:val="001C2D0F"/>
    <w:rsid w:val="0020387E"/>
    <w:rsid w:val="002066FC"/>
    <w:rsid w:val="00213261"/>
    <w:rsid w:val="002145D4"/>
    <w:rsid w:val="0023286C"/>
    <w:rsid w:val="00233040"/>
    <w:rsid w:val="00233223"/>
    <w:rsid w:val="00235433"/>
    <w:rsid w:val="00261AA7"/>
    <w:rsid w:val="00263627"/>
    <w:rsid w:val="00285EA2"/>
    <w:rsid w:val="002A5B0A"/>
    <w:rsid w:val="002C54E8"/>
    <w:rsid w:val="002C5BAC"/>
    <w:rsid w:val="002E1321"/>
    <w:rsid w:val="002E61FB"/>
    <w:rsid w:val="00303C5F"/>
    <w:rsid w:val="0031372C"/>
    <w:rsid w:val="00316519"/>
    <w:rsid w:val="00322C15"/>
    <w:rsid w:val="0033013F"/>
    <w:rsid w:val="00331AA2"/>
    <w:rsid w:val="00340931"/>
    <w:rsid w:val="003614E0"/>
    <w:rsid w:val="00361D51"/>
    <w:rsid w:val="0036399C"/>
    <w:rsid w:val="003656E6"/>
    <w:rsid w:val="003A3A50"/>
    <w:rsid w:val="003E0F5A"/>
    <w:rsid w:val="003F2EB7"/>
    <w:rsid w:val="003F4FA7"/>
    <w:rsid w:val="004009A3"/>
    <w:rsid w:val="004051D1"/>
    <w:rsid w:val="004118E0"/>
    <w:rsid w:val="004216F7"/>
    <w:rsid w:val="004275D8"/>
    <w:rsid w:val="00430052"/>
    <w:rsid w:val="00434BA7"/>
    <w:rsid w:val="004465E9"/>
    <w:rsid w:val="00451A89"/>
    <w:rsid w:val="004614F2"/>
    <w:rsid w:val="00477861"/>
    <w:rsid w:val="004827B4"/>
    <w:rsid w:val="00485080"/>
    <w:rsid w:val="00486D7F"/>
    <w:rsid w:val="00487CE6"/>
    <w:rsid w:val="00497845"/>
    <w:rsid w:val="004A4B19"/>
    <w:rsid w:val="004B3317"/>
    <w:rsid w:val="004D0AF0"/>
    <w:rsid w:val="004D7826"/>
    <w:rsid w:val="004F0A6C"/>
    <w:rsid w:val="005030A7"/>
    <w:rsid w:val="00507DA4"/>
    <w:rsid w:val="0051032E"/>
    <w:rsid w:val="0051145B"/>
    <w:rsid w:val="005122BC"/>
    <w:rsid w:val="0052587D"/>
    <w:rsid w:val="005468DA"/>
    <w:rsid w:val="00560DA9"/>
    <w:rsid w:val="0056134E"/>
    <w:rsid w:val="00575F21"/>
    <w:rsid w:val="00587E0C"/>
    <w:rsid w:val="00594ECD"/>
    <w:rsid w:val="00596C6E"/>
    <w:rsid w:val="005A7548"/>
    <w:rsid w:val="005B6F20"/>
    <w:rsid w:val="005C170E"/>
    <w:rsid w:val="005C268A"/>
    <w:rsid w:val="005F50B6"/>
    <w:rsid w:val="006076B3"/>
    <w:rsid w:val="00623F23"/>
    <w:rsid w:val="0063081B"/>
    <w:rsid w:val="006323FB"/>
    <w:rsid w:val="00644DAF"/>
    <w:rsid w:val="00654675"/>
    <w:rsid w:val="00686BDA"/>
    <w:rsid w:val="0068784E"/>
    <w:rsid w:val="006A1ADE"/>
    <w:rsid w:val="006B19B6"/>
    <w:rsid w:val="006F3FFD"/>
    <w:rsid w:val="006F6BAE"/>
    <w:rsid w:val="00705323"/>
    <w:rsid w:val="00724EC9"/>
    <w:rsid w:val="007371E2"/>
    <w:rsid w:val="007418C8"/>
    <w:rsid w:val="0074720D"/>
    <w:rsid w:val="00754D21"/>
    <w:rsid w:val="0076339B"/>
    <w:rsid w:val="00763BEF"/>
    <w:rsid w:val="007B1773"/>
    <w:rsid w:val="007B3FED"/>
    <w:rsid w:val="007C0ACE"/>
    <w:rsid w:val="007D2996"/>
    <w:rsid w:val="007D3439"/>
    <w:rsid w:val="007E21A6"/>
    <w:rsid w:val="007E5E5D"/>
    <w:rsid w:val="007E61E1"/>
    <w:rsid w:val="007E7588"/>
    <w:rsid w:val="008103A3"/>
    <w:rsid w:val="00811832"/>
    <w:rsid w:val="00812848"/>
    <w:rsid w:val="00817760"/>
    <w:rsid w:val="00826091"/>
    <w:rsid w:val="00834E25"/>
    <w:rsid w:val="00834ED4"/>
    <w:rsid w:val="00837612"/>
    <w:rsid w:val="008466B3"/>
    <w:rsid w:val="00862CF7"/>
    <w:rsid w:val="00873CF6"/>
    <w:rsid w:val="00884031"/>
    <w:rsid w:val="00891B9F"/>
    <w:rsid w:val="008966A6"/>
    <w:rsid w:val="008A0043"/>
    <w:rsid w:val="008A0B11"/>
    <w:rsid w:val="008A31AD"/>
    <w:rsid w:val="008B19A8"/>
    <w:rsid w:val="008C4E73"/>
    <w:rsid w:val="008C558C"/>
    <w:rsid w:val="008C59BE"/>
    <w:rsid w:val="008E21B2"/>
    <w:rsid w:val="008F335F"/>
    <w:rsid w:val="008F7605"/>
    <w:rsid w:val="00935D73"/>
    <w:rsid w:val="00967146"/>
    <w:rsid w:val="00986A75"/>
    <w:rsid w:val="0099225F"/>
    <w:rsid w:val="00997031"/>
    <w:rsid w:val="009A5D5B"/>
    <w:rsid w:val="009B1EC9"/>
    <w:rsid w:val="009C672A"/>
    <w:rsid w:val="009D279B"/>
    <w:rsid w:val="009E0942"/>
    <w:rsid w:val="009E1D5A"/>
    <w:rsid w:val="009E421F"/>
    <w:rsid w:val="009F2F92"/>
    <w:rsid w:val="00A02F78"/>
    <w:rsid w:val="00A06AC1"/>
    <w:rsid w:val="00A1069D"/>
    <w:rsid w:val="00A144AA"/>
    <w:rsid w:val="00A17163"/>
    <w:rsid w:val="00A26860"/>
    <w:rsid w:val="00A33583"/>
    <w:rsid w:val="00A51013"/>
    <w:rsid w:val="00A55543"/>
    <w:rsid w:val="00A6110F"/>
    <w:rsid w:val="00A650AF"/>
    <w:rsid w:val="00A74A19"/>
    <w:rsid w:val="00A90F26"/>
    <w:rsid w:val="00AA0042"/>
    <w:rsid w:val="00AA41BA"/>
    <w:rsid w:val="00AA7B44"/>
    <w:rsid w:val="00AD3152"/>
    <w:rsid w:val="00AE0807"/>
    <w:rsid w:val="00AE0853"/>
    <w:rsid w:val="00AF19F0"/>
    <w:rsid w:val="00B10432"/>
    <w:rsid w:val="00B10AF3"/>
    <w:rsid w:val="00B16BAF"/>
    <w:rsid w:val="00B40A2C"/>
    <w:rsid w:val="00B62A45"/>
    <w:rsid w:val="00B62D08"/>
    <w:rsid w:val="00B632EC"/>
    <w:rsid w:val="00B64CCF"/>
    <w:rsid w:val="00B8214E"/>
    <w:rsid w:val="00B84B75"/>
    <w:rsid w:val="00BA28BA"/>
    <w:rsid w:val="00BA6B74"/>
    <w:rsid w:val="00BB0E6D"/>
    <w:rsid w:val="00BB185C"/>
    <w:rsid w:val="00BB2118"/>
    <w:rsid w:val="00BB47C4"/>
    <w:rsid w:val="00BE3B53"/>
    <w:rsid w:val="00C1636E"/>
    <w:rsid w:val="00C16B43"/>
    <w:rsid w:val="00C2264A"/>
    <w:rsid w:val="00C27017"/>
    <w:rsid w:val="00C32DFC"/>
    <w:rsid w:val="00C52946"/>
    <w:rsid w:val="00C57E5F"/>
    <w:rsid w:val="00C63191"/>
    <w:rsid w:val="00C7111E"/>
    <w:rsid w:val="00C723AC"/>
    <w:rsid w:val="00C74E65"/>
    <w:rsid w:val="00C77E36"/>
    <w:rsid w:val="00C8239E"/>
    <w:rsid w:val="00C92AD6"/>
    <w:rsid w:val="00CA4833"/>
    <w:rsid w:val="00CB115B"/>
    <w:rsid w:val="00CB213E"/>
    <w:rsid w:val="00CC3C3F"/>
    <w:rsid w:val="00CD4F9C"/>
    <w:rsid w:val="00CE6788"/>
    <w:rsid w:val="00CF3993"/>
    <w:rsid w:val="00D02B49"/>
    <w:rsid w:val="00D03A74"/>
    <w:rsid w:val="00D142C9"/>
    <w:rsid w:val="00D206A5"/>
    <w:rsid w:val="00D32707"/>
    <w:rsid w:val="00D3493A"/>
    <w:rsid w:val="00D436AC"/>
    <w:rsid w:val="00D43D51"/>
    <w:rsid w:val="00D53CF9"/>
    <w:rsid w:val="00D628DE"/>
    <w:rsid w:val="00D73B7B"/>
    <w:rsid w:val="00D76FFC"/>
    <w:rsid w:val="00D775F8"/>
    <w:rsid w:val="00D930E8"/>
    <w:rsid w:val="00D941F9"/>
    <w:rsid w:val="00DA3624"/>
    <w:rsid w:val="00DA3E8D"/>
    <w:rsid w:val="00DA51BC"/>
    <w:rsid w:val="00DB4AC3"/>
    <w:rsid w:val="00DE1B20"/>
    <w:rsid w:val="00DE7DDB"/>
    <w:rsid w:val="00DF350E"/>
    <w:rsid w:val="00DF6E25"/>
    <w:rsid w:val="00E01551"/>
    <w:rsid w:val="00E0186D"/>
    <w:rsid w:val="00E01FCB"/>
    <w:rsid w:val="00E14747"/>
    <w:rsid w:val="00E163F7"/>
    <w:rsid w:val="00E2656A"/>
    <w:rsid w:val="00E27253"/>
    <w:rsid w:val="00E4309B"/>
    <w:rsid w:val="00E57796"/>
    <w:rsid w:val="00E9738D"/>
    <w:rsid w:val="00EA2C49"/>
    <w:rsid w:val="00EB389E"/>
    <w:rsid w:val="00EB4244"/>
    <w:rsid w:val="00EE2C3C"/>
    <w:rsid w:val="00EE4047"/>
    <w:rsid w:val="00EF3F1C"/>
    <w:rsid w:val="00F03868"/>
    <w:rsid w:val="00F04BA6"/>
    <w:rsid w:val="00F12C21"/>
    <w:rsid w:val="00F201AA"/>
    <w:rsid w:val="00F3556F"/>
    <w:rsid w:val="00F36247"/>
    <w:rsid w:val="00F4086C"/>
    <w:rsid w:val="00F45A6D"/>
    <w:rsid w:val="00F768CB"/>
    <w:rsid w:val="00F9415E"/>
    <w:rsid w:val="00F95E07"/>
    <w:rsid w:val="00FA5C31"/>
    <w:rsid w:val="00FB3D11"/>
    <w:rsid w:val="00FD0DC7"/>
    <w:rsid w:val="00FE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DAFC"/>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header"/>
    <w:basedOn w:val="a"/>
    <w:link w:val="Char"/>
    <w:uiPriority w:val="99"/>
    <w:unhideWhenUsed/>
    <w:rsid w:val="00D02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2B49"/>
    <w:rPr>
      <w:sz w:val="18"/>
      <w:szCs w:val="18"/>
    </w:rPr>
  </w:style>
  <w:style w:type="paragraph" w:styleId="a5">
    <w:name w:val="footer"/>
    <w:basedOn w:val="a"/>
    <w:link w:val="Char0"/>
    <w:uiPriority w:val="99"/>
    <w:unhideWhenUsed/>
    <w:rsid w:val="00D02B49"/>
    <w:pPr>
      <w:tabs>
        <w:tab w:val="center" w:pos="4153"/>
        <w:tab w:val="right" w:pos="8306"/>
      </w:tabs>
      <w:snapToGrid w:val="0"/>
      <w:jc w:val="left"/>
    </w:pPr>
    <w:rPr>
      <w:sz w:val="18"/>
      <w:szCs w:val="18"/>
    </w:rPr>
  </w:style>
  <w:style w:type="character" w:customStyle="1" w:styleId="Char0">
    <w:name w:val="页脚 Char"/>
    <w:basedOn w:val="a0"/>
    <w:link w:val="a5"/>
    <w:uiPriority w:val="99"/>
    <w:rsid w:val="00D02B49"/>
    <w:rPr>
      <w:sz w:val="18"/>
      <w:szCs w:val="18"/>
    </w:rPr>
  </w:style>
  <w:style w:type="character" w:styleId="a6">
    <w:name w:val="annotation reference"/>
    <w:basedOn w:val="a0"/>
    <w:uiPriority w:val="99"/>
    <w:semiHidden/>
    <w:unhideWhenUsed/>
    <w:rsid w:val="00DF350E"/>
    <w:rPr>
      <w:sz w:val="21"/>
      <w:szCs w:val="21"/>
    </w:rPr>
  </w:style>
  <w:style w:type="paragraph" w:styleId="a7">
    <w:name w:val="annotation text"/>
    <w:basedOn w:val="a"/>
    <w:link w:val="Char1"/>
    <w:uiPriority w:val="99"/>
    <w:semiHidden/>
    <w:unhideWhenUsed/>
    <w:rsid w:val="00DF350E"/>
    <w:pPr>
      <w:jc w:val="left"/>
    </w:pPr>
  </w:style>
  <w:style w:type="character" w:customStyle="1" w:styleId="Char1">
    <w:name w:val="批注文字 Char"/>
    <w:basedOn w:val="a0"/>
    <w:link w:val="a7"/>
    <w:uiPriority w:val="99"/>
    <w:semiHidden/>
    <w:rsid w:val="00DF350E"/>
  </w:style>
  <w:style w:type="paragraph" w:styleId="a8">
    <w:name w:val="annotation subject"/>
    <w:basedOn w:val="a7"/>
    <w:next w:val="a7"/>
    <w:link w:val="Char2"/>
    <w:uiPriority w:val="99"/>
    <w:semiHidden/>
    <w:unhideWhenUsed/>
    <w:rsid w:val="00DF350E"/>
    <w:rPr>
      <w:b/>
      <w:bCs/>
    </w:rPr>
  </w:style>
  <w:style w:type="character" w:customStyle="1" w:styleId="Char2">
    <w:name w:val="批注主题 Char"/>
    <w:basedOn w:val="Char1"/>
    <w:link w:val="a8"/>
    <w:uiPriority w:val="99"/>
    <w:semiHidden/>
    <w:rsid w:val="00DF350E"/>
    <w:rPr>
      <w:b/>
      <w:bCs/>
    </w:rPr>
  </w:style>
  <w:style w:type="paragraph" w:styleId="a9">
    <w:name w:val="Balloon Text"/>
    <w:basedOn w:val="a"/>
    <w:link w:val="Char3"/>
    <w:uiPriority w:val="99"/>
    <w:semiHidden/>
    <w:unhideWhenUsed/>
    <w:rsid w:val="00DF350E"/>
    <w:rPr>
      <w:sz w:val="18"/>
      <w:szCs w:val="18"/>
    </w:rPr>
  </w:style>
  <w:style w:type="character" w:customStyle="1" w:styleId="Char3">
    <w:name w:val="批注框文本 Char"/>
    <w:basedOn w:val="a0"/>
    <w:link w:val="a9"/>
    <w:uiPriority w:val="99"/>
    <w:semiHidden/>
    <w:rsid w:val="00DF350E"/>
    <w:rPr>
      <w:sz w:val="18"/>
      <w:szCs w:val="18"/>
    </w:rPr>
  </w:style>
  <w:style w:type="paragraph" w:styleId="aa">
    <w:name w:val="Revision"/>
    <w:hidden/>
    <w:uiPriority w:val="99"/>
    <w:semiHidden/>
    <w:rsid w:val="00986A75"/>
  </w:style>
  <w:style w:type="table" w:styleId="ab">
    <w:name w:val="Table Grid"/>
    <w:basedOn w:val="a1"/>
    <w:uiPriority w:val="39"/>
    <w:rsid w:val="0048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57A1-F915-434D-ABF9-EF91D30B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演示人</dc:creator>
  <cp:lastModifiedBy>张璋</cp:lastModifiedBy>
  <cp:revision>7</cp:revision>
  <cp:lastPrinted>2022-05-07T11:00:00Z</cp:lastPrinted>
  <dcterms:created xsi:type="dcterms:W3CDTF">2023-01-04T02:42:00Z</dcterms:created>
  <dcterms:modified xsi:type="dcterms:W3CDTF">2023-01-05T01:25:00Z</dcterms:modified>
</cp:coreProperties>
</file>