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E2" w:rsidRPr="002066FC" w:rsidRDefault="00233B6D" w:rsidP="007371E2">
      <w:pPr>
        <w:spacing w:line="360" w:lineRule="auto"/>
        <w:jc w:val="center"/>
        <w:rPr>
          <w:rFonts w:asciiTheme="minorEastAsia" w:hAnsiTheme="minorEastAsia" w:cs="方正黑体简体"/>
          <w:b/>
          <w:iCs/>
          <w:sz w:val="28"/>
          <w:szCs w:val="28"/>
        </w:rPr>
      </w:pPr>
      <w:bookmarkStart w:id="0" w:name="_GoBack"/>
      <w:bookmarkEnd w:id="0"/>
      <w:r w:rsidRPr="002066FC">
        <w:rPr>
          <w:rFonts w:asciiTheme="minorEastAsia" w:hAnsiTheme="minorEastAsia" w:cs="方正黑体简体"/>
          <w:b/>
          <w:iCs/>
          <w:sz w:val="28"/>
          <w:szCs w:val="28"/>
        </w:rPr>
        <w:t>汇添富AAA级信用纯债债券型证券投资基金A类份额更新基金产品资料概要(</w:t>
      </w:r>
      <w:r w:rsidR="00144146" w:rsidRPr="002066FC">
        <w:rPr>
          <w:rFonts w:asciiTheme="minorEastAsia" w:hAnsiTheme="minorEastAsia" w:cs="方正黑体简体"/>
          <w:b/>
          <w:iCs/>
          <w:sz w:val="28"/>
          <w:szCs w:val="28"/>
        </w:rPr>
        <w:t>20</w:t>
      </w:r>
      <w:r w:rsidR="00144146">
        <w:rPr>
          <w:rFonts w:asciiTheme="minorEastAsia" w:hAnsiTheme="minorEastAsia" w:cs="方正黑体简体"/>
          <w:b/>
          <w:iCs/>
          <w:sz w:val="28"/>
          <w:szCs w:val="28"/>
        </w:rPr>
        <w:t>23</w:t>
      </w:r>
      <w:r w:rsidRPr="002066FC">
        <w:rPr>
          <w:rFonts w:asciiTheme="minorEastAsia" w:hAnsiTheme="minorEastAsia" w:cs="方正黑体简体"/>
          <w:b/>
          <w:iCs/>
          <w:sz w:val="28"/>
          <w:szCs w:val="28"/>
        </w:rPr>
        <w:t>年</w:t>
      </w:r>
      <w:r w:rsidR="00144146">
        <w:rPr>
          <w:rFonts w:asciiTheme="minorEastAsia" w:hAnsiTheme="minorEastAsia" w:cs="方正黑体简体"/>
          <w:b/>
          <w:iCs/>
          <w:sz w:val="28"/>
          <w:szCs w:val="28"/>
        </w:rPr>
        <w:t>1</w:t>
      </w:r>
      <w:r w:rsidRPr="002066FC">
        <w:rPr>
          <w:rFonts w:asciiTheme="minorEastAsia" w:hAnsiTheme="minorEastAsia" w:cs="方正黑体简体"/>
          <w:b/>
          <w:iCs/>
          <w:sz w:val="28"/>
          <w:szCs w:val="28"/>
        </w:rPr>
        <w:t>月</w:t>
      </w:r>
      <w:r w:rsidR="00144146">
        <w:rPr>
          <w:rFonts w:asciiTheme="minorEastAsia" w:hAnsiTheme="minorEastAsia" w:cs="方正黑体简体"/>
          <w:b/>
          <w:iCs/>
          <w:sz w:val="28"/>
          <w:szCs w:val="28"/>
        </w:rPr>
        <w:t>6</w:t>
      </w:r>
      <w:r w:rsidRPr="002066FC">
        <w:rPr>
          <w:rFonts w:asciiTheme="minorEastAsia" w:hAnsiTheme="minorEastAsia" w:cs="方正黑体简体"/>
          <w:b/>
          <w:iCs/>
          <w:sz w:val="28"/>
          <w:szCs w:val="28"/>
        </w:rPr>
        <w:t>日更新)</w:t>
      </w:r>
    </w:p>
    <w:p w:rsidR="007371E2" w:rsidRPr="00D775F8" w:rsidRDefault="00233B6D"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00144146" w:rsidRPr="00D775F8">
        <w:rPr>
          <w:rFonts w:asciiTheme="minorEastAsia" w:hAnsiTheme="minorEastAsia" w:cs="Times New Roman"/>
          <w:szCs w:val="21"/>
        </w:rPr>
        <w:t>20</w:t>
      </w:r>
      <w:r w:rsidR="00144146">
        <w:rPr>
          <w:rFonts w:asciiTheme="minorEastAsia" w:hAnsiTheme="minorEastAsia" w:cs="Times New Roman"/>
          <w:szCs w:val="21"/>
        </w:rPr>
        <w:t>23</w:t>
      </w:r>
      <w:r w:rsidR="00144146" w:rsidRPr="00D775F8">
        <w:rPr>
          <w:rFonts w:asciiTheme="minorEastAsia" w:hAnsiTheme="minorEastAsia" w:cs="Times New Roman"/>
          <w:szCs w:val="21"/>
        </w:rPr>
        <w:t>年</w:t>
      </w:r>
      <w:r w:rsidR="00144146">
        <w:rPr>
          <w:rFonts w:asciiTheme="minorEastAsia" w:hAnsiTheme="minorEastAsia" w:cs="Times New Roman"/>
          <w:szCs w:val="21"/>
        </w:rPr>
        <w:t>1</w:t>
      </w:r>
      <w:r w:rsidRPr="00D775F8">
        <w:rPr>
          <w:rFonts w:asciiTheme="minorEastAsia" w:hAnsiTheme="minorEastAsia" w:cs="Times New Roman"/>
          <w:szCs w:val="21"/>
        </w:rPr>
        <w:t>月</w:t>
      </w:r>
      <w:r w:rsidR="00144146">
        <w:rPr>
          <w:rFonts w:asciiTheme="minorEastAsia" w:hAnsiTheme="minorEastAsia" w:cs="Times New Roman"/>
          <w:szCs w:val="21"/>
        </w:rPr>
        <w:t>5</w:t>
      </w:r>
      <w:r w:rsidRPr="00D775F8">
        <w:rPr>
          <w:rFonts w:asciiTheme="minorEastAsia" w:hAnsiTheme="minorEastAsia" w:cs="Times New Roman"/>
          <w:szCs w:val="21"/>
        </w:rPr>
        <w:t>日</w:t>
      </w:r>
    </w:p>
    <w:p w:rsidR="002066FC" w:rsidRPr="00D775F8" w:rsidRDefault="00233B6D" w:rsidP="0043717A">
      <w:pPr>
        <w:spacing w:line="360" w:lineRule="auto"/>
        <w:jc w:val="center"/>
        <w:rPr>
          <w:rFonts w:asciiTheme="minorEastAsia" w:hAnsiTheme="minorEastAsia" w:cs="方正仿宋简体"/>
          <w:iCs/>
          <w:szCs w:val="21"/>
        </w:rPr>
      </w:pPr>
      <w:r w:rsidRPr="00D775F8">
        <w:rPr>
          <w:rFonts w:asciiTheme="minorEastAsia" w:hAnsiTheme="minorEastAsia" w:cs="Times New Roman" w:hint="eastAsia"/>
          <w:bCs/>
          <w:szCs w:val="21"/>
        </w:rPr>
        <w:t>送出日期：</w:t>
      </w:r>
      <w:r w:rsidR="00144146" w:rsidRPr="00D775F8">
        <w:rPr>
          <w:rFonts w:asciiTheme="minorEastAsia" w:hAnsiTheme="minorEastAsia" w:cs="Times New Roman"/>
          <w:szCs w:val="21"/>
        </w:rPr>
        <w:t>20</w:t>
      </w:r>
      <w:r w:rsidR="00144146">
        <w:rPr>
          <w:rFonts w:asciiTheme="minorEastAsia" w:hAnsiTheme="minorEastAsia" w:cs="Times New Roman"/>
          <w:szCs w:val="21"/>
        </w:rPr>
        <w:t>23</w:t>
      </w:r>
      <w:r w:rsidRPr="00D775F8">
        <w:rPr>
          <w:rFonts w:asciiTheme="minorEastAsia" w:hAnsiTheme="minorEastAsia" w:cs="Times New Roman"/>
          <w:szCs w:val="21"/>
        </w:rPr>
        <w:t>年</w:t>
      </w:r>
      <w:r w:rsidR="00144146">
        <w:rPr>
          <w:rFonts w:asciiTheme="minorEastAsia" w:hAnsiTheme="minorEastAsia" w:cs="Times New Roman"/>
          <w:szCs w:val="21"/>
        </w:rPr>
        <w:t>1</w:t>
      </w:r>
      <w:r w:rsidRPr="00D775F8">
        <w:rPr>
          <w:rFonts w:asciiTheme="minorEastAsia" w:hAnsiTheme="minorEastAsia" w:cs="Times New Roman"/>
          <w:szCs w:val="21"/>
        </w:rPr>
        <w:t>月</w:t>
      </w:r>
      <w:r w:rsidR="00144146">
        <w:rPr>
          <w:rFonts w:asciiTheme="minorEastAsia" w:hAnsiTheme="minorEastAsia" w:cs="Times New Roman"/>
          <w:szCs w:val="21"/>
        </w:rPr>
        <w:t>6</w:t>
      </w:r>
      <w:r w:rsidRPr="00D775F8">
        <w:rPr>
          <w:rFonts w:asciiTheme="minorEastAsia" w:hAnsiTheme="minorEastAsia" w:cs="Times New Roman"/>
          <w:szCs w:val="21"/>
        </w:rPr>
        <w:t>日</w:t>
      </w:r>
      <w:r w:rsidRPr="00D775F8">
        <w:rPr>
          <w:rFonts w:asciiTheme="minorEastAsia" w:hAnsiTheme="minorEastAsia" w:cs="方正仿宋简体"/>
          <w:iCs/>
          <w:szCs w:val="21"/>
        </w:rPr>
        <w:t xml:space="preserve"> </w:t>
      </w:r>
    </w:p>
    <w:p w:rsidR="00D775F8" w:rsidRPr="0043717A" w:rsidRDefault="00233B6D"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RDefault="00233B6D" w:rsidP="00D775F8">
      <w:pPr>
        <w:spacing w:line="360" w:lineRule="auto"/>
        <w:jc w:val="center"/>
        <w:rPr>
          <w:rFonts w:asciiTheme="minorEastAsia" w:hAnsiTheme="minorEastAsia" w:cs="方正仿宋简体"/>
          <w:iCs/>
          <w:szCs w:val="21"/>
        </w:rPr>
        <w:sectPr w:rsidR="00D775F8" w:rsidRPr="0043717A"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作出投资决定前，请阅读完整的招募说明书等销售文件。</w:t>
      </w:r>
    </w:p>
    <w:p w:rsidR="00834E25" w:rsidRDefault="00233B6D" w:rsidP="00213261">
      <w:pPr>
        <w:pStyle w:val="a3"/>
        <w:numPr>
          <w:ilvl w:val="0"/>
          <w:numId w:val="1"/>
        </w:numPr>
        <w:spacing w:line="360" w:lineRule="auto"/>
        <w:ind w:left="449" w:hangingChars="213" w:hanging="449"/>
        <w:rPr>
          <w:rFonts w:ascii="宋体" w:eastAsia="宋体" w:hAnsi="宋体" w:cs="方正仿宋简体"/>
          <w:b/>
          <w:bCs/>
          <w:iCs/>
          <w:szCs w:val="21"/>
        </w:rPr>
      </w:pPr>
      <w:r w:rsidRPr="00213261">
        <w:rPr>
          <w:rFonts w:ascii="宋体" w:eastAsia="宋体" w:hAnsi="宋体" w:cs="方正仿宋简体" w:hint="eastAsia"/>
          <w:b/>
          <w:bCs/>
          <w:iCs/>
          <w:szCs w:val="21"/>
        </w:rPr>
        <w:lastRenderedPageBreak/>
        <w:t>产品概况</w:t>
      </w:r>
    </w:p>
    <w:p w:rsidR="00DF6E25" w:rsidRPr="0074720D" w:rsidRDefault="00DF6E25" w:rsidP="0074720D">
      <w:pPr>
        <w:rPr>
          <w:rFonts w:ascii="宋体" w:eastAsia="宋体" w:hAnsi="宋体" w:cs="方正仿宋简体"/>
          <w:bCs/>
          <w:i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206"/>
        <w:gridCol w:w="2013"/>
        <w:gridCol w:w="2399"/>
      </w:tblGrid>
      <w:tr w:rsidR="00CE7846">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基金简称</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添富AAA级信用纯债</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基金代码</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006884</w:t>
            </w:r>
          </w:p>
        </w:tc>
      </w:tr>
      <w:tr w:rsidR="00CE7846">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下属基金简称</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添富AAA级信用纯债A</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下属基金代码</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006884</w:t>
            </w:r>
          </w:p>
        </w:tc>
      </w:tr>
      <w:tr w:rsidR="00CE7846">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基金管理人</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汇添富基金管理股份有限公司</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基金托管人</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中国工商银行股份有限公司</w:t>
            </w:r>
          </w:p>
        </w:tc>
      </w:tr>
      <w:tr w:rsidR="00CE7846">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基金合同生效日</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2019年02月22日</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上市交易所</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w:t>
            </w:r>
          </w:p>
        </w:tc>
      </w:tr>
      <w:tr w:rsidR="00CE7846">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上市日期</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基金类型</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债券型</w:t>
            </w:r>
          </w:p>
        </w:tc>
      </w:tr>
      <w:tr w:rsidR="00CE7846">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交易币种</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人民币</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运作方式</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普通开放式</w:t>
            </w:r>
          </w:p>
        </w:tc>
      </w:tr>
      <w:tr w:rsidR="00CE7846">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开放频率</w:t>
            </w:r>
          </w:p>
        </w:tc>
        <w:tc>
          <w:tcPr>
            <w:tcW w:w="-5536" w:type="dxa"/>
            <w:gridSpan w:val="3"/>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每个开放日</w:t>
            </w:r>
          </w:p>
        </w:tc>
      </w:tr>
      <w:tr w:rsidR="00CE7846">
        <w:tc>
          <w:tcPr>
            <w:tcW w:w="20000" w:type="dxa"/>
            <w:vMerge w:val="restart"/>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基金经理</w:t>
            </w:r>
          </w:p>
        </w:tc>
        <w:tc>
          <w:tcPr>
            <w:tcW w:w="20000" w:type="dxa"/>
            <w:vMerge w:val="restart"/>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杨靖</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开始担任本基金基金经理的日期</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2019年02月22日</w:t>
            </w:r>
          </w:p>
        </w:tc>
      </w:tr>
      <w:tr w:rsidR="00CE7846">
        <w:tc>
          <w:tcPr>
            <w:tcW w:w="20000" w:type="dxa"/>
            <w:vMerge/>
            <w:shd w:val="clear" w:color="auto" w:fill="FFFFFF"/>
            <w:vAlign w:val="center"/>
          </w:tcPr>
          <w:p w:rsidR="00DF6E25" w:rsidRPr="0074720D" w:rsidRDefault="00DF6E25" w:rsidP="0074720D">
            <w:pPr>
              <w:jc w:val="left"/>
              <w:rPr>
                <w:rFonts w:ascii="宋体" w:eastAsia="宋体" w:hAnsi="宋体" w:cs="宋体"/>
                <w:bCs/>
                <w:iCs/>
                <w:color w:val="000000"/>
                <w:szCs w:val="21"/>
              </w:rPr>
            </w:pPr>
          </w:p>
        </w:tc>
        <w:tc>
          <w:tcPr>
            <w:tcW w:w="20000" w:type="dxa"/>
            <w:vMerge/>
            <w:shd w:val="clear" w:color="auto" w:fill="FFFFFF"/>
            <w:vAlign w:val="center"/>
          </w:tcPr>
          <w:p w:rsidR="00DF6E25" w:rsidRPr="0074720D" w:rsidRDefault="00DF6E25" w:rsidP="0074720D">
            <w:pPr>
              <w:jc w:val="left"/>
              <w:rPr>
                <w:rFonts w:ascii="宋体" w:eastAsia="宋体" w:hAnsi="宋体" w:cs="宋体"/>
                <w:bCs/>
                <w:iCs/>
                <w:color w:val="000000"/>
                <w:szCs w:val="21"/>
              </w:rPr>
            </w:pP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证券从业日期</w:t>
            </w:r>
          </w:p>
        </w:tc>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2012年06月28日</w:t>
            </w:r>
          </w:p>
        </w:tc>
      </w:tr>
      <w:tr w:rsidR="00CE7846">
        <w:tc>
          <w:tcPr>
            <w:tcW w:w="20000" w:type="dxa"/>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其他</w:t>
            </w:r>
          </w:p>
        </w:tc>
        <w:tc>
          <w:tcPr>
            <w:tcW w:w="-5536" w:type="dxa"/>
            <w:gridSpan w:val="3"/>
            <w:shd w:val="clear" w:color="auto" w:fill="FFFFFF"/>
            <w:vAlign w:val="center"/>
          </w:tcPr>
          <w:p w:rsidR="00DF6E25" w:rsidRPr="0074720D" w:rsidRDefault="00233B6D"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w:t>
            </w:r>
          </w:p>
        </w:tc>
      </w:tr>
    </w:tbl>
    <w:p w:rsidR="00DF6E25" w:rsidRPr="0074720D" w:rsidRDefault="00DF6E25" w:rsidP="0074720D">
      <w:pPr>
        <w:rPr>
          <w:rFonts w:ascii="宋体" w:eastAsia="宋体" w:hAnsi="宋体" w:cs="方正仿宋简体"/>
          <w:bCs/>
          <w:iCs/>
          <w:szCs w:val="21"/>
        </w:rPr>
      </w:pPr>
    </w:p>
    <w:p w:rsidR="00025EAC" w:rsidRPr="0074720D" w:rsidRDefault="00025EAC" w:rsidP="0074720D">
      <w:pPr>
        <w:rPr>
          <w:rFonts w:ascii="宋体" w:eastAsia="宋体" w:hAnsi="宋体" w:cs="方正仿宋简体"/>
          <w:iCs/>
          <w:szCs w:val="21"/>
        </w:rPr>
        <w:sectPr w:rsidR="00025EAC" w:rsidRPr="0074720D" w:rsidSect="00FE250C">
          <w:type w:val="continuous"/>
          <w:pgSz w:w="12240" w:h="15840"/>
          <w:pgMar w:top="1440" w:right="1800" w:bottom="1440" w:left="1800" w:header="720" w:footer="720" w:gutter="0"/>
          <w:cols w:space="720"/>
        </w:sectPr>
      </w:pPr>
    </w:p>
    <w:p w:rsidR="00834E25" w:rsidRPr="00124F47" w:rsidRDefault="00233B6D"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lastRenderedPageBreak/>
        <w:t>二、</w:t>
      </w:r>
      <w:r w:rsidRPr="00124F47">
        <w:rPr>
          <w:rFonts w:ascii="宋体" w:eastAsia="宋体" w:hAnsi="宋体" w:cs="方正仿宋简体"/>
          <w:b/>
          <w:bCs/>
          <w:iCs/>
          <w:szCs w:val="21"/>
        </w:rPr>
        <w:t xml:space="preserve"> 基金投资与净值表现</w:t>
      </w:r>
    </w:p>
    <w:p w:rsidR="00834E25" w:rsidRPr="00124F47" w:rsidRDefault="00834E25" w:rsidP="00D32707">
      <w:pPr>
        <w:spacing w:line="360" w:lineRule="auto"/>
        <w:rPr>
          <w:rFonts w:ascii="宋体" w:eastAsia="宋体" w:hAnsi="宋体" w:cs="方正仿宋简体"/>
          <w:b/>
          <w:bCs/>
          <w:iCs/>
          <w:szCs w:val="21"/>
        </w:rPr>
        <w:sectPr w:rsidR="00834E25" w:rsidRPr="00124F47" w:rsidSect="00512717">
          <w:type w:val="continuous"/>
          <w:pgSz w:w="12240" w:h="15840"/>
          <w:pgMar w:top="1440" w:right="1800" w:bottom="1440" w:left="1800" w:header="720" w:footer="720" w:gutter="0"/>
          <w:cols w:space="720"/>
        </w:sectPr>
      </w:pPr>
    </w:p>
    <w:p w:rsidR="00EB4244" w:rsidRPr="006E61A9" w:rsidRDefault="00233B6D"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lastRenderedPageBreak/>
        <w:t>（一）</w:t>
      </w:r>
      <w:r w:rsidRPr="006E61A9">
        <w:rPr>
          <w:rFonts w:ascii="宋体" w:eastAsia="宋体" w:hAnsi="宋体" w:cs="方正仿宋简体"/>
          <w:b/>
          <w:bCs/>
          <w:iCs/>
          <w:szCs w:val="21"/>
        </w:rPr>
        <w:t>投资目标与投资策略</w:t>
      </w:r>
    </w:p>
    <w:tbl>
      <w:tblPr>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946"/>
      </w:tblGrid>
      <w:tr w:rsidR="00CE7846" w:rsidTr="00EB4244">
        <w:trPr>
          <w:trHeight w:val="438"/>
        </w:trPr>
        <w:tc>
          <w:tcPr>
            <w:tcW w:w="1843" w:type="dxa"/>
            <w:vAlign w:val="center"/>
          </w:tcPr>
          <w:p w:rsidR="00EB4244" w:rsidRPr="00EB4244" w:rsidRDefault="00233B6D"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RDefault="00233B6D"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在科学严格管理风险的前提下，本基金力争创造超越业绩比较基准的较高稳健收益。</w:t>
            </w:r>
          </w:p>
        </w:tc>
      </w:tr>
      <w:tr w:rsidR="00CE7846" w:rsidTr="00EB4244">
        <w:trPr>
          <w:trHeight w:val="416"/>
        </w:trPr>
        <w:tc>
          <w:tcPr>
            <w:tcW w:w="1843" w:type="dxa"/>
            <w:vAlign w:val="center"/>
          </w:tcPr>
          <w:p w:rsidR="00EB4244" w:rsidRPr="00EB4244" w:rsidRDefault="00233B6D"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RDefault="00233B6D"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债、央行票据、地方政府债、金融债、企业债、公司债、短期融资券、超短期融资券、中期票据、次级债、政府支持债券、政府支持机构债券、可分离交易可转债的纯债部分、资产支持证券、债券回购、银行存款、同业存单、货币市场工具、国债期货以及法律法规或中国证监会允许基金投资的其他金融工具(但须符合中国证监会相关规定)。本基金不投资于股票、权证，也不投资于可转换债券(可分离交易可转债的纯债部分除外)、可交换债券。基金的投资组合比例为：本基金投资于债券资产的比例不低于基金资产的80%，其中投资于AAA级信用债的比例不低于非现金基金资产的80%，每个交易日日终在扣除国债期货合约需缴纳的交易保证金后，持有现金或到期日在一年以内的政府债券不低于基金资产净值的5%，本基金所指的现金不包括结算备付金，存出保证金,应收申购款等。本基金所指AAA级信用债包括地方政府债、金融债（不含政策性金融债）、企业债、公司债、短期融资券、超短期融资券、中期票据、次级债、政府支持债券、政府支持机构债券、可分离交易可转债的纯债部分等除国债、央行票据和政策性金融债之外的、</w:t>
            </w:r>
            <w:r w:rsidRPr="00EB4244">
              <w:rPr>
                <w:rFonts w:ascii="宋体" w:eastAsia="宋体" w:hAnsi="宋体" w:cs="方正仿宋简体"/>
                <w:iCs/>
                <w:szCs w:val="21"/>
              </w:rPr>
              <w:lastRenderedPageBreak/>
              <w:t>非国家信用担保的信用评级为AAA级的信用债。本基金投资的地方政府债、金融债（不含政策性金融债）、企业债、公司债、中期票据、次级债、政府支持债券、政府支持机构债券、可分离交易可转债的纯债部分券等信用债的信用评级依照评级机构出具的债券信用评级；本基金投资的短期融资券、超短期融资券等信用债的信用评级依照评级机构出具的主体信用评级。</w:t>
            </w:r>
          </w:p>
        </w:tc>
      </w:tr>
      <w:tr w:rsidR="00CE7846" w:rsidTr="00EB4244">
        <w:trPr>
          <w:trHeight w:val="407"/>
        </w:trPr>
        <w:tc>
          <w:tcPr>
            <w:tcW w:w="1843" w:type="dxa"/>
            <w:vAlign w:val="center"/>
          </w:tcPr>
          <w:p w:rsidR="00EB4244" w:rsidRPr="00EB4244" w:rsidRDefault="00233B6D" w:rsidP="00EB4244">
            <w:pPr>
              <w:rPr>
                <w:rFonts w:ascii="宋体" w:eastAsia="宋体" w:hAnsi="宋体" w:cs="方正仿宋简体"/>
                <w:iCs/>
                <w:szCs w:val="21"/>
              </w:rPr>
            </w:pPr>
            <w:r>
              <w:rPr>
                <w:rFonts w:ascii="宋体" w:eastAsia="宋体" w:hAnsi="宋体" w:cs="方正仿宋简体" w:hint="eastAsia"/>
                <w:iCs/>
                <w:szCs w:val="21"/>
              </w:rPr>
              <w:lastRenderedPageBreak/>
              <w:t>主要投资策略</w:t>
            </w:r>
          </w:p>
        </w:tc>
        <w:tc>
          <w:tcPr>
            <w:tcW w:w="6946" w:type="dxa"/>
            <w:vAlign w:val="center"/>
          </w:tcPr>
          <w:p w:rsidR="00EB4244" w:rsidRPr="00EB4244" w:rsidRDefault="00233B6D"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的投资策略还包括：期限结构配置策略、个券选择策略、资产支持证券投资策略、国债期货投资策略。</w:t>
            </w:r>
          </w:p>
        </w:tc>
      </w:tr>
      <w:tr w:rsidR="00CE7846" w:rsidTr="00EB4244">
        <w:trPr>
          <w:trHeight w:val="412"/>
        </w:trPr>
        <w:tc>
          <w:tcPr>
            <w:tcW w:w="1843" w:type="dxa"/>
            <w:vAlign w:val="center"/>
          </w:tcPr>
          <w:p w:rsidR="00EB4244" w:rsidRPr="00EB4244" w:rsidRDefault="00233B6D"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RDefault="00233B6D" w:rsidP="00EB4244">
            <w:pPr>
              <w:rPr>
                <w:rFonts w:ascii="宋体" w:eastAsia="宋体" w:hAnsi="宋体" w:cs="方正仿宋简体"/>
                <w:iCs/>
                <w:szCs w:val="21"/>
              </w:rPr>
            </w:pPr>
            <w:r w:rsidRPr="00EB4244">
              <w:rPr>
                <w:rFonts w:ascii="宋体" w:eastAsia="宋体" w:hAnsi="宋体" w:cs="方正仿宋简体"/>
                <w:iCs/>
                <w:szCs w:val="21"/>
              </w:rPr>
              <w:t>中债高信用等级债券财富指数收益率*90%+银行活期存款利率(税后)*10%</w:t>
            </w:r>
          </w:p>
        </w:tc>
      </w:tr>
      <w:tr w:rsidR="00CE7846" w:rsidTr="00EB4244">
        <w:trPr>
          <w:trHeight w:val="419"/>
        </w:trPr>
        <w:tc>
          <w:tcPr>
            <w:tcW w:w="1843" w:type="dxa"/>
            <w:vAlign w:val="center"/>
          </w:tcPr>
          <w:p w:rsidR="00EB4244" w:rsidRPr="00EB4244" w:rsidRDefault="00233B6D"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RDefault="00233B6D"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本基金为债券型基金，其预期风险及预期收益水平高于货币市场基金，低于混合型基金及股票型基金。</w:t>
            </w:r>
          </w:p>
        </w:tc>
      </w:tr>
    </w:tbl>
    <w:p w:rsidR="0051145B" w:rsidRPr="00EB4244" w:rsidRDefault="00233B6D" w:rsidP="00EB4244">
      <w:pPr>
        <w:rPr>
          <w:rFonts w:ascii="宋体" w:eastAsia="宋体" w:hAnsi="宋体" w:cs="方正仿宋简体"/>
          <w:iCs/>
          <w:szCs w:val="21"/>
        </w:rPr>
        <w:sectPr w:rsidR="0051145B" w:rsidRPr="00EB4244"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RDefault="00233B6D"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lastRenderedPageBreak/>
        <w:t>（二）</w:t>
      </w:r>
      <w:r w:rsidRPr="00D76FFC">
        <w:rPr>
          <w:rFonts w:ascii="宋体" w:eastAsia="宋体" w:hAnsi="宋体" w:cs="方正仿宋简体"/>
          <w:b/>
          <w:bCs/>
          <w:iCs/>
          <w:szCs w:val="21"/>
        </w:rPr>
        <w:t xml:space="preserve">投资组合资产配置图表  </w:t>
      </w:r>
    </w:p>
    <w:p w:rsidR="00AC240E" w:rsidRDefault="00233B6D" w:rsidP="00D76FFC">
      <w:pPr>
        <w:spacing w:line="360" w:lineRule="auto"/>
        <w:rPr>
          <w:rFonts w:ascii="宋体" w:eastAsia="宋体" w:hAnsi="宋体" w:cs="宋体"/>
          <w:iCs/>
          <w:sz w:val="24"/>
          <w:szCs w:val="21"/>
        </w:rPr>
      </w:pPr>
      <w:r>
        <w:rPr>
          <w:rFonts w:ascii="宋体" w:eastAsia="宋体" w:hAnsi="宋体" w:cs="宋体"/>
          <w:iCs/>
          <w:noProof/>
          <w:sz w:val="24"/>
          <w:szCs w:val="21"/>
        </w:rPr>
        <w:drawing>
          <wp:inline distT="0" distB="0" distL="0" distR="0">
            <wp:extent cx="5486400" cy="36576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5486400" cy="3657600"/>
                    </a:xfrm>
                    <a:prstGeom prst="rect">
                      <a:avLst/>
                    </a:prstGeom>
                  </pic:spPr>
                </pic:pic>
              </a:graphicData>
            </a:graphic>
          </wp:inline>
        </w:drawing>
      </w:r>
    </w:p>
    <w:p w:rsidR="002712C4" w:rsidRPr="00292ED2" w:rsidRDefault="002712C4" w:rsidP="00D76FFC">
      <w:pPr>
        <w:spacing w:line="360" w:lineRule="auto"/>
        <w:rPr>
          <w:rFonts w:ascii="宋体" w:eastAsia="宋体" w:hAnsi="宋体" w:cs="方正仿宋简体"/>
          <w:iCs/>
          <w:szCs w:val="21"/>
        </w:rPr>
        <w:sectPr w:rsidR="002712C4" w:rsidRPr="00292ED2" w:rsidSect="0087548F">
          <w:type w:val="continuous"/>
          <w:pgSz w:w="12240" w:h="15840"/>
          <w:pgMar w:top="1440" w:right="1800" w:bottom="1440" w:left="1800" w:header="720" w:footer="720" w:gutter="0"/>
          <w:cols w:space="720"/>
        </w:sectPr>
      </w:pPr>
    </w:p>
    <w:p w:rsidR="00A02F78" w:rsidRPr="00A02F78" w:rsidRDefault="00233B6D"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lastRenderedPageBreak/>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RDefault="00233B6D" w:rsidP="00A02F78">
      <w:pPr>
        <w:spacing w:line="360" w:lineRule="auto"/>
        <w:rPr>
          <w:rFonts w:ascii="宋体" w:eastAsia="宋体" w:hAnsi="宋体" w:cs="宋体"/>
          <w:iCs/>
          <w:sz w:val="24"/>
          <w:szCs w:val="21"/>
        </w:rPr>
        <w:sectPr w:rsidR="00834E25" w:rsidRPr="00A02F78" w:rsidSect="008D2884">
          <w:type w:val="continuous"/>
          <w:pgSz w:w="12240" w:h="15840"/>
          <w:pgMar w:top="1440" w:right="1800" w:bottom="1440" w:left="1800" w:header="720" w:footer="720" w:gutter="0"/>
          <w:cols w:space="720"/>
        </w:sectPr>
      </w:pPr>
      <w:r w:rsidRPr="00A02F78">
        <w:rPr>
          <w:rFonts w:ascii="宋体" w:eastAsia="宋体" w:hAnsi="宋体" w:cs="宋体"/>
          <w:iCs/>
          <w:noProof/>
          <w:sz w:val="24"/>
          <w:szCs w:val="21"/>
        </w:rPr>
        <w:lastRenderedPageBreak/>
        <w:drawing>
          <wp:inline distT="0" distB="0" distL="0" distR="0">
            <wp:extent cx="5486400" cy="4114800"/>
            <wp:effectExtent l="0" t="0" r="0" b="0"/>
            <wp:docPr id="1212912801" name="图片 121291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284223" name=""/>
                    <pic:cNvPicPr>
                      <a:picLocks noChangeAspect="1"/>
                    </pic:cNvPicPr>
                  </pic:nvPicPr>
                  <pic:blipFill>
                    <a:blip r:embed="rId8"/>
                    <a:stretch>
                      <a:fillRect/>
                    </a:stretch>
                  </pic:blipFill>
                  <pic:spPr>
                    <a:xfrm>
                      <a:off x="0" y="0"/>
                      <a:ext cx="5486400" cy="4114800"/>
                    </a:xfrm>
                    <a:prstGeom prst="rect">
                      <a:avLst/>
                    </a:prstGeom>
                  </pic:spPr>
                </pic:pic>
              </a:graphicData>
            </a:graphic>
          </wp:inline>
        </w:drawing>
      </w:r>
    </w:p>
    <w:p w:rsidR="00834E25" w:rsidRPr="00340931" w:rsidRDefault="00233B6D" w:rsidP="00340931">
      <w:pPr>
        <w:spacing w:line="360" w:lineRule="auto"/>
        <w:rPr>
          <w:rFonts w:ascii="宋体" w:eastAsia="宋体" w:hAnsi="宋体" w:cs="方正仿宋简体"/>
          <w:b/>
          <w:bCs/>
          <w:iCs/>
          <w:szCs w:val="21"/>
        </w:rPr>
        <w:sectPr w:rsidR="00834E25" w:rsidRPr="00340931"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lastRenderedPageBreak/>
        <w:t>三、投资本基金涉及的费用</w:t>
      </w:r>
    </w:p>
    <w:p w:rsidR="00263627" w:rsidRPr="00B4654F" w:rsidRDefault="00233B6D" w:rsidP="00263627">
      <w:pPr>
        <w:spacing w:line="360" w:lineRule="auto"/>
        <w:rPr>
          <w:rFonts w:ascii="宋体" w:eastAsia="宋体" w:hAnsi="宋体"/>
          <w:b/>
        </w:rPr>
      </w:pPr>
      <w:r w:rsidRPr="00B4654F">
        <w:rPr>
          <w:rFonts w:ascii="宋体" w:eastAsia="宋体" w:hAnsi="宋体" w:hint="eastAsia"/>
          <w:b/>
        </w:rPr>
        <w:lastRenderedPageBreak/>
        <w:t>（一）基金销售相关费用</w:t>
      </w:r>
    </w:p>
    <w:p w:rsidR="00F66C8F" w:rsidRPr="00263627" w:rsidRDefault="00233B6D"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RDefault="00834E25" w:rsidP="00BC38BD">
      <w:pPr>
        <w:spacing w:line="240" w:lineRule="atLeast"/>
        <w:rPr>
          <w:rFonts w:ascii="宋体" w:eastAsia="宋体" w:hAns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00"/>
        <w:gridCol w:w="2206"/>
        <w:gridCol w:w="1915"/>
      </w:tblGrid>
      <w:tr w:rsidR="00CE7846">
        <w:tc>
          <w:tcPr>
            <w:tcW w:w="20000" w:type="dxa"/>
            <w:shd w:val="clear" w:color="auto" w:fill="D9D9D9"/>
            <w:vAlign w:val="center"/>
          </w:tcPr>
          <w:p w:rsidR="00834E25" w:rsidRPr="00263627" w:rsidRDefault="00233B6D" w:rsidP="00BC38BD">
            <w:pPr>
              <w:spacing w:line="240" w:lineRule="atLeast"/>
              <w:jc w:val="center"/>
              <w:rPr>
                <w:rFonts w:ascii="宋体" w:eastAsia="宋体" w:hAnsi="宋体" w:cs="宋体"/>
                <w:color w:val="000000"/>
              </w:rPr>
            </w:pPr>
            <w:r w:rsidRPr="00263627">
              <w:rPr>
                <w:rFonts w:ascii="宋体" w:eastAsia="宋体" w:hAnsi="宋体" w:cs="宋体"/>
                <w:color w:val="000000"/>
              </w:rPr>
              <w:t>费用类型</w:t>
            </w:r>
          </w:p>
        </w:tc>
        <w:tc>
          <w:tcPr>
            <w:tcW w:w="20000" w:type="dxa"/>
            <w:shd w:val="clear" w:color="auto" w:fill="D9D9D9"/>
            <w:vAlign w:val="center"/>
          </w:tcPr>
          <w:p w:rsidR="00834E25" w:rsidRPr="00263627" w:rsidRDefault="00233B6D" w:rsidP="00BC38BD">
            <w:pPr>
              <w:spacing w:line="240" w:lineRule="atLeast"/>
              <w:jc w:val="center"/>
              <w:rPr>
                <w:rFonts w:ascii="宋体" w:eastAsia="宋体" w:hAnsi="宋体" w:cs="宋体"/>
                <w:color w:val="000000"/>
              </w:rPr>
            </w:pPr>
            <w:r w:rsidRPr="00263627">
              <w:rPr>
                <w:rFonts w:ascii="宋体" w:eastAsia="宋体" w:hAnsi="宋体" w:cs="宋体"/>
                <w:color w:val="000000"/>
              </w:rPr>
              <w:t>份额（S）或金额（M）/持有期限（N）</w:t>
            </w:r>
          </w:p>
        </w:tc>
        <w:tc>
          <w:tcPr>
            <w:tcW w:w="20000" w:type="dxa"/>
            <w:shd w:val="clear" w:color="auto" w:fill="D9D9D9"/>
            <w:vAlign w:val="center"/>
          </w:tcPr>
          <w:p w:rsidR="00834E25" w:rsidRPr="00263627" w:rsidRDefault="00233B6D" w:rsidP="00BC38BD">
            <w:pPr>
              <w:spacing w:line="240" w:lineRule="atLeast"/>
              <w:jc w:val="center"/>
              <w:rPr>
                <w:rFonts w:ascii="宋体" w:eastAsia="宋体" w:hAnsi="宋体" w:cs="宋体"/>
                <w:color w:val="000000"/>
              </w:rPr>
            </w:pPr>
            <w:r w:rsidRPr="00263627">
              <w:rPr>
                <w:rFonts w:ascii="宋体" w:eastAsia="宋体" w:hAnsi="宋体" w:cs="宋体"/>
                <w:color w:val="000000"/>
              </w:rPr>
              <w:t>费率/收费方式</w:t>
            </w:r>
          </w:p>
        </w:tc>
        <w:tc>
          <w:tcPr>
            <w:tcW w:w="20000" w:type="dxa"/>
            <w:shd w:val="clear" w:color="auto" w:fill="D9D9D9"/>
            <w:vAlign w:val="center"/>
          </w:tcPr>
          <w:p w:rsidR="00834E25" w:rsidRPr="00263627" w:rsidRDefault="00233B6D" w:rsidP="00BC38BD">
            <w:pPr>
              <w:spacing w:line="240" w:lineRule="atLeast"/>
              <w:jc w:val="center"/>
              <w:rPr>
                <w:rFonts w:ascii="宋体" w:eastAsia="宋体" w:hAnsi="宋体" w:cs="宋体"/>
                <w:color w:val="000000"/>
              </w:rPr>
            </w:pPr>
            <w:r w:rsidRPr="00263627">
              <w:rPr>
                <w:rFonts w:ascii="宋体" w:eastAsia="宋体" w:hAnsi="宋体" w:cs="宋体"/>
                <w:color w:val="000000"/>
              </w:rPr>
              <w:t>备注</w:t>
            </w:r>
          </w:p>
        </w:tc>
      </w:tr>
      <w:tr w:rsidR="00CE7846">
        <w:tc>
          <w:tcPr>
            <w:tcW w:w="20000" w:type="dxa"/>
            <w:vMerge w:val="restart"/>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 xml:space="preserve">申购费（前收费） </w:t>
            </w:r>
          </w:p>
          <w:p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M≥0万元</w:t>
            </w: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500元/笔</w:t>
            </w: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养老金客户</w:t>
            </w:r>
          </w:p>
        </w:tc>
      </w:tr>
      <w:tr w:rsidR="00CE7846">
        <w:tc>
          <w:tcPr>
            <w:tcW w:w="20000" w:type="dxa"/>
            <w:vMerge/>
            <w:shd w:val="clear" w:color="auto" w:fill="FFFFFF"/>
            <w:vAlign w:val="center"/>
          </w:tcPr>
          <w:p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0万元≤M&lt;100万元</w:t>
            </w:r>
          </w:p>
        </w:tc>
        <w:tc>
          <w:tcPr>
            <w:tcW w:w="20000" w:type="dxa"/>
            <w:shd w:val="clear" w:color="auto" w:fill="FFFFFF"/>
            <w:vAlign w:val="center"/>
          </w:tcPr>
          <w:p w:rsidR="00834E25" w:rsidRPr="00263627" w:rsidRDefault="00233B6D">
            <w:pPr>
              <w:spacing w:line="240" w:lineRule="atLeast"/>
              <w:jc w:val="left"/>
              <w:rPr>
                <w:rFonts w:ascii="宋体" w:eastAsia="宋体" w:hAnsi="宋体" w:cs="宋体"/>
                <w:color w:val="000000"/>
              </w:rPr>
            </w:pPr>
            <w:r w:rsidRPr="00263627">
              <w:rPr>
                <w:rFonts w:ascii="宋体" w:eastAsia="宋体" w:hAnsi="宋体" w:cs="宋体"/>
                <w:color w:val="000000"/>
              </w:rPr>
              <w:t>0.</w:t>
            </w:r>
            <w:r w:rsidR="00144146">
              <w:rPr>
                <w:rFonts w:ascii="宋体" w:eastAsia="宋体" w:hAnsi="宋体" w:cs="宋体"/>
                <w:color w:val="000000"/>
              </w:rPr>
              <w:t>6</w:t>
            </w:r>
            <w:r w:rsidR="00144146" w:rsidRPr="00263627">
              <w:rPr>
                <w:rFonts w:ascii="宋体" w:eastAsia="宋体" w:hAnsi="宋体" w:cs="宋体"/>
                <w:color w:val="000000"/>
              </w:rPr>
              <w:t>0</w:t>
            </w:r>
            <w:r w:rsidRPr="00263627">
              <w:rPr>
                <w:rFonts w:ascii="宋体" w:eastAsia="宋体" w:hAnsi="宋体" w:cs="宋体"/>
                <w:color w:val="000000"/>
              </w:rPr>
              <w:t>%</w:t>
            </w: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非养老金客户</w:t>
            </w:r>
          </w:p>
        </w:tc>
      </w:tr>
      <w:tr w:rsidR="00CE7846">
        <w:tc>
          <w:tcPr>
            <w:tcW w:w="20000" w:type="dxa"/>
            <w:vMerge/>
            <w:shd w:val="clear" w:color="auto" w:fill="FFFFFF"/>
            <w:vAlign w:val="center"/>
          </w:tcPr>
          <w:p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100万元≤M&lt;500万元</w:t>
            </w:r>
          </w:p>
        </w:tc>
        <w:tc>
          <w:tcPr>
            <w:tcW w:w="20000" w:type="dxa"/>
            <w:shd w:val="clear" w:color="auto" w:fill="FFFFFF"/>
            <w:vAlign w:val="center"/>
          </w:tcPr>
          <w:p w:rsidR="00834E25" w:rsidRPr="00263627" w:rsidRDefault="00233B6D">
            <w:pPr>
              <w:spacing w:line="240" w:lineRule="atLeast"/>
              <w:jc w:val="left"/>
              <w:rPr>
                <w:rFonts w:ascii="宋体" w:eastAsia="宋体" w:hAnsi="宋体" w:cs="宋体"/>
                <w:color w:val="000000"/>
              </w:rPr>
            </w:pPr>
            <w:r w:rsidRPr="00263627">
              <w:rPr>
                <w:rFonts w:ascii="宋体" w:eastAsia="宋体" w:hAnsi="宋体" w:cs="宋体"/>
                <w:color w:val="000000"/>
              </w:rPr>
              <w:t>0.</w:t>
            </w:r>
            <w:r w:rsidR="00144146">
              <w:rPr>
                <w:rFonts w:ascii="宋体" w:eastAsia="宋体" w:hAnsi="宋体" w:cs="宋体"/>
                <w:color w:val="000000"/>
              </w:rPr>
              <w:t>4</w:t>
            </w:r>
            <w:r w:rsidR="00144146" w:rsidRPr="00263627">
              <w:rPr>
                <w:rFonts w:ascii="宋体" w:eastAsia="宋体" w:hAnsi="宋体" w:cs="宋体"/>
                <w:color w:val="000000"/>
              </w:rPr>
              <w:t>0</w:t>
            </w:r>
            <w:r w:rsidRPr="00263627">
              <w:rPr>
                <w:rFonts w:ascii="宋体" w:eastAsia="宋体" w:hAnsi="宋体" w:cs="宋体"/>
                <w:color w:val="000000"/>
              </w:rPr>
              <w:t>%</w:t>
            </w: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非养老金客户</w:t>
            </w:r>
          </w:p>
        </w:tc>
      </w:tr>
      <w:tr w:rsidR="00CE7846">
        <w:tc>
          <w:tcPr>
            <w:tcW w:w="20000" w:type="dxa"/>
            <w:vMerge/>
            <w:shd w:val="clear" w:color="auto" w:fill="FFFFFF"/>
            <w:vAlign w:val="center"/>
          </w:tcPr>
          <w:p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M≥500万元</w:t>
            </w: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1000元/笔</w:t>
            </w: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非养老金客户</w:t>
            </w:r>
          </w:p>
        </w:tc>
      </w:tr>
      <w:tr w:rsidR="00CE7846">
        <w:tc>
          <w:tcPr>
            <w:tcW w:w="20000" w:type="dxa"/>
            <w:vMerge w:val="restart"/>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 xml:space="preserve">赎回费 </w:t>
            </w:r>
          </w:p>
          <w:p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0天≤N&lt;7天</w:t>
            </w: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1.50%</w:t>
            </w:r>
          </w:p>
        </w:tc>
        <w:tc>
          <w:tcPr>
            <w:tcW w:w="20000" w:type="dxa"/>
            <w:shd w:val="clear" w:color="auto" w:fill="FFFFFF"/>
            <w:vAlign w:val="center"/>
          </w:tcPr>
          <w:p w:rsidR="00834E25" w:rsidRPr="00263627" w:rsidRDefault="00834E25" w:rsidP="00BC38BD">
            <w:pPr>
              <w:spacing w:line="240" w:lineRule="atLeast"/>
              <w:jc w:val="left"/>
              <w:rPr>
                <w:rFonts w:ascii="宋体" w:eastAsia="宋体" w:hAnsi="宋体" w:cs="宋体"/>
                <w:color w:val="000000"/>
              </w:rPr>
            </w:pPr>
          </w:p>
        </w:tc>
      </w:tr>
      <w:tr w:rsidR="00CE7846">
        <w:tc>
          <w:tcPr>
            <w:tcW w:w="20000" w:type="dxa"/>
            <w:vMerge/>
            <w:shd w:val="clear" w:color="auto" w:fill="FFFFFF"/>
            <w:vAlign w:val="center"/>
          </w:tcPr>
          <w:p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7天≤N&lt;30天</w:t>
            </w: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0.10%</w:t>
            </w:r>
          </w:p>
        </w:tc>
        <w:tc>
          <w:tcPr>
            <w:tcW w:w="20000" w:type="dxa"/>
            <w:shd w:val="clear" w:color="auto" w:fill="FFFFFF"/>
            <w:vAlign w:val="center"/>
          </w:tcPr>
          <w:p w:rsidR="00834E25" w:rsidRPr="00263627" w:rsidRDefault="00834E25" w:rsidP="00BC38BD">
            <w:pPr>
              <w:spacing w:line="240" w:lineRule="atLeast"/>
              <w:jc w:val="left"/>
              <w:rPr>
                <w:rFonts w:ascii="宋体" w:eastAsia="宋体" w:hAnsi="宋体" w:cs="宋体"/>
                <w:color w:val="000000"/>
              </w:rPr>
            </w:pPr>
          </w:p>
        </w:tc>
      </w:tr>
      <w:tr w:rsidR="00CE7846">
        <w:tc>
          <w:tcPr>
            <w:tcW w:w="20000" w:type="dxa"/>
            <w:vMerge/>
            <w:shd w:val="clear" w:color="auto" w:fill="FFFFFF"/>
            <w:vAlign w:val="center"/>
          </w:tcPr>
          <w:p w:rsidR="00834E25" w:rsidRPr="00263627" w:rsidRDefault="00834E25" w:rsidP="00BC38BD">
            <w:pPr>
              <w:spacing w:line="240" w:lineRule="atLeast"/>
              <w:jc w:val="left"/>
              <w:rPr>
                <w:rFonts w:ascii="宋体" w:eastAsia="宋体" w:hAnsi="宋体" w:cs="宋体"/>
                <w:color w:val="000000"/>
              </w:rPr>
            </w:pP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N≥30天</w:t>
            </w:r>
          </w:p>
        </w:tc>
        <w:tc>
          <w:tcPr>
            <w:tcW w:w="20000" w:type="dxa"/>
            <w:shd w:val="clear" w:color="auto" w:fill="FFFFFF"/>
            <w:vAlign w:val="center"/>
          </w:tcPr>
          <w:p w:rsidR="00834E25" w:rsidRPr="00263627" w:rsidRDefault="00233B6D" w:rsidP="00BC38BD">
            <w:pPr>
              <w:spacing w:line="240" w:lineRule="atLeast"/>
              <w:jc w:val="left"/>
              <w:rPr>
                <w:rFonts w:ascii="宋体" w:eastAsia="宋体" w:hAnsi="宋体" w:cs="宋体"/>
                <w:color w:val="000000"/>
              </w:rPr>
            </w:pPr>
            <w:r w:rsidRPr="00263627">
              <w:rPr>
                <w:rFonts w:ascii="宋体" w:eastAsia="宋体" w:hAnsi="宋体" w:cs="宋体"/>
                <w:color w:val="000000"/>
              </w:rPr>
              <w:t>0.00%</w:t>
            </w:r>
          </w:p>
        </w:tc>
        <w:tc>
          <w:tcPr>
            <w:tcW w:w="20000" w:type="dxa"/>
            <w:shd w:val="clear" w:color="auto" w:fill="FFFFFF"/>
            <w:vAlign w:val="center"/>
          </w:tcPr>
          <w:p w:rsidR="00834E25" w:rsidRPr="00263627" w:rsidRDefault="00834E25" w:rsidP="00BC38BD">
            <w:pPr>
              <w:spacing w:line="240" w:lineRule="atLeast"/>
              <w:jc w:val="left"/>
              <w:rPr>
                <w:rFonts w:ascii="宋体" w:eastAsia="宋体" w:hAnsi="宋体" w:cs="宋体"/>
                <w:color w:val="000000"/>
              </w:rPr>
            </w:pPr>
          </w:p>
        </w:tc>
      </w:tr>
    </w:tbl>
    <w:p w:rsidR="00834E25" w:rsidRPr="00263627" w:rsidRDefault="00834E25" w:rsidP="00BC38BD">
      <w:pPr>
        <w:spacing w:line="240" w:lineRule="atLeast"/>
        <w:rPr>
          <w:rFonts w:ascii="宋体" w:eastAsia="宋体" w:hAnsi="宋体"/>
        </w:rPr>
      </w:pPr>
    </w:p>
    <w:p w:rsidR="00263627" w:rsidRPr="00263627" w:rsidRDefault="00233B6D" w:rsidP="00BC38BD">
      <w:pPr>
        <w:spacing w:line="240" w:lineRule="atLeast"/>
        <w:rPr>
          <w:rFonts w:ascii="宋体" w:eastAsia="宋体" w:hAnsi="宋体"/>
        </w:rPr>
        <w:sectPr w:rsidR="00263627" w:rsidRPr="00263627"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RDefault="00233B6D"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lastRenderedPageBreak/>
        <w:t>（二）</w:t>
      </w:r>
      <w:r w:rsidRPr="004118E0">
        <w:rPr>
          <w:rFonts w:ascii="宋体" w:eastAsia="宋体" w:hAnsi="宋体" w:cs="方正仿宋简体"/>
          <w:b/>
          <w:bCs/>
          <w:iCs/>
          <w:szCs w:val="21"/>
        </w:rPr>
        <w:t>基金运作相关费用</w:t>
      </w:r>
    </w:p>
    <w:p w:rsidR="004118E0" w:rsidRDefault="00233B6D"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RDefault="004118E0" w:rsidP="004118E0">
      <w:pPr>
        <w:rPr>
          <w:rFonts w:ascii="宋体" w:eastAsia="宋体" w:hAnsi="宋体" w:cs="方正仿宋简体"/>
          <w:i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000"/>
        <w:gridCol w:w="2908"/>
      </w:tblGrid>
      <w:tr w:rsidR="00CE7846">
        <w:tc>
          <w:tcPr>
            <w:tcW w:w="20000" w:type="dxa"/>
            <w:shd w:val="clear" w:color="auto" w:fill="D9D9D9"/>
            <w:vAlign w:val="center"/>
          </w:tcPr>
          <w:p w:rsidR="004118E0" w:rsidRPr="004118E0" w:rsidRDefault="00233B6D" w:rsidP="004118E0">
            <w:pPr>
              <w:jc w:val="center"/>
              <w:rPr>
                <w:rFonts w:ascii="宋体" w:eastAsia="宋体" w:hAnsi="宋体" w:cs="宋体"/>
                <w:iCs/>
                <w:color w:val="000000"/>
                <w:szCs w:val="21"/>
              </w:rPr>
            </w:pPr>
            <w:r w:rsidRPr="004118E0">
              <w:rPr>
                <w:rFonts w:ascii="宋体" w:eastAsia="宋体" w:hAnsi="宋体" w:cs="宋体"/>
                <w:iCs/>
                <w:color w:val="000000"/>
                <w:szCs w:val="21"/>
              </w:rPr>
              <w:t>费用类别</w:t>
            </w:r>
          </w:p>
        </w:tc>
        <w:tc>
          <w:tcPr>
            <w:tcW w:w="20000" w:type="dxa"/>
            <w:shd w:val="clear" w:color="auto" w:fill="D9D9D9"/>
            <w:vAlign w:val="center"/>
          </w:tcPr>
          <w:p w:rsidR="004118E0" w:rsidRPr="004118E0" w:rsidRDefault="00233B6D" w:rsidP="004118E0">
            <w:pPr>
              <w:jc w:val="center"/>
              <w:rPr>
                <w:rFonts w:ascii="宋体" w:eastAsia="宋体" w:hAnsi="宋体" w:cs="宋体"/>
                <w:iCs/>
                <w:color w:val="000000"/>
                <w:szCs w:val="21"/>
              </w:rPr>
            </w:pPr>
            <w:r w:rsidRPr="004118E0">
              <w:rPr>
                <w:rFonts w:ascii="宋体" w:eastAsia="宋体" w:hAnsi="宋体" w:cs="宋体"/>
                <w:iCs/>
                <w:color w:val="000000"/>
                <w:szCs w:val="21"/>
              </w:rPr>
              <w:t>年费率</w:t>
            </w:r>
          </w:p>
        </w:tc>
        <w:tc>
          <w:tcPr>
            <w:tcW w:w="20000" w:type="dxa"/>
            <w:shd w:val="clear" w:color="auto" w:fill="D9D9D9"/>
            <w:vAlign w:val="center"/>
          </w:tcPr>
          <w:p w:rsidR="004118E0" w:rsidRPr="004118E0" w:rsidRDefault="00233B6D" w:rsidP="004118E0">
            <w:pPr>
              <w:jc w:val="center"/>
              <w:rPr>
                <w:rFonts w:ascii="宋体" w:eastAsia="宋体" w:hAnsi="宋体" w:cs="宋体"/>
                <w:iCs/>
                <w:color w:val="000000"/>
                <w:szCs w:val="21"/>
              </w:rPr>
            </w:pPr>
            <w:r w:rsidRPr="004118E0">
              <w:rPr>
                <w:rFonts w:ascii="宋体" w:eastAsia="宋体" w:hAnsi="宋体" w:cs="宋体"/>
                <w:iCs/>
                <w:color w:val="000000"/>
                <w:szCs w:val="21"/>
              </w:rPr>
              <w:t>收费方式</w:t>
            </w:r>
          </w:p>
        </w:tc>
      </w:tr>
      <w:tr w:rsidR="00CE7846">
        <w:tc>
          <w:tcPr>
            <w:tcW w:w="20000" w:type="dxa"/>
            <w:shd w:val="clear" w:color="auto" w:fill="FFFFFF"/>
            <w:vAlign w:val="center"/>
          </w:tcPr>
          <w:p w:rsidR="004118E0" w:rsidRPr="004118E0" w:rsidRDefault="00233B6D" w:rsidP="004118E0">
            <w:pPr>
              <w:jc w:val="left"/>
              <w:rPr>
                <w:rFonts w:ascii="宋体" w:eastAsia="宋体" w:hAnsi="宋体" w:cs="宋体"/>
                <w:iCs/>
                <w:color w:val="000000"/>
                <w:szCs w:val="21"/>
              </w:rPr>
            </w:pPr>
            <w:r w:rsidRPr="004118E0">
              <w:rPr>
                <w:rFonts w:ascii="宋体" w:eastAsia="宋体" w:hAnsi="宋体" w:cs="宋体"/>
                <w:iCs/>
                <w:color w:val="000000"/>
                <w:szCs w:val="21"/>
              </w:rPr>
              <w:t>管理费</w:t>
            </w:r>
          </w:p>
        </w:tc>
        <w:tc>
          <w:tcPr>
            <w:tcW w:w="20000" w:type="dxa"/>
            <w:shd w:val="clear" w:color="auto" w:fill="FFFFFF"/>
            <w:vAlign w:val="center"/>
          </w:tcPr>
          <w:p w:rsidR="004118E0" w:rsidRPr="004118E0" w:rsidRDefault="00233B6D" w:rsidP="004118E0">
            <w:pPr>
              <w:jc w:val="right"/>
              <w:rPr>
                <w:rFonts w:ascii="宋体" w:eastAsia="宋体" w:hAnsi="宋体" w:cs="宋体"/>
                <w:iCs/>
                <w:color w:val="000000"/>
                <w:szCs w:val="21"/>
              </w:rPr>
            </w:pPr>
            <w:r w:rsidRPr="004118E0">
              <w:rPr>
                <w:rFonts w:ascii="宋体" w:eastAsia="宋体" w:hAnsi="宋体" w:cs="宋体"/>
                <w:iCs/>
                <w:color w:val="000000"/>
                <w:szCs w:val="21"/>
              </w:rPr>
              <w:t>0.30%</w:t>
            </w:r>
          </w:p>
        </w:tc>
        <w:tc>
          <w:tcPr>
            <w:tcW w:w="20000" w:type="dxa"/>
            <w:shd w:val="clear" w:color="auto" w:fill="FFFFFF"/>
            <w:vAlign w:val="center"/>
          </w:tcPr>
          <w:p w:rsidR="004118E0" w:rsidRPr="004118E0" w:rsidRDefault="00233B6D" w:rsidP="004118E0">
            <w:pPr>
              <w:jc w:val="left"/>
              <w:rPr>
                <w:rFonts w:ascii="宋体" w:eastAsia="宋体" w:hAnsi="宋体" w:cs="宋体"/>
                <w:iCs/>
                <w:color w:val="000000"/>
                <w:szCs w:val="21"/>
              </w:rPr>
            </w:pPr>
            <w:r w:rsidRPr="004118E0">
              <w:rPr>
                <w:rFonts w:ascii="宋体" w:eastAsia="宋体" w:hAnsi="宋体" w:cs="宋体"/>
                <w:iCs/>
                <w:color w:val="000000"/>
                <w:szCs w:val="21"/>
              </w:rPr>
              <w:t>-</w:t>
            </w:r>
          </w:p>
        </w:tc>
      </w:tr>
      <w:tr w:rsidR="00CE7846">
        <w:tc>
          <w:tcPr>
            <w:tcW w:w="20000" w:type="dxa"/>
            <w:shd w:val="clear" w:color="auto" w:fill="FFFFFF"/>
            <w:vAlign w:val="center"/>
          </w:tcPr>
          <w:p w:rsidR="004118E0" w:rsidRPr="004118E0" w:rsidRDefault="00233B6D" w:rsidP="004118E0">
            <w:pPr>
              <w:jc w:val="left"/>
              <w:rPr>
                <w:rFonts w:ascii="宋体" w:eastAsia="宋体" w:hAnsi="宋体" w:cs="宋体"/>
                <w:iCs/>
                <w:color w:val="000000"/>
                <w:szCs w:val="21"/>
              </w:rPr>
            </w:pPr>
            <w:r w:rsidRPr="004118E0">
              <w:rPr>
                <w:rFonts w:ascii="宋体" w:eastAsia="宋体" w:hAnsi="宋体" w:cs="宋体"/>
                <w:iCs/>
                <w:color w:val="000000"/>
                <w:szCs w:val="21"/>
              </w:rPr>
              <w:lastRenderedPageBreak/>
              <w:t>托管费</w:t>
            </w:r>
          </w:p>
        </w:tc>
        <w:tc>
          <w:tcPr>
            <w:tcW w:w="20000" w:type="dxa"/>
            <w:shd w:val="clear" w:color="auto" w:fill="FFFFFF"/>
            <w:vAlign w:val="center"/>
          </w:tcPr>
          <w:p w:rsidR="004118E0" w:rsidRPr="004118E0" w:rsidRDefault="00233B6D" w:rsidP="004118E0">
            <w:pPr>
              <w:jc w:val="right"/>
              <w:rPr>
                <w:rFonts w:ascii="宋体" w:eastAsia="宋体" w:hAnsi="宋体" w:cs="宋体"/>
                <w:iCs/>
                <w:color w:val="000000"/>
                <w:szCs w:val="21"/>
              </w:rPr>
            </w:pPr>
            <w:r w:rsidRPr="004118E0">
              <w:rPr>
                <w:rFonts w:ascii="宋体" w:eastAsia="宋体" w:hAnsi="宋体" w:cs="宋体"/>
                <w:iCs/>
                <w:color w:val="000000"/>
                <w:szCs w:val="21"/>
              </w:rPr>
              <w:t>0.10%</w:t>
            </w:r>
          </w:p>
        </w:tc>
        <w:tc>
          <w:tcPr>
            <w:tcW w:w="20000" w:type="dxa"/>
            <w:shd w:val="clear" w:color="auto" w:fill="FFFFFF"/>
            <w:vAlign w:val="center"/>
          </w:tcPr>
          <w:p w:rsidR="004118E0" w:rsidRPr="004118E0" w:rsidRDefault="00233B6D" w:rsidP="004118E0">
            <w:pPr>
              <w:jc w:val="left"/>
              <w:rPr>
                <w:rFonts w:ascii="宋体" w:eastAsia="宋体" w:hAnsi="宋体" w:cs="宋体"/>
                <w:iCs/>
                <w:color w:val="000000"/>
                <w:szCs w:val="21"/>
              </w:rPr>
            </w:pPr>
            <w:r w:rsidRPr="004118E0">
              <w:rPr>
                <w:rFonts w:ascii="宋体" w:eastAsia="宋体" w:hAnsi="宋体" w:cs="宋体"/>
                <w:iCs/>
                <w:color w:val="000000"/>
                <w:szCs w:val="21"/>
              </w:rPr>
              <w:t>-</w:t>
            </w:r>
          </w:p>
        </w:tc>
      </w:tr>
      <w:tr w:rsidR="00CE7846">
        <w:tc>
          <w:tcPr>
            <w:tcW w:w="20000" w:type="dxa"/>
            <w:shd w:val="clear" w:color="auto" w:fill="FFFFFF"/>
            <w:vAlign w:val="center"/>
          </w:tcPr>
          <w:p w:rsidR="004118E0" w:rsidRPr="004118E0" w:rsidRDefault="00233B6D" w:rsidP="004118E0">
            <w:pPr>
              <w:jc w:val="left"/>
              <w:rPr>
                <w:rFonts w:ascii="宋体" w:eastAsia="宋体" w:hAnsi="宋体" w:cs="宋体"/>
                <w:iCs/>
                <w:color w:val="000000"/>
                <w:szCs w:val="21"/>
              </w:rPr>
            </w:pPr>
            <w:r w:rsidRPr="004118E0">
              <w:rPr>
                <w:rFonts w:ascii="宋体" w:eastAsia="宋体" w:hAnsi="宋体" w:cs="宋体"/>
                <w:iCs/>
                <w:color w:val="000000"/>
                <w:szCs w:val="21"/>
              </w:rPr>
              <w:t>销售服务费</w:t>
            </w:r>
          </w:p>
        </w:tc>
        <w:tc>
          <w:tcPr>
            <w:tcW w:w="20000" w:type="dxa"/>
            <w:shd w:val="clear" w:color="auto" w:fill="FFFFFF"/>
            <w:vAlign w:val="center"/>
          </w:tcPr>
          <w:p w:rsidR="004118E0" w:rsidRPr="004118E0" w:rsidRDefault="00233B6D" w:rsidP="004118E0">
            <w:pPr>
              <w:jc w:val="right"/>
              <w:rPr>
                <w:rFonts w:ascii="宋体" w:eastAsia="宋体" w:hAnsi="宋体" w:cs="宋体"/>
                <w:iCs/>
                <w:color w:val="000000"/>
                <w:szCs w:val="21"/>
              </w:rPr>
            </w:pPr>
            <w:r w:rsidRPr="004118E0">
              <w:rPr>
                <w:rFonts w:ascii="宋体" w:eastAsia="宋体" w:hAnsi="宋体" w:cs="宋体"/>
                <w:iCs/>
                <w:color w:val="000000"/>
                <w:szCs w:val="21"/>
              </w:rPr>
              <w:t>-</w:t>
            </w:r>
          </w:p>
        </w:tc>
        <w:tc>
          <w:tcPr>
            <w:tcW w:w="20000" w:type="dxa"/>
            <w:shd w:val="clear" w:color="auto" w:fill="FFFFFF"/>
            <w:vAlign w:val="center"/>
          </w:tcPr>
          <w:p w:rsidR="004118E0" w:rsidRPr="004118E0" w:rsidRDefault="00233B6D" w:rsidP="004118E0">
            <w:pPr>
              <w:jc w:val="left"/>
              <w:rPr>
                <w:rFonts w:ascii="宋体" w:eastAsia="宋体" w:hAnsi="宋体" w:cs="宋体"/>
                <w:iCs/>
                <w:color w:val="000000"/>
                <w:szCs w:val="21"/>
              </w:rPr>
            </w:pPr>
            <w:r w:rsidRPr="004118E0">
              <w:rPr>
                <w:rFonts w:ascii="宋体" w:eastAsia="宋体" w:hAnsi="宋体" w:cs="宋体"/>
                <w:iCs/>
                <w:color w:val="000000"/>
                <w:szCs w:val="21"/>
              </w:rPr>
              <w:t>-</w:t>
            </w:r>
          </w:p>
        </w:tc>
      </w:tr>
      <w:tr w:rsidR="00CE7846">
        <w:tc>
          <w:tcPr>
            <w:tcW w:w="20000" w:type="dxa"/>
            <w:shd w:val="clear" w:color="auto" w:fill="FFFFFF"/>
            <w:vAlign w:val="center"/>
          </w:tcPr>
          <w:p w:rsidR="004118E0" w:rsidRPr="004118E0" w:rsidRDefault="00233B6D" w:rsidP="004118E0">
            <w:pPr>
              <w:jc w:val="left"/>
              <w:rPr>
                <w:rFonts w:ascii="宋体" w:eastAsia="宋体" w:hAnsi="宋体" w:cs="宋体"/>
                <w:iCs/>
                <w:color w:val="000000"/>
                <w:szCs w:val="21"/>
              </w:rPr>
            </w:pPr>
            <w:r w:rsidRPr="004118E0">
              <w:rPr>
                <w:rFonts w:ascii="宋体" w:eastAsia="宋体" w:hAnsi="宋体" w:cs="宋体"/>
                <w:iCs/>
                <w:color w:val="000000"/>
                <w:szCs w:val="21"/>
              </w:rPr>
              <w:t>其他费用</w:t>
            </w:r>
          </w:p>
        </w:tc>
        <w:tc>
          <w:tcPr>
            <w:tcW w:w="20000" w:type="dxa"/>
            <w:shd w:val="clear" w:color="auto" w:fill="FFFFFF"/>
            <w:vAlign w:val="center"/>
          </w:tcPr>
          <w:p w:rsidR="004118E0" w:rsidRPr="004118E0" w:rsidRDefault="00233B6D" w:rsidP="004118E0">
            <w:pPr>
              <w:jc w:val="right"/>
              <w:rPr>
                <w:rFonts w:ascii="宋体" w:eastAsia="宋体" w:hAnsi="宋体" w:cs="宋体"/>
                <w:iCs/>
                <w:color w:val="000000"/>
                <w:szCs w:val="21"/>
              </w:rPr>
            </w:pPr>
            <w:r w:rsidRPr="004118E0">
              <w:rPr>
                <w:rFonts w:ascii="宋体" w:eastAsia="宋体" w:hAnsi="宋体" w:cs="宋体"/>
                <w:iCs/>
                <w:color w:val="000000"/>
                <w:szCs w:val="21"/>
              </w:rPr>
              <w:t>-</w:t>
            </w:r>
          </w:p>
        </w:tc>
        <w:tc>
          <w:tcPr>
            <w:tcW w:w="20000" w:type="dxa"/>
            <w:shd w:val="clear" w:color="auto" w:fill="FFFFFF"/>
            <w:vAlign w:val="center"/>
          </w:tcPr>
          <w:p w:rsidR="004118E0" w:rsidRPr="004118E0" w:rsidRDefault="00233B6D" w:rsidP="004118E0">
            <w:pPr>
              <w:jc w:val="left"/>
              <w:rPr>
                <w:rFonts w:ascii="宋体" w:eastAsia="宋体" w:hAnsi="宋体" w:cs="宋体"/>
                <w:iCs/>
                <w:color w:val="000000"/>
                <w:szCs w:val="21"/>
              </w:rPr>
            </w:pPr>
            <w:r w:rsidRPr="004118E0">
              <w:rPr>
                <w:rFonts w:ascii="宋体" w:eastAsia="宋体" w:hAnsi="宋体" w:cs="宋体"/>
                <w:iCs/>
                <w:color w:val="000000"/>
                <w:szCs w:val="21"/>
              </w:rPr>
              <w:t>《基金合同》生效后与基金相关的信息披露费用/会计师费/律师费/诉讼费/仲裁费、基金份额持有人大会费用、基金的证券/期货交易费用、基金的银行汇划费用/账户开户费用/账户维护费用等费用。</w:t>
            </w:r>
          </w:p>
        </w:tc>
      </w:tr>
    </w:tbl>
    <w:p w:rsidR="004118E0" w:rsidRPr="004118E0" w:rsidRDefault="004118E0" w:rsidP="004118E0">
      <w:pPr>
        <w:rPr>
          <w:rFonts w:ascii="宋体" w:eastAsia="宋体" w:hAnsi="宋体" w:cs="方正仿宋简体"/>
          <w:iCs/>
          <w:szCs w:val="21"/>
        </w:rPr>
      </w:pPr>
    </w:p>
    <w:p w:rsidR="00834E25" w:rsidRPr="004118E0" w:rsidRDefault="00233B6D">
      <w:pPr>
        <w:rPr>
          <w:rFonts w:ascii="宋体" w:eastAsia="宋体" w:hAnsi="宋体" w:cs="方正仿宋简体"/>
          <w:iCs/>
          <w:szCs w:val="21"/>
        </w:rPr>
        <w:sectPr w:rsidR="00834E25" w:rsidRPr="004118E0"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 xml:space="preserve">注：本基金费用的计算方法和支付方式详见本基金的《招募说明书》。本基金交易证券、基金等产生的费用和税负，按实际发生额从基金资产扣除。 </w:t>
      </w:r>
    </w:p>
    <w:p w:rsidR="00834E25" w:rsidRPr="00C2264A" w:rsidRDefault="00233B6D" w:rsidP="00C2264A">
      <w:pPr>
        <w:spacing w:line="360" w:lineRule="auto"/>
        <w:rPr>
          <w:rFonts w:ascii="宋体" w:eastAsia="宋体" w:hAnsi="宋体" w:cs="方正仿宋简体"/>
          <w:b/>
          <w:bCs/>
          <w:iCs/>
          <w:szCs w:val="21"/>
        </w:rPr>
        <w:sectPr w:rsidR="00834E25" w:rsidRPr="00C2264A"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lastRenderedPageBreak/>
        <w:t>四、</w:t>
      </w:r>
      <w:r w:rsidRPr="00C2264A">
        <w:rPr>
          <w:rFonts w:ascii="宋体" w:eastAsia="宋体" w:hAnsi="宋体" w:cs="方正仿宋简体"/>
          <w:b/>
          <w:bCs/>
          <w:iCs/>
          <w:szCs w:val="21"/>
        </w:rPr>
        <w:t>风险揭示与重要提示</w:t>
      </w:r>
    </w:p>
    <w:p w:rsidR="008C558C" w:rsidRPr="008C558C" w:rsidRDefault="00233B6D"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lastRenderedPageBreak/>
        <w:t>（一）</w:t>
      </w:r>
      <w:r w:rsidRPr="008C558C">
        <w:rPr>
          <w:rFonts w:ascii="宋体" w:eastAsia="宋体" w:hAnsi="宋体" w:cs="方正仿宋简体"/>
          <w:b/>
          <w:bCs/>
          <w:iCs/>
          <w:szCs w:val="21"/>
        </w:rPr>
        <w:t>风险揭示</w:t>
      </w:r>
    </w:p>
    <w:p w:rsidR="00834E25" w:rsidRPr="008C558C" w:rsidRDefault="00233B6D" w:rsidP="008C558C">
      <w:pPr>
        <w:spacing w:line="360" w:lineRule="auto"/>
        <w:ind w:firstLineChars="200" w:firstLine="42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本基金法律文件风险收益特征表述与销售机构基金风险评价可能不一致的风险、特有风险、操作或技术风险、合规性风险及其它风险。其中特有风险具体如下：</w:t>
      </w:r>
    </w:p>
    <w:p w:rsidR="00834E25" w:rsidRPr="008C558C" w:rsidRDefault="00233B6D" w:rsidP="008C558C">
      <w:pPr>
        <w:spacing w:line="360" w:lineRule="auto"/>
        <w:ind w:firstLineChars="200" w:firstLine="420"/>
        <w:rPr>
          <w:rFonts w:ascii="宋体" w:eastAsia="宋体" w:hAnsi="宋体" w:cs="方正仿宋简体"/>
          <w:iCs/>
          <w:szCs w:val="21"/>
        </w:rPr>
        <w:sectPr w:rsidR="00834E25" w:rsidRPr="008C558C"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国债期货投资风险：国债期货的投资可能面临市场风险、基差风险、流动性风险。2、资产支持证券投资风险：资产支持证券在国内市场尚处发展初期，具有低流动性、高收益的特征，并存在一定的投资风险。3、启用侧袋机制的风险。</w:t>
      </w:r>
    </w:p>
    <w:p w:rsidR="005468DA" w:rsidRPr="005468DA" w:rsidRDefault="00233B6D"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lastRenderedPageBreak/>
        <w:t>（二）</w:t>
      </w:r>
      <w:r w:rsidRPr="005468DA">
        <w:rPr>
          <w:rFonts w:ascii="宋体" w:eastAsia="宋体" w:hAnsi="宋体" w:cs="方正仿宋简体"/>
          <w:b/>
          <w:bCs/>
          <w:iCs/>
          <w:szCs w:val="21"/>
        </w:rPr>
        <w:t>重要提示</w:t>
      </w:r>
    </w:p>
    <w:p w:rsidR="00727A53" w:rsidRPr="001E2FEA" w:rsidRDefault="00233B6D"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00CE7846" w:rsidRPr="001E2FEA" w:rsidRDefault="00233B6D"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00CE7846" w:rsidRPr="001E2FEA" w:rsidRDefault="00233B6D"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00CE7846" w:rsidRPr="001E2FEA" w:rsidRDefault="00233B6D"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00CE7846" w:rsidRPr="001E2FEA" w:rsidRDefault="00233B6D" w:rsidP="00C50D7E">
      <w:pPr>
        <w:spacing w:line="360" w:lineRule="auto"/>
        <w:ind w:firstLineChars="200" w:firstLine="420"/>
        <w:jc w:val="left"/>
        <w:rPr>
          <w:rFonts w:ascii="宋体" w:eastAsia="宋体" w:hAnsi="宋体" w:cs="方正仿宋简体"/>
          <w:iCs/>
          <w:szCs w:val="21"/>
        </w:rPr>
        <w:sectPr w:rsidR="00CE7846" w:rsidRPr="001E2FEA"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RDefault="00233B6D"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lastRenderedPageBreak/>
        <w:t>五、</w:t>
      </w:r>
      <w:r w:rsidRPr="00575F21">
        <w:rPr>
          <w:rFonts w:ascii="宋体" w:eastAsia="宋体" w:hAnsi="宋体" w:cs="方正仿宋简体"/>
          <w:b/>
          <w:bCs/>
          <w:iCs/>
          <w:szCs w:val="21"/>
        </w:rPr>
        <w:t>其他资料查询方式</w:t>
      </w:r>
    </w:p>
    <w:p w:rsidR="00834E25" w:rsidRPr="00575F21" w:rsidRDefault="00233B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RDefault="00233B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lastRenderedPageBreak/>
        <w:t>1. 基金合同、托管协议、招募说明书</w:t>
      </w:r>
    </w:p>
    <w:p w:rsidR="00834E25" w:rsidRPr="00575F21" w:rsidRDefault="00233B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RDefault="00233B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RDefault="00233B6D"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RDefault="00233B6D" w:rsidP="00575F21">
      <w:pPr>
        <w:spacing w:line="360" w:lineRule="auto"/>
        <w:ind w:firstLineChars="200" w:firstLine="420"/>
        <w:rPr>
          <w:rFonts w:ascii="宋体" w:eastAsia="宋体" w:hAnsi="宋体" w:cs="方正仿宋简体"/>
          <w:iCs/>
          <w:szCs w:val="21"/>
        </w:rPr>
        <w:sectPr w:rsidR="00834E25" w:rsidRPr="00575F21"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RDefault="00233B6D"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lastRenderedPageBreak/>
        <w:t>六</w:t>
      </w:r>
      <w:r w:rsidR="00575F21" w:rsidRP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RDefault="00233B6D" w:rsidP="00C723AC">
      <w:pPr>
        <w:spacing w:line="360" w:lineRule="auto"/>
        <w:ind w:firstLineChars="200" w:firstLine="420"/>
        <w:rPr>
          <w:rFonts w:ascii="宋体" w:eastAsia="宋体" w:hAnsi="宋体" w:cs="方正仿宋简体"/>
          <w:iCs/>
          <w:szCs w:val="21"/>
        </w:rPr>
      </w:pPr>
      <w:r w:rsidRPr="00C723AC">
        <w:rPr>
          <w:rFonts w:ascii="宋体" w:eastAsia="宋体" w:hAnsi="宋体" w:cs="方正仿宋简体"/>
          <w:iCs/>
          <w:szCs w:val="21"/>
        </w:rPr>
        <w:t>本次</w:t>
      </w:r>
      <w:r w:rsidR="00144146">
        <w:rPr>
          <w:rFonts w:ascii="宋体" w:eastAsia="宋体" w:hAnsi="宋体" w:cs="方正仿宋简体" w:hint="eastAsia"/>
          <w:iCs/>
          <w:szCs w:val="21"/>
        </w:rPr>
        <w:t>基金</w:t>
      </w:r>
      <w:r w:rsidR="00144146">
        <w:rPr>
          <w:rFonts w:ascii="宋体" w:eastAsia="宋体" w:hAnsi="宋体" w:cs="方正仿宋简体"/>
          <w:iCs/>
          <w:szCs w:val="21"/>
        </w:rPr>
        <w:t>产品资料概要更新主要涉及申购费调整事项</w:t>
      </w:r>
      <w:r w:rsidRPr="00C723AC">
        <w:rPr>
          <w:rFonts w:ascii="宋体" w:eastAsia="宋体" w:hAnsi="宋体" w:cs="方正仿宋简体"/>
          <w:iCs/>
          <w:szCs w:val="21"/>
        </w:rPr>
        <w:t>。</w:t>
      </w:r>
    </w:p>
    <w:sectPr w:rsidR="00C723AC" w:rsidRPr="00C723AC" w:rsidSect="0097619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37" w:rsidRDefault="00587137" w:rsidP="00144146">
      <w:r>
        <w:separator/>
      </w:r>
    </w:p>
  </w:endnote>
  <w:endnote w:type="continuationSeparator" w:id="0">
    <w:p w:rsidR="00587137" w:rsidRDefault="00587137" w:rsidP="0014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37" w:rsidRDefault="00587137" w:rsidP="00144146">
      <w:r>
        <w:separator/>
      </w:r>
    </w:p>
  </w:footnote>
  <w:footnote w:type="continuationSeparator" w:id="0">
    <w:p w:rsidR="00587137" w:rsidRDefault="00587137" w:rsidP="00144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6CB"/>
    <w:multiLevelType w:val="hybridMultilevel"/>
    <w:tmpl w:val="3AA41978"/>
    <w:lvl w:ilvl="0" w:tplc="BD448188">
      <w:start w:val="1"/>
      <w:numFmt w:val="japaneseCounting"/>
      <w:lvlText w:val="%1、"/>
      <w:lvlJc w:val="left"/>
      <w:pPr>
        <w:ind w:left="450" w:hanging="450"/>
      </w:pPr>
      <w:rPr>
        <w:rFonts w:hint="default"/>
      </w:rPr>
    </w:lvl>
    <w:lvl w:ilvl="1" w:tplc="A184B13C" w:tentative="1">
      <w:start w:val="1"/>
      <w:numFmt w:val="lowerLetter"/>
      <w:lvlText w:val="%2)"/>
      <w:lvlJc w:val="left"/>
      <w:pPr>
        <w:ind w:left="840" w:hanging="420"/>
      </w:pPr>
    </w:lvl>
    <w:lvl w:ilvl="2" w:tplc="E564B5DE" w:tentative="1">
      <w:start w:val="1"/>
      <w:numFmt w:val="lowerRoman"/>
      <w:lvlText w:val="%3."/>
      <w:lvlJc w:val="right"/>
      <w:pPr>
        <w:ind w:left="1260" w:hanging="420"/>
      </w:pPr>
    </w:lvl>
    <w:lvl w:ilvl="3" w:tplc="A794473E" w:tentative="1">
      <w:start w:val="1"/>
      <w:numFmt w:val="decimal"/>
      <w:lvlText w:val="%4."/>
      <w:lvlJc w:val="left"/>
      <w:pPr>
        <w:ind w:left="1680" w:hanging="420"/>
      </w:pPr>
    </w:lvl>
    <w:lvl w:ilvl="4" w:tplc="913AC542" w:tentative="1">
      <w:start w:val="1"/>
      <w:numFmt w:val="lowerLetter"/>
      <w:lvlText w:val="%5)"/>
      <w:lvlJc w:val="left"/>
      <w:pPr>
        <w:ind w:left="2100" w:hanging="420"/>
      </w:pPr>
    </w:lvl>
    <w:lvl w:ilvl="5" w:tplc="00B8E64C" w:tentative="1">
      <w:start w:val="1"/>
      <w:numFmt w:val="lowerRoman"/>
      <w:lvlText w:val="%6."/>
      <w:lvlJc w:val="right"/>
      <w:pPr>
        <w:ind w:left="2520" w:hanging="420"/>
      </w:pPr>
    </w:lvl>
    <w:lvl w:ilvl="6" w:tplc="B5027CF8" w:tentative="1">
      <w:start w:val="1"/>
      <w:numFmt w:val="decimal"/>
      <w:lvlText w:val="%7."/>
      <w:lvlJc w:val="left"/>
      <w:pPr>
        <w:ind w:left="2940" w:hanging="420"/>
      </w:pPr>
    </w:lvl>
    <w:lvl w:ilvl="7" w:tplc="BB682660" w:tentative="1">
      <w:start w:val="1"/>
      <w:numFmt w:val="lowerLetter"/>
      <w:lvlText w:val="%8)"/>
      <w:lvlJc w:val="left"/>
      <w:pPr>
        <w:ind w:left="3360" w:hanging="420"/>
      </w:pPr>
    </w:lvl>
    <w:lvl w:ilvl="8" w:tplc="89BEC95E"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eportsit.com/RepTemplateManager//OfficeServer.aspx"/>
  </w:docVars>
  <w:rsids>
    <w:rsidRoot w:val="008C59BE"/>
    <w:rsid w:val="00025EAC"/>
    <w:rsid w:val="00036BDF"/>
    <w:rsid w:val="00124F47"/>
    <w:rsid w:val="00144146"/>
    <w:rsid w:val="001E2FEA"/>
    <w:rsid w:val="002066FC"/>
    <w:rsid w:val="00213261"/>
    <w:rsid w:val="00233040"/>
    <w:rsid w:val="00233B6D"/>
    <w:rsid w:val="00263627"/>
    <w:rsid w:val="002712C4"/>
    <w:rsid w:val="00292ED2"/>
    <w:rsid w:val="002948F0"/>
    <w:rsid w:val="00331AA2"/>
    <w:rsid w:val="00340931"/>
    <w:rsid w:val="003A2DC6"/>
    <w:rsid w:val="003E0F5A"/>
    <w:rsid w:val="004051D1"/>
    <w:rsid w:val="004118E0"/>
    <w:rsid w:val="0043717A"/>
    <w:rsid w:val="00486D7F"/>
    <w:rsid w:val="004F0A6C"/>
    <w:rsid w:val="0051145B"/>
    <w:rsid w:val="005468DA"/>
    <w:rsid w:val="00575F21"/>
    <w:rsid w:val="00587137"/>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CE7846"/>
    <w:rsid w:val="00D32707"/>
    <w:rsid w:val="00D76FFC"/>
    <w:rsid w:val="00D775F8"/>
    <w:rsid w:val="00DA3E8D"/>
    <w:rsid w:val="00DF6E25"/>
    <w:rsid w:val="00E01551"/>
    <w:rsid w:val="00E2656A"/>
    <w:rsid w:val="00EA2C49"/>
    <w:rsid w:val="00EB4244"/>
    <w:rsid w:val="00F6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61"/>
    <w:pPr>
      <w:ind w:firstLineChars="200" w:firstLine="420"/>
    </w:pPr>
    <w:rPr>
      <w:rFonts w:cs="Times New Roman"/>
    </w:rPr>
  </w:style>
  <w:style w:type="paragraph" w:styleId="a4">
    <w:name w:val="header"/>
    <w:basedOn w:val="a"/>
    <w:link w:val="Char"/>
    <w:uiPriority w:val="99"/>
    <w:unhideWhenUsed/>
    <w:rsid w:val="00144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4146"/>
    <w:rPr>
      <w:sz w:val="18"/>
      <w:szCs w:val="18"/>
    </w:rPr>
  </w:style>
  <w:style w:type="paragraph" w:styleId="a5">
    <w:name w:val="footer"/>
    <w:basedOn w:val="a"/>
    <w:link w:val="Char0"/>
    <w:uiPriority w:val="99"/>
    <w:unhideWhenUsed/>
    <w:rsid w:val="00144146"/>
    <w:pPr>
      <w:tabs>
        <w:tab w:val="center" w:pos="4153"/>
        <w:tab w:val="right" w:pos="8306"/>
      </w:tabs>
      <w:snapToGrid w:val="0"/>
      <w:jc w:val="left"/>
    </w:pPr>
    <w:rPr>
      <w:sz w:val="18"/>
      <w:szCs w:val="18"/>
    </w:rPr>
  </w:style>
  <w:style w:type="character" w:customStyle="1" w:styleId="Char0">
    <w:name w:val="页脚 Char"/>
    <w:basedOn w:val="a0"/>
    <w:link w:val="a5"/>
    <w:uiPriority w:val="99"/>
    <w:rsid w:val="00144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张璋</cp:lastModifiedBy>
  <cp:revision>5</cp:revision>
  <dcterms:created xsi:type="dcterms:W3CDTF">2020-08-14T05:50:00Z</dcterms:created>
  <dcterms:modified xsi:type="dcterms:W3CDTF">2023-01-05T05:05:00Z</dcterms:modified>
</cp:coreProperties>
</file>