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9320" w14:textId="77777777" w:rsidR="006E06DA" w:rsidRPr="006E06DA" w:rsidRDefault="006E06DA" w:rsidP="006E06DA">
      <w:pPr>
        <w:adjustRightInd w:val="0"/>
        <w:snapToGrid w:val="0"/>
        <w:spacing w:before="100" w:beforeAutospacing="1" w:after="100" w:afterAutospacing="1" w:line="360" w:lineRule="auto"/>
        <w:jc w:val="center"/>
        <w:rPr>
          <w:rFonts w:asciiTheme="minorEastAsia" w:eastAsiaTheme="minorEastAsia" w:hAnsiTheme="minorEastAsia" w:cs="Arial"/>
          <w:sz w:val="24"/>
        </w:rPr>
      </w:pPr>
    </w:p>
    <w:p w14:paraId="4DF63047" w14:textId="77777777" w:rsidR="006E06DA" w:rsidRPr="006E06DA" w:rsidRDefault="006E06DA" w:rsidP="006E06DA">
      <w:pPr>
        <w:adjustRightInd w:val="0"/>
        <w:snapToGrid w:val="0"/>
        <w:spacing w:before="100" w:beforeAutospacing="1" w:after="100" w:afterAutospacing="1" w:line="360" w:lineRule="auto"/>
        <w:jc w:val="center"/>
        <w:rPr>
          <w:rFonts w:asciiTheme="minorEastAsia" w:eastAsiaTheme="minorEastAsia" w:hAnsiTheme="minorEastAsia" w:cs="Arial"/>
          <w:sz w:val="24"/>
        </w:rPr>
      </w:pPr>
    </w:p>
    <w:p w14:paraId="78A70515" w14:textId="77777777" w:rsidR="006E06DA" w:rsidRDefault="006E06DA" w:rsidP="006E06DA">
      <w:pPr>
        <w:adjustRightInd w:val="0"/>
        <w:snapToGrid w:val="0"/>
        <w:spacing w:before="100" w:beforeAutospacing="1" w:after="100" w:afterAutospacing="1" w:line="360" w:lineRule="auto"/>
        <w:jc w:val="center"/>
        <w:rPr>
          <w:rFonts w:asciiTheme="minorEastAsia" w:eastAsiaTheme="minorEastAsia" w:hAnsiTheme="minorEastAsia" w:cs="Arial"/>
          <w:sz w:val="24"/>
        </w:rPr>
      </w:pPr>
    </w:p>
    <w:p w14:paraId="3A7AE90C" w14:textId="77777777" w:rsidR="006E06DA" w:rsidRDefault="006E06DA" w:rsidP="006E06DA">
      <w:pPr>
        <w:adjustRightInd w:val="0"/>
        <w:snapToGrid w:val="0"/>
        <w:spacing w:before="100" w:beforeAutospacing="1" w:after="100" w:afterAutospacing="1" w:line="360" w:lineRule="auto"/>
        <w:jc w:val="center"/>
        <w:rPr>
          <w:rFonts w:asciiTheme="minorEastAsia" w:eastAsiaTheme="minorEastAsia" w:hAnsiTheme="minorEastAsia" w:cs="Arial"/>
          <w:sz w:val="24"/>
        </w:rPr>
      </w:pPr>
    </w:p>
    <w:p w14:paraId="184B32ED" w14:textId="77777777" w:rsidR="006E06DA" w:rsidRPr="006E06DA" w:rsidRDefault="006E06DA" w:rsidP="006E06DA">
      <w:pPr>
        <w:adjustRightInd w:val="0"/>
        <w:snapToGrid w:val="0"/>
        <w:spacing w:before="100" w:beforeAutospacing="1" w:after="100" w:afterAutospacing="1" w:line="360" w:lineRule="auto"/>
        <w:jc w:val="center"/>
        <w:rPr>
          <w:rFonts w:asciiTheme="minorEastAsia" w:eastAsiaTheme="minorEastAsia" w:hAnsiTheme="minorEastAsia" w:cs="Arial"/>
          <w:sz w:val="24"/>
        </w:rPr>
      </w:pPr>
    </w:p>
    <w:p w14:paraId="17ED5F1B" w14:textId="77777777" w:rsidR="006E06DA" w:rsidRPr="006E06DA" w:rsidRDefault="006E06DA" w:rsidP="006E06DA">
      <w:pPr>
        <w:adjustRightInd w:val="0"/>
        <w:snapToGrid w:val="0"/>
        <w:spacing w:before="100" w:beforeAutospacing="1" w:after="100" w:afterAutospacing="1" w:line="360" w:lineRule="auto"/>
        <w:jc w:val="center"/>
        <w:rPr>
          <w:rFonts w:asciiTheme="minorEastAsia" w:eastAsiaTheme="minorEastAsia" w:hAnsiTheme="minorEastAsia" w:cs="Arial"/>
          <w:sz w:val="24"/>
        </w:rPr>
      </w:pPr>
    </w:p>
    <w:p w14:paraId="08663A58" w14:textId="77777777" w:rsidR="006E06DA" w:rsidRPr="006E06DA" w:rsidRDefault="006E06DA" w:rsidP="006E06DA">
      <w:pPr>
        <w:jc w:val="center"/>
        <w:rPr>
          <w:rFonts w:ascii="宋体" w:hAnsi="宋体"/>
          <w:b/>
          <w:sz w:val="36"/>
          <w:szCs w:val="20"/>
        </w:rPr>
      </w:pPr>
      <w:proofErr w:type="gramStart"/>
      <w:r w:rsidRPr="006E06DA">
        <w:rPr>
          <w:rFonts w:ascii="宋体" w:hAnsi="宋体" w:hint="eastAsia"/>
          <w:b/>
          <w:sz w:val="36"/>
          <w:szCs w:val="20"/>
        </w:rPr>
        <w:t>汇添富稳安</w:t>
      </w:r>
      <w:proofErr w:type="gramEnd"/>
      <w:r w:rsidRPr="006E06DA">
        <w:rPr>
          <w:rFonts w:ascii="宋体" w:hAnsi="宋体" w:hint="eastAsia"/>
          <w:b/>
          <w:sz w:val="36"/>
          <w:szCs w:val="20"/>
        </w:rPr>
        <w:t>三个月持有期债券型证券投资基金</w:t>
      </w:r>
    </w:p>
    <w:p w14:paraId="54D909E6" w14:textId="77777777" w:rsidR="006E06DA" w:rsidRPr="006E06DA" w:rsidRDefault="006E06DA" w:rsidP="006E06DA">
      <w:pPr>
        <w:jc w:val="center"/>
        <w:rPr>
          <w:rFonts w:asciiTheme="minorEastAsia" w:eastAsiaTheme="minorEastAsia" w:hAnsiTheme="minorEastAsia" w:cs="Arial"/>
          <w:b/>
          <w:sz w:val="44"/>
        </w:rPr>
      </w:pPr>
      <w:r w:rsidRPr="006E06DA">
        <w:rPr>
          <w:rFonts w:ascii="宋体" w:hAnsi="宋体" w:hint="eastAsia"/>
          <w:b/>
          <w:sz w:val="36"/>
          <w:szCs w:val="20"/>
        </w:rPr>
        <w:t>托管协议</w:t>
      </w:r>
    </w:p>
    <w:p w14:paraId="255DA4C8" w14:textId="77777777" w:rsidR="006E06DA" w:rsidRPr="006E06DA" w:rsidRDefault="006E06DA" w:rsidP="006E06DA">
      <w:pPr>
        <w:adjustRightInd w:val="0"/>
        <w:snapToGrid w:val="0"/>
        <w:spacing w:before="100" w:beforeAutospacing="1" w:after="100" w:afterAutospacing="1" w:line="360" w:lineRule="auto"/>
        <w:jc w:val="center"/>
        <w:outlineLvl w:val="0"/>
        <w:rPr>
          <w:rFonts w:asciiTheme="minorEastAsia" w:eastAsiaTheme="minorEastAsia" w:hAnsiTheme="minorEastAsia" w:cs="Arial"/>
          <w:sz w:val="24"/>
        </w:rPr>
      </w:pPr>
    </w:p>
    <w:p w14:paraId="14875989" w14:textId="77777777" w:rsidR="006E06DA" w:rsidRPr="006E06DA" w:rsidRDefault="006E06DA" w:rsidP="006E06DA">
      <w:pPr>
        <w:adjustRightInd w:val="0"/>
        <w:snapToGrid w:val="0"/>
        <w:spacing w:before="100" w:beforeAutospacing="1" w:after="100" w:afterAutospacing="1" w:line="360" w:lineRule="auto"/>
        <w:jc w:val="center"/>
        <w:outlineLvl w:val="0"/>
        <w:rPr>
          <w:rFonts w:asciiTheme="minorEastAsia" w:eastAsiaTheme="minorEastAsia" w:hAnsiTheme="minorEastAsia" w:cs="Arial"/>
          <w:sz w:val="24"/>
        </w:rPr>
      </w:pPr>
    </w:p>
    <w:p w14:paraId="27829E2F" w14:textId="77777777" w:rsidR="006E06DA" w:rsidRPr="006E06DA" w:rsidRDefault="006E06DA" w:rsidP="006E06DA">
      <w:pPr>
        <w:adjustRightInd w:val="0"/>
        <w:snapToGrid w:val="0"/>
        <w:spacing w:before="100" w:beforeAutospacing="1" w:after="100" w:afterAutospacing="1" w:line="360" w:lineRule="auto"/>
        <w:jc w:val="center"/>
        <w:outlineLvl w:val="0"/>
        <w:rPr>
          <w:rFonts w:asciiTheme="minorEastAsia" w:eastAsiaTheme="minorEastAsia" w:hAnsiTheme="minorEastAsia" w:cs="Arial"/>
          <w:sz w:val="24"/>
        </w:rPr>
      </w:pPr>
    </w:p>
    <w:p w14:paraId="58FB3A81" w14:textId="77777777" w:rsidR="006E06DA" w:rsidRPr="006E06DA" w:rsidRDefault="006E06DA" w:rsidP="006E06DA">
      <w:pPr>
        <w:adjustRightInd w:val="0"/>
        <w:snapToGrid w:val="0"/>
        <w:spacing w:before="100" w:beforeAutospacing="1" w:after="100" w:afterAutospacing="1" w:line="360" w:lineRule="auto"/>
        <w:jc w:val="center"/>
        <w:outlineLvl w:val="0"/>
        <w:rPr>
          <w:rFonts w:asciiTheme="minorEastAsia" w:eastAsiaTheme="minorEastAsia" w:hAnsiTheme="minorEastAsia" w:cs="Arial"/>
          <w:sz w:val="24"/>
        </w:rPr>
      </w:pPr>
    </w:p>
    <w:p w14:paraId="39004101" w14:textId="77777777" w:rsidR="006E06DA" w:rsidRPr="006E06DA" w:rsidRDefault="006E06DA" w:rsidP="006E06DA">
      <w:pPr>
        <w:adjustRightInd w:val="0"/>
        <w:snapToGrid w:val="0"/>
        <w:spacing w:before="100" w:beforeAutospacing="1" w:after="100" w:afterAutospacing="1" w:line="360" w:lineRule="auto"/>
        <w:jc w:val="center"/>
        <w:outlineLvl w:val="0"/>
        <w:rPr>
          <w:rFonts w:asciiTheme="minorEastAsia" w:eastAsiaTheme="minorEastAsia" w:hAnsiTheme="minorEastAsia" w:cs="Arial"/>
          <w:sz w:val="24"/>
        </w:rPr>
      </w:pPr>
    </w:p>
    <w:p w14:paraId="59CA8A8B" w14:textId="77777777" w:rsidR="006E06DA" w:rsidRPr="006E06DA" w:rsidRDefault="006E06DA" w:rsidP="006E06DA">
      <w:pPr>
        <w:adjustRightInd w:val="0"/>
        <w:snapToGrid w:val="0"/>
        <w:spacing w:before="100" w:beforeAutospacing="1" w:after="100" w:afterAutospacing="1" w:line="360" w:lineRule="auto"/>
        <w:jc w:val="center"/>
        <w:outlineLvl w:val="0"/>
        <w:rPr>
          <w:rFonts w:asciiTheme="minorEastAsia" w:eastAsiaTheme="minorEastAsia" w:hAnsiTheme="minorEastAsia" w:cs="Arial"/>
          <w:sz w:val="24"/>
        </w:rPr>
      </w:pPr>
    </w:p>
    <w:p w14:paraId="4A31E5C4" w14:textId="77777777" w:rsidR="006E06DA" w:rsidRPr="006E06DA" w:rsidRDefault="006E06DA" w:rsidP="006E06DA">
      <w:pPr>
        <w:jc w:val="center"/>
        <w:rPr>
          <w:rFonts w:ascii="Calibri" w:hAnsi="Calibri"/>
          <w:b/>
          <w:sz w:val="32"/>
          <w:szCs w:val="20"/>
        </w:rPr>
      </w:pPr>
      <w:r w:rsidRPr="006E06DA">
        <w:rPr>
          <w:rFonts w:ascii="Calibri" w:hAnsi="Calibri" w:hint="eastAsia"/>
          <w:b/>
          <w:sz w:val="32"/>
          <w:szCs w:val="20"/>
        </w:rPr>
        <w:t>基金管理人：</w:t>
      </w:r>
      <w:proofErr w:type="gramStart"/>
      <w:r w:rsidRPr="006E06DA">
        <w:rPr>
          <w:rFonts w:ascii="Calibri" w:hAnsi="Calibri" w:hint="eastAsia"/>
          <w:b/>
          <w:sz w:val="32"/>
          <w:szCs w:val="20"/>
        </w:rPr>
        <w:t>汇添富基金</w:t>
      </w:r>
      <w:proofErr w:type="gramEnd"/>
      <w:r w:rsidRPr="006E06DA">
        <w:rPr>
          <w:rFonts w:ascii="Calibri" w:hAnsi="Calibri" w:hint="eastAsia"/>
          <w:b/>
          <w:sz w:val="32"/>
          <w:szCs w:val="20"/>
        </w:rPr>
        <w:t>管理股份有限公司</w:t>
      </w:r>
    </w:p>
    <w:p w14:paraId="77485FEC" w14:textId="77777777" w:rsidR="006E06DA" w:rsidRPr="006E06DA" w:rsidRDefault="006E06DA" w:rsidP="006E06DA">
      <w:pPr>
        <w:jc w:val="center"/>
        <w:rPr>
          <w:rFonts w:asciiTheme="minorEastAsia" w:eastAsiaTheme="minorEastAsia" w:hAnsiTheme="minorEastAsia" w:cs="Arial"/>
          <w:b/>
          <w:bCs/>
          <w:sz w:val="28"/>
        </w:rPr>
      </w:pPr>
      <w:r w:rsidRPr="006E06DA">
        <w:rPr>
          <w:rFonts w:ascii="Calibri" w:hAnsi="Calibri" w:hint="eastAsia"/>
          <w:b/>
          <w:sz w:val="32"/>
          <w:szCs w:val="20"/>
        </w:rPr>
        <w:t>基金托管人：中国建设银行股份有限公司</w:t>
      </w:r>
    </w:p>
    <w:p w14:paraId="2E94EB21" w14:textId="77777777" w:rsidR="006E06DA" w:rsidRPr="006E06DA" w:rsidRDefault="006E06DA" w:rsidP="006E06DA">
      <w:pPr>
        <w:adjustRightInd w:val="0"/>
        <w:snapToGrid w:val="0"/>
        <w:spacing w:before="100" w:beforeAutospacing="1" w:after="100" w:afterAutospacing="1" w:line="360" w:lineRule="auto"/>
        <w:jc w:val="center"/>
        <w:outlineLvl w:val="0"/>
        <w:rPr>
          <w:rFonts w:asciiTheme="minorEastAsia" w:eastAsiaTheme="minorEastAsia" w:hAnsiTheme="minorEastAsia" w:cs="Arial"/>
          <w:sz w:val="24"/>
        </w:rPr>
      </w:pPr>
    </w:p>
    <w:p w14:paraId="220D1759" w14:textId="77777777" w:rsidR="00D92292" w:rsidRDefault="00D92292" w:rsidP="00D92292">
      <w:pPr>
        <w:adjustRightInd w:val="0"/>
        <w:snapToGrid w:val="0"/>
        <w:spacing w:before="100" w:beforeAutospacing="1" w:after="100" w:afterAutospacing="1" w:line="360" w:lineRule="auto"/>
        <w:jc w:val="center"/>
        <w:outlineLvl w:val="0"/>
        <w:rPr>
          <w:rFonts w:asciiTheme="minorEastAsia" w:eastAsiaTheme="minorEastAsia" w:hAnsiTheme="minorEastAsia" w:cs="Arial"/>
          <w:sz w:val="24"/>
        </w:rPr>
        <w:sectPr w:rsidR="00D92292" w:rsidSect="00D92292">
          <w:headerReference w:type="default" r:id="rId8"/>
          <w:footerReference w:type="default" r:id="rId9"/>
          <w:footerReference w:type="first" r:id="rId10"/>
          <w:pgSz w:w="11906" w:h="16838" w:code="9"/>
          <w:pgMar w:top="1440" w:right="1800" w:bottom="1440" w:left="1800" w:header="851" w:footer="992" w:gutter="0"/>
          <w:pgNumType w:start="1"/>
          <w:cols w:space="425"/>
          <w:titlePg/>
          <w:docGrid w:type="lines" w:linePitch="312"/>
        </w:sectPr>
      </w:pPr>
    </w:p>
    <w:p w14:paraId="6B457A4F" w14:textId="77777777" w:rsidR="006E06DA" w:rsidRPr="00135476" w:rsidRDefault="006E06DA" w:rsidP="00135476">
      <w:pPr>
        <w:jc w:val="center"/>
        <w:rPr>
          <w:rFonts w:ascii="Calibri" w:hAnsi="Calibri"/>
          <w:bCs/>
          <w:sz w:val="28"/>
          <w:szCs w:val="20"/>
        </w:rPr>
      </w:pPr>
      <w:r w:rsidRPr="00135476">
        <w:rPr>
          <w:rFonts w:ascii="Calibri" w:hAnsi="Calibri" w:hint="eastAsia"/>
          <w:bCs/>
          <w:sz w:val="28"/>
          <w:szCs w:val="20"/>
        </w:rPr>
        <w:lastRenderedPageBreak/>
        <w:t>目</w:t>
      </w:r>
      <w:r w:rsidRPr="00135476">
        <w:rPr>
          <w:rFonts w:ascii="Calibri" w:hAnsi="Calibri" w:hint="eastAsia"/>
          <w:bCs/>
          <w:sz w:val="28"/>
          <w:szCs w:val="20"/>
        </w:rPr>
        <w:t xml:space="preserve">    </w:t>
      </w:r>
      <w:r w:rsidRPr="00135476">
        <w:rPr>
          <w:rFonts w:ascii="Calibri" w:hAnsi="Calibri" w:hint="eastAsia"/>
          <w:bCs/>
          <w:sz w:val="28"/>
          <w:szCs w:val="20"/>
        </w:rPr>
        <w:t>录</w:t>
      </w:r>
    </w:p>
    <w:p w14:paraId="637225C1" w14:textId="77777777" w:rsidR="006E06DA" w:rsidRPr="006E06DA" w:rsidRDefault="006E06DA" w:rsidP="00D92292">
      <w:pPr>
        <w:pStyle w:val="TOC2"/>
        <w:tabs>
          <w:tab w:val="right" w:leader="dot" w:pos="8494"/>
        </w:tabs>
        <w:spacing w:line="360" w:lineRule="auto"/>
        <w:ind w:leftChars="0" w:left="0"/>
        <w:rPr>
          <w:rFonts w:asciiTheme="minorEastAsia" w:eastAsiaTheme="minorEastAsia" w:hAnsiTheme="minorEastAsia"/>
          <w:noProof/>
          <w:sz w:val="24"/>
        </w:rPr>
      </w:pPr>
      <w:r w:rsidRPr="006E06DA">
        <w:rPr>
          <w:rFonts w:asciiTheme="minorEastAsia" w:eastAsiaTheme="minorEastAsia" w:hAnsiTheme="minorEastAsia" w:hint="eastAsia"/>
          <w:sz w:val="24"/>
        </w:rPr>
        <w:fldChar w:fldCharType="begin"/>
      </w:r>
      <w:r w:rsidRPr="006E06DA">
        <w:rPr>
          <w:rFonts w:asciiTheme="minorEastAsia" w:eastAsiaTheme="minorEastAsia" w:hAnsiTheme="minorEastAsia" w:hint="eastAsia"/>
          <w:sz w:val="24"/>
        </w:rPr>
        <w:instrText xml:space="preserve"> TOC \o "1-2" \h \z </w:instrText>
      </w:r>
      <w:r w:rsidRPr="006E06DA">
        <w:rPr>
          <w:rFonts w:asciiTheme="minorEastAsia" w:eastAsiaTheme="minorEastAsia" w:hAnsiTheme="minorEastAsia" w:hint="eastAsia"/>
          <w:sz w:val="24"/>
        </w:rPr>
        <w:fldChar w:fldCharType="separate"/>
      </w:r>
      <w:hyperlink w:anchor="_Toc124325885" w:history="1">
        <w:r w:rsidRPr="006E06DA">
          <w:rPr>
            <w:rStyle w:val="ab"/>
            <w:rFonts w:asciiTheme="minorEastAsia" w:eastAsiaTheme="minorEastAsia" w:hAnsiTheme="minorEastAsia" w:hint="eastAsia"/>
            <w:noProof/>
            <w:sz w:val="24"/>
          </w:rPr>
          <w:t>一、基金托管协议当事人</w:t>
        </w:r>
        <w:r w:rsidRPr="006E06DA">
          <w:rPr>
            <w:rFonts w:asciiTheme="minorEastAsia" w:eastAsiaTheme="minorEastAsia" w:hAnsiTheme="minorEastAsia" w:hint="eastAsia"/>
            <w:noProof/>
            <w:webHidden/>
            <w:sz w:val="24"/>
          </w:rPr>
          <w:tab/>
        </w:r>
        <w:r w:rsidRPr="006E06DA">
          <w:rPr>
            <w:rFonts w:asciiTheme="minorEastAsia" w:eastAsiaTheme="minorEastAsia" w:hAnsiTheme="minorEastAsia" w:hint="eastAsia"/>
            <w:noProof/>
            <w:webHidden/>
            <w:sz w:val="24"/>
          </w:rPr>
          <w:fldChar w:fldCharType="begin"/>
        </w:r>
        <w:r w:rsidRPr="006E06DA">
          <w:rPr>
            <w:rFonts w:asciiTheme="minorEastAsia" w:eastAsiaTheme="minorEastAsia" w:hAnsiTheme="minorEastAsia" w:hint="eastAsia"/>
            <w:noProof/>
            <w:webHidden/>
            <w:sz w:val="24"/>
          </w:rPr>
          <w:instrText xml:space="preserve"> PAGEREF _Toc124325885 \h </w:instrText>
        </w:r>
        <w:r w:rsidRPr="006E06DA">
          <w:rPr>
            <w:rFonts w:asciiTheme="minorEastAsia" w:eastAsiaTheme="minorEastAsia" w:hAnsiTheme="minorEastAsia" w:hint="eastAsia"/>
            <w:noProof/>
            <w:webHidden/>
            <w:sz w:val="24"/>
          </w:rPr>
        </w:r>
        <w:r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1</w:t>
        </w:r>
        <w:r w:rsidRPr="006E06DA">
          <w:rPr>
            <w:rFonts w:asciiTheme="minorEastAsia" w:eastAsiaTheme="minorEastAsia" w:hAnsiTheme="minorEastAsia" w:hint="eastAsia"/>
            <w:noProof/>
            <w:webHidden/>
            <w:sz w:val="24"/>
          </w:rPr>
          <w:fldChar w:fldCharType="end"/>
        </w:r>
      </w:hyperlink>
    </w:p>
    <w:p w14:paraId="2D1F3D19"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86" w:history="1">
        <w:r w:rsidR="006E06DA" w:rsidRPr="006E06DA">
          <w:rPr>
            <w:rStyle w:val="ab"/>
            <w:rFonts w:asciiTheme="minorEastAsia" w:eastAsiaTheme="minorEastAsia" w:hAnsiTheme="minorEastAsia" w:hint="eastAsia"/>
            <w:noProof/>
            <w:sz w:val="24"/>
          </w:rPr>
          <w:t>二、基金托管协议的依据、目的和原则</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_Toc124325886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2</w:t>
        </w:r>
        <w:r w:rsidR="006E06DA" w:rsidRPr="006E06DA">
          <w:rPr>
            <w:rFonts w:asciiTheme="minorEastAsia" w:eastAsiaTheme="minorEastAsia" w:hAnsiTheme="minorEastAsia" w:hint="eastAsia"/>
            <w:noProof/>
            <w:webHidden/>
            <w:sz w:val="24"/>
          </w:rPr>
          <w:fldChar w:fldCharType="end"/>
        </w:r>
      </w:hyperlink>
    </w:p>
    <w:p w14:paraId="2277B5B6"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87" w:history="1">
        <w:r w:rsidR="006E06DA" w:rsidRPr="006E06DA">
          <w:rPr>
            <w:rStyle w:val="ab"/>
            <w:rFonts w:asciiTheme="minorEastAsia" w:eastAsiaTheme="minorEastAsia" w:hAnsiTheme="minorEastAsia" w:hint="eastAsia"/>
            <w:noProof/>
            <w:sz w:val="24"/>
          </w:rPr>
          <w:t>三、基金托管人对基金管理人的业务监督和核查</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_Toc124325887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w:t>
        </w:r>
        <w:r w:rsidR="006E06DA" w:rsidRPr="006E06DA">
          <w:rPr>
            <w:rFonts w:asciiTheme="minorEastAsia" w:eastAsiaTheme="minorEastAsia" w:hAnsiTheme="minorEastAsia" w:hint="eastAsia"/>
            <w:noProof/>
            <w:webHidden/>
            <w:sz w:val="24"/>
          </w:rPr>
          <w:fldChar w:fldCharType="end"/>
        </w:r>
      </w:hyperlink>
    </w:p>
    <w:p w14:paraId="6582C17C"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88" w:history="1">
        <w:r w:rsidR="006E06DA" w:rsidRPr="006E06DA">
          <w:rPr>
            <w:rStyle w:val="ab"/>
            <w:rFonts w:asciiTheme="minorEastAsia" w:eastAsiaTheme="minorEastAsia" w:hAnsiTheme="minorEastAsia" w:hint="eastAsia"/>
            <w:noProof/>
            <w:sz w:val="24"/>
          </w:rPr>
          <w:t>四、基金管理人对基金托管人的业务核查</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_Toc124325888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9</w:t>
        </w:r>
        <w:r w:rsidR="006E06DA" w:rsidRPr="006E06DA">
          <w:rPr>
            <w:rFonts w:asciiTheme="minorEastAsia" w:eastAsiaTheme="minorEastAsia" w:hAnsiTheme="minorEastAsia" w:hint="eastAsia"/>
            <w:noProof/>
            <w:webHidden/>
            <w:sz w:val="24"/>
          </w:rPr>
          <w:fldChar w:fldCharType="end"/>
        </w:r>
      </w:hyperlink>
    </w:p>
    <w:p w14:paraId="64459EFE"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89" w:history="1">
        <w:r w:rsidR="006E06DA" w:rsidRPr="006E06DA">
          <w:rPr>
            <w:rStyle w:val="ab"/>
            <w:rFonts w:asciiTheme="minorEastAsia" w:eastAsiaTheme="minorEastAsia" w:hAnsiTheme="minorEastAsia" w:hint="eastAsia"/>
            <w:noProof/>
            <w:sz w:val="24"/>
          </w:rPr>
          <w:t>五、基金财产的保管</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_Toc124325889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10</w:t>
        </w:r>
        <w:r w:rsidR="006E06DA" w:rsidRPr="006E06DA">
          <w:rPr>
            <w:rFonts w:asciiTheme="minorEastAsia" w:eastAsiaTheme="minorEastAsia" w:hAnsiTheme="minorEastAsia" w:hint="eastAsia"/>
            <w:noProof/>
            <w:webHidden/>
            <w:sz w:val="24"/>
          </w:rPr>
          <w:fldChar w:fldCharType="end"/>
        </w:r>
      </w:hyperlink>
    </w:p>
    <w:p w14:paraId="5DF15428"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0" w:history="1">
        <w:r w:rsidR="006E06DA" w:rsidRPr="006E06DA">
          <w:rPr>
            <w:rStyle w:val="ab"/>
            <w:rFonts w:asciiTheme="minorEastAsia" w:eastAsiaTheme="minorEastAsia" w:hAnsiTheme="minorEastAsia" w:hint="eastAsia"/>
            <w:noProof/>
            <w:sz w:val="24"/>
          </w:rPr>
          <w:t>六、指令的发送、确认及执行</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_Toc124325890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13</w:t>
        </w:r>
        <w:r w:rsidR="006E06DA" w:rsidRPr="006E06DA">
          <w:rPr>
            <w:rFonts w:asciiTheme="minorEastAsia" w:eastAsiaTheme="minorEastAsia" w:hAnsiTheme="minorEastAsia" w:hint="eastAsia"/>
            <w:noProof/>
            <w:webHidden/>
            <w:sz w:val="24"/>
          </w:rPr>
          <w:fldChar w:fldCharType="end"/>
        </w:r>
      </w:hyperlink>
    </w:p>
    <w:p w14:paraId="0E36733A"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1" w:history="1">
        <w:r w:rsidR="006E06DA" w:rsidRPr="006E06DA">
          <w:rPr>
            <w:rStyle w:val="ab"/>
            <w:rFonts w:asciiTheme="minorEastAsia" w:eastAsiaTheme="minorEastAsia" w:hAnsiTheme="minorEastAsia" w:hint="eastAsia"/>
            <w:noProof/>
            <w:sz w:val="24"/>
          </w:rPr>
          <w:t>七、交易及清算交收安排</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_Toc124325891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16</w:t>
        </w:r>
        <w:r w:rsidR="006E06DA" w:rsidRPr="006E06DA">
          <w:rPr>
            <w:rFonts w:asciiTheme="minorEastAsia" w:eastAsiaTheme="minorEastAsia" w:hAnsiTheme="minorEastAsia" w:hint="eastAsia"/>
            <w:noProof/>
            <w:webHidden/>
            <w:sz w:val="24"/>
          </w:rPr>
          <w:fldChar w:fldCharType="end"/>
        </w:r>
      </w:hyperlink>
    </w:p>
    <w:p w14:paraId="59EF32BD"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2" w:history="1">
        <w:r w:rsidR="006E06DA" w:rsidRPr="006E06DA">
          <w:rPr>
            <w:rStyle w:val="ab"/>
            <w:rFonts w:asciiTheme="minorEastAsia" w:eastAsiaTheme="minorEastAsia" w:hAnsiTheme="minorEastAsia" w:hint="eastAsia"/>
            <w:noProof/>
            <w:sz w:val="24"/>
          </w:rPr>
          <w:t>八、基金资产净值计算和会计核算</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_Toc124325892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21</w:t>
        </w:r>
        <w:r w:rsidR="006E06DA" w:rsidRPr="006E06DA">
          <w:rPr>
            <w:rFonts w:asciiTheme="minorEastAsia" w:eastAsiaTheme="minorEastAsia" w:hAnsiTheme="minorEastAsia" w:hint="eastAsia"/>
            <w:noProof/>
            <w:webHidden/>
            <w:sz w:val="24"/>
          </w:rPr>
          <w:fldChar w:fldCharType="end"/>
        </w:r>
      </w:hyperlink>
    </w:p>
    <w:p w14:paraId="487A5F1E"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3" w:history="1">
        <w:r w:rsidR="006E06DA" w:rsidRPr="006E06DA">
          <w:rPr>
            <w:rStyle w:val="ab"/>
            <w:rFonts w:asciiTheme="minorEastAsia" w:eastAsiaTheme="minorEastAsia" w:hAnsiTheme="minorEastAsia" w:hint="eastAsia"/>
            <w:noProof/>
            <w:sz w:val="24"/>
          </w:rPr>
          <w:t>九、基金收益分配</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_Toc124325893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26</w:t>
        </w:r>
        <w:r w:rsidR="006E06DA" w:rsidRPr="006E06DA">
          <w:rPr>
            <w:rFonts w:asciiTheme="minorEastAsia" w:eastAsiaTheme="minorEastAsia" w:hAnsiTheme="minorEastAsia" w:hint="eastAsia"/>
            <w:noProof/>
            <w:webHidden/>
            <w:sz w:val="24"/>
          </w:rPr>
          <w:fldChar w:fldCharType="end"/>
        </w:r>
      </w:hyperlink>
    </w:p>
    <w:p w14:paraId="199FCF4D"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4" w:history="1">
        <w:r w:rsidR="006E06DA" w:rsidRPr="006E06DA">
          <w:rPr>
            <w:rStyle w:val="ab"/>
            <w:rFonts w:asciiTheme="minorEastAsia" w:eastAsiaTheme="minorEastAsia" w:hAnsiTheme="minorEastAsia" w:hint="eastAsia"/>
            <w:noProof/>
            <w:sz w:val="24"/>
          </w:rPr>
          <w:t>十、基金信息披露</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_Toc124325894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27</w:t>
        </w:r>
        <w:r w:rsidR="006E06DA" w:rsidRPr="006E06DA">
          <w:rPr>
            <w:rFonts w:asciiTheme="minorEastAsia" w:eastAsiaTheme="minorEastAsia" w:hAnsiTheme="minorEastAsia" w:hint="eastAsia"/>
            <w:noProof/>
            <w:webHidden/>
            <w:sz w:val="24"/>
          </w:rPr>
          <w:fldChar w:fldCharType="end"/>
        </w:r>
      </w:hyperlink>
    </w:p>
    <w:p w14:paraId="22E088CD"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5" w:history="1">
        <w:r w:rsidR="006E06DA" w:rsidRPr="006E06DA">
          <w:rPr>
            <w:rStyle w:val="ab"/>
            <w:rFonts w:asciiTheme="minorEastAsia" w:eastAsiaTheme="minorEastAsia" w:hAnsiTheme="minorEastAsia" w:hint="eastAsia"/>
            <w:noProof/>
            <w:sz w:val="24"/>
          </w:rPr>
          <w:t>十一、基金费用</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_Toc124325895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29</w:t>
        </w:r>
        <w:r w:rsidR="006E06DA" w:rsidRPr="006E06DA">
          <w:rPr>
            <w:rFonts w:asciiTheme="minorEastAsia" w:eastAsiaTheme="minorEastAsia" w:hAnsiTheme="minorEastAsia" w:hint="eastAsia"/>
            <w:noProof/>
            <w:webHidden/>
            <w:sz w:val="24"/>
          </w:rPr>
          <w:fldChar w:fldCharType="end"/>
        </w:r>
      </w:hyperlink>
    </w:p>
    <w:p w14:paraId="1AECF36C"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6" w:history="1">
        <w:r w:rsidR="006E06DA" w:rsidRPr="006E06DA">
          <w:rPr>
            <w:rStyle w:val="ab"/>
            <w:rFonts w:asciiTheme="minorEastAsia" w:eastAsiaTheme="minorEastAsia" w:hAnsiTheme="minorEastAsia" w:hint="eastAsia"/>
            <w:noProof/>
            <w:sz w:val="24"/>
          </w:rPr>
          <w:t>十二、基金份额持有人名册的保管</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_Toc124325896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31</w:t>
        </w:r>
        <w:r w:rsidR="006E06DA" w:rsidRPr="006E06DA">
          <w:rPr>
            <w:rFonts w:asciiTheme="minorEastAsia" w:eastAsiaTheme="minorEastAsia" w:hAnsiTheme="minorEastAsia" w:hint="eastAsia"/>
            <w:noProof/>
            <w:webHidden/>
            <w:sz w:val="24"/>
          </w:rPr>
          <w:fldChar w:fldCharType="end"/>
        </w:r>
      </w:hyperlink>
    </w:p>
    <w:p w14:paraId="0F432CA3"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7" w:history="1">
        <w:r w:rsidR="006E06DA" w:rsidRPr="006E06DA">
          <w:rPr>
            <w:rStyle w:val="ab"/>
            <w:rFonts w:asciiTheme="minorEastAsia" w:eastAsiaTheme="minorEastAsia" w:hAnsiTheme="minorEastAsia" w:hint="eastAsia"/>
            <w:noProof/>
            <w:sz w:val="24"/>
          </w:rPr>
          <w:t>十三、基金有关文件档案的保存</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_Toc124325897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31</w:t>
        </w:r>
        <w:r w:rsidR="006E06DA" w:rsidRPr="006E06DA">
          <w:rPr>
            <w:rFonts w:asciiTheme="minorEastAsia" w:eastAsiaTheme="minorEastAsia" w:hAnsiTheme="minorEastAsia" w:hint="eastAsia"/>
            <w:noProof/>
            <w:webHidden/>
            <w:sz w:val="24"/>
          </w:rPr>
          <w:fldChar w:fldCharType="end"/>
        </w:r>
      </w:hyperlink>
    </w:p>
    <w:p w14:paraId="1F1417BF"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8" w:history="1">
        <w:r w:rsidR="006E06DA" w:rsidRPr="006E06DA">
          <w:rPr>
            <w:rStyle w:val="ab"/>
            <w:rFonts w:asciiTheme="minorEastAsia" w:eastAsiaTheme="minorEastAsia" w:hAnsiTheme="minorEastAsia" w:hint="eastAsia"/>
            <w:noProof/>
            <w:sz w:val="24"/>
          </w:rPr>
          <w:t>十四、基金管理人和基金托管人的更换</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_Toc124325898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32</w:t>
        </w:r>
        <w:r w:rsidR="006E06DA" w:rsidRPr="006E06DA">
          <w:rPr>
            <w:rFonts w:asciiTheme="minorEastAsia" w:eastAsiaTheme="minorEastAsia" w:hAnsiTheme="minorEastAsia" w:hint="eastAsia"/>
            <w:noProof/>
            <w:webHidden/>
            <w:sz w:val="24"/>
          </w:rPr>
          <w:fldChar w:fldCharType="end"/>
        </w:r>
      </w:hyperlink>
    </w:p>
    <w:p w14:paraId="60DFCC82"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899" w:history="1">
        <w:r w:rsidR="006E06DA" w:rsidRPr="006E06DA">
          <w:rPr>
            <w:rStyle w:val="ab"/>
            <w:rFonts w:asciiTheme="minorEastAsia" w:eastAsiaTheme="minorEastAsia" w:hAnsiTheme="minorEastAsia" w:hint="eastAsia"/>
            <w:noProof/>
            <w:sz w:val="24"/>
          </w:rPr>
          <w:t>十五、禁止行为</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_Toc124325899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34</w:t>
        </w:r>
        <w:r w:rsidR="006E06DA" w:rsidRPr="006E06DA">
          <w:rPr>
            <w:rFonts w:asciiTheme="minorEastAsia" w:eastAsiaTheme="minorEastAsia" w:hAnsiTheme="minorEastAsia" w:hint="eastAsia"/>
            <w:noProof/>
            <w:webHidden/>
            <w:sz w:val="24"/>
          </w:rPr>
          <w:fldChar w:fldCharType="end"/>
        </w:r>
      </w:hyperlink>
    </w:p>
    <w:p w14:paraId="04B57411"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900" w:history="1">
        <w:r w:rsidR="006E06DA" w:rsidRPr="006E06DA">
          <w:rPr>
            <w:rStyle w:val="ab"/>
            <w:rFonts w:asciiTheme="minorEastAsia" w:eastAsiaTheme="minorEastAsia" w:hAnsiTheme="minorEastAsia" w:hint="eastAsia"/>
            <w:noProof/>
            <w:sz w:val="24"/>
          </w:rPr>
          <w:t>十六、托管协议的变更、终止与基金财产的清算</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_Toc124325900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35</w:t>
        </w:r>
        <w:r w:rsidR="006E06DA" w:rsidRPr="006E06DA">
          <w:rPr>
            <w:rFonts w:asciiTheme="minorEastAsia" w:eastAsiaTheme="minorEastAsia" w:hAnsiTheme="minorEastAsia" w:hint="eastAsia"/>
            <w:noProof/>
            <w:webHidden/>
            <w:sz w:val="24"/>
          </w:rPr>
          <w:fldChar w:fldCharType="end"/>
        </w:r>
      </w:hyperlink>
    </w:p>
    <w:p w14:paraId="403265AD"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901" w:history="1">
        <w:r w:rsidR="006E06DA" w:rsidRPr="006E06DA">
          <w:rPr>
            <w:rStyle w:val="ab"/>
            <w:rFonts w:asciiTheme="minorEastAsia" w:eastAsiaTheme="minorEastAsia" w:hAnsiTheme="minorEastAsia" w:hint="eastAsia"/>
            <w:noProof/>
            <w:sz w:val="24"/>
          </w:rPr>
          <w:t>十七、违约责任</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_Toc124325901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36</w:t>
        </w:r>
        <w:r w:rsidR="006E06DA" w:rsidRPr="006E06DA">
          <w:rPr>
            <w:rFonts w:asciiTheme="minorEastAsia" w:eastAsiaTheme="minorEastAsia" w:hAnsiTheme="minorEastAsia" w:hint="eastAsia"/>
            <w:noProof/>
            <w:webHidden/>
            <w:sz w:val="24"/>
          </w:rPr>
          <w:fldChar w:fldCharType="end"/>
        </w:r>
      </w:hyperlink>
    </w:p>
    <w:p w14:paraId="68736BD9"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902" w:history="1">
        <w:r w:rsidR="006E06DA" w:rsidRPr="006E06DA">
          <w:rPr>
            <w:rStyle w:val="ab"/>
            <w:rFonts w:asciiTheme="minorEastAsia" w:eastAsiaTheme="minorEastAsia" w:hAnsiTheme="minorEastAsia" w:hint="eastAsia"/>
            <w:noProof/>
            <w:sz w:val="24"/>
          </w:rPr>
          <w:t>十八、争议解决方式</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_Toc124325902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37</w:t>
        </w:r>
        <w:r w:rsidR="006E06DA" w:rsidRPr="006E06DA">
          <w:rPr>
            <w:rFonts w:asciiTheme="minorEastAsia" w:eastAsiaTheme="minorEastAsia" w:hAnsiTheme="minorEastAsia" w:hint="eastAsia"/>
            <w:noProof/>
            <w:webHidden/>
            <w:sz w:val="24"/>
          </w:rPr>
          <w:fldChar w:fldCharType="end"/>
        </w:r>
      </w:hyperlink>
    </w:p>
    <w:p w14:paraId="2EFD410B"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903" w:history="1">
        <w:r w:rsidR="006E06DA" w:rsidRPr="006E06DA">
          <w:rPr>
            <w:rStyle w:val="ab"/>
            <w:rFonts w:asciiTheme="minorEastAsia" w:eastAsiaTheme="minorEastAsia" w:hAnsiTheme="minorEastAsia" w:hint="eastAsia"/>
            <w:noProof/>
            <w:sz w:val="24"/>
          </w:rPr>
          <w:t>十九、托管协议的效力</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_Toc124325903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38</w:t>
        </w:r>
        <w:r w:rsidR="006E06DA" w:rsidRPr="006E06DA">
          <w:rPr>
            <w:rFonts w:asciiTheme="minorEastAsia" w:eastAsiaTheme="minorEastAsia" w:hAnsiTheme="minorEastAsia" w:hint="eastAsia"/>
            <w:noProof/>
            <w:webHidden/>
            <w:sz w:val="24"/>
          </w:rPr>
          <w:fldChar w:fldCharType="end"/>
        </w:r>
      </w:hyperlink>
    </w:p>
    <w:p w14:paraId="44B51B56"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904" w:history="1">
        <w:r w:rsidR="006E06DA" w:rsidRPr="006E06DA">
          <w:rPr>
            <w:rStyle w:val="ab"/>
            <w:rFonts w:asciiTheme="minorEastAsia" w:eastAsiaTheme="minorEastAsia" w:hAnsiTheme="minorEastAsia" w:hint="eastAsia"/>
            <w:noProof/>
            <w:sz w:val="24"/>
          </w:rPr>
          <w:t>二十、其他事项</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_Toc124325904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38</w:t>
        </w:r>
        <w:r w:rsidR="006E06DA" w:rsidRPr="006E06DA">
          <w:rPr>
            <w:rFonts w:asciiTheme="minorEastAsia" w:eastAsiaTheme="minorEastAsia" w:hAnsiTheme="minorEastAsia" w:hint="eastAsia"/>
            <w:noProof/>
            <w:webHidden/>
            <w:sz w:val="24"/>
          </w:rPr>
          <w:fldChar w:fldCharType="end"/>
        </w:r>
      </w:hyperlink>
    </w:p>
    <w:p w14:paraId="72E691FF" w14:textId="77777777" w:rsidR="006E06DA" w:rsidRPr="006E06DA" w:rsidRDefault="00F47F08" w:rsidP="00D92292">
      <w:pPr>
        <w:pStyle w:val="TOC2"/>
        <w:tabs>
          <w:tab w:val="right" w:leader="dot" w:pos="8494"/>
        </w:tabs>
        <w:spacing w:line="360" w:lineRule="auto"/>
        <w:ind w:leftChars="0" w:left="0"/>
        <w:rPr>
          <w:rFonts w:asciiTheme="minorEastAsia" w:eastAsiaTheme="minorEastAsia" w:hAnsiTheme="minorEastAsia"/>
          <w:noProof/>
          <w:sz w:val="24"/>
        </w:rPr>
      </w:pPr>
      <w:hyperlink w:anchor="_Toc124325905" w:history="1">
        <w:r w:rsidR="006E06DA" w:rsidRPr="006E06DA">
          <w:rPr>
            <w:rStyle w:val="ab"/>
            <w:rFonts w:asciiTheme="minorEastAsia" w:eastAsiaTheme="minorEastAsia" w:hAnsiTheme="minorEastAsia" w:hint="eastAsia"/>
            <w:noProof/>
            <w:sz w:val="24"/>
          </w:rPr>
          <w:t>二十一、托管协议的签订</w:t>
        </w:r>
        <w:r w:rsidR="006E06DA" w:rsidRPr="006E06DA">
          <w:rPr>
            <w:rFonts w:asciiTheme="minorEastAsia" w:eastAsiaTheme="minorEastAsia" w:hAnsiTheme="minorEastAsia" w:hint="eastAsia"/>
            <w:noProof/>
            <w:webHidden/>
            <w:sz w:val="24"/>
          </w:rPr>
          <w:tab/>
        </w:r>
        <w:r w:rsidR="006E06DA" w:rsidRPr="006E06DA">
          <w:rPr>
            <w:rFonts w:asciiTheme="minorEastAsia" w:eastAsiaTheme="minorEastAsia" w:hAnsiTheme="minorEastAsia" w:hint="eastAsia"/>
            <w:noProof/>
            <w:webHidden/>
            <w:sz w:val="24"/>
          </w:rPr>
          <w:fldChar w:fldCharType="begin"/>
        </w:r>
        <w:r w:rsidR="006E06DA" w:rsidRPr="006E06DA">
          <w:rPr>
            <w:rFonts w:asciiTheme="minorEastAsia" w:eastAsiaTheme="minorEastAsia" w:hAnsiTheme="minorEastAsia" w:hint="eastAsia"/>
            <w:noProof/>
            <w:webHidden/>
            <w:sz w:val="24"/>
          </w:rPr>
          <w:instrText xml:space="preserve"> PAGEREF _Toc124325905 \h </w:instrText>
        </w:r>
        <w:r w:rsidR="006E06DA" w:rsidRPr="006E06DA">
          <w:rPr>
            <w:rFonts w:asciiTheme="minorEastAsia" w:eastAsiaTheme="minorEastAsia" w:hAnsiTheme="minorEastAsia" w:hint="eastAsia"/>
            <w:noProof/>
            <w:webHidden/>
            <w:sz w:val="24"/>
          </w:rPr>
        </w:r>
        <w:r w:rsidR="006E06DA" w:rsidRPr="006E06DA">
          <w:rPr>
            <w:rFonts w:asciiTheme="minorEastAsia" w:eastAsiaTheme="minorEastAsia" w:hAnsiTheme="minorEastAsia" w:hint="eastAsia"/>
            <w:noProof/>
            <w:webHidden/>
            <w:sz w:val="24"/>
          </w:rPr>
          <w:fldChar w:fldCharType="separate"/>
        </w:r>
        <w:r w:rsidR="003C6C57">
          <w:rPr>
            <w:rFonts w:asciiTheme="minorEastAsia" w:eastAsiaTheme="minorEastAsia" w:hAnsiTheme="minorEastAsia"/>
            <w:noProof/>
            <w:webHidden/>
            <w:sz w:val="24"/>
          </w:rPr>
          <w:t>38</w:t>
        </w:r>
        <w:r w:rsidR="006E06DA" w:rsidRPr="006E06DA">
          <w:rPr>
            <w:rFonts w:asciiTheme="minorEastAsia" w:eastAsiaTheme="minorEastAsia" w:hAnsiTheme="minorEastAsia" w:hint="eastAsia"/>
            <w:noProof/>
            <w:webHidden/>
            <w:sz w:val="24"/>
          </w:rPr>
          <w:fldChar w:fldCharType="end"/>
        </w:r>
      </w:hyperlink>
    </w:p>
    <w:p w14:paraId="127BE916" w14:textId="77777777" w:rsidR="006E06DA" w:rsidRPr="006E06DA" w:rsidRDefault="006E06DA" w:rsidP="00D92292">
      <w:pPr>
        <w:spacing w:line="360" w:lineRule="auto"/>
        <w:rPr>
          <w:rFonts w:asciiTheme="minorEastAsia" w:eastAsiaTheme="minorEastAsia" w:hAnsiTheme="minorEastAsia"/>
          <w:sz w:val="24"/>
        </w:rPr>
      </w:pPr>
      <w:r w:rsidRPr="006E06DA">
        <w:rPr>
          <w:rFonts w:asciiTheme="minorEastAsia" w:eastAsiaTheme="minorEastAsia" w:hAnsiTheme="minorEastAsia" w:hint="eastAsia"/>
          <w:sz w:val="24"/>
        </w:rPr>
        <w:fldChar w:fldCharType="end"/>
      </w:r>
    </w:p>
    <w:p w14:paraId="36A9B7CD" w14:textId="77777777" w:rsidR="006E06DA" w:rsidRDefault="006E06DA">
      <w:pPr>
        <w:widowControl/>
        <w:jc w:val="left"/>
        <w:rPr>
          <w:rFonts w:asciiTheme="minorEastAsia" w:eastAsiaTheme="minorEastAsia" w:hAnsiTheme="minorEastAsia" w:cs="Arial"/>
          <w:kern w:val="0"/>
          <w:sz w:val="24"/>
        </w:rPr>
      </w:pPr>
      <w:r>
        <w:rPr>
          <w:rFonts w:asciiTheme="minorEastAsia" w:eastAsiaTheme="minorEastAsia" w:hAnsiTheme="minorEastAsia" w:cs="Arial"/>
          <w:kern w:val="0"/>
          <w:sz w:val="24"/>
        </w:rPr>
        <w:br w:type="page"/>
      </w:r>
    </w:p>
    <w:p w14:paraId="27FCFFE7" w14:textId="77777777" w:rsidR="006E06DA" w:rsidRPr="006E06DA" w:rsidRDefault="006E06DA" w:rsidP="006E06DA">
      <w:pPr>
        <w:widowControl/>
        <w:adjustRightInd w:val="0"/>
        <w:snapToGrid w:val="0"/>
        <w:spacing w:line="360" w:lineRule="auto"/>
        <w:ind w:firstLineChars="200" w:firstLine="480"/>
        <w:rPr>
          <w:rFonts w:asciiTheme="minorEastAsia" w:eastAsiaTheme="minorEastAsia" w:hAnsiTheme="minorEastAsia" w:cs="Arial"/>
          <w:kern w:val="0"/>
          <w:sz w:val="24"/>
        </w:rPr>
      </w:pPr>
      <w:r w:rsidRPr="006E06DA">
        <w:rPr>
          <w:rFonts w:asciiTheme="minorEastAsia" w:eastAsiaTheme="minorEastAsia" w:hAnsiTheme="minorEastAsia" w:cs="Arial" w:hint="eastAsia"/>
          <w:kern w:val="0"/>
          <w:sz w:val="24"/>
        </w:rPr>
        <w:lastRenderedPageBreak/>
        <w:t>鉴于</w:t>
      </w:r>
      <w:proofErr w:type="gramStart"/>
      <w:r w:rsidRPr="006E06DA">
        <w:rPr>
          <w:rFonts w:asciiTheme="minorEastAsia" w:eastAsiaTheme="minorEastAsia" w:hAnsiTheme="minorEastAsia" w:cs="Arial" w:hint="eastAsia"/>
          <w:kern w:val="0"/>
          <w:sz w:val="24"/>
        </w:rPr>
        <w:t>汇添富基金</w:t>
      </w:r>
      <w:proofErr w:type="gramEnd"/>
      <w:r w:rsidRPr="006E06DA">
        <w:rPr>
          <w:rFonts w:asciiTheme="minorEastAsia" w:eastAsiaTheme="minorEastAsia" w:hAnsiTheme="minorEastAsia" w:cs="Arial" w:hint="eastAsia"/>
          <w:kern w:val="0"/>
          <w:sz w:val="24"/>
        </w:rPr>
        <w:t>管理股份有限公司系一家依照中国法律合法成立并有效存续的股份有限公司，按照相关法律法规的规定具备担任基金管理人的资格和能力，拟募集发行</w:t>
      </w:r>
      <w:proofErr w:type="gramStart"/>
      <w:r w:rsidRPr="006E06DA">
        <w:rPr>
          <w:rFonts w:asciiTheme="minorEastAsia" w:eastAsiaTheme="minorEastAsia" w:hAnsiTheme="minorEastAsia" w:cs="Arial" w:hint="eastAsia"/>
          <w:kern w:val="0"/>
          <w:sz w:val="24"/>
        </w:rPr>
        <w:t>汇添富稳安</w:t>
      </w:r>
      <w:proofErr w:type="gramEnd"/>
      <w:r w:rsidRPr="006E06DA">
        <w:rPr>
          <w:rFonts w:asciiTheme="minorEastAsia" w:eastAsiaTheme="minorEastAsia" w:hAnsiTheme="minorEastAsia" w:cs="Arial" w:hint="eastAsia"/>
          <w:kern w:val="0"/>
          <w:sz w:val="24"/>
        </w:rPr>
        <w:t>三个月持有期债券型证券投资基金；</w:t>
      </w:r>
    </w:p>
    <w:p w14:paraId="2FF1FEE3" w14:textId="77777777" w:rsidR="006E06DA" w:rsidRPr="006E06DA" w:rsidRDefault="006E06DA" w:rsidP="006E06DA">
      <w:pPr>
        <w:widowControl/>
        <w:adjustRightInd w:val="0"/>
        <w:snapToGrid w:val="0"/>
        <w:spacing w:line="360" w:lineRule="auto"/>
        <w:ind w:firstLineChars="200" w:firstLine="480"/>
        <w:rPr>
          <w:rFonts w:asciiTheme="minorEastAsia" w:eastAsiaTheme="minorEastAsia" w:hAnsiTheme="minorEastAsia" w:cs="Arial"/>
          <w:kern w:val="0"/>
          <w:sz w:val="24"/>
        </w:rPr>
      </w:pPr>
      <w:r w:rsidRPr="006E06DA">
        <w:rPr>
          <w:rFonts w:asciiTheme="minorEastAsia" w:eastAsiaTheme="minorEastAsia" w:hAnsiTheme="minorEastAsia" w:cs="Arial" w:hint="eastAsia"/>
          <w:kern w:val="0"/>
          <w:sz w:val="24"/>
        </w:rPr>
        <w:t>鉴于中国建设银行股份有限公司系一家依照中国法律合法成立并有效存续的银行，按照相关法律法规的规定具备担任基金托管人的资格和能力；</w:t>
      </w:r>
    </w:p>
    <w:p w14:paraId="71CC0641" w14:textId="77777777" w:rsidR="006E06DA" w:rsidRPr="006E06DA" w:rsidRDefault="006E06DA" w:rsidP="006E06DA">
      <w:pPr>
        <w:widowControl/>
        <w:adjustRightInd w:val="0"/>
        <w:snapToGrid w:val="0"/>
        <w:spacing w:line="360" w:lineRule="auto"/>
        <w:ind w:firstLineChars="200" w:firstLine="480"/>
        <w:rPr>
          <w:rFonts w:asciiTheme="minorEastAsia" w:eastAsiaTheme="minorEastAsia" w:hAnsiTheme="minorEastAsia" w:cs="Arial"/>
          <w:kern w:val="0"/>
          <w:sz w:val="24"/>
        </w:rPr>
      </w:pPr>
      <w:r w:rsidRPr="006E06DA">
        <w:rPr>
          <w:rFonts w:asciiTheme="minorEastAsia" w:eastAsiaTheme="minorEastAsia" w:hAnsiTheme="minorEastAsia" w:cs="Arial" w:hint="eastAsia"/>
          <w:kern w:val="0"/>
          <w:sz w:val="24"/>
        </w:rPr>
        <w:t>鉴于</w:t>
      </w:r>
      <w:proofErr w:type="gramStart"/>
      <w:r w:rsidRPr="006E06DA">
        <w:rPr>
          <w:rFonts w:asciiTheme="minorEastAsia" w:eastAsiaTheme="minorEastAsia" w:hAnsiTheme="minorEastAsia" w:cs="Arial" w:hint="eastAsia"/>
          <w:kern w:val="0"/>
          <w:sz w:val="24"/>
        </w:rPr>
        <w:t>汇添富基金</w:t>
      </w:r>
      <w:proofErr w:type="gramEnd"/>
      <w:r w:rsidRPr="006E06DA">
        <w:rPr>
          <w:rFonts w:asciiTheme="minorEastAsia" w:eastAsiaTheme="minorEastAsia" w:hAnsiTheme="minorEastAsia" w:cs="Arial" w:hint="eastAsia"/>
          <w:kern w:val="0"/>
          <w:sz w:val="24"/>
        </w:rPr>
        <w:t>管理股份有限公司拟担任</w:t>
      </w:r>
      <w:proofErr w:type="gramStart"/>
      <w:r w:rsidRPr="006E06DA">
        <w:rPr>
          <w:rFonts w:asciiTheme="minorEastAsia" w:eastAsiaTheme="minorEastAsia" w:hAnsiTheme="minorEastAsia" w:cs="Arial" w:hint="eastAsia"/>
          <w:kern w:val="0"/>
          <w:sz w:val="24"/>
        </w:rPr>
        <w:t>汇添富稳安</w:t>
      </w:r>
      <w:proofErr w:type="gramEnd"/>
      <w:r w:rsidRPr="006E06DA">
        <w:rPr>
          <w:rFonts w:asciiTheme="minorEastAsia" w:eastAsiaTheme="minorEastAsia" w:hAnsiTheme="minorEastAsia" w:cs="Arial" w:hint="eastAsia"/>
          <w:kern w:val="0"/>
          <w:sz w:val="24"/>
        </w:rPr>
        <w:t>三个月持有期债券型证券投资基金的基金管理人，中国建设银行股份有限公司拟担任</w:t>
      </w:r>
      <w:proofErr w:type="gramStart"/>
      <w:r w:rsidRPr="006E06DA">
        <w:rPr>
          <w:rFonts w:asciiTheme="minorEastAsia" w:eastAsiaTheme="minorEastAsia" w:hAnsiTheme="minorEastAsia" w:cs="Arial" w:hint="eastAsia"/>
          <w:kern w:val="0"/>
          <w:sz w:val="24"/>
        </w:rPr>
        <w:t>汇添富稳安</w:t>
      </w:r>
      <w:proofErr w:type="gramEnd"/>
      <w:r w:rsidRPr="006E06DA">
        <w:rPr>
          <w:rFonts w:asciiTheme="minorEastAsia" w:eastAsiaTheme="minorEastAsia" w:hAnsiTheme="minorEastAsia" w:cs="Arial" w:hint="eastAsia"/>
          <w:kern w:val="0"/>
          <w:sz w:val="24"/>
        </w:rPr>
        <w:t>三个月持有期债券型证券投资基金的基金托管人；</w:t>
      </w:r>
    </w:p>
    <w:p w14:paraId="3B18E9DE" w14:textId="77777777" w:rsidR="006E06DA" w:rsidRPr="006E06DA" w:rsidRDefault="006E06DA" w:rsidP="006E06DA">
      <w:pPr>
        <w:widowControl/>
        <w:adjustRightInd w:val="0"/>
        <w:snapToGrid w:val="0"/>
        <w:spacing w:line="360" w:lineRule="auto"/>
        <w:ind w:firstLineChars="200" w:firstLine="480"/>
        <w:rPr>
          <w:rFonts w:asciiTheme="minorEastAsia" w:eastAsiaTheme="minorEastAsia" w:hAnsiTheme="minorEastAsia" w:cs="Arial"/>
          <w:kern w:val="0"/>
          <w:sz w:val="24"/>
        </w:rPr>
      </w:pPr>
      <w:r w:rsidRPr="006E06DA">
        <w:rPr>
          <w:rFonts w:asciiTheme="minorEastAsia" w:eastAsiaTheme="minorEastAsia" w:hAnsiTheme="minorEastAsia" w:cs="Arial" w:hint="eastAsia"/>
          <w:kern w:val="0"/>
          <w:sz w:val="24"/>
        </w:rPr>
        <w:t>为</w:t>
      </w:r>
      <w:proofErr w:type="gramStart"/>
      <w:r w:rsidRPr="006E06DA">
        <w:rPr>
          <w:rFonts w:asciiTheme="minorEastAsia" w:eastAsiaTheme="minorEastAsia" w:hAnsiTheme="minorEastAsia" w:cs="Arial" w:hint="eastAsia"/>
          <w:kern w:val="0"/>
          <w:sz w:val="24"/>
        </w:rPr>
        <w:t>明确汇添富稳安</w:t>
      </w:r>
      <w:proofErr w:type="gramEnd"/>
      <w:r w:rsidRPr="006E06DA">
        <w:rPr>
          <w:rFonts w:asciiTheme="minorEastAsia" w:eastAsiaTheme="minorEastAsia" w:hAnsiTheme="minorEastAsia" w:cs="Arial" w:hint="eastAsia"/>
          <w:kern w:val="0"/>
          <w:sz w:val="24"/>
        </w:rPr>
        <w:t>三个月持有期债券型证券投资基金的基金管理人和基金托管人之间的权利义务关系，特制订本托管协议；</w:t>
      </w:r>
    </w:p>
    <w:p w14:paraId="45D0C609" w14:textId="77777777" w:rsidR="006E06DA" w:rsidRPr="006E06DA" w:rsidRDefault="006E06DA" w:rsidP="006E06DA">
      <w:pPr>
        <w:widowControl/>
        <w:adjustRightInd w:val="0"/>
        <w:snapToGrid w:val="0"/>
        <w:spacing w:line="360" w:lineRule="auto"/>
        <w:ind w:firstLineChars="200" w:firstLine="480"/>
        <w:rPr>
          <w:rFonts w:asciiTheme="minorEastAsia" w:eastAsiaTheme="minorEastAsia" w:hAnsiTheme="minorEastAsia" w:cs="Arial"/>
          <w:kern w:val="0"/>
          <w:sz w:val="24"/>
          <w:lang w:val="en-GB"/>
        </w:rPr>
      </w:pPr>
      <w:r w:rsidRPr="006E06DA">
        <w:rPr>
          <w:rFonts w:asciiTheme="minorEastAsia" w:eastAsiaTheme="minorEastAsia" w:hAnsiTheme="minorEastAsia" w:cs="Arial" w:hint="eastAsia"/>
          <w:kern w:val="0"/>
          <w:sz w:val="24"/>
          <w:lang w:val="en-GB"/>
        </w:rPr>
        <w:t>除非另有约定，《汇添富稳安三个月持有期债券型证券投资基金基金合同》(以下简称“基金合同”)中定义的术语在用于本托管协议时应具有相同的含义；若有抵触应以《基金合同》为准，并依其</w:t>
      </w:r>
      <w:r w:rsidRPr="006E06DA">
        <w:rPr>
          <w:rFonts w:asciiTheme="minorEastAsia" w:eastAsiaTheme="minorEastAsia" w:hAnsiTheme="minorEastAsia" w:cs="Arial" w:hint="eastAsia"/>
          <w:kern w:val="0"/>
          <w:sz w:val="24"/>
        </w:rPr>
        <w:t>条款</w:t>
      </w:r>
      <w:r w:rsidRPr="006E06DA">
        <w:rPr>
          <w:rFonts w:asciiTheme="minorEastAsia" w:eastAsiaTheme="minorEastAsia" w:hAnsiTheme="minorEastAsia" w:cs="Arial" w:hint="eastAsia"/>
          <w:kern w:val="0"/>
          <w:sz w:val="24"/>
          <w:lang w:val="en-GB"/>
        </w:rPr>
        <w:t>解释。</w:t>
      </w:r>
    </w:p>
    <w:p w14:paraId="754A1FAF" w14:textId="77777777" w:rsidR="006E06DA" w:rsidRPr="006E06DA" w:rsidRDefault="006E06DA" w:rsidP="006E06DA">
      <w:pPr>
        <w:widowControl/>
        <w:adjustRightInd w:val="0"/>
        <w:snapToGrid w:val="0"/>
        <w:spacing w:line="360" w:lineRule="auto"/>
        <w:ind w:firstLineChars="200" w:firstLine="480"/>
        <w:rPr>
          <w:rFonts w:asciiTheme="minorEastAsia" w:eastAsiaTheme="minorEastAsia" w:hAnsiTheme="minorEastAsia" w:cs="Arial"/>
          <w:kern w:val="0"/>
          <w:sz w:val="24"/>
          <w:lang w:val="en-GB"/>
        </w:rPr>
      </w:pPr>
      <w:r w:rsidRPr="006E06DA">
        <w:rPr>
          <w:rFonts w:asciiTheme="minorEastAsia" w:eastAsiaTheme="minorEastAsia" w:hAnsiTheme="minorEastAsia" w:cs="Arial" w:hint="eastAsia"/>
          <w:kern w:val="0"/>
          <w:sz w:val="24"/>
          <w:lang w:val="en-GB"/>
        </w:rPr>
        <w:t>若本基金实施</w:t>
      </w:r>
      <w:proofErr w:type="gramStart"/>
      <w:r w:rsidRPr="006E06DA">
        <w:rPr>
          <w:rFonts w:asciiTheme="minorEastAsia" w:eastAsiaTheme="minorEastAsia" w:hAnsiTheme="minorEastAsia" w:cs="Arial" w:hint="eastAsia"/>
          <w:kern w:val="0"/>
          <w:sz w:val="24"/>
          <w:lang w:val="en-GB"/>
        </w:rPr>
        <w:t>侧袋机制</w:t>
      </w:r>
      <w:proofErr w:type="gramEnd"/>
      <w:r w:rsidRPr="006E06DA">
        <w:rPr>
          <w:rFonts w:asciiTheme="minorEastAsia" w:eastAsiaTheme="minorEastAsia" w:hAnsiTheme="minorEastAsia" w:cs="Arial" w:hint="eastAsia"/>
          <w:kern w:val="0"/>
          <w:sz w:val="24"/>
          <w:lang w:val="en-GB"/>
        </w:rPr>
        <w:t>的，</w:t>
      </w:r>
      <w:proofErr w:type="gramStart"/>
      <w:r w:rsidRPr="006E06DA">
        <w:rPr>
          <w:rFonts w:asciiTheme="minorEastAsia" w:eastAsiaTheme="minorEastAsia" w:hAnsiTheme="minorEastAsia" w:cs="Arial" w:hint="eastAsia"/>
          <w:kern w:val="0"/>
          <w:sz w:val="24"/>
          <w:lang w:val="en-GB"/>
        </w:rPr>
        <w:t>侧袋机制</w:t>
      </w:r>
      <w:proofErr w:type="gramEnd"/>
      <w:r w:rsidRPr="006E06DA">
        <w:rPr>
          <w:rFonts w:asciiTheme="minorEastAsia" w:eastAsiaTheme="minorEastAsia" w:hAnsiTheme="minorEastAsia" w:cs="Arial" w:hint="eastAsia"/>
          <w:kern w:val="0"/>
          <w:sz w:val="24"/>
          <w:lang w:val="en-GB"/>
        </w:rPr>
        <w:t>实施期间的相关安排按照基金合同的规定执行。</w:t>
      </w:r>
    </w:p>
    <w:p w14:paraId="37AE634D" w14:textId="77777777" w:rsidR="006E06DA" w:rsidRPr="006E06DA" w:rsidRDefault="006E06DA" w:rsidP="006E06DA">
      <w:pPr>
        <w:spacing w:line="360" w:lineRule="auto"/>
        <w:rPr>
          <w:rFonts w:asciiTheme="minorEastAsia" w:eastAsiaTheme="minorEastAsia" w:hAnsiTheme="minorEastAsia"/>
          <w:sz w:val="24"/>
          <w:lang w:val="en-GB"/>
        </w:rPr>
      </w:pPr>
    </w:p>
    <w:p w14:paraId="38245C03" w14:textId="77777777" w:rsidR="006E06DA" w:rsidRPr="006E06DA" w:rsidRDefault="006E06DA" w:rsidP="00400DC7">
      <w:pPr>
        <w:pStyle w:val="2"/>
        <w:spacing w:before="100" w:beforeAutospacing="1" w:after="100" w:afterAutospacing="1" w:line="360" w:lineRule="auto"/>
        <w:jc w:val="center"/>
        <w:rPr>
          <w:rFonts w:asciiTheme="minorEastAsia" w:eastAsiaTheme="minorEastAsia" w:hAnsiTheme="minorEastAsia"/>
        </w:rPr>
      </w:pPr>
      <w:bookmarkStart w:id="0" w:name="_Toc124325885"/>
      <w:r w:rsidRPr="006E06DA">
        <w:rPr>
          <w:rFonts w:asciiTheme="minorEastAsia" w:eastAsiaTheme="minorEastAsia" w:hAnsiTheme="minorEastAsia" w:hint="eastAsia"/>
        </w:rPr>
        <w:t>一、基金托管协议当事人</w:t>
      </w:r>
      <w:bookmarkEnd w:id="0"/>
    </w:p>
    <w:p w14:paraId="65EAAD2A"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（一）基金管理人</w:t>
      </w:r>
    </w:p>
    <w:p w14:paraId="7702086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名称：</w:t>
      </w:r>
      <w:proofErr w:type="gramStart"/>
      <w:r w:rsidRPr="006E06DA">
        <w:rPr>
          <w:rFonts w:asciiTheme="minorEastAsia" w:eastAsiaTheme="minorEastAsia" w:hAnsiTheme="minorEastAsia" w:cs="Arial" w:hint="eastAsia"/>
          <w:sz w:val="24"/>
        </w:rPr>
        <w:t>汇添富基金</w:t>
      </w:r>
      <w:proofErr w:type="gramEnd"/>
      <w:r w:rsidRPr="006E06DA">
        <w:rPr>
          <w:rFonts w:asciiTheme="minorEastAsia" w:eastAsiaTheme="minorEastAsia" w:hAnsiTheme="minorEastAsia" w:cs="Arial" w:hint="eastAsia"/>
          <w:sz w:val="24"/>
        </w:rPr>
        <w:t>管理股份有限公司</w:t>
      </w:r>
    </w:p>
    <w:p w14:paraId="240A84E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注册地址：上海市黄浦区北京东路 666 号 H 区（东座）6 楼 H686 室</w:t>
      </w:r>
    </w:p>
    <w:p w14:paraId="4299986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办公地址：上海市黄浦区外马路728号</w:t>
      </w:r>
    </w:p>
    <w:p w14:paraId="1978F61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邮政编码：200010</w:t>
      </w:r>
    </w:p>
    <w:p w14:paraId="5084E90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法定代表人：李文</w:t>
      </w:r>
    </w:p>
    <w:p w14:paraId="15EC9F3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成立日期：2005</w:t>
      </w:r>
      <w:r w:rsidRPr="006E06DA">
        <w:rPr>
          <w:rStyle w:val="read"/>
          <w:rFonts w:asciiTheme="minorEastAsia" w:eastAsiaTheme="minorEastAsia" w:hAnsiTheme="minorEastAsia" w:cs="Arial" w:hint="eastAsia"/>
          <w:sz w:val="24"/>
        </w:rPr>
        <w:t>年2月3日</w:t>
      </w:r>
    </w:p>
    <w:p w14:paraId="31A5BE0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批准设立机关及批准设立文号：中国证监会证</w:t>
      </w:r>
      <w:proofErr w:type="gramStart"/>
      <w:r w:rsidRPr="006E06DA">
        <w:rPr>
          <w:rFonts w:asciiTheme="minorEastAsia" w:eastAsiaTheme="minorEastAsia" w:hAnsiTheme="minorEastAsia" w:cs="Arial" w:hint="eastAsia"/>
          <w:sz w:val="24"/>
        </w:rPr>
        <w:t>监基金字</w:t>
      </w:r>
      <w:proofErr w:type="gramEnd"/>
      <w:r w:rsidRPr="006E06DA">
        <w:rPr>
          <w:rStyle w:val="read"/>
          <w:rFonts w:asciiTheme="minorEastAsia" w:eastAsiaTheme="minorEastAsia" w:hAnsiTheme="minorEastAsia" w:cs="Arial" w:hint="eastAsia"/>
          <w:sz w:val="24"/>
        </w:rPr>
        <w:t>[2005]5</w:t>
      </w:r>
      <w:r w:rsidRPr="006E06DA">
        <w:rPr>
          <w:rFonts w:asciiTheme="minorEastAsia" w:eastAsiaTheme="minorEastAsia" w:hAnsiTheme="minorEastAsia" w:cs="Arial" w:hint="eastAsia"/>
          <w:sz w:val="24"/>
        </w:rPr>
        <w:t>号</w:t>
      </w:r>
    </w:p>
    <w:p w14:paraId="3E76F3D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组织形式：股份有限公司</w:t>
      </w:r>
    </w:p>
    <w:p w14:paraId="74758A3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注册资本：人民币13272.4224万元</w:t>
      </w:r>
    </w:p>
    <w:p w14:paraId="5C45787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存续期间：持续经营</w:t>
      </w:r>
    </w:p>
    <w:p w14:paraId="702C38E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经营范围：基金募集、基金销售、特定客户资产管理、资产管理和中国证监会许可的其他业务</w:t>
      </w:r>
    </w:p>
    <w:p w14:paraId="6B912DBF"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（二）基金托管人</w:t>
      </w:r>
    </w:p>
    <w:p w14:paraId="3B94DB3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名称：中国建设银行股份有限公司(简称：中国建设银行)</w:t>
      </w:r>
    </w:p>
    <w:p w14:paraId="58AABD4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住所：北京市西城区金融大街25号</w:t>
      </w:r>
    </w:p>
    <w:p w14:paraId="292CF12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办公地址：北京市西城区闹市口大街1号院1号楼</w:t>
      </w:r>
    </w:p>
    <w:p w14:paraId="3C2CA8F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邮政编码：100033</w:t>
      </w:r>
    </w:p>
    <w:p w14:paraId="185A8A8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法定代表人：田国立</w:t>
      </w:r>
    </w:p>
    <w:p w14:paraId="648160D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6E06DA">
          <w:rPr>
            <w:rFonts w:asciiTheme="minorEastAsia" w:eastAsiaTheme="minorEastAsia" w:hAnsiTheme="minorEastAsia" w:cs="Arial" w:hint="eastAsia"/>
            <w:sz w:val="24"/>
          </w:rPr>
          <w:t>2004年09月17日</w:t>
        </w:r>
      </w:smartTag>
    </w:p>
    <w:p w14:paraId="526D055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基金托管业务批准文号：中国证监会证监基字[1998</w:t>
      </w:r>
      <w:bookmarkStart w:id="1" w:name="OLE_LINK3"/>
      <w:r w:rsidRPr="006E06DA">
        <w:rPr>
          <w:rFonts w:asciiTheme="minorEastAsia" w:eastAsiaTheme="minorEastAsia" w:hAnsiTheme="minorEastAsia" w:cs="Arial" w:hint="eastAsia"/>
          <w:sz w:val="24"/>
        </w:rPr>
        <w:t>]</w:t>
      </w:r>
      <w:bookmarkEnd w:id="1"/>
      <w:r w:rsidRPr="006E06DA">
        <w:rPr>
          <w:rFonts w:asciiTheme="minorEastAsia" w:eastAsiaTheme="minorEastAsia" w:hAnsiTheme="minorEastAsia" w:cs="Arial" w:hint="eastAsia"/>
          <w:sz w:val="24"/>
        </w:rPr>
        <w:t>12号</w:t>
      </w:r>
    </w:p>
    <w:p w14:paraId="3B73211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组织形式：股份有限公司</w:t>
      </w:r>
    </w:p>
    <w:p w14:paraId="4AC94F9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注册资本：人民币</w:t>
      </w:r>
      <w:r w:rsidRPr="006E06DA">
        <w:rPr>
          <w:rFonts w:asciiTheme="minorEastAsia" w:eastAsiaTheme="minorEastAsia" w:hAnsiTheme="minorEastAsia" w:hint="eastAsia"/>
          <w:sz w:val="24"/>
        </w:rPr>
        <w:t>贰仟伍佰亿壹仟零玖拾柒万柒仟肆佰捌拾陆元整</w:t>
      </w:r>
    </w:p>
    <w:p w14:paraId="27FE29D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存续期间：持续经营</w:t>
      </w:r>
    </w:p>
    <w:p w14:paraId="5C9817D6" w14:textId="77777777" w:rsidR="006E06DA" w:rsidRPr="006E06DA" w:rsidRDefault="006E06DA" w:rsidP="006E06DA">
      <w:pPr>
        <w:tabs>
          <w:tab w:val="left" w:pos="540"/>
        </w:tabs>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1D75AD0" w14:textId="77777777" w:rsidR="006E06DA" w:rsidRPr="006E06DA" w:rsidRDefault="006E06DA" w:rsidP="006E06DA">
      <w:pPr>
        <w:spacing w:line="360" w:lineRule="auto"/>
        <w:rPr>
          <w:rFonts w:asciiTheme="minorEastAsia" w:eastAsiaTheme="minorEastAsia" w:hAnsiTheme="minorEastAsia"/>
          <w:sz w:val="24"/>
        </w:rPr>
      </w:pPr>
    </w:p>
    <w:p w14:paraId="4DC3B0E2" w14:textId="77777777" w:rsidR="006E06DA" w:rsidRPr="00400DC7" w:rsidRDefault="006E06DA" w:rsidP="00400DC7">
      <w:pPr>
        <w:pStyle w:val="2"/>
        <w:spacing w:before="100" w:beforeAutospacing="1" w:after="100" w:afterAutospacing="1" w:line="360" w:lineRule="auto"/>
        <w:jc w:val="center"/>
        <w:rPr>
          <w:rFonts w:asciiTheme="minorEastAsia" w:eastAsiaTheme="minorEastAsia" w:hAnsiTheme="minorEastAsia"/>
        </w:rPr>
      </w:pPr>
      <w:bookmarkStart w:id="2" w:name="_Toc124325886"/>
      <w:r w:rsidRPr="00400DC7">
        <w:rPr>
          <w:rFonts w:asciiTheme="minorEastAsia" w:eastAsiaTheme="minorEastAsia" w:hAnsiTheme="minorEastAsia" w:hint="eastAsia"/>
        </w:rPr>
        <w:t>二、基金托管协议的依据、目的和原则</w:t>
      </w:r>
      <w:bookmarkEnd w:id="2"/>
    </w:p>
    <w:p w14:paraId="6765A75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szCs w:val="30"/>
        </w:rPr>
      </w:pPr>
      <w:r w:rsidRPr="006E06DA">
        <w:rPr>
          <w:rFonts w:asciiTheme="minorEastAsia" w:eastAsiaTheme="minorEastAsia" w:hAnsiTheme="minorEastAsia" w:cs="Arial" w:hint="eastAsia"/>
          <w:sz w:val="24"/>
        </w:rPr>
        <w:t>（一）订立托管协议的依据</w:t>
      </w:r>
    </w:p>
    <w:p w14:paraId="41D19B4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本协议依据《中华人民共和国证券投资基金法》(以下简称“《基金法》”)、《公开募集证券投资基金运作管理办法》(以下简称“《运作办法》”)、《公开募集证券投资基金信息披露管理办法》(以下简称“《信息披露办法》”)等有关法律法规、《基金合同》及其他有关规定制订。</w:t>
      </w:r>
    </w:p>
    <w:p w14:paraId="213E06F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（二）订立托管协议的目的</w:t>
      </w:r>
    </w:p>
    <w:p w14:paraId="639E49A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szCs w:val="30"/>
        </w:rPr>
      </w:pPr>
      <w:r w:rsidRPr="006E06DA">
        <w:rPr>
          <w:rFonts w:asciiTheme="minorEastAsia" w:eastAsiaTheme="minorEastAsia" w:hAnsiTheme="minorEastAsia" w:cs="Arial" w:hint="eastAsia"/>
          <w:sz w:val="24"/>
        </w:rPr>
        <w:t>订立本协议的目的是明确基金管理人与基金托管人之间在基金财产的保管、投资运作、净值计算、收益分配、信息披露及相互监督等相关事宜中的权利义务及</w:t>
      </w:r>
      <w:r w:rsidRPr="006E06DA">
        <w:rPr>
          <w:rFonts w:asciiTheme="minorEastAsia" w:eastAsiaTheme="minorEastAsia" w:hAnsiTheme="minorEastAsia" w:cs="Arial" w:hint="eastAsia"/>
          <w:sz w:val="24"/>
        </w:rPr>
        <w:lastRenderedPageBreak/>
        <w:t>职责，确保基金财产的安全，保护基金份额持有人的合法权益。</w:t>
      </w:r>
    </w:p>
    <w:p w14:paraId="4A7DA68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（三）订立托管协议的原则</w:t>
      </w:r>
    </w:p>
    <w:p w14:paraId="516953D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基金管理人和基金托管人本着平等自愿、诚实信用、充分保护基金份额持有人合法权益的原则，经协商一致，签订本协议。</w:t>
      </w:r>
    </w:p>
    <w:p w14:paraId="50C33D8B" w14:textId="77777777" w:rsidR="006E06DA" w:rsidRPr="006E06DA" w:rsidRDefault="006E06DA" w:rsidP="006E06DA">
      <w:pPr>
        <w:spacing w:line="360" w:lineRule="auto"/>
        <w:rPr>
          <w:rFonts w:asciiTheme="minorEastAsia" w:eastAsiaTheme="minorEastAsia" w:hAnsiTheme="minorEastAsia"/>
          <w:sz w:val="24"/>
        </w:rPr>
      </w:pPr>
    </w:p>
    <w:p w14:paraId="6D1CEBCA" w14:textId="77777777" w:rsidR="006E06DA" w:rsidRPr="00400DC7" w:rsidRDefault="006E06DA" w:rsidP="00400DC7">
      <w:pPr>
        <w:pStyle w:val="2"/>
        <w:spacing w:before="100" w:beforeAutospacing="1" w:after="100" w:afterAutospacing="1" w:line="360" w:lineRule="auto"/>
        <w:jc w:val="center"/>
        <w:rPr>
          <w:rFonts w:asciiTheme="minorEastAsia" w:eastAsiaTheme="minorEastAsia" w:hAnsiTheme="minorEastAsia"/>
        </w:rPr>
      </w:pPr>
      <w:bookmarkStart w:id="3" w:name="_Toc124325887"/>
      <w:r w:rsidRPr="00400DC7">
        <w:rPr>
          <w:rFonts w:asciiTheme="minorEastAsia" w:eastAsiaTheme="minorEastAsia" w:hAnsiTheme="minorEastAsia" w:hint="eastAsia"/>
        </w:rPr>
        <w:t>三、基金托管人对基金管理人的业务监督和核查</w:t>
      </w:r>
      <w:bookmarkEnd w:id="3"/>
    </w:p>
    <w:p w14:paraId="098E8C9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将拟投资的标的证券库中各投资品种的具体范围提供给基金托管人，基金管理人可以根据实际情况的变化，对各标的投资品种的具体范围予以更新和调整并及时通知基金托管人。基金托管人根据上述投资范围对基金实际投资是否符合《基金合同》关于证券选择标准的约定进行监督。</w:t>
      </w:r>
    </w:p>
    <w:p w14:paraId="3CB509A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szCs w:val="30"/>
        </w:rPr>
      </w:pPr>
      <w:r w:rsidRPr="006E06DA">
        <w:rPr>
          <w:rFonts w:asciiTheme="minorEastAsia" w:eastAsiaTheme="minorEastAsia" w:hAnsiTheme="minorEastAsia" w:hint="eastAsia"/>
          <w:sz w:val="24"/>
          <w:szCs w:val="30"/>
        </w:rPr>
        <w:t xml:space="preserve">本基金投资于流动性良好的金融工具，包括债券（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14:paraId="083F0782" w14:textId="77777777" w:rsidR="006E06DA" w:rsidRPr="006E06DA" w:rsidRDefault="00E6696D" w:rsidP="006E06DA">
      <w:pPr>
        <w:adjustRightInd w:val="0"/>
        <w:snapToGrid w:val="0"/>
        <w:spacing w:line="360" w:lineRule="auto"/>
        <w:ind w:firstLineChars="200" w:firstLine="480"/>
        <w:rPr>
          <w:rFonts w:asciiTheme="minorEastAsia" w:eastAsiaTheme="minorEastAsia" w:hAnsiTheme="minorEastAsia"/>
          <w:sz w:val="24"/>
          <w:szCs w:val="30"/>
        </w:rPr>
      </w:pPr>
      <w:r w:rsidRPr="00E6696D">
        <w:rPr>
          <w:rFonts w:asciiTheme="minorEastAsia" w:eastAsiaTheme="minorEastAsia" w:hAnsiTheme="minorEastAsia" w:hint="eastAsia"/>
          <w:sz w:val="24"/>
          <w:szCs w:val="30"/>
        </w:rPr>
        <w:t>本基金不投资于股票资产，因所持可转换债券与可交换债券转股或换股形成的股票等，应在可流通交易的10个交易日内卖出。</w:t>
      </w:r>
    </w:p>
    <w:p w14:paraId="750FCB8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szCs w:val="30"/>
        </w:rPr>
      </w:pPr>
      <w:r w:rsidRPr="006E06DA">
        <w:rPr>
          <w:rFonts w:asciiTheme="minorEastAsia" w:eastAsiaTheme="minorEastAsia" w:hAnsiTheme="minorEastAsia" w:hint="eastAsia"/>
          <w:sz w:val="24"/>
          <w:szCs w:val="30"/>
        </w:rPr>
        <w:t>如法律法规或监管机构以后允许基金投资其他品种，基金管理人在履行适当程序后，可以将其纳入投资范围，并可依据届时有效的法律法规适时合理地调整投资范围。</w:t>
      </w:r>
    </w:p>
    <w:p w14:paraId="7A00214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szCs w:val="30"/>
        </w:rPr>
      </w:pPr>
      <w:r w:rsidRPr="006E06DA">
        <w:rPr>
          <w:rFonts w:asciiTheme="minorEastAsia" w:eastAsiaTheme="minorEastAsia" w:hAnsiTheme="minorEastAsia" w:hint="eastAsia"/>
          <w:sz w:val="24"/>
          <w:szCs w:val="30"/>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w:t>
      </w:r>
      <w:r w:rsidRPr="006E06DA">
        <w:rPr>
          <w:rFonts w:asciiTheme="minorEastAsia" w:eastAsiaTheme="minorEastAsia" w:hAnsiTheme="minorEastAsia" w:hint="eastAsia"/>
          <w:sz w:val="24"/>
          <w:szCs w:val="30"/>
        </w:rPr>
        <w:lastRenderedPageBreak/>
        <w:t>备付金、存出保证金、应收申购款等。</w:t>
      </w:r>
    </w:p>
    <w:p w14:paraId="7209B12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如法律法规或中国证监会变更投资品种的投资比例限制，基金管理人在履行适当程序后，可以调整上述投资品种的投资比例。</w:t>
      </w:r>
    </w:p>
    <w:p w14:paraId="78DF0C7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（二）基金托管人根据有关法律法规的规定及《基金合同》的约定，对基金投资比例进行监督。基金托管人按下述比例和调整期限进行监督：</w:t>
      </w:r>
    </w:p>
    <w:p w14:paraId="1FED706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i/>
          <w:sz w:val="24"/>
        </w:rPr>
      </w:pPr>
      <w:r w:rsidRPr="00D403CE">
        <w:rPr>
          <w:rFonts w:asciiTheme="minorEastAsia" w:eastAsiaTheme="minorEastAsia" w:hAnsiTheme="minorEastAsia"/>
          <w:sz w:val="24"/>
        </w:rPr>
        <w:t>1.</w:t>
      </w:r>
      <w:r w:rsidRPr="006E06DA">
        <w:rPr>
          <w:rFonts w:asciiTheme="minorEastAsia" w:eastAsiaTheme="minorEastAsia" w:hAnsiTheme="minorEastAsia" w:hint="eastAsia"/>
          <w:sz w:val="24"/>
        </w:rPr>
        <w:t>本基金投资于债券资产的比例不低于基金资产的80%；</w:t>
      </w:r>
    </w:p>
    <w:p w14:paraId="72FE8E3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2.每个交易日日终在扣除国债期货合约需缴纳的交易保证金后，本基金保持不低于基金资产净值 5%的现金或到期日在一年以内的政府债券；其中现金不包括结算备付金、存出保证金和应收申购款等；</w:t>
      </w:r>
    </w:p>
    <w:p w14:paraId="2AA2A98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3.本基金持有一家公司发行的证券，其市值不超过基金资产净值的10％；</w:t>
      </w:r>
    </w:p>
    <w:p w14:paraId="3D4F4A7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sz w:val="24"/>
        </w:rPr>
        <w:t>4.</w:t>
      </w:r>
      <w:r w:rsidRPr="006E06DA">
        <w:rPr>
          <w:rFonts w:asciiTheme="minorEastAsia" w:eastAsiaTheme="minorEastAsia" w:hAnsiTheme="minorEastAsia" w:hint="eastAsia"/>
          <w:sz w:val="24"/>
        </w:rPr>
        <w:t>本基金管理人管理且由本基金托管人托管的全部基金持有一家公司发行的证券，不超过该证券的10％，完全按照有关指数的构成比例进行证券投资的基金品种可以不受此条款规定的比例限制；</w:t>
      </w:r>
    </w:p>
    <w:p w14:paraId="25E93CB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5.本基金投资于同一原始权益人的各类资产支持证券的比例，不得超过基金资产净值的10％；</w:t>
      </w:r>
    </w:p>
    <w:p w14:paraId="7FCBA8E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6.本基金持有的全部资产支持证券，其市值不得超过基金资产净值的20％；</w:t>
      </w:r>
    </w:p>
    <w:p w14:paraId="431C618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7.本基金持有的同一（指同一信用级别）资产支持证券的比例，不得超过该资产支持证券规模的10％；</w:t>
      </w:r>
    </w:p>
    <w:p w14:paraId="32D5E17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8.本基金管理人管理且由本基金托管人托管的全部基金投资于同一原始权益人的各类资产支持证券，不得超过其各类资产支持证券合计规模的10％；</w:t>
      </w:r>
    </w:p>
    <w:p w14:paraId="52385EC3" w14:textId="77777777" w:rsidR="006E06DA" w:rsidRPr="006E06DA" w:rsidRDefault="00001D94" w:rsidP="006E06D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9</w:t>
      </w:r>
      <w:r w:rsidR="006E06DA" w:rsidRPr="006E06DA">
        <w:rPr>
          <w:rFonts w:asciiTheme="minorEastAsia" w:eastAsiaTheme="minorEastAsia" w:hAnsiTheme="minorEastAsia" w:hint="eastAsia"/>
          <w:sz w:val="24"/>
        </w:rPr>
        <w:t>.本基金进入全国银行间同业市场进行债券回购的资金余额不得超过基金资产净值的40%，本基金进入全国银行间同业市场进行债券回购的最长期限为1年，债券回购到期后不得展期；</w:t>
      </w:r>
    </w:p>
    <w:p w14:paraId="57983D53" w14:textId="77777777" w:rsidR="006E06DA" w:rsidRPr="006E06DA" w:rsidRDefault="00001D94" w:rsidP="006E06D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10</w:t>
      </w:r>
      <w:r w:rsidR="006E06DA" w:rsidRPr="006E06DA">
        <w:rPr>
          <w:rFonts w:asciiTheme="minorEastAsia" w:eastAsiaTheme="minorEastAsia" w:hAnsiTheme="minorEastAsia" w:hint="eastAsia"/>
          <w:sz w:val="24"/>
        </w:rPr>
        <w:t>.本基金资产总值不超过基金资产净值的140%；</w:t>
      </w:r>
    </w:p>
    <w:p w14:paraId="067574DE" w14:textId="77777777" w:rsidR="006E06DA" w:rsidRPr="006E06DA" w:rsidRDefault="00001D94" w:rsidP="006E06D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11</w:t>
      </w:r>
      <w:r w:rsidR="006E06DA" w:rsidRPr="006E06DA">
        <w:rPr>
          <w:rFonts w:asciiTheme="minorEastAsia" w:eastAsiaTheme="minorEastAsia" w:hAnsiTheme="minorEastAsia"/>
          <w:sz w:val="24"/>
        </w:rPr>
        <w:t>.</w:t>
      </w:r>
      <w:r w:rsidR="006E06DA" w:rsidRPr="006E06DA">
        <w:rPr>
          <w:rFonts w:asciiTheme="minorEastAsia" w:eastAsiaTheme="minorEastAsia" w:hAnsiTheme="minorEastAsia" w:hint="eastAsia"/>
          <w:sz w:val="24"/>
        </w:rPr>
        <w:t>在任何交易日日终，本基金持有的买入国债期货合约价值，不得超过基金资产净值的 15%；在任何交易日日终，本基金持有的卖出国债期货合约价值不得超过基金持有的债券总市值的 30%；在任何交易日内交易（不包括平仓）的国债期货合约的成交金额不得超过上一交易日基金资产净值的 30%；本基金所持有的债券（不含到期日在一年以内的政府债券）市值和买入、卖出国债期货合约价值，合计（轧差计算）应当符合基金合同关于债券投资比例的有关约定；</w:t>
      </w:r>
    </w:p>
    <w:p w14:paraId="631128B6" w14:textId="77777777" w:rsidR="006E06DA" w:rsidRPr="006E06DA" w:rsidRDefault="00001D94" w:rsidP="006E06D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lastRenderedPageBreak/>
        <w:t>12</w:t>
      </w:r>
      <w:r w:rsidR="006E06DA" w:rsidRPr="006E06DA">
        <w:rPr>
          <w:rFonts w:asciiTheme="minorEastAsia" w:eastAsiaTheme="minorEastAsia" w:hAnsiTheme="minorEastAsia"/>
          <w:sz w:val="24"/>
        </w:rPr>
        <w:t>.</w:t>
      </w:r>
      <w:r w:rsidR="006E06DA" w:rsidRPr="006E06DA">
        <w:rPr>
          <w:rFonts w:asciiTheme="minorEastAsia" w:eastAsiaTheme="minorEastAsia" w:hAnsiTheme="minorEastAsia" w:hint="eastAsia"/>
          <w:sz w:val="24"/>
        </w:rPr>
        <w:t>本基金主动投资于流动性受限资产的市值合计不得超过本基金基金资产净值的15%；因证券/期货市场波动、上市公司股票停牌、基金规模变动等基金管理人之外的因素致使基金不符合该比例限制的，基金管理人不得主动新增流动性受限资产的投资；</w:t>
      </w:r>
    </w:p>
    <w:p w14:paraId="2453B392" w14:textId="77777777" w:rsidR="006E06DA" w:rsidRPr="006E06DA" w:rsidRDefault="00001D94" w:rsidP="006E06D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13</w:t>
      </w:r>
      <w:r w:rsidR="006E06DA" w:rsidRPr="006E06DA">
        <w:rPr>
          <w:rFonts w:asciiTheme="minorEastAsia" w:eastAsiaTheme="minorEastAsia" w:hAnsiTheme="minorEastAsia" w:hint="eastAsia"/>
          <w:sz w:val="24"/>
        </w:rPr>
        <w:t>.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3A1CBFA2" w14:textId="77777777" w:rsidR="006E06DA" w:rsidRPr="006E06DA" w:rsidRDefault="00001D94" w:rsidP="006E06DA">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14</w:t>
      </w:r>
      <w:r w:rsidR="006E06DA" w:rsidRPr="006E06DA">
        <w:rPr>
          <w:rFonts w:asciiTheme="minorEastAsia" w:eastAsiaTheme="minorEastAsia" w:hAnsiTheme="minorEastAsia" w:hint="eastAsia"/>
          <w:sz w:val="24"/>
        </w:rPr>
        <w:t>.法律法规及中国证监会规定的和《基金合同》约定的其他投资限制。</w:t>
      </w:r>
    </w:p>
    <w:p w14:paraId="7BF06A4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除上述</w:t>
      </w:r>
      <w:r w:rsidR="00001D94" w:rsidRPr="006E06DA">
        <w:rPr>
          <w:rFonts w:asciiTheme="minorEastAsia" w:eastAsiaTheme="minorEastAsia" w:hAnsiTheme="minorEastAsia" w:hint="eastAsia"/>
          <w:sz w:val="24"/>
        </w:rPr>
        <w:t>2、9、</w:t>
      </w:r>
      <w:r w:rsidR="00001D94">
        <w:rPr>
          <w:rFonts w:asciiTheme="minorEastAsia" w:eastAsiaTheme="minorEastAsia" w:hAnsiTheme="minorEastAsia"/>
          <w:sz w:val="24"/>
        </w:rPr>
        <w:t>12</w:t>
      </w:r>
      <w:r w:rsidRPr="006E06DA">
        <w:rPr>
          <w:rFonts w:asciiTheme="minorEastAsia" w:eastAsiaTheme="minorEastAsia" w:hAnsiTheme="minorEastAsia" w:hint="eastAsia"/>
          <w:sz w:val="24"/>
        </w:rPr>
        <w:t>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512A7AD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5B666F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法律法规或监管部门取消或调整上述限制，如适用于本基金，基金管理人在履行适当程序后，则本基金投资不再受相关限制或以调整后的规定为准。</w:t>
      </w:r>
    </w:p>
    <w:p w14:paraId="2199C13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（三）基金托管人</w:t>
      </w:r>
      <w:bookmarkStart w:id="4" w:name="OLE_LINK1"/>
      <w:r w:rsidRPr="006E06DA">
        <w:rPr>
          <w:rFonts w:asciiTheme="minorEastAsia" w:eastAsiaTheme="minorEastAsia" w:hAnsiTheme="minorEastAsia" w:cs="Arial" w:hint="eastAsia"/>
          <w:sz w:val="24"/>
        </w:rPr>
        <w:t>根据有关法律法规的规定及《基金合同》的约定，</w:t>
      </w:r>
      <w:bookmarkEnd w:id="4"/>
      <w:r w:rsidRPr="006E06DA">
        <w:rPr>
          <w:rFonts w:asciiTheme="minorEastAsia" w:eastAsiaTheme="minorEastAsia" w:hAnsiTheme="minorEastAsia" w:cs="Arial" w:hint="eastAsia"/>
          <w:sz w:val="24"/>
        </w:rPr>
        <w:t>对本托管协议第十五条第九款基金投资禁止行为通过事后监督方式进行监督。</w:t>
      </w:r>
    </w:p>
    <w:p w14:paraId="2295410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52EB92C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rPr>
      </w:pPr>
      <w:r w:rsidRPr="006E06DA">
        <w:rPr>
          <w:rFonts w:asciiTheme="minorEastAsia" w:eastAsiaTheme="minorEastAsia" w:hAnsiTheme="minorEastAsia"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w:t>
      </w:r>
      <w:r w:rsidRPr="006E06DA">
        <w:rPr>
          <w:rFonts w:asciiTheme="minorEastAsia" w:eastAsiaTheme="minorEastAsia" w:hAnsiTheme="minorEastAsia" w:cs="Arial" w:hint="eastAsia"/>
          <w:sz w:val="24"/>
        </w:rPr>
        <w:lastRenderedPageBreak/>
        <w:t>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若基金管理人未提供交易对手名单，则视同可与所有交易对手进行交易。</w:t>
      </w:r>
    </w:p>
    <w:p w14:paraId="326B178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rPr>
      </w:pPr>
      <w:r w:rsidRPr="006E06DA">
        <w:rPr>
          <w:rFonts w:asciiTheme="minorEastAsia" w:eastAsiaTheme="minorEastAsia" w:hAnsiTheme="minorEastAsia" w:cs="Arial" w:hint="eastAsia"/>
          <w:color w:val="000000"/>
          <w:sz w:val="24"/>
        </w:rPr>
        <w:t>基金管理人负责对交易对手的资信控制，按银行间债券市场的交易规则进行交易，并</w:t>
      </w:r>
      <w:r w:rsidRPr="006E06DA">
        <w:rPr>
          <w:rFonts w:asciiTheme="minorEastAsia" w:eastAsiaTheme="minorEastAsia" w:hAnsiTheme="minorEastAsia"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6E06DA">
        <w:rPr>
          <w:rFonts w:asciiTheme="minorEastAsia" w:eastAsiaTheme="minorEastAsia" w:hAnsiTheme="minorEastAsia"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172DFE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（五）基金托管人根据有关法律法规的规定及《基金合同》的约定，对基金管理人投资流通受限证券进行监督。</w:t>
      </w:r>
    </w:p>
    <w:p w14:paraId="3F04616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hint="eastAsia"/>
          <w:sz w:val="24"/>
        </w:rPr>
        <w:t>基金管理人投资流通受限证券，应事先根据中国证监会相关规定，明确基金投资流通受限证券的比例，</w:t>
      </w:r>
      <w:r w:rsidRPr="006E06DA">
        <w:rPr>
          <w:rFonts w:asciiTheme="minorEastAsia" w:eastAsiaTheme="minorEastAsia" w:hAnsiTheme="minorEastAsia"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61AA1DD"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6C05A26"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本基金投资的流通受限证券限于可由中国证券登记结算有限责任公司或中央国债登记结算有限责任公司负责登记和存管，并可在证券交易所或全国银行间债券市场交易的证券。</w:t>
      </w:r>
    </w:p>
    <w:p w14:paraId="7C4F4CDA"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本基金投资的流通受限证券应保证登记存管在本基金名下，基金管理人负责相关工作的落实和协调，并确保基金托管人能够正常查询。因基金管理人原因产生</w:t>
      </w:r>
      <w:r w:rsidRPr="009E3C2C">
        <w:rPr>
          <w:rFonts w:asciiTheme="minorEastAsia" w:eastAsiaTheme="minorEastAsia" w:hAnsiTheme="minorEastAsia" w:hint="eastAsia"/>
          <w:sz w:val="24"/>
        </w:rPr>
        <w:lastRenderedPageBreak/>
        <w:t>的流通受限证券登记存管问题，造成基金托管人无法安全保管本基金资产的责任与损失，及因流通受限证券存管直接影响本基金安全的责任及损失，由基金管理人承担。</w:t>
      </w:r>
    </w:p>
    <w:p w14:paraId="09443A5D"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本基金投资流通受限证券，不得预付任何形式的保证金，若法规有新规定的按照新的规定执行。</w:t>
      </w:r>
    </w:p>
    <w:p w14:paraId="197FBC4F"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5467D0DB"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2DC43734"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5B8690F8"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（1）中国证监会批准发行非公开发行股票的批准文件。</w:t>
      </w:r>
    </w:p>
    <w:p w14:paraId="54745415"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（2）非公开发行股票有关发行数量、发行价格、锁定期等发行资料。</w:t>
      </w:r>
    </w:p>
    <w:p w14:paraId="0DCA893E"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（3）非公开发行股票发行人与中国证券登记结算有限责任公司或中央国债登记结算有限责任公司签订的证券登记及服务协议。</w:t>
      </w:r>
    </w:p>
    <w:p w14:paraId="2DFFBA4F"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（4）基金拟认购的数量、价格、总成本、账面价值。</w:t>
      </w:r>
    </w:p>
    <w:p w14:paraId="469B37AC"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4.基金管理人应在本基金投资非公开发行股票后两个交易日内，在中国证监会指定媒体披露所投资非公开发行股票的名称、数量、总成本、账面价值，以及总成本和账面价值占基金资产净值的比例、锁定期等信息。</w:t>
      </w:r>
    </w:p>
    <w:p w14:paraId="4BB3AC8E"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本基金有关投资流通受限证券比例如违反有关限制规定，在合理期限内未能</w:t>
      </w:r>
      <w:r w:rsidRPr="009E3C2C">
        <w:rPr>
          <w:rFonts w:asciiTheme="minorEastAsia" w:eastAsiaTheme="minorEastAsia" w:hAnsiTheme="minorEastAsia" w:hint="eastAsia"/>
          <w:sz w:val="24"/>
        </w:rPr>
        <w:lastRenderedPageBreak/>
        <w:t>进行及时调整，基金管理人应在两个工作日内编制临时报告书，予以公告。</w:t>
      </w:r>
    </w:p>
    <w:p w14:paraId="46EFB314"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5.基金托管人根据有关规定有权对基金管理人进行以下事项监督：</w:t>
      </w:r>
    </w:p>
    <w:p w14:paraId="74B5EAE4"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（1）本基金投资流通受限证券时的法律法规遵守情况。</w:t>
      </w:r>
    </w:p>
    <w:p w14:paraId="02012ADD"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（2）在基金投资流通受限证券管理工作方面有关制度、流动性风险处置预案的建立与完善情况。</w:t>
      </w:r>
    </w:p>
    <w:p w14:paraId="01D6017C"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（3）有关比例限制的执行情况。</w:t>
      </w:r>
    </w:p>
    <w:p w14:paraId="0A039113" w14:textId="77777777" w:rsidR="009E3C2C" w:rsidRPr="009E3C2C" w:rsidRDefault="009E3C2C" w:rsidP="009E3C2C">
      <w:pPr>
        <w:adjustRightInd w:val="0"/>
        <w:snapToGrid w:val="0"/>
        <w:spacing w:line="360" w:lineRule="auto"/>
        <w:ind w:firstLineChars="200" w:firstLine="480"/>
        <w:rPr>
          <w:rFonts w:asciiTheme="minorEastAsia" w:eastAsiaTheme="minorEastAsia" w:hAnsiTheme="minorEastAsia"/>
          <w:sz w:val="24"/>
        </w:rPr>
      </w:pPr>
      <w:r w:rsidRPr="009E3C2C">
        <w:rPr>
          <w:rFonts w:asciiTheme="minorEastAsia" w:eastAsiaTheme="minorEastAsia" w:hAnsiTheme="minorEastAsia" w:hint="eastAsia"/>
          <w:sz w:val="24"/>
        </w:rPr>
        <w:t>（4）信息披露情况。</w:t>
      </w:r>
    </w:p>
    <w:p w14:paraId="45E131A8" w14:textId="77777777" w:rsidR="006E06DA" w:rsidRPr="006E06DA" w:rsidRDefault="009E3C2C" w:rsidP="009E3C2C">
      <w:pPr>
        <w:adjustRightInd w:val="0"/>
        <w:snapToGrid w:val="0"/>
        <w:spacing w:line="360" w:lineRule="auto"/>
        <w:ind w:firstLineChars="200" w:firstLine="480"/>
        <w:rPr>
          <w:rFonts w:asciiTheme="minorEastAsia" w:eastAsiaTheme="minorEastAsia" w:hAnsiTheme="minorEastAsia"/>
          <w:i/>
          <w:sz w:val="24"/>
        </w:rPr>
      </w:pPr>
      <w:r w:rsidRPr="009E3C2C">
        <w:rPr>
          <w:rFonts w:asciiTheme="minorEastAsia" w:eastAsiaTheme="minorEastAsia" w:hAnsiTheme="minorEastAsia" w:hint="eastAsia"/>
          <w:sz w:val="24"/>
        </w:rPr>
        <w:t>6.相关法律法规对基金投资流通受限证券有新规定的，从其规定。</w:t>
      </w:r>
    </w:p>
    <w:p w14:paraId="6B3ACF3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4A2D63A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A54C75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16F83D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（九）若基金托管人发现基金管理人依据交易程序已经生效的指令违反法律、行政法规和其他有关规定，或者违反《基金合同》约定的，应当立即通知基金管理人，由此造成的损失由基金管理人承担。</w:t>
      </w:r>
    </w:p>
    <w:p w14:paraId="1E21639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（十）基金托管人发现基金管理人有重大违规行为，应及时报告中国证监会，同时通知基金管理人限期纠正，并将纠正结果报告中国证监会。基金管理人无正当</w:t>
      </w:r>
      <w:r w:rsidRPr="006E06DA">
        <w:rPr>
          <w:rFonts w:asciiTheme="minorEastAsia" w:eastAsiaTheme="minorEastAsia" w:hAnsiTheme="minorEastAsia" w:cs="Arial" w:hint="eastAsia"/>
          <w:sz w:val="24"/>
        </w:rPr>
        <w:lastRenderedPageBreak/>
        <w:t>理由，拒绝、阻挠对方根据本托管协议规定行使监督权，或采取拖延、欺诈等手段妨碍对方进行有效监督，情节严重或经基金托管人提出警告仍不改正的，基金托管人应报告中国证监会。</w:t>
      </w:r>
    </w:p>
    <w:p w14:paraId="01F5555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十一）基金持有特定资产且存在或潜在大额赎回申请时，根据最大限度保护基金份额持有人利益的原则，基金管理人经与基金托管人协商一致，并咨询会计师事务所意见后，可以依照法律法规及基金合同的约定启用侧袋机制。 </w:t>
      </w:r>
    </w:p>
    <w:p w14:paraId="3BD7D62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侧袋机制实施期间，基金合同约定的投资组合比例、投资策略、组合限制、业绩比较基准、风险收益特征等约定仅适用于主袋账户。 </w:t>
      </w:r>
    </w:p>
    <w:p w14:paraId="623E7C9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侧袋账户的实施条件、实施程序、运作安排、投资安排、特定资产的处置变现和支付等对投资者权益有重大影响的事项详见招募说明书的规定。</w:t>
      </w:r>
    </w:p>
    <w:p w14:paraId="123DA996" w14:textId="77777777" w:rsidR="006E06DA" w:rsidRPr="006E06DA" w:rsidRDefault="006E06DA" w:rsidP="006E06DA">
      <w:pPr>
        <w:spacing w:line="360" w:lineRule="auto"/>
        <w:rPr>
          <w:rFonts w:asciiTheme="minorEastAsia" w:eastAsiaTheme="minorEastAsia" w:hAnsiTheme="minorEastAsia"/>
          <w:sz w:val="24"/>
        </w:rPr>
      </w:pPr>
    </w:p>
    <w:p w14:paraId="629F89FA" w14:textId="77777777" w:rsidR="006E06DA" w:rsidRPr="00400DC7" w:rsidRDefault="006E06DA" w:rsidP="00A4764D">
      <w:pPr>
        <w:pStyle w:val="2"/>
        <w:spacing w:before="100" w:beforeAutospacing="1" w:after="100" w:afterAutospacing="1" w:line="360" w:lineRule="auto"/>
        <w:jc w:val="center"/>
        <w:rPr>
          <w:rFonts w:asciiTheme="minorEastAsia" w:eastAsiaTheme="minorEastAsia" w:hAnsiTheme="minorEastAsia"/>
        </w:rPr>
      </w:pPr>
      <w:bookmarkStart w:id="5" w:name="_Toc86223242"/>
      <w:bookmarkStart w:id="6" w:name="_Toc86225291"/>
      <w:bookmarkStart w:id="7" w:name="_Toc86649722"/>
      <w:bookmarkStart w:id="8" w:name="_Toc86726439"/>
      <w:bookmarkStart w:id="9" w:name="_Toc86727355"/>
      <w:bookmarkStart w:id="10" w:name="_Toc86737929"/>
      <w:bookmarkStart w:id="11" w:name="_Toc89163368"/>
      <w:bookmarkStart w:id="12" w:name="_Toc108512358"/>
      <w:bookmarkStart w:id="13" w:name="_Toc110761796"/>
      <w:bookmarkStart w:id="14" w:name="_Toc110765660"/>
      <w:bookmarkStart w:id="15" w:name="_Toc110830492"/>
      <w:bookmarkStart w:id="16" w:name="_Toc118212950"/>
      <w:bookmarkStart w:id="17" w:name="_Toc118774803"/>
      <w:bookmarkStart w:id="18" w:name="_Toc118972648"/>
      <w:bookmarkStart w:id="19" w:name="_Toc119402710"/>
      <w:bookmarkStart w:id="20" w:name="_Toc120435783"/>
      <w:bookmarkStart w:id="21" w:name="_Toc124325888"/>
      <w:r w:rsidRPr="00400DC7">
        <w:rPr>
          <w:rFonts w:asciiTheme="minorEastAsia" w:eastAsiaTheme="minorEastAsia" w:hAnsiTheme="minorEastAsia" w:hint="eastAsia"/>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D7D154A"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管理人对基金托管人履行托管职责情况进行核查，核查事项包括基金托管人安全保管基金财产、开设基金财产的资金账户、证券账户及投资所需的其他账户、复核基金管理人计算的基金资产净值和各类基金份额净值、根据基金管理人指令办理清算交收、相关信息披露和监督基金投资运作等行为。</w:t>
      </w:r>
    </w:p>
    <w:p w14:paraId="62A666B6"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24BF421D"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w:t>
      </w:r>
      <w:r w:rsidRPr="006E06DA">
        <w:rPr>
          <w:rFonts w:asciiTheme="minorEastAsia" w:eastAsiaTheme="minorEastAsia" w:hAnsiTheme="minorEastAsia" w:cs="Arial" w:hint="eastAsia"/>
          <w:sz w:val="24"/>
        </w:rPr>
        <w:lastRenderedPageBreak/>
        <w:t>报告中国证监会。</w:t>
      </w:r>
    </w:p>
    <w:p w14:paraId="58581EE3" w14:textId="77777777" w:rsidR="006E06DA" w:rsidRPr="006E06DA" w:rsidRDefault="006E06DA" w:rsidP="006E06DA">
      <w:pPr>
        <w:spacing w:line="360" w:lineRule="auto"/>
        <w:rPr>
          <w:rFonts w:asciiTheme="minorEastAsia" w:eastAsiaTheme="minorEastAsia" w:hAnsiTheme="minorEastAsia"/>
          <w:sz w:val="24"/>
        </w:rPr>
      </w:pPr>
    </w:p>
    <w:p w14:paraId="47A5C7D3" w14:textId="77777777" w:rsidR="006E06DA" w:rsidRPr="00400DC7" w:rsidRDefault="006E06DA" w:rsidP="00A4764D">
      <w:pPr>
        <w:pStyle w:val="2"/>
        <w:spacing w:before="100" w:beforeAutospacing="1" w:after="100" w:afterAutospacing="1" w:line="360" w:lineRule="auto"/>
        <w:jc w:val="center"/>
        <w:rPr>
          <w:rFonts w:asciiTheme="minorEastAsia" w:eastAsiaTheme="minorEastAsia" w:hAnsiTheme="minorEastAsia"/>
        </w:rPr>
      </w:pPr>
      <w:bookmarkStart w:id="22" w:name="_Toc84133786"/>
      <w:bookmarkStart w:id="23" w:name="_Toc84234388"/>
      <w:bookmarkStart w:id="24" w:name="_Toc84234435"/>
      <w:bookmarkStart w:id="25" w:name="_Toc86204789"/>
      <w:bookmarkStart w:id="26" w:name="_Toc86223243"/>
      <w:bookmarkStart w:id="27" w:name="_Toc86225292"/>
      <w:bookmarkStart w:id="28" w:name="_Toc86649723"/>
      <w:bookmarkStart w:id="29" w:name="_Toc86726440"/>
      <w:bookmarkStart w:id="30" w:name="_Toc86727356"/>
      <w:bookmarkStart w:id="31" w:name="_Toc86737930"/>
      <w:bookmarkStart w:id="32" w:name="_Toc89163369"/>
      <w:bookmarkStart w:id="33" w:name="_Toc108512359"/>
      <w:bookmarkStart w:id="34" w:name="_Toc110761797"/>
      <w:bookmarkStart w:id="35" w:name="_Toc110765661"/>
      <w:bookmarkStart w:id="36" w:name="_Toc110830493"/>
      <w:bookmarkStart w:id="37" w:name="_Toc118212951"/>
      <w:bookmarkStart w:id="38" w:name="_Toc118774804"/>
      <w:bookmarkStart w:id="39" w:name="_Toc118972649"/>
      <w:bookmarkStart w:id="40" w:name="_Toc119402711"/>
      <w:bookmarkStart w:id="41" w:name="_Toc120435784"/>
      <w:bookmarkStart w:id="42" w:name="_Toc124325889"/>
      <w:r w:rsidRPr="00400DC7">
        <w:rPr>
          <w:rFonts w:asciiTheme="minorEastAsia" w:eastAsiaTheme="minorEastAsia" w:hAnsiTheme="minorEastAsia" w:hint="eastAsia"/>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DEFCFEE"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（一）基金财产保管的原则</w:t>
      </w:r>
    </w:p>
    <w:p w14:paraId="3408B4FA"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1.基金财产应独立于基金管理人、基金托管人的固有财产。</w:t>
      </w:r>
    </w:p>
    <w:p w14:paraId="4D13BAA7"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2.基金托管人应安全保管基金财产。</w:t>
      </w:r>
    </w:p>
    <w:p w14:paraId="08EC7EB9"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3.基金托管人按照规定开设基金财产的资金账户、证券账户及投资所需的其他账户。</w:t>
      </w:r>
    </w:p>
    <w:p w14:paraId="73C641D1"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4.基金托管人对所托管的不同基金财产分别设置账户，确保基金财产的完整与独立。</w:t>
      </w:r>
    </w:p>
    <w:p w14:paraId="17D7DB20"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5.基金托管人按照《基金合同》和本协议的约定保管基金财产，如有特殊情况双方可另行协商解决。基金</w:t>
      </w:r>
      <w:r w:rsidRPr="006E06DA">
        <w:rPr>
          <w:rFonts w:asciiTheme="minorEastAsia" w:eastAsiaTheme="minorEastAsia" w:hAnsiTheme="minorEastAsia" w:hint="eastAsia"/>
          <w:sz w:val="24"/>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4EFE1931"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51939FB"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7.除依据法律法规和《基金合同》的规定外，基金托管人不得委托第三人托管基金财产。</w:t>
      </w:r>
    </w:p>
    <w:p w14:paraId="33D2091B"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（二）基金募集期间及募集资金的验资</w:t>
      </w:r>
    </w:p>
    <w:p w14:paraId="1BB4301F"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1.基金募集期间募集的资金应存于基金管理人在基金托管人的营业机构开立的“基金募集专户”。该账户由基金管理人开立并管理。</w:t>
      </w:r>
    </w:p>
    <w:p w14:paraId="6AA6CA89"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w:t>
      </w:r>
      <w:r w:rsidRPr="006E06DA">
        <w:rPr>
          <w:rFonts w:asciiTheme="minorEastAsia" w:eastAsiaTheme="minorEastAsia" w:hAnsiTheme="minorEastAsia" w:cs="Arial" w:hint="eastAsia"/>
          <w:sz w:val="24"/>
        </w:rPr>
        <w:lastRenderedPageBreak/>
        <w:t>出具的验资报告由参加验资的2名或2名以上中国注册会计师签字方为有效。</w:t>
      </w:r>
    </w:p>
    <w:p w14:paraId="1BB4C93B"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3.若基金募集期限届满，未能达到《基金合同》生效的条件，由基金管理人按规定办理退款等事宜。</w:t>
      </w:r>
    </w:p>
    <w:p w14:paraId="01989FA6"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（三）基金银行账户的开立和管理</w:t>
      </w:r>
    </w:p>
    <w:p w14:paraId="57315428"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1.基金托管人可以基金的名义在其营业机构开立基金的银行账户，并根据基金管理人合法合规的指令办理资金收付。本基金的银行预留印鉴由基金托管人保管和使用。</w:t>
      </w:r>
    </w:p>
    <w:p w14:paraId="1A766CDC"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4C3AE932"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3.基金银行账户的开立和管理应符合银行业监督管理机构的有关规定。</w:t>
      </w:r>
    </w:p>
    <w:p w14:paraId="0B1102A0"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4.在符合法律法规规定的条件下，基金托管人可以通过基金托管人专用账户办理基金资产的支付。</w:t>
      </w:r>
    </w:p>
    <w:p w14:paraId="269E7756" w14:textId="77777777" w:rsidR="006E06DA" w:rsidRPr="006E06DA" w:rsidRDefault="006E06DA" w:rsidP="006E06DA">
      <w:pPr>
        <w:pStyle w:val="a0"/>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5.管理人应于托管产品清盘后及时完成收益兑付、费用结清及其他应收应付款项资金划转，在确保后续不再发生款项进出后的10个工作日内向基金托管人发出销户申请。</w:t>
      </w:r>
    </w:p>
    <w:p w14:paraId="2854F576"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（四）基金证券账户和结算备付金账户的开立和管理</w:t>
      </w:r>
    </w:p>
    <w:p w14:paraId="5E5973D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1.基金托管人在中国证券登记结算有限责任公司为基金开立基金托管人与基金联名的证券账户。</w:t>
      </w:r>
    </w:p>
    <w:p w14:paraId="28BD5C3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38684E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3.基金证券账户的开立和证券账户卡的保管由基金托管人负责，账户资产的管理和运用由基金管理人负责。</w:t>
      </w:r>
    </w:p>
    <w:p w14:paraId="5AA5D8E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证券账户开户费由基金管理人先行垫付,待托管产品启始运营后,基金管理人可向基金托管人发送划款指令,将代垫开户费从本基金托管资金账户中扣还基金管理人。</w:t>
      </w:r>
    </w:p>
    <w:p w14:paraId="277FE6B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w:t>
      </w:r>
      <w:r w:rsidRPr="006E06DA">
        <w:rPr>
          <w:rFonts w:asciiTheme="minorEastAsia" w:eastAsiaTheme="minorEastAsia" w:hAnsiTheme="minorEastAsia" w:cs="Arial" w:hint="eastAsia"/>
          <w:sz w:val="24"/>
        </w:rPr>
        <w:lastRenderedPageBreak/>
        <w:t>金等的收取按照中国证券登记结算有限责任公司的规定以及基金管理人与基金托管人签署的《托管银行证券资金结算协议》执行。</w:t>
      </w:r>
    </w:p>
    <w:p w14:paraId="70C30CE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5.账户注销时，在遵守中国证券登记结算公司的相关规定下，由基金管理人和基金托管人协商确认主要办理人。账户注销期间，主要办理人如需另一方提供配合的，另一方应予以配合。</w:t>
      </w:r>
    </w:p>
    <w:p w14:paraId="05D25DD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6.若中国证监会或其他监管机构在本托管协议订立日之后允许基金从事其他投资品种的投资业务，涉及相关账户的开立、使用的，若无相关规定，则基金托管人比照上述关于账户开立、使用的规定执行。</w:t>
      </w:r>
    </w:p>
    <w:p w14:paraId="726616C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（五）债券托管账户的开设和管理</w:t>
      </w:r>
    </w:p>
    <w:p w14:paraId="5184DA2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70B2391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（六）其他账户的开立和管理</w:t>
      </w:r>
    </w:p>
    <w:p w14:paraId="00465F7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6C9F064"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2.法律法规等有关规定对相关账户的开立和管理另有规定的，从其规定办理。</w:t>
      </w:r>
    </w:p>
    <w:p w14:paraId="2C17E5BA"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（七）基金财产投资的有关有价凭证等的保管</w:t>
      </w:r>
    </w:p>
    <w:p w14:paraId="2BD4D7A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rPr>
      </w:pPr>
      <w:r w:rsidRPr="006E06DA">
        <w:rPr>
          <w:rFonts w:asciiTheme="minorEastAsia" w:eastAsiaTheme="minorEastAsia" w:hAnsiTheme="minorEastAsia" w:cs="Arial" w:hint="eastAsia"/>
          <w:sz w:val="24"/>
        </w:rPr>
        <w:t>基金财产投资的有关实物证券、银行</w:t>
      </w:r>
      <w:r w:rsidRPr="006E06DA">
        <w:rPr>
          <w:rFonts w:asciiTheme="minorEastAsia" w:eastAsiaTheme="minorEastAsia" w:hAnsiTheme="minorEastAsia" w:hint="eastAsia"/>
          <w:sz w:val="24"/>
        </w:rPr>
        <w:t>存款开户证实书</w:t>
      </w:r>
      <w:r w:rsidRPr="006E06DA">
        <w:rPr>
          <w:rFonts w:asciiTheme="minorEastAsia" w:eastAsiaTheme="minorEastAsia" w:hAnsiTheme="minorEastAsia" w:cs="Arial" w:hint="eastAsia"/>
          <w:sz w:val="24"/>
        </w:rPr>
        <w:t>等有价凭证由基金托管人存放于基金托管人的保管库，也可存入中央国债登记结算有限责任公司、银行间市场清算所股份有限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1F62F02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（八）与基金财产有关的重大合同的保管</w:t>
      </w:r>
    </w:p>
    <w:p w14:paraId="31A3B5A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30"/>
          <w:szCs w:val="30"/>
        </w:rPr>
      </w:pPr>
      <w:r w:rsidRPr="006E06DA">
        <w:rPr>
          <w:rFonts w:asciiTheme="minorEastAsia" w:eastAsiaTheme="minorEastAsia" w:hAnsiTheme="minorEastAsia" w:cs="Arial" w:hint="eastAsia"/>
          <w:sz w:val="24"/>
        </w:rPr>
        <w:t>与基金财产有关的重大合同的签署，由基金管理人负责。由基金管理人代表基</w:t>
      </w:r>
      <w:r w:rsidRPr="006E06DA">
        <w:rPr>
          <w:rFonts w:asciiTheme="minorEastAsia" w:eastAsiaTheme="minorEastAsia" w:hAnsiTheme="minorEastAsia" w:cs="Arial" w:hint="eastAsia"/>
          <w:sz w:val="24"/>
        </w:rPr>
        <w:lastRenderedPageBreak/>
        <w:t>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少于法律法规规定的期限。</w:t>
      </w:r>
    </w:p>
    <w:p w14:paraId="707C84F5" w14:textId="77777777" w:rsidR="006E06DA" w:rsidRPr="006E06DA" w:rsidRDefault="006E06DA" w:rsidP="006E06DA">
      <w:pPr>
        <w:spacing w:line="360" w:lineRule="auto"/>
        <w:rPr>
          <w:rFonts w:asciiTheme="minorEastAsia" w:eastAsiaTheme="minorEastAsia" w:hAnsiTheme="minorEastAsia"/>
          <w:sz w:val="24"/>
        </w:rPr>
      </w:pPr>
    </w:p>
    <w:p w14:paraId="74059B2B" w14:textId="77777777" w:rsidR="006E06DA" w:rsidRPr="00400DC7" w:rsidRDefault="006E06DA" w:rsidP="00A4764D">
      <w:pPr>
        <w:pStyle w:val="2"/>
        <w:spacing w:before="100" w:beforeAutospacing="1" w:after="100" w:afterAutospacing="1" w:line="360" w:lineRule="auto"/>
        <w:jc w:val="center"/>
        <w:rPr>
          <w:rFonts w:asciiTheme="minorEastAsia" w:eastAsiaTheme="minorEastAsia" w:hAnsiTheme="minorEastAsia"/>
        </w:rPr>
      </w:pPr>
      <w:bookmarkStart w:id="43" w:name="_Toc84133787"/>
      <w:bookmarkStart w:id="44" w:name="_Toc84234389"/>
      <w:bookmarkStart w:id="45" w:name="_Toc84234436"/>
      <w:bookmarkStart w:id="46" w:name="_Toc86204790"/>
      <w:bookmarkStart w:id="47" w:name="_Toc86223244"/>
      <w:bookmarkStart w:id="48" w:name="_Toc86225293"/>
      <w:bookmarkStart w:id="49" w:name="_Toc86649724"/>
      <w:bookmarkStart w:id="50" w:name="_Toc86726441"/>
      <w:bookmarkStart w:id="51" w:name="_Toc86727357"/>
      <w:bookmarkStart w:id="52" w:name="_Toc86737931"/>
      <w:bookmarkStart w:id="53" w:name="_Toc89163370"/>
      <w:bookmarkStart w:id="54" w:name="_Toc108512360"/>
      <w:bookmarkStart w:id="55" w:name="_Toc110761798"/>
      <w:bookmarkStart w:id="56" w:name="_Toc110765662"/>
      <w:bookmarkStart w:id="57" w:name="_Toc110830494"/>
      <w:bookmarkStart w:id="58" w:name="_Toc118212952"/>
      <w:bookmarkStart w:id="59" w:name="_Toc118774805"/>
      <w:bookmarkStart w:id="60" w:name="_Toc118972650"/>
      <w:bookmarkStart w:id="61" w:name="_Toc119402712"/>
      <w:bookmarkStart w:id="62" w:name="_Toc120435785"/>
      <w:bookmarkStart w:id="63" w:name="_Toc124325890"/>
      <w:r w:rsidRPr="00400DC7">
        <w:rPr>
          <w:rFonts w:asciiTheme="minorEastAsia" w:eastAsiaTheme="minorEastAsia" w:hAnsiTheme="minorEastAsia" w:hint="eastAsia"/>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61EBDAE"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基金管理人在运用基金财产时向基金托管人发送资金划拨及其他款项付款指令，基金托管人执行基金管理人的指令、办理基金名下的资金往来等有关事项。</w:t>
      </w:r>
    </w:p>
    <w:p w14:paraId="345F75D5"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（一）基金管理人对发送指令人员的书面授权</w:t>
      </w:r>
    </w:p>
    <w:p w14:paraId="4D383A01"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1.基金管理人应指定专人向基金托管人发送指令。</w:t>
      </w:r>
    </w:p>
    <w:p w14:paraId="0116191A"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2.基金管理人应向基金托管人提供书面授权文件，内容包括被授权人名单、预留印鉴及被授权人签字样本，授权文件应注明被授权人相应的权限。</w:t>
      </w:r>
    </w:p>
    <w:p w14:paraId="47CD9AAA"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35B349A5"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4.基金管理人和基金托管人对授权文件负有保密义务，其内容不得向被授权人及相关操作人员以外的任何人泄露。但法律法规规定或有权机关要求的除外。</w:t>
      </w:r>
    </w:p>
    <w:p w14:paraId="3A1D14BC"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（二）指令的内容</w:t>
      </w:r>
    </w:p>
    <w:p w14:paraId="08B14951"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1.指令包括付款指令以及其他资金划拨指令等。</w:t>
      </w:r>
    </w:p>
    <w:p w14:paraId="145653D0"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2.基金管理人发给基金托管人的指令应写明款项事由、支付时间、到账时间、金额、账户等，加盖预留印鉴并由被授权人签字。</w:t>
      </w:r>
    </w:p>
    <w:p w14:paraId="4EDA0C8E"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（三）指令的发送、确认及执行的时间和程序</w:t>
      </w:r>
    </w:p>
    <w:p w14:paraId="1E20940E"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1.指令的发送</w:t>
      </w:r>
    </w:p>
    <w:p w14:paraId="62DCA936"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基金管理人发送指令应采用加密传真方式或双方协商一致的其他方式。</w:t>
      </w:r>
    </w:p>
    <w:p w14:paraId="46546B70"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2FAA73F7"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指令发出后，基金管理人应及时以电话方式向基金托管人确认。</w:t>
      </w:r>
    </w:p>
    <w:p w14:paraId="392FA120"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hint="eastAsia"/>
          <w:sz w:val="24"/>
        </w:rPr>
        <w:t>基金管理人应在银行间交易成交后，及时将划款指令以传真、邮件或电子传输方式发至基金托管人并电话确认，由基金托管人完成后台交易匹配及资金交收事宜。如果银行间结算系统已经生成的交易需要取消或终止，基金管理人要书面通知基金托管人。</w:t>
      </w:r>
    </w:p>
    <w:p w14:paraId="73450CA8"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2.指令的确认</w:t>
      </w:r>
    </w:p>
    <w:p w14:paraId="3B038689"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114D1934"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3.指令的时间和执行</w:t>
      </w:r>
    </w:p>
    <w:p w14:paraId="55CC94CA" w14:textId="77777777" w:rsidR="006E06DA" w:rsidRPr="006E06DA" w:rsidRDefault="006E06DA" w:rsidP="006E06DA">
      <w:pPr>
        <w:pStyle w:val="ae"/>
        <w:spacing w:line="360" w:lineRule="auto"/>
        <w:ind w:firstLineChars="0"/>
        <w:rPr>
          <w:rFonts w:asciiTheme="minorEastAsia" w:eastAsiaTheme="minorEastAsia" w:hAnsiTheme="minorEastAsia" w:cs="Arial"/>
          <w:szCs w:val="24"/>
          <w:shd w:val="pct15" w:color="auto" w:fill="FFFFFF"/>
        </w:rPr>
      </w:pPr>
      <w:r w:rsidRPr="006E06DA">
        <w:rPr>
          <w:rFonts w:asciiTheme="minorEastAsia" w:eastAsiaTheme="minorEastAsia" w:hAnsiTheme="minorEastAsia"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且相关付款条件已经具备。基金托管人将视付款条件具备时为指令送达时间。对新股申购网下发行业务，基金管理人指令发送时间尽可能不晚于网下申购缴款日(T日)上午10:00。</w:t>
      </w:r>
      <w:r w:rsidRPr="006E06DA">
        <w:rPr>
          <w:rFonts w:asciiTheme="minorEastAsia" w:eastAsiaTheme="minorEastAsia" w:hAnsiTheme="minorEastAsia" w:cs="Arial" w:hint="eastAsia"/>
          <w:szCs w:val="24"/>
        </w:rPr>
        <w:t>对于中国证券登记结算有限责任公司实行T+0非担保交收的业务，基金管理人应在交易日14：00</w:t>
      </w:r>
      <w:r w:rsidRPr="006E06DA">
        <w:rPr>
          <w:rFonts w:asciiTheme="minorEastAsia" w:eastAsiaTheme="minorEastAsia" w:hAnsiTheme="minorEastAsia" w:cs="Arial" w:hint="eastAsia"/>
        </w:rPr>
        <w:t>前</w:t>
      </w:r>
      <w:r w:rsidRPr="006E06DA">
        <w:rPr>
          <w:rFonts w:asciiTheme="minorEastAsia" w:eastAsiaTheme="minorEastAsia" w:hAnsiTheme="minorEastAsia" w:cs="Arial" w:hint="eastAsia"/>
          <w:szCs w:val="24"/>
        </w:rPr>
        <w:t>将划款指令发送至基金托管人。因基金管理人指令传输不及时，致使资金未能及时划入中登公司所造成的损失由基金管理人承担，包括赔偿在该市场引起其他托管客户交易失败、赔偿因占用</w:t>
      </w:r>
      <w:r w:rsidRPr="006E06DA">
        <w:rPr>
          <w:rFonts w:asciiTheme="minorEastAsia" w:eastAsiaTheme="minorEastAsia" w:hAnsiTheme="minorEastAsia" w:cs="Arial" w:hint="eastAsia"/>
        </w:rPr>
        <w:t>结算参与人</w:t>
      </w:r>
      <w:r w:rsidRPr="006E06DA">
        <w:rPr>
          <w:rFonts w:asciiTheme="minorEastAsia" w:eastAsiaTheme="minorEastAsia" w:hAnsiTheme="minorEastAsia" w:cs="Arial" w:hint="eastAsia"/>
          <w:szCs w:val="24"/>
        </w:rPr>
        <w:t>最低备付金带来的利息损失</w:t>
      </w:r>
      <w:r w:rsidRPr="006E06DA">
        <w:rPr>
          <w:rFonts w:asciiTheme="minorEastAsia" w:eastAsiaTheme="minorEastAsia" w:hAnsiTheme="minorEastAsia" w:cs="Arial" w:hint="eastAsia"/>
        </w:rPr>
        <w:t>。</w:t>
      </w:r>
      <w:r w:rsidRPr="006E06DA">
        <w:rPr>
          <w:rFonts w:asciiTheme="minorEastAsia" w:eastAsiaTheme="minorEastAsia" w:hAnsiTheme="minorEastAsia" w:cs="Arial" w:hint="eastAsia"/>
          <w:szCs w:val="24"/>
        </w:rPr>
        <w:t>基金管理人应确保基金托管人在执行指令时，基金资金账户有足够的资金余额，</w:t>
      </w:r>
      <w:r w:rsidRPr="006E06DA">
        <w:rPr>
          <w:rFonts w:asciiTheme="minorEastAsia" w:eastAsiaTheme="minorEastAsia" w:hAnsiTheme="minorEastAsia" w:cs="Arial" w:hint="eastAsia"/>
        </w:rPr>
        <w:t>在基金资金头寸充足的情况下，基金托管人对基金管理人符合法律法规、《基金合同》、本协议的指令不得</w:t>
      </w:r>
      <w:r w:rsidRPr="006E06DA">
        <w:rPr>
          <w:rFonts w:asciiTheme="minorEastAsia" w:eastAsiaTheme="minorEastAsia" w:hAnsiTheme="minorEastAsia" w:cs="Arial" w:hint="eastAsia"/>
        </w:rPr>
        <w:lastRenderedPageBreak/>
        <w:t>拖延或拒绝执行。</w:t>
      </w:r>
    </w:p>
    <w:p w14:paraId="2474EC5D" w14:textId="77777777" w:rsidR="006E06DA" w:rsidRPr="006E06DA" w:rsidRDefault="006E06DA" w:rsidP="006E06DA">
      <w:pPr>
        <w:pStyle w:val="ae"/>
        <w:spacing w:line="360" w:lineRule="auto"/>
        <w:ind w:firstLineChars="0"/>
        <w:rPr>
          <w:rFonts w:asciiTheme="minorEastAsia" w:eastAsiaTheme="minorEastAsia" w:hAnsiTheme="minorEastAsia" w:cs="Arial"/>
        </w:rPr>
      </w:pPr>
      <w:r w:rsidRPr="006E06DA">
        <w:rPr>
          <w:rFonts w:asciiTheme="minorEastAsia" w:eastAsiaTheme="minorEastAsia" w:hAnsiTheme="minorEastAsia" w:cs="Arial" w:hint="eastAsia"/>
        </w:rPr>
        <w:t>（四）基金管理人发送错误指令的情形和处理程序</w:t>
      </w:r>
    </w:p>
    <w:p w14:paraId="349C839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基金管理人发送错误指令的情形包括指令违反法律法规和《基金合同》，指令发送人员无权或超越权限发送指令。</w:t>
      </w:r>
    </w:p>
    <w:p w14:paraId="7371804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基金托管人在履行监督职能时，发现基金管理人的指令错误时，有权拒绝执行，并及时通知基金管理人改正。如需撤销指令，基金管理人应出具书面说明，并加盖业务用章。</w:t>
      </w:r>
    </w:p>
    <w:p w14:paraId="64536C7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（五）基金托管人依照法律法规暂缓、拒绝执行指令的情形和处理程序</w:t>
      </w:r>
    </w:p>
    <w:p w14:paraId="6F746266"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若基金托管人发现基金管理人的指令违反法律法规，或者违反《基金合同》约定的，应当拒绝执行，立即通知基金管理人。</w:t>
      </w:r>
    </w:p>
    <w:p w14:paraId="5EEFCF1A"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（六）基金托管人未按照基金管理人指令执行的处理方法</w:t>
      </w:r>
    </w:p>
    <w:p w14:paraId="30E8EF97"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基金托管人由于过错，未按照基金管理人发送的指令执行并对基金财产或投资人造成的直接损失，由基金托管人</w:t>
      </w:r>
      <w:r w:rsidRPr="006E06DA">
        <w:rPr>
          <w:rFonts w:asciiTheme="minorEastAsia" w:eastAsiaTheme="minorEastAsia" w:hAnsiTheme="minorEastAsia" w:hint="eastAsia"/>
          <w:sz w:val="24"/>
        </w:rPr>
        <w:t>赔偿由此造成的直接损失。</w:t>
      </w:r>
    </w:p>
    <w:p w14:paraId="733C30D8"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（七）更换被授权人的程序</w:t>
      </w:r>
    </w:p>
    <w:p w14:paraId="672AC920"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6E06DA">
        <w:rPr>
          <w:rFonts w:asciiTheme="minorEastAsia" w:eastAsiaTheme="minorEastAsia" w:hAnsiTheme="minorEastAsia" w:hint="eastAsia"/>
          <w:sz w:val="24"/>
        </w:rPr>
        <w:t>。</w:t>
      </w:r>
      <w:r w:rsidRPr="006E06DA">
        <w:rPr>
          <w:rFonts w:asciiTheme="minorEastAsia" w:eastAsiaTheme="minorEastAsia" w:hAnsiTheme="minorEastAsia" w:cs="Arial" w:hint="eastAsia"/>
          <w:sz w:val="24"/>
        </w:rPr>
        <w:t>基金托管人更换接受基金管理人指令的人员，应提前通过录音电话通知基金管理人。</w:t>
      </w:r>
    </w:p>
    <w:p w14:paraId="6F72B7CC"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（八）其他事项</w:t>
      </w:r>
    </w:p>
    <w:p w14:paraId="1F0211E2"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2D74DFD9"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77BC4C04" w14:textId="77777777" w:rsidR="006E06DA" w:rsidRPr="006E06DA" w:rsidRDefault="006E06DA" w:rsidP="006E06DA">
      <w:pPr>
        <w:adjustRightInd w:val="0"/>
        <w:snapToGrid w:val="0"/>
        <w:spacing w:line="360" w:lineRule="auto"/>
        <w:rPr>
          <w:rFonts w:asciiTheme="minorEastAsia" w:eastAsiaTheme="minorEastAsia" w:hAnsiTheme="minorEastAsia" w:cs="Arial"/>
          <w:sz w:val="24"/>
        </w:rPr>
      </w:pPr>
    </w:p>
    <w:p w14:paraId="0DBD1A89" w14:textId="77777777" w:rsidR="006E06DA" w:rsidRPr="00400DC7" w:rsidRDefault="006E06DA" w:rsidP="00A4764D">
      <w:pPr>
        <w:pStyle w:val="2"/>
        <w:spacing w:before="100" w:beforeAutospacing="1" w:after="100" w:afterAutospacing="1" w:line="360" w:lineRule="auto"/>
        <w:jc w:val="center"/>
        <w:rPr>
          <w:rFonts w:asciiTheme="minorEastAsia" w:eastAsiaTheme="minorEastAsia" w:hAnsiTheme="minorEastAsia"/>
        </w:rPr>
      </w:pPr>
      <w:bookmarkStart w:id="64" w:name="_Toc84133788"/>
      <w:bookmarkStart w:id="65" w:name="_Toc84234390"/>
      <w:bookmarkStart w:id="66" w:name="_Toc84234437"/>
      <w:bookmarkStart w:id="67" w:name="_Toc86204791"/>
      <w:bookmarkStart w:id="68" w:name="_Toc86223245"/>
      <w:bookmarkStart w:id="69" w:name="_Toc86225294"/>
      <w:bookmarkStart w:id="70" w:name="_Toc86649725"/>
      <w:bookmarkStart w:id="71" w:name="_Toc86726442"/>
      <w:bookmarkStart w:id="72" w:name="_Toc86727358"/>
      <w:bookmarkStart w:id="73" w:name="_Toc86737932"/>
      <w:bookmarkStart w:id="74" w:name="_Toc89163371"/>
      <w:bookmarkStart w:id="75" w:name="_Toc108512361"/>
      <w:bookmarkStart w:id="76" w:name="_Toc110761799"/>
      <w:bookmarkStart w:id="77" w:name="_Toc110765663"/>
      <w:bookmarkStart w:id="78" w:name="_Toc110830495"/>
      <w:bookmarkStart w:id="79" w:name="_Toc118212953"/>
      <w:bookmarkStart w:id="80" w:name="_Toc118774806"/>
      <w:bookmarkStart w:id="81" w:name="_Toc118972651"/>
      <w:bookmarkStart w:id="82" w:name="_Toc119402713"/>
      <w:bookmarkStart w:id="83" w:name="_Toc120435786"/>
      <w:bookmarkStart w:id="84" w:name="_Toc124325891"/>
      <w:r w:rsidRPr="00400DC7">
        <w:rPr>
          <w:rFonts w:asciiTheme="minorEastAsia" w:eastAsiaTheme="minorEastAsia" w:hAnsiTheme="minorEastAsia" w:hint="eastAsia"/>
        </w:rPr>
        <w:lastRenderedPageBreak/>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AAFAE98"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（一）选择证券买卖的证券经营机构</w:t>
      </w:r>
    </w:p>
    <w:p w14:paraId="30C9D93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应设计选择证券买卖的证券经营机构的标准和程序。基金管理人负责选择证券经营机构，租用其交易单元作为基金的专用交易单元。基金管理人和被选中的证券经营机构签订交易单元租用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4A9F885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基金管理人负责选择代理本基金期货交易的期货经纪机构，并与其签订期货经纪合同，其他事宜根据法律法规、《基金合同》的相关规定执行，若无明确规定的，可参照有关证券买卖、证券经纪机构选择的规则执行。 </w:t>
      </w:r>
    </w:p>
    <w:p w14:paraId="653F797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i/>
          <w:sz w:val="24"/>
        </w:rPr>
      </w:pPr>
      <w:r w:rsidRPr="006E06DA">
        <w:rPr>
          <w:rFonts w:asciiTheme="minorEastAsia" w:eastAsiaTheme="minorEastAsia" w:hAnsiTheme="minorEastAsia" w:cs="Arial" w:hint="eastAsia"/>
          <w:sz w:val="24"/>
        </w:rPr>
        <w:t>本基金在开始进行期货投资之前，应与基金托管人、期货公司三方一同就期货开户、清算、估值、交收等事宜另行签署《期货投资托管操作三方备忘录》。</w:t>
      </w:r>
    </w:p>
    <w:p w14:paraId="4F243CC6"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（二）基金投资证券后的清算交收安排</w:t>
      </w:r>
    </w:p>
    <w:p w14:paraId="3C3C50A5"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1.清算与交割</w:t>
      </w:r>
    </w:p>
    <w:p w14:paraId="70EEA62D" w14:textId="77777777" w:rsidR="006E06DA" w:rsidRPr="006E06DA" w:rsidRDefault="006E06DA" w:rsidP="006E06DA">
      <w:pPr>
        <w:adjustRightInd w:val="0"/>
        <w:snapToGrid w:val="0"/>
        <w:spacing w:line="360" w:lineRule="auto"/>
        <w:ind w:firstLine="480"/>
        <w:rPr>
          <w:rFonts w:asciiTheme="minorEastAsia" w:eastAsiaTheme="minorEastAsia" w:hAnsiTheme="minorEastAsia"/>
          <w:sz w:val="24"/>
        </w:rPr>
      </w:pPr>
      <w:r w:rsidRPr="006E06DA">
        <w:rPr>
          <w:rFonts w:asciiTheme="minorEastAsia" w:eastAsiaTheme="minorEastAsia" w:hAnsiTheme="minorEastAsia" w:hint="eastAsia"/>
          <w:sz w:val="24"/>
        </w:rPr>
        <w:t>基金管理人与基金托管人应根据有关法律法规及相关业务规则，签订《托管</w:t>
      </w:r>
    </w:p>
    <w:p w14:paraId="0E69FD31" w14:textId="77777777" w:rsidR="006E06DA" w:rsidRPr="006E06DA" w:rsidRDefault="006E06DA" w:rsidP="006E06DA">
      <w:pPr>
        <w:adjustRightInd w:val="0"/>
        <w:snapToGrid w:val="0"/>
        <w:spacing w:line="360" w:lineRule="auto"/>
        <w:rPr>
          <w:rFonts w:asciiTheme="minorEastAsia" w:eastAsiaTheme="minorEastAsia" w:hAnsiTheme="minorEastAsia"/>
          <w:sz w:val="24"/>
        </w:rPr>
      </w:pPr>
      <w:r w:rsidRPr="006E06DA">
        <w:rPr>
          <w:rFonts w:asciiTheme="minorEastAsia" w:eastAsiaTheme="minorEastAsia" w:hAnsiTheme="minorEastAsia" w:hint="eastAsia"/>
          <w:sz w:val="24"/>
        </w:rPr>
        <w:t>银行证券资金结算协议》，用以具体明确基金管理人与基金托管人在证券交易资金结算业务中的责任。</w:t>
      </w:r>
    </w:p>
    <w:p w14:paraId="1323098F"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423274BD"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24B53C92"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57E17292" w14:textId="77777777" w:rsidR="006E06DA" w:rsidRPr="006E06DA" w:rsidRDefault="006E06DA" w:rsidP="006E06DA">
      <w:pPr>
        <w:adjustRightInd w:val="0"/>
        <w:snapToGrid w:val="0"/>
        <w:spacing w:line="360" w:lineRule="auto"/>
        <w:ind w:firstLine="480"/>
        <w:rPr>
          <w:rFonts w:asciiTheme="minorEastAsia" w:eastAsiaTheme="minorEastAsia" w:hAnsiTheme="minorEastAsia" w:cs="宋体"/>
          <w:color w:val="000000"/>
          <w:kern w:val="0"/>
          <w:sz w:val="24"/>
        </w:rPr>
      </w:pPr>
      <w:r w:rsidRPr="006E06DA">
        <w:rPr>
          <w:rFonts w:asciiTheme="minorEastAsia" w:eastAsiaTheme="minorEastAsia" w:hAnsiTheme="minorEastAsia" w:cs="宋体" w:hint="eastAsia"/>
          <w:color w:val="000000"/>
          <w:kern w:val="0"/>
          <w:sz w:val="24"/>
        </w:rPr>
        <w:t>基金管理人应采取合理、必要措施，确保T日日终有足够的资金头寸完成 T+1日</w:t>
      </w:r>
      <w:r w:rsidRPr="006E06DA">
        <w:rPr>
          <w:rFonts w:asciiTheme="minorEastAsia" w:eastAsiaTheme="minorEastAsia" w:hAnsiTheme="minorEastAsia" w:hint="eastAsia"/>
          <w:sz w:val="24"/>
        </w:rPr>
        <w:t>中国证券登记结算有限责任公司的资金</w:t>
      </w:r>
      <w:r w:rsidRPr="006E06DA">
        <w:rPr>
          <w:rFonts w:asciiTheme="minorEastAsia" w:eastAsiaTheme="minorEastAsia" w:hAnsiTheme="minorEastAsia" w:cs="宋体" w:hint="eastAsia"/>
          <w:color w:val="000000"/>
          <w:kern w:val="0"/>
          <w:sz w:val="24"/>
        </w:rPr>
        <w:t>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7EF53A74"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20D0782B"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实行场内T+0交收的资金清算按照基金托管人的相关规定流程执行。</w:t>
      </w:r>
    </w:p>
    <w:p w14:paraId="789EBF31"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2.交易记录、资金和证券/期货账目核对的时间和方式</w:t>
      </w:r>
    </w:p>
    <w:p w14:paraId="7D19B621"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（1）交易记录的核对</w:t>
      </w:r>
    </w:p>
    <w:p w14:paraId="5E6D0F9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18FBFA96"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（2）资金账目的核对</w:t>
      </w:r>
    </w:p>
    <w:p w14:paraId="15C90118"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资金账目按日核实。</w:t>
      </w:r>
    </w:p>
    <w:p w14:paraId="5B3BBCD3"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（3）证券/期货账目的核对</w:t>
      </w:r>
    </w:p>
    <w:p w14:paraId="1DC7D2F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基金管理人和基金托管人每交易日结束后核对基金证券/期货账目，确保双方账目相符。基金管理人和基金托管人每月月末核对实物证券账目。</w:t>
      </w:r>
    </w:p>
    <w:p w14:paraId="15F4AE7D" w14:textId="77777777" w:rsidR="006E06DA" w:rsidRPr="006E06DA" w:rsidRDefault="006E06DA" w:rsidP="006E06DA">
      <w:pPr>
        <w:adjustRightInd w:val="0"/>
        <w:snapToGrid w:val="0"/>
        <w:spacing w:line="360" w:lineRule="auto"/>
        <w:ind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（三）基金申购和赎回业务处理的基本规定</w:t>
      </w:r>
    </w:p>
    <w:p w14:paraId="66D6AEB3"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1.基金份额申购、赎回的确认、清算由基金管理人或其委托的登记机构负责。</w:t>
      </w:r>
    </w:p>
    <w:p w14:paraId="54F8F932"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6E7CC9C7"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3.基金管理人应保证本基金（或本基金管理人委托）的登记机构每个工作日15:00前向基金托管人发送前一开放日上述有关数据，并保证相关数据的准确、完整。</w:t>
      </w:r>
    </w:p>
    <w:p w14:paraId="4455D699"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2C167670"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5.如基金管理人委托其他机构办理本基金的注册登记业务，应保证上述相关事宜按时进行。否则，由基金管理人承担相应的责任。</w:t>
      </w:r>
    </w:p>
    <w:p w14:paraId="74CA6BC5"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6.关于清算专用账户的设立和管理</w:t>
      </w:r>
    </w:p>
    <w:p w14:paraId="1495508B"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为满足申购、赎回及分红资金汇划的需要，由基金管理人开立资金清算的专用账户，该账户由登记机构管理。</w:t>
      </w:r>
    </w:p>
    <w:p w14:paraId="3F3F8E3B"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04404DF2"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8.赎回和分红资金划拨规定</w:t>
      </w:r>
    </w:p>
    <w:p w14:paraId="31FAEE98"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02A0011C"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9.资金指令</w:t>
      </w:r>
    </w:p>
    <w:p w14:paraId="4F573203"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除申购款项到达基金资金账户需双方按约定方式对账外，回购到期付款和与</w:t>
      </w:r>
      <w:r w:rsidRPr="006E06DA">
        <w:rPr>
          <w:rFonts w:asciiTheme="minorEastAsia" w:eastAsiaTheme="minorEastAsia" w:hAnsiTheme="minorEastAsia" w:cs="Arial" w:hint="eastAsia"/>
          <w:sz w:val="24"/>
        </w:rPr>
        <w:lastRenderedPageBreak/>
        <w:t>投资有关的付款、赎回和分红资金划拨时，基金管理人需向基金托管人下达指令。</w:t>
      </w:r>
    </w:p>
    <w:p w14:paraId="5F2688B0"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资金指令的格式、内容、发送、接收和确认方式等与投资指令相同。</w:t>
      </w:r>
    </w:p>
    <w:p w14:paraId="6456B27C"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（四）申赎净额结算</w:t>
      </w:r>
    </w:p>
    <w:p w14:paraId="6D0A241F"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i/>
          <w:sz w:val="24"/>
        </w:rPr>
      </w:pPr>
      <w:r w:rsidRPr="006E06DA">
        <w:rPr>
          <w:rFonts w:asciiTheme="minorEastAsia" w:eastAsiaTheme="minorEastAsia" w:hAnsiTheme="minorEastAsia"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w:t>
      </w:r>
      <w:r w:rsidR="00E6696D">
        <w:rPr>
          <w:rFonts w:asciiTheme="minorEastAsia" w:eastAsiaTheme="minorEastAsia" w:hAnsiTheme="minorEastAsia" w:cs="Arial"/>
          <w:sz w:val="24"/>
        </w:rPr>
        <w:t>1</w:t>
      </w:r>
      <w:r w:rsidR="00167627">
        <w:rPr>
          <w:rFonts w:asciiTheme="minorEastAsia" w:eastAsiaTheme="minorEastAsia" w:hAnsiTheme="minorEastAsia" w:cs="Arial"/>
          <w:sz w:val="24"/>
        </w:rPr>
        <w:t>5</w:t>
      </w:r>
      <w:r w:rsidRPr="006E06DA">
        <w:rPr>
          <w:rFonts w:asciiTheme="minorEastAsia" w:eastAsiaTheme="minorEastAsia" w:hAnsiTheme="minorEastAsia" w:cs="Arial"/>
          <w:sz w:val="24"/>
        </w:rPr>
        <w:t>:00</w:t>
      </w:r>
      <w:r w:rsidRPr="006E06DA">
        <w:rPr>
          <w:rFonts w:asciiTheme="minorEastAsia" w:eastAsiaTheme="minorEastAsia" w:hAnsiTheme="minorEastAsia" w:cs="Arial" w:hint="eastAsia"/>
          <w:sz w:val="24"/>
        </w:rPr>
        <w:t>之前从基金清算账户划到基金托管账户；当存在托管账户净应付额时，基金管理人应在T日</w:t>
      </w:r>
      <w:r w:rsidR="00167627">
        <w:rPr>
          <w:rFonts w:asciiTheme="minorEastAsia" w:eastAsiaTheme="minorEastAsia" w:hAnsiTheme="minorEastAsia" w:cs="Arial" w:hint="eastAsia"/>
          <w:sz w:val="24"/>
        </w:rPr>
        <w:t>10：00之前</w:t>
      </w:r>
      <w:r w:rsidRPr="006E06DA">
        <w:rPr>
          <w:rFonts w:asciiTheme="minorEastAsia" w:eastAsiaTheme="minorEastAsia" w:hAnsiTheme="minorEastAsia" w:cs="Arial" w:hint="eastAsia"/>
          <w:sz w:val="24"/>
        </w:rPr>
        <w:t>将划款指令发送给基金托管人，基金托管人按基金管理人的划款指令将托管账户净应付额在T日</w:t>
      </w:r>
      <w:r w:rsidR="00167627">
        <w:rPr>
          <w:rFonts w:asciiTheme="minorEastAsia" w:eastAsiaTheme="minorEastAsia" w:hAnsiTheme="minorEastAsia" w:cs="Arial"/>
          <w:sz w:val="24"/>
        </w:rPr>
        <w:t>15</w:t>
      </w:r>
      <w:r w:rsidRPr="006E06DA">
        <w:rPr>
          <w:rFonts w:asciiTheme="minorEastAsia" w:eastAsiaTheme="minorEastAsia" w:hAnsiTheme="minorEastAsia" w:cs="Arial"/>
          <w:sz w:val="24"/>
        </w:rPr>
        <w:t>:00</w:t>
      </w:r>
      <w:r w:rsidRPr="006E06DA">
        <w:rPr>
          <w:rFonts w:asciiTheme="minorEastAsia" w:eastAsiaTheme="minorEastAsia" w:hAnsiTheme="minorEastAsia" w:cs="Arial" w:hint="eastAsia"/>
          <w:sz w:val="24"/>
        </w:rPr>
        <w:t>之前划往基金清算账户。</w:t>
      </w:r>
    </w:p>
    <w:p w14:paraId="3918BABD" w14:textId="77777777" w:rsidR="006E06DA" w:rsidRPr="006E06DA" w:rsidRDefault="006E06DA" w:rsidP="006E06DA">
      <w:pPr>
        <w:adjustRightInd w:val="0"/>
        <w:snapToGrid w:val="0"/>
        <w:spacing w:line="360" w:lineRule="auto"/>
        <w:ind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（五）基金转换</w:t>
      </w:r>
    </w:p>
    <w:p w14:paraId="04C0B9B5"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1.在本基金与基金管理人管理的其它基金开展转换业务之前，基金管理人应函告基金托管人并就相关事宜进行协商。</w:t>
      </w:r>
    </w:p>
    <w:p w14:paraId="70A10E72" w14:textId="77777777" w:rsidR="006E06DA" w:rsidRPr="006E06DA" w:rsidRDefault="006E06DA" w:rsidP="006E06DA">
      <w:pPr>
        <w:adjustRightInd w:val="0"/>
        <w:snapToGrid w:val="0"/>
        <w:spacing w:line="360" w:lineRule="auto"/>
        <w:ind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2.基金托管人将根据基金管理人传送的基金转换数据进行账务处理，具体资金清算和数据传递的时间、程序及托管协议当事人承担的权责按基金管理人届时的公告执行。</w:t>
      </w:r>
    </w:p>
    <w:p w14:paraId="6DB4265E" w14:textId="77777777" w:rsidR="006E06DA" w:rsidRPr="006E06DA" w:rsidRDefault="006E06DA" w:rsidP="006E06DA">
      <w:pPr>
        <w:adjustRightInd w:val="0"/>
        <w:snapToGrid w:val="0"/>
        <w:spacing w:line="360" w:lineRule="auto"/>
        <w:ind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3.本基金开展基金转换业务应按相关法律法规规定及《基金合同》的约定进行公告。</w:t>
      </w:r>
    </w:p>
    <w:p w14:paraId="3330E733" w14:textId="77777777" w:rsidR="006E06DA" w:rsidRPr="006E06DA" w:rsidRDefault="006E06DA" w:rsidP="006E06DA">
      <w:pPr>
        <w:adjustRightInd w:val="0"/>
        <w:snapToGrid w:val="0"/>
        <w:spacing w:line="360" w:lineRule="auto"/>
        <w:ind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（六）基金现金分红</w:t>
      </w:r>
    </w:p>
    <w:p w14:paraId="76225D8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1.基金管理人确定分红方案通知基金托管人，双方核定后</w:t>
      </w:r>
      <w:r w:rsidRPr="006E06DA">
        <w:rPr>
          <w:rFonts w:asciiTheme="minorEastAsia" w:eastAsiaTheme="minorEastAsia" w:hAnsiTheme="minorEastAsia" w:hint="eastAsia"/>
          <w:sz w:val="24"/>
          <w:szCs w:val="18"/>
        </w:rPr>
        <w:t>依照《信息披露办法》的有关规定在中国证监会规定媒介上公告</w:t>
      </w:r>
      <w:r w:rsidRPr="006E06DA">
        <w:rPr>
          <w:rFonts w:asciiTheme="minorEastAsia" w:eastAsiaTheme="minorEastAsia" w:hAnsiTheme="minorEastAsia" w:cs="Arial" w:hint="eastAsia"/>
          <w:sz w:val="24"/>
        </w:rPr>
        <w:t>。</w:t>
      </w:r>
    </w:p>
    <w:p w14:paraId="1F6AE142" w14:textId="77777777" w:rsidR="006E06DA" w:rsidRPr="006E06DA" w:rsidRDefault="006E06DA" w:rsidP="006E06DA">
      <w:pPr>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2.基金托管人和基金管理人对基金分红进行账务处理并核对后，基金管理人向基金托管人发送现金红利的划款指令，基金托管人应及时将资金划入专用账户。</w:t>
      </w:r>
    </w:p>
    <w:p w14:paraId="625052F4" w14:textId="77777777" w:rsidR="006E06DA" w:rsidRPr="006E06DA" w:rsidRDefault="006E06DA" w:rsidP="006E06DA">
      <w:pPr>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3.基金管理人在下达指令时，应给基金托管人留出必需的划款时间。</w:t>
      </w:r>
    </w:p>
    <w:p w14:paraId="3E8B3A66" w14:textId="77777777" w:rsidR="006E06DA" w:rsidRPr="006E06DA" w:rsidRDefault="006E06DA" w:rsidP="006E06DA">
      <w:pPr>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（七）投资银行存款的特别约定</w:t>
      </w:r>
    </w:p>
    <w:p w14:paraId="7E4C3A23" w14:textId="77777777" w:rsidR="006E06DA" w:rsidRPr="006E06DA" w:rsidRDefault="006E06DA" w:rsidP="006E06DA">
      <w:pPr>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1.本基金投资银行存款前，基金管理人应与存款银行签订具体存款协议，包括但不限于以下内容：</w:t>
      </w:r>
    </w:p>
    <w:p w14:paraId="4D5F3DCF" w14:textId="77777777" w:rsidR="006E06DA" w:rsidRPr="006E06DA" w:rsidRDefault="006E06DA" w:rsidP="006E06DA">
      <w:pPr>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（1）存款账户必须以本基金名义开立,并将基金托管人为本基金开立的基金银行账户指定为唯一回款账户，任何情况下，存款银行都不得将存款投资本息划往任何其他账户。</w:t>
      </w:r>
    </w:p>
    <w:p w14:paraId="59D31A05" w14:textId="77777777" w:rsidR="006E06DA" w:rsidRPr="006E06DA" w:rsidRDefault="006E06DA" w:rsidP="006E06DA">
      <w:pPr>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（2）存款银行不得接受基金管理人或基金托管人任何一方单方面提出的对存款进行更名、转让、挂失、质押、担保、撤销、变更印鉴及回款账户信息等可能导致财产转移的操作申请。</w:t>
      </w:r>
    </w:p>
    <w:p w14:paraId="129A1A45" w14:textId="77777777" w:rsidR="006E06DA" w:rsidRPr="006E06DA" w:rsidRDefault="006E06DA" w:rsidP="006E06DA">
      <w:pPr>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（3）约定存款证实书的具体传递交接方式及交接期限。</w:t>
      </w:r>
    </w:p>
    <w:p w14:paraId="3CEE847C" w14:textId="77777777" w:rsidR="006E06DA" w:rsidRPr="006E06DA" w:rsidRDefault="006E06DA" w:rsidP="006E06DA">
      <w:pPr>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（4）资金划转过程中需要使用存款银行过渡账户的，存款银行须保证资金在过渡账户中不出现滞留，不被挪用。</w:t>
      </w:r>
    </w:p>
    <w:p w14:paraId="255D647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本基金投资银行存款，必须采用双方认可的方式办理。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14:paraId="0AE3CD6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 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14:paraId="604C77CE" w14:textId="77777777" w:rsidR="006E06DA" w:rsidRPr="006E06DA" w:rsidRDefault="006E06DA" w:rsidP="006E06DA">
      <w:pPr>
        <w:pStyle w:val="a0"/>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凭证送达基金托管人保管的，出于托管履职和尽责，基金托管人可视情况采取必要的风险控制措施：（1）建立风险预警机制，对于实物凭证未送达集中度较高的存款银行，主动发函基金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基金管理人办理后续新增存款投资业务，直至实物凭证送达基金托管人保管后解除。实物凭证未送达但存款本息已安全划回托管账户的，以及因发生特殊情况由基金管理人提供相关书面说明并重新承诺送单截止时间的，可剔除不计。</w:t>
      </w:r>
    </w:p>
    <w:p w14:paraId="709D164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p>
    <w:p w14:paraId="556D09C5" w14:textId="77777777" w:rsidR="006E06DA" w:rsidRPr="006E06DA" w:rsidRDefault="006E06DA" w:rsidP="00A4764D">
      <w:pPr>
        <w:pStyle w:val="2"/>
        <w:spacing w:before="100" w:beforeAutospacing="1" w:after="100" w:afterAutospacing="1" w:line="360" w:lineRule="auto"/>
        <w:jc w:val="center"/>
        <w:rPr>
          <w:rFonts w:asciiTheme="minorEastAsia" w:eastAsiaTheme="minorEastAsia" w:hAnsiTheme="minorEastAsia"/>
          <w:sz w:val="30"/>
        </w:rPr>
      </w:pPr>
      <w:bookmarkStart w:id="85" w:name="_Toc124325892"/>
      <w:r w:rsidRPr="006E06DA">
        <w:rPr>
          <w:rFonts w:asciiTheme="minorEastAsia" w:eastAsiaTheme="minorEastAsia" w:hAnsiTheme="minorEastAsia" w:hint="eastAsia"/>
          <w:sz w:val="30"/>
        </w:rPr>
        <w:lastRenderedPageBreak/>
        <w:t xml:space="preserve"> 八、基金资产净值计算和会计核算</w:t>
      </w:r>
      <w:bookmarkEnd w:id="85"/>
    </w:p>
    <w:p w14:paraId="531CB231"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（一）基金资产净值的计算、复核与完成的时间及程序</w:t>
      </w:r>
    </w:p>
    <w:p w14:paraId="0EECE3A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资产净值是指基金资产总值减去负债后的金额。各类基金份额净值是按照每个工作日闭市后，各类基金资产净值除以当日该类基金份额的余额数量计算，均精确到0.0001元，小数点后第五位四舍五入。基金管理人可以设立大额赎回情形下的净值精度应急调整机制。国家另有规定的，从其规定。</w:t>
      </w:r>
    </w:p>
    <w:p w14:paraId="30E6866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基金管理人于每个工作日计算基金资产净值及各类基金份额净值，并按规定公告。</w:t>
      </w:r>
    </w:p>
    <w:p w14:paraId="16BF56F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应每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45772B8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3、本基金实施侧袋机制的，应根据本部分的约定对主袋账户资产进行估值并披露主袋账户的基金净值信息，暂停披露侧袋账户份额净值。</w:t>
      </w:r>
    </w:p>
    <w:p w14:paraId="07CCA013" w14:textId="77777777" w:rsidR="006E06DA" w:rsidRPr="006E06DA" w:rsidRDefault="006E06DA" w:rsidP="006E06DA">
      <w:pPr>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（二）基金资产估值方法和特殊情形的处理</w:t>
      </w:r>
    </w:p>
    <w:p w14:paraId="5025B2D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1.估值对象</w:t>
      </w:r>
    </w:p>
    <w:p w14:paraId="514A0BC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基金所拥有的股票、债券、银行存款本息、应收款项、国债期货合约、资产支持证券、其它投资等资产及负债。</w:t>
      </w:r>
    </w:p>
    <w:p w14:paraId="20B314A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2.估值方法</w:t>
      </w:r>
    </w:p>
    <w:p w14:paraId="112B52F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本基金所持有的投资品种，按如下原则进行估值 ：</w:t>
      </w:r>
    </w:p>
    <w:p w14:paraId="46196A9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（1）证券交易所上市的有价证券的估值</w:t>
      </w:r>
    </w:p>
    <w:p w14:paraId="581C40C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EED3B0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宋体" w:hint="eastAsia"/>
          <w:sz w:val="24"/>
        </w:rPr>
        <w:t>②</w:t>
      </w:r>
      <w:r w:rsidRPr="006E06DA">
        <w:rPr>
          <w:rFonts w:asciiTheme="minorEastAsia" w:eastAsiaTheme="minorEastAsia" w:hAnsiTheme="minorEastAsia" w:cs="Arial" w:hint="eastAsia"/>
          <w:sz w:val="24"/>
        </w:rPr>
        <w:t>交易所上市交易或挂牌转让的不含权固定收益品种（基金合同另有规定的除外），选取估值日第三方估值机构提供的相应品种当日的估值净价进行估值；</w:t>
      </w:r>
    </w:p>
    <w:p w14:paraId="7DFD57B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宋体" w:hint="eastAsia"/>
          <w:sz w:val="24"/>
        </w:rPr>
        <w:lastRenderedPageBreak/>
        <w:t>③</w:t>
      </w:r>
      <w:r w:rsidRPr="006E06DA">
        <w:rPr>
          <w:rFonts w:asciiTheme="minorEastAsia" w:eastAsiaTheme="minorEastAsia" w:hAnsiTheme="minorEastAsia" w:cs="Arial" w:hint="eastAsia"/>
          <w:sz w:val="24"/>
        </w:rPr>
        <w:t>交易所上市交易或挂牌转让的含权固定收益品种，选取估值日第三方估值机构提供的相应品种当日的唯一估值净价或推荐估值净价进行估值；</w:t>
      </w:r>
    </w:p>
    <w:p w14:paraId="7B1C380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宋体" w:hint="eastAsia"/>
          <w:sz w:val="24"/>
        </w:rPr>
        <w:t>④</w:t>
      </w:r>
      <w:r w:rsidRPr="006E06DA">
        <w:rPr>
          <w:rFonts w:asciiTheme="minorEastAsia" w:eastAsiaTheme="minorEastAsia" w:hAnsiTheme="minorEastAsia" w:cs="Arial" w:hint="eastAsia"/>
          <w:sz w:val="24"/>
        </w:rPr>
        <w:t>交易所上市交易的可转换债券以每日收盘价作为估值全价；交易所上市实行全价交易的债券（可转换债券除外），选取第三方估值机构提供的估值全价减去估值全价中所含的债券（税后）应收利息得到的净价进行估值；在估值技术难以可靠计量公允价值的情况下，按成本估值；</w:t>
      </w:r>
    </w:p>
    <w:p w14:paraId="049EC90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宋体" w:hint="eastAsia"/>
          <w:sz w:val="24"/>
        </w:rPr>
        <w:t>⑤</w:t>
      </w:r>
      <w:r w:rsidRPr="006E06DA">
        <w:rPr>
          <w:rFonts w:asciiTheme="minorEastAsia" w:eastAsiaTheme="minorEastAsia" w:hAnsiTheme="minorEastAsia" w:cs="Arial" w:hint="eastAsia"/>
          <w:sz w:val="24"/>
        </w:rPr>
        <w:t>交易所上市不存在活跃市场的有价证券，采用估值技术确定公允价值。交易所市场挂牌转让的资产支持证券，采用估值技术确定公允价值。</w:t>
      </w:r>
    </w:p>
    <w:p w14:paraId="5A91D81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（2）处于未上市期间的有价证券应区分如下情况处理：</w:t>
      </w:r>
    </w:p>
    <w:p w14:paraId="281BFB6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①送股、转增股、配股，按估值日在证券交易所挂牌的同一股票的估值方法估值；该日无交易的，以最近一日的市价（收盘价）估值；</w:t>
      </w:r>
    </w:p>
    <w:p w14:paraId="5489048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宋体" w:hint="eastAsia"/>
          <w:sz w:val="24"/>
        </w:rPr>
        <w:t>②</w:t>
      </w:r>
      <w:r w:rsidRPr="006E06DA">
        <w:rPr>
          <w:rFonts w:asciiTheme="minorEastAsia" w:eastAsiaTheme="minorEastAsia" w:hAnsiTheme="minorEastAsia" w:cs="Arial" w:hint="eastAsia"/>
          <w:sz w:val="24"/>
        </w:rPr>
        <w:t xml:space="preserve">首次公开发行未上市的债券，采用估值技术确定公允价值，在估值技术难以可靠计量公允价值的情况下，按成本估值； </w:t>
      </w:r>
    </w:p>
    <w:p w14:paraId="277F5B8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宋体" w:hint="eastAsia"/>
          <w:sz w:val="24"/>
        </w:rPr>
        <w:t>③</w:t>
      </w:r>
      <w:r w:rsidRPr="006E06DA">
        <w:rPr>
          <w:rFonts w:asciiTheme="minorEastAsia" w:eastAsiaTheme="minorEastAsia" w:hAnsiTheme="minorEastAsia" w:cs="Arial" w:hint="eastAsia"/>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5BE8060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F3BA07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（4）存款的估值方法 </w:t>
      </w:r>
    </w:p>
    <w:p w14:paraId="5D87ED5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持有的银行定期存款或通知存款以本金列示，按协议或合同利率逐日确认利息收入。</w:t>
      </w:r>
    </w:p>
    <w:p w14:paraId="42A9030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（5）本基金投资国债期货合约，一般以国债期货合约估值日的结算价估值，估值当日无结算价的，且最近交易日后经济环境未发生重大变化的，采用最近交易</w:t>
      </w:r>
      <w:r w:rsidRPr="006E06DA">
        <w:rPr>
          <w:rFonts w:asciiTheme="minorEastAsia" w:eastAsiaTheme="minorEastAsia" w:hAnsiTheme="minorEastAsia" w:cs="Arial" w:hint="eastAsia"/>
          <w:sz w:val="24"/>
        </w:rPr>
        <w:lastRenderedPageBreak/>
        <w:t>日结算价估值。</w:t>
      </w:r>
    </w:p>
    <w:p w14:paraId="68E667B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（6）同一债券同时在两个或两个以上市场交易的，按债券所处的市场分别估值。</w:t>
      </w:r>
    </w:p>
    <w:p w14:paraId="6A2552C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（7）本基金投资同业存单，按估值日第三方估值机构提供的估值净价估值；选定的第三方估值机构未提供估值价格的，按成本估值。</w:t>
      </w:r>
    </w:p>
    <w:p w14:paraId="34E4CBA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（8）如有确凿证据表明按上述方法进行估值不能客观反映其公允价值的，基金管理人可根据具体情况与基金托管人商定后，按最能反映公允价值的价格估值。</w:t>
      </w:r>
    </w:p>
    <w:p w14:paraId="48664E3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（9）当发生大额申购或赎回情形时，基金管理人可以采用摆动定价机制，以确保基金估值的公平性。</w:t>
      </w:r>
    </w:p>
    <w:p w14:paraId="17D4625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（10）相关法律法规以及监管部门有强制规定的，从其规定。如有新增事项，按国家最新规定估值。</w:t>
      </w:r>
    </w:p>
    <w:p w14:paraId="49CC5CF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01781FE" w14:textId="77777777" w:rsidR="006E06DA" w:rsidRPr="006E06DA" w:rsidRDefault="006E06DA" w:rsidP="00A4764D">
      <w:pPr>
        <w:adjustRightInd w:val="0"/>
        <w:snapToGrid w:val="0"/>
        <w:spacing w:line="360" w:lineRule="auto"/>
        <w:ind w:firstLineChars="200" w:firstLine="480"/>
        <w:rPr>
          <w:rFonts w:asciiTheme="minorEastAsia" w:eastAsiaTheme="minorEastAsia" w:hAnsiTheme="minorEastAsia"/>
          <w:sz w:val="24"/>
          <w:szCs w:val="21"/>
        </w:rPr>
      </w:pPr>
      <w:r w:rsidRPr="006E06DA">
        <w:rPr>
          <w:rFonts w:asciiTheme="minorEastAsia" w:eastAsiaTheme="minorEastAsia" w:hAnsiTheme="minorEastAsia"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w:t>
      </w:r>
    </w:p>
    <w:p w14:paraId="60E2B654" w14:textId="77777777" w:rsidR="006E06DA" w:rsidRPr="006E06DA" w:rsidRDefault="006E06DA" w:rsidP="006E06DA">
      <w:pPr>
        <w:adjustRightInd w:val="0"/>
        <w:snapToGrid w:val="0"/>
        <w:spacing w:line="360" w:lineRule="auto"/>
        <w:ind w:firstLine="480"/>
        <w:rPr>
          <w:rStyle w:val="read"/>
          <w:rFonts w:asciiTheme="minorEastAsia" w:eastAsiaTheme="minorEastAsia" w:hAnsiTheme="minorEastAsia" w:cs="Arial"/>
          <w:sz w:val="24"/>
        </w:rPr>
      </w:pPr>
      <w:r w:rsidRPr="006E06DA">
        <w:rPr>
          <w:rStyle w:val="read"/>
          <w:rFonts w:asciiTheme="minorEastAsia" w:eastAsiaTheme="minorEastAsia" w:hAnsiTheme="minorEastAsia" w:cs="Arial" w:hint="eastAsia"/>
          <w:sz w:val="24"/>
        </w:rPr>
        <w:t>3.特殊情形的处理</w:t>
      </w:r>
    </w:p>
    <w:p w14:paraId="7479922C" w14:textId="77777777" w:rsidR="006E06DA" w:rsidRPr="006E06DA" w:rsidRDefault="006E06DA" w:rsidP="006E06DA">
      <w:pPr>
        <w:adjustRightInd w:val="0"/>
        <w:snapToGrid w:val="0"/>
        <w:spacing w:line="360" w:lineRule="auto"/>
        <w:ind w:firstLineChars="200" w:firstLine="480"/>
        <w:rPr>
          <w:rStyle w:val="read"/>
          <w:rFonts w:asciiTheme="minorEastAsia" w:eastAsiaTheme="minorEastAsia" w:hAnsiTheme="minorEastAsia"/>
          <w:sz w:val="24"/>
        </w:rPr>
      </w:pPr>
      <w:r w:rsidRPr="006E06DA">
        <w:rPr>
          <w:rStyle w:val="read"/>
          <w:rFonts w:asciiTheme="minorEastAsia" w:eastAsiaTheme="minorEastAsia" w:hAnsiTheme="minorEastAsia" w:cs="Arial" w:hint="eastAsia"/>
          <w:sz w:val="24"/>
        </w:rPr>
        <w:t>基金管理人、基金托管人按估值方法的第(8)项进行估值时，所造成的误差不作为基金资产估值错误</w:t>
      </w:r>
      <w:r w:rsidRPr="006E06DA">
        <w:rPr>
          <w:rStyle w:val="read"/>
          <w:rFonts w:asciiTheme="minorEastAsia" w:eastAsiaTheme="minorEastAsia" w:hAnsiTheme="minorEastAsia" w:hint="eastAsia"/>
          <w:sz w:val="24"/>
        </w:rPr>
        <w:t>处理。</w:t>
      </w:r>
    </w:p>
    <w:p w14:paraId="76E9A422" w14:textId="77777777" w:rsidR="006E06DA" w:rsidRPr="006E06DA" w:rsidRDefault="006E06DA" w:rsidP="006E06DA">
      <w:pPr>
        <w:adjustRightInd w:val="0"/>
        <w:snapToGrid w:val="0"/>
        <w:spacing w:line="360" w:lineRule="auto"/>
        <w:ind w:firstLineChars="200" w:firstLine="480"/>
        <w:rPr>
          <w:rStyle w:val="read"/>
          <w:rFonts w:asciiTheme="minorEastAsia" w:eastAsiaTheme="minorEastAsia" w:hAnsiTheme="minorEastAsia"/>
          <w:sz w:val="24"/>
        </w:rPr>
      </w:pPr>
      <w:r w:rsidRPr="006E06DA">
        <w:rPr>
          <w:rStyle w:val="read"/>
          <w:rFonts w:asciiTheme="minorEastAsia" w:eastAsiaTheme="minorEastAsia" w:hAnsiTheme="minorEastAsia" w:hint="eastAsia"/>
          <w:sz w:val="24"/>
        </w:rPr>
        <w:t>（三）基金份额净值错误的处理方式</w:t>
      </w:r>
    </w:p>
    <w:p w14:paraId="7C4A99D2" w14:textId="77777777" w:rsidR="006E06DA" w:rsidRPr="006E06DA" w:rsidRDefault="006E06DA" w:rsidP="006E06DA">
      <w:pPr>
        <w:adjustRightInd w:val="0"/>
        <w:snapToGrid w:val="0"/>
        <w:spacing w:line="360" w:lineRule="auto"/>
        <w:ind w:firstLineChars="200" w:firstLine="480"/>
        <w:rPr>
          <w:rStyle w:val="read"/>
          <w:rFonts w:asciiTheme="minorEastAsia" w:eastAsiaTheme="minorEastAsia" w:hAnsiTheme="minorEastAsia"/>
          <w:sz w:val="24"/>
        </w:rPr>
      </w:pPr>
      <w:r w:rsidRPr="006E06DA">
        <w:rPr>
          <w:rStyle w:val="read"/>
          <w:rFonts w:asciiTheme="minorEastAsia" w:eastAsiaTheme="minorEastAsia" w:hAnsiTheme="minorEastAsia" w:hint="eastAsia"/>
          <w:sz w:val="24"/>
        </w:rPr>
        <w:t>1.当任一类基金份额净值小数点后4位以内(含第4位)发生差错时，视为该类基金份额净值错误；任一类基金份额净值出现错误时，基金管理人应当立即予以纠正，通报基金托管人，并采取合理的措施防止损失进一步扩大；错误偏差达到该类基金份额净值的0.25%时，基金管理人应当通报基金托管人并报中国证监会备案</w:t>
      </w:r>
      <w:r w:rsidRPr="006E06DA">
        <w:rPr>
          <w:rFonts w:asciiTheme="minorEastAsia" w:eastAsiaTheme="minorEastAsia" w:hAnsiTheme="minorEastAsia" w:cs="Arial" w:hint="eastAsia"/>
          <w:sz w:val="24"/>
        </w:rPr>
        <w:t>；错误偏差达到</w:t>
      </w:r>
      <w:r w:rsidRPr="006E06DA">
        <w:rPr>
          <w:rStyle w:val="read"/>
          <w:rFonts w:asciiTheme="minorEastAsia" w:eastAsiaTheme="minorEastAsia" w:hAnsiTheme="minorEastAsia" w:hint="eastAsia"/>
          <w:sz w:val="24"/>
        </w:rPr>
        <w:t>该类</w:t>
      </w:r>
      <w:r w:rsidRPr="006E06DA">
        <w:rPr>
          <w:rFonts w:asciiTheme="minorEastAsia" w:eastAsiaTheme="minorEastAsia" w:hAnsiTheme="minorEastAsia" w:cs="Arial" w:hint="eastAsia"/>
          <w:sz w:val="24"/>
        </w:rPr>
        <w:t>基金份额净值的</w:t>
      </w:r>
      <w:r w:rsidRPr="006E06DA">
        <w:rPr>
          <w:rFonts w:asciiTheme="minorEastAsia" w:eastAsiaTheme="minorEastAsia" w:hAnsiTheme="minorEastAsia" w:hint="eastAsia"/>
          <w:sz w:val="24"/>
        </w:rPr>
        <w:t>0.5%时，基金管理人应当公告并报中国证监会备案</w:t>
      </w:r>
      <w:r w:rsidRPr="006E06DA">
        <w:rPr>
          <w:rStyle w:val="read"/>
          <w:rFonts w:asciiTheme="minorEastAsia" w:eastAsiaTheme="minorEastAsia" w:hAnsiTheme="minorEastAsia" w:hint="eastAsia"/>
          <w:sz w:val="24"/>
        </w:rPr>
        <w:t>；当发生净值计算错误时，由基金管理人负责处理，由此给基金份额持有人和基金造成损失的，应由基金管理人先行赔付，基金管理人按差错情形，有权向其他</w:t>
      </w:r>
      <w:r w:rsidRPr="006E06DA">
        <w:rPr>
          <w:rStyle w:val="read"/>
          <w:rFonts w:asciiTheme="minorEastAsia" w:eastAsiaTheme="minorEastAsia" w:hAnsiTheme="minorEastAsia" w:hint="eastAsia"/>
          <w:sz w:val="24"/>
        </w:rPr>
        <w:lastRenderedPageBreak/>
        <w:t>当事人追偿。</w:t>
      </w:r>
    </w:p>
    <w:p w14:paraId="54FBF5AA" w14:textId="77777777" w:rsidR="006E06DA" w:rsidRPr="006E06DA" w:rsidRDefault="006E06DA" w:rsidP="006E06DA">
      <w:pPr>
        <w:adjustRightInd w:val="0"/>
        <w:snapToGrid w:val="0"/>
        <w:spacing w:line="360" w:lineRule="auto"/>
        <w:ind w:firstLineChars="200" w:firstLine="480"/>
        <w:rPr>
          <w:rStyle w:val="read"/>
          <w:rFonts w:asciiTheme="minorEastAsia" w:eastAsiaTheme="minorEastAsia" w:hAnsiTheme="minorEastAsia"/>
          <w:sz w:val="24"/>
        </w:rPr>
      </w:pPr>
      <w:r w:rsidRPr="006E06DA">
        <w:rPr>
          <w:rStyle w:val="read"/>
          <w:rFonts w:asciiTheme="minorEastAsia" w:eastAsiaTheme="minorEastAsia" w:hAnsiTheme="minorEastAsia" w:hint="eastAsia"/>
          <w:sz w:val="24"/>
        </w:rPr>
        <w:t>2.当基金份额净值计算差错给基金和基金份额持有人造成损失需要进行赔偿时，基金管理人和基金托管人应根据实际情况界定双方承担的责任，经确认后按以下条款进行赔偿：</w:t>
      </w:r>
    </w:p>
    <w:p w14:paraId="610C55A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Style w:val="read"/>
          <w:rFonts w:asciiTheme="minorEastAsia" w:eastAsiaTheme="minorEastAsia" w:hAnsiTheme="minorEastAsia"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6E06DA">
        <w:rPr>
          <w:rFonts w:asciiTheme="minorEastAsia" w:eastAsiaTheme="minorEastAsia" w:hAnsiTheme="minorEastAsia" w:cs="Arial" w:hint="eastAsia"/>
          <w:sz w:val="24"/>
        </w:rPr>
        <w:t>损失，由基金管理人负责赔付。</w:t>
      </w:r>
    </w:p>
    <w:p w14:paraId="313E817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w:t>
      </w:r>
      <w:r w:rsidRPr="006E06DA">
        <w:rPr>
          <w:rFonts w:asciiTheme="minorEastAsia" w:eastAsiaTheme="minorEastAsia" w:hAnsiTheme="minorEastAsia" w:hint="eastAsia"/>
          <w:kern w:val="0"/>
          <w:sz w:val="24"/>
        </w:rPr>
        <w:t>若基金管理人计算的各类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5F8B87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(3)如基金管理人和基金托管人对</w:t>
      </w:r>
      <w:r w:rsidRPr="006E06DA">
        <w:rPr>
          <w:rFonts w:asciiTheme="minorEastAsia" w:eastAsiaTheme="minorEastAsia" w:hAnsiTheme="minorEastAsia" w:hint="eastAsia"/>
          <w:kern w:val="0"/>
          <w:sz w:val="24"/>
        </w:rPr>
        <w:t>各类</w:t>
      </w:r>
      <w:r w:rsidRPr="006E06DA">
        <w:rPr>
          <w:rFonts w:asciiTheme="minorEastAsia" w:eastAsiaTheme="minorEastAsia" w:hAnsiTheme="minorEastAsia" w:cs="Arial" w:hint="eastAsia"/>
          <w:sz w:val="24"/>
        </w:rPr>
        <w:t>基金份额净值的计算结果，虽然多次重新计算和核对，尚不能达成一致时，为避免不能按时公布</w:t>
      </w:r>
      <w:r w:rsidRPr="006E06DA">
        <w:rPr>
          <w:rFonts w:asciiTheme="minorEastAsia" w:eastAsiaTheme="minorEastAsia" w:hAnsiTheme="minorEastAsia" w:hint="eastAsia"/>
          <w:kern w:val="0"/>
          <w:sz w:val="24"/>
        </w:rPr>
        <w:t>各类</w:t>
      </w:r>
      <w:r w:rsidRPr="006E06DA">
        <w:rPr>
          <w:rFonts w:asciiTheme="minorEastAsia" w:eastAsiaTheme="minorEastAsia" w:hAnsiTheme="minorEastAsia" w:cs="Arial" w:hint="eastAsia"/>
          <w:sz w:val="24"/>
        </w:rPr>
        <w:t>基金份额净值的情形，以基金管理人的计算结果对外公布，由此给基金份额持有人和基金造成的损失，由基金管理人负责赔付。</w:t>
      </w:r>
    </w:p>
    <w:p w14:paraId="71C9CD6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w:t>
      </w:r>
      <w:r w:rsidRPr="006E06DA">
        <w:rPr>
          <w:rFonts w:asciiTheme="minorEastAsia" w:eastAsiaTheme="minorEastAsia" w:hAnsiTheme="minorEastAsia"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65DAB5C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由于证券/期货交易所及登记结算公司等第三方机构发送的数据错误，或由于其他不可抗力原因，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127C4B6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4.基金管理人和基金托管人由于各自技术系统设置而产生的净值计算尾差，以基金管理人计算结果为准。</w:t>
      </w:r>
    </w:p>
    <w:p w14:paraId="4565FD3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5.前述内容如法律法规或者监管部门另有规定的，从其规定。如果行业另有通行做法，双方当事人应本着平等和保护基金份额持有人利益的原则进行协商。</w:t>
      </w:r>
    </w:p>
    <w:p w14:paraId="74B033C5"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（四）暂停估值与公告基金份额净值的情形</w:t>
      </w:r>
    </w:p>
    <w:p w14:paraId="26BEF205"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1.基金投资所涉及的证券/期货交易市场遇法定节假日或因其他原因暂停营</w:t>
      </w:r>
      <w:r w:rsidRPr="006E06DA">
        <w:rPr>
          <w:rFonts w:asciiTheme="minorEastAsia" w:eastAsiaTheme="minorEastAsia" w:hAnsiTheme="minorEastAsia" w:cs="Arial" w:hint="eastAsia"/>
          <w:sz w:val="24"/>
        </w:rPr>
        <w:lastRenderedPageBreak/>
        <w:t>业时；</w:t>
      </w:r>
    </w:p>
    <w:p w14:paraId="06578190"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2.因不可抗力或其他情形致使基金管理人、基金托管人无法准确评估基金资产价值时；</w:t>
      </w:r>
    </w:p>
    <w:p w14:paraId="66121952"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3.当特定资产占前一估值日基金资产净值 50%以上的，经与基金托管人协商确认后，基金管理人应当暂停估值；</w:t>
      </w:r>
    </w:p>
    <w:p w14:paraId="5F625ED7"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4.中国证监会和《基金合同》认定的其他情形。</w:t>
      </w:r>
    </w:p>
    <w:p w14:paraId="5BDD4834"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（五）基金会计制度</w:t>
      </w:r>
    </w:p>
    <w:p w14:paraId="5327D48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按国家有关部门规定的会计制度执行。</w:t>
      </w:r>
    </w:p>
    <w:p w14:paraId="3A10E628"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（六）基金账册的建立</w:t>
      </w:r>
    </w:p>
    <w:p w14:paraId="355A5F5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6707E857"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（七）基金财务报表与报告的编制和复核</w:t>
      </w:r>
    </w:p>
    <w:p w14:paraId="35692EB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1.财务报表的编制</w:t>
      </w:r>
    </w:p>
    <w:p w14:paraId="1F33006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基金财务报表由基金管理人编制，基金托管人复核。</w:t>
      </w:r>
    </w:p>
    <w:p w14:paraId="02A3069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2.报表复核</w:t>
      </w:r>
    </w:p>
    <w:p w14:paraId="433FEDC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基金托管人在收到基金管理人编制的基金财务报表后，进行独立的复核。核对不符时，应及时通知基金管理人共同查出原因，进行调整，直至双方数据完全一致。</w:t>
      </w:r>
    </w:p>
    <w:p w14:paraId="0690A90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3.财务报表的编制与复核时间安排</w:t>
      </w:r>
    </w:p>
    <w:p w14:paraId="76B07C6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(1)报表的编制</w:t>
      </w:r>
    </w:p>
    <w:p w14:paraId="6BA2657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基金管理人应当在每月结束后5个工作日内完成月度报表的编制；在每个季度结束之日起15个工作日内完成基金季度报告的编制；在上半年结束之日起</w:t>
      </w:r>
      <w:r w:rsidRPr="006E06DA">
        <w:rPr>
          <w:rFonts w:asciiTheme="minorEastAsia" w:eastAsiaTheme="minorEastAsia" w:hAnsiTheme="minorEastAsia" w:cs="Arial"/>
          <w:sz w:val="24"/>
        </w:rPr>
        <w:t>2</w:t>
      </w:r>
      <w:r w:rsidRPr="006E06DA">
        <w:rPr>
          <w:rFonts w:asciiTheme="minorEastAsia" w:eastAsiaTheme="minorEastAsia" w:hAnsiTheme="minorEastAsia" w:cs="Arial" w:hint="eastAsia"/>
          <w:sz w:val="24"/>
        </w:rPr>
        <w:t>个月内完成基金中期报告的编制；在每年结束之日起</w:t>
      </w:r>
      <w:r w:rsidRPr="006E06DA">
        <w:rPr>
          <w:rFonts w:asciiTheme="minorEastAsia" w:eastAsiaTheme="minorEastAsia" w:hAnsiTheme="minorEastAsia" w:cs="Arial"/>
          <w:sz w:val="24"/>
        </w:rPr>
        <w:t>3</w:t>
      </w:r>
      <w:r w:rsidRPr="006E06DA">
        <w:rPr>
          <w:rFonts w:asciiTheme="minorEastAsia" w:eastAsiaTheme="minorEastAsia" w:hAnsiTheme="minorEastAsia" w:cs="Arial" w:hint="eastAsia"/>
          <w:sz w:val="24"/>
        </w:rPr>
        <w:t>个月内完成基金年度报告的编制。基金年度报告的财务会计报告应当经过符合《中华人民共和国证券法》规定的会计师事务所审计。《基金合同》生效不足两个月的，基金管理人可以不编制当期季度报告、中期报告或者年度报告。</w:t>
      </w:r>
    </w:p>
    <w:p w14:paraId="501BA0CF" w14:textId="77777777" w:rsidR="006E06DA" w:rsidRPr="006E06DA" w:rsidRDefault="006E06DA" w:rsidP="006E06DA">
      <w:pPr>
        <w:pStyle w:val="a0"/>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(2)报表的复核</w:t>
      </w:r>
    </w:p>
    <w:p w14:paraId="4EF4F48C" w14:textId="77777777" w:rsidR="006E06DA" w:rsidRPr="006E06DA" w:rsidRDefault="006E06DA" w:rsidP="006E06DA">
      <w:pPr>
        <w:pStyle w:val="a0"/>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基金管理人应及时完成报表编制，将有关报表提供基金托管人复核；基金托管人在复核过程中，发现双方的报表存在不符时，基金管理人和基金托管人应共同查</w:t>
      </w:r>
      <w:r w:rsidRPr="006E06DA">
        <w:rPr>
          <w:rFonts w:asciiTheme="minorEastAsia" w:eastAsiaTheme="minorEastAsia" w:hAnsiTheme="minorEastAsia" w:cs="Arial" w:hint="eastAsia"/>
          <w:sz w:val="24"/>
        </w:rPr>
        <w:lastRenderedPageBreak/>
        <w:t>明原因，进行调整，调整以国家有关规定为准。</w:t>
      </w:r>
    </w:p>
    <w:p w14:paraId="2656866A" w14:textId="77777777" w:rsidR="006E06DA" w:rsidRPr="006E06DA" w:rsidRDefault="006E06DA" w:rsidP="006E06DA">
      <w:pPr>
        <w:pStyle w:val="a0"/>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基金管理人应留足充分的时间，便于基金托管人复核相关报表及报告。</w:t>
      </w:r>
    </w:p>
    <w:p w14:paraId="606F4508" w14:textId="77777777" w:rsidR="006E06DA" w:rsidRPr="006E06DA" w:rsidRDefault="006E06DA" w:rsidP="006E06DA">
      <w:pPr>
        <w:pStyle w:val="a0"/>
        <w:adjustRightInd w:val="0"/>
        <w:snapToGrid w:val="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（八）基金管理人应在编制季度报告、中期报告或者年度报告之前及时向基金托管人提供基金业绩比较基准的基础数据和编制结果。</w:t>
      </w:r>
    </w:p>
    <w:p w14:paraId="27B82A69" w14:textId="77777777" w:rsidR="006E06DA" w:rsidRPr="006E06DA" w:rsidRDefault="006E06DA" w:rsidP="006E06DA">
      <w:pPr>
        <w:pStyle w:val="a0"/>
        <w:adjustRightInd w:val="0"/>
        <w:snapToGrid w:val="0"/>
        <w:spacing w:line="360" w:lineRule="auto"/>
        <w:ind w:firstLineChars="0" w:firstLine="0"/>
        <w:rPr>
          <w:rFonts w:asciiTheme="minorEastAsia" w:eastAsiaTheme="minorEastAsia" w:hAnsiTheme="minorEastAsia" w:cs="Arial"/>
          <w:sz w:val="24"/>
        </w:rPr>
      </w:pPr>
    </w:p>
    <w:p w14:paraId="5F3FC433" w14:textId="77777777" w:rsidR="006E06DA" w:rsidRPr="006E06DA" w:rsidRDefault="006E06DA" w:rsidP="00A4764D">
      <w:pPr>
        <w:pStyle w:val="2"/>
        <w:spacing w:before="100" w:beforeAutospacing="1" w:after="100" w:afterAutospacing="1" w:line="360" w:lineRule="auto"/>
        <w:jc w:val="center"/>
        <w:rPr>
          <w:rFonts w:asciiTheme="minorEastAsia" w:eastAsiaTheme="minorEastAsia" w:hAnsiTheme="minorEastAsia"/>
          <w:sz w:val="30"/>
        </w:rPr>
      </w:pPr>
      <w:bookmarkStart w:id="86" w:name="_Toc124325893"/>
      <w:r w:rsidRPr="006E06DA">
        <w:rPr>
          <w:rFonts w:asciiTheme="minorEastAsia" w:eastAsiaTheme="minorEastAsia" w:hAnsiTheme="minorEastAsia" w:hint="eastAsia"/>
          <w:sz w:val="30"/>
        </w:rPr>
        <w:t>九、基金收益分配</w:t>
      </w:r>
      <w:bookmarkEnd w:id="86"/>
    </w:p>
    <w:p w14:paraId="2C56D25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基金收益分配是指按规定将基金的可分配收益按基金份额进行比例分配。</w:t>
      </w:r>
    </w:p>
    <w:p w14:paraId="19D0FA9A"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（一）基金收益分配的原则</w:t>
      </w:r>
    </w:p>
    <w:p w14:paraId="012A9DF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基金收益分配应遵循下列原则：</w:t>
      </w:r>
    </w:p>
    <w:p w14:paraId="5AFBEE04"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1.在符合有关基金分红条件的前提下，本基金管理人可以根据实际情况进行收益分配，具体分配方案以公告为准，若《基金合同》生效不满3个月可不进行收益分配；</w:t>
      </w:r>
    </w:p>
    <w:p w14:paraId="0DE6FA01"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2.本基金收益分配方式分两种：现金分红与红利再投资，投资者可选择现金红利或将现金红利自动转为相应类别的基金份额进行再投资；若投资者不选择，本基金默认的收益分配方式是现金分红；以红利再投资方式取得的基金份额的持有到期时间与投资者原持有的基金份额最短持有期到期时间一致，因多笔认购、申购导致原持有基金份额最短持有期到期时间不一致的，分别计算；</w:t>
      </w:r>
    </w:p>
    <w:p w14:paraId="7111C28A"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3.基金收益分配后各类基金份额净值不能低于面值，即基金收益分配基准日的任一类基金份额净值减去每单位该类基金份额收益分配金额后不能低于面值；</w:t>
      </w:r>
    </w:p>
    <w:p w14:paraId="51612197"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4.同一类别内每一基金份额享有同等分配权；</w:t>
      </w:r>
    </w:p>
    <w:p w14:paraId="165288A2"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5.法律法规或监管机关另有规定的，从其规定。</w:t>
      </w:r>
    </w:p>
    <w:p w14:paraId="77505C1B"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在不违反法律法规且对基金份额持有人利益无实质性不利影响的前提下，基金管理人可对基金收益分配原则进行调整，无需召开基金份额持有人大会。</w:t>
      </w:r>
    </w:p>
    <w:p w14:paraId="60EA6CEB"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（二）基金收益分配的时间和程序</w:t>
      </w:r>
    </w:p>
    <w:p w14:paraId="1C616FFB"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本基金收益分配方案由基金管理人拟订，并由基金托管人复核，依照《信息披露办法》的有关规定在规定媒介公告。基金收益分配方案公告后(依据具体方案的规定)，基金管理人就支付的现金红利向基金托管人发送划款指令，基金托管人按照基金管理人的指令及时进行分红资金的划付。</w:t>
      </w:r>
    </w:p>
    <w:p w14:paraId="6111A648"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7D24F789"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本基金实施侧袋机制的，侧袋账户不进行收益分配，详见招募说明书的规定。</w:t>
      </w:r>
    </w:p>
    <w:p w14:paraId="0E394BBE" w14:textId="77777777" w:rsidR="006E06DA" w:rsidRPr="006E06DA" w:rsidRDefault="006E06DA" w:rsidP="006E06DA">
      <w:pPr>
        <w:adjustRightInd w:val="0"/>
        <w:snapToGrid w:val="0"/>
        <w:spacing w:line="360" w:lineRule="auto"/>
        <w:rPr>
          <w:rFonts w:asciiTheme="minorEastAsia" w:eastAsiaTheme="minorEastAsia" w:hAnsiTheme="minorEastAsia" w:cs="Arial"/>
          <w:sz w:val="24"/>
        </w:rPr>
      </w:pPr>
    </w:p>
    <w:p w14:paraId="471B6CFF" w14:textId="77777777" w:rsidR="006E06DA" w:rsidRPr="006E06DA" w:rsidRDefault="006E06DA" w:rsidP="00A4764D">
      <w:pPr>
        <w:pStyle w:val="2"/>
        <w:spacing w:before="100" w:beforeAutospacing="1" w:after="100" w:afterAutospacing="1" w:line="360" w:lineRule="auto"/>
        <w:jc w:val="center"/>
        <w:rPr>
          <w:rFonts w:asciiTheme="minorEastAsia" w:eastAsiaTheme="minorEastAsia" w:hAnsiTheme="minorEastAsia"/>
          <w:sz w:val="30"/>
        </w:rPr>
      </w:pPr>
      <w:bookmarkStart w:id="87" w:name="_Toc124325894"/>
      <w:r w:rsidRPr="006E06DA">
        <w:rPr>
          <w:rFonts w:asciiTheme="minorEastAsia" w:eastAsiaTheme="minorEastAsia" w:hAnsiTheme="minorEastAsia" w:hint="eastAsia"/>
          <w:sz w:val="30"/>
        </w:rPr>
        <w:t>十、基金信息披露</w:t>
      </w:r>
      <w:bookmarkEnd w:id="87"/>
    </w:p>
    <w:p w14:paraId="02315C97"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（一）保密义务</w:t>
      </w:r>
    </w:p>
    <w:p w14:paraId="3AB9BA3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0228992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1.非因基金管理人和基金托管人的原因导致保密信息被披露、泄露或公开；</w:t>
      </w:r>
    </w:p>
    <w:p w14:paraId="6A887C9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2.基金管理人和基金托管人为遵守和服从法院判决或裁定、仲裁裁决或中国证监会等监管机构的命令、决定所做出的信息披露或公开。</w:t>
      </w:r>
    </w:p>
    <w:p w14:paraId="11202CF0"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（二）信息披露的内容</w:t>
      </w:r>
    </w:p>
    <w:p w14:paraId="1A689E46" w14:textId="77777777" w:rsidR="006E06DA" w:rsidRPr="006E06DA" w:rsidRDefault="006E06DA" w:rsidP="006E06DA">
      <w:pPr>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的信息披露内容主要包括基金招募说明书、基金产品资料概要、《基金合同》、托管协议、基金份额发售公告、基金募集情况、《基金合同》生效公告、基金资产净值、各类基金份额净值、申购、赎回价格、基金定期报告（包括基金年度报告、基金中期报告和基金季度报告）、临时报告、澄清公告、基金份额持有人大会决议、清算报告、投资资产支持证券、国债期货及实施侧袋机制期间的信息披露等中国证监会规定的其他信息。基金年度报告中的财务会计报告应当经过符合《中华人民共和国证券法》规定的会计师事务所审计后，方可披露。</w:t>
      </w:r>
    </w:p>
    <w:p w14:paraId="3A8CA7EA"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（三）基金托管人和基金管理人在信息披露中的职责和信息披露程序</w:t>
      </w:r>
    </w:p>
    <w:p w14:paraId="4112969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1.职责</w:t>
      </w:r>
    </w:p>
    <w:p w14:paraId="0128363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基金托管人和基金管理人在信息披露过程中应以保护基金份额持有人利益为宗旨，诚实信用，严守秘密。基金管理人负责办理与基金有关的信息披露事宜，基</w:t>
      </w:r>
      <w:r w:rsidRPr="006E06DA">
        <w:rPr>
          <w:rFonts w:asciiTheme="minorEastAsia" w:eastAsiaTheme="minorEastAsia" w:hAnsiTheme="minorEastAsia" w:cs="Arial" w:hint="eastAsia"/>
          <w:sz w:val="24"/>
        </w:rPr>
        <w:lastRenderedPageBreak/>
        <w:t>金托管人应当按照相关法律法规和《基金合同》的约定，对于上一款规定的应由基金托管人复核的事项进行复核，基金托管人复核无误后，由基金管理人予以公布。</w:t>
      </w:r>
    </w:p>
    <w:p w14:paraId="7EB48C2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对于不需要基金托管人复核的信息，基金管理人在公告前应告知基金托管人。</w:t>
      </w:r>
    </w:p>
    <w:p w14:paraId="6F71D2D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基金管理人和基金托管人应积极配合、互相监督，保证其履行按照法定方式和限时披露的义务。</w:t>
      </w:r>
    </w:p>
    <w:p w14:paraId="7CB3691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基金管理人应当在中国证监会规定的时间内，将应予披露的基金信息通过规定媒介披露。根据法律法规应由基金托管人公开披露的信息，基金托管人将通过规定媒介或基金托管人的互联网网站公开披露。</w:t>
      </w:r>
    </w:p>
    <w:p w14:paraId="09D3542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当出现下述情况时，基金管理人和基金托管人可暂停或延迟披露基金相关信息：</w:t>
      </w:r>
    </w:p>
    <w:p w14:paraId="0B4F0F1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(1)基金投资所涉及的证券/期货交易所遇法定节假日或因其他原因暂停营业时；</w:t>
      </w:r>
    </w:p>
    <w:p w14:paraId="7302B96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(2)因不可抗力或其他情形致使基金管理人、基金托管人无法准确评估基金资产价值时；</w:t>
      </w:r>
    </w:p>
    <w:p w14:paraId="4A905CC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(3)当特定资产占前一估值日基金资产净值50%以上的，经与基金托管人协商确认后，基金管理人应当暂停估值时；</w:t>
      </w:r>
    </w:p>
    <w:p w14:paraId="1F44BBA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w:t>
      </w:r>
      <w:r w:rsidRPr="006E06DA">
        <w:rPr>
          <w:rFonts w:asciiTheme="minorEastAsia" w:eastAsiaTheme="minorEastAsia" w:hAnsiTheme="minorEastAsia" w:hint="eastAsia"/>
        </w:rPr>
        <w:t xml:space="preserve"> </w:t>
      </w:r>
      <w:r w:rsidRPr="006E06DA">
        <w:rPr>
          <w:rFonts w:asciiTheme="minorEastAsia" w:eastAsiaTheme="minorEastAsia" w:hAnsiTheme="minorEastAsia" w:cs="Arial" w:hint="eastAsia"/>
          <w:sz w:val="24"/>
        </w:rPr>
        <w:t>法律法规规定、中国证监会或《基金合同》认定的其他情形。</w:t>
      </w:r>
    </w:p>
    <w:p w14:paraId="2ADEC7D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2.程序</w:t>
      </w:r>
    </w:p>
    <w:p w14:paraId="3FA526F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3DD5DEB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3.信息文本的存放</w:t>
      </w:r>
    </w:p>
    <w:p w14:paraId="50CD5F9A" w14:textId="77777777" w:rsidR="006E06DA" w:rsidRPr="006E06DA" w:rsidRDefault="006E06DA" w:rsidP="006E06DA">
      <w:pPr>
        <w:pStyle w:val="a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依法必须披露的信息发布后，基金管理人、基金托管人应当按照相关法律法规规定将信息置备于各自住所，供社会公众查阅、复制。 </w:t>
      </w:r>
    </w:p>
    <w:p w14:paraId="71D98A55" w14:textId="77777777" w:rsidR="006E06DA" w:rsidRPr="006E06DA" w:rsidRDefault="006E06DA" w:rsidP="006E06DA">
      <w:pPr>
        <w:pStyle w:val="a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投资者在支付工本费后可在合理时间获得上述文件的复制件或复印件。基金管理人和基金托管人应保证文本的内容与所公告的内容完全一致。</w:t>
      </w:r>
    </w:p>
    <w:p w14:paraId="419CD497" w14:textId="77777777" w:rsidR="006E06DA" w:rsidRPr="006E06DA" w:rsidRDefault="006E06DA" w:rsidP="006E06DA">
      <w:pPr>
        <w:pStyle w:val="a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4.实施侧袋机制期间的信息披露 </w:t>
      </w:r>
    </w:p>
    <w:p w14:paraId="38948C7B" w14:textId="77777777" w:rsidR="006E06DA" w:rsidRPr="006E06DA" w:rsidRDefault="006E06DA" w:rsidP="006E06DA">
      <w:pPr>
        <w:pStyle w:val="a0"/>
        <w:spacing w:line="360" w:lineRule="auto"/>
        <w:ind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本基金实施侧袋机制的，相关信息披露义务人应当根据法律法规、基金合同和招募说明书的规定进行信息披露，详见招募说明书的规定。</w:t>
      </w:r>
    </w:p>
    <w:p w14:paraId="35DE2C8A" w14:textId="77777777" w:rsidR="006E06DA" w:rsidRPr="006E06DA" w:rsidRDefault="006E06DA" w:rsidP="006E06DA">
      <w:pPr>
        <w:pStyle w:val="a0"/>
        <w:spacing w:line="360" w:lineRule="auto"/>
        <w:ind w:firstLineChars="0" w:firstLine="0"/>
        <w:rPr>
          <w:rFonts w:asciiTheme="minorEastAsia" w:eastAsiaTheme="minorEastAsia" w:hAnsiTheme="minorEastAsia" w:cs="Arial"/>
          <w:sz w:val="24"/>
        </w:rPr>
      </w:pPr>
    </w:p>
    <w:p w14:paraId="275F8C84" w14:textId="77777777" w:rsidR="006E06DA" w:rsidRPr="006E06DA" w:rsidRDefault="006E06DA" w:rsidP="00A4764D">
      <w:pPr>
        <w:pStyle w:val="2"/>
        <w:spacing w:before="100" w:beforeAutospacing="1" w:after="100" w:afterAutospacing="1" w:line="360" w:lineRule="auto"/>
        <w:jc w:val="center"/>
        <w:rPr>
          <w:rFonts w:asciiTheme="minorEastAsia" w:eastAsiaTheme="minorEastAsia" w:hAnsiTheme="minorEastAsia"/>
          <w:sz w:val="30"/>
        </w:rPr>
      </w:pPr>
      <w:bookmarkStart w:id="88" w:name="_Toc124325895"/>
      <w:r w:rsidRPr="006E06DA">
        <w:rPr>
          <w:rFonts w:asciiTheme="minorEastAsia" w:eastAsiaTheme="minorEastAsia" w:hAnsiTheme="minorEastAsia" w:hint="eastAsia"/>
          <w:sz w:val="30"/>
        </w:rPr>
        <w:lastRenderedPageBreak/>
        <w:t>十一、基金费用</w:t>
      </w:r>
      <w:bookmarkEnd w:id="88"/>
    </w:p>
    <w:p w14:paraId="179E6A6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（一）基金管理费的计提比例和计提方法</w:t>
      </w:r>
    </w:p>
    <w:p w14:paraId="336427E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本基金的管理费按前一日基金资产净值的0.20%年费率计提。管理费的计算方法如下：</w:t>
      </w:r>
    </w:p>
    <w:p w14:paraId="245C0E9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H＝E×年管理费率÷当年天数</w:t>
      </w:r>
    </w:p>
    <w:p w14:paraId="7AA8240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H为每日应计提的基金管理费</w:t>
      </w:r>
    </w:p>
    <w:p w14:paraId="1F7BC9D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E为前一日的基金资产净值</w:t>
      </w:r>
    </w:p>
    <w:p w14:paraId="6AFBCD2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（二）基金托管费的计提比例和计提方法</w:t>
      </w:r>
    </w:p>
    <w:p w14:paraId="58FAD91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本基金的托管费按前一日基金资产净值的0.05%年费率计提。托管费的计算方法如下：</w:t>
      </w:r>
    </w:p>
    <w:p w14:paraId="2A66312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H＝E×年托管费率÷当年天数</w:t>
      </w:r>
    </w:p>
    <w:p w14:paraId="2D776B3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H为每日应计提的基金托管费</w:t>
      </w:r>
    </w:p>
    <w:p w14:paraId="59583D7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E为前一日的基金资产净值</w:t>
      </w:r>
    </w:p>
    <w:p w14:paraId="293A27E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（三）销售服务费的计提比例和计提方法 </w:t>
      </w:r>
    </w:p>
    <w:p w14:paraId="371A0C42" w14:textId="30FBAFD2"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本基金A类</w:t>
      </w:r>
      <w:r w:rsidR="009F5387">
        <w:rPr>
          <w:rFonts w:asciiTheme="minorEastAsia" w:eastAsiaTheme="minorEastAsia" w:hAnsiTheme="minorEastAsia" w:cs="Arial" w:hint="eastAsia"/>
          <w:sz w:val="24"/>
        </w:rPr>
        <w:t>、B类</w:t>
      </w:r>
      <w:r w:rsidRPr="006E06DA">
        <w:rPr>
          <w:rFonts w:asciiTheme="minorEastAsia" w:eastAsiaTheme="minorEastAsia" w:hAnsiTheme="minorEastAsia" w:cs="Arial" w:hint="eastAsia"/>
          <w:sz w:val="24"/>
        </w:rPr>
        <w:t xml:space="preserve">基金份额不收取销售服务费，C类基金份额的销售服务费年费率为0.20%，E类基金份额的销售服务费年费率为0.01%。 </w:t>
      </w:r>
    </w:p>
    <w:p w14:paraId="7D55080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C类基金份额的销售服务费按前一日C类基金份额的基金资产净值的0.20%年费率计提，E类基金份额的销售服务费按前一日E类基金份额的基金资产净值的0.01%年费率计提。 </w:t>
      </w:r>
    </w:p>
    <w:p w14:paraId="4222F74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计算方法如下：  </w:t>
      </w:r>
    </w:p>
    <w:p w14:paraId="527416F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H＝E×R÷当年天数  </w:t>
      </w:r>
    </w:p>
    <w:p w14:paraId="4AA1A47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H为该类基金份额每日应计提的销售服务费 </w:t>
      </w:r>
    </w:p>
    <w:p w14:paraId="363080C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 xml:space="preserve">E为该类基金份额前一日基金资产净值  </w:t>
      </w:r>
    </w:p>
    <w:p w14:paraId="7DC8B6D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R为该类基金份额的销售服务费年费率</w:t>
      </w:r>
    </w:p>
    <w:p w14:paraId="181C506C"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四）证券账户开户费用、证券/期货等交易费用、基金财产划拨支付的银行费用、账户维护费、《基金合同》生效后的信息披露费用（但法律法规、中国证监会另有规定的除外）、基金份额持有人大会费用、《基金合同》生效后与基金有关的会计师费、律师费、诉讼费和仲裁费等根据有关法律法规、《基金合同》及相应协议的规定，列入当期基金费用。</w:t>
      </w:r>
    </w:p>
    <w:p w14:paraId="1145F6C2"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w:t>
      </w:r>
      <w:r w:rsidR="00A4764D">
        <w:rPr>
          <w:rFonts w:asciiTheme="minorEastAsia" w:eastAsiaTheme="minorEastAsia" w:hAnsiTheme="minorEastAsia" w:cs="Arial" w:hint="eastAsia"/>
          <w:sz w:val="24"/>
        </w:rPr>
        <w:t>五</w:t>
      </w:r>
      <w:r w:rsidRPr="006E06DA">
        <w:rPr>
          <w:rFonts w:asciiTheme="minorEastAsia" w:eastAsiaTheme="minorEastAsia" w:hAnsiTheme="minorEastAsia" w:cs="Arial" w:hint="eastAsia"/>
          <w:sz w:val="24"/>
        </w:rPr>
        <w:t>）不列入基金费用的项目</w:t>
      </w:r>
    </w:p>
    <w:p w14:paraId="44183AC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以及其他根据相关法律法规及中国证监会的有关规定不得列入基金费用的项目等不列入基金费用。</w:t>
      </w:r>
    </w:p>
    <w:p w14:paraId="7094D1DE"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w:t>
      </w:r>
      <w:r w:rsidR="00A4764D">
        <w:rPr>
          <w:rFonts w:asciiTheme="minorEastAsia" w:eastAsiaTheme="minorEastAsia" w:hAnsiTheme="minorEastAsia" w:cs="Arial" w:hint="eastAsia"/>
          <w:sz w:val="24"/>
        </w:rPr>
        <w:t>六</w:t>
      </w:r>
      <w:r w:rsidRPr="006E06DA">
        <w:rPr>
          <w:rFonts w:asciiTheme="minorEastAsia" w:eastAsiaTheme="minorEastAsia" w:hAnsiTheme="minorEastAsia" w:cs="Arial" w:hint="eastAsia"/>
          <w:sz w:val="24"/>
        </w:rPr>
        <w:t>）基金管理费、基金托管费、销售服务费的调整</w:t>
      </w:r>
    </w:p>
    <w:p w14:paraId="1844141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基金管理人和基金托管人协商一致并履行适当程序后可调整基金管理费率、基金托管费率或销售服务费率。</w:t>
      </w:r>
    </w:p>
    <w:p w14:paraId="06C41D5D"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w:t>
      </w:r>
      <w:r w:rsidR="00A4764D">
        <w:rPr>
          <w:rFonts w:asciiTheme="minorEastAsia" w:eastAsiaTheme="minorEastAsia" w:hAnsiTheme="minorEastAsia" w:cs="Arial" w:hint="eastAsia"/>
          <w:sz w:val="24"/>
        </w:rPr>
        <w:t>七</w:t>
      </w:r>
      <w:r w:rsidRPr="006E06DA">
        <w:rPr>
          <w:rFonts w:asciiTheme="minorEastAsia" w:eastAsiaTheme="minorEastAsia" w:hAnsiTheme="minorEastAsia" w:cs="Arial" w:hint="eastAsia"/>
          <w:sz w:val="24"/>
        </w:rPr>
        <w:t>）基金管理费、基金托管费、销售服务费的复核程序、支付方式和时间</w:t>
      </w:r>
    </w:p>
    <w:p w14:paraId="2CA72C3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1.复核程序</w:t>
      </w:r>
    </w:p>
    <w:p w14:paraId="2456F82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基金托管人对基金管理人计提的基金管理费、基金托管费、销售服务费等，根据本托管协议和《基金合同》的有关规定进行复核。</w:t>
      </w:r>
    </w:p>
    <w:p w14:paraId="377A5A9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2.支付方式和时间</w:t>
      </w:r>
    </w:p>
    <w:p w14:paraId="6BF220B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费、基金托管费、销售服务费每日计算，逐日累计至每月月末，按月支付。由基金托管人根据与基金管理人核对一致的财务数据，自动在月初5个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14:paraId="42DD8F0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在首期支付基金管理费、销售服务费前，基金管理人应向基金托管人出具正式函件指定基金管理费、销售服务费的收款账户。基金管理人如需要变更此账户，应提前5个工作日向基金托管人出具书面的收款账户变更通知。</w:t>
      </w:r>
    </w:p>
    <w:p w14:paraId="48C4E04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w:t>
      </w:r>
      <w:r w:rsidR="00A4764D">
        <w:rPr>
          <w:rFonts w:asciiTheme="minorEastAsia" w:eastAsiaTheme="minorEastAsia" w:hAnsiTheme="minorEastAsia" w:cs="Arial" w:hint="eastAsia"/>
          <w:sz w:val="24"/>
        </w:rPr>
        <w:t>八</w:t>
      </w:r>
      <w:r w:rsidRPr="006E06DA">
        <w:rPr>
          <w:rFonts w:asciiTheme="minorEastAsia" w:eastAsiaTheme="minorEastAsia" w:hAnsiTheme="minorEastAsia" w:cs="Arial" w:hint="eastAsia"/>
          <w:sz w:val="24"/>
        </w:rPr>
        <w:t>）违规处理方式</w:t>
      </w:r>
    </w:p>
    <w:p w14:paraId="43DCCA6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084CA2C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（九）本基金实施侧袋机制的，与侧袋账户有关的费用可以从侧袋账户中列支，但应待侧袋账户资产变现后方可列支，有关费用可酌情收取或减免，但不得收取管理费。详见招募说明书的规定。</w:t>
      </w:r>
    </w:p>
    <w:p w14:paraId="7F0CDD2A" w14:textId="77777777" w:rsidR="006E06DA" w:rsidRPr="006E06DA" w:rsidRDefault="006E06DA" w:rsidP="006E06DA">
      <w:pPr>
        <w:adjustRightInd w:val="0"/>
        <w:snapToGrid w:val="0"/>
        <w:spacing w:line="360" w:lineRule="auto"/>
        <w:rPr>
          <w:rFonts w:asciiTheme="minorEastAsia" w:eastAsiaTheme="minorEastAsia" w:hAnsiTheme="minorEastAsia" w:cs="Arial"/>
          <w:sz w:val="24"/>
        </w:rPr>
      </w:pPr>
    </w:p>
    <w:p w14:paraId="2B8D9BA8"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89" w:name="_Toc124325896"/>
      <w:r w:rsidRPr="006E06DA">
        <w:rPr>
          <w:rFonts w:asciiTheme="minorEastAsia" w:eastAsiaTheme="minorEastAsia" w:hAnsiTheme="minorEastAsia" w:hint="eastAsia"/>
          <w:sz w:val="30"/>
        </w:rPr>
        <w:lastRenderedPageBreak/>
        <w:t>十二、基金份额持有人名册的保管</w:t>
      </w:r>
      <w:bookmarkEnd w:id="89"/>
    </w:p>
    <w:p w14:paraId="7299383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法律法规规定的期限。如不能妥善保管，则按相关法规承担责任。</w:t>
      </w:r>
    </w:p>
    <w:p w14:paraId="7B0DD0E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在基金托管人要求或编制中期报告和年度报告前，基金管理人应将有关资料送交基金托管人，不得无故拒绝或延误提供，并保证其真实性、准确性和完整性。</w:t>
      </w:r>
      <w:r w:rsidRPr="006E06DA">
        <w:rPr>
          <w:rFonts w:asciiTheme="minorEastAsia" w:eastAsiaTheme="minorEastAsia" w:hAnsiTheme="minorEastAsia" w:hint="eastAsia"/>
          <w:kern w:val="0"/>
          <w:sz w:val="24"/>
        </w:rPr>
        <w:t>基金托管人不得将所保管的基金份额持有人名册用于基金托管业务以外的其他用途，并应遵守保密义务。</w:t>
      </w:r>
    </w:p>
    <w:p w14:paraId="5C13CF69" w14:textId="77777777" w:rsidR="006E06DA" w:rsidRPr="006E06DA" w:rsidRDefault="006E06DA" w:rsidP="006E06DA">
      <w:pPr>
        <w:adjustRightInd w:val="0"/>
        <w:snapToGrid w:val="0"/>
        <w:spacing w:line="360" w:lineRule="auto"/>
        <w:rPr>
          <w:rFonts w:asciiTheme="minorEastAsia" w:eastAsiaTheme="minorEastAsia" w:hAnsiTheme="minorEastAsia" w:cs="Arial"/>
          <w:sz w:val="24"/>
        </w:rPr>
      </w:pPr>
    </w:p>
    <w:p w14:paraId="7F08D079"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0" w:name="_Toc124325897"/>
      <w:r w:rsidRPr="006E06DA">
        <w:rPr>
          <w:rFonts w:asciiTheme="minorEastAsia" w:eastAsiaTheme="minorEastAsia" w:hAnsiTheme="minorEastAsia" w:hint="eastAsia"/>
          <w:sz w:val="30"/>
        </w:rPr>
        <w:t>十三、基金有关文件档案的保存</w:t>
      </w:r>
      <w:bookmarkEnd w:id="90"/>
    </w:p>
    <w:p w14:paraId="1032B04A"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（一）档案保存</w:t>
      </w:r>
    </w:p>
    <w:p w14:paraId="03A1C3F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w:t>
      </w:r>
    </w:p>
    <w:p w14:paraId="6FE71C8A"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（二）合同档案的建立</w:t>
      </w:r>
    </w:p>
    <w:p w14:paraId="103EBD1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1.基金管理人签署重大合同文本后，应及时将合同文本正本送达基金托管人处。</w:t>
      </w:r>
    </w:p>
    <w:p w14:paraId="51E9D96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2.基金管理人应及时将与本基金账务处理、资金划拨等有关的合同、协议传真基金托管人。</w:t>
      </w:r>
    </w:p>
    <w:p w14:paraId="134706EA"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（三）变更与协助</w:t>
      </w:r>
    </w:p>
    <w:p w14:paraId="26E0EA1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b/>
          <w:bCs/>
          <w:sz w:val="30"/>
          <w:szCs w:val="30"/>
        </w:rPr>
      </w:pPr>
      <w:r w:rsidRPr="006E06DA">
        <w:rPr>
          <w:rFonts w:asciiTheme="minorEastAsia" w:eastAsiaTheme="minorEastAsia" w:hAnsiTheme="minorEastAsia" w:cs="Arial" w:hint="eastAsia"/>
          <w:sz w:val="24"/>
        </w:rPr>
        <w:t>若基金管理人/基金托管人发生变更，未变更的一方有义务协助变更后的接任人接收相应文件。</w:t>
      </w:r>
    </w:p>
    <w:p w14:paraId="1D815F3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（四）基金管理人和基金托管人应按各自职责完整保存原始凭证、记账凭证、基金账册、交易记录和重要合同等，承担保密义务并保存，保存期限不少于法律法规规定的期限。</w:t>
      </w:r>
    </w:p>
    <w:p w14:paraId="072E287C" w14:textId="77777777" w:rsidR="006E06DA" w:rsidRPr="006E06DA" w:rsidRDefault="006E06DA" w:rsidP="006E06DA">
      <w:pPr>
        <w:adjustRightInd w:val="0"/>
        <w:snapToGrid w:val="0"/>
        <w:spacing w:line="360" w:lineRule="auto"/>
        <w:rPr>
          <w:rFonts w:asciiTheme="minorEastAsia" w:eastAsiaTheme="minorEastAsia" w:hAnsiTheme="minorEastAsia"/>
          <w:sz w:val="30"/>
          <w:szCs w:val="30"/>
        </w:rPr>
      </w:pPr>
    </w:p>
    <w:p w14:paraId="10D3C151"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1" w:name="_Toc124325898"/>
      <w:r w:rsidRPr="006E06DA">
        <w:rPr>
          <w:rFonts w:asciiTheme="minorEastAsia" w:eastAsiaTheme="minorEastAsia" w:hAnsiTheme="minorEastAsia" w:hint="eastAsia"/>
          <w:sz w:val="30"/>
        </w:rPr>
        <w:lastRenderedPageBreak/>
        <w:t>十四、基金管理人和基金托管人的更换</w:t>
      </w:r>
      <w:bookmarkEnd w:id="91"/>
    </w:p>
    <w:p w14:paraId="26ABF09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（一）基金管理人职责终止的情形</w:t>
      </w:r>
    </w:p>
    <w:p w14:paraId="2D3A3C4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1.基金管理人职责终止的情形</w:t>
      </w:r>
    </w:p>
    <w:p w14:paraId="2E27650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有下列情形之一的，基金管理人职责终止：</w:t>
      </w:r>
    </w:p>
    <w:p w14:paraId="385CAE3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(1)被依法取消基金管理资格；</w:t>
      </w:r>
    </w:p>
    <w:p w14:paraId="56935B0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(2)依法解散、被依法撤销或被依法宣告破产；</w:t>
      </w:r>
    </w:p>
    <w:p w14:paraId="6E18E5F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(3)被基金份额持有人大会解任；</w:t>
      </w:r>
    </w:p>
    <w:p w14:paraId="4C3B830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(4)法律法规及中国证监会规定的和《基金合同》约定的其他情形。</w:t>
      </w:r>
    </w:p>
    <w:p w14:paraId="221DBFD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2.基金管理人的更换程序</w:t>
      </w:r>
    </w:p>
    <w:p w14:paraId="6A54717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更换基金管理人必须依照如下程序进行：</w:t>
      </w:r>
    </w:p>
    <w:p w14:paraId="4491D97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(1)提名：新任基金管理人由基金托管人</w:t>
      </w:r>
      <w:r w:rsidRPr="006E06DA">
        <w:rPr>
          <w:rFonts w:asciiTheme="minorEastAsia" w:eastAsiaTheme="minorEastAsia" w:hAnsiTheme="minorEastAsia" w:hint="eastAsia"/>
          <w:sz w:val="24"/>
        </w:rPr>
        <w:t>或由单独或合计持有10%以上(含10%)基金份额的基金份额持有人</w:t>
      </w:r>
      <w:r w:rsidRPr="006E06DA">
        <w:rPr>
          <w:rFonts w:asciiTheme="minorEastAsia" w:eastAsiaTheme="minorEastAsia" w:hAnsiTheme="minorEastAsia" w:cs="Arial" w:hint="eastAsia"/>
          <w:sz w:val="24"/>
        </w:rPr>
        <w:t>提名；</w:t>
      </w:r>
    </w:p>
    <w:p w14:paraId="2A4F9D8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4B5AA625"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(3)临时基金管理人：新任基金管理人产生之前，由中国证监会指定临时基金管理人；</w:t>
      </w:r>
    </w:p>
    <w:p w14:paraId="6FA4C76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(4)备案：基金份额持有人大会更换基金管理人的决议须报中国证监会备案；</w:t>
      </w:r>
    </w:p>
    <w:p w14:paraId="1F83E00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(5)公告：基金管理人更换后，由基金托管人在更换基金管理人的基金份额持有人大会决议生效后2日内在规定媒介公告；</w:t>
      </w:r>
    </w:p>
    <w:p w14:paraId="2136BD1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14:paraId="4C00226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(7)审计：基金管理人职责终止的，应当按照法律法规规定聘请符合《中华人民共和国证券法》规定的会计师事务所对基金财产进行审计，并将审计结果予以公告，同时报中国证监会备案，审计费用从基金财产中列支；</w:t>
      </w:r>
    </w:p>
    <w:p w14:paraId="3C355CA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30"/>
          <w:szCs w:val="30"/>
        </w:rPr>
      </w:pPr>
      <w:r w:rsidRPr="006E06DA">
        <w:rPr>
          <w:rFonts w:asciiTheme="minorEastAsia" w:eastAsiaTheme="minorEastAsia" w:hAnsiTheme="minorEastAsia" w:cs="Arial" w:hint="eastAsia"/>
          <w:sz w:val="24"/>
        </w:rPr>
        <w:t>(8)基金名称变更：基金管理人更换后，如果原任或新任基金管理人要求，应按其要求替换或删除基金名称中与原基金管理人有关的名称字样。</w:t>
      </w:r>
    </w:p>
    <w:p w14:paraId="662F6CB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（二）基金托管人职责终止的情形</w:t>
      </w:r>
    </w:p>
    <w:p w14:paraId="4469CB3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1.基金托管人职责终止的情形</w:t>
      </w:r>
    </w:p>
    <w:p w14:paraId="29A5118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有下列情形之一的，基金托管人职责终止：</w:t>
      </w:r>
    </w:p>
    <w:p w14:paraId="3C9E7C7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(1)被依法取消基金托管资格；</w:t>
      </w:r>
    </w:p>
    <w:p w14:paraId="271A27A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(2)依法解散、被依法撤销或被依法宣告破产；</w:t>
      </w:r>
    </w:p>
    <w:p w14:paraId="316F97D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(3)被基金份额持有人大会解任；</w:t>
      </w:r>
    </w:p>
    <w:p w14:paraId="2120139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(4)法律法规及中国证监会规定的和《基金合同》约定的其他情形。</w:t>
      </w:r>
    </w:p>
    <w:p w14:paraId="669BE8C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2.基金托管人的更换程序</w:t>
      </w:r>
    </w:p>
    <w:p w14:paraId="063D4C1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(1)提名：新任基金托管人由基金管理人</w:t>
      </w:r>
      <w:r w:rsidRPr="006E06DA">
        <w:rPr>
          <w:rFonts w:asciiTheme="minorEastAsia" w:eastAsiaTheme="minorEastAsia" w:hAnsiTheme="minorEastAsia" w:hint="eastAsia"/>
          <w:sz w:val="24"/>
        </w:rPr>
        <w:t>或由单独或合计持有10%以上(含10%)基金份额的基金份额持有人</w:t>
      </w:r>
      <w:r w:rsidRPr="006E06DA">
        <w:rPr>
          <w:rFonts w:asciiTheme="minorEastAsia" w:eastAsiaTheme="minorEastAsia" w:hAnsiTheme="minorEastAsia" w:cs="Arial" w:hint="eastAsia"/>
          <w:sz w:val="24"/>
        </w:rPr>
        <w:t>提名；</w:t>
      </w:r>
    </w:p>
    <w:p w14:paraId="789C101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16228CD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(3)临时基金托管人：新任基金托管人产生之前，由中国证监会指定临时基金托管人；</w:t>
      </w:r>
    </w:p>
    <w:p w14:paraId="4680D99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(4)备案：基金份额持有人大会更换基金托管人的决议须报中国证监会备案；</w:t>
      </w:r>
    </w:p>
    <w:p w14:paraId="58290B8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(5)公告：基金托管人更换后，由基金管理人在更换基金托管人的基金份额持有人大会决议生效后 2日内在规定媒介公告；</w:t>
      </w:r>
    </w:p>
    <w:p w14:paraId="39AC8D1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基金资产净值；</w:t>
      </w:r>
    </w:p>
    <w:p w14:paraId="2BAE858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(7)审计：基金托管人职责终止的，应当按照法律法规规定聘请符合《中华人民共和国证券法》规定的会计师事务所对基金财产进行审计，并将审计结果予以公告，同时报中国证监会备案，审计费用从基金财产中列支。</w:t>
      </w:r>
    </w:p>
    <w:p w14:paraId="6145466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（三）基金管理人与基金托管人同时更换的条件和程序</w:t>
      </w:r>
    </w:p>
    <w:p w14:paraId="39AB171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1.提名：如果基金管理人和基金托管人同时更换，由单独或合计持有基金总份额10%以上(含10%)的基金份额持有人提名新的基金管理人和基金托管人；</w:t>
      </w:r>
    </w:p>
    <w:p w14:paraId="73A1AB3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2.基金管理人和基金托管人的更换分别按上述程序进行；</w:t>
      </w:r>
    </w:p>
    <w:p w14:paraId="1C3333D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3.公告：新任基金管理人和新任基金托管人应在更换基金管理人和基金托管</w:t>
      </w:r>
      <w:r w:rsidRPr="006E06DA">
        <w:rPr>
          <w:rFonts w:asciiTheme="minorEastAsia" w:eastAsiaTheme="minorEastAsia" w:hAnsiTheme="minorEastAsia" w:cs="Arial" w:hint="eastAsia"/>
          <w:sz w:val="24"/>
        </w:rPr>
        <w:lastRenderedPageBreak/>
        <w:t>人的基金份额持有人大会决议生效后2日内在规定媒介上联合公告。</w:t>
      </w:r>
    </w:p>
    <w:p w14:paraId="7359133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3B437A87"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2" w:name="_Toc124325899"/>
      <w:r w:rsidRPr="006E06DA">
        <w:rPr>
          <w:rFonts w:asciiTheme="minorEastAsia" w:eastAsiaTheme="minorEastAsia" w:hAnsiTheme="minorEastAsia" w:hint="eastAsia"/>
          <w:sz w:val="30"/>
        </w:rPr>
        <w:t>十五、禁止行为</w:t>
      </w:r>
      <w:bookmarkEnd w:id="92"/>
    </w:p>
    <w:p w14:paraId="26C05A98"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本协议当事人禁止从事的行为，包括但不限于：</w:t>
      </w:r>
    </w:p>
    <w:p w14:paraId="3C6052FC" w14:textId="77777777" w:rsidR="006E06DA" w:rsidRPr="006E06DA" w:rsidRDefault="006E06DA" w:rsidP="006E06DA">
      <w:pPr>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（一）基金管理人、基金托管人将其固有财产或者他人财产混同于基金财产从事证券投资。</w:t>
      </w:r>
    </w:p>
    <w:p w14:paraId="565C5840" w14:textId="77777777" w:rsidR="006E06DA" w:rsidRPr="006E06DA" w:rsidRDefault="006E06DA" w:rsidP="006E06DA">
      <w:pPr>
        <w:spacing w:line="360" w:lineRule="auto"/>
        <w:ind w:firstLineChars="200" w:firstLine="480"/>
        <w:rPr>
          <w:rFonts w:asciiTheme="minorEastAsia" w:eastAsiaTheme="minorEastAsia" w:hAnsiTheme="minorEastAsia"/>
        </w:rPr>
      </w:pPr>
      <w:r w:rsidRPr="006E06DA">
        <w:rPr>
          <w:rFonts w:asciiTheme="minorEastAsia" w:eastAsiaTheme="minorEastAsia" w:hAnsiTheme="minorEastAsia" w:hint="eastAsia"/>
          <w:sz w:val="24"/>
        </w:rPr>
        <w:t>（二）基金管理人不公平地对待其管理的不同基金财产，基金托管人不公平地对待其托管的不同基金财产。</w:t>
      </w:r>
    </w:p>
    <w:p w14:paraId="2FB26CC3" w14:textId="77777777" w:rsidR="006E06DA" w:rsidRPr="006E06DA" w:rsidRDefault="006E06DA" w:rsidP="006E06DA">
      <w:pPr>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（三）基金管理人、基金托管人利用基金财产为基金份额持有人以外的第三人牟取利益。</w:t>
      </w:r>
    </w:p>
    <w:p w14:paraId="6B0342B0" w14:textId="77777777" w:rsidR="006E06DA" w:rsidRPr="006E06DA" w:rsidRDefault="006E06DA" w:rsidP="006E06DA">
      <w:pPr>
        <w:spacing w:line="360" w:lineRule="auto"/>
        <w:ind w:firstLineChars="200" w:firstLine="480"/>
        <w:rPr>
          <w:rFonts w:asciiTheme="minorEastAsia" w:eastAsiaTheme="minorEastAsia" w:hAnsiTheme="minorEastAsia"/>
          <w:sz w:val="24"/>
        </w:rPr>
      </w:pPr>
      <w:r w:rsidRPr="006E06DA">
        <w:rPr>
          <w:rFonts w:asciiTheme="minorEastAsia" w:eastAsiaTheme="minorEastAsia" w:hAnsiTheme="minorEastAsia" w:hint="eastAsia"/>
          <w:sz w:val="24"/>
        </w:rPr>
        <w:t>（四）基金管理人、基金托管人向基金份额持有人违规承诺收益或者承担损失。</w:t>
      </w:r>
    </w:p>
    <w:p w14:paraId="77224F92"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（五）基金管理人、基金托管人对他人泄露基金运作和管理过程中任何尚未按法律法规规定的方式公开披露的信息。</w:t>
      </w:r>
    </w:p>
    <w:p w14:paraId="7A539B22" w14:textId="77777777" w:rsidR="006E06DA" w:rsidRPr="006E06DA" w:rsidRDefault="006E06DA" w:rsidP="006E06DA">
      <w:pPr>
        <w:pStyle w:val="ae"/>
        <w:spacing w:line="360" w:lineRule="auto"/>
        <w:outlineLvl w:val="0"/>
        <w:rPr>
          <w:rFonts w:asciiTheme="minorEastAsia" w:eastAsiaTheme="minorEastAsia" w:hAnsiTheme="minorEastAsia" w:cs="Arial"/>
          <w:szCs w:val="24"/>
        </w:rPr>
      </w:pPr>
      <w:r w:rsidRPr="006E06DA">
        <w:rPr>
          <w:rFonts w:asciiTheme="minorEastAsia" w:eastAsiaTheme="minorEastAsia" w:hAnsiTheme="minorEastAsia" w:cs="Arial" w:hint="eastAsia"/>
          <w:szCs w:val="24"/>
        </w:rPr>
        <w:t>（六）基金管理人在没有充足资金的情况下向基金托管人发出投资指令和赎回、分红资金的划拨指令，或违规向基金托管人发出指令。</w:t>
      </w:r>
    </w:p>
    <w:p w14:paraId="7473545F"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（七）基金管理人、基金托管人在行政上、财务上不独立, 其高级管理人员和其他从业人员相互兼职。</w:t>
      </w:r>
    </w:p>
    <w:p w14:paraId="0778A572" w14:textId="77777777" w:rsidR="006E06DA" w:rsidRPr="006E06DA" w:rsidRDefault="006E06DA" w:rsidP="006E06DA">
      <w:pPr>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（八）基金托管人私自动用或处分基金财产，根据基金管理人的合法指令、《基金合同》或托管协议的规定进行处分的除外。</w:t>
      </w:r>
    </w:p>
    <w:p w14:paraId="3A6FAD4D" w14:textId="77777777" w:rsidR="006E06DA" w:rsidRPr="006E06DA" w:rsidRDefault="006E06DA" w:rsidP="006E06DA">
      <w:pPr>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hint="eastAsia"/>
          <w:sz w:val="24"/>
        </w:rPr>
        <w:t>（九）</w:t>
      </w:r>
      <w:r w:rsidRPr="006E06DA">
        <w:rPr>
          <w:rFonts w:asciiTheme="minorEastAsia" w:eastAsiaTheme="minorEastAsia" w:hAnsiTheme="minorEastAsia" w:cs="Arial" w:hint="eastAsia"/>
          <w:sz w:val="24"/>
        </w:rPr>
        <w:t>基金财产</w:t>
      </w:r>
      <w:r w:rsidRPr="006E06DA">
        <w:rPr>
          <w:rFonts w:asciiTheme="minorEastAsia" w:eastAsiaTheme="minorEastAsia" w:hAnsiTheme="minorEastAsia" w:hint="eastAsia"/>
          <w:sz w:val="24"/>
        </w:rPr>
        <w:t>用于下列投资或者活动：1.承销证券；2.违反规定向他人贷款或者提供担保；3.从事承担无限责任的投资；4.买卖其他基金份额，但是法律法规或中国证监会另有规定的除外；5.向其基金管理人、基金托管人出资；6.从事内幕交易、操纵证券交易价格及其他不正当的证券交易活动；7.法律、行政法规和中国证监会规定禁止的其他活动。</w:t>
      </w:r>
      <w:r w:rsidRPr="006E06DA">
        <w:rPr>
          <w:rFonts w:asciiTheme="minorEastAsia" w:eastAsiaTheme="minorEastAsia" w:hAnsiTheme="minorEastAsia" w:cs="Arial" w:hint="eastAsia"/>
          <w:sz w:val="24"/>
        </w:rPr>
        <w:t>法律、行政法规或监管部门取消上述限制，如适用于本基金，基金管理人在履行适当程序后，则本基金投资不再受相关限制或以变更后的规定为准。</w:t>
      </w:r>
    </w:p>
    <w:p w14:paraId="69584739"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（十）法律法规和《基金合同》禁止的其他行为，以及</w:t>
      </w:r>
      <w:r w:rsidRPr="006E06DA">
        <w:rPr>
          <w:rFonts w:asciiTheme="minorEastAsia" w:eastAsiaTheme="minorEastAsia" w:hAnsiTheme="minorEastAsia" w:hint="eastAsia"/>
          <w:sz w:val="24"/>
        </w:rPr>
        <w:t>依照法律、行政法规有关规定，由中国证监会规定禁止基金管理人、基金托管人从事的其他行为。</w:t>
      </w:r>
    </w:p>
    <w:p w14:paraId="7AB15741" w14:textId="77777777" w:rsidR="006E06DA" w:rsidRPr="006E06DA" w:rsidRDefault="006E06DA" w:rsidP="006E06DA">
      <w:pPr>
        <w:adjustRightInd w:val="0"/>
        <w:snapToGrid w:val="0"/>
        <w:spacing w:line="360" w:lineRule="auto"/>
        <w:rPr>
          <w:rFonts w:asciiTheme="minorEastAsia" w:eastAsiaTheme="minorEastAsia" w:hAnsiTheme="minorEastAsia"/>
          <w:sz w:val="30"/>
          <w:szCs w:val="30"/>
        </w:rPr>
      </w:pPr>
    </w:p>
    <w:p w14:paraId="006D5AFE"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3" w:name="_Toc124325900"/>
      <w:r w:rsidRPr="006E06DA">
        <w:rPr>
          <w:rFonts w:asciiTheme="minorEastAsia" w:eastAsiaTheme="minorEastAsia" w:hAnsiTheme="minorEastAsia" w:hint="eastAsia"/>
          <w:sz w:val="30"/>
        </w:rPr>
        <w:t>十六、托管协议的变更、终止与基金财产的清算</w:t>
      </w:r>
      <w:bookmarkEnd w:id="93"/>
    </w:p>
    <w:p w14:paraId="7E4877D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（一）托管协议的变更程序</w:t>
      </w:r>
    </w:p>
    <w:p w14:paraId="3D2A94C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30"/>
          <w:szCs w:val="30"/>
        </w:rPr>
      </w:pPr>
      <w:r w:rsidRPr="006E06DA">
        <w:rPr>
          <w:rFonts w:asciiTheme="minorEastAsia" w:eastAsiaTheme="minorEastAsia" w:hAnsiTheme="minorEastAsia" w:cs="Arial" w:hint="eastAsia"/>
          <w:sz w:val="24"/>
        </w:rPr>
        <w:t>本协议双方当事人经协商一致，可以对协议进行修改。修改后的新协议，其内容不得与《基金合同》的规定有任何冲突。基金托管协议的变更报中国证监会备案。</w:t>
      </w:r>
    </w:p>
    <w:p w14:paraId="259B611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（二）托管协议终止的情形</w:t>
      </w:r>
    </w:p>
    <w:p w14:paraId="54E8FA1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1.《基金合同》终止；</w:t>
      </w:r>
    </w:p>
    <w:p w14:paraId="08CFF1F2"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2.基金托管人解散、依法被撤销、破产或由其他基金托管人接管基金资产；</w:t>
      </w:r>
    </w:p>
    <w:p w14:paraId="2C81885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3.基金管理人解散、依法被撤销、破产或由其他基金管理人接管基金管理权；</w:t>
      </w:r>
    </w:p>
    <w:p w14:paraId="00591B2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4.发生法律法规或《基金合同》规定的终止事项。</w:t>
      </w:r>
    </w:p>
    <w:p w14:paraId="75733F9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（三）基金财产的清算</w:t>
      </w:r>
    </w:p>
    <w:p w14:paraId="615B8C4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1.基金财产清算小组：自出现《基金合同》终止事由之日起30个工作日内成立清算小组，基金管理人组织基金财产清算小组并在中国证监会的监督下进行基金清算。</w:t>
      </w:r>
    </w:p>
    <w:p w14:paraId="1022455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0DCB96A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3.基金财产清算小组职责：基金财产清算小组负责基金财产的保管、清理、估价、变现和分配。基金财产清算小组可以依法进行必要的民事活动。</w:t>
      </w:r>
    </w:p>
    <w:p w14:paraId="565FD31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4.基金财产清算程序：</w:t>
      </w:r>
    </w:p>
    <w:p w14:paraId="353229A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(1)《基金合同》终止情形出现时，由基金财产清算小组统一接管基金；</w:t>
      </w:r>
    </w:p>
    <w:p w14:paraId="607558D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(2)对基金财产和债权债务进行清理和确认；</w:t>
      </w:r>
    </w:p>
    <w:p w14:paraId="10DD1FA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(3)对基金财产进行估值和变现；</w:t>
      </w:r>
    </w:p>
    <w:p w14:paraId="0E13CEFE"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(4)制作清算报告；</w:t>
      </w:r>
    </w:p>
    <w:p w14:paraId="28F895C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(5)聘请会计师事务所对清算报告进行外部审计，聘请律师事务所对清算报告出具法律意见书；</w:t>
      </w:r>
    </w:p>
    <w:p w14:paraId="6396D34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(6)将清算结果报中国证监会备案并公告；</w:t>
      </w:r>
    </w:p>
    <w:p w14:paraId="2C34186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(7)对基金财产进行分配。</w:t>
      </w:r>
    </w:p>
    <w:p w14:paraId="6599A19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5.基金财产清算的期限为6个月，但因本基金所持证券的流动性受到限制而不能及时变现的，清算期限相应顺延。</w:t>
      </w:r>
    </w:p>
    <w:p w14:paraId="51D97DE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6.清算费用</w:t>
      </w:r>
    </w:p>
    <w:p w14:paraId="1FBF71B7"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清算费用是指基金财产清算小组在进行基金财产清算过程中发生的所有合理费用，清算费用由基金财产清算小组优先从基金剩余财产中支付。</w:t>
      </w:r>
    </w:p>
    <w:p w14:paraId="0E7A43D0"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7.基金财产清算剩余资产的分配：</w:t>
      </w:r>
    </w:p>
    <w:p w14:paraId="03883D3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依据基金财产清算的分配方案，将基金财产清算后的全部剩余资产扣除基金财产清算费用、交纳所欠税款并清偿基金债务后，按各类基金份额持有人持有的基金份额比例进行分配。</w:t>
      </w:r>
    </w:p>
    <w:p w14:paraId="1CA1E2E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8.基金财产清算的公告</w:t>
      </w:r>
    </w:p>
    <w:p w14:paraId="098A123C"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10EA2D4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9.基金财产清算账册及文件的保存</w:t>
      </w:r>
    </w:p>
    <w:p w14:paraId="02D7364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基金财产清算账册及有关文件由基金托管人保存，保存期限不少于法定最低期限。</w:t>
      </w:r>
    </w:p>
    <w:p w14:paraId="154A6B49" w14:textId="77777777" w:rsidR="006E06DA" w:rsidRPr="006E06DA" w:rsidRDefault="006E06DA" w:rsidP="006E06DA">
      <w:pPr>
        <w:adjustRightInd w:val="0"/>
        <w:snapToGrid w:val="0"/>
        <w:spacing w:line="360" w:lineRule="auto"/>
        <w:rPr>
          <w:rFonts w:asciiTheme="minorEastAsia" w:eastAsiaTheme="minorEastAsia" w:hAnsiTheme="minorEastAsia" w:cs="Arial"/>
          <w:sz w:val="24"/>
        </w:rPr>
      </w:pPr>
    </w:p>
    <w:p w14:paraId="63027E0D"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4" w:name="_Toc124325901"/>
      <w:r w:rsidRPr="006E06DA">
        <w:rPr>
          <w:rFonts w:asciiTheme="minorEastAsia" w:eastAsiaTheme="minorEastAsia" w:hAnsiTheme="minorEastAsia" w:hint="eastAsia"/>
          <w:sz w:val="30"/>
        </w:rPr>
        <w:t>十七、违约责任</w:t>
      </w:r>
      <w:bookmarkEnd w:id="94"/>
    </w:p>
    <w:p w14:paraId="71AAA1D8"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（一）基金管理人、基金托管人不履行本协议或履行本协议不符合约定的，应当承担违约责任。</w:t>
      </w:r>
    </w:p>
    <w:p w14:paraId="3A0FD59A"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0C8251C9"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lastRenderedPageBreak/>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E884184"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1.不可抗力；</w:t>
      </w:r>
    </w:p>
    <w:p w14:paraId="4C46595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2.基金管理人、基金托管人按照当时有效的法律法规或中国证监会的规定作为或不作为而造成的损失等；</w:t>
      </w:r>
    </w:p>
    <w:p w14:paraId="41DD55B6"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3.在没有过错的情况下，基金管理人由于按照《基金合同》规定的投资原则投资或不投资造成的直接损失或潜在损失等；</w:t>
      </w:r>
    </w:p>
    <w:p w14:paraId="632E066D"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4.非因基金管理人、基金托管人的故意或重大过失造成的计算机系统故障、网络故障、通讯故障、电力故障、计算机病毒攻击及其它意外事故所导致的损失等。</w:t>
      </w:r>
    </w:p>
    <w:p w14:paraId="77B95F3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1D876042"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（五）违约行为虽已发生，但本托管协议能够继续履行的，在最大限度地保护基金份额持有人利益的前提下，基金管理人和基金托管人应当继续履行本协议。</w:t>
      </w:r>
    </w:p>
    <w:p w14:paraId="6D848756" w14:textId="77777777" w:rsidR="006E06DA" w:rsidRPr="006E06DA" w:rsidRDefault="006E06DA" w:rsidP="006E06DA">
      <w:pPr>
        <w:adjustRightInd w:val="0"/>
        <w:snapToGrid w:val="0"/>
        <w:spacing w:line="360" w:lineRule="auto"/>
        <w:ind w:firstLineChars="200" w:firstLine="480"/>
        <w:outlineLvl w:val="0"/>
        <w:rPr>
          <w:rFonts w:asciiTheme="minorEastAsia" w:eastAsiaTheme="minorEastAsia" w:hAnsiTheme="minorEastAsia" w:cs="Arial"/>
          <w:sz w:val="24"/>
        </w:rPr>
      </w:pPr>
      <w:r w:rsidRPr="006E06DA">
        <w:rPr>
          <w:rFonts w:asciiTheme="minorEastAsia" w:eastAsiaTheme="minorEastAsia" w:hAnsiTheme="minorEastAsia"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048D366" w14:textId="77777777" w:rsidR="006E06DA" w:rsidRPr="006E06DA" w:rsidRDefault="006E06DA" w:rsidP="006E06DA">
      <w:pPr>
        <w:adjustRightInd w:val="0"/>
        <w:snapToGrid w:val="0"/>
        <w:spacing w:line="360" w:lineRule="auto"/>
        <w:outlineLvl w:val="0"/>
        <w:rPr>
          <w:rFonts w:asciiTheme="minorEastAsia" w:eastAsiaTheme="minorEastAsia" w:hAnsiTheme="minorEastAsia" w:cs="Arial"/>
          <w:sz w:val="24"/>
        </w:rPr>
      </w:pPr>
    </w:p>
    <w:p w14:paraId="54E2ABEC"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5" w:name="_Toc124325902"/>
      <w:r w:rsidRPr="006E06DA">
        <w:rPr>
          <w:rFonts w:asciiTheme="minorEastAsia" w:eastAsiaTheme="minorEastAsia" w:hAnsiTheme="minorEastAsia" w:hint="eastAsia"/>
          <w:sz w:val="30"/>
        </w:rPr>
        <w:t>十八、争议解决方式</w:t>
      </w:r>
      <w:bookmarkEnd w:id="95"/>
    </w:p>
    <w:p w14:paraId="16EA5B9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37C8AE69"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争议处理期间，双方当事人应恪守基金管理人和基金托管人职责，各自继续忠实、勤勉、尽责地履行《基金合同》和本托管协议规定的义务，维护基金份额持有</w:t>
      </w:r>
      <w:r w:rsidRPr="006E06DA">
        <w:rPr>
          <w:rFonts w:asciiTheme="minorEastAsia" w:eastAsiaTheme="minorEastAsia" w:hAnsiTheme="minorEastAsia" w:cs="Arial" w:hint="eastAsia"/>
          <w:sz w:val="24"/>
        </w:rPr>
        <w:lastRenderedPageBreak/>
        <w:t>人的合法权益。</w:t>
      </w:r>
    </w:p>
    <w:p w14:paraId="28D7C3F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本协议受中国法律（不含港澳台立法）管辖。</w:t>
      </w:r>
    </w:p>
    <w:p w14:paraId="7885C20E"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6" w:name="_Toc124325903"/>
      <w:r w:rsidRPr="006E06DA">
        <w:rPr>
          <w:rFonts w:asciiTheme="minorEastAsia" w:eastAsiaTheme="minorEastAsia" w:hAnsiTheme="minorEastAsia" w:hint="eastAsia"/>
          <w:sz w:val="30"/>
        </w:rPr>
        <w:t>十九、托管协议的效力</w:t>
      </w:r>
      <w:bookmarkEnd w:id="96"/>
    </w:p>
    <w:p w14:paraId="3E727F6F"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双方对托管协议的效力约定如下：</w:t>
      </w:r>
    </w:p>
    <w:p w14:paraId="498F91F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23DFF6B1"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（二）托管协议自《基金合同》成立之日起成立，自《基金合同》生效之日起生效。托管协议的有效期自其生效之日起至基金财产清算结果报中国证监会备案并公告之日止。</w:t>
      </w:r>
    </w:p>
    <w:p w14:paraId="6207BA18"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（三）托管协议自生效之日起对托管协议当事人具有同等的法律约束力。</w:t>
      </w:r>
    </w:p>
    <w:p w14:paraId="5D7B03B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sz w:val="30"/>
          <w:szCs w:val="30"/>
        </w:rPr>
      </w:pPr>
      <w:r w:rsidRPr="006E06DA">
        <w:rPr>
          <w:rFonts w:asciiTheme="minorEastAsia" w:eastAsiaTheme="minorEastAsia" w:hAnsiTheme="minorEastAsia" w:cs="Arial" w:hint="eastAsia"/>
          <w:sz w:val="24"/>
        </w:rPr>
        <w:t>（四）本协议一式六份，协议双方各持二份，上报监管机构二份，每份具有同等的法律效力。</w:t>
      </w:r>
    </w:p>
    <w:p w14:paraId="534B150B" w14:textId="77777777" w:rsidR="006E06DA" w:rsidRPr="006E06DA" w:rsidRDefault="006E06DA" w:rsidP="006E06DA">
      <w:pPr>
        <w:adjustRightInd w:val="0"/>
        <w:snapToGrid w:val="0"/>
        <w:spacing w:line="360" w:lineRule="auto"/>
        <w:rPr>
          <w:rFonts w:asciiTheme="minorEastAsia" w:eastAsiaTheme="minorEastAsia" w:hAnsiTheme="minorEastAsia" w:cs="Arial"/>
          <w:sz w:val="24"/>
        </w:rPr>
      </w:pPr>
    </w:p>
    <w:p w14:paraId="0273275C"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7" w:name="_Toc124325904"/>
      <w:r w:rsidRPr="006E06DA">
        <w:rPr>
          <w:rFonts w:asciiTheme="minorEastAsia" w:eastAsiaTheme="minorEastAsia" w:hAnsiTheme="minorEastAsia" w:hint="eastAsia"/>
          <w:sz w:val="30"/>
        </w:rPr>
        <w:t>二十、其他事项</w:t>
      </w:r>
      <w:bookmarkEnd w:id="97"/>
    </w:p>
    <w:p w14:paraId="16B9982A"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如发生有权司法机关依法冻结基金份额持有人的基金份额时，基金管理人应予以配合，承担司法协助义务。</w:t>
      </w:r>
    </w:p>
    <w:p w14:paraId="690F4F63"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除本协议有明确定义外，本协议的用语定义适用《基金合同》的约定。本协议未尽事宜，当事人依据《基金合同》、有关法律法规等规定协商办理。</w:t>
      </w:r>
    </w:p>
    <w:p w14:paraId="0B65686D" w14:textId="77777777" w:rsidR="006E06DA" w:rsidRPr="006E06DA" w:rsidRDefault="006E06DA" w:rsidP="006E06DA">
      <w:pPr>
        <w:adjustRightInd w:val="0"/>
        <w:snapToGrid w:val="0"/>
        <w:spacing w:line="360" w:lineRule="auto"/>
        <w:rPr>
          <w:rFonts w:asciiTheme="minorEastAsia" w:eastAsiaTheme="minorEastAsia" w:hAnsiTheme="minorEastAsia"/>
          <w:b/>
          <w:bCs/>
        </w:rPr>
      </w:pPr>
    </w:p>
    <w:p w14:paraId="4C63E0CF" w14:textId="77777777" w:rsidR="006E06DA" w:rsidRPr="006E06DA" w:rsidRDefault="006E06DA" w:rsidP="004F53D2">
      <w:pPr>
        <w:pStyle w:val="2"/>
        <w:spacing w:before="100" w:beforeAutospacing="1" w:after="100" w:afterAutospacing="1" w:line="360" w:lineRule="auto"/>
        <w:jc w:val="center"/>
        <w:rPr>
          <w:rFonts w:asciiTheme="minorEastAsia" w:eastAsiaTheme="minorEastAsia" w:hAnsiTheme="minorEastAsia"/>
          <w:sz w:val="30"/>
        </w:rPr>
      </w:pPr>
      <w:bookmarkStart w:id="98" w:name="_Toc124325905"/>
      <w:r w:rsidRPr="006E06DA">
        <w:rPr>
          <w:rFonts w:asciiTheme="minorEastAsia" w:eastAsiaTheme="minorEastAsia" w:hAnsiTheme="minorEastAsia" w:hint="eastAsia"/>
          <w:sz w:val="30"/>
        </w:rPr>
        <w:t>二十一、托管协议的签订</w:t>
      </w:r>
      <w:bookmarkEnd w:id="98"/>
    </w:p>
    <w:p w14:paraId="2EB43C6B" w14:textId="77777777" w:rsidR="006E06DA" w:rsidRPr="006E06DA" w:rsidRDefault="006E06DA" w:rsidP="006E06DA">
      <w:pPr>
        <w:adjustRightInd w:val="0"/>
        <w:snapToGrid w:val="0"/>
        <w:spacing w:line="360" w:lineRule="auto"/>
        <w:ind w:firstLineChars="200" w:firstLine="480"/>
        <w:rPr>
          <w:rFonts w:asciiTheme="minorEastAsia" w:eastAsiaTheme="minorEastAsia" w:hAnsiTheme="minorEastAsia" w:cs="Arial"/>
          <w:sz w:val="24"/>
        </w:rPr>
      </w:pPr>
      <w:r w:rsidRPr="006E06DA">
        <w:rPr>
          <w:rFonts w:asciiTheme="minorEastAsia" w:eastAsiaTheme="minorEastAsia" w:hAnsiTheme="minorEastAsia" w:cs="Arial" w:hint="eastAsia"/>
          <w:sz w:val="24"/>
        </w:rPr>
        <w:t>本协议双方法定代表人或授权代表签章、签订地、签订日</w:t>
      </w:r>
      <w:r w:rsidR="003C6C57">
        <w:rPr>
          <w:rFonts w:asciiTheme="minorEastAsia" w:eastAsiaTheme="minorEastAsia" w:hAnsiTheme="minorEastAsia" w:cs="Arial" w:hint="eastAsia"/>
          <w:sz w:val="24"/>
        </w:rPr>
        <w:t>。</w:t>
      </w:r>
    </w:p>
    <w:p w14:paraId="537E98D5" w14:textId="77777777" w:rsidR="00E6696D" w:rsidRPr="006E06DA" w:rsidRDefault="00E6696D" w:rsidP="00D20670">
      <w:pPr>
        <w:spacing w:line="360" w:lineRule="auto"/>
        <w:ind w:right="26"/>
        <w:rPr>
          <w:rFonts w:asciiTheme="minorEastAsia" w:eastAsiaTheme="minorEastAsia" w:hAnsiTheme="minorEastAsia"/>
        </w:rPr>
      </w:pPr>
    </w:p>
    <w:sectPr w:rsidR="00E6696D" w:rsidRPr="006E06DA" w:rsidSect="00D20670">
      <w:headerReference w:type="default" r:id="rId11"/>
      <w:footerReference w:type="default" r:id="rId12"/>
      <w:pgSz w:w="11906" w:h="16838" w:code="9"/>
      <w:pgMar w:top="1418" w:right="1701"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4DC4" w14:textId="77777777" w:rsidR="00F47F08" w:rsidRDefault="00F47F08" w:rsidP="006E06DA">
      <w:r>
        <w:separator/>
      </w:r>
    </w:p>
  </w:endnote>
  <w:endnote w:type="continuationSeparator" w:id="0">
    <w:p w14:paraId="0E43EE88" w14:textId="77777777" w:rsidR="00F47F08" w:rsidRDefault="00F47F08" w:rsidP="006E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481406"/>
      <w:docPartObj>
        <w:docPartGallery w:val="Page Numbers (Bottom of Page)"/>
        <w:docPartUnique/>
      </w:docPartObj>
    </w:sdtPr>
    <w:sdtEndPr/>
    <w:sdtContent>
      <w:p w14:paraId="2F74FAD4" w14:textId="77777777" w:rsidR="00CD1169" w:rsidRDefault="00CD1169">
        <w:pPr>
          <w:pStyle w:val="a6"/>
          <w:jc w:val="center"/>
        </w:pPr>
        <w:r>
          <w:fldChar w:fldCharType="begin"/>
        </w:r>
        <w:r>
          <w:instrText>PAGE   \* MERGEFORMAT</w:instrText>
        </w:r>
        <w:r>
          <w:fldChar w:fldCharType="separate"/>
        </w:r>
        <w:r w:rsidR="003C6C57" w:rsidRPr="003C6C57">
          <w:rPr>
            <w:noProof/>
            <w:lang w:val="zh-CN"/>
          </w:rPr>
          <w:t>39</w:t>
        </w:r>
        <w:r>
          <w:fldChar w:fldCharType="end"/>
        </w:r>
      </w:p>
    </w:sdtContent>
  </w:sdt>
  <w:p w14:paraId="35C75AD4" w14:textId="77777777" w:rsidR="00CD1169" w:rsidRDefault="00CD11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3BF8" w14:textId="77777777" w:rsidR="003C6C57" w:rsidRDefault="003C6C57">
    <w:pPr>
      <w:pStyle w:val="a6"/>
      <w:jc w:val="center"/>
    </w:pPr>
  </w:p>
  <w:p w14:paraId="321A6C44" w14:textId="77777777" w:rsidR="003C6C57" w:rsidRDefault="003C6C5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90849"/>
      <w:docPartObj>
        <w:docPartGallery w:val="Page Numbers (Bottom of Page)"/>
        <w:docPartUnique/>
      </w:docPartObj>
    </w:sdtPr>
    <w:sdtEndPr/>
    <w:sdtContent>
      <w:p w14:paraId="1B9F6CFB" w14:textId="77777777" w:rsidR="003C6C57" w:rsidRDefault="003C6C57">
        <w:pPr>
          <w:pStyle w:val="a6"/>
          <w:jc w:val="center"/>
        </w:pPr>
        <w:r>
          <w:fldChar w:fldCharType="begin"/>
        </w:r>
        <w:r>
          <w:instrText>PAGE   \* MERGEFORMAT</w:instrText>
        </w:r>
        <w:r>
          <w:fldChar w:fldCharType="separate"/>
        </w:r>
        <w:r w:rsidR="00D20670" w:rsidRPr="00D20670">
          <w:rPr>
            <w:noProof/>
            <w:lang w:val="zh-CN"/>
          </w:rPr>
          <w:t>37</w:t>
        </w:r>
        <w:r>
          <w:fldChar w:fldCharType="end"/>
        </w:r>
      </w:p>
    </w:sdtContent>
  </w:sdt>
  <w:p w14:paraId="4E249D98" w14:textId="77777777" w:rsidR="00CD1169" w:rsidRDefault="00CD11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76E3" w14:textId="77777777" w:rsidR="00F47F08" w:rsidRDefault="00F47F08" w:rsidP="006E06DA">
      <w:r>
        <w:separator/>
      </w:r>
    </w:p>
  </w:footnote>
  <w:footnote w:type="continuationSeparator" w:id="0">
    <w:p w14:paraId="60FED540" w14:textId="77777777" w:rsidR="00F47F08" w:rsidRDefault="00F47F08" w:rsidP="006E0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1921" w14:textId="77777777" w:rsidR="00CD1169" w:rsidRDefault="00CD1169" w:rsidP="00135476">
    <w:pPr>
      <w:pStyle w:val="a4"/>
    </w:pPr>
    <w:proofErr w:type="gramStart"/>
    <w:r w:rsidRPr="00510FEE">
      <w:rPr>
        <w:rFonts w:hint="eastAsia"/>
      </w:rPr>
      <w:t>汇添富</w:t>
    </w:r>
    <w:r>
      <w:rPr>
        <w:rFonts w:hint="eastAsia"/>
      </w:rPr>
      <w:t>稳安</w:t>
    </w:r>
    <w:proofErr w:type="gramEnd"/>
    <w:r>
      <w:rPr>
        <w:rFonts w:hint="eastAsia"/>
      </w:rPr>
      <w:t>三个月</w:t>
    </w:r>
    <w:r w:rsidRPr="00510FEE">
      <w:rPr>
        <w:rFonts w:hint="eastAsia"/>
      </w:rPr>
      <w:t>持有期债券型证券投资基金</w:t>
    </w:r>
    <w:r>
      <w:t xml:space="preserve">                                            </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6D42" w14:textId="77777777" w:rsidR="00CD1169" w:rsidRDefault="00CD1169">
    <w:pPr>
      <w:pStyle w:val="a4"/>
    </w:pPr>
    <w:proofErr w:type="gramStart"/>
    <w:r w:rsidRPr="00B4618D">
      <w:rPr>
        <w:rFonts w:hint="eastAsia"/>
      </w:rPr>
      <w:t>汇添富</w:t>
    </w:r>
    <w:r>
      <w:rPr>
        <w:rFonts w:hint="eastAsia"/>
      </w:rPr>
      <w:t>稳安</w:t>
    </w:r>
    <w:proofErr w:type="gramEnd"/>
    <w:r>
      <w:rPr>
        <w:rFonts w:hint="eastAsia"/>
      </w:rPr>
      <w:t>三个月</w:t>
    </w:r>
    <w:r w:rsidRPr="00B4618D">
      <w:rPr>
        <w:rFonts w:hint="eastAsia"/>
      </w:rPr>
      <w:t>持有期债券型证券投资基金</w:t>
    </w:r>
    <w:r w:rsidRPr="00B4618D">
      <w:rPr>
        <w:rFonts w:hint="eastAsia"/>
      </w:rPr>
      <w:t xml:space="preserve">   </w:t>
    </w:r>
    <w:r>
      <w:rPr>
        <w:rFonts w:hint="eastAsia"/>
      </w:rPr>
      <w:t xml:space="preserve">                             </w:t>
    </w:r>
    <w:r w:rsidRPr="00B4618D">
      <w:rPr>
        <w:rFonts w:hint="eastAsia"/>
      </w:rPr>
      <w:t xml:space="preserve">     </w:t>
    </w:r>
    <w:r w:rsidR="00596535">
      <w:t xml:space="preserve">        </w:t>
    </w:r>
    <w:r w:rsidRPr="00B4618D">
      <w:rPr>
        <w:rFonts w:hint="eastAsia"/>
      </w:rPr>
      <w:t xml:space="preserve"> </w:t>
    </w:r>
    <w:r w:rsidRPr="00B4618D">
      <w:rPr>
        <w:rFonts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6DA"/>
    <w:rsid w:val="00001D94"/>
    <w:rsid w:val="000B6F89"/>
    <w:rsid w:val="00135476"/>
    <w:rsid w:val="001367E4"/>
    <w:rsid w:val="00167627"/>
    <w:rsid w:val="003309FD"/>
    <w:rsid w:val="00374225"/>
    <w:rsid w:val="003C6C57"/>
    <w:rsid w:val="00400DC7"/>
    <w:rsid w:val="004A5799"/>
    <w:rsid w:val="004F53D2"/>
    <w:rsid w:val="005046B8"/>
    <w:rsid w:val="00596535"/>
    <w:rsid w:val="006910CF"/>
    <w:rsid w:val="006E06DA"/>
    <w:rsid w:val="007E1C53"/>
    <w:rsid w:val="00861C26"/>
    <w:rsid w:val="008E1DC9"/>
    <w:rsid w:val="009B0AB3"/>
    <w:rsid w:val="009E3C2C"/>
    <w:rsid w:val="009F5387"/>
    <w:rsid w:val="009F59DE"/>
    <w:rsid w:val="00A4764D"/>
    <w:rsid w:val="00B029C8"/>
    <w:rsid w:val="00C4331B"/>
    <w:rsid w:val="00C61002"/>
    <w:rsid w:val="00C83809"/>
    <w:rsid w:val="00CD1169"/>
    <w:rsid w:val="00CD783D"/>
    <w:rsid w:val="00D20670"/>
    <w:rsid w:val="00D353A6"/>
    <w:rsid w:val="00D403CE"/>
    <w:rsid w:val="00D92292"/>
    <w:rsid w:val="00DB1B1B"/>
    <w:rsid w:val="00DF7CD1"/>
    <w:rsid w:val="00E6696D"/>
    <w:rsid w:val="00F47F08"/>
    <w:rsid w:val="00F7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3C6424EF"/>
  <w15:chartTrackingRefBased/>
  <w15:docId w15:val="{33FC8D22-8FAD-4696-B630-1324E188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6DA"/>
    <w:pPr>
      <w:widowControl w:val="0"/>
      <w:jc w:val="both"/>
    </w:pPr>
    <w:rPr>
      <w:rFonts w:ascii="Times New Roman" w:eastAsia="宋体" w:hAnsi="Times New Roman" w:cs="Times New Roman"/>
      <w:szCs w:val="24"/>
    </w:rPr>
  </w:style>
  <w:style w:type="paragraph" w:styleId="2">
    <w:name w:val="heading 2"/>
    <w:basedOn w:val="a"/>
    <w:next w:val="a0"/>
    <w:link w:val="20"/>
    <w:qFormat/>
    <w:rsid w:val="006E06D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6E06DA"/>
    <w:rPr>
      <w:rFonts w:ascii="Arial" w:eastAsia="黑体" w:hAnsi="Arial" w:cs="Times New Roman"/>
      <w:b/>
      <w:sz w:val="32"/>
      <w:szCs w:val="20"/>
    </w:rPr>
  </w:style>
  <w:style w:type="paragraph" w:styleId="a4">
    <w:name w:val="header"/>
    <w:basedOn w:val="a"/>
    <w:link w:val="a5"/>
    <w:uiPriority w:val="99"/>
    <w:unhideWhenUsed/>
    <w:rsid w:val="006E06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E06DA"/>
    <w:rPr>
      <w:rFonts w:ascii="Times New Roman" w:eastAsia="宋体" w:hAnsi="Times New Roman" w:cs="Times New Roman"/>
      <w:sz w:val="18"/>
      <w:szCs w:val="18"/>
    </w:rPr>
  </w:style>
  <w:style w:type="paragraph" w:styleId="a6">
    <w:name w:val="footer"/>
    <w:basedOn w:val="a"/>
    <w:link w:val="a7"/>
    <w:uiPriority w:val="99"/>
    <w:unhideWhenUsed/>
    <w:rsid w:val="006E06DA"/>
    <w:pPr>
      <w:tabs>
        <w:tab w:val="center" w:pos="4153"/>
        <w:tab w:val="right" w:pos="8306"/>
      </w:tabs>
      <w:snapToGrid w:val="0"/>
      <w:jc w:val="left"/>
    </w:pPr>
    <w:rPr>
      <w:sz w:val="18"/>
      <w:szCs w:val="18"/>
    </w:rPr>
  </w:style>
  <w:style w:type="character" w:customStyle="1" w:styleId="a7">
    <w:name w:val="页脚 字符"/>
    <w:basedOn w:val="a1"/>
    <w:link w:val="a6"/>
    <w:uiPriority w:val="99"/>
    <w:rsid w:val="006E06DA"/>
    <w:rPr>
      <w:rFonts w:ascii="Times New Roman" w:eastAsia="宋体" w:hAnsi="Times New Roman" w:cs="Times New Roman"/>
      <w:sz w:val="18"/>
      <w:szCs w:val="18"/>
    </w:rPr>
  </w:style>
  <w:style w:type="character" w:styleId="a8">
    <w:name w:val="page number"/>
    <w:basedOn w:val="a1"/>
    <w:rsid w:val="006E06DA"/>
  </w:style>
  <w:style w:type="paragraph" w:styleId="a9">
    <w:name w:val="Normal (Web)"/>
    <w:basedOn w:val="a"/>
    <w:rsid w:val="006E06DA"/>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6E06DA"/>
    <w:rPr>
      <w:b/>
      <w:bCs/>
    </w:rPr>
  </w:style>
  <w:style w:type="character" w:styleId="ab">
    <w:name w:val="Hyperlink"/>
    <w:rsid w:val="006E06DA"/>
    <w:rPr>
      <w:color w:val="0000FF"/>
      <w:u w:val="single"/>
    </w:rPr>
  </w:style>
  <w:style w:type="paragraph" w:customStyle="1" w:styleId="wz1">
    <w:name w:val="wz1"/>
    <w:basedOn w:val="a"/>
    <w:rsid w:val="006E06D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6E06DA"/>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6E06DA"/>
    <w:rPr>
      <w:rFonts w:ascii="仿宋_GB2312" w:eastAsia="仿宋_GB2312" w:hAnsi="Times New Roman" w:cs="Times New Roman"/>
      <w:color w:val="000000"/>
      <w:kern w:val="0"/>
      <w:sz w:val="24"/>
      <w:szCs w:val="28"/>
    </w:rPr>
  </w:style>
  <w:style w:type="character" w:customStyle="1" w:styleId="read">
    <w:name w:val="read"/>
    <w:basedOn w:val="a1"/>
    <w:rsid w:val="006E06DA"/>
  </w:style>
  <w:style w:type="paragraph" w:styleId="a0">
    <w:name w:val="Normal Indent"/>
    <w:basedOn w:val="a"/>
    <w:rsid w:val="006E06DA"/>
    <w:pPr>
      <w:ind w:firstLineChars="200" w:firstLine="420"/>
    </w:pPr>
  </w:style>
  <w:style w:type="paragraph" w:styleId="ae">
    <w:name w:val="Body Text Indent"/>
    <w:basedOn w:val="a"/>
    <w:link w:val="af"/>
    <w:rsid w:val="006E06DA"/>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6E06DA"/>
    <w:rPr>
      <w:rFonts w:ascii="Times New Roman" w:eastAsia="方正仿宋简体" w:hAnsi="Times New Roman" w:cs="Times New Roman"/>
      <w:sz w:val="24"/>
      <w:szCs w:val="30"/>
    </w:rPr>
  </w:style>
  <w:style w:type="paragraph" w:styleId="21">
    <w:name w:val="Body Text Indent 2"/>
    <w:basedOn w:val="a"/>
    <w:link w:val="22"/>
    <w:rsid w:val="006E06DA"/>
    <w:pPr>
      <w:spacing w:line="360" w:lineRule="auto"/>
      <w:ind w:firstLine="525"/>
    </w:pPr>
    <w:rPr>
      <w:rFonts w:ascii="宋体" w:hAnsi="宋体"/>
      <w:sz w:val="28"/>
      <w:szCs w:val="20"/>
    </w:rPr>
  </w:style>
  <w:style w:type="character" w:customStyle="1" w:styleId="22">
    <w:name w:val="正文文本缩进 2 字符"/>
    <w:basedOn w:val="a1"/>
    <w:link w:val="21"/>
    <w:rsid w:val="006E06DA"/>
    <w:rPr>
      <w:rFonts w:ascii="宋体" w:eastAsia="宋体" w:hAnsi="宋体" w:cs="Times New Roman"/>
      <w:sz w:val="28"/>
      <w:szCs w:val="20"/>
    </w:rPr>
  </w:style>
  <w:style w:type="paragraph" w:styleId="3">
    <w:name w:val="Body Text Indent 3"/>
    <w:basedOn w:val="a"/>
    <w:link w:val="30"/>
    <w:rsid w:val="006E06DA"/>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6E06DA"/>
    <w:rPr>
      <w:rFonts w:ascii="仿宋_GB2312" w:eastAsia="仿宋_GB2312" w:hAnsi="宋体" w:cs="Arial"/>
      <w:color w:val="000000"/>
      <w:sz w:val="24"/>
      <w:szCs w:val="24"/>
    </w:rPr>
  </w:style>
  <w:style w:type="paragraph" w:styleId="TOC1">
    <w:name w:val="toc 1"/>
    <w:basedOn w:val="a"/>
    <w:next w:val="a"/>
    <w:autoRedefine/>
    <w:semiHidden/>
    <w:rsid w:val="006E06DA"/>
  </w:style>
  <w:style w:type="paragraph" w:styleId="TOC2">
    <w:name w:val="toc 2"/>
    <w:basedOn w:val="a"/>
    <w:next w:val="a"/>
    <w:autoRedefine/>
    <w:semiHidden/>
    <w:rsid w:val="006E06DA"/>
    <w:pPr>
      <w:ind w:leftChars="200" w:left="420"/>
    </w:pPr>
  </w:style>
  <w:style w:type="paragraph" w:styleId="TOC3">
    <w:name w:val="toc 3"/>
    <w:basedOn w:val="a"/>
    <w:next w:val="a"/>
    <w:autoRedefine/>
    <w:semiHidden/>
    <w:rsid w:val="006E06DA"/>
    <w:pPr>
      <w:ind w:leftChars="400" w:left="840"/>
    </w:pPr>
  </w:style>
  <w:style w:type="paragraph" w:styleId="TOC4">
    <w:name w:val="toc 4"/>
    <w:basedOn w:val="a"/>
    <w:next w:val="a"/>
    <w:autoRedefine/>
    <w:semiHidden/>
    <w:rsid w:val="006E06DA"/>
    <w:pPr>
      <w:ind w:leftChars="600" w:left="1260"/>
    </w:pPr>
  </w:style>
  <w:style w:type="paragraph" w:styleId="TOC5">
    <w:name w:val="toc 5"/>
    <w:basedOn w:val="a"/>
    <w:next w:val="a"/>
    <w:autoRedefine/>
    <w:semiHidden/>
    <w:rsid w:val="006E06DA"/>
    <w:pPr>
      <w:ind w:leftChars="800" w:left="1680"/>
    </w:pPr>
  </w:style>
  <w:style w:type="paragraph" w:styleId="TOC6">
    <w:name w:val="toc 6"/>
    <w:basedOn w:val="a"/>
    <w:next w:val="a"/>
    <w:autoRedefine/>
    <w:semiHidden/>
    <w:rsid w:val="006E06DA"/>
    <w:pPr>
      <w:ind w:leftChars="1000" w:left="2100"/>
    </w:pPr>
  </w:style>
  <w:style w:type="paragraph" w:styleId="TOC7">
    <w:name w:val="toc 7"/>
    <w:basedOn w:val="a"/>
    <w:next w:val="a"/>
    <w:autoRedefine/>
    <w:semiHidden/>
    <w:rsid w:val="006E06DA"/>
    <w:pPr>
      <w:ind w:leftChars="1200" w:left="2520"/>
    </w:pPr>
  </w:style>
  <w:style w:type="paragraph" w:styleId="TOC8">
    <w:name w:val="toc 8"/>
    <w:basedOn w:val="a"/>
    <w:next w:val="a"/>
    <w:autoRedefine/>
    <w:semiHidden/>
    <w:rsid w:val="006E06DA"/>
    <w:pPr>
      <w:ind w:leftChars="1400" w:left="2940"/>
    </w:pPr>
  </w:style>
  <w:style w:type="paragraph" w:styleId="TOC9">
    <w:name w:val="toc 9"/>
    <w:basedOn w:val="a"/>
    <w:next w:val="a"/>
    <w:autoRedefine/>
    <w:semiHidden/>
    <w:rsid w:val="006E06DA"/>
    <w:pPr>
      <w:ind w:leftChars="1600" w:left="3360"/>
    </w:pPr>
  </w:style>
  <w:style w:type="paragraph" w:styleId="af0">
    <w:name w:val="Balloon Text"/>
    <w:basedOn w:val="a"/>
    <w:link w:val="af1"/>
    <w:semiHidden/>
    <w:rsid w:val="006E06DA"/>
    <w:rPr>
      <w:sz w:val="18"/>
      <w:szCs w:val="18"/>
    </w:rPr>
  </w:style>
  <w:style w:type="character" w:customStyle="1" w:styleId="af1">
    <w:name w:val="批注框文本 字符"/>
    <w:basedOn w:val="a1"/>
    <w:link w:val="af0"/>
    <w:semiHidden/>
    <w:rsid w:val="006E06DA"/>
    <w:rPr>
      <w:rFonts w:ascii="Times New Roman" w:eastAsia="宋体" w:hAnsi="Times New Roman" w:cs="Times New Roman"/>
      <w:sz w:val="18"/>
      <w:szCs w:val="18"/>
    </w:rPr>
  </w:style>
  <w:style w:type="paragraph" w:customStyle="1" w:styleId="Char">
    <w:name w:val="Char"/>
    <w:basedOn w:val="a"/>
    <w:rsid w:val="006E06DA"/>
  </w:style>
  <w:style w:type="paragraph" w:customStyle="1" w:styleId="Char1">
    <w:name w:val="Char1"/>
    <w:basedOn w:val="a"/>
    <w:autoRedefine/>
    <w:rsid w:val="006E06DA"/>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6E06DA"/>
  </w:style>
  <w:style w:type="character" w:styleId="af2">
    <w:name w:val="annotation reference"/>
    <w:semiHidden/>
    <w:rsid w:val="006E06DA"/>
    <w:rPr>
      <w:sz w:val="21"/>
      <w:szCs w:val="21"/>
    </w:rPr>
  </w:style>
  <w:style w:type="paragraph" w:styleId="af3">
    <w:name w:val="annotation text"/>
    <w:basedOn w:val="a"/>
    <w:link w:val="af4"/>
    <w:semiHidden/>
    <w:rsid w:val="006E06DA"/>
    <w:pPr>
      <w:jc w:val="left"/>
    </w:pPr>
  </w:style>
  <w:style w:type="character" w:customStyle="1" w:styleId="af4">
    <w:name w:val="批注文字 字符"/>
    <w:basedOn w:val="a1"/>
    <w:link w:val="af3"/>
    <w:semiHidden/>
    <w:rsid w:val="006E06DA"/>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E06DA"/>
  </w:style>
  <w:style w:type="paragraph" w:customStyle="1" w:styleId="CharChar">
    <w:name w:val="Char Char"/>
    <w:basedOn w:val="a"/>
    <w:rsid w:val="006E06DA"/>
    <w:rPr>
      <w:szCs w:val="20"/>
    </w:rPr>
  </w:style>
  <w:style w:type="paragraph" w:styleId="HTML">
    <w:name w:val="HTML Preformatted"/>
    <w:basedOn w:val="a"/>
    <w:link w:val="HTML0"/>
    <w:uiPriority w:val="99"/>
    <w:unhideWhenUsed/>
    <w:rsid w:val="006E06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rsid w:val="006E06DA"/>
    <w:rPr>
      <w:rFonts w:ascii="宋体" w:eastAsia="宋体" w:hAnsi="宋体" w:cs="宋体"/>
      <w:kern w:val="0"/>
      <w:sz w:val="24"/>
      <w:szCs w:val="24"/>
    </w:rPr>
  </w:style>
  <w:style w:type="paragraph" w:styleId="af5">
    <w:name w:val="annotation subject"/>
    <w:basedOn w:val="af3"/>
    <w:next w:val="af3"/>
    <w:link w:val="af6"/>
    <w:rsid w:val="006E06DA"/>
    <w:rPr>
      <w:b/>
      <w:bCs/>
    </w:rPr>
  </w:style>
  <w:style w:type="character" w:customStyle="1" w:styleId="af6">
    <w:name w:val="批注主题 字符"/>
    <w:basedOn w:val="af4"/>
    <w:link w:val="af5"/>
    <w:rsid w:val="006E06DA"/>
    <w:rPr>
      <w:rFonts w:ascii="Times New Roman" w:eastAsia="宋体" w:hAnsi="Times New Roman" w:cs="Times New Roman"/>
      <w:b/>
      <w:bCs/>
      <w:szCs w:val="24"/>
    </w:rPr>
  </w:style>
  <w:style w:type="paragraph" w:customStyle="1" w:styleId="af7">
    <w:uiPriority w:val="99"/>
    <w:unhideWhenUsed/>
    <w:rsid w:val="006E06DA"/>
    <w:pPr>
      <w:widowControl w:val="0"/>
      <w:jc w:val="both"/>
    </w:pPr>
    <w:rPr>
      <w:rFonts w:ascii="Times New Roman" w:eastAsia="宋体" w:hAnsi="Times New Roman" w:cs="Times New Roman"/>
      <w:szCs w:val="24"/>
    </w:rPr>
  </w:style>
  <w:style w:type="paragraph" w:styleId="af8">
    <w:name w:val="Revision"/>
    <w:hidden/>
    <w:uiPriority w:val="99"/>
    <w:semiHidden/>
    <w:rsid w:val="006E06DA"/>
    <w:rPr>
      <w:rFonts w:ascii="Times New Roman" w:eastAsia="宋体" w:hAnsi="Times New Roman" w:cs="Times New Roman"/>
      <w:szCs w:val="24"/>
    </w:rPr>
  </w:style>
  <w:style w:type="character" w:styleId="af9">
    <w:name w:val="FollowedHyperlink"/>
    <w:basedOn w:val="a1"/>
    <w:uiPriority w:val="99"/>
    <w:semiHidden/>
    <w:unhideWhenUsed/>
    <w:rsid w:val="006E0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268F-ED15-4E37-BDBA-7B6E3CF4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4754</Words>
  <Characters>27098</Characters>
  <Application>Microsoft Office Word</Application>
  <DocSecurity>0</DocSecurity>
  <Lines>225</Lines>
  <Paragraphs>63</Paragraphs>
  <ScaleCrop>false</ScaleCrop>
  <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张一辰</dc:creator>
  <cp:keywords/>
  <dc:description/>
  <cp:lastModifiedBy>何中玉</cp:lastModifiedBy>
  <cp:revision>2</cp:revision>
  <dcterms:created xsi:type="dcterms:W3CDTF">2023-01-04T02:37:00Z</dcterms:created>
  <dcterms:modified xsi:type="dcterms:W3CDTF">2023-01-04T02:37:00Z</dcterms:modified>
</cp:coreProperties>
</file>