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57" w:rsidRPr="00912E8A" w:rsidRDefault="00741059" w:rsidP="00EC7CCC">
      <w:pPr>
        <w:spacing w:line="360" w:lineRule="auto"/>
        <w:ind w:hanging="26"/>
        <w:jc w:val="center"/>
        <w:rPr>
          <w:rFonts w:ascii="宋体" w:eastAsia="宋体" w:hAnsi="宋体" w:cs="Times New Roman"/>
          <w:b/>
          <w:sz w:val="32"/>
          <w:szCs w:val="28"/>
        </w:rPr>
      </w:pPr>
      <w:r w:rsidRPr="00912E8A">
        <w:rPr>
          <w:rFonts w:ascii="宋体" w:eastAsia="宋体" w:hAnsi="宋体" w:cs="Times New Roman" w:hint="eastAsia"/>
          <w:b/>
          <w:sz w:val="32"/>
          <w:szCs w:val="28"/>
        </w:rPr>
        <w:t xml:space="preserve"> </w:t>
      </w:r>
      <w:r w:rsidR="00492A57" w:rsidRPr="00912E8A">
        <w:rPr>
          <w:rFonts w:ascii="宋体" w:eastAsia="宋体" w:hAnsi="宋体" w:cs="Times New Roman" w:hint="eastAsia"/>
          <w:b/>
          <w:sz w:val="32"/>
          <w:szCs w:val="28"/>
        </w:rPr>
        <w:t>广发基金管理有限公司</w:t>
      </w:r>
    </w:p>
    <w:p w:rsidR="00492A57" w:rsidRPr="00912E8A" w:rsidRDefault="00492A57" w:rsidP="006860D6">
      <w:pPr>
        <w:spacing w:line="360" w:lineRule="auto"/>
        <w:ind w:hanging="26"/>
        <w:jc w:val="center"/>
        <w:rPr>
          <w:rFonts w:ascii="宋体" w:eastAsia="宋体" w:hAnsi="宋体" w:cs="Times New Roman"/>
          <w:b/>
          <w:sz w:val="32"/>
          <w:szCs w:val="28"/>
        </w:rPr>
      </w:pPr>
      <w:r w:rsidRPr="00912E8A">
        <w:rPr>
          <w:rFonts w:ascii="宋体" w:eastAsia="宋体" w:hAnsi="宋体" w:cs="Times New Roman"/>
          <w:b/>
          <w:sz w:val="32"/>
          <w:szCs w:val="28"/>
        </w:rPr>
        <w:t>关于</w:t>
      </w:r>
      <w:r w:rsidR="004B7ED1">
        <w:rPr>
          <w:rFonts w:ascii="宋体" w:eastAsia="宋体" w:hAnsi="宋体" w:cs="Times New Roman" w:hint="eastAsia"/>
          <w:b/>
          <w:sz w:val="32"/>
          <w:szCs w:val="28"/>
        </w:rPr>
        <w:t>广发亚太中高收益债券型证券投资基金</w:t>
      </w:r>
      <w:r w:rsidR="00B67B1D">
        <w:rPr>
          <w:rFonts w:ascii="宋体" w:eastAsia="宋体" w:hAnsi="宋体" w:cs="Times New Roman" w:hint="eastAsia"/>
          <w:b/>
          <w:sz w:val="32"/>
          <w:szCs w:val="28"/>
        </w:rPr>
        <w:t>降低托管费</w:t>
      </w:r>
      <w:r w:rsidR="00FF3526" w:rsidRPr="00912E8A">
        <w:rPr>
          <w:rFonts w:ascii="宋体" w:eastAsia="宋体" w:hAnsi="宋体" w:cs="Times New Roman" w:hint="eastAsia"/>
          <w:b/>
          <w:sz w:val="32"/>
          <w:szCs w:val="28"/>
        </w:rPr>
        <w:t>率并相应</w:t>
      </w:r>
      <w:r w:rsidR="000054AD">
        <w:rPr>
          <w:rFonts w:ascii="宋体" w:eastAsia="宋体" w:hAnsi="宋体" w:cs="Times New Roman" w:hint="eastAsia"/>
          <w:b/>
          <w:sz w:val="32"/>
          <w:szCs w:val="28"/>
        </w:rPr>
        <w:t>修订</w:t>
      </w:r>
      <w:r w:rsidR="00FF3526" w:rsidRPr="00912E8A">
        <w:rPr>
          <w:rFonts w:ascii="宋体" w:eastAsia="宋体" w:hAnsi="宋体" w:cs="Times New Roman" w:hint="eastAsia"/>
          <w:b/>
          <w:sz w:val="32"/>
          <w:szCs w:val="28"/>
        </w:rPr>
        <w:t>基金合同</w:t>
      </w:r>
      <w:r w:rsidR="000054AD">
        <w:rPr>
          <w:rFonts w:ascii="宋体" w:eastAsia="宋体" w:hAnsi="宋体" w:cs="Times New Roman" w:hint="eastAsia"/>
          <w:b/>
          <w:sz w:val="32"/>
          <w:szCs w:val="28"/>
        </w:rPr>
        <w:t>等法律文件</w:t>
      </w:r>
      <w:r w:rsidRPr="00912E8A">
        <w:rPr>
          <w:rFonts w:ascii="宋体" w:eastAsia="宋体" w:hAnsi="宋体" w:cs="Times New Roman"/>
          <w:b/>
          <w:sz w:val="32"/>
          <w:szCs w:val="28"/>
        </w:rPr>
        <w:t>的公告</w:t>
      </w:r>
    </w:p>
    <w:p w:rsidR="00492A57" w:rsidRPr="00912E8A" w:rsidRDefault="00492A57" w:rsidP="00492A57">
      <w:pPr>
        <w:jc w:val="center"/>
        <w:rPr>
          <w:rFonts w:ascii="宋体" w:eastAsia="宋体" w:hAnsi="宋体" w:cs="Times New Roman"/>
          <w:szCs w:val="21"/>
        </w:rPr>
      </w:pPr>
    </w:p>
    <w:p w:rsidR="00FF3526" w:rsidRPr="00912E8A" w:rsidRDefault="004B7ED1" w:rsidP="001E5AA1">
      <w:pPr>
        <w:tabs>
          <w:tab w:val="left" w:pos="723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广发亚太中高收益债券型证券投资基金</w:t>
      </w:r>
      <w:r w:rsidR="006F7D8A" w:rsidRPr="00912E8A">
        <w:rPr>
          <w:rFonts w:ascii="宋体" w:eastAsia="宋体" w:hAnsi="宋体" w:cs="Times New Roman" w:hint="eastAsia"/>
          <w:bCs/>
          <w:sz w:val="24"/>
        </w:rPr>
        <w:t>（</w:t>
      </w:r>
      <w:r w:rsidR="00AF054B" w:rsidRPr="00912E8A">
        <w:rPr>
          <w:rFonts w:ascii="宋体" w:eastAsia="宋体" w:hAnsi="宋体" w:cs="Times New Roman" w:hint="eastAsia"/>
          <w:bCs/>
          <w:sz w:val="24"/>
        </w:rPr>
        <w:t>基金</w:t>
      </w:r>
      <w:r w:rsidR="00A23E2C">
        <w:rPr>
          <w:rFonts w:ascii="宋体" w:eastAsia="宋体" w:hAnsi="宋体" w:cs="Times New Roman" w:hint="eastAsia"/>
          <w:bCs/>
          <w:sz w:val="24"/>
        </w:rPr>
        <w:t>主</w:t>
      </w:r>
      <w:r w:rsidR="00AF054B" w:rsidRPr="00912E8A">
        <w:rPr>
          <w:rFonts w:ascii="宋体" w:eastAsia="宋体" w:hAnsi="宋体" w:cs="Times New Roman" w:hint="eastAsia"/>
          <w:bCs/>
          <w:sz w:val="24"/>
        </w:rPr>
        <w:t>代码：</w:t>
      </w:r>
      <w:r w:rsidR="00A23E2C" w:rsidRPr="00A23E2C">
        <w:rPr>
          <w:rFonts w:ascii="宋体" w:hAnsi="宋体"/>
          <w:color w:val="000000"/>
          <w:sz w:val="24"/>
        </w:rPr>
        <w:t>000274</w:t>
      </w:r>
      <w:r w:rsidR="000B2FE4">
        <w:rPr>
          <w:rFonts w:ascii="宋体" w:eastAsia="宋体" w:hAnsi="宋体" w:cs="Times New Roman" w:hint="eastAsia"/>
          <w:bCs/>
          <w:sz w:val="24"/>
        </w:rPr>
        <w:t>，</w:t>
      </w:r>
      <w:r w:rsidR="006F7D8A" w:rsidRPr="00912E8A">
        <w:rPr>
          <w:rFonts w:ascii="宋体" w:eastAsia="宋体" w:hAnsi="宋体" w:cs="Times New Roman" w:hint="eastAsia"/>
          <w:bCs/>
          <w:sz w:val="24"/>
        </w:rPr>
        <w:t>以下简称“本基金”）</w:t>
      </w:r>
      <w:r w:rsidR="00A23E2C" w:rsidRPr="00A23E2C">
        <w:rPr>
          <w:rFonts w:ascii="宋体" w:eastAsia="宋体" w:hAnsi="宋体" w:cs="Times New Roman" w:hint="eastAsia"/>
          <w:bCs/>
          <w:sz w:val="24"/>
        </w:rPr>
        <w:t>于2013年7月5日经中国证监会证监许可〔2013〕875</w:t>
      </w:r>
      <w:r w:rsidR="00A23E2C">
        <w:rPr>
          <w:rFonts w:ascii="宋体" w:eastAsia="宋体" w:hAnsi="宋体" w:cs="Times New Roman" w:hint="eastAsia"/>
          <w:bCs/>
          <w:sz w:val="24"/>
        </w:rPr>
        <w:t>号文核准，并于</w:t>
      </w:r>
      <w:r w:rsidR="00A23E2C" w:rsidRPr="00A23E2C">
        <w:rPr>
          <w:rFonts w:ascii="宋体" w:eastAsia="宋体" w:hAnsi="宋体" w:cs="Times New Roman" w:hint="eastAsia"/>
          <w:bCs/>
          <w:sz w:val="24"/>
        </w:rPr>
        <w:t>2013年11月28日成立运作</w:t>
      </w:r>
      <w:r w:rsidR="00463471" w:rsidRPr="00463471">
        <w:rPr>
          <w:rFonts w:ascii="宋体" w:eastAsia="宋体" w:hAnsi="宋体" w:cs="Times New Roman" w:hint="eastAsia"/>
          <w:bCs/>
          <w:sz w:val="24"/>
        </w:rPr>
        <w:t>。</w:t>
      </w:r>
      <w:r w:rsidR="00500AFB" w:rsidRPr="00500AFB">
        <w:rPr>
          <w:rFonts w:ascii="宋体" w:eastAsia="宋体" w:hAnsi="宋体" w:cs="Times New Roman" w:hint="eastAsia"/>
          <w:bCs/>
          <w:sz w:val="24"/>
        </w:rPr>
        <w:t>本基金的基金管理人为广发基金管理有限公司（以下简称“本基金管理人”或“本公司”），基金托管人为</w:t>
      </w:r>
      <w:r w:rsidR="00A23E2C" w:rsidRPr="00A23E2C">
        <w:rPr>
          <w:rFonts w:ascii="宋体" w:eastAsia="宋体" w:hAnsi="宋体" w:cs="Times New Roman" w:hint="eastAsia"/>
          <w:bCs/>
          <w:sz w:val="24"/>
        </w:rPr>
        <w:t>中国工商银行股份有限公司</w:t>
      </w:r>
      <w:r w:rsidR="00500AFB" w:rsidRPr="00500AFB">
        <w:rPr>
          <w:rFonts w:ascii="宋体" w:eastAsia="宋体" w:hAnsi="宋体" w:cs="Times New Roman" w:hint="eastAsia"/>
          <w:bCs/>
          <w:sz w:val="24"/>
        </w:rPr>
        <w:t>（以下简称“基金托管人”）。</w:t>
      </w:r>
    </w:p>
    <w:p w:rsidR="00014145" w:rsidRPr="00912E8A" w:rsidRDefault="009B740C" w:rsidP="001E5AA1">
      <w:pPr>
        <w:tabs>
          <w:tab w:val="left" w:pos="723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</w:rPr>
      </w:pPr>
      <w:r w:rsidRPr="009B740C">
        <w:rPr>
          <w:rFonts w:ascii="宋体" w:eastAsia="宋体" w:hAnsi="宋体" w:cs="Times New Roman" w:hint="eastAsia"/>
          <w:bCs/>
          <w:sz w:val="24"/>
        </w:rPr>
        <w:t>为了更好地满足投资者需求，</w:t>
      </w:r>
      <w:r w:rsidR="00FF3526" w:rsidRPr="00912E8A">
        <w:rPr>
          <w:rFonts w:ascii="宋体" w:eastAsia="宋体" w:hAnsi="宋体" w:cs="Times New Roman" w:hint="eastAsia"/>
          <w:bCs/>
          <w:sz w:val="24"/>
        </w:rPr>
        <w:t>经与基金托管人协商一致，</w:t>
      </w:r>
      <w:r w:rsidR="00FF2D8F">
        <w:rPr>
          <w:rFonts w:ascii="宋体" w:eastAsia="宋体" w:hAnsi="宋体" w:cs="Times New Roman" w:hint="eastAsia"/>
          <w:bCs/>
          <w:sz w:val="24"/>
        </w:rPr>
        <w:t>本公司</w:t>
      </w:r>
      <w:r w:rsidRPr="009B740C">
        <w:rPr>
          <w:rFonts w:ascii="宋体" w:eastAsia="宋体" w:hAnsi="宋体" w:cs="Times New Roman" w:hint="eastAsia"/>
          <w:bCs/>
          <w:sz w:val="24"/>
        </w:rPr>
        <w:t>决定自</w:t>
      </w:r>
      <w:r w:rsidR="0065404B">
        <w:rPr>
          <w:rFonts w:ascii="宋体" w:eastAsia="宋体" w:hAnsi="宋体" w:cs="Times New Roman" w:hint="eastAsia"/>
          <w:bCs/>
          <w:sz w:val="24"/>
        </w:rPr>
        <w:t>2023年1月10日</w:t>
      </w:r>
      <w:r w:rsidRPr="009B740C">
        <w:rPr>
          <w:rFonts w:ascii="宋体" w:eastAsia="宋体" w:hAnsi="宋体" w:cs="Times New Roman" w:hint="eastAsia"/>
          <w:bCs/>
          <w:sz w:val="24"/>
        </w:rPr>
        <w:t>起</w:t>
      </w:r>
      <w:r w:rsidR="00FF3526" w:rsidRPr="00912E8A">
        <w:rPr>
          <w:rFonts w:ascii="宋体" w:eastAsia="宋体" w:hAnsi="宋体" w:cs="Times New Roman" w:hint="eastAsia"/>
          <w:bCs/>
          <w:sz w:val="24"/>
        </w:rPr>
        <w:t>降低</w:t>
      </w:r>
      <w:r w:rsidR="003A2D1D">
        <w:rPr>
          <w:rFonts w:ascii="宋体" w:eastAsia="宋体" w:hAnsi="宋体" w:cs="Times New Roman" w:hint="eastAsia"/>
          <w:bCs/>
          <w:sz w:val="24"/>
        </w:rPr>
        <w:t>本基金</w:t>
      </w:r>
      <w:r w:rsidR="00FF3526" w:rsidRPr="00912E8A">
        <w:rPr>
          <w:rFonts w:ascii="宋体" w:eastAsia="宋体" w:hAnsi="宋体" w:cs="Times New Roman"/>
          <w:bCs/>
          <w:sz w:val="24"/>
        </w:rPr>
        <w:t>的</w:t>
      </w:r>
      <w:r w:rsidR="00B67B1D">
        <w:rPr>
          <w:rFonts w:ascii="宋体" w:eastAsia="宋体" w:hAnsi="宋体" w:cs="Times New Roman" w:hint="eastAsia"/>
          <w:bCs/>
          <w:sz w:val="24"/>
        </w:rPr>
        <w:t>托管</w:t>
      </w:r>
      <w:r w:rsidR="00FF3526" w:rsidRPr="00912E8A">
        <w:rPr>
          <w:rFonts w:ascii="宋体" w:eastAsia="宋体" w:hAnsi="宋体" w:cs="Times New Roman" w:hint="eastAsia"/>
          <w:bCs/>
          <w:sz w:val="24"/>
        </w:rPr>
        <w:t>费率</w:t>
      </w:r>
      <w:r w:rsidR="008F775D">
        <w:rPr>
          <w:rFonts w:ascii="宋体" w:eastAsia="宋体" w:hAnsi="宋体" w:cs="Times New Roman" w:hint="eastAsia"/>
          <w:bCs/>
          <w:sz w:val="24"/>
        </w:rPr>
        <w:t>，</w:t>
      </w:r>
      <w:r w:rsidR="00FF3526" w:rsidRPr="00912E8A">
        <w:rPr>
          <w:rFonts w:ascii="宋体" w:eastAsia="宋体" w:hAnsi="宋体" w:cs="Times New Roman" w:hint="eastAsia"/>
          <w:bCs/>
          <w:sz w:val="24"/>
        </w:rPr>
        <w:t>并相应</w:t>
      </w:r>
      <w:r w:rsidR="000054AD">
        <w:rPr>
          <w:rFonts w:ascii="宋体" w:eastAsia="宋体" w:hAnsi="宋体" w:cs="Times New Roman" w:hint="eastAsia"/>
          <w:bCs/>
          <w:sz w:val="24"/>
        </w:rPr>
        <w:t>修订</w:t>
      </w:r>
      <w:r w:rsidR="00CD7197">
        <w:rPr>
          <w:rFonts w:ascii="宋体" w:eastAsia="宋体" w:hAnsi="宋体" w:cs="Times New Roman" w:hint="eastAsia"/>
          <w:bCs/>
          <w:sz w:val="24"/>
        </w:rPr>
        <w:t>《</w:t>
      </w:r>
      <w:r w:rsidR="004B7ED1">
        <w:rPr>
          <w:rFonts w:ascii="宋体" w:eastAsia="宋体" w:hAnsi="宋体" w:cs="Times New Roman" w:hint="eastAsia"/>
          <w:bCs/>
          <w:sz w:val="24"/>
        </w:rPr>
        <w:t>广发亚太中高收益债券型证券投资基金</w:t>
      </w:r>
      <w:r w:rsidR="00CD7197">
        <w:rPr>
          <w:rFonts w:ascii="宋体" w:eastAsia="宋体" w:hAnsi="宋体" w:cs="Times New Roman" w:hint="eastAsia"/>
          <w:bCs/>
          <w:sz w:val="24"/>
        </w:rPr>
        <w:t>基金合同》（以下简称《基金合同》）</w:t>
      </w:r>
      <w:r>
        <w:rPr>
          <w:rFonts w:ascii="宋体" w:eastAsia="宋体" w:hAnsi="宋体" w:cs="Times New Roman" w:hint="eastAsia"/>
          <w:bCs/>
          <w:sz w:val="24"/>
        </w:rPr>
        <w:t>等法律文件</w:t>
      </w:r>
      <w:r w:rsidR="00FF3526" w:rsidRPr="00912E8A">
        <w:rPr>
          <w:rFonts w:ascii="宋体" w:eastAsia="宋体" w:hAnsi="宋体" w:cs="Times New Roman" w:hint="eastAsia"/>
          <w:bCs/>
          <w:sz w:val="24"/>
        </w:rPr>
        <w:t>。</w:t>
      </w:r>
    </w:p>
    <w:p w:rsidR="00FF3526" w:rsidRPr="00912E8A" w:rsidRDefault="00FF3526" w:rsidP="001E5AA1">
      <w:pPr>
        <w:tabs>
          <w:tab w:val="left" w:pos="723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</w:rPr>
      </w:pPr>
    </w:p>
    <w:p w:rsidR="00FF3526" w:rsidRPr="00912E8A" w:rsidRDefault="00FF3526" w:rsidP="00FF3526">
      <w:pPr>
        <w:spacing w:line="360" w:lineRule="auto"/>
        <w:ind w:firstLineChars="177" w:firstLine="426"/>
        <w:rPr>
          <w:rFonts w:ascii="宋体" w:eastAsia="宋体" w:hAnsi="宋体"/>
          <w:b/>
          <w:sz w:val="24"/>
          <w:szCs w:val="24"/>
        </w:rPr>
      </w:pPr>
      <w:r w:rsidRPr="00912E8A">
        <w:rPr>
          <w:rFonts w:ascii="宋体" w:eastAsia="宋体" w:hAnsi="宋体" w:hint="eastAsia"/>
          <w:b/>
          <w:sz w:val="24"/>
          <w:szCs w:val="24"/>
        </w:rPr>
        <w:t>一、</w:t>
      </w:r>
      <w:r w:rsidR="003A2D1D">
        <w:rPr>
          <w:rFonts w:ascii="宋体" w:eastAsia="宋体" w:hAnsi="宋体" w:hint="eastAsia"/>
          <w:b/>
          <w:sz w:val="24"/>
          <w:szCs w:val="24"/>
        </w:rPr>
        <w:t>本基金</w:t>
      </w:r>
      <w:r w:rsidR="006F7D8A" w:rsidRPr="00912E8A">
        <w:rPr>
          <w:rFonts w:ascii="宋体" w:eastAsia="宋体" w:hAnsi="宋体" w:hint="eastAsia"/>
          <w:b/>
          <w:sz w:val="24"/>
          <w:szCs w:val="24"/>
        </w:rPr>
        <w:t>托管费率的变更</w:t>
      </w:r>
      <w:r w:rsidR="00014ADC">
        <w:rPr>
          <w:rFonts w:ascii="宋体" w:eastAsia="宋体" w:hAnsi="宋体" w:hint="eastAsia"/>
          <w:b/>
          <w:sz w:val="24"/>
          <w:szCs w:val="24"/>
        </w:rPr>
        <w:t>方案</w:t>
      </w:r>
    </w:p>
    <w:p w:rsidR="00735BF8" w:rsidRDefault="00B67B1D" w:rsidP="00ED78BB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B67B1D">
        <w:rPr>
          <w:rFonts w:ascii="宋体" w:eastAsia="宋体" w:hAnsi="宋体" w:hint="eastAsia"/>
          <w:sz w:val="24"/>
          <w:szCs w:val="24"/>
        </w:rPr>
        <w:t>自</w:t>
      </w:r>
      <w:r w:rsidR="0065404B">
        <w:rPr>
          <w:rFonts w:ascii="宋体" w:eastAsia="宋体" w:hAnsi="宋体" w:hint="eastAsia"/>
          <w:sz w:val="24"/>
          <w:szCs w:val="24"/>
        </w:rPr>
        <w:t>2023年1月10日</w:t>
      </w:r>
      <w:r w:rsidRPr="00B67B1D">
        <w:rPr>
          <w:rFonts w:ascii="宋体" w:eastAsia="宋体" w:hAnsi="宋体" w:hint="eastAsia"/>
          <w:sz w:val="24"/>
          <w:szCs w:val="24"/>
        </w:rPr>
        <w:t>起</w:t>
      </w:r>
      <w:r>
        <w:rPr>
          <w:rFonts w:ascii="宋体" w:eastAsia="宋体" w:hAnsi="宋体" w:hint="eastAsia"/>
          <w:sz w:val="24"/>
          <w:szCs w:val="24"/>
        </w:rPr>
        <w:t>本基金托管费</w:t>
      </w:r>
      <w:r w:rsidR="00E62231">
        <w:rPr>
          <w:rFonts w:ascii="宋体" w:eastAsia="宋体" w:hAnsi="宋体" w:hint="eastAsia"/>
          <w:sz w:val="24"/>
          <w:szCs w:val="24"/>
        </w:rPr>
        <w:t>年费率</w:t>
      </w:r>
      <w:r w:rsidR="00E62231" w:rsidRPr="00E62231">
        <w:rPr>
          <w:rFonts w:ascii="宋体" w:eastAsia="宋体" w:hAnsi="宋体" w:hint="eastAsia"/>
          <w:sz w:val="24"/>
          <w:szCs w:val="24"/>
        </w:rPr>
        <w:t>由</w:t>
      </w:r>
      <w:r w:rsidR="00A23E2C" w:rsidRPr="00A23E2C">
        <w:rPr>
          <w:rFonts w:ascii="宋体" w:eastAsia="宋体" w:hAnsi="宋体"/>
          <w:sz w:val="24"/>
          <w:szCs w:val="24"/>
        </w:rPr>
        <w:t>0.25%</w:t>
      </w:r>
      <w:r w:rsidR="00ED78BB">
        <w:rPr>
          <w:rFonts w:ascii="宋体" w:eastAsia="宋体" w:hAnsi="宋体" w:hint="eastAsia"/>
          <w:sz w:val="24"/>
          <w:szCs w:val="24"/>
        </w:rPr>
        <w:t>降低</w:t>
      </w:r>
      <w:r w:rsidR="00E62231" w:rsidRPr="00E62231">
        <w:rPr>
          <w:rFonts w:ascii="宋体" w:eastAsia="宋体" w:hAnsi="宋体" w:hint="eastAsia"/>
          <w:sz w:val="24"/>
          <w:szCs w:val="24"/>
        </w:rPr>
        <w:t>为</w:t>
      </w:r>
      <w:r w:rsidR="00A23E2C" w:rsidRPr="00A23E2C">
        <w:rPr>
          <w:rFonts w:ascii="宋体" w:eastAsia="宋体" w:hAnsi="宋体"/>
          <w:sz w:val="24"/>
          <w:szCs w:val="24"/>
        </w:rPr>
        <w:t>0.15%</w:t>
      </w:r>
      <w:r w:rsidR="00E62231">
        <w:rPr>
          <w:rFonts w:ascii="宋体" w:eastAsia="宋体" w:hAnsi="宋体" w:hint="eastAsia"/>
          <w:sz w:val="24"/>
          <w:szCs w:val="24"/>
        </w:rPr>
        <w:t>。</w:t>
      </w:r>
      <w:r w:rsidR="00ED78BB" w:rsidRPr="00ED78BB">
        <w:rPr>
          <w:rFonts w:ascii="宋体" w:eastAsia="宋体" w:hAnsi="宋体" w:hint="eastAsia"/>
          <w:sz w:val="24"/>
          <w:szCs w:val="24"/>
        </w:rPr>
        <w:t>基金费用具体的计提方法、计提标准和支付方式详见《基金合同》等法律文件。</w:t>
      </w:r>
    </w:p>
    <w:p w:rsidR="00ED78BB" w:rsidRPr="00912E8A" w:rsidRDefault="00ED78BB" w:rsidP="00FF3526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</w:p>
    <w:p w:rsidR="00FF3526" w:rsidRPr="00912E8A" w:rsidRDefault="006F7D8A" w:rsidP="00FF3526">
      <w:pPr>
        <w:spacing w:line="360" w:lineRule="auto"/>
        <w:ind w:firstLineChars="177" w:firstLine="426"/>
        <w:rPr>
          <w:rFonts w:ascii="宋体" w:eastAsia="宋体" w:hAnsi="宋体"/>
          <w:b/>
          <w:sz w:val="24"/>
          <w:szCs w:val="24"/>
        </w:rPr>
      </w:pPr>
      <w:r w:rsidRPr="00912E8A">
        <w:rPr>
          <w:rFonts w:ascii="宋体" w:eastAsia="宋体" w:hAnsi="宋体" w:hint="eastAsia"/>
          <w:b/>
          <w:sz w:val="24"/>
          <w:szCs w:val="24"/>
        </w:rPr>
        <w:t>二</w:t>
      </w:r>
      <w:r w:rsidR="00FF3526" w:rsidRPr="00912E8A">
        <w:rPr>
          <w:rFonts w:ascii="宋体" w:eastAsia="宋体" w:hAnsi="宋体"/>
          <w:b/>
          <w:sz w:val="24"/>
          <w:szCs w:val="24"/>
        </w:rPr>
        <w:t>、</w:t>
      </w:r>
      <w:r w:rsidR="003F40B7" w:rsidRPr="003F40B7">
        <w:rPr>
          <w:rFonts w:ascii="宋体" w:eastAsia="宋体" w:hAnsi="宋体" w:hint="eastAsia"/>
          <w:b/>
          <w:sz w:val="24"/>
          <w:szCs w:val="24"/>
        </w:rPr>
        <w:t>关于本基金修订法律文件的说明</w:t>
      </w:r>
    </w:p>
    <w:p w:rsidR="006860D6" w:rsidRDefault="003F40B7" w:rsidP="00940B34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3F40B7">
        <w:rPr>
          <w:rFonts w:ascii="宋体" w:eastAsia="宋体" w:hAnsi="宋体" w:hint="eastAsia"/>
          <w:sz w:val="24"/>
          <w:szCs w:val="24"/>
        </w:rPr>
        <w:t>本公司经与基金托管人协商一致，对上述相关内容进行修改，并相应</w:t>
      </w:r>
      <w:r w:rsidR="00021AA4">
        <w:rPr>
          <w:rFonts w:ascii="宋体" w:eastAsia="宋体" w:hAnsi="宋体" w:hint="eastAsia"/>
          <w:sz w:val="24"/>
          <w:szCs w:val="24"/>
        </w:rPr>
        <w:t>修订</w:t>
      </w:r>
      <w:r w:rsidR="00021AA4" w:rsidRPr="00021AA4">
        <w:rPr>
          <w:rFonts w:ascii="宋体" w:eastAsia="宋体" w:hAnsi="宋体" w:hint="eastAsia"/>
          <w:sz w:val="24"/>
          <w:szCs w:val="24"/>
        </w:rPr>
        <w:t>《基金合同》</w:t>
      </w:r>
      <w:r w:rsidR="000F1C6E">
        <w:rPr>
          <w:rFonts w:ascii="宋体" w:eastAsia="宋体" w:hAnsi="宋体" w:hint="eastAsia"/>
          <w:sz w:val="24"/>
          <w:szCs w:val="24"/>
        </w:rPr>
        <w:t>等法律文件。上述修改事项已向中国证监会履行备案手续</w:t>
      </w:r>
      <w:r w:rsidR="00FD1FAE">
        <w:rPr>
          <w:rFonts w:ascii="宋体" w:eastAsia="宋体" w:hAnsi="宋体" w:hint="eastAsia"/>
          <w:sz w:val="24"/>
          <w:szCs w:val="24"/>
        </w:rPr>
        <w:t>，</w:t>
      </w:r>
      <w:r w:rsidR="00FD1FAE">
        <w:rPr>
          <w:rFonts w:asciiTheme="minorEastAsia" w:hAnsiTheme="minorEastAsia" w:cs="宋体" w:hint="eastAsia"/>
          <w:kern w:val="0"/>
          <w:sz w:val="24"/>
          <w:szCs w:val="24"/>
        </w:rPr>
        <w:t>根据《基金合同》的规定无需召开基金份额持有人大会</w:t>
      </w:r>
      <w:r w:rsidR="000F1C6E">
        <w:rPr>
          <w:rFonts w:ascii="宋体" w:eastAsia="宋体" w:hAnsi="宋体" w:hint="eastAsia"/>
          <w:sz w:val="24"/>
          <w:szCs w:val="24"/>
        </w:rPr>
        <w:t>。</w:t>
      </w:r>
      <w:r w:rsidRPr="003F40B7">
        <w:rPr>
          <w:rFonts w:ascii="宋体" w:eastAsia="宋体" w:hAnsi="宋体" w:hint="eastAsia"/>
          <w:sz w:val="24"/>
          <w:szCs w:val="24"/>
        </w:rPr>
        <w:t>修订后的基金合同、托管协议于公告当日在本公司网站上公布，并依照《公开募集证券投资基金信息披露管理办法》的有关规定在规定媒介上公告。</w:t>
      </w:r>
      <w:r w:rsidR="000F1C6E" w:rsidRPr="003F40B7">
        <w:rPr>
          <w:rFonts w:ascii="宋体" w:eastAsia="宋体" w:hAnsi="宋体" w:hint="eastAsia"/>
          <w:sz w:val="24"/>
          <w:szCs w:val="24"/>
        </w:rPr>
        <w:t>修订后的基金合同、托管协议自</w:t>
      </w:r>
      <w:r w:rsidR="0065404B">
        <w:rPr>
          <w:rFonts w:ascii="宋体" w:eastAsia="宋体" w:hAnsi="宋体" w:hint="eastAsia"/>
          <w:sz w:val="24"/>
          <w:szCs w:val="24"/>
        </w:rPr>
        <w:t>2023年1月10日</w:t>
      </w:r>
      <w:r w:rsidR="000F1C6E" w:rsidRPr="003F40B7">
        <w:rPr>
          <w:rFonts w:ascii="宋体" w:eastAsia="宋体" w:hAnsi="宋体" w:hint="eastAsia"/>
          <w:sz w:val="24"/>
          <w:szCs w:val="24"/>
        </w:rPr>
        <w:t>起生效。</w:t>
      </w:r>
      <w:r w:rsidRPr="003F40B7">
        <w:rPr>
          <w:rFonts w:ascii="宋体" w:eastAsia="宋体" w:hAnsi="宋体" w:hint="eastAsia"/>
          <w:sz w:val="24"/>
          <w:szCs w:val="24"/>
        </w:rPr>
        <w:t>修订内容详见附件的《</w:t>
      </w:r>
      <w:r w:rsidR="004B7ED1">
        <w:rPr>
          <w:rFonts w:ascii="宋体" w:eastAsia="宋体" w:hAnsi="宋体" w:hint="eastAsia"/>
          <w:sz w:val="24"/>
          <w:szCs w:val="24"/>
        </w:rPr>
        <w:t>广发亚太中高收益债券型证券投资基金</w:t>
      </w:r>
      <w:r w:rsidR="00045245" w:rsidRPr="00045245">
        <w:rPr>
          <w:rFonts w:ascii="宋体" w:eastAsia="宋体" w:hAnsi="宋体" w:hint="eastAsia"/>
          <w:sz w:val="24"/>
          <w:szCs w:val="24"/>
        </w:rPr>
        <w:t>基金合同</w:t>
      </w:r>
      <w:r w:rsidRPr="003F40B7">
        <w:rPr>
          <w:rFonts w:ascii="宋体" w:eastAsia="宋体" w:hAnsi="宋体" w:hint="eastAsia"/>
          <w:sz w:val="24"/>
          <w:szCs w:val="24"/>
        </w:rPr>
        <w:t>》修订对照表。</w:t>
      </w:r>
    </w:p>
    <w:p w:rsidR="00940B34" w:rsidRDefault="00940B34" w:rsidP="00940B34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940B34">
        <w:rPr>
          <w:rFonts w:ascii="宋体" w:eastAsia="宋体" w:hAnsi="宋体" w:hint="eastAsia"/>
          <w:sz w:val="24"/>
          <w:szCs w:val="24"/>
        </w:rPr>
        <w:t>本公司将</w:t>
      </w:r>
      <w:r w:rsidR="002479D3">
        <w:rPr>
          <w:rFonts w:ascii="宋体" w:eastAsia="宋体" w:hAnsi="宋体" w:hint="eastAsia"/>
          <w:sz w:val="24"/>
          <w:szCs w:val="24"/>
        </w:rPr>
        <w:t>相应</w:t>
      </w:r>
      <w:r w:rsidRPr="00940B34">
        <w:rPr>
          <w:rFonts w:ascii="宋体" w:eastAsia="宋体" w:hAnsi="宋体" w:hint="eastAsia"/>
          <w:sz w:val="24"/>
          <w:szCs w:val="24"/>
        </w:rPr>
        <w:t>更新本基金招募说明书</w:t>
      </w:r>
      <w:r w:rsidR="004C6028">
        <w:rPr>
          <w:rFonts w:ascii="宋体" w:eastAsia="宋体" w:hAnsi="宋体" w:hint="eastAsia"/>
          <w:sz w:val="24"/>
          <w:szCs w:val="24"/>
        </w:rPr>
        <w:t>和</w:t>
      </w:r>
      <w:r w:rsidRPr="00940B34">
        <w:rPr>
          <w:rFonts w:ascii="宋体" w:eastAsia="宋体" w:hAnsi="宋体" w:hint="eastAsia"/>
          <w:sz w:val="24"/>
          <w:szCs w:val="24"/>
        </w:rPr>
        <w:t>基金产品资料概要</w:t>
      </w:r>
      <w:r w:rsidR="002479D3">
        <w:rPr>
          <w:rFonts w:ascii="宋体" w:eastAsia="宋体" w:hAnsi="宋体" w:hint="eastAsia"/>
          <w:sz w:val="24"/>
          <w:szCs w:val="24"/>
        </w:rPr>
        <w:t>，</w:t>
      </w:r>
      <w:r w:rsidR="002479D3" w:rsidRPr="003F40B7">
        <w:rPr>
          <w:rFonts w:ascii="宋体" w:eastAsia="宋体" w:hAnsi="宋体" w:hint="eastAsia"/>
          <w:sz w:val="24"/>
          <w:szCs w:val="24"/>
        </w:rPr>
        <w:t>并依照《公开募集证券投资基金信息披露管理办法》的有关规定在规定媒介上公告。</w:t>
      </w:r>
    </w:p>
    <w:p w:rsidR="005151C6" w:rsidRDefault="005151C6" w:rsidP="00940B34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</w:p>
    <w:p w:rsidR="005151C6" w:rsidRPr="00414277" w:rsidRDefault="005151C6" w:rsidP="005151C6">
      <w:pPr>
        <w:widowControl/>
        <w:spacing w:beforeLines="50" w:before="156" w:afterLines="50" w:after="156" w:line="360" w:lineRule="auto"/>
        <w:ind w:firstLine="42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lastRenderedPageBreak/>
        <w:t>三</w:t>
      </w:r>
      <w:r w:rsidRPr="00414277">
        <w:rPr>
          <w:rFonts w:asciiTheme="minorEastAsia" w:hAnsiTheme="minorEastAsia" w:cs="宋体" w:hint="eastAsia"/>
          <w:b/>
          <w:kern w:val="0"/>
          <w:sz w:val="24"/>
          <w:szCs w:val="24"/>
        </w:rPr>
        <w:t>、重要提示</w:t>
      </w:r>
    </w:p>
    <w:p w:rsidR="005151C6" w:rsidRPr="0016662A" w:rsidRDefault="005151C6" w:rsidP="0016662A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16662A">
        <w:rPr>
          <w:rFonts w:ascii="宋体" w:eastAsia="宋体" w:hAnsi="宋体" w:hint="eastAsia"/>
          <w:sz w:val="24"/>
          <w:szCs w:val="24"/>
        </w:rPr>
        <w:t>1.本公告仅对本基金本次调整托管费率相关事项予以说明。投资者欲了解本基金详细信息，请仔细阅读本基金的基金合同、招募说明书（更新）和基金产品资料概要（更新）等法律文件。</w:t>
      </w:r>
    </w:p>
    <w:p w:rsidR="005151C6" w:rsidRPr="0016662A" w:rsidRDefault="005151C6" w:rsidP="0016662A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16662A">
        <w:rPr>
          <w:rFonts w:ascii="宋体" w:eastAsia="宋体" w:hAnsi="宋体"/>
          <w:sz w:val="24"/>
          <w:szCs w:val="24"/>
        </w:rPr>
        <w:t>2</w:t>
      </w:r>
      <w:r w:rsidRPr="0016662A">
        <w:rPr>
          <w:rFonts w:ascii="宋体" w:eastAsia="宋体" w:hAnsi="宋体" w:hint="eastAsia"/>
          <w:sz w:val="24"/>
          <w:szCs w:val="24"/>
        </w:rPr>
        <w:t>.投资者可通过以下途径咨询有关详情：</w:t>
      </w:r>
    </w:p>
    <w:p w:rsidR="005151C6" w:rsidRPr="0016662A" w:rsidRDefault="005151C6" w:rsidP="0016662A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16662A">
        <w:rPr>
          <w:rFonts w:ascii="宋体" w:eastAsia="宋体" w:hAnsi="宋体" w:hint="eastAsia"/>
          <w:sz w:val="24"/>
          <w:szCs w:val="24"/>
        </w:rPr>
        <w:t>客户服务电话：95105828或020-83936999</w:t>
      </w:r>
    </w:p>
    <w:p w:rsidR="005151C6" w:rsidRPr="0016662A" w:rsidRDefault="005151C6" w:rsidP="0016662A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16662A">
        <w:rPr>
          <w:rFonts w:ascii="宋体" w:eastAsia="宋体" w:hAnsi="宋体" w:hint="eastAsia"/>
          <w:sz w:val="24"/>
          <w:szCs w:val="24"/>
        </w:rPr>
        <w:t>公司网站：www.gffunds.com.cn</w:t>
      </w:r>
    </w:p>
    <w:p w:rsidR="005151C6" w:rsidRPr="0016662A" w:rsidRDefault="005151C6" w:rsidP="0016662A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</w:p>
    <w:p w:rsidR="005151C6" w:rsidRPr="0016662A" w:rsidRDefault="005151C6" w:rsidP="0016662A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16662A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5151C6" w:rsidRPr="0016662A" w:rsidRDefault="005151C6" w:rsidP="0016662A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16662A">
        <w:rPr>
          <w:rFonts w:ascii="宋体" w:eastAsia="宋体" w:hAnsi="宋体" w:hint="eastAsia"/>
          <w:sz w:val="24"/>
          <w:szCs w:val="24"/>
        </w:rPr>
        <w:t>特此公告。</w:t>
      </w:r>
    </w:p>
    <w:p w:rsidR="00FF3526" w:rsidRPr="00912E8A" w:rsidRDefault="00FF3526" w:rsidP="0016662A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</w:p>
    <w:p w:rsidR="00492A57" w:rsidRPr="0016662A" w:rsidRDefault="00492A57" w:rsidP="002939D1">
      <w:pPr>
        <w:spacing w:line="360" w:lineRule="auto"/>
        <w:ind w:firstLineChars="177" w:firstLine="425"/>
        <w:jc w:val="right"/>
        <w:rPr>
          <w:rFonts w:ascii="宋体" w:eastAsia="宋体" w:hAnsi="宋体"/>
          <w:sz w:val="24"/>
          <w:szCs w:val="24"/>
        </w:rPr>
      </w:pPr>
      <w:r w:rsidRPr="0016662A">
        <w:rPr>
          <w:rFonts w:ascii="宋体" w:eastAsia="宋体" w:hAnsi="宋体" w:hint="eastAsia"/>
          <w:sz w:val="24"/>
          <w:szCs w:val="24"/>
        </w:rPr>
        <w:t>广发基金管理有限公司</w:t>
      </w:r>
    </w:p>
    <w:p w:rsidR="00492A57" w:rsidRPr="0016662A" w:rsidRDefault="00A23E2C" w:rsidP="002939D1">
      <w:pPr>
        <w:spacing w:line="360" w:lineRule="auto"/>
        <w:ind w:firstLineChars="177" w:firstLine="425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2023</w:t>
      </w:r>
      <w:r w:rsidR="00492A57" w:rsidRPr="0016662A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492A57" w:rsidRPr="0016662A">
        <w:rPr>
          <w:rFonts w:ascii="宋体" w:eastAsia="宋体" w:hAnsi="宋体" w:hint="eastAsia"/>
          <w:sz w:val="24"/>
          <w:szCs w:val="24"/>
        </w:rPr>
        <w:t>月</w:t>
      </w:r>
      <w:r w:rsidR="0065404B">
        <w:rPr>
          <w:rFonts w:ascii="宋体" w:eastAsia="宋体" w:hAnsi="宋体"/>
          <w:sz w:val="24"/>
          <w:szCs w:val="24"/>
        </w:rPr>
        <w:t>9</w:t>
      </w:r>
      <w:r w:rsidR="00492A57" w:rsidRPr="0016662A">
        <w:rPr>
          <w:rFonts w:ascii="宋体" w:eastAsia="宋体" w:hAnsi="宋体" w:hint="eastAsia"/>
          <w:sz w:val="24"/>
          <w:szCs w:val="24"/>
        </w:rPr>
        <w:t>日</w:t>
      </w:r>
    </w:p>
    <w:p w:rsidR="00EC7CCC" w:rsidRPr="0016662A" w:rsidRDefault="00EC7CCC" w:rsidP="0016662A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</w:p>
    <w:p w:rsidR="006860D6" w:rsidRPr="00912E8A" w:rsidRDefault="006860D6" w:rsidP="00B821F5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="宋体" w:eastAsia="宋体" w:hAnsi="宋体" w:cs="Times New Roman"/>
          <w:bCs/>
          <w:sz w:val="24"/>
        </w:rPr>
      </w:pPr>
      <w:r w:rsidRPr="00912E8A">
        <w:rPr>
          <w:rFonts w:ascii="宋体" w:eastAsia="宋体" w:hAnsi="宋体" w:cs="Times New Roman"/>
          <w:bCs/>
          <w:sz w:val="24"/>
        </w:rPr>
        <w:br w:type="page"/>
      </w:r>
    </w:p>
    <w:p w:rsidR="006860D6" w:rsidRPr="0088469B" w:rsidRDefault="00735BF8" w:rsidP="0088469B">
      <w:pPr>
        <w:rPr>
          <w:rFonts w:ascii="宋体" w:eastAsia="宋体" w:hAnsi="宋体"/>
          <w:b/>
          <w:sz w:val="24"/>
          <w:szCs w:val="24"/>
        </w:rPr>
      </w:pPr>
      <w:r w:rsidRPr="0088469B">
        <w:rPr>
          <w:rFonts w:ascii="宋体" w:eastAsia="宋体" w:hAnsi="宋体" w:hint="eastAsia"/>
          <w:b/>
          <w:sz w:val="24"/>
          <w:szCs w:val="24"/>
        </w:rPr>
        <w:lastRenderedPageBreak/>
        <w:t>附件：</w:t>
      </w:r>
      <w:r w:rsidR="001C615F">
        <w:rPr>
          <w:rFonts w:ascii="宋体" w:eastAsia="宋体" w:hAnsi="宋体" w:hint="eastAsia"/>
          <w:b/>
          <w:sz w:val="24"/>
          <w:szCs w:val="24"/>
        </w:rPr>
        <w:t>《</w:t>
      </w:r>
      <w:r w:rsidR="004B7ED1">
        <w:rPr>
          <w:rFonts w:ascii="宋体" w:eastAsia="宋体" w:hAnsi="宋体" w:hint="eastAsia"/>
          <w:b/>
          <w:sz w:val="24"/>
          <w:szCs w:val="24"/>
        </w:rPr>
        <w:t>广发亚太中高收益债券型证券投资基金</w:t>
      </w:r>
      <w:r w:rsidR="001C615F" w:rsidRPr="0088469B">
        <w:rPr>
          <w:rFonts w:ascii="宋体" w:eastAsia="宋体" w:hAnsi="宋体" w:hint="eastAsia"/>
          <w:b/>
          <w:sz w:val="24"/>
          <w:szCs w:val="24"/>
        </w:rPr>
        <w:t>基金合同</w:t>
      </w:r>
      <w:r w:rsidR="001C615F">
        <w:rPr>
          <w:rFonts w:ascii="宋体" w:eastAsia="宋体" w:hAnsi="宋体" w:hint="eastAsia"/>
          <w:b/>
          <w:sz w:val="24"/>
          <w:szCs w:val="24"/>
        </w:rPr>
        <w:t>》</w:t>
      </w:r>
      <w:r w:rsidR="006860D6" w:rsidRPr="0088469B">
        <w:rPr>
          <w:rFonts w:ascii="宋体" w:eastAsia="宋体" w:hAnsi="宋体" w:hint="eastAsia"/>
          <w:b/>
          <w:sz w:val="24"/>
          <w:szCs w:val="24"/>
        </w:rPr>
        <w:t>修订对照表</w:t>
      </w:r>
    </w:p>
    <w:p w:rsidR="006860D6" w:rsidRPr="00912E8A" w:rsidRDefault="006860D6" w:rsidP="006860D6">
      <w:pPr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3339"/>
      </w:tblGrid>
      <w:tr w:rsidR="00A23E2C" w:rsidTr="00D659A2">
        <w:tc>
          <w:tcPr>
            <w:tcW w:w="1271" w:type="dxa"/>
          </w:tcPr>
          <w:p w:rsidR="00A23E2C" w:rsidRDefault="00A23E2C" w:rsidP="00D6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章节</w:t>
            </w:r>
          </w:p>
        </w:tc>
        <w:tc>
          <w:tcPr>
            <w:tcW w:w="3686" w:type="dxa"/>
          </w:tcPr>
          <w:p w:rsidR="00A23E2C" w:rsidRDefault="00A23E2C" w:rsidP="00D6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原文</w:t>
            </w:r>
          </w:p>
        </w:tc>
        <w:tc>
          <w:tcPr>
            <w:tcW w:w="3339" w:type="dxa"/>
          </w:tcPr>
          <w:p w:rsidR="00A23E2C" w:rsidRDefault="00A23E2C" w:rsidP="00D659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修订后</w:t>
            </w:r>
          </w:p>
        </w:tc>
      </w:tr>
      <w:tr w:rsidR="00A23E2C" w:rsidTr="00D659A2">
        <w:tc>
          <w:tcPr>
            <w:tcW w:w="1271" w:type="dxa"/>
          </w:tcPr>
          <w:p w:rsidR="00A23E2C" w:rsidRDefault="00A23E2C" w:rsidP="00D659A2">
            <w:pPr>
              <w:jc w:val="center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第七部分</w:t>
            </w:r>
            <w:r w:rsidRPr="00DA6D45">
              <w:rPr>
                <w:rFonts w:hint="eastAsia"/>
                <w:sz w:val="24"/>
                <w:szCs w:val="24"/>
              </w:rPr>
              <w:t xml:space="preserve">  </w:t>
            </w:r>
            <w:r w:rsidRPr="00DA6D45">
              <w:rPr>
                <w:rFonts w:hint="eastAsia"/>
                <w:sz w:val="24"/>
                <w:szCs w:val="24"/>
              </w:rPr>
              <w:t>基金合同当事人及权利义务</w:t>
            </w:r>
          </w:p>
        </w:tc>
        <w:tc>
          <w:tcPr>
            <w:tcW w:w="3686" w:type="dxa"/>
          </w:tcPr>
          <w:p w:rsidR="00A23E2C" w:rsidRPr="00DA6D45" w:rsidRDefault="00A23E2C" w:rsidP="00D659A2">
            <w:pPr>
              <w:jc w:val="left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一、基金管理人</w:t>
            </w:r>
          </w:p>
          <w:p w:rsidR="00A23E2C" w:rsidRPr="00DA6D45" w:rsidRDefault="00A23E2C" w:rsidP="00D659A2">
            <w:pPr>
              <w:jc w:val="left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（一）</w:t>
            </w:r>
            <w:r w:rsidRPr="00DA6D45">
              <w:rPr>
                <w:rFonts w:hint="eastAsia"/>
                <w:sz w:val="24"/>
                <w:szCs w:val="24"/>
              </w:rPr>
              <w:tab/>
            </w:r>
            <w:r w:rsidRPr="00DA6D45">
              <w:rPr>
                <w:rFonts w:hint="eastAsia"/>
                <w:sz w:val="24"/>
                <w:szCs w:val="24"/>
              </w:rPr>
              <w:t>基金管理人简况</w:t>
            </w:r>
          </w:p>
          <w:p w:rsidR="00A23E2C" w:rsidRPr="00DA6D45" w:rsidRDefault="00A23E2C" w:rsidP="00D659A2">
            <w:pPr>
              <w:jc w:val="left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名称：广发基金管理有限公司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  <w:u w:val="single"/>
              </w:rPr>
            </w:pPr>
            <w:r w:rsidRPr="00DA6D45">
              <w:rPr>
                <w:rFonts w:hint="eastAsia"/>
                <w:sz w:val="24"/>
                <w:szCs w:val="24"/>
              </w:rPr>
              <w:t>住所：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广东省珠海市横琴新区宝华路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6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号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105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室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-49848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（集中办公区）</w:t>
            </w:r>
          </w:p>
        </w:tc>
        <w:tc>
          <w:tcPr>
            <w:tcW w:w="3339" w:type="dxa"/>
          </w:tcPr>
          <w:p w:rsidR="00A23E2C" w:rsidRPr="00DA6D45" w:rsidRDefault="00A23E2C" w:rsidP="00D659A2">
            <w:pPr>
              <w:jc w:val="left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一、基金管理人</w:t>
            </w:r>
          </w:p>
          <w:p w:rsidR="00A23E2C" w:rsidRPr="00DA6D45" w:rsidRDefault="00A23E2C" w:rsidP="00D659A2">
            <w:pPr>
              <w:jc w:val="left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（一）</w:t>
            </w:r>
            <w:r w:rsidRPr="00DA6D45">
              <w:rPr>
                <w:rFonts w:hint="eastAsia"/>
                <w:sz w:val="24"/>
                <w:szCs w:val="24"/>
              </w:rPr>
              <w:tab/>
            </w:r>
            <w:r w:rsidRPr="00DA6D45">
              <w:rPr>
                <w:rFonts w:hint="eastAsia"/>
                <w:sz w:val="24"/>
                <w:szCs w:val="24"/>
              </w:rPr>
              <w:t>基金管理人简况</w:t>
            </w:r>
          </w:p>
          <w:p w:rsidR="00A23E2C" w:rsidRPr="00DA6D45" w:rsidRDefault="00A23E2C" w:rsidP="00D659A2">
            <w:pPr>
              <w:jc w:val="left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名称：广发基金管理有限公司</w:t>
            </w:r>
          </w:p>
          <w:p w:rsidR="00A23E2C" w:rsidRDefault="00A23E2C" w:rsidP="00D659A2">
            <w:pPr>
              <w:jc w:val="left"/>
              <w:rPr>
                <w:sz w:val="24"/>
                <w:szCs w:val="24"/>
                <w:u w:val="single"/>
              </w:rPr>
            </w:pPr>
            <w:r w:rsidRPr="00DA6D45">
              <w:rPr>
                <w:rFonts w:hint="eastAsia"/>
                <w:sz w:val="24"/>
                <w:szCs w:val="24"/>
              </w:rPr>
              <w:t>住所：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广东省珠海市横琴新区环岛东路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3018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号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2608</w:t>
            </w:r>
            <w:r w:rsidRPr="00DA6D45">
              <w:rPr>
                <w:rFonts w:hint="eastAsia"/>
                <w:sz w:val="24"/>
                <w:szCs w:val="24"/>
                <w:u w:val="single"/>
              </w:rPr>
              <w:t>室</w:t>
            </w:r>
          </w:p>
          <w:p w:rsidR="00A23E2C" w:rsidRDefault="00A23E2C" w:rsidP="00D659A2">
            <w:pPr>
              <w:jc w:val="left"/>
              <w:rPr>
                <w:sz w:val="24"/>
                <w:szCs w:val="24"/>
              </w:rPr>
            </w:pPr>
          </w:p>
        </w:tc>
      </w:tr>
      <w:tr w:rsidR="00A23E2C" w:rsidTr="00D659A2">
        <w:tc>
          <w:tcPr>
            <w:tcW w:w="1271" w:type="dxa"/>
          </w:tcPr>
          <w:p w:rsidR="00A23E2C" w:rsidRDefault="00A23E2C" w:rsidP="00D659A2">
            <w:pPr>
              <w:jc w:val="center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第十五部分</w:t>
            </w:r>
            <w:r w:rsidRPr="00DA6D45">
              <w:rPr>
                <w:rFonts w:hint="eastAsia"/>
                <w:sz w:val="24"/>
                <w:szCs w:val="24"/>
              </w:rPr>
              <w:t xml:space="preserve">  </w:t>
            </w:r>
            <w:r w:rsidRPr="00DA6D45">
              <w:rPr>
                <w:rFonts w:hint="eastAsia"/>
                <w:sz w:val="24"/>
                <w:szCs w:val="24"/>
              </w:rPr>
              <w:t>基金费用与税收</w:t>
            </w:r>
          </w:p>
        </w:tc>
        <w:tc>
          <w:tcPr>
            <w:tcW w:w="3686" w:type="dxa"/>
          </w:tcPr>
          <w:p w:rsidR="00A23E2C" w:rsidRDefault="00A23E2C" w:rsidP="00D659A2">
            <w:pPr>
              <w:jc w:val="left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二、基金费用计提方法、计提标准和支付方式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2</w:t>
            </w:r>
            <w:r w:rsidRPr="001702FE">
              <w:rPr>
                <w:rFonts w:hint="eastAsia"/>
                <w:sz w:val="24"/>
                <w:szCs w:val="24"/>
              </w:rPr>
              <w:t>、基金的托管费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本基金托管费自基金合同生效日起，按如下方法进行计提。本基金的托管费按前一日基金资产净值的</w:t>
            </w:r>
            <w:r w:rsidRPr="001702FE">
              <w:rPr>
                <w:rFonts w:hint="eastAsia"/>
                <w:sz w:val="24"/>
                <w:szCs w:val="24"/>
                <w:u w:val="single"/>
              </w:rPr>
              <w:t>0.25%</w:t>
            </w:r>
            <w:r w:rsidRPr="001702FE">
              <w:rPr>
                <w:rFonts w:hint="eastAsia"/>
                <w:sz w:val="24"/>
                <w:szCs w:val="24"/>
              </w:rPr>
              <w:t>的年费率计提。托管费的计算方法如下：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H</w:t>
            </w:r>
            <w:r w:rsidRPr="001702FE">
              <w:rPr>
                <w:rFonts w:hint="eastAsia"/>
                <w:sz w:val="24"/>
                <w:szCs w:val="24"/>
              </w:rPr>
              <w:t>＝</w:t>
            </w:r>
            <w:r w:rsidRPr="001702FE">
              <w:rPr>
                <w:rFonts w:hint="eastAsia"/>
                <w:sz w:val="24"/>
                <w:szCs w:val="24"/>
              </w:rPr>
              <w:t>E</w:t>
            </w:r>
            <w:r w:rsidRPr="001702FE">
              <w:rPr>
                <w:rFonts w:hint="eastAsia"/>
                <w:sz w:val="24"/>
                <w:szCs w:val="24"/>
              </w:rPr>
              <w:t>×</w:t>
            </w:r>
            <w:r w:rsidRPr="001702FE">
              <w:rPr>
                <w:rFonts w:hint="eastAsia"/>
                <w:sz w:val="24"/>
                <w:szCs w:val="24"/>
                <w:u w:val="single"/>
              </w:rPr>
              <w:t>0.25%</w:t>
            </w:r>
            <w:r w:rsidRPr="001702FE">
              <w:rPr>
                <w:rFonts w:hint="eastAsia"/>
                <w:sz w:val="24"/>
                <w:szCs w:val="24"/>
              </w:rPr>
              <w:t>÷当年天数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H</w:t>
            </w:r>
            <w:r w:rsidRPr="001702FE">
              <w:rPr>
                <w:rFonts w:hint="eastAsia"/>
                <w:sz w:val="24"/>
                <w:szCs w:val="24"/>
              </w:rPr>
              <w:t>为每日应计提的基金托管费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E</w:t>
            </w:r>
            <w:r w:rsidRPr="001702FE">
              <w:rPr>
                <w:rFonts w:hint="eastAsia"/>
                <w:sz w:val="24"/>
                <w:szCs w:val="24"/>
              </w:rPr>
              <w:t>为前一日的基金资产净值</w:t>
            </w:r>
          </w:p>
          <w:p w:rsidR="00A23E2C" w:rsidRDefault="00A23E2C" w:rsidP="00D659A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3339" w:type="dxa"/>
          </w:tcPr>
          <w:p w:rsidR="00A23E2C" w:rsidRDefault="00A23E2C" w:rsidP="00D659A2">
            <w:pPr>
              <w:jc w:val="left"/>
              <w:rPr>
                <w:sz w:val="24"/>
                <w:szCs w:val="24"/>
              </w:rPr>
            </w:pPr>
            <w:r w:rsidRPr="00DA6D45">
              <w:rPr>
                <w:rFonts w:hint="eastAsia"/>
                <w:sz w:val="24"/>
                <w:szCs w:val="24"/>
              </w:rPr>
              <w:t>二、基金费用计提方法、计提标准和支付方式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2</w:t>
            </w:r>
            <w:r w:rsidRPr="001702FE">
              <w:rPr>
                <w:rFonts w:hint="eastAsia"/>
                <w:sz w:val="24"/>
                <w:szCs w:val="24"/>
              </w:rPr>
              <w:t>、基金的托管费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本基金托管费自基金合同生效日起，按如下方法进行计提。本基金的托管费按前一日基金资产净值的</w:t>
            </w:r>
            <w:r w:rsidRPr="001702FE">
              <w:rPr>
                <w:rFonts w:hint="eastAsia"/>
                <w:sz w:val="24"/>
                <w:szCs w:val="24"/>
                <w:u w:val="single"/>
              </w:rPr>
              <w:t>0.15%</w:t>
            </w:r>
            <w:r w:rsidRPr="001702FE">
              <w:rPr>
                <w:rFonts w:hint="eastAsia"/>
                <w:sz w:val="24"/>
                <w:szCs w:val="24"/>
              </w:rPr>
              <w:t>的年费率计提。托管费的计算方法如下：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H</w:t>
            </w:r>
            <w:r w:rsidRPr="001702FE">
              <w:rPr>
                <w:rFonts w:hint="eastAsia"/>
                <w:sz w:val="24"/>
                <w:szCs w:val="24"/>
              </w:rPr>
              <w:t>＝</w:t>
            </w:r>
            <w:r w:rsidRPr="001702FE">
              <w:rPr>
                <w:rFonts w:hint="eastAsia"/>
                <w:sz w:val="24"/>
                <w:szCs w:val="24"/>
              </w:rPr>
              <w:t>E</w:t>
            </w:r>
            <w:r w:rsidRPr="001702FE">
              <w:rPr>
                <w:rFonts w:hint="eastAsia"/>
                <w:sz w:val="24"/>
                <w:szCs w:val="24"/>
              </w:rPr>
              <w:t>×</w:t>
            </w:r>
            <w:r w:rsidRPr="001702FE">
              <w:rPr>
                <w:rFonts w:hint="eastAsia"/>
                <w:sz w:val="24"/>
                <w:szCs w:val="24"/>
                <w:u w:val="single"/>
              </w:rPr>
              <w:t>0.15%</w:t>
            </w:r>
            <w:r w:rsidRPr="001702FE">
              <w:rPr>
                <w:rFonts w:hint="eastAsia"/>
                <w:sz w:val="24"/>
                <w:szCs w:val="24"/>
              </w:rPr>
              <w:t>÷当年天数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H</w:t>
            </w:r>
            <w:r w:rsidRPr="001702FE">
              <w:rPr>
                <w:rFonts w:hint="eastAsia"/>
                <w:sz w:val="24"/>
                <w:szCs w:val="24"/>
              </w:rPr>
              <w:t>为每日应计提的基金托管费</w:t>
            </w:r>
          </w:p>
          <w:p w:rsidR="00A23E2C" w:rsidRPr="001702FE" w:rsidRDefault="00A23E2C" w:rsidP="00D659A2">
            <w:pPr>
              <w:jc w:val="left"/>
              <w:rPr>
                <w:sz w:val="24"/>
                <w:szCs w:val="24"/>
              </w:rPr>
            </w:pPr>
            <w:r w:rsidRPr="001702FE">
              <w:rPr>
                <w:rFonts w:hint="eastAsia"/>
                <w:sz w:val="24"/>
                <w:szCs w:val="24"/>
              </w:rPr>
              <w:t>E</w:t>
            </w:r>
            <w:r w:rsidRPr="001702FE">
              <w:rPr>
                <w:rFonts w:hint="eastAsia"/>
                <w:sz w:val="24"/>
                <w:szCs w:val="24"/>
              </w:rPr>
              <w:t>为前一日的基金资产净值</w:t>
            </w:r>
          </w:p>
          <w:p w:rsidR="00A23E2C" w:rsidRDefault="00A23E2C" w:rsidP="00D65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</w:tbl>
    <w:p w:rsidR="00C31758" w:rsidRDefault="00C31758" w:rsidP="00C31758">
      <w:pPr>
        <w:jc w:val="left"/>
      </w:pPr>
    </w:p>
    <w:p w:rsidR="00C31758" w:rsidRPr="00C417A9" w:rsidRDefault="00C31758" w:rsidP="00C31758">
      <w:pPr>
        <w:jc w:val="left"/>
        <w:rPr>
          <w:szCs w:val="21"/>
        </w:rPr>
      </w:pPr>
      <w:r w:rsidRPr="00A10FAD">
        <w:rPr>
          <w:rFonts w:hint="eastAsia"/>
          <w:szCs w:val="21"/>
        </w:rPr>
        <w:t>注：基金合同摘要对应部分相应修改</w:t>
      </w:r>
    </w:p>
    <w:p w:rsidR="00EF5033" w:rsidRPr="00912E8A" w:rsidRDefault="00EF5033" w:rsidP="00B821F5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="宋体" w:eastAsia="宋体" w:hAnsi="宋体" w:cs="Times New Roman"/>
          <w:bCs/>
          <w:sz w:val="24"/>
        </w:rPr>
      </w:pPr>
      <w:bookmarkStart w:id="0" w:name="_GoBack"/>
      <w:bookmarkEnd w:id="0"/>
    </w:p>
    <w:sectPr w:rsidR="00EF5033" w:rsidRPr="00912E8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66" w:rsidRDefault="00C76B66" w:rsidP="00D9364D">
      <w:r>
        <w:separator/>
      </w:r>
    </w:p>
  </w:endnote>
  <w:endnote w:type="continuationSeparator" w:id="0">
    <w:p w:rsidR="00C76B66" w:rsidRDefault="00C76B66" w:rsidP="00D9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979183"/>
      <w:docPartObj>
        <w:docPartGallery w:val="Page Numbers (Bottom of Page)"/>
        <w:docPartUnique/>
      </w:docPartObj>
    </w:sdtPr>
    <w:sdtEndPr/>
    <w:sdtContent>
      <w:p w:rsidR="00EB7BF4" w:rsidRDefault="00EB7B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AD" w:rsidRPr="00A10FAD">
          <w:rPr>
            <w:noProof/>
            <w:lang w:val="zh-CN"/>
          </w:rPr>
          <w:t>2</w:t>
        </w:r>
        <w:r>
          <w:fldChar w:fldCharType="end"/>
        </w:r>
      </w:p>
    </w:sdtContent>
  </w:sdt>
  <w:p w:rsidR="00EB7BF4" w:rsidRDefault="00EB7B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66" w:rsidRDefault="00C76B66" w:rsidP="00D9364D">
      <w:r>
        <w:separator/>
      </w:r>
    </w:p>
  </w:footnote>
  <w:footnote w:type="continuationSeparator" w:id="0">
    <w:p w:rsidR="00C76B66" w:rsidRDefault="00C76B66" w:rsidP="00D9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25EBE"/>
    <w:multiLevelType w:val="hybridMultilevel"/>
    <w:tmpl w:val="4EA208CE"/>
    <w:lvl w:ilvl="0" w:tplc="F62A6FF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6"/>
    <w:rsid w:val="000054AD"/>
    <w:rsid w:val="000138FB"/>
    <w:rsid w:val="00014145"/>
    <w:rsid w:val="00014ADC"/>
    <w:rsid w:val="00014B5F"/>
    <w:rsid w:val="0001598E"/>
    <w:rsid w:val="00021AA4"/>
    <w:rsid w:val="00040F46"/>
    <w:rsid w:val="00045245"/>
    <w:rsid w:val="000525BF"/>
    <w:rsid w:val="00062257"/>
    <w:rsid w:val="00062578"/>
    <w:rsid w:val="000640BB"/>
    <w:rsid w:val="0007592F"/>
    <w:rsid w:val="00090E50"/>
    <w:rsid w:val="000B2FE4"/>
    <w:rsid w:val="000C22AB"/>
    <w:rsid w:val="000C43FA"/>
    <w:rsid w:val="000E7E4D"/>
    <w:rsid w:val="000F1C6E"/>
    <w:rsid w:val="000F524D"/>
    <w:rsid w:val="00113FCC"/>
    <w:rsid w:val="0011418D"/>
    <w:rsid w:val="00136C57"/>
    <w:rsid w:val="0015701E"/>
    <w:rsid w:val="0016208B"/>
    <w:rsid w:val="0016662A"/>
    <w:rsid w:val="001843D6"/>
    <w:rsid w:val="00184EE8"/>
    <w:rsid w:val="00192E86"/>
    <w:rsid w:val="001C130E"/>
    <w:rsid w:val="001C42CD"/>
    <w:rsid w:val="001C57FD"/>
    <w:rsid w:val="001C615F"/>
    <w:rsid w:val="001D4C97"/>
    <w:rsid w:val="001E5AA1"/>
    <w:rsid w:val="001F4F14"/>
    <w:rsid w:val="00212300"/>
    <w:rsid w:val="00222D73"/>
    <w:rsid w:val="0023489D"/>
    <w:rsid w:val="00243834"/>
    <w:rsid w:val="002479D3"/>
    <w:rsid w:val="00287D87"/>
    <w:rsid w:val="00290EC0"/>
    <w:rsid w:val="002939D1"/>
    <w:rsid w:val="002973B2"/>
    <w:rsid w:val="002A2CBE"/>
    <w:rsid w:val="002C31A2"/>
    <w:rsid w:val="002C3C00"/>
    <w:rsid w:val="002C4683"/>
    <w:rsid w:val="002D4B82"/>
    <w:rsid w:val="002F30F1"/>
    <w:rsid w:val="00303E6B"/>
    <w:rsid w:val="003040C7"/>
    <w:rsid w:val="00307A8F"/>
    <w:rsid w:val="00313C8A"/>
    <w:rsid w:val="00324172"/>
    <w:rsid w:val="00327B4F"/>
    <w:rsid w:val="0033530B"/>
    <w:rsid w:val="00375406"/>
    <w:rsid w:val="00376B79"/>
    <w:rsid w:val="003A2D1D"/>
    <w:rsid w:val="003B7063"/>
    <w:rsid w:val="003F40B7"/>
    <w:rsid w:val="00454875"/>
    <w:rsid w:val="00463471"/>
    <w:rsid w:val="00467B81"/>
    <w:rsid w:val="00477FE5"/>
    <w:rsid w:val="004835B3"/>
    <w:rsid w:val="00492A57"/>
    <w:rsid w:val="0049384C"/>
    <w:rsid w:val="004B7ED1"/>
    <w:rsid w:val="004C214B"/>
    <w:rsid w:val="004C582B"/>
    <w:rsid w:val="004C6028"/>
    <w:rsid w:val="004E2CFE"/>
    <w:rsid w:val="004E7857"/>
    <w:rsid w:val="00500AFB"/>
    <w:rsid w:val="005106D7"/>
    <w:rsid w:val="005151C6"/>
    <w:rsid w:val="0051737C"/>
    <w:rsid w:val="00520804"/>
    <w:rsid w:val="00534400"/>
    <w:rsid w:val="005357B3"/>
    <w:rsid w:val="00540E83"/>
    <w:rsid w:val="00571FE0"/>
    <w:rsid w:val="00574FB9"/>
    <w:rsid w:val="00577921"/>
    <w:rsid w:val="0059257C"/>
    <w:rsid w:val="0059587A"/>
    <w:rsid w:val="005C016E"/>
    <w:rsid w:val="005E4574"/>
    <w:rsid w:val="005E6D55"/>
    <w:rsid w:val="005F19C6"/>
    <w:rsid w:val="00620EB9"/>
    <w:rsid w:val="00647269"/>
    <w:rsid w:val="0065116C"/>
    <w:rsid w:val="0065404B"/>
    <w:rsid w:val="0065483D"/>
    <w:rsid w:val="00665EAC"/>
    <w:rsid w:val="006744BE"/>
    <w:rsid w:val="00676EBF"/>
    <w:rsid w:val="00677AC4"/>
    <w:rsid w:val="006860D6"/>
    <w:rsid w:val="00694B2B"/>
    <w:rsid w:val="006A59BD"/>
    <w:rsid w:val="006B251B"/>
    <w:rsid w:val="006C18EA"/>
    <w:rsid w:val="006F52FC"/>
    <w:rsid w:val="006F7D8A"/>
    <w:rsid w:val="00700E4A"/>
    <w:rsid w:val="00716473"/>
    <w:rsid w:val="00735BF8"/>
    <w:rsid w:val="00741059"/>
    <w:rsid w:val="0074404E"/>
    <w:rsid w:val="00757220"/>
    <w:rsid w:val="007728D1"/>
    <w:rsid w:val="00791220"/>
    <w:rsid w:val="0079377B"/>
    <w:rsid w:val="00794533"/>
    <w:rsid w:val="007B1697"/>
    <w:rsid w:val="007E16FD"/>
    <w:rsid w:val="007F41E6"/>
    <w:rsid w:val="007F6C1D"/>
    <w:rsid w:val="008307BF"/>
    <w:rsid w:val="00846F68"/>
    <w:rsid w:val="008817E9"/>
    <w:rsid w:val="0088469B"/>
    <w:rsid w:val="00885CF1"/>
    <w:rsid w:val="00890A38"/>
    <w:rsid w:val="008B5C3E"/>
    <w:rsid w:val="008B6496"/>
    <w:rsid w:val="008D71FE"/>
    <w:rsid w:val="008E1521"/>
    <w:rsid w:val="008E2230"/>
    <w:rsid w:val="008E5957"/>
    <w:rsid w:val="008F120F"/>
    <w:rsid w:val="008F775D"/>
    <w:rsid w:val="00912E8A"/>
    <w:rsid w:val="009165C5"/>
    <w:rsid w:val="00923B9A"/>
    <w:rsid w:val="00932066"/>
    <w:rsid w:val="00940B34"/>
    <w:rsid w:val="0096576E"/>
    <w:rsid w:val="0099069F"/>
    <w:rsid w:val="009B21BD"/>
    <w:rsid w:val="009B740C"/>
    <w:rsid w:val="009B74FF"/>
    <w:rsid w:val="00A10FAD"/>
    <w:rsid w:val="00A23E2C"/>
    <w:rsid w:val="00A35834"/>
    <w:rsid w:val="00A372FE"/>
    <w:rsid w:val="00A44880"/>
    <w:rsid w:val="00A45065"/>
    <w:rsid w:val="00A56CB6"/>
    <w:rsid w:val="00AA5D29"/>
    <w:rsid w:val="00AB2751"/>
    <w:rsid w:val="00AB7358"/>
    <w:rsid w:val="00AD4420"/>
    <w:rsid w:val="00AF054B"/>
    <w:rsid w:val="00B33DF2"/>
    <w:rsid w:val="00B45477"/>
    <w:rsid w:val="00B50B7E"/>
    <w:rsid w:val="00B63186"/>
    <w:rsid w:val="00B67B1D"/>
    <w:rsid w:val="00B734AB"/>
    <w:rsid w:val="00B821F5"/>
    <w:rsid w:val="00B8470C"/>
    <w:rsid w:val="00BB34DC"/>
    <w:rsid w:val="00BD34C5"/>
    <w:rsid w:val="00BD53FE"/>
    <w:rsid w:val="00BF3336"/>
    <w:rsid w:val="00C31758"/>
    <w:rsid w:val="00C35D35"/>
    <w:rsid w:val="00C44E30"/>
    <w:rsid w:val="00C7254F"/>
    <w:rsid w:val="00C72D39"/>
    <w:rsid w:val="00C7650E"/>
    <w:rsid w:val="00C76B66"/>
    <w:rsid w:val="00CD7197"/>
    <w:rsid w:val="00CD7695"/>
    <w:rsid w:val="00CF2002"/>
    <w:rsid w:val="00D26A7B"/>
    <w:rsid w:val="00D36A5C"/>
    <w:rsid w:val="00D43A48"/>
    <w:rsid w:val="00D63C16"/>
    <w:rsid w:val="00D9364D"/>
    <w:rsid w:val="00DA2BBA"/>
    <w:rsid w:val="00DC7CC0"/>
    <w:rsid w:val="00E337EF"/>
    <w:rsid w:val="00E35C98"/>
    <w:rsid w:val="00E504E1"/>
    <w:rsid w:val="00E553A9"/>
    <w:rsid w:val="00E56C87"/>
    <w:rsid w:val="00E57F10"/>
    <w:rsid w:val="00E62231"/>
    <w:rsid w:val="00E638D7"/>
    <w:rsid w:val="00E74F19"/>
    <w:rsid w:val="00EB7A25"/>
    <w:rsid w:val="00EB7A77"/>
    <w:rsid w:val="00EB7BF4"/>
    <w:rsid w:val="00EC1528"/>
    <w:rsid w:val="00EC7CCC"/>
    <w:rsid w:val="00ED78BB"/>
    <w:rsid w:val="00EE5A55"/>
    <w:rsid w:val="00EF5033"/>
    <w:rsid w:val="00F07EA2"/>
    <w:rsid w:val="00F173F7"/>
    <w:rsid w:val="00F20707"/>
    <w:rsid w:val="00F45948"/>
    <w:rsid w:val="00F52B34"/>
    <w:rsid w:val="00F75A10"/>
    <w:rsid w:val="00F90432"/>
    <w:rsid w:val="00FA1926"/>
    <w:rsid w:val="00FC149A"/>
    <w:rsid w:val="00FD1FAE"/>
    <w:rsid w:val="00FF2D8F"/>
    <w:rsid w:val="00FF3526"/>
    <w:rsid w:val="00FF66EF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49C41-74DA-4379-8B8F-030784D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4145"/>
    <w:pPr>
      <w:keepNext/>
      <w:keepLines/>
      <w:spacing w:before="240" w:after="240" w:line="360" w:lineRule="auto"/>
      <w:ind w:firstLineChars="200" w:firstLine="20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06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9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64D"/>
    <w:rPr>
      <w:sz w:val="18"/>
      <w:szCs w:val="18"/>
    </w:rPr>
  </w:style>
  <w:style w:type="character" w:styleId="a5">
    <w:name w:val="page number"/>
    <w:basedOn w:val="a0"/>
    <w:rsid w:val="00677AC4"/>
  </w:style>
  <w:style w:type="table" w:styleId="a6">
    <w:name w:val="Table Grid"/>
    <w:basedOn w:val="a1"/>
    <w:uiPriority w:val="39"/>
    <w:rsid w:val="00EF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C7C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7C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4145"/>
    <w:rPr>
      <w:b/>
      <w:bCs/>
      <w:kern w:val="44"/>
      <w:sz w:val="28"/>
      <w:szCs w:val="44"/>
    </w:rPr>
  </w:style>
  <w:style w:type="paragraph" w:styleId="a8">
    <w:name w:val="Revision"/>
    <w:hidden/>
    <w:uiPriority w:val="99"/>
    <w:semiHidden/>
    <w:rsid w:val="001E5AA1"/>
  </w:style>
  <w:style w:type="character" w:styleId="a9">
    <w:name w:val="Hyperlink"/>
    <w:basedOn w:val="a0"/>
    <w:uiPriority w:val="99"/>
    <w:unhideWhenUsed/>
    <w:rsid w:val="0051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A97E-258D-4530-A740-5E84876F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258</Words>
  <Characters>1471</Characters>
  <Application>Microsoft Office Word</Application>
  <DocSecurity>0</DocSecurity>
  <Lines>12</Lines>
  <Paragraphs>3</Paragraphs>
  <ScaleCrop>false</ScaleCrop>
  <Company>GFFUNDS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喻晨</dc:creator>
  <cp:lastModifiedBy>莫静雅</cp:lastModifiedBy>
  <cp:revision>64</cp:revision>
  <dcterms:created xsi:type="dcterms:W3CDTF">2020-04-08T02:15:00Z</dcterms:created>
  <dcterms:modified xsi:type="dcterms:W3CDTF">2023-01-05T00:46:00Z</dcterms:modified>
</cp:coreProperties>
</file>