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2261" w14:textId="50E14719" w:rsidR="00BF218C" w:rsidRPr="00CC15F4" w:rsidRDefault="004A56CC" w:rsidP="00BF218C">
      <w:pPr>
        <w:widowControl/>
        <w:wordWrap w:val="0"/>
        <w:spacing w:line="560" w:lineRule="atLeast"/>
        <w:jc w:val="center"/>
        <w:rPr>
          <w:rFonts w:ascii="inherit" w:eastAsia="宋体" w:hAnsi="inherit" w:cs="宋体" w:hint="eastAsia"/>
          <w:color w:val="000000"/>
          <w:kern w:val="0"/>
          <w:sz w:val="14"/>
          <w:szCs w:val="14"/>
        </w:rPr>
      </w:pPr>
      <w:bookmarkStart w:id="0" w:name="OLE_LINK3"/>
      <w:r>
        <w:rPr>
          <w:rFonts w:ascii="黑体" w:eastAsia="黑体" w:hAnsi="inherit" w:cs="宋体" w:hint="eastAsia"/>
          <w:color w:val="FF0000"/>
          <w:kern w:val="0"/>
          <w:sz w:val="32"/>
          <w:szCs w:val="32"/>
          <w:bdr w:val="none" w:sz="0" w:space="0" w:color="auto" w:frame="1"/>
        </w:rPr>
        <w:t>关于</w:t>
      </w:r>
      <w:r w:rsidR="00BF218C" w:rsidRPr="00CC15F4">
        <w:rPr>
          <w:rFonts w:ascii="黑体" w:eastAsia="黑体" w:hAnsi="inherit" w:cs="宋体" w:hint="eastAsia"/>
          <w:color w:val="FF0000"/>
          <w:kern w:val="0"/>
          <w:sz w:val="32"/>
          <w:szCs w:val="32"/>
          <w:bdr w:val="none" w:sz="0" w:space="0" w:color="auto" w:frame="1"/>
        </w:rPr>
        <w:t>嘉实</w:t>
      </w:r>
      <w:r w:rsidR="00584922">
        <w:rPr>
          <w:rFonts w:ascii="黑体" w:eastAsia="黑体" w:hAnsi="inherit" w:cs="宋体" w:hint="eastAsia"/>
          <w:color w:val="FF0000"/>
          <w:kern w:val="0"/>
          <w:sz w:val="32"/>
          <w:szCs w:val="32"/>
          <w:bdr w:val="none" w:sz="0" w:space="0" w:color="auto" w:frame="1"/>
        </w:rPr>
        <w:t>6</w:t>
      </w:r>
      <w:r w:rsidR="00BF218C" w:rsidRPr="00CC15F4">
        <w:rPr>
          <w:rFonts w:ascii="黑体" w:eastAsia="黑体" w:hAnsi="inherit" w:cs="宋体" w:hint="eastAsia"/>
          <w:color w:val="FF0000"/>
          <w:kern w:val="0"/>
          <w:sz w:val="32"/>
          <w:szCs w:val="32"/>
          <w:bdr w:val="none" w:sz="0" w:space="0" w:color="auto" w:frame="1"/>
        </w:rPr>
        <w:t>个月理财债券型证券投资基金</w:t>
      </w:r>
      <w:bookmarkEnd w:id="0"/>
    </w:p>
    <w:p w14:paraId="6635A985" w14:textId="25B852CB" w:rsidR="00BF218C" w:rsidRPr="00CC15F4" w:rsidRDefault="004A56CC" w:rsidP="00BF218C">
      <w:pPr>
        <w:widowControl/>
        <w:wordWrap w:val="0"/>
        <w:spacing w:line="560" w:lineRule="atLeast"/>
        <w:jc w:val="center"/>
        <w:rPr>
          <w:rFonts w:ascii="inherit" w:eastAsia="宋体" w:hAnsi="inherit" w:cs="宋体" w:hint="eastAsia"/>
          <w:color w:val="000000"/>
          <w:kern w:val="0"/>
          <w:sz w:val="14"/>
          <w:szCs w:val="14"/>
        </w:rPr>
      </w:pPr>
      <w:r w:rsidRPr="00CC15F4">
        <w:rPr>
          <w:rFonts w:ascii="黑体" w:eastAsia="黑体" w:hAnsi="inherit" w:cs="宋体" w:hint="eastAsia"/>
          <w:color w:val="FF0000"/>
          <w:kern w:val="0"/>
          <w:sz w:val="32"/>
          <w:szCs w:val="32"/>
        </w:rPr>
        <w:t>第</w:t>
      </w:r>
      <w:r>
        <w:rPr>
          <w:rFonts w:ascii="黑体" w:eastAsia="黑体" w:hAnsi="inherit" w:cs="宋体" w:hint="eastAsia"/>
          <w:color w:val="FF0000"/>
          <w:kern w:val="0"/>
          <w:sz w:val="32"/>
          <w:szCs w:val="32"/>
        </w:rPr>
        <w:t>三期运作期</w:t>
      </w:r>
      <w:r w:rsidR="00BF218C" w:rsidRPr="00CC15F4">
        <w:rPr>
          <w:rFonts w:ascii="黑体" w:eastAsia="黑体" w:hAnsi="inherit" w:cs="宋体" w:hint="eastAsia"/>
          <w:color w:val="FF0000"/>
          <w:kern w:val="0"/>
          <w:sz w:val="32"/>
          <w:szCs w:val="32"/>
        </w:rPr>
        <w:t>投资组合构建情况说明的公告</w:t>
      </w:r>
    </w:p>
    <w:p w14:paraId="4ABFD01D" w14:textId="2628272E" w:rsidR="00BF218C" w:rsidRPr="00CC15F4" w:rsidRDefault="00BF218C" w:rsidP="00BF218C">
      <w:pPr>
        <w:widowControl/>
        <w:wordWrap w:val="0"/>
        <w:spacing w:line="360" w:lineRule="auto"/>
        <w:jc w:val="left"/>
        <w:rPr>
          <w:rFonts w:ascii="inherit" w:eastAsia="宋体" w:hAnsi="inherit" w:cs="宋体" w:hint="eastAsia"/>
          <w:color w:val="000000"/>
          <w:kern w:val="0"/>
          <w:sz w:val="14"/>
          <w:szCs w:val="14"/>
        </w:rPr>
      </w:pPr>
    </w:p>
    <w:p w14:paraId="3B9FC812" w14:textId="262E292B"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嘉实</w:t>
      </w:r>
      <w:r w:rsidR="00584922">
        <w:rPr>
          <w:rFonts w:ascii="宋体" w:eastAsia="宋体" w:hAnsi="宋体" w:cs="宋体" w:hint="eastAsia"/>
          <w:color w:val="000000"/>
          <w:kern w:val="0"/>
          <w:sz w:val="24"/>
          <w:szCs w:val="24"/>
        </w:rPr>
        <w:t>6</w:t>
      </w:r>
      <w:r w:rsidRPr="00CC15F4">
        <w:rPr>
          <w:rFonts w:ascii="宋体" w:eastAsia="宋体" w:hAnsi="宋体" w:cs="宋体" w:hint="eastAsia"/>
          <w:color w:val="000000"/>
          <w:kern w:val="0"/>
          <w:sz w:val="24"/>
          <w:szCs w:val="24"/>
        </w:rPr>
        <w:t>个月理财债券型证券投资基金（以下简称“本基金”）</w:t>
      </w:r>
      <w:r w:rsidR="0045744A" w:rsidRPr="00CC15F4">
        <w:rPr>
          <w:rFonts w:ascii="宋体" w:eastAsia="宋体" w:hAnsi="宋体" w:cs="宋体" w:hint="eastAsia"/>
          <w:color w:val="000000"/>
          <w:kern w:val="0"/>
          <w:sz w:val="24"/>
          <w:szCs w:val="24"/>
        </w:rPr>
        <w:t>第</w:t>
      </w:r>
      <w:r w:rsidR="00741F35">
        <w:rPr>
          <w:rFonts w:ascii="宋体" w:eastAsia="宋体" w:hAnsi="宋体" w:cs="宋体" w:hint="eastAsia"/>
          <w:color w:val="000000"/>
          <w:kern w:val="0"/>
          <w:sz w:val="24"/>
          <w:szCs w:val="24"/>
        </w:rPr>
        <w:t>三</w:t>
      </w:r>
      <w:r w:rsidRPr="00CC15F4">
        <w:rPr>
          <w:rFonts w:ascii="宋体" w:eastAsia="宋体" w:hAnsi="宋体" w:cs="宋体" w:hint="eastAsia"/>
          <w:color w:val="000000"/>
          <w:kern w:val="0"/>
          <w:sz w:val="24"/>
          <w:szCs w:val="24"/>
        </w:rPr>
        <w:t>期运作期已于</w:t>
      </w:r>
      <w:r w:rsidR="008F529C">
        <w:rPr>
          <w:rFonts w:ascii="宋体" w:eastAsia="宋体" w:hAnsi="宋体" w:cs="宋体" w:hint="eastAsia"/>
          <w:color w:val="000000"/>
          <w:kern w:val="0"/>
          <w:sz w:val="24"/>
          <w:szCs w:val="24"/>
        </w:rPr>
        <w:t>202</w:t>
      </w:r>
      <w:r w:rsidR="00741F35">
        <w:rPr>
          <w:rFonts w:ascii="宋体" w:eastAsia="宋体" w:hAnsi="宋体" w:cs="宋体"/>
          <w:color w:val="000000"/>
          <w:kern w:val="0"/>
          <w:sz w:val="24"/>
          <w:szCs w:val="24"/>
        </w:rPr>
        <w:t>2</w:t>
      </w:r>
      <w:r w:rsidR="0045744A" w:rsidRPr="00CC15F4">
        <w:rPr>
          <w:rFonts w:ascii="宋体" w:eastAsia="宋体" w:hAnsi="宋体" w:cs="宋体" w:hint="eastAsia"/>
          <w:color w:val="000000"/>
          <w:kern w:val="0"/>
          <w:sz w:val="24"/>
          <w:szCs w:val="24"/>
        </w:rPr>
        <w:t>年12</w:t>
      </w:r>
      <w:r w:rsidRPr="00CC15F4">
        <w:rPr>
          <w:rFonts w:ascii="宋体" w:eastAsia="宋体" w:hAnsi="宋体" w:cs="宋体" w:hint="eastAsia"/>
          <w:color w:val="000000"/>
          <w:kern w:val="0"/>
          <w:sz w:val="24"/>
          <w:szCs w:val="24"/>
        </w:rPr>
        <w:t>月</w:t>
      </w:r>
      <w:r w:rsidR="008F529C">
        <w:rPr>
          <w:rFonts w:ascii="宋体" w:eastAsia="宋体" w:hAnsi="宋体" w:cs="宋体"/>
          <w:color w:val="000000"/>
          <w:kern w:val="0"/>
          <w:sz w:val="24"/>
          <w:szCs w:val="24"/>
        </w:rPr>
        <w:t>2</w:t>
      </w:r>
      <w:r w:rsidR="00741F35">
        <w:rPr>
          <w:rFonts w:ascii="宋体" w:eastAsia="宋体" w:hAnsi="宋体" w:cs="宋体"/>
          <w:color w:val="000000"/>
          <w:kern w:val="0"/>
          <w:sz w:val="24"/>
          <w:szCs w:val="24"/>
        </w:rPr>
        <w:t>0</w:t>
      </w:r>
      <w:r w:rsidRPr="00CC15F4">
        <w:rPr>
          <w:rFonts w:ascii="宋体" w:eastAsia="宋体" w:hAnsi="宋体" w:cs="宋体" w:hint="eastAsia"/>
          <w:color w:val="000000"/>
          <w:kern w:val="0"/>
          <w:sz w:val="24"/>
          <w:szCs w:val="24"/>
        </w:rPr>
        <w:t>日开始正式运作，现就相关事项公告如下：</w:t>
      </w:r>
    </w:p>
    <w:p w14:paraId="7BCB24B7" w14:textId="5485BDBC"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本基金</w:t>
      </w:r>
      <w:r w:rsidR="0045744A" w:rsidRPr="00CC15F4">
        <w:rPr>
          <w:rFonts w:ascii="宋体" w:eastAsia="宋体" w:hAnsi="宋体" w:cs="宋体" w:hint="eastAsia"/>
          <w:color w:val="000000"/>
          <w:kern w:val="0"/>
          <w:sz w:val="24"/>
          <w:szCs w:val="24"/>
        </w:rPr>
        <w:t>第</w:t>
      </w:r>
      <w:r w:rsidR="00741F35">
        <w:rPr>
          <w:rFonts w:ascii="宋体" w:eastAsia="宋体" w:hAnsi="宋体" w:cs="宋体" w:hint="eastAsia"/>
          <w:color w:val="000000"/>
          <w:kern w:val="0"/>
          <w:sz w:val="24"/>
          <w:szCs w:val="24"/>
        </w:rPr>
        <w:t>三</w:t>
      </w:r>
      <w:r w:rsidRPr="00CC15F4">
        <w:rPr>
          <w:rFonts w:ascii="宋体" w:eastAsia="宋体" w:hAnsi="宋体" w:cs="宋体" w:hint="eastAsia"/>
          <w:color w:val="000000"/>
          <w:kern w:val="0"/>
          <w:sz w:val="24"/>
          <w:szCs w:val="24"/>
        </w:rPr>
        <w:t>期运作期为</w:t>
      </w:r>
      <w:r w:rsidR="00584922">
        <w:rPr>
          <w:rFonts w:ascii="宋体" w:eastAsia="宋体" w:hAnsi="宋体" w:cs="宋体" w:hint="eastAsia"/>
          <w:color w:val="000000"/>
          <w:kern w:val="0"/>
          <w:sz w:val="24"/>
          <w:szCs w:val="24"/>
        </w:rPr>
        <w:t>202</w:t>
      </w:r>
      <w:r w:rsidR="00741F35">
        <w:rPr>
          <w:rFonts w:ascii="宋体" w:eastAsia="宋体" w:hAnsi="宋体" w:cs="宋体"/>
          <w:color w:val="000000"/>
          <w:kern w:val="0"/>
          <w:sz w:val="24"/>
          <w:szCs w:val="24"/>
        </w:rPr>
        <w:t>2</w:t>
      </w:r>
      <w:r w:rsidR="0045744A" w:rsidRPr="00CC15F4">
        <w:rPr>
          <w:rFonts w:ascii="宋体" w:eastAsia="宋体" w:hAnsi="宋体" w:cs="宋体" w:hint="eastAsia"/>
          <w:color w:val="000000"/>
          <w:kern w:val="0"/>
          <w:sz w:val="24"/>
          <w:szCs w:val="24"/>
        </w:rPr>
        <w:t>年12</w:t>
      </w:r>
      <w:r w:rsidRPr="00CC15F4">
        <w:rPr>
          <w:rFonts w:ascii="宋体" w:eastAsia="宋体" w:hAnsi="宋体" w:cs="宋体" w:hint="eastAsia"/>
          <w:color w:val="000000"/>
          <w:kern w:val="0"/>
          <w:sz w:val="24"/>
          <w:szCs w:val="24"/>
        </w:rPr>
        <w:t>月</w:t>
      </w:r>
      <w:r w:rsidR="00584922">
        <w:rPr>
          <w:rFonts w:ascii="宋体" w:eastAsia="宋体" w:hAnsi="宋体" w:cs="宋体"/>
          <w:color w:val="000000"/>
          <w:kern w:val="0"/>
          <w:sz w:val="24"/>
          <w:szCs w:val="24"/>
        </w:rPr>
        <w:t>2</w:t>
      </w:r>
      <w:r w:rsidR="00741F35">
        <w:rPr>
          <w:rFonts w:ascii="宋体" w:eastAsia="宋体" w:hAnsi="宋体" w:cs="宋体"/>
          <w:color w:val="000000"/>
          <w:kern w:val="0"/>
          <w:sz w:val="24"/>
          <w:szCs w:val="24"/>
        </w:rPr>
        <w:t>0</w:t>
      </w:r>
      <w:r w:rsidRPr="00CC15F4">
        <w:rPr>
          <w:rFonts w:ascii="宋体" w:eastAsia="宋体" w:hAnsi="宋体" w:cs="宋体" w:hint="eastAsia"/>
          <w:color w:val="000000"/>
          <w:kern w:val="0"/>
          <w:sz w:val="24"/>
          <w:szCs w:val="24"/>
        </w:rPr>
        <w:t>日至</w:t>
      </w:r>
      <w:r w:rsidR="0045744A" w:rsidRPr="00CC15F4">
        <w:rPr>
          <w:rFonts w:ascii="宋体" w:eastAsia="宋体" w:hAnsi="宋体" w:cs="宋体" w:hint="eastAsia"/>
          <w:color w:val="000000"/>
          <w:kern w:val="0"/>
          <w:sz w:val="24"/>
          <w:szCs w:val="24"/>
        </w:rPr>
        <w:t>20</w:t>
      </w:r>
      <w:r w:rsidR="00584922">
        <w:rPr>
          <w:rFonts w:ascii="宋体" w:eastAsia="宋体" w:hAnsi="宋体" w:cs="宋体"/>
          <w:color w:val="000000"/>
          <w:kern w:val="0"/>
          <w:sz w:val="24"/>
          <w:szCs w:val="24"/>
        </w:rPr>
        <w:t>2</w:t>
      </w:r>
      <w:r w:rsidR="00741F35">
        <w:rPr>
          <w:rFonts w:ascii="宋体" w:eastAsia="宋体" w:hAnsi="宋体" w:cs="宋体"/>
          <w:color w:val="000000"/>
          <w:kern w:val="0"/>
          <w:sz w:val="24"/>
          <w:szCs w:val="24"/>
        </w:rPr>
        <w:t>3</w:t>
      </w:r>
      <w:r w:rsidR="0092089D" w:rsidRPr="00CC15F4">
        <w:rPr>
          <w:rFonts w:ascii="宋体" w:eastAsia="宋体" w:hAnsi="宋体" w:cs="宋体" w:hint="eastAsia"/>
          <w:color w:val="000000"/>
          <w:kern w:val="0"/>
          <w:sz w:val="24"/>
          <w:szCs w:val="24"/>
        </w:rPr>
        <w:t>年</w:t>
      </w:r>
      <w:r w:rsidR="00584922">
        <w:rPr>
          <w:rFonts w:ascii="宋体" w:eastAsia="宋体" w:hAnsi="宋体" w:cs="宋体" w:hint="eastAsia"/>
          <w:color w:val="000000"/>
          <w:kern w:val="0"/>
          <w:sz w:val="24"/>
          <w:szCs w:val="24"/>
        </w:rPr>
        <w:t>6</w:t>
      </w:r>
      <w:r w:rsidRPr="00CC15F4">
        <w:rPr>
          <w:rFonts w:ascii="宋体" w:eastAsia="宋体" w:hAnsi="宋体" w:cs="宋体" w:hint="eastAsia"/>
          <w:color w:val="000000"/>
          <w:kern w:val="0"/>
          <w:sz w:val="24"/>
          <w:szCs w:val="24"/>
        </w:rPr>
        <w:t>月</w:t>
      </w:r>
      <w:r w:rsidR="00741F35">
        <w:rPr>
          <w:rFonts w:ascii="宋体" w:eastAsia="宋体" w:hAnsi="宋体" w:cs="宋体"/>
          <w:color w:val="000000"/>
          <w:kern w:val="0"/>
          <w:sz w:val="24"/>
          <w:szCs w:val="24"/>
        </w:rPr>
        <w:t>19</w:t>
      </w:r>
      <w:r w:rsidRPr="00CC15F4">
        <w:rPr>
          <w:rFonts w:ascii="宋体" w:eastAsia="宋体" w:hAnsi="宋体" w:cs="宋体" w:hint="eastAsia"/>
          <w:color w:val="000000"/>
          <w:kern w:val="0"/>
          <w:sz w:val="24"/>
          <w:szCs w:val="24"/>
        </w:rPr>
        <w:t>日</w:t>
      </w:r>
      <w:r w:rsidR="00631C53" w:rsidRPr="00CC15F4">
        <w:rPr>
          <w:rFonts w:ascii="宋体" w:eastAsia="宋体" w:hAnsi="宋体" w:cs="宋体" w:hint="eastAsia"/>
          <w:color w:val="000000"/>
          <w:kern w:val="0"/>
          <w:sz w:val="24"/>
          <w:szCs w:val="24"/>
        </w:rPr>
        <w:t>，运作期共</w:t>
      </w:r>
      <w:r w:rsidR="00584922">
        <w:rPr>
          <w:rFonts w:ascii="宋体" w:eastAsia="宋体" w:hAnsi="宋体" w:cs="宋体" w:hint="eastAsia"/>
          <w:color w:val="000000"/>
          <w:kern w:val="0"/>
          <w:sz w:val="24"/>
          <w:szCs w:val="24"/>
        </w:rPr>
        <w:t>182</w:t>
      </w:r>
      <w:r w:rsidR="00631C53" w:rsidRPr="00CC15F4">
        <w:rPr>
          <w:rFonts w:ascii="宋体" w:eastAsia="宋体" w:hAnsi="宋体" w:cs="宋体" w:hint="eastAsia"/>
          <w:color w:val="000000"/>
          <w:kern w:val="0"/>
          <w:sz w:val="24"/>
          <w:szCs w:val="24"/>
        </w:rPr>
        <w:t>天</w:t>
      </w:r>
      <w:r w:rsidRPr="00CC15F4">
        <w:rPr>
          <w:rFonts w:ascii="宋体" w:eastAsia="宋体" w:hAnsi="宋体" w:cs="宋体" w:hint="eastAsia"/>
          <w:color w:val="000000"/>
          <w:kern w:val="0"/>
          <w:sz w:val="24"/>
          <w:szCs w:val="24"/>
        </w:rPr>
        <w:t>。</w:t>
      </w:r>
      <w:bookmarkStart w:id="1" w:name="OLE_LINK2"/>
      <w:bookmarkStart w:id="2" w:name="OLE_LINK4"/>
      <w:r w:rsidR="00741F35" w:rsidRPr="00CC15F4">
        <w:rPr>
          <w:rFonts w:ascii="宋体" w:eastAsia="宋体" w:hAnsi="宋体" w:cs="宋体" w:hint="eastAsia"/>
          <w:color w:val="000000"/>
          <w:kern w:val="0"/>
          <w:sz w:val="24"/>
          <w:szCs w:val="24"/>
        </w:rPr>
        <w:t>本基金管理人已于</w:t>
      </w:r>
      <w:bookmarkStart w:id="3" w:name="OLE_LINK1"/>
      <w:r w:rsidR="00741F35" w:rsidRPr="00CC15F4">
        <w:rPr>
          <w:rFonts w:ascii="宋体" w:eastAsia="宋体" w:hAnsi="宋体" w:cs="宋体" w:hint="eastAsia"/>
          <w:color w:val="000000"/>
          <w:kern w:val="0"/>
          <w:sz w:val="24"/>
          <w:szCs w:val="24"/>
        </w:rPr>
        <w:t>20</w:t>
      </w:r>
      <w:r w:rsidR="00741F35" w:rsidRPr="00CC15F4">
        <w:rPr>
          <w:rFonts w:ascii="宋体" w:eastAsia="宋体" w:hAnsi="宋体" w:cs="宋体"/>
          <w:color w:val="000000"/>
          <w:kern w:val="0"/>
          <w:sz w:val="24"/>
          <w:szCs w:val="24"/>
        </w:rPr>
        <w:t>2</w:t>
      </w:r>
      <w:r w:rsidR="00720B5B">
        <w:rPr>
          <w:rFonts w:ascii="宋体" w:eastAsia="宋体" w:hAnsi="宋体" w:cs="宋体"/>
          <w:color w:val="000000"/>
          <w:kern w:val="0"/>
          <w:sz w:val="24"/>
          <w:szCs w:val="24"/>
        </w:rPr>
        <w:t>2</w:t>
      </w:r>
      <w:r w:rsidR="00741F35" w:rsidRPr="00CC15F4">
        <w:rPr>
          <w:rFonts w:ascii="宋体" w:eastAsia="宋体" w:hAnsi="宋体" w:cs="宋体" w:hint="eastAsia"/>
          <w:color w:val="000000"/>
          <w:kern w:val="0"/>
          <w:sz w:val="24"/>
          <w:szCs w:val="24"/>
        </w:rPr>
        <w:t>年</w:t>
      </w:r>
      <w:r w:rsidR="00720B5B">
        <w:rPr>
          <w:rFonts w:ascii="宋体" w:eastAsia="宋体" w:hAnsi="宋体" w:cs="宋体"/>
          <w:color w:val="000000"/>
          <w:kern w:val="0"/>
          <w:sz w:val="24"/>
          <w:szCs w:val="24"/>
        </w:rPr>
        <w:t>12</w:t>
      </w:r>
      <w:r w:rsidR="00741F35" w:rsidRPr="00CC15F4">
        <w:rPr>
          <w:rFonts w:ascii="宋体" w:eastAsia="宋体" w:hAnsi="宋体" w:cs="宋体" w:hint="eastAsia"/>
          <w:color w:val="000000"/>
          <w:kern w:val="0"/>
          <w:sz w:val="24"/>
          <w:szCs w:val="24"/>
        </w:rPr>
        <w:t>月</w:t>
      </w:r>
      <w:r w:rsidR="00720B5B">
        <w:rPr>
          <w:rFonts w:ascii="宋体" w:eastAsia="宋体" w:hAnsi="宋体" w:cs="宋体"/>
          <w:color w:val="000000"/>
          <w:kern w:val="0"/>
          <w:sz w:val="24"/>
          <w:szCs w:val="24"/>
        </w:rPr>
        <w:t>27</w:t>
      </w:r>
      <w:r w:rsidR="00741F35" w:rsidRPr="00CC15F4">
        <w:rPr>
          <w:rFonts w:ascii="宋体" w:eastAsia="宋体" w:hAnsi="宋体" w:cs="宋体" w:hint="eastAsia"/>
          <w:color w:val="000000"/>
          <w:kern w:val="0"/>
          <w:sz w:val="24"/>
          <w:szCs w:val="24"/>
        </w:rPr>
        <w:t>日</w:t>
      </w:r>
      <w:bookmarkEnd w:id="3"/>
      <w:r w:rsidR="00741F35" w:rsidRPr="00CC15F4">
        <w:rPr>
          <w:rFonts w:ascii="宋体" w:eastAsia="宋体" w:hAnsi="宋体" w:cs="宋体" w:hint="eastAsia"/>
          <w:color w:val="000000"/>
          <w:kern w:val="0"/>
          <w:sz w:val="24"/>
          <w:szCs w:val="24"/>
        </w:rPr>
        <w:t>完成对本期产品的投资组合构建，截至20</w:t>
      </w:r>
      <w:r w:rsidR="00741F35" w:rsidRPr="00CC15F4">
        <w:rPr>
          <w:rFonts w:ascii="宋体" w:eastAsia="宋体" w:hAnsi="宋体" w:cs="宋体"/>
          <w:color w:val="000000"/>
          <w:kern w:val="0"/>
          <w:sz w:val="24"/>
          <w:szCs w:val="24"/>
        </w:rPr>
        <w:t>2</w:t>
      </w:r>
      <w:r w:rsidR="00720B5B">
        <w:rPr>
          <w:rFonts w:ascii="宋体" w:eastAsia="宋体" w:hAnsi="宋体" w:cs="宋体"/>
          <w:color w:val="000000"/>
          <w:kern w:val="0"/>
          <w:sz w:val="24"/>
          <w:szCs w:val="24"/>
        </w:rPr>
        <w:t>2</w:t>
      </w:r>
      <w:r w:rsidR="00741F35" w:rsidRPr="00CC15F4">
        <w:rPr>
          <w:rFonts w:ascii="宋体" w:eastAsia="宋体" w:hAnsi="宋体" w:cs="宋体" w:hint="eastAsia"/>
          <w:color w:val="000000"/>
          <w:kern w:val="0"/>
          <w:sz w:val="24"/>
          <w:szCs w:val="24"/>
        </w:rPr>
        <w:t>年</w:t>
      </w:r>
      <w:r w:rsidR="00720B5B">
        <w:rPr>
          <w:rFonts w:ascii="宋体" w:eastAsia="宋体" w:hAnsi="宋体" w:cs="宋体"/>
          <w:color w:val="000000"/>
          <w:kern w:val="0"/>
          <w:sz w:val="24"/>
          <w:szCs w:val="24"/>
        </w:rPr>
        <w:t>12</w:t>
      </w:r>
      <w:r w:rsidR="00741F35" w:rsidRPr="00CC15F4">
        <w:rPr>
          <w:rFonts w:ascii="宋体" w:eastAsia="宋体" w:hAnsi="宋体" w:cs="宋体" w:hint="eastAsia"/>
          <w:color w:val="000000"/>
          <w:kern w:val="0"/>
          <w:sz w:val="24"/>
          <w:szCs w:val="24"/>
        </w:rPr>
        <w:t>月</w:t>
      </w:r>
      <w:r w:rsidR="00720B5B">
        <w:rPr>
          <w:rFonts w:ascii="宋体" w:eastAsia="宋体" w:hAnsi="宋体" w:cs="宋体"/>
          <w:color w:val="000000"/>
          <w:kern w:val="0"/>
          <w:sz w:val="24"/>
          <w:szCs w:val="24"/>
        </w:rPr>
        <w:t>27</w:t>
      </w:r>
      <w:r w:rsidR="00741F35" w:rsidRPr="00CC15F4">
        <w:rPr>
          <w:rFonts w:ascii="宋体" w:eastAsia="宋体" w:hAnsi="宋体" w:cs="宋体" w:hint="eastAsia"/>
          <w:color w:val="000000"/>
          <w:kern w:val="0"/>
          <w:sz w:val="24"/>
          <w:szCs w:val="24"/>
        </w:rPr>
        <w:t>日基金资产中各大类资产比例如下：</w:t>
      </w:r>
      <w:bookmarkEnd w:id="1"/>
      <w:bookmarkEnd w:id="2"/>
    </w:p>
    <w:tbl>
      <w:tblPr>
        <w:tblW w:w="5000" w:type="pct"/>
        <w:tblCellMar>
          <w:left w:w="0" w:type="dxa"/>
          <w:right w:w="0" w:type="dxa"/>
        </w:tblCellMar>
        <w:tblLook w:val="04A0" w:firstRow="1" w:lastRow="0" w:firstColumn="1" w:lastColumn="0" w:noHBand="0" w:noVBand="1"/>
      </w:tblPr>
      <w:tblGrid>
        <w:gridCol w:w="3320"/>
        <w:gridCol w:w="4966"/>
      </w:tblGrid>
      <w:tr w:rsidR="00BF218C" w:rsidRPr="00CC15F4" w14:paraId="7FEED6F5" w14:textId="77777777" w:rsidTr="00BF218C">
        <w:tc>
          <w:tcPr>
            <w:tcW w:w="0" w:type="auto"/>
            <w:gridSpan w:val="2"/>
            <w:tcBorders>
              <w:top w:val="single" w:sz="8" w:space="0" w:color="auto"/>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3B4C79F1" w14:textId="3AAB15F3" w:rsidR="00BF218C" w:rsidRPr="00CC15F4" w:rsidRDefault="00BF218C" w:rsidP="00AA26D5">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b/>
                <w:bCs/>
                <w:color w:val="000000"/>
                <w:kern w:val="0"/>
                <w:sz w:val="24"/>
                <w:szCs w:val="24"/>
              </w:rPr>
              <w:t>本基金</w:t>
            </w:r>
            <w:r w:rsidR="00AA26D5" w:rsidRPr="00CC15F4">
              <w:rPr>
                <w:rFonts w:ascii="宋体" w:eastAsia="宋体" w:hAnsi="宋体" w:cs="宋体" w:hint="eastAsia"/>
                <w:b/>
                <w:bCs/>
                <w:color w:val="000000"/>
                <w:kern w:val="0"/>
                <w:sz w:val="24"/>
                <w:szCs w:val="24"/>
              </w:rPr>
              <w:t>第</w:t>
            </w:r>
            <w:r w:rsidR="00741F35">
              <w:rPr>
                <w:rFonts w:ascii="宋体" w:eastAsia="宋体" w:hAnsi="宋体" w:cs="宋体" w:hint="eastAsia"/>
                <w:b/>
                <w:bCs/>
                <w:color w:val="000000"/>
                <w:kern w:val="0"/>
                <w:sz w:val="24"/>
                <w:szCs w:val="24"/>
              </w:rPr>
              <w:t>三</w:t>
            </w:r>
            <w:r w:rsidRPr="00CC15F4">
              <w:rPr>
                <w:rFonts w:ascii="宋体" w:eastAsia="宋体" w:hAnsi="宋体" w:cs="宋体" w:hint="eastAsia"/>
                <w:b/>
                <w:bCs/>
                <w:color w:val="000000"/>
                <w:kern w:val="0"/>
                <w:sz w:val="24"/>
                <w:szCs w:val="24"/>
              </w:rPr>
              <w:t>期运作期投资组合构建情况</w:t>
            </w:r>
          </w:p>
        </w:tc>
      </w:tr>
      <w:tr w:rsidR="00BF218C" w:rsidRPr="00CC15F4" w14:paraId="55B05F90" w14:textId="77777777" w:rsidTr="00BF218C">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08B96EFE" w14:textId="77777777" w:rsidR="00BF218C" w:rsidRPr="00CC15F4" w:rsidRDefault="00BF218C" w:rsidP="00BF218C">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b/>
                <w:bCs/>
                <w:color w:val="000000"/>
                <w:kern w:val="0"/>
                <w:sz w:val="24"/>
                <w:szCs w:val="24"/>
              </w:rPr>
              <w:t xml:space="preserve">资产类别 </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14:paraId="4CE3AEA9" w14:textId="77777777" w:rsidR="00BF218C" w:rsidRPr="00CC15F4" w:rsidRDefault="00BF218C" w:rsidP="00BF218C">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b/>
                <w:bCs/>
                <w:color w:val="000000"/>
                <w:kern w:val="0"/>
                <w:sz w:val="24"/>
                <w:szCs w:val="24"/>
              </w:rPr>
              <w:t xml:space="preserve">占基金总资产的比例（%） </w:t>
            </w:r>
          </w:p>
        </w:tc>
      </w:tr>
      <w:tr w:rsidR="006B2662" w:rsidRPr="00CC15F4" w14:paraId="48FEB1D6" w14:textId="77777777" w:rsidTr="00680243">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6A4EECCE" w14:textId="77777777" w:rsidR="006B2662" w:rsidRPr="00CC15F4" w:rsidRDefault="006B2662" w:rsidP="006B2662">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color w:val="000000"/>
                <w:kern w:val="0"/>
                <w:sz w:val="24"/>
                <w:szCs w:val="24"/>
              </w:rPr>
              <w:t>银行定期存款</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tcPr>
          <w:p w14:paraId="70DF7E57" w14:textId="4F8D4CE2" w:rsidR="006B2662" w:rsidRPr="00CC15F4" w:rsidRDefault="00E52F2B" w:rsidP="006B2662">
            <w:pPr>
              <w:widowControl/>
              <w:wordWrap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bookmarkStart w:id="4" w:name="_GoBack"/>
            <w:bookmarkEnd w:id="4"/>
          </w:p>
        </w:tc>
      </w:tr>
      <w:tr w:rsidR="006B2662" w:rsidRPr="00CC15F4" w14:paraId="18271B94" w14:textId="77777777" w:rsidTr="00680243">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6DF93DAD" w14:textId="77777777" w:rsidR="006B2662" w:rsidRPr="00CC15F4" w:rsidRDefault="006B2662" w:rsidP="006B2662">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color w:val="000000"/>
                <w:kern w:val="0"/>
                <w:sz w:val="24"/>
                <w:szCs w:val="24"/>
              </w:rPr>
              <w:t>债券</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tcPr>
          <w:p w14:paraId="0DBFF503" w14:textId="43FABE05" w:rsidR="006B2662" w:rsidRPr="00CC15F4" w:rsidRDefault="00E52F2B" w:rsidP="006B2662">
            <w:pPr>
              <w:widowControl/>
              <w:wordWrap w:val="0"/>
              <w:spacing w:line="360" w:lineRule="auto"/>
              <w:jc w:val="center"/>
              <w:rPr>
                <w:rFonts w:ascii="宋体" w:eastAsia="宋体" w:hAnsi="宋体" w:cs="宋体"/>
                <w:color w:val="000000"/>
                <w:kern w:val="0"/>
                <w:sz w:val="24"/>
                <w:szCs w:val="24"/>
              </w:rPr>
            </w:pPr>
            <w:r>
              <w:rPr>
                <w:rFonts w:ascii="宋体" w:eastAsia="宋体" w:hAnsi="宋体" w:cs="宋体"/>
                <w:color w:val="000000"/>
                <w:kern w:val="0"/>
                <w:sz w:val="24"/>
                <w:szCs w:val="24"/>
              </w:rPr>
              <w:t>99.996</w:t>
            </w:r>
          </w:p>
        </w:tc>
      </w:tr>
      <w:tr w:rsidR="006B2662" w:rsidRPr="00CC15F4" w14:paraId="3EAB28FD" w14:textId="77777777" w:rsidTr="00680243">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2F59CC0B" w14:textId="77777777" w:rsidR="006B2662" w:rsidRPr="00CC15F4" w:rsidRDefault="006B2662" w:rsidP="006B2662">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color w:val="000000"/>
                <w:kern w:val="0"/>
                <w:sz w:val="24"/>
                <w:szCs w:val="24"/>
              </w:rPr>
              <w:t>买入返售金融资产</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tcPr>
          <w:p w14:paraId="22F57C38" w14:textId="7ACB5FB3" w:rsidR="006B2662" w:rsidRPr="00CC15F4" w:rsidRDefault="00E52F2B" w:rsidP="006B2662">
            <w:pPr>
              <w:widowControl/>
              <w:wordWrap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r>
      <w:tr w:rsidR="006B2662" w:rsidRPr="00CC15F4" w14:paraId="05289CB2" w14:textId="77777777" w:rsidTr="00680243">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4750580A" w14:textId="77777777" w:rsidR="006B2662" w:rsidRPr="00CC15F4" w:rsidRDefault="006B2662" w:rsidP="006B2662">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color w:val="000000"/>
                <w:kern w:val="0"/>
                <w:sz w:val="24"/>
                <w:szCs w:val="24"/>
              </w:rPr>
              <w:t>其他各项资产</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tcPr>
          <w:p w14:paraId="704E4136" w14:textId="597DF0D7" w:rsidR="006B2662" w:rsidRPr="00CC15F4" w:rsidRDefault="00E52F2B" w:rsidP="006B2662">
            <w:pPr>
              <w:widowControl/>
              <w:wordWrap w:val="0"/>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r>
              <w:rPr>
                <w:rFonts w:ascii="宋体" w:eastAsia="宋体" w:hAnsi="宋体" w:cs="宋体"/>
                <w:color w:val="000000"/>
                <w:kern w:val="0"/>
                <w:sz w:val="24"/>
                <w:szCs w:val="24"/>
              </w:rPr>
              <w:t>.004</w:t>
            </w:r>
          </w:p>
        </w:tc>
      </w:tr>
      <w:tr w:rsidR="006B2662" w:rsidRPr="00CC15F4" w14:paraId="669C5C4D" w14:textId="77777777" w:rsidTr="00680243">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14:paraId="021017AF" w14:textId="77777777" w:rsidR="006B2662" w:rsidRPr="00CC15F4" w:rsidRDefault="006B2662" w:rsidP="006B2662">
            <w:pPr>
              <w:widowControl/>
              <w:wordWrap w:val="0"/>
              <w:spacing w:line="360" w:lineRule="auto"/>
              <w:jc w:val="center"/>
              <w:rPr>
                <w:rFonts w:ascii="inherit" w:eastAsia="宋体" w:hAnsi="inherit" w:cs="宋体" w:hint="eastAsia"/>
                <w:color w:val="333333"/>
                <w:kern w:val="0"/>
                <w:sz w:val="24"/>
                <w:szCs w:val="24"/>
              </w:rPr>
            </w:pPr>
            <w:r w:rsidRPr="00CC15F4">
              <w:rPr>
                <w:rFonts w:ascii="宋体" w:eastAsia="宋体" w:hAnsi="宋体" w:cs="宋体" w:hint="eastAsia"/>
                <w:color w:val="000000"/>
                <w:kern w:val="0"/>
                <w:sz w:val="24"/>
                <w:szCs w:val="24"/>
              </w:rPr>
              <w:t>合计</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hideMark/>
          </w:tcPr>
          <w:p w14:paraId="3E693ED6" w14:textId="060EFFA3" w:rsidR="006B2662" w:rsidRPr="00CC15F4" w:rsidRDefault="006B2662" w:rsidP="006B2662">
            <w:pPr>
              <w:widowControl/>
              <w:wordWrap w:val="0"/>
              <w:spacing w:line="360" w:lineRule="auto"/>
              <w:jc w:val="center"/>
              <w:rPr>
                <w:rFonts w:ascii="宋体" w:eastAsia="宋体" w:hAnsi="宋体" w:cs="宋体"/>
                <w:color w:val="333333"/>
                <w:kern w:val="0"/>
                <w:sz w:val="24"/>
                <w:szCs w:val="24"/>
              </w:rPr>
            </w:pPr>
            <w:r w:rsidRPr="00CC15F4">
              <w:rPr>
                <w:rFonts w:ascii="宋体" w:eastAsia="宋体" w:hAnsi="宋体"/>
                <w:sz w:val="24"/>
                <w:szCs w:val="24"/>
              </w:rPr>
              <w:t>100.00</w:t>
            </w:r>
            <w:r w:rsidR="00E52F2B">
              <w:rPr>
                <w:rFonts w:ascii="宋体" w:eastAsia="宋体" w:hAnsi="宋体"/>
                <w:sz w:val="24"/>
                <w:szCs w:val="24"/>
              </w:rPr>
              <w:t>0</w:t>
            </w:r>
          </w:p>
        </w:tc>
      </w:tr>
    </w:tbl>
    <w:p w14:paraId="178DEE89" w14:textId="394F3494"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p>
    <w:p w14:paraId="3B04BB36" w14:textId="77777777"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风险提示：</w:t>
      </w:r>
    </w:p>
    <w:p w14:paraId="3F8EDE5C" w14:textId="77777777"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本基金管理人承诺以诚实信用、勤勉尽责的原则管理和运用基金财产，但不保证基金一定盈利，也不保证最低收益。基金的过往业绩并不代表其将来表现。 </w:t>
      </w:r>
    </w:p>
    <w:p w14:paraId="66F53DCB" w14:textId="77777777"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本公告中的投资组合构建情况及其他相关信息不构成对基金运作期实际收益的承诺或保证。</w:t>
      </w:r>
    </w:p>
    <w:p w14:paraId="695094CC" w14:textId="77777777" w:rsidR="00BF218C" w:rsidRPr="00CC15F4" w:rsidRDefault="00BF218C" w:rsidP="00BF218C">
      <w:pPr>
        <w:widowControl/>
        <w:wordWrap w:val="0"/>
        <w:spacing w:line="360" w:lineRule="auto"/>
        <w:ind w:firstLine="480"/>
        <w:jc w:val="lef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特此公告。</w:t>
      </w:r>
    </w:p>
    <w:p w14:paraId="53694035" w14:textId="77777777" w:rsidR="00BF218C" w:rsidRPr="00CC15F4" w:rsidRDefault="00BF218C" w:rsidP="00BF218C">
      <w:pPr>
        <w:widowControl/>
        <w:wordWrap w:val="0"/>
        <w:spacing w:line="360" w:lineRule="auto"/>
        <w:ind w:firstLine="480"/>
        <w:jc w:val="righ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嘉实基金管理有限公司</w:t>
      </w:r>
    </w:p>
    <w:p w14:paraId="7B0123DD" w14:textId="3CA44C46" w:rsidR="00741F35" w:rsidRPr="00CC15F4" w:rsidRDefault="00741F35" w:rsidP="00741F35">
      <w:pPr>
        <w:widowControl/>
        <w:wordWrap w:val="0"/>
        <w:spacing w:line="360" w:lineRule="auto"/>
        <w:ind w:firstLine="480"/>
        <w:jc w:val="right"/>
        <w:rPr>
          <w:rFonts w:ascii="inherit" w:eastAsia="宋体" w:hAnsi="inherit" w:cs="宋体" w:hint="eastAsia"/>
          <w:color w:val="000000"/>
          <w:kern w:val="0"/>
          <w:sz w:val="14"/>
          <w:szCs w:val="14"/>
        </w:rPr>
      </w:pPr>
      <w:r w:rsidRPr="00CC15F4">
        <w:rPr>
          <w:rFonts w:ascii="宋体" w:eastAsia="宋体" w:hAnsi="宋体" w:cs="宋体" w:hint="eastAsia"/>
          <w:color w:val="000000"/>
          <w:kern w:val="0"/>
          <w:sz w:val="24"/>
          <w:szCs w:val="24"/>
        </w:rPr>
        <w:t>20</w:t>
      </w:r>
      <w:r w:rsidRPr="00CC15F4">
        <w:rPr>
          <w:rFonts w:ascii="宋体" w:eastAsia="宋体" w:hAnsi="宋体" w:cs="宋体"/>
          <w:color w:val="000000"/>
          <w:kern w:val="0"/>
          <w:sz w:val="24"/>
          <w:szCs w:val="24"/>
        </w:rPr>
        <w:t>2</w:t>
      </w:r>
      <w:r>
        <w:rPr>
          <w:rFonts w:ascii="宋体" w:eastAsia="宋体" w:hAnsi="宋体" w:cs="宋体"/>
          <w:color w:val="000000"/>
          <w:kern w:val="0"/>
          <w:sz w:val="24"/>
          <w:szCs w:val="24"/>
        </w:rPr>
        <w:t>3</w:t>
      </w:r>
      <w:r w:rsidRPr="00CC15F4">
        <w:rPr>
          <w:rFonts w:ascii="宋体" w:eastAsia="宋体" w:hAnsi="宋体" w:cs="宋体" w:hint="eastAsia"/>
          <w:color w:val="000000"/>
          <w:kern w:val="0"/>
          <w:sz w:val="24"/>
          <w:szCs w:val="24"/>
        </w:rPr>
        <w:t>年</w:t>
      </w:r>
      <w:r>
        <w:rPr>
          <w:rFonts w:ascii="宋体" w:eastAsia="宋体" w:hAnsi="宋体" w:cs="宋体"/>
          <w:color w:val="000000"/>
          <w:kern w:val="0"/>
          <w:sz w:val="24"/>
          <w:szCs w:val="24"/>
        </w:rPr>
        <w:t>1</w:t>
      </w:r>
      <w:r w:rsidRPr="00CC15F4">
        <w:rPr>
          <w:rFonts w:ascii="宋体" w:eastAsia="宋体" w:hAnsi="宋体" w:cs="宋体" w:hint="eastAsia"/>
          <w:color w:val="000000"/>
          <w:kern w:val="0"/>
          <w:sz w:val="24"/>
          <w:szCs w:val="24"/>
        </w:rPr>
        <w:t>月</w:t>
      </w:r>
      <w:r w:rsidR="00E52F2B">
        <w:rPr>
          <w:rFonts w:ascii="宋体" w:eastAsia="宋体" w:hAnsi="宋体" w:cs="宋体"/>
          <w:color w:val="000000"/>
          <w:kern w:val="0"/>
          <w:sz w:val="24"/>
          <w:szCs w:val="24"/>
        </w:rPr>
        <w:t>10</w:t>
      </w:r>
      <w:r w:rsidRPr="00CC15F4">
        <w:rPr>
          <w:rFonts w:ascii="宋体" w:eastAsia="宋体" w:hAnsi="宋体" w:cs="宋体" w:hint="eastAsia"/>
          <w:color w:val="000000"/>
          <w:kern w:val="0"/>
          <w:sz w:val="24"/>
          <w:szCs w:val="24"/>
        </w:rPr>
        <w:t>日</w:t>
      </w:r>
    </w:p>
    <w:p w14:paraId="7ACE5BF0" w14:textId="0160D612" w:rsidR="003309B8" w:rsidRPr="00CC15F4" w:rsidRDefault="003309B8" w:rsidP="00741F35">
      <w:pPr>
        <w:widowControl/>
        <w:wordWrap w:val="0"/>
        <w:spacing w:line="360" w:lineRule="auto"/>
        <w:ind w:firstLine="480"/>
        <w:jc w:val="right"/>
        <w:rPr>
          <w:rFonts w:ascii="inherit" w:eastAsia="宋体" w:hAnsi="inherit" w:cs="宋体" w:hint="eastAsia"/>
          <w:color w:val="000000"/>
          <w:kern w:val="0"/>
          <w:sz w:val="14"/>
          <w:szCs w:val="14"/>
        </w:rPr>
      </w:pPr>
    </w:p>
    <w:sectPr w:rsidR="003309B8" w:rsidRPr="00CC15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62AA" w14:textId="77777777" w:rsidR="00A81C29" w:rsidRDefault="00A81C29" w:rsidP="00BF218C">
      <w:r>
        <w:separator/>
      </w:r>
    </w:p>
  </w:endnote>
  <w:endnote w:type="continuationSeparator" w:id="0">
    <w:p w14:paraId="676D72F6" w14:textId="77777777" w:rsidR="00A81C29" w:rsidRDefault="00A81C29" w:rsidP="00BF218C">
      <w:r>
        <w:continuationSeparator/>
      </w:r>
    </w:p>
  </w:endnote>
  <w:endnote w:type="continuationNotice" w:id="1">
    <w:p w14:paraId="7220E97A" w14:textId="77777777" w:rsidR="00A81C29" w:rsidRDefault="00A8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ADAB" w14:textId="77777777" w:rsidR="00A81C29" w:rsidRDefault="00A81C29" w:rsidP="00BF218C">
      <w:r>
        <w:separator/>
      </w:r>
    </w:p>
  </w:footnote>
  <w:footnote w:type="continuationSeparator" w:id="0">
    <w:p w14:paraId="4C2038B9" w14:textId="77777777" w:rsidR="00A81C29" w:rsidRDefault="00A81C29" w:rsidP="00BF218C">
      <w:r>
        <w:continuationSeparator/>
      </w:r>
    </w:p>
  </w:footnote>
  <w:footnote w:type="continuationNotice" w:id="1">
    <w:p w14:paraId="570548BA" w14:textId="77777777" w:rsidR="00A81C29" w:rsidRDefault="00A81C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8C"/>
    <w:rsid w:val="0002718F"/>
    <w:rsid w:val="00086DB5"/>
    <w:rsid w:val="000C51F2"/>
    <w:rsid w:val="000C5EFD"/>
    <w:rsid w:val="00121B94"/>
    <w:rsid w:val="001363E4"/>
    <w:rsid w:val="00215482"/>
    <w:rsid w:val="002272D0"/>
    <w:rsid w:val="00306250"/>
    <w:rsid w:val="003309B8"/>
    <w:rsid w:val="003522B3"/>
    <w:rsid w:val="003E2DAF"/>
    <w:rsid w:val="0040605B"/>
    <w:rsid w:val="0043259D"/>
    <w:rsid w:val="0045744A"/>
    <w:rsid w:val="00467787"/>
    <w:rsid w:val="004803DE"/>
    <w:rsid w:val="004A0E47"/>
    <w:rsid w:val="004A56CC"/>
    <w:rsid w:val="004F22C0"/>
    <w:rsid w:val="00572D1F"/>
    <w:rsid w:val="0057307F"/>
    <w:rsid w:val="00584922"/>
    <w:rsid w:val="00592AAE"/>
    <w:rsid w:val="0059493D"/>
    <w:rsid w:val="00595E4A"/>
    <w:rsid w:val="00596A40"/>
    <w:rsid w:val="005B5943"/>
    <w:rsid w:val="005B773E"/>
    <w:rsid w:val="005C6BF6"/>
    <w:rsid w:val="00625B3D"/>
    <w:rsid w:val="00631C53"/>
    <w:rsid w:val="006B2662"/>
    <w:rsid w:val="006C0E0D"/>
    <w:rsid w:val="00720B5B"/>
    <w:rsid w:val="00741F35"/>
    <w:rsid w:val="00747D60"/>
    <w:rsid w:val="00752832"/>
    <w:rsid w:val="007B0855"/>
    <w:rsid w:val="007B2BD1"/>
    <w:rsid w:val="007D6B3B"/>
    <w:rsid w:val="008032AF"/>
    <w:rsid w:val="008248FC"/>
    <w:rsid w:val="00846AB2"/>
    <w:rsid w:val="008551C9"/>
    <w:rsid w:val="008C064E"/>
    <w:rsid w:val="008D20B8"/>
    <w:rsid w:val="008E101F"/>
    <w:rsid w:val="008F529C"/>
    <w:rsid w:val="0092089D"/>
    <w:rsid w:val="009D1F43"/>
    <w:rsid w:val="00A51943"/>
    <w:rsid w:val="00A63FC3"/>
    <w:rsid w:val="00A81A68"/>
    <w:rsid w:val="00A81C29"/>
    <w:rsid w:val="00AA26D5"/>
    <w:rsid w:val="00AD01DD"/>
    <w:rsid w:val="00BD7CF1"/>
    <w:rsid w:val="00BF218C"/>
    <w:rsid w:val="00BF27D9"/>
    <w:rsid w:val="00C3347A"/>
    <w:rsid w:val="00C41015"/>
    <w:rsid w:val="00C62B8F"/>
    <w:rsid w:val="00C711C6"/>
    <w:rsid w:val="00CB3D2B"/>
    <w:rsid w:val="00CC15F4"/>
    <w:rsid w:val="00CF1270"/>
    <w:rsid w:val="00D60C73"/>
    <w:rsid w:val="00D8022B"/>
    <w:rsid w:val="00D856DF"/>
    <w:rsid w:val="00E04619"/>
    <w:rsid w:val="00E466AF"/>
    <w:rsid w:val="00E52F2B"/>
    <w:rsid w:val="00E86F4C"/>
    <w:rsid w:val="00EC573F"/>
    <w:rsid w:val="00EF7600"/>
    <w:rsid w:val="00F42A21"/>
    <w:rsid w:val="00F513C4"/>
    <w:rsid w:val="00FF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20AE"/>
  <w15:docId w15:val="{49BA9B5F-5536-46F1-824F-BB4A084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218C"/>
    <w:rPr>
      <w:sz w:val="18"/>
      <w:szCs w:val="18"/>
    </w:rPr>
  </w:style>
  <w:style w:type="paragraph" w:styleId="a5">
    <w:name w:val="footer"/>
    <w:basedOn w:val="a"/>
    <w:link w:val="a6"/>
    <w:uiPriority w:val="99"/>
    <w:unhideWhenUsed/>
    <w:rsid w:val="00BF218C"/>
    <w:pPr>
      <w:tabs>
        <w:tab w:val="center" w:pos="4153"/>
        <w:tab w:val="right" w:pos="8306"/>
      </w:tabs>
      <w:snapToGrid w:val="0"/>
      <w:jc w:val="left"/>
    </w:pPr>
    <w:rPr>
      <w:sz w:val="18"/>
      <w:szCs w:val="18"/>
    </w:rPr>
  </w:style>
  <w:style w:type="character" w:customStyle="1" w:styleId="a6">
    <w:name w:val="页脚 字符"/>
    <w:basedOn w:val="a0"/>
    <w:link w:val="a5"/>
    <w:uiPriority w:val="99"/>
    <w:rsid w:val="00BF218C"/>
    <w:rPr>
      <w:sz w:val="18"/>
      <w:szCs w:val="18"/>
    </w:rPr>
  </w:style>
  <w:style w:type="paragraph" w:styleId="a7">
    <w:name w:val="Balloon Text"/>
    <w:basedOn w:val="a"/>
    <w:link w:val="a8"/>
    <w:uiPriority w:val="99"/>
    <w:semiHidden/>
    <w:unhideWhenUsed/>
    <w:rsid w:val="00FF4930"/>
    <w:rPr>
      <w:sz w:val="18"/>
      <w:szCs w:val="18"/>
    </w:rPr>
  </w:style>
  <w:style w:type="character" w:customStyle="1" w:styleId="a8">
    <w:name w:val="批注框文本 字符"/>
    <w:basedOn w:val="a0"/>
    <w:link w:val="a7"/>
    <w:uiPriority w:val="99"/>
    <w:semiHidden/>
    <w:rsid w:val="00FF4930"/>
    <w:rPr>
      <w:sz w:val="18"/>
      <w:szCs w:val="18"/>
    </w:rPr>
  </w:style>
  <w:style w:type="character" w:styleId="a9">
    <w:name w:val="annotation reference"/>
    <w:basedOn w:val="a0"/>
    <w:uiPriority w:val="99"/>
    <w:semiHidden/>
    <w:unhideWhenUsed/>
    <w:rsid w:val="0059493D"/>
    <w:rPr>
      <w:sz w:val="21"/>
      <w:szCs w:val="21"/>
    </w:rPr>
  </w:style>
  <w:style w:type="paragraph" w:styleId="aa">
    <w:name w:val="annotation text"/>
    <w:basedOn w:val="a"/>
    <w:link w:val="ab"/>
    <w:uiPriority w:val="99"/>
    <w:semiHidden/>
    <w:unhideWhenUsed/>
    <w:rsid w:val="0059493D"/>
    <w:pPr>
      <w:jc w:val="left"/>
    </w:pPr>
  </w:style>
  <w:style w:type="character" w:customStyle="1" w:styleId="ab">
    <w:name w:val="批注文字 字符"/>
    <w:basedOn w:val="a0"/>
    <w:link w:val="aa"/>
    <w:uiPriority w:val="99"/>
    <w:semiHidden/>
    <w:rsid w:val="0059493D"/>
  </w:style>
  <w:style w:type="paragraph" w:styleId="ac">
    <w:name w:val="annotation subject"/>
    <w:basedOn w:val="aa"/>
    <w:next w:val="aa"/>
    <w:link w:val="ad"/>
    <w:uiPriority w:val="99"/>
    <w:semiHidden/>
    <w:unhideWhenUsed/>
    <w:rsid w:val="0059493D"/>
    <w:rPr>
      <w:b/>
      <w:bCs/>
    </w:rPr>
  </w:style>
  <w:style w:type="character" w:customStyle="1" w:styleId="ad">
    <w:name w:val="批注主题 字符"/>
    <w:basedOn w:val="ab"/>
    <w:link w:val="ac"/>
    <w:uiPriority w:val="99"/>
    <w:semiHidden/>
    <w:rsid w:val="0059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8072">
      <w:bodyDiv w:val="1"/>
      <w:marLeft w:val="0"/>
      <w:marRight w:val="0"/>
      <w:marTop w:val="0"/>
      <w:marBottom w:val="0"/>
      <w:divBdr>
        <w:top w:val="none" w:sz="0" w:space="0" w:color="auto"/>
        <w:left w:val="none" w:sz="0" w:space="0" w:color="auto"/>
        <w:bottom w:val="none" w:sz="0" w:space="0" w:color="auto"/>
        <w:right w:val="none" w:sz="0" w:space="0" w:color="auto"/>
      </w:divBdr>
      <w:divsChild>
        <w:div w:id="486479760">
          <w:marLeft w:val="0"/>
          <w:marRight w:val="0"/>
          <w:marTop w:val="0"/>
          <w:marBottom w:val="0"/>
          <w:divBdr>
            <w:top w:val="none" w:sz="0" w:space="0" w:color="auto"/>
            <w:left w:val="none" w:sz="0" w:space="0" w:color="auto"/>
            <w:bottom w:val="none" w:sz="0" w:space="0" w:color="auto"/>
            <w:right w:val="none" w:sz="0" w:space="0" w:color="auto"/>
          </w:divBdr>
          <w:divsChild>
            <w:div w:id="1096442694">
              <w:marLeft w:val="0"/>
              <w:marRight w:val="0"/>
              <w:marTop w:val="0"/>
              <w:marBottom w:val="0"/>
              <w:divBdr>
                <w:top w:val="none" w:sz="0" w:space="0" w:color="auto"/>
                <w:left w:val="none" w:sz="0" w:space="0" w:color="auto"/>
                <w:bottom w:val="none" w:sz="0" w:space="0" w:color="auto"/>
                <w:right w:val="none" w:sz="0" w:space="0" w:color="auto"/>
              </w:divBdr>
              <w:divsChild>
                <w:div w:id="175273197">
                  <w:marLeft w:val="0"/>
                  <w:marRight w:val="0"/>
                  <w:marTop w:val="0"/>
                  <w:marBottom w:val="0"/>
                  <w:divBdr>
                    <w:top w:val="none" w:sz="0" w:space="0" w:color="auto"/>
                    <w:left w:val="none" w:sz="0" w:space="0" w:color="auto"/>
                    <w:bottom w:val="none" w:sz="0" w:space="0" w:color="auto"/>
                    <w:right w:val="none" w:sz="0" w:space="0" w:color="auto"/>
                  </w:divBdr>
                  <w:divsChild>
                    <w:div w:id="135758390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C09F-1205-4A27-BE52-06623547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wind</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000487嘉实3个月理财-嘉实3个月理财债券型证券投资基金第六期投资组合构建情况说明的公告</dc:title>
  <dc:creator>史彦琼</dc:creator>
  <cp:lastModifiedBy>孙一雯</cp:lastModifiedBy>
  <cp:revision>4</cp:revision>
  <dcterms:created xsi:type="dcterms:W3CDTF">2023-01-06T02:54:00Z</dcterms:created>
  <dcterms:modified xsi:type="dcterms:W3CDTF">2023-01-06T08:00:00Z</dcterms:modified>
</cp:coreProperties>
</file>