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F0B40">
      <w:pPr>
        <w:widowControl/>
        <w:jc w:val="center"/>
        <w:rPr>
          <w:rFonts w:eastAsiaTheme="minorEastAsia"/>
          <w:b/>
          <w:kern w:val="0"/>
          <w:sz w:val="30"/>
          <w:szCs w:val="30"/>
        </w:rPr>
      </w:pPr>
      <w:r>
        <w:rPr>
          <w:rFonts w:eastAsiaTheme="minorEastAsia"/>
          <w:b/>
          <w:kern w:val="0"/>
          <w:sz w:val="30"/>
          <w:szCs w:val="30"/>
        </w:rPr>
        <w:t>易方达纯债债券型证券投资基金分红公告</w:t>
      </w:r>
    </w:p>
    <w:p w:rsidR="003F0B40">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1</w:t>
      </w:r>
      <w:r>
        <w:rPr>
          <w:rFonts w:eastAsiaTheme="minorEastAsia"/>
          <w:b/>
          <w:color w:val="000000"/>
          <w:sz w:val="24"/>
          <w:szCs w:val="24"/>
        </w:rPr>
        <w:t>月</w:t>
      </w:r>
      <w:r>
        <w:rPr>
          <w:rFonts w:eastAsiaTheme="minorEastAsia"/>
          <w:b/>
          <w:color w:val="000000"/>
          <w:sz w:val="24"/>
          <w:szCs w:val="24"/>
        </w:rPr>
        <w:t>10</w:t>
      </w:r>
      <w:r>
        <w:rPr>
          <w:rFonts w:eastAsiaTheme="minorEastAsia"/>
          <w:b/>
          <w:color w:val="000000"/>
          <w:sz w:val="24"/>
          <w:szCs w:val="24"/>
        </w:rPr>
        <w:t>日</w:t>
      </w:r>
    </w:p>
    <w:p w:rsidR="003F0B40">
      <w:pPr>
        <w:spacing w:line="360" w:lineRule="auto"/>
        <w:jc w:val="center"/>
        <w:rPr>
          <w:rFonts w:eastAsiaTheme="minorEastAsia"/>
          <w:color w:val="000000"/>
          <w:sz w:val="24"/>
        </w:rPr>
      </w:pPr>
    </w:p>
    <w:p w:rsidR="003F0B40">
      <w:pPr>
        <w:pStyle w:val="Heading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基金名称</w:t>
            </w:r>
          </w:p>
        </w:tc>
        <w:tc>
          <w:tcPr>
            <w:tcW w:w="5412" w:type="dxa"/>
            <w:gridSpan w:val="2"/>
            <w:vAlign w:val="center"/>
          </w:tcPr>
          <w:p w:rsidR="003F0B40">
            <w:pPr>
              <w:rPr>
                <w:rFonts w:eastAsiaTheme="minorEastAsia"/>
                <w:sz w:val="24"/>
                <w:szCs w:val="24"/>
              </w:rPr>
            </w:pPr>
            <w:r>
              <w:rPr>
                <w:rFonts w:eastAsiaTheme="minorEastAsia"/>
                <w:sz w:val="24"/>
                <w:szCs w:val="24"/>
              </w:rPr>
              <w:t>易方达纯债债券型证券投资基金</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基金简称</w:t>
            </w:r>
          </w:p>
        </w:tc>
        <w:tc>
          <w:tcPr>
            <w:tcW w:w="5412" w:type="dxa"/>
            <w:gridSpan w:val="2"/>
            <w:vAlign w:val="center"/>
          </w:tcPr>
          <w:p w:rsidR="003F0B40">
            <w:pPr>
              <w:rPr>
                <w:rFonts w:eastAsiaTheme="minorEastAsia"/>
                <w:sz w:val="24"/>
                <w:szCs w:val="24"/>
              </w:rPr>
            </w:pPr>
            <w:r>
              <w:rPr>
                <w:rFonts w:eastAsiaTheme="minorEastAsia"/>
                <w:sz w:val="24"/>
                <w:szCs w:val="24"/>
              </w:rPr>
              <w:t>易方达纯债债券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基金主代码</w:t>
            </w:r>
          </w:p>
        </w:tc>
        <w:tc>
          <w:tcPr>
            <w:tcW w:w="5412" w:type="dxa"/>
            <w:gridSpan w:val="2"/>
            <w:vAlign w:val="center"/>
          </w:tcPr>
          <w:p w:rsidR="003F0B40">
            <w:pPr>
              <w:rPr>
                <w:rFonts w:eastAsiaTheme="minorEastAsia"/>
                <w:sz w:val="24"/>
                <w:szCs w:val="24"/>
              </w:rPr>
            </w:pPr>
            <w:r>
              <w:rPr>
                <w:rFonts w:eastAsiaTheme="minorEastAsia"/>
                <w:sz w:val="24"/>
                <w:szCs w:val="24"/>
              </w:rPr>
              <w:t>110037</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pPr>
              <w:rPr>
                <w:rFonts w:eastAsiaTheme="minorEastAsia"/>
                <w:sz w:val="24"/>
                <w:szCs w:val="24"/>
              </w:rPr>
            </w:pPr>
            <w:r>
              <w:rPr>
                <w:rFonts w:eastAsiaTheme="minorEastAsia"/>
                <w:sz w:val="24"/>
                <w:szCs w:val="24"/>
              </w:rPr>
              <w:t>2012</w:t>
            </w:r>
            <w:r>
              <w:rPr>
                <w:rFonts w:eastAsiaTheme="minorEastAsia"/>
                <w:sz w:val="24"/>
                <w:szCs w:val="24"/>
              </w:rPr>
              <w:t>年</w:t>
            </w:r>
            <w:r>
              <w:rPr>
                <w:rFonts w:eastAsiaTheme="minorEastAsia"/>
                <w:sz w:val="24"/>
                <w:szCs w:val="24"/>
              </w:rPr>
              <w:t>5</w:t>
            </w:r>
            <w:r>
              <w:rPr>
                <w:rFonts w:eastAsiaTheme="minorEastAsia"/>
                <w:sz w:val="24"/>
                <w:szCs w:val="24"/>
              </w:rPr>
              <w:t>月</w:t>
            </w:r>
            <w:r>
              <w:rPr>
                <w:rFonts w:eastAsiaTheme="minorEastAsia"/>
                <w:sz w:val="24"/>
                <w:szCs w:val="24"/>
              </w:rPr>
              <w:t>3</w:t>
            </w:r>
            <w:r>
              <w:rPr>
                <w:rFonts w:eastAsiaTheme="minorEastAsia"/>
                <w:sz w:val="24"/>
                <w:szCs w:val="24"/>
              </w:rPr>
              <w:t>日</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pPr>
              <w:rPr>
                <w:rFonts w:eastAsiaTheme="minorEastAsia"/>
                <w:sz w:val="24"/>
                <w:szCs w:val="24"/>
              </w:rPr>
            </w:pPr>
            <w:r>
              <w:rPr>
                <w:rFonts w:eastAsiaTheme="minorEastAsia"/>
                <w:sz w:val="24"/>
                <w:szCs w:val="24"/>
              </w:rPr>
              <w:t>易方达基金管理有限公司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pPr>
              <w:rPr>
                <w:rFonts w:eastAsiaTheme="minorEastAsia"/>
                <w:sz w:val="24"/>
                <w:szCs w:val="24"/>
              </w:rPr>
            </w:pPr>
            <w:r>
              <w:rPr>
                <w:rFonts w:eastAsiaTheme="minorEastAsia"/>
                <w:sz w:val="24"/>
                <w:szCs w:val="24"/>
              </w:rPr>
              <w:t>招商银行股份有限公司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公告依据</w:t>
            </w:r>
          </w:p>
        </w:tc>
        <w:tc>
          <w:tcPr>
            <w:tcW w:w="5412" w:type="dxa"/>
            <w:gridSpan w:val="2"/>
            <w:vAlign w:val="center"/>
          </w:tcPr>
          <w:p w:rsidR="003F0B40">
            <w:pPr>
              <w:rPr>
                <w:rFonts w:eastAsiaTheme="minorEastAsia"/>
                <w:sz w:val="24"/>
                <w:szCs w:val="24"/>
              </w:rPr>
            </w:pPr>
            <w:r>
              <w:rPr>
                <w:rFonts w:eastAsiaTheme="minorEastAsia"/>
                <w:sz w:val="24"/>
                <w:szCs w:val="24"/>
              </w:rPr>
              <w:t>《公开募集证券投资基金信息披露管理办法》、《易方达纯债债券型证券投资基金基金合同》、《易方达纯债债券型证券投资基金更新的招募说明书》</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收益分配基准日</w:t>
            </w:r>
          </w:p>
        </w:tc>
        <w:tc>
          <w:tcPr>
            <w:tcW w:w="5412" w:type="dxa"/>
            <w:gridSpan w:val="2"/>
          </w:tcPr>
          <w:p w:rsidR="003F0B40">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4</w:t>
            </w:r>
            <w:r>
              <w:rPr>
                <w:rFonts w:eastAsiaTheme="minorEastAsia"/>
                <w:sz w:val="24"/>
                <w:szCs w:val="24"/>
              </w:rPr>
              <w:t>日</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pPr>
              <w:rPr>
                <w:rFonts w:eastAsiaTheme="minorEastAsia"/>
                <w:sz w:val="24"/>
                <w:szCs w:val="24"/>
              </w:rPr>
            </w:pPr>
            <w:r>
              <w:rPr>
                <w:rFonts w:eastAsiaTheme="minorEastAsia"/>
                <w:sz w:val="24"/>
                <w:szCs w:val="24"/>
              </w:rPr>
              <w:t>本次分红为</w:t>
            </w:r>
            <w:r>
              <w:rPr>
                <w:rFonts w:eastAsiaTheme="minorEastAsia"/>
                <w:sz w:val="24"/>
                <w:szCs w:val="24"/>
              </w:rPr>
              <w:t>2023</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下属分级基金的基金简称</w:t>
            </w:r>
          </w:p>
        </w:tc>
        <w:tc>
          <w:tcPr>
            <w:tcW w:w="2706" w:type="dxa"/>
          </w:tcPr>
          <w:p w:rsidR="003F0B40">
            <w:pPr>
              <w:rPr>
                <w:rFonts w:eastAsiaTheme="minorEastAsia"/>
                <w:sz w:val="24"/>
                <w:szCs w:val="24"/>
              </w:rPr>
            </w:pPr>
            <w:r>
              <w:rPr>
                <w:rFonts w:eastAsiaTheme="minorEastAsia"/>
                <w:sz w:val="24"/>
                <w:szCs w:val="24"/>
              </w:rPr>
              <w:t>易方达纯债债券</w:t>
            </w:r>
            <w:r>
              <w:rPr>
                <w:rFonts w:eastAsiaTheme="minorEastAsia"/>
                <w:sz w:val="24"/>
                <w:szCs w:val="24"/>
              </w:rPr>
              <w:t>A</w:t>
            </w:r>
          </w:p>
        </w:tc>
        <w:tc>
          <w:tcPr>
            <w:tcW w:w="2706" w:type="dxa"/>
          </w:tcPr>
          <w:p w:rsidR="003F0B40">
            <w:pPr>
              <w:rPr>
                <w:rFonts w:eastAsiaTheme="minorEastAsia"/>
                <w:sz w:val="24"/>
                <w:szCs w:val="24"/>
              </w:rPr>
            </w:pPr>
            <w:r>
              <w:rPr>
                <w:rFonts w:eastAsiaTheme="minorEastAsia"/>
                <w:sz w:val="24"/>
                <w:szCs w:val="24"/>
              </w:rPr>
              <w:t>易方达纯债债券</w:t>
            </w:r>
            <w:r>
              <w:rPr>
                <w:rFonts w:eastAsiaTheme="minorEastAsia"/>
                <w:sz w:val="24"/>
                <w:szCs w:val="24"/>
              </w:rPr>
              <w:t>C</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下属分级基金的交易代码</w:t>
            </w:r>
          </w:p>
        </w:tc>
        <w:tc>
          <w:tcPr>
            <w:tcW w:w="2706" w:type="dxa"/>
          </w:tcPr>
          <w:p w:rsidR="003F0B40">
            <w:pPr>
              <w:rPr>
                <w:rFonts w:eastAsiaTheme="minorEastAsia"/>
                <w:sz w:val="24"/>
                <w:szCs w:val="24"/>
              </w:rPr>
            </w:pPr>
            <w:r>
              <w:rPr>
                <w:rFonts w:eastAsiaTheme="minorEastAsia"/>
                <w:sz w:val="24"/>
                <w:szCs w:val="24"/>
              </w:rPr>
              <w:t>110037</w:t>
            </w:r>
          </w:p>
        </w:tc>
        <w:tc>
          <w:tcPr>
            <w:tcW w:w="2706" w:type="dxa"/>
          </w:tcPr>
          <w:p w:rsidR="003F0B40">
            <w:pPr>
              <w:rPr>
                <w:rFonts w:eastAsiaTheme="minorEastAsia"/>
                <w:sz w:val="24"/>
                <w:szCs w:val="24"/>
              </w:rPr>
            </w:pPr>
            <w:r>
              <w:rPr>
                <w:rFonts w:eastAsiaTheme="minorEastAsia"/>
                <w:sz w:val="24"/>
                <w:szCs w:val="24"/>
              </w:rPr>
              <w:t>110038</w:t>
            </w:r>
          </w:p>
        </w:tc>
      </w:tr>
      <w:tr>
        <w:tblPrEx>
          <w:tblW w:w="9606" w:type="dxa"/>
          <w:jc w:val="center"/>
          <w:tblLayout w:type="fixed"/>
          <w:tblLook w:val="04A0"/>
        </w:tblPrEx>
        <w:trPr>
          <w:jc w:val="center"/>
        </w:trPr>
        <w:tc>
          <w:tcPr>
            <w:tcW w:w="1980" w:type="dxa"/>
            <w:vMerge w:val="restart"/>
            <w:vAlign w:val="center"/>
          </w:tcPr>
          <w:p w:rsidR="003F0B40">
            <w:pPr>
              <w:rPr>
                <w:rFonts w:eastAsiaTheme="minorEastAsia"/>
                <w:sz w:val="24"/>
                <w:szCs w:val="24"/>
              </w:rPr>
            </w:pPr>
            <w:r>
              <w:rPr>
                <w:rFonts w:eastAsiaTheme="minorEastAsia"/>
                <w:sz w:val="24"/>
                <w:szCs w:val="24"/>
              </w:rPr>
              <w:t>截止基准日下属分级基金的相关指标</w:t>
            </w:r>
          </w:p>
        </w:tc>
        <w:tc>
          <w:tcPr>
            <w:tcW w:w="2214" w:type="dxa"/>
          </w:tcPr>
          <w:p w:rsidR="003F0B40">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1.0954</w:t>
            </w:r>
          </w:p>
        </w:tc>
        <w:tc>
          <w:tcPr>
            <w:tcW w:w="2706" w:type="dxa"/>
          </w:tcPr>
          <w:p w:rsidR="003F0B40">
            <w:pPr>
              <w:rPr>
                <w:rFonts w:eastAsiaTheme="minorEastAsia"/>
                <w:sz w:val="24"/>
                <w:szCs w:val="24"/>
              </w:rPr>
            </w:pPr>
            <w:r>
              <w:rPr>
                <w:rFonts w:eastAsiaTheme="minorEastAsia"/>
                <w:sz w:val="24"/>
                <w:szCs w:val="24"/>
              </w:rPr>
              <w:t>1.0932</w:t>
            </w:r>
          </w:p>
        </w:tc>
      </w:tr>
      <w:tr>
        <w:tblPrEx>
          <w:tblW w:w="9606" w:type="dxa"/>
          <w:jc w:val="center"/>
          <w:tblLayout w:type="fixed"/>
          <w:tblLook w:val="04A0"/>
        </w:tblPrEx>
        <w:trPr>
          <w:trHeight w:val="405"/>
          <w:jc w:val="center"/>
        </w:trPr>
        <w:tc>
          <w:tcPr>
            <w:tcW w:w="1980" w:type="dxa"/>
            <w:vMerge/>
          </w:tcPr>
          <w:p w:rsidR="003F0B40">
            <w:pPr>
              <w:rPr>
                <w:rFonts w:eastAsiaTheme="minorEastAsia"/>
                <w:sz w:val="24"/>
                <w:szCs w:val="24"/>
              </w:rPr>
            </w:pPr>
          </w:p>
        </w:tc>
        <w:tc>
          <w:tcPr>
            <w:tcW w:w="2214" w:type="dxa"/>
            <w:vAlign w:val="center"/>
          </w:tcPr>
          <w:p w:rsidR="003F0B40">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11,953,236.13</w:t>
            </w:r>
          </w:p>
        </w:tc>
        <w:tc>
          <w:tcPr>
            <w:tcW w:w="2706" w:type="dxa"/>
          </w:tcPr>
          <w:p w:rsidR="003F0B40">
            <w:pPr>
              <w:rPr>
                <w:rFonts w:eastAsiaTheme="minorEastAsia"/>
                <w:sz w:val="24"/>
                <w:szCs w:val="24"/>
              </w:rPr>
            </w:pPr>
            <w:r>
              <w:rPr>
                <w:rFonts w:eastAsiaTheme="minorEastAsia"/>
                <w:sz w:val="24"/>
                <w:szCs w:val="24"/>
              </w:rPr>
              <w:t>1,939,266.22</w:t>
            </w:r>
          </w:p>
        </w:tc>
      </w:tr>
      <w:tr>
        <w:tblPrEx>
          <w:tblW w:w="9606" w:type="dxa"/>
          <w:jc w:val="center"/>
          <w:tblLayout w:type="fixed"/>
          <w:tblLook w:val="04A0"/>
        </w:tblPrEx>
        <w:trPr>
          <w:jc w:val="center"/>
        </w:trPr>
        <w:tc>
          <w:tcPr>
            <w:tcW w:w="1980" w:type="dxa"/>
            <w:vMerge/>
          </w:tcPr>
          <w:p w:rsidR="00B72823"/>
        </w:tc>
        <w:tc>
          <w:tcPr>
            <w:tcW w:w="2214" w:type="dxa"/>
            <w:vAlign w:val="center"/>
          </w:tcPr>
          <w:p w:rsidR="00B72823">
            <w:pPr>
              <w:jc w:val="left"/>
            </w:pPr>
            <w:r>
              <w:rPr>
                <w:rFonts w:eastAsiaTheme="minorEastAsia"/>
                <w:sz w:val="24"/>
                <w:szCs w:val="24"/>
              </w:rPr>
              <w:t>截止基准日按照基金合同约定的分红比例计算的应分配金额（单位：人民币元）</w:t>
            </w:r>
          </w:p>
        </w:tc>
        <w:tc>
          <w:tcPr>
            <w:tcW w:w="2706" w:type="dxa"/>
            <w:vAlign w:val="center"/>
          </w:tcPr>
          <w:p w:rsidR="00B72823">
            <w:pPr>
              <w:jc w:val="left"/>
            </w:pPr>
            <w:r>
              <w:rPr>
                <w:rFonts w:eastAsiaTheme="minorEastAsia"/>
                <w:sz w:val="24"/>
                <w:szCs w:val="24"/>
              </w:rPr>
              <w:t>7,171,941.68</w:t>
            </w:r>
          </w:p>
        </w:tc>
        <w:tc>
          <w:tcPr>
            <w:tcW w:w="2706" w:type="dxa"/>
            <w:vAlign w:val="center"/>
          </w:tcPr>
          <w:p w:rsidR="00B72823">
            <w:pPr>
              <w:jc w:val="left"/>
            </w:pPr>
            <w:r>
              <w:rPr>
                <w:rFonts w:eastAsiaTheme="minorEastAsia"/>
                <w:sz w:val="24"/>
                <w:szCs w:val="24"/>
              </w:rPr>
              <w:t>1,163,559.74</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pPr>
              <w:rPr>
                <w:rFonts w:eastAsiaTheme="minorEastAsia"/>
                <w:sz w:val="24"/>
                <w:szCs w:val="24"/>
              </w:rPr>
            </w:pPr>
            <w:r>
              <w:rPr>
                <w:rFonts w:eastAsiaTheme="minorEastAsia"/>
                <w:sz w:val="24"/>
                <w:szCs w:val="24"/>
              </w:rPr>
              <w:t>0.050</w:t>
            </w:r>
          </w:p>
        </w:tc>
        <w:tc>
          <w:tcPr>
            <w:tcW w:w="2706" w:type="dxa"/>
          </w:tcPr>
          <w:p w:rsidR="003F0B40">
            <w:pPr>
              <w:rPr>
                <w:rFonts w:eastAsiaTheme="minorEastAsia"/>
                <w:sz w:val="24"/>
                <w:szCs w:val="24"/>
              </w:rPr>
            </w:pPr>
            <w:r>
              <w:rPr>
                <w:rFonts w:eastAsiaTheme="minorEastAsia"/>
                <w:sz w:val="24"/>
                <w:szCs w:val="24"/>
              </w:rPr>
              <w:t>0.050</w:t>
            </w:r>
          </w:p>
        </w:tc>
      </w:tr>
    </w:tbl>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注：根据《易方达纯债债券型证券投资基金基金合同》规定，在符合有关基金分红条件的前提下，本基金收益每年最多分配</w:t>
      </w:r>
      <w:r>
        <w:rPr>
          <w:rFonts w:eastAsiaTheme="minorEastAsia"/>
          <w:color w:val="000000"/>
          <w:sz w:val="24"/>
          <w:szCs w:val="24"/>
        </w:rPr>
        <w:t>12</w:t>
      </w:r>
      <w:r>
        <w:rPr>
          <w:rFonts w:eastAsiaTheme="minorEastAsia"/>
          <w:color w:val="000000"/>
          <w:sz w:val="24"/>
          <w:szCs w:val="24"/>
        </w:rPr>
        <w:t>次，每份基金份额每次基金收益分配比例不低于收益分配基准日每份基金份额可供分配利润的</w:t>
      </w:r>
      <w:r>
        <w:rPr>
          <w:rFonts w:eastAsiaTheme="minorEastAsia"/>
          <w:color w:val="000000"/>
          <w:sz w:val="24"/>
          <w:szCs w:val="24"/>
        </w:rPr>
        <w:t>60%</w:t>
      </w:r>
      <w:r>
        <w:rPr>
          <w:rFonts w:eastAsiaTheme="minorEastAsia"/>
          <w:color w:val="000000"/>
          <w:sz w:val="24"/>
          <w:szCs w:val="24"/>
        </w:rPr>
        <w:t>。</w:t>
      </w:r>
    </w:p>
    <w:p w:rsidR="003F0B40">
      <w:pPr>
        <w:spacing w:line="360" w:lineRule="auto"/>
        <w:rPr>
          <w:rFonts w:eastAsiaTheme="minorEastAsia"/>
          <w:sz w:val="24"/>
          <w:szCs w:val="24"/>
        </w:rPr>
      </w:pPr>
    </w:p>
    <w:p w:rsidR="003F0B40">
      <w:pPr>
        <w:pStyle w:val="Heading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权益登记日</w:t>
            </w:r>
          </w:p>
        </w:tc>
        <w:tc>
          <w:tcPr>
            <w:tcW w:w="5978" w:type="dxa"/>
          </w:tcPr>
          <w:p w:rsidR="003F0B40">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11</w:t>
            </w:r>
            <w:r>
              <w:rPr>
                <w:rFonts w:eastAsiaTheme="minorEastAsia"/>
                <w:sz w:val="24"/>
                <w:szCs w:val="24"/>
              </w:rPr>
              <w:t>日</w:t>
            </w:r>
          </w:p>
        </w:tc>
      </w:tr>
      <w:tr w:rsidTr="0016790E">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除息日</w:t>
            </w:r>
          </w:p>
        </w:tc>
        <w:tc>
          <w:tcPr>
            <w:tcW w:w="2989" w:type="dxa"/>
          </w:tcPr>
          <w:p w:rsidR="003F0B40" w:rsidP="0016790E">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11</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现金红利发放日</w:t>
            </w:r>
          </w:p>
        </w:tc>
        <w:tc>
          <w:tcPr>
            <w:tcW w:w="5978" w:type="dxa"/>
          </w:tcPr>
          <w:p w:rsidR="003F0B40">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12</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分红对象</w:t>
            </w:r>
          </w:p>
        </w:tc>
        <w:tc>
          <w:tcPr>
            <w:tcW w:w="5978" w:type="dxa"/>
            <w:shd w:val="clear" w:color="auto" w:fill="auto"/>
          </w:tcPr>
          <w:p w:rsidR="003F0B40">
            <w:pPr>
              <w:rPr>
                <w:rFonts w:eastAsiaTheme="minorEastAsia"/>
                <w:sz w:val="24"/>
                <w:szCs w:val="24"/>
              </w:rPr>
            </w:pPr>
            <w:r>
              <w:rPr>
                <w:rFonts w:eastAsiaTheme="minorEastAsia"/>
                <w:sz w:val="24"/>
                <w:szCs w:val="24"/>
              </w:rPr>
              <w:t>权益登记日在易方达基金管理有限公司登记在册的本基金全体持有人。</w:t>
            </w:r>
          </w:p>
        </w:tc>
      </w:tr>
      <w:tr>
        <w:tblPrEx>
          <w:tblW w:w="9320" w:type="dxa"/>
          <w:jc w:val="center"/>
          <w:tblLayout w:type="fixed"/>
          <w:tblLook w:val="04A0"/>
        </w:tblPrEx>
        <w:trPr>
          <w:jc w:val="center"/>
        </w:trPr>
        <w:tc>
          <w:tcPr>
            <w:tcW w:w="3342" w:type="dxa"/>
            <w:shd w:val="clear" w:color="auto" w:fill="auto"/>
            <w:vAlign w:val="center"/>
          </w:tcPr>
          <w:p w:rsidR="003F0B40">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11</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13</w:t>
            </w:r>
            <w:r>
              <w:rPr>
                <w:rFonts w:eastAsiaTheme="minorEastAsia"/>
                <w:sz w:val="24"/>
                <w:szCs w:val="24"/>
              </w:rPr>
              <w:t>日起投资者可以查询、赎回。权益登记日之前（不含权益登记日）办理了转托管转出尚未办理转托管转入的基金份额，其分红方式按照红利再投资处理。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B72823">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日自基金托管账户划出。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pPr>
        <w:spacing w:line="360" w:lineRule="auto"/>
        <w:rPr>
          <w:rFonts w:eastAsiaTheme="minorEastAsia"/>
          <w:color w:val="000000"/>
          <w:sz w:val="24"/>
          <w:szCs w:val="24"/>
        </w:rPr>
      </w:pPr>
    </w:p>
    <w:p w:rsidR="003F0B40">
      <w:pPr>
        <w:pStyle w:val="Heading3"/>
        <w:keepNext w:val="0"/>
        <w:keepLines w:val="0"/>
        <w:spacing w:before="0" w:after="0" w:line="360" w:lineRule="auto"/>
        <w:rPr>
          <w:rFonts w:eastAsiaTheme="minorEastAsia"/>
          <w:bCs w:val="0"/>
          <w:sz w:val="24"/>
          <w:szCs w:val="24"/>
        </w:rPr>
      </w:pPr>
      <w:bookmarkStart w:id="2" w:name="_Toc275961420"/>
      <w:r>
        <w:rPr>
          <w:rFonts w:eastAsiaTheme="minorEastAsia"/>
          <w:bCs w:val="0"/>
          <w:sz w:val="24"/>
          <w:szCs w:val="24"/>
        </w:rPr>
        <w:t>3.</w:t>
      </w:r>
      <w:r>
        <w:rPr>
          <w:rFonts w:eastAsiaTheme="minorEastAsia"/>
          <w:bCs w:val="0"/>
          <w:sz w:val="24"/>
          <w:szCs w:val="24"/>
        </w:rPr>
        <w:t>其他需要提示的事项</w:t>
      </w:r>
      <w:bookmarkEnd w:id="2"/>
    </w:p>
    <w:p w:rsidR="00B72823">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B72823">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B72823">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特此公告。</w:t>
      </w:r>
    </w:p>
    <w:p w:rsidR="003F0B40">
      <w:pPr>
        <w:spacing w:line="360" w:lineRule="auto"/>
        <w:ind w:firstLine="480" w:firstLineChars="200"/>
        <w:jc w:val="right"/>
        <w:rPr>
          <w:rFonts w:eastAsiaTheme="minorEastAsia"/>
          <w:color w:val="000000"/>
          <w:sz w:val="24"/>
          <w:szCs w:val="24"/>
        </w:rPr>
      </w:pPr>
      <w:bookmarkStart w:id="3" w:name="_GoBack"/>
      <w:bookmarkEnd w:id="3"/>
      <w:r>
        <w:rPr>
          <w:rFonts w:eastAsiaTheme="minorEastAsia"/>
          <w:color w:val="000000"/>
          <w:sz w:val="24"/>
          <w:szCs w:val="24"/>
        </w:rPr>
        <w:t>易方达基金管理有限公司</w:t>
      </w: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10</w:t>
      </w:r>
      <w:r>
        <w:rPr>
          <w:rFonts w:eastAsiaTheme="minorEastAsia"/>
          <w:color w:val="000000"/>
          <w:sz w:val="24"/>
          <w:szCs w:val="24"/>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0F5968"/>
    <w:rsid w:val="00111BD0"/>
    <w:rsid w:val="00135CA1"/>
    <w:rsid w:val="0016074B"/>
    <w:rsid w:val="00160D71"/>
    <w:rsid w:val="0016790E"/>
    <w:rsid w:val="00172E1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B1470"/>
    <w:rsid w:val="005C74A7"/>
    <w:rsid w:val="00602C3F"/>
    <w:rsid w:val="00606D8B"/>
    <w:rsid w:val="0068321B"/>
    <w:rsid w:val="00687863"/>
    <w:rsid w:val="006A2E06"/>
    <w:rsid w:val="00721B55"/>
    <w:rsid w:val="007457E4"/>
    <w:rsid w:val="007C7B20"/>
    <w:rsid w:val="00812228"/>
    <w:rsid w:val="0081554E"/>
    <w:rsid w:val="00865457"/>
    <w:rsid w:val="00880E4A"/>
    <w:rsid w:val="00893436"/>
    <w:rsid w:val="008D1F66"/>
    <w:rsid w:val="009302F7"/>
    <w:rsid w:val="0096162B"/>
    <w:rsid w:val="009732A4"/>
    <w:rsid w:val="00987A3A"/>
    <w:rsid w:val="0099338F"/>
    <w:rsid w:val="009B4BCB"/>
    <w:rsid w:val="009F297D"/>
    <w:rsid w:val="00A119F6"/>
    <w:rsid w:val="00A127D4"/>
    <w:rsid w:val="00A67015"/>
    <w:rsid w:val="00A72716"/>
    <w:rsid w:val="00A81C93"/>
    <w:rsid w:val="00A83087"/>
    <w:rsid w:val="00AC470F"/>
    <w:rsid w:val="00B14D73"/>
    <w:rsid w:val="00B21A32"/>
    <w:rsid w:val="00B44BBE"/>
    <w:rsid w:val="00B60712"/>
    <w:rsid w:val="00B72823"/>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88BDB604-9272-4A7B-A7CF-2DB838BE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方正仿宋简体" w:hAnsi="Times New Roman" w:cs="Times New Roman"/>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qFormat/>
    <w:rPr>
      <w:rFonts w:ascii="宋体" w:eastAsia="宋体"/>
      <w:sz w:val="18"/>
      <w:szCs w:val="18"/>
    </w:rPr>
  </w:style>
  <w:style w:type="paragraph" w:styleId="BalloonText">
    <w:name w:val="Balloon Text"/>
    <w:basedOn w:val="Normal"/>
    <w:link w:val="Char3"/>
    <w:uiPriority w:val="99"/>
    <w:semiHidden/>
    <w:unhideWhenUsed/>
    <w:qFormat/>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qFormat/>
    <w:pPr>
      <w:snapToGrid w:val="0"/>
      <w:jc w:val="left"/>
    </w:pPr>
    <w:rPr>
      <w:rFonts w:eastAsia="宋体"/>
      <w:sz w:val="18"/>
    </w:rPr>
  </w:style>
  <w:style w:type="character" w:styleId="FootnoteReference">
    <w:name w:val="footnote reference"/>
    <w:basedOn w:val="DefaultParagraphFont"/>
    <w:qFormat/>
    <w:rPr>
      <w:vertAlign w:val="superscript"/>
    </w:rPr>
  </w:style>
  <w:style w:type="character" w:customStyle="1" w:styleId="1Char">
    <w:name w:val="标题 1 Char"/>
    <w:basedOn w:val="DefaultParagraphFont"/>
    <w:link w:val="Heading1"/>
    <w:qFormat/>
    <w:rPr>
      <w:rFonts w:ascii="Times New Roman" w:eastAsia="宋体" w:hAnsi="Times New Roman" w:cs="Times New Roman"/>
      <w:b/>
      <w:bCs/>
      <w:kern w:val="44"/>
      <w:sz w:val="44"/>
      <w:szCs w:val="44"/>
    </w:rPr>
  </w:style>
  <w:style w:type="character" w:customStyle="1" w:styleId="2Char">
    <w:name w:val="标题 2 Char"/>
    <w:basedOn w:val="DefaultParagraphFont"/>
    <w:link w:val="Heading2"/>
    <w:qFormat/>
    <w:rPr>
      <w:rFonts w:ascii="Arial" w:eastAsia="黑体" w:hAnsi="Arial" w:cs="Times New Roman"/>
      <w:b/>
      <w:bCs/>
      <w:sz w:val="32"/>
      <w:szCs w:val="32"/>
    </w:rPr>
  </w:style>
  <w:style w:type="character" w:customStyle="1" w:styleId="Char">
    <w:name w:val="脚注文本 Char"/>
    <w:basedOn w:val="DefaultParagraphFont"/>
    <w:link w:val="FootnoteTex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qFormat/>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qFormat/>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qFormat/>
    <w:rPr>
      <w:rFonts w:ascii="Times New Roman" w:eastAsia="方正仿宋简体" w:hAnsi="Times New Roman" w:cs="Times New Roman"/>
      <w:sz w:val="18"/>
      <w:szCs w:val="18"/>
    </w:rPr>
  </w:style>
  <w:style w:type="character" w:customStyle="1" w:styleId="3Char">
    <w:name w:val="标题 3 Char"/>
    <w:basedOn w:val="DefaultParagraphFont"/>
    <w:link w:val="Heading3"/>
    <w:qFormat/>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