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rPr>
          <w:rFonts w:hint="eastAsia" w:eastAsia="宋体"/>
          <w:lang w:val="en-US" w:eastAsia="zh-CN"/>
        </w:rPr>
      </w:pPr>
      <w:bookmarkStart w:id="0" w:name="_GoBack"/>
      <w:r>
        <w:rPr>
          <w:rFonts w:hint="eastAsia"/>
        </w:rPr>
        <w:t>博时基金管理有限公司关于</w:t>
      </w:r>
      <w:r>
        <w:rPr>
          <w:rFonts w:hint="eastAsia"/>
          <w:lang w:eastAsia="zh-CN"/>
        </w:rPr>
        <w:t>博时安盈债券型证券投资基金</w:t>
      </w:r>
      <w:r>
        <w:rPr>
          <w:rFonts w:hint="eastAsia"/>
        </w:rPr>
        <w:t>修改托管协议的公告</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为</w:t>
      </w:r>
      <w:r>
        <w:rPr>
          <w:sz w:val="24"/>
          <w:szCs w:val="24"/>
        </w:rPr>
        <w:t>更好地服务于投资者</w:t>
      </w:r>
      <w:r>
        <w:rPr>
          <w:rFonts w:hint="eastAsia"/>
          <w:sz w:val="24"/>
          <w:szCs w:val="24"/>
        </w:rPr>
        <w:t>，经与本基金托管人</w:t>
      </w:r>
      <w:r>
        <w:rPr>
          <w:rFonts w:hint="eastAsia"/>
          <w:sz w:val="24"/>
          <w:szCs w:val="24"/>
          <w:lang w:val="en-US" w:eastAsia="zh-CN"/>
        </w:rPr>
        <w:t>中国工商银行股份有限公司</w:t>
      </w:r>
      <w:r>
        <w:rPr>
          <w:rFonts w:hint="eastAsia"/>
          <w:sz w:val="24"/>
          <w:szCs w:val="24"/>
        </w:rPr>
        <w:t>协商一致，并报中国证监会备案，博时基金管理有限公司（以下简称“本公司”）决定自202</w:t>
      </w:r>
      <w:r>
        <w:rPr>
          <w:rFonts w:hint="eastAsia"/>
          <w:sz w:val="24"/>
          <w:szCs w:val="24"/>
          <w:lang w:val="en-US" w:eastAsia="zh-CN"/>
        </w:rPr>
        <w:t>3</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11</w:t>
      </w:r>
      <w:r>
        <w:rPr>
          <w:rFonts w:hint="eastAsia"/>
          <w:sz w:val="24"/>
          <w:szCs w:val="24"/>
        </w:rPr>
        <w:t>日起对</w:t>
      </w:r>
      <w:r>
        <w:rPr>
          <w:rFonts w:hint="eastAsia"/>
          <w:sz w:val="24"/>
          <w:szCs w:val="24"/>
          <w:lang w:eastAsia="zh-CN"/>
        </w:rPr>
        <w:t>博时安盈债券型证券投资基金</w:t>
      </w:r>
      <w:r>
        <w:rPr>
          <w:rFonts w:hint="eastAsia"/>
          <w:sz w:val="24"/>
          <w:szCs w:val="24"/>
        </w:rPr>
        <w:t>托管协议（以下简称“《托管协议》”）予以修改。现将有关修订内容说明如下：</w:t>
      </w:r>
    </w:p>
    <w:p>
      <w:pPr>
        <w:snapToGrid w:val="0"/>
        <w:spacing w:line="360" w:lineRule="auto"/>
        <w:ind w:firstLine="482" w:firstLineChars="200"/>
        <w:rPr>
          <w:b/>
          <w:kern w:val="0"/>
          <w:sz w:val="24"/>
        </w:rPr>
      </w:pPr>
      <w:r>
        <w:rPr>
          <w:rFonts w:hint="eastAsia"/>
          <w:b/>
          <w:kern w:val="0"/>
          <w:sz w:val="24"/>
        </w:rPr>
        <w:t>在“七、交易及清算交收安排”的“（四）申购、赎回、转换开放式基金的资金清算、数据传递及托管协议当事人的责任”中将：</w:t>
      </w:r>
    </w:p>
    <w:p>
      <w:pPr>
        <w:snapToGrid w:val="0"/>
        <w:spacing w:line="360" w:lineRule="auto"/>
        <w:ind w:firstLine="480" w:firstLineChars="200"/>
        <w:rPr>
          <w:rFonts w:hint="eastAsia"/>
          <w:kern w:val="0"/>
          <w:sz w:val="24"/>
        </w:rPr>
      </w:pPr>
      <w:r>
        <w:rPr>
          <w:rFonts w:hint="eastAsia"/>
          <w:kern w:val="0"/>
          <w:sz w:val="24"/>
        </w:rPr>
        <w:t>“3、开放式基金的资金清算</w:t>
      </w:r>
    </w:p>
    <w:p>
      <w:pPr>
        <w:snapToGrid w:val="0"/>
        <w:spacing w:line="360" w:lineRule="auto"/>
        <w:ind w:firstLine="480" w:firstLineChars="200"/>
        <w:rPr>
          <w:rFonts w:hint="eastAsia"/>
          <w:kern w:val="0"/>
          <w:sz w:val="24"/>
        </w:rPr>
      </w:pPr>
      <w:r>
        <w:rPr>
          <w:rFonts w:hint="eastAsia"/>
          <w:kern w:val="0"/>
          <w:sz w:val="24"/>
        </w:rPr>
        <w:t>基金托管账户与“基金清算账户”间的资金结算遵循“全额清算、净额交收”的原则，每日（T日：资金交收日，下同）按照托管账户应收资金（T-1日直销申购净额+T-2日代销申购净额与T-3日基金转换入净额）与应付资金（T-1日赎回金额扣除归基金资产的赎回费与T-1日基金转换出金额扣除归基金资产的转换费之和）的差额来确定托管账户净应收额或净应付额，以此确定资金交收额。当存在托管账户净应收额时，基金管理人应在T日15:00之前从基金清算账户划往基金托管账户，基金托管人在资金到账后应立即通知基金管理人，并将有关书面凭证传真给基金管理人进行账务管理；当存在托管账户净应付额时，基金托管人按基金管理人的划款指令将托管账户净应付额在T日12:00之前划往基金清算账户，基金托管人在资金划出后立即通知基金管理人，并将有关书面凭证交给基金管理人进行账务管理。</w:t>
      </w:r>
    </w:p>
    <w:p>
      <w:pPr>
        <w:snapToGrid w:val="0"/>
        <w:spacing w:line="360" w:lineRule="auto"/>
        <w:ind w:firstLine="480" w:firstLineChars="200"/>
        <w:rPr>
          <w:rFonts w:hint="eastAsia"/>
          <w:kern w:val="0"/>
          <w:sz w:val="24"/>
        </w:rPr>
      </w:pPr>
      <w:r>
        <w:rPr>
          <w:rFonts w:hint="eastAsia"/>
          <w:kern w:val="0"/>
          <w:sz w:val="24"/>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pPr>
        <w:snapToGrid w:val="0"/>
        <w:spacing w:line="360" w:lineRule="auto"/>
        <w:ind w:firstLine="480" w:firstLineChars="200"/>
        <w:rPr>
          <w:kern w:val="0"/>
          <w:sz w:val="24"/>
        </w:rPr>
      </w:pPr>
      <w:r>
        <w:rPr>
          <w:rFonts w:hint="eastAsia"/>
          <w:kern w:val="0"/>
          <w:sz w:val="24"/>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pPr>
        <w:snapToGrid w:val="0"/>
        <w:spacing w:line="360" w:lineRule="auto"/>
        <w:ind w:firstLine="482" w:firstLineChars="200"/>
        <w:rPr>
          <w:b/>
          <w:kern w:val="0"/>
          <w:sz w:val="24"/>
        </w:rPr>
      </w:pPr>
      <w:r>
        <w:rPr>
          <w:rFonts w:hint="eastAsia"/>
          <w:b/>
          <w:kern w:val="0"/>
          <w:sz w:val="24"/>
        </w:rPr>
        <w:t>修改为：</w:t>
      </w:r>
    </w:p>
    <w:p>
      <w:pPr>
        <w:snapToGrid w:val="0"/>
        <w:spacing w:line="360" w:lineRule="auto"/>
        <w:ind w:firstLine="480" w:firstLineChars="200"/>
        <w:rPr>
          <w:rFonts w:hint="eastAsia"/>
          <w:kern w:val="0"/>
          <w:sz w:val="24"/>
        </w:rPr>
      </w:pPr>
      <w:r>
        <w:rPr>
          <w:rFonts w:hint="eastAsia"/>
          <w:kern w:val="0"/>
          <w:sz w:val="24"/>
        </w:rPr>
        <w:t>“3、开放式基金的资金清算</w:t>
      </w:r>
    </w:p>
    <w:p>
      <w:pPr>
        <w:snapToGrid w:val="0"/>
        <w:spacing w:line="360" w:lineRule="auto"/>
        <w:ind w:firstLine="480" w:firstLineChars="200"/>
        <w:rPr>
          <w:rFonts w:hint="eastAsia"/>
          <w:kern w:val="0"/>
          <w:sz w:val="24"/>
        </w:rPr>
      </w:pPr>
      <w:r>
        <w:rPr>
          <w:rFonts w:hint="eastAsia"/>
          <w:kern w:val="0"/>
          <w:sz w:val="24"/>
        </w:rPr>
        <w:t>基金托管账户与“基金清算账户”间的资金结算遵循“全额清算、净额交收”的原则，每日按照托管账户应收资金（申购申请对应申购净额与基金转换转入申请对应净额之和）与应付资金（赎回申请对应赎回金额扣除归基金资产的费用与基金转换转出申请对应金额扣除归基金资产的费用之和）的差额来确定托管账户净应收额或净应付额，以此确定资金交收额。当存在托管账户净应收额时，基金管理人应在T日15:00之前从基金清算账户划往基金托管账户，基金托管人在资金到账后应立即通知基金管理人，并将有关书面凭证传真给基金管理人进行账务管理；当存在托管账户净应付额时，基金托管人按基金管理人的划款指令将托管账户净应付额在T日12:00之前划往基金清算账户，基金托管人在资金划出后立即通知基金管理人，并将有关书面凭证交给基金管理人进行账务管理。</w:t>
      </w:r>
    </w:p>
    <w:p>
      <w:pPr>
        <w:snapToGrid w:val="0"/>
        <w:spacing w:line="360" w:lineRule="auto"/>
        <w:ind w:firstLine="480" w:firstLineChars="200"/>
        <w:rPr>
          <w:rFonts w:hint="eastAsia"/>
          <w:kern w:val="0"/>
          <w:sz w:val="24"/>
        </w:rPr>
      </w:pPr>
      <w:r>
        <w:rPr>
          <w:rFonts w:hint="eastAsia"/>
          <w:kern w:val="0"/>
          <w:sz w:val="24"/>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pPr>
        <w:snapToGrid w:val="0"/>
        <w:spacing w:line="360" w:lineRule="auto"/>
        <w:ind w:firstLine="480" w:firstLineChars="200"/>
        <w:rPr>
          <w:kern w:val="0"/>
          <w:sz w:val="24"/>
        </w:rPr>
      </w:pPr>
      <w:r>
        <w:rPr>
          <w:rFonts w:hint="eastAsia"/>
          <w:kern w:val="0"/>
          <w:sz w:val="24"/>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pPr>
        <w:spacing w:line="360" w:lineRule="auto"/>
        <w:ind w:firstLine="480" w:firstLineChars="200"/>
        <w:rPr>
          <w:sz w:val="24"/>
          <w:szCs w:val="24"/>
        </w:rPr>
      </w:pPr>
      <w:r>
        <w:rPr>
          <w:rFonts w:hint="eastAsia"/>
          <w:sz w:val="24"/>
          <w:szCs w:val="24"/>
        </w:rPr>
        <w:t>上述修订自202</w:t>
      </w:r>
      <w:r>
        <w:rPr>
          <w:rFonts w:hint="eastAsia"/>
          <w:sz w:val="24"/>
          <w:szCs w:val="24"/>
          <w:lang w:val="en-US" w:eastAsia="zh-CN"/>
        </w:rPr>
        <w:t>3</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11</w:t>
      </w:r>
      <w:r>
        <w:rPr>
          <w:rFonts w:hint="eastAsia"/>
          <w:sz w:val="24"/>
          <w:szCs w:val="24"/>
        </w:rPr>
        <w:t>日起生效。</w:t>
      </w:r>
    </w:p>
    <w:p>
      <w:pPr>
        <w:spacing w:line="360" w:lineRule="auto"/>
        <w:ind w:firstLine="480" w:firstLineChars="200"/>
        <w:rPr>
          <w:sz w:val="24"/>
          <w:szCs w:val="24"/>
        </w:rPr>
      </w:pPr>
      <w:r>
        <w:rPr>
          <w:rFonts w:hint="eastAsia"/>
          <w:sz w:val="24"/>
          <w:szCs w:val="24"/>
        </w:rPr>
        <w:t>特此公告。</w:t>
      </w:r>
    </w:p>
    <w:p>
      <w:pPr>
        <w:spacing w:line="360" w:lineRule="auto"/>
        <w:ind w:firstLine="480" w:firstLineChars="200"/>
        <w:jc w:val="right"/>
        <w:rPr>
          <w:sz w:val="24"/>
          <w:szCs w:val="24"/>
        </w:rPr>
      </w:pPr>
      <w:r>
        <w:rPr>
          <w:rFonts w:hint="eastAsia"/>
          <w:sz w:val="24"/>
          <w:szCs w:val="24"/>
        </w:rPr>
        <w:t>博时基金管理有限公司</w:t>
      </w:r>
    </w:p>
    <w:p>
      <w:pPr>
        <w:spacing w:line="360" w:lineRule="auto"/>
        <w:ind w:firstLine="480" w:firstLineChars="200"/>
        <w:jc w:val="right"/>
        <w:rPr>
          <w:sz w:val="24"/>
          <w:szCs w:val="24"/>
        </w:rPr>
      </w:pPr>
      <w:r>
        <w:rPr>
          <w:rFonts w:hint="eastAsia"/>
          <w:sz w:val="24"/>
          <w:szCs w:val="24"/>
        </w:rPr>
        <w:t>202</w:t>
      </w:r>
      <w:r>
        <w:rPr>
          <w:rFonts w:hint="eastAsia"/>
          <w:sz w:val="24"/>
          <w:szCs w:val="24"/>
          <w:lang w:val="en-US" w:eastAsia="zh-CN"/>
        </w:rPr>
        <w:t>3</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11</w:t>
      </w:r>
      <w:r>
        <w:rPr>
          <w:rFonts w:hint="eastAsia"/>
          <w:sz w:val="24"/>
          <w:szCs w:val="24"/>
        </w:rPr>
        <w:t>日</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58347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CB"/>
    <w:rsid w:val="00007424"/>
    <w:rsid w:val="000317FF"/>
    <w:rsid w:val="0003328A"/>
    <w:rsid w:val="000633DB"/>
    <w:rsid w:val="0006615E"/>
    <w:rsid w:val="000710BF"/>
    <w:rsid w:val="00072B09"/>
    <w:rsid w:val="00076E52"/>
    <w:rsid w:val="00086A35"/>
    <w:rsid w:val="00094E78"/>
    <w:rsid w:val="000C06E6"/>
    <w:rsid w:val="000E0E41"/>
    <w:rsid w:val="00127DD0"/>
    <w:rsid w:val="001335E4"/>
    <w:rsid w:val="00143B1A"/>
    <w:rsid w:val="001618BD"/>
    <w:rsid w:val="0017065E"/>
    <w:rsid w:val="00183E55"/>
    <w:rsid w:val="00192AE5"/>
    <w:rsid w:val="001A1C90"/>
    <w:rsid w:val="001A3B54"/>
    <w:rsid w:val="001B2980"/>
    <w:rsid w:val="001E174B"/>
    <w:rsid w:val="00274D0F"/>
    <w:rsid w:val="00277F46"/>
    <w:rsid w:val="002842CA"/>
    <w:rsid w:val="002A0A5E"/>
    <w:rsid w:val="002A3E69"/>
    <w:rsid w:val="002A6541"/>
    <w:rsid w:val="002B15D4"/>
    <w:rsid w:val="002C45D4"/>
    <w:rsid w:val="003319AD"/>
    <w:rsid w:val="00342BDE"/>
    <w:rsid w:val="00347D88"/>
    <w:rsid w:val="00356225"/>
    <w:rsid w:val="0037212D"/>
    <w:rsid w:val="00396D4B"/>
    <w:rsid w:val="0039747A"/>
    <w:rsid w:val="003A1201"/>
    <w:rsid w:val="003A19CC"/>
    <w:rsid w:val="003C6003"/>
    <w:rsid w:val="004055FB"/>
    <w:rsid w:val="00445495"/>
    <w:rsid w:val="004454B2"/>
    <w:rsid w:val="00452758"/>
    <w:rsid w:val="0045343C"/>
    <w:rsid w:val="004734A6"/>
    <w:rsid w:val="004A5D5C"/>
    <w:rsid w:val="004C5DE3"/>
    <w:rsid w:val="004D20C7"/>
    <w:rsid w:val="004D37F8"/>
    <w:rsid w:val="00507D8E"/>
    <w:rsid w:val="0053651A"/>
    <w:rsid w:val="00556759"/>
    <w:rsid w:val="005665B2"/>
    <w:rsid w:val="0058663A"/>
    <w:rsid w:val="005D298B"/>
    <w:rsid w:val="005E1168"/>
    <w:rsid w:val="005F4633"/>
    <w:rsid w:val="006159BD"/>
    <w:rsid w:val="00615D2D"/>
    <w:rsid w:val="00636BAB"/>
    <w:rsid w:val="00643C3D"/>
    <w:rsid w:val="00644E3B"/>
    <w:rsid w:val="00660A52"/>
    <w:rsid w:val="00670E0B"/>
    <w:rsid w:val="006951CA"/>
    <w:rsid w:val="006C19C1"/>
    <w:rsid w:val="00785B08"/>
    <w:rsid w:val="00796BA8"/>
    <w:rsid w:val="007C7A27"/>
    <w:rsid w:val="007D1254"/>
    <w:rsid w:val="00810281"/>
    <w:rsid w:val="00836149"/>
    <w:rsid w:val="00871303"/>
    <w:rsid w:val="00881416"/>
    <w:rsid w:val="008A0295"/>
    <w:rsid w:val="008A5F34"/>
    <w:rsid w:val="008C4053"/>
    <w:rsid w:val="008D4AE9"/>
    <w:rsid w:val="008E1C9F"/>
    <w:rsid w:val="008F1F3D"/>
    <w:rsid w:val="009164E0"/>
    <w:rsid w:val="00931473"/>
    <w:rsid w:val="009535EB"/>
    <w:rsid w:val="009709C0"/>
    <w:rsid w:val="00973B55"/>
    <w:rsid w:val="009B4E69"/>
    <w:rsid w:val="009B7C8D"/>
    <w:rsid w:val="009E5F5A"/>
    <w:rsid w:val="00A01E24"/>
    <w:rsid w:val="00A14326"/>
    <w:rsid w:val="00A60DDC"/>
    <w:rsid w:val="00AA5D86"/>
    <w:rsid w:val="00AB734C"/>
    <w:rsid w:val="00AF11A9"/>
    <w:rsid w:val="00B0663F"/>
    <w:rsid w:val="00B14C79"/>
    <w:rsid w:val="00B17AA7"/>
    <w:rsid w:val="00B22105"/>
    <w:rsid w:val="00B6539E"/>
    <w:rsid w:val="00BC7936"/>
    <w:rsid w:val="00BF4CE1"/>
    <w:rsid w:val="00BF7C80"/>
    <w:rsid w:val="00C03E88"/>
    <w:rsid w:val="00C23061"/>
    <w:rsid w:val="00C55A38"/>
    <w:rsid w:val="00C64009"/>
    <w:rsid w:val="00C751D2"/>
    <w:rsid w:val="00C87D09"/>
    <w:rsid w:val="00C90769"/>
    <w:rsid w:val="00CB5BD3"/>
    <w:rsid w:val="00CC1244"/>
    <w:rsid w:val="00CD09CB"/>
    <w:rsid w:val="00CD26E2"/>
    <w:rsid w:val="00CE3B40"/>
    <w:rsid w:val="00D003D8"/>
    <w:rsid w:val="00D16564"/>
    <w:rsid w:val="00D37D67"/>
    <w:rsid w:val="00D438D5"/>
    <w:rsid w:val="00D44A40"/>
    <w:rsid w:val="00D56F44"/>
    <w:rsid w:val="00D72959"/>
    <w:rsid w:val="00DB31DA"/>
    <w:rsid w:val="00DD764D"/>
    <w:rsid w:val="00DE4608"/>
    <w:rsid w:val="00E00B3E"/>
    <w:rsid w:val="00E1111C"/>
    <w:rsid w:val="00E117B4"/>
    <w:rsid w:val="00E33CEE"/>
    <w:rsid w:val="00E8647A"/>
    <w:rsid w:val="00EA38EB"/>
    <w:rsid w:val="00EB440C"/>
    <w:rsid w:val="00EC4FC7"/>
    <w:rsid w:val="00EE57D5"/>
    <w:rsid w:val="00F15CCD"/>
    <w:rsid w:val="00F21697"/>
    <w:rsid w:val="00F65817"/>
    <w:rsid w:val="00F85CCB"/>
    <w:rsid w:val="00FE70D6"/>
    <w:rsid w:val="00FF6A2E"/>
    <w:rsid w:val="069274AD"/>
    <w:rsid w:val="077B3CB0"/>
    <w:rsid w:val="0AA166CA"/>
    <w:rsid w:val="0B57411D"/>
    <w:rsid w:val="0D971D70"/>
    <w:rsid w:val="118E1FD2"/>
    <w:rsid w:val="13793463"/>
    <w:rsid w:val="148364F3"/>
    <w:rsid w:val="1C9A41CB"/>
    <w:rsid w:val="24D6285B"/>
    <w:rsid w:val="2D6314D8"/>
    <w:rsid w:val="33C40BFC"/>
    <w:rsid w:val="3A07329D"/>
    <w:rsid w:val="3A861DD9"/>
    <w:rsid w:val="441C7FD3"/>
    <w:rsid w:val="46511604"/>
    <w:rsid w:val="502C0F64"/>
    <w:rsid w:val="6317038C"/>
    <w:rsid w:val="634B174C"/>
    <w:rsid w:val="6E175570"/>
    <w:rsid w:val="6F133117"/>
    <w:rsid w:val="72E96B85"/>
    <w:rsid w:val="7301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0"/>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字符"/>
    <w:basedOn w:val="7"/>
    <w:link w:val="5"/>
    <w:qFormat/>
    <w:uiPriority w:val="10"/>
    <w:rPr>
      <w:rFonts w:eastAsia="宋体" w:asciiTheme="majorHAnsi" w:hAnsiTheme="majorHAnsi" w:cstheme="majorBidi"/>
      <w:b/>
      <w:bCs/>
      <w:sz w:val="32"/>
      <w:szCs w:val="32"/>
    </w:rPr>
  </w:style>
  <w:style w:type="character" w:customStyle="1" w:styleId="11">
    <w:name w:val="baec5a81-e4d6-4674-97f3-e9220f0136c1"/>
    <w:basedOn w:val="7"/>
    <w:qFormat/>
    <w:uiPriority w:val="0"/>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1417</Words>
  <Characters>1456</Characters>
  <Lines>6</Lines>
  <Paragraphs>1</Paragraphs>
  <TotalTime>17</TotalTime>
  <ScaleCrop>false</ScaleCrop>
  <LinksUpToDate>false</LinksUpToDate>
  <CharactersWithSpaces>1456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2019-12-23T01:37:00Z</dcterms:created>
  <dc:creator>haop</dc:creator>
  <cp:lastModifiedBy>xiaolw</cp:lastModifiedBy>
  <cp:lastPrinted>2021-04-08T08:27:00Z</cp:lastPrinted>
  <dcterms:modified xsi:type="dcterms:W3CDTF">2023-01-10T05:20:30Z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49374E7D5EBA49EB8D7DA49611331952</vt:lpwstr>
  </property>
</Properties>
</file>