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F4FFE" w:rsidRPr="00DC4872" w:rsidP="00CF4FFE" w14:paraId="1825406A" w14:textId="5A4B85BB">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易方达标普全球高端消费品指数增强型证券投资基金2023年1月16日暂停申购、赎回及定期定额投资业务的公告</w:t>
      </w:r>
    </w:p>
    <w:p w:rsidR="00CF4FFE" w:rsidRPr="00FC4FF1" w:rsidP="00CF4FFE" w14:paraId="6824EE55" w14:textId="7E2CF02D">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公告送出日期：2023年1月11日</w:t>
      </w:r>
    </w:p>
    <w:bookmarkEnd w:id="0"/>
    <w:p w:rsidR="00CF4FFE" w:rsidRPr="008C2033" w:rsidP="00CF4FFE" w14:paraId="6BD82C2F" w14:textId="77777777">
      <w:pPr>
        <w:pStyle w:val="Heading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Layout w:type="fixed"/>
        <w:tblLook w:val="04A0"/>
      </w:tblPr>
      <w:tblGrid>
        <w:gridCol w:w="2124"/>
        <w:gridCol w:w="3084"/>
        <w:gridCol w:w="3084"/>
      </w:tblGrid>
      <w:tr w14:paraId="40369019" w14:textId="77777777" w:rsidTr="00783BF2">
        <w:tblPrEx>
          <w:tblW w:w="0" w:type="auto"/>
          <w:tblLayout w:type="fixed"/>
          <w:tblLook w:val="04A0"/>
        </w:tblPrEx>
        <w:trPr>
          <w:trHeight w:val="310"/>
        </w:trPr>
        <w:tc>
          <w:tcPr>
            <w:tcW w:w="2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4A65" w:rsidRPr="00B94A65" w:rsidP="00AD2F51" w14:paraId="5F240A32" w14:textId="77777777">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AD2F51" w14:paraId="04A81B93" w14:textId="6C6F1ADB">
            <w:pPr>
              <w:rPr>
                <w:rFonts w:ascii="宋体" w:hAnsi="宋体" w:cs="宋体"/>
                <w:color w:val="000000"/>
                <w:kern w:val="0"/>
                <w:sz w:val="24"/>
              </w:rPr>
            </w:pPr>
            <w:r w:rsidRPr="007E1EDD">
              <w:rPr>
                <w:rFonts w:ascii="宋体" w:hAnsi="宋体" w:cs="宋体" w:hint="eastAsia"/>
                <w:color w:val="000000"/>
                <w:kern w:val="0"/>
                <w:sz w:val="24"/>
              </w:rPr>
              <w:t>易方达标普全球高端消费品指数增强型证券投资基金</w:t>
            </w:r>
          </w:p>
        </w:tc>
      </w:tr>
      <w:tr w14:paraId="7526B5D2"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0842E3AE" w14:textId="77777777">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9F597D" w:rsidP="00AD2F51" w14:paraId="09254076" w14:textId="574DE111">
            <w:pPr>
              <w:rPr>
                <w:rFonts w:ascii="宋体" w:hAnsi="宋体" w:cs="宋体"/>
                <w:color w:val="000000"/>
                <w:kern w:val="0"/>
                <w:sz w:val="24"/>
              </w:rPr>
            </w:pPr>
            <w:r w:rsidRPr="007E1EDD">
              <w:rPr>
                <w:rFonts w:ascii="宋体" w:hAnsi="宋体" w:cs="宋体" w:hint="eastAsia"/>
                <w:color w:val="000000"/>
                <w:kern w:val="0"/>
                <w:sz w:val="24"/>
              </w:rPr>
              <w:t>易方达标普消费品指数增强（QDII）</w:t>
            </w:r>
          </w:p>
        </w:tc>
      </w:tr>
      <w:tr w14:paraId="16D25BC8" w14:textId="77777777" w:rsidTr="00783BF2">
        <w:tblPrEx>
          <w:tblW w:w="0" w:type="auto"/>
          <w:tblLayout w:type="fixed"/>
          <w:tblLook w:val="04A0"/>
        </w:tblPrEx>
        <w:trPr>
          <w:trHeight w:val="3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691A3A04" w14:textId="77777777">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7E1EDD" w:rsidP="00AD2F51" w14:paraId="2E3087B1" w14:textId="57B5451D">
            <w:pPr>
              <w:rPr>
                <w:rFonts w:ascii="宋体" w:hAnsi="宋体" w:cs="宋体"/>
                <w:color w:val="000000"/>
                <w:kern w:val="0"/>
                <w:sz w:val="24"/>
              </w:rPr>
            </w:pPr>
            <w:r w:rsidRPr="007E1EDD">
              <w:rPr>
                <w:rFonts w:ascii="宋体" w:hAnsi="宋体" w:cs="宋体" w:hint="eastAsia"/>
                <w:color w:val="000000"/>
                <w:kern w:val="0"/>
                <w:sz w:val="24"/>
              </w:rPr>
              <w:t>118002</w:t>
            </w:r>
          </w:p>
        </w:tc>
      </w:tr>
      <w:tr w14:paraId="068D39BD"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1F17D044" w14:textId="77777777">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AD2F51" w14:paraId="6F9D748D" w14:textId="77777777">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14:paraId="15C94924"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72ECCC84" w14:textId="77777777">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AD2F51" w14:paraId="016EE163" w14:textId="736F8595">
            <w:pPr>
              <w:widowControl/>
              <w:rPr>
                <w:rFonts w:ascii="宋体" w:hAnsi="宋体" w:cs="宋体"/>
                <w:color w:val="000000"/>
                <w:kern w:val="0"/>
                <w:sz w:val="24"/>
              </w:rPr>
            </w:pPr>
            <w:r w:rsidRPr="007E1EDD">
              <w:rPr>
                <w:rFonts w:ascii="宋体" w:hAnsi="宋体" w:cs="宋体" w:hint="eastAsia"/>
                <w:color w:val="000000"/>
                <w:kern w:val="0"/>
                <w:sz w:val="24"/>
              </w:rPr>
              <w:t>《易方达标普全球高端消费品指数增强型证券投资基金基金合同》、《易方达标普全球高端消费品指数增强型证券投资基金更新的招募说明书》</w:t>
            </w:r>
          </w:p>
        </w:tc>
      </w:tr>
      <w:tr w14:paraId="11767F64" w14:textId="77777777" w:rsidTr="00783BF2">
        <w:tblPrEx>
          <w:tblW w:w="0" w:type="auto"/>
          <w:tblLayout w:type="fixed"/>
          <w:tblLook w:val="04A0"/>
        </w:tblPrEx>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6607AA1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paraId="4F143829" w14:textId="42D16F44">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paraId="55BB674B" w14:textId="17D51A40">
            <w:pPr>
              <w:widowControl/>
              <w:rPr>
                <w:color w:val="000000"/>
                <w:kern w:val="0"/>
                <w:sz w:val="24"/>
              </w:rPr>
            </w:pPr>
            <w:r>
              <w:rPr>
                <w:rFonts w:ascii="宋体" w:hAnsi="宋体" w:cs="宋体" w:hint="eastAsia"/>
                <w:color w:val="000000"/>
                <w:kern w:val="0"/>
                <w:sz w:val="24"/>
              </w:rPr>
              <w:t>2023年1月16日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2023年1月16日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2023年1月16日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2023年1月16日为纳斯达克证券交易所和纽约证券交易所非交易日</w:t>
            </w:r>
          </w:p>
        </w:tc>
      </w:tr>
      <w:tr w14:paraId="11767F64" w14:textId="77777777" w:rsidTr="00783BF2">
        <w:tblPrEx>
          <w:tblW w:w="0" w:type="auto"/>
          <w:tblLayout w:type="fixed"/>
          <w:tblLook w:val="04A0"/>
        </w:tblPrEx>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恢复定期定额投资日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2023年1月17日为纳斯达克证券交易所和纽约证券交易所交易日</w:t>
            </w:r>
          </w:p>
        </w:tc>
      </w:tr>
      <w:tr w14:paraId="4F3BB062" w14:textId="77777777" w:rsidTr="00783BF2">
        <w:tblPrEx>
          <w:tblW w:w="0" w:type="auto"/>
          <w:tblLayout w:type="fixed"/>
          <w:tblLook w:val="04A0"/>
        </w:tblPrEx>
        <w:trPr>
          <w:trHeight w:val="6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526590EA" w14:textId="77777777">
            <w:pPr>
              <w:widowControl/>
              <w:rPr>
                <w:rFonts w:ascii="宋体" w:hAnsi="宋体" w:cs="宋体"/>
                <w:color w:val="000000"/>
                <w:kern w:val="0"/>
                <w:sz w:val="24"/>
              </w:rPr>
            </w:pPr>
            <w:r w:rsidRPr="00B94A65">
              <w:rPr>
                <w:rFonts w:ascii="宋体" w:hAnsi="宋体" w:cs="宋体" w:hint="eastAsia"/>
                <w:color w:val="000000"/>
                <w:kern w:val="0"/>
                <w:sz w:val="24"/>
              </w:rPr>
              <w:t>下属分级基金的基金简称</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paraId="1D7549D6" w14:textId="2FB3181D">
            <w:pPr>
              <w:widowControl/>
              <w:rPr>
                <w:rFonts w:ascii="宋体" w:hAnsi="宋体" w:cs="宋体"/>
                <w:color w:val="000000"/>
                <w:kern w:val="0"/>
                <w:sz w:val="24"/>
              </w:rPr>
            </w:pPr>
            <w:r w:rsidRPr="00663E5B">
              <w:rPr>
                <w:rFonts w:ascii="宋体" w:hAnsi="宋体" w:cs="宋体" w:hint="eastAsia"/>
                <w:color w:val="000000"/>
                <w:kern w:val="0"/>
                <w:sz w:val="24"/>
              </w:rPr>
              <w:t>易方达标普消费品指数增强（QDII）A</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paraId="379E4EA4" w14:textId="7AC035A0">
            <w:pPr>
              <w:widowControl/>
              <w:rPr>
                <w:rFonts w:ascii="宋体" w:hAnsi="宋体" w:cs="宋体"/>
                <w:color w:val="000000"/>
                <w:kern w:val="0"/>
                <w:sz w:val="24"/>
              </w:rPr>
            </w:pPr>
            <w:r w:rsidRPr="00663E5B">
              <w:rPr>
                <w:rFonts w:ascii="宋体" w:hAnsi="宋体" w:cs="宋体" w:hint="eastAsia"/>
                <w:color w:val="000000"/>
                <w:kern w:val="0"/>
                <w:sz w:val="24"/>
              </w:rPr>
              <w:t>易方达标普消费品指数增强（QDII）C</w:t>
            </w:r>
          </w:p>
        </w:tc>
      </w:tr>
      <w:tr w14:paraId="73093653" w14:textId="77777777" w:rsidTr="00783BF2">
        <w:tblPrEx>
          <w:tblW w:w="0" w:type="auto"/>
          <w:tblLayout w:type="fixed"/>
          <w:tblLook w:val="04A0"/>
        </w:tblPrEx>
        <w:trPr>
          <w:trHeight w:val="3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AD2F51" w14:paraId="3FEA9264" w14:textId="77777777">
            <w:pPr>
              <w:widowControl/>
              <w:rPr>
                <w:rFonts w:ascii="宋体" w:hAnsi="宋体" w:cs="宋体"/>
                <w:color w:val="000000"/>
                <w:kern w:val="0"/>
                <w:sz w:val="24"/>
              </w:rPr>
            </w:pPr>
            <w:r w:rsidRPr="00B94A65">
              <w:rPr>
                <w:rFonts w:ascii="宋体" w:hAnsi="宋体" w:cs="宋体" w:hint="eastAsia"/>
                <w:color w:val="000000"/>
                <w:kern w:val="0"/>
                <w:sz w:val="24"/>
              </w:rPr>
              <w:t>下属分级基金的交易代码</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F5419A" w:rsidP="00AD2F51" w14:paraId="24FEEAA9" w14:textId="4862F607">
            <w:pPr>
              <w:widowControl/>
              <w:rPr>
                <w:rFonts w:ascii="宋体" w:hAnsi="宋体" w:cs="宋体"/>
                <w:color w:val="000000"/>
                <w:kern w:val="0"/>
                <w:sz w:val="24"/>
              </w:rPr>
            </w:pPr>
            <w:r w:rsidRPr="008367BE">
              <w:rPr>
                <w:rFonts w:ascii="宋体" w:hAnsi="宋体" w:cs="宋体" w:hint="eastAsia"/>
                <w:color w:val="000000"/>
                <w:kern w:val="0"/>
                <w:sz w:val="24"/>
              </w:rPr>
              <w:t>118002</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8367BE" w:rsidP="00AD2F51" w14:paraId="627D112F" w14:textId="39B9132D">
            <w:pPr>
              <w:widowControl/>
              <w:rPr>
                <w:rFonts w:ascii="宋体" w:hAnsi="宋体" w:cs="宋体"/>
                <w:color w:val="000000"/>
                <w:kern w:val="0"/>
                <w:sz w:val="24"/>
              </w:rPr>
            </w:pPr>
            <w:r w:rsidRPr="008367BE">
              <w:rPr>
                <w:rFonts w:ascii="宋体" w:hAnsi="宋体" w:cs="宋体" w:hint="eastAsia"/>
                <w:color w:val="000000"/>
                <w:kern w:val="0"/>
                <w:sz w:val="24"/>
              </w:rPr>
              <w:t>005676</w:t>
            </w:r>
          </w:p>
        </w:tc>
      </w:tr>
      <w:tr w14:paraId="6889F211" w14:textId="77777777" w:rsidTr="00783BF2">
        <w:tblPrEx>
          <w:tblW w:w="0" w:type="auto"/>
          <w:tblLayout w:type="fixed"/>
          <w:tblLook w:val="04A0"/>
        </w:tblPrEx>
        <w:trPr>
          <w:trHeight w:val="6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9813E7" w14:paraId="437610D4" w14:textId="0018FD1F">
            <w:pPr>
              <w:widowControl/>
              <w:wordWrap w:val="0"/>
              <w:rPr>
                <w:rFonts w:ascii="宋体" w:hAnsi="宋体" w:cs="宋体"/>
                <w:color w:val="000000"/>
                <w:kern w:val="0"/>
                <w:sz w:val="24"/>
              </w:rPr>
            </w:pPr>
            <w:r w:rsidRPr="00B94A65">
              <w:rPr>
                <w:rFonts w:ascii="宋体" w:hAnsi="宋体" w:cs="宋体" w:hint="eastAsia"/>
                <w:color w:val="000000"/>
                <w:kern w:val="0"/>
                <w:sz w:val="24"/>
              </w:rPr>
              <w:t>该分级基金是否暂停申购、赎回、定期定额投资</w:t>
            </w:r>
            <w:bookmarkStart w:id="1" w:name="_GoBack"/>
            <w:bookmarkEnd w:id="1"/>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paraId="23706677" w14:textId="3E401965">
            <w:pPr>
              <w:widowControl/>
              <w:rPr>
                <w:rFonts w:ascii="宋体" w:hAnsi="宋体" w:cs="宋体"/>
                <w:color w:val="000000"/>
                <w:kern w:val="0"/>
                <w:sz w:val="24"/>
              </w:rPr>
            </w:pPr>
            <w:r w:rsidRPr="0070453A">
              <w:rPr>
                <w:rFonts w:ascii="宋体" w:hAnsi="宋体" w:cs="宋体"/>
                <w:color w:val="000000"/>
                <w:kern w:val="0"/>
                <w:sz w:val="24"/>
              </w:rPr>
              <w:t>是</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AD2F51" w14:paraId="2A17A7B7" w14:textId="1D4565DC">
            <w:pPr>
              <w:widowControl/>
              <w:rPr>
                <w:rFonts w:ascii="宋体" w:hAnsi="宋体" w:cs="宋体"/>
                <w:color w:val="000000"/>
                <w:kern w:val="0"/>
                <w:sz w:val="24"/>
              </w:rPr>
            </w:pPr>
            <w:r w:rsidRPr="0070453A">
              <w:rPr>
                <w:rFonts w:ascii="宋体" w:hAnsi="宋体" w:cs="宋体"/>
                <w:color w:val="000000"/>
                <w:kern w:val="0"/>
                <w:sz w:val="24"/>
              </w:rPr>
              <w:t>是</w:t>
            </w:r>
          </w:p>
        </w:tc>
      </w:tr>
    </w:tbl>
    <w:p w:rsidR="00EC4900" w:rsidP="001E1FED" w14:paraId="0F18672C" w14:textId="17365086">
      <w:pPr>
        <w:spacing w:line="360" w:lineRule="auto"/>
        <w:ind w:firstLine="480" w:firstLineChars="200"/>
        <w:rPr>
          <w:rFonts w:asciiTheme="minorEastAsia" w:eastAsiaTheme="minorEastAsia" w:hAnsiTheme="minorEastAsia"/>
          <w:color w:val="000000"/>
          <w:sz w:val="24"/>
        </w:rPr>
      </w:pPr>
    </w:p>
    <w:p w:rsidR="00132D7F" w:rsidRPr="008259F4" w:rsidP="001E1FED" w14:paraId="5B2C39A1" w14:textId="77777777">
      <w:pPr>
        <w:spacing w:line="360" w:lineRule="auto"/>
        <w:ind w:firstLine="480" w:firstLineChars="200"/>
        <w:rPr>
          <w:sz w:val="24"/>
        </w:rPr>
      </w:pPr>
    </w:p>
    <w:p w:rsidR="00CF4FFE" w:rsidRPr="008C2033" w:rsidP="00CF4FFE" w14:paraId="363AB32A" w14:textId="77777777">
      <w:pPr>
        <w:pStyle w:val="Heading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CF4FFE" w:rsidP="00CF4FFE" w14:paraId="578BB31F"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 本次暂停相关业务针对易方达标普全球高端消费品指数增强型证券投资基金（以下简称“本基金”）所有基金份额类别（A类人民币份额基金代码为118002，C类人民币份额基金代码为005676，A类美元份额基金代码为000593）。</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 若境外主要投资市场节假日安排发生变化，本基金管理人将进行相应调整并公告。</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 投资者可通过本基金各销售机构及以下途径咨询有关详情：</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1) 易方达基金管理有限公司网站：www.efunds.com.cn；</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2) 易方达基金管理有限公司客户服务热线：400 881 8088；</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rsidR="00D3112F" w:rsidRPr="00FC4FF1" w:rsidP="00CF4FFE" w14:paraId="25639636" w14:textId="77777777">
      <w:pPr>
        <w:spacing w:line="360" w:lineRule="auto"/>
        <w:ind w:firstLine="480" w:firstLineChars="200"/>
        <w:rPr>
          <w:rFonts w:asciiTheme="minorEastAsia" w:eastAsiaTheme="minorEastAsia" w:hAnsiTheme="minorEastAsia"/>
          <w:color w:val="000000"/>
          <w:sz w:val="24"/>
        </w:rPr>
      </w:pPr>
    </w:p>
    <w:p w:rsidR="00CF4FFE" w:rsidRPr="00FC4FF1" w:rsidP="00CF4FFE" w14:paraId="7886694F" w14:textId="77777777">
      <w:pPr>
        <w:spacing w:line="360" w:lineRule="auto"/>
        <w:ind w:firstLine="480" w:firstLineChars="20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rsidR="00E255CB" w:rsidRPr="004932BD" w:rsidP="00D37617" w14:paraId="5782F7C8" w14:textId="7C2637B4">
      <w:pPr>
        <w:spacing w:line="360" w:lineRule="auto"/>
        <w:ind w:firstLine="480" w:firstLineChars="20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2023年1月11日</w:t>
      </w:r>
    </w:p>
    <w:sectPr w:rsidSect="00B120A5">
      <w:headerReference w:type="default" r:id="rId4"/>
      <w:footerReference w:type="default" r:id="rId5"/>
      <w:pgSz w:w="11906" w:h="16838"/>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P="00B120A5" w14:paraId="1C7CA9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RPr="004649DF" w:rsidP="00B120A5" w14:paraId="0F4E9E85" w14:textId="77777777">
    <w:pPr>
      <w:pStyle w:val="Header"/>
      <w:rPr>
        <w:rStyle w:val="PageNumber"/>
      </w:rPr>
    </w:pPr>
    <w:r>
      <w:rPr>
        <w:rStyle w:val="PageNumber"/>
        <w:rFonts w:hint="eastAsia"/>
      </w:rPr>
      <w:t xml:space="preserve">                                             </w:t>
    </w:r>
  </w:p>
  <w:p w:rsidR="00B120A5" w:rsidRPr="004649DF" w:rsidP="00B120A5" w14:paraId="5623FFA9"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叶子逸">
    <w15:presenceInfo w15:providerId="AD" w15:userId="S-1-5-21-4192046361-1944119394-1811551143-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8CF"/>
    <w:rsid w:val="00016C7C"/>
    <w:rsid w:val="00022A0F"/>
    <w:rsid w:val="00053A2D"/>
    <w:rsid w:val="000603AA"/>
    <w:rsid w:val="00084037"/>
    <w:rsid w:val="00090A6D"/>
    <w:rsid w:val="000A08E2"/>
    <w:rsid w:val="000A4EA8"/>
    <w:rsid w:val="000B505A"/>
    <w:rsid w:val="000B6CA1"/>
    <w:rsid w:val="000D75B3"/>
    <w:rsid w:val="000E21A5"/>
    <w:rsid w:val="000E5C48"/>
    <w:rsid w:val="000E6DEE"/>
    <w:rsid w:val="000F55E8"/>
    <w:rsid w:val="001052A2"/>
    <w:rsid w:val="00116555"/>
    <w:rsid w:val="00127FE4"/>
    <w:rsid w:val="00132D7F"/>
    <w:rsid w:val="001345C4"/>
    <w:rsid w:val="00134ECE"/>
    <w:rsid w:val="001403F5"/>
    <w:rsid w:val="00165A9A"/>
    <w:rsid w:val="00171A39"/>
    <w:rsid w:val="00176983"/>
    <w:rsid w:val="00187BCF"/>
    <w:rsid w:val="00196B43"/>
    <w:rsid w:val="001D0C32"/>
    <w:rsid w:val="001D450D"/>
    <w:rsid w:val="001E1FED"/>
    <w:rsid w:val="001E5FFF"/>
    <w:rsid w:val="001F3EA6"/>
    <w:rsid w:val="002047B8"/>
    <w:rsid w:val="0021374C"/>
    <w:rsid w:val="00215D16"/>
    <w:rsid w:val="0023799D"/>
    <w:rsid w:val="0024190B"/>
    <w:rsid w:val="002510E8"/>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1E6C"/>
    <w:rsid w:val="00385C65"/>
    <w:rsid w:val="00386321"/>
    <w:rsid w:val="003A69C1"/>
    <w:rsid w:val="003B3E2F"/>
    <w:rsid w:val="003B533D"/>
    <w:rsid w:val="003C0759"/>
    <w:rsid w:val="003C3FD7"/>
    <w:rsid w:val="003F12CF"/>
    <w:rsid w:val="003F1376"/>
    <w:rsid w:val="003F2DE8"/>
    <w:rsid w:val="003F4DF6"/>
    <w:rsid w:val="0041080C"/>
    <w:rsid w:val="00413A38"/>
    <w:rsid w:val="00413BA8"/>
    <w:rsid w:val="004167E4"/>
    <w:rsid w:val="00417904"/>
    <w:rsid w:val="004260EA"/>
    <w:rsid w:val="00452E7F"/>
    <w:rsid w:val="004649DF"/>
    <w:rsid w:val="00482D94"/>
    <w:rsid w:val="0049091A"/>
    <w:rsid w:val="004932BD"/>
    <w:rsid w:val="00495E00"/>
    <w:rsid w:val="004B11C7"/>
    <w:rsid w:val="004D0C85"/>
    <w:rsid w:val="004E1CFC"/>
    <w:rsid w:val="004E61FB"/>
    <w:rsid w:val="004F3838"/>
    <w:rsid w:val="00504A01"/>
    <w:rsid w:val="00517C1D"/>
    <w:rsid w:val="0053152C"/>
    <w:rsid w:val="00531592"/>
    <w:rsid w:val="00534171"/>
    <w:rsid w:val="005364D2"/>
    <w:rsid w:val="005447D0"/>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834DA"/>
    <w:rsid w:val="006B54D0"/>
    <w:rsid w:val="006B5E1D"/>
    <w:rsid w:val="006C376C"/>
    <w:rsid w:val="006E57D3"/>
    <w:rsid w:val="0070453A"/>
    <w:rsid w:val="007072E2"/>
    <w:rsid w:val="00710028"/>
    <w:rsid w:val="00711D6B"/>
    <w:rsid w:val="00715649"/>
    <w:rsid w:val="00726142"/>
    <w:rsid w:val="00744165"/>
    <w:rsid w:val="0076152C"/>
    <w:rsid w:val="007773D8"/>
    <w:rsid w:val="00782BA1"/>
    <w:rsid w:val="00783BF2"/>
    <w:rsid w:val="007935D8"/>
    <w:rsid w:val="007B5458"/>
    <w:rsid w:val="007C62FF"/>
    <w:rsid w:val="007D19C3"/>
    <w:rsid w:val="007D2E3B"/>
    <w:rsid w:val="007D414E"/>
    <w:rsid w:val="007E1EDD"/>
    <w:rsid w:val="007E7A4D"/>
    <w:rsid w:val="008259F4"/>
    <w:rsid w:val="008367BE"/>
    <w:rsid w:val="00845B17"/>
    <w:rsid w:val="00847916"/>
    <w:rsid w:val="00891BCA"/>
    <w:rsid w:val="00893A09"/>
    <w:rsid w:val="008B31A1"/>
    <w:rsid w:val="008C2033"/>
    <w:rsid w:val="008C228D"/>
    <w:rsid w:val="008D649F"/>
    <w:rsid w:val="008E0142"/>
    <w:rsid w:val="008F5DBC"/>
    <w:rsid w:val="00906C0D"/>
    <w:rsid w:val="009107AD"/>
    <w:rsid w:val="00914A85"/>
    <w:rsid w:val="0091559C"/>
    <w:rsid w:val="009366E4"/>
    <w:rsid w:val="00956986"/>
    <w:rsid w:val="00956F22"/>
    <w:rsid w:val="0097220C"/>
    <w:rsid w:val="00980B50"/>
    <w:rsid w:val="009813E7"/>
    <w:rsid w:val="00983790"/>
    <w:rsid w:val="009D6573"/>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2F51"/>
    <w:rsid w:val="00AD5C5E"/>
    <w:rsid w:val="00AF1784"/>
    <w:rsid w:val="00B0053C"/>
    <w:rsid w:val="00B04BDA"/>
    <w:rsid w:val="00B120A5"/>
    <w:rsid w:val="00B24C24"/>
    <w:rsid w:val="00B463D8"/>
    <w:rsid w:val="00B53662"/>
    <w:rsid w:val="00B543A4"/>
    <w:rsid w:val="00B54764"/>
    <w:rsid w:val="00B61940"/>
    <w:rsid w:val="00B62F01"/>
    <w:rsid w:val="00B81249"/>
    <w:rsid w:val="00B94A65"/>
    <w:rsid w:val="00BA0A9C"/>
    <w:rsid w:val="00BC691A"/>
    <w:rsid w:val="00BC7747"/>
    <w:rsid w:val="00BE4B67"/>
    <w:rsid w:val="00BF1DCE"/>
    <w:rsid w:val="00BF31CF"/>
    <w:rsid w:val="00BF4447"/>
    <w:rsid w:val="00BF4B3A"/>
    <w:rsid w:val="00C0698B"/>
    <w:rsid w:val="00C23E63"/>
    <w:rsid w:val="00C43F62"/>
    <w:rsid w:val="00C52FF0"/>
    <w:rsid w:val="00C600BF"/>
    <w:rsid w:val="00C826E0"/>
    <w:rsid w:val="00C93191"/>
    <w:rsid w:val="00CA2E18"/>
    <w:rsid w:val="00CA7B1B"/>
    <w:rsid w:val="00CD4719"/>
    <w:rsid w:val="00CE4E69"/>
    <w:rsid w:val="00CE5E63"/>
    <w:rsid w:val="00CF03C6"/>
    <w:rsid w:val="00CF4FFE"/>
    <w:rsid w:val="00D0154C"/>
    <w:rsid w:val="00D17ADA"/>
    <w:rsid w:val="00D20661"/>
    <w:rsid w:val="00D30829"/>
    <w:rsid w:val="00D3112F"/>
    <w:rsid w:val="00D31935"/>
    <w:rsid w:val="00D37617"/>
    <w:rsid w:val="00D3796F"/>
    <w:rsid w:val="00D4227B"/>
    <w:rsid w:val="00D4622B"/>
    <w:rsid w:val="00D827E2"/>
    <w:rsid w:val="00D83D7B"/>
    <w:rsid w:val="00DB1DD0"/>
    <w:rsid w:val="00DC4872"/>
    <w:rsid w:val="00E200FD"/>
    <w:rsid w:val="00E22F18"/>
    <w:rsid w:val="00E255CB"/>
    <w:rsid w:val="00E31C70"/>
    <w:rsid w:val="00E3465E"/>
    <w:rsid w:val="00E52837"/>
    <w:rsid w:val="00E5581A"/>
    <w:rsid w:val="00E65A9C"/>
    <w:rsid w:val="00EB0D87"/>
    <w:rsid w:val="00EB32F2"/>
    <w:rsid w:val="00EC4900"/>
    <w:rsid w:val="00EE4900"/>
    <w:rsid w:val="00F14E36"/>
    <w:rsid w:val="00F21ACC"/>
    <w:rsid w:val="00F412E7"/>
    <w:rsid w:val="00F44F36"/>
    <w:rsid w:val="00F5419A"/>
    <w:rsid w:val="00F54207"/>
    <w:rsid w:val="00F70383"/>
    <w:rsid w:val="00F73FF7"/>
    <w:rsid w:val="00F8382B"/>
    <w:rsid w:val="00F97F99"/>
    <w:rsid w:val="00FC4FF1"/>
    <w:rsid w:val="00FD12FC"/>
    <w:rsid w:val="00FD6C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E"/>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CF4FFE"/>
    <w:pPr>
      <w:keepNext/>
      <w:keepLines/>
      <w:spacing w:before="260" w:after="260" w:line="416" w:lineRule="auto"/>
      <w:outlineLvl w:val="2"/>
    </w:pPr>
    <w:rPr>
      <w:b/>
      <w:bCs/>
      <w:sz w:val="32"/>
      <w:szCs w:val="32"/>
    </w:rPr>
  </w:style>
  <w:style w:type="paragraph" w:styleId="Heading5">
    <w:name w:val="heading 5"/>
    <w:basedOn w:val="Normal"/>
    <w:next w:val="Normal"/>
    <w:link w:val="5Char"/>
    <w:uiPriority w:val="9"/>
    <w:unhideWhenUsed/>
    <w:qFormat/>
    <w:rsid w:val="00663E5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F4FFE"/>
    <w:rPr>
      <w:sz w:val="18"/>
      <w:szCs w:val="18"/>
    </w:rPr>
  </w:style>
  <w:style w:type="paragraph" w:styleId="Footer">
    <w:name w:val="footer"/>
    <w:basedOn w:val="Normal"/>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F4FFE"/>
    <w:rPr>
      <w:sz w:val="18"/>
      <w:szCs w:val="18"/>
    </w:rPr>
  </w:style>
  <w:style w:type="character" w:customStyle="1" w:styleId="3Char">
    <w:name w:val="标题 3 Char"/>
    <w:basedOn w:val="DefaultParagraphFont"/>
    <w:link w:val="Heading3"/>
    <w:rsid w:val="00CF4FFE"/>
    <w:rPr>
      <w:rFonts w:ascii="Times New Roman" w:eastAsia="宋体" w:hAnsi="Times New Roman" w:cs="Times New Roman"/>
      <w:b/>
      <w:bCs/>
      <w:sz w:val="32"/>
      <w:szCs w:val="32"/>
    </w:rPr>
  </w:style>
  <w:style w:type="character" w:styleId="PageNumber">
    <w:name w:val="page number"/>
    <w:basedOn w:val="DefaultParagraphFont"/>
    <w:rsid w:val="00CF4FFE"/>
  </w:style>
  <w:style w:type="paragraph" w:styleId="BalloonText">
    <w:name w:val="Balloon Text"/>
    <w:basedOn w:val="Normal"/>
    <w:link w:val="Char1"/>
    <w:uiPriority w:val="99"/>
    <w:semiHidden/>
    <w:unhideWhenUsed/>
    <w:rsid w:val="00EC4900"/>
    <w:rPr>
      <w:sz w:val="18"/>
      <w:szCs w:val="18"/>
    </w:rPr>
  </w:style>
  <w:style w:type="character" w:customStyle="1" w:styleId="Char1">
    <w:name w:val="批注框文本 Char"/>
    <w:basedOn w:val="DefaultParagraphFont"/>
    <w:link w:val="BalloonText"/>
    <w:uiPriority w:val="99"/>
    <w:semiHidden/>
    <w:rsid w:val="00EC4900"/>
    <w:rPr>
      <w:rFonts w:ascii="Times New Roman" w:eastAsia="宋体" w:hAnsi="Times New Roman" w:cs="Times New Roman"/>
      <w:sz w:val="18"/>
      <w:szCs w:val="18"/>
    </w:rPr>
  </w:style>
  <w:style w:type="paragraph" w:styleId="DocumentMap">
    <w:name w:val="Document Map"/>
    <w:basedOn w:val="Normal"/>
    <w:link w:val="Char2"/>
    <w:uiPriority w:val="99"/>
    <w:semiHidden/>
    <w:unhideWhenUsed/>
    <w:rsid w:val="002C7CA4"/>
    <w:rPr>
      <w:rFonts w:ascii="宋体"/>
      <w:sz w:val="18"/>
      <w:szCs w:val="18"/>
    </w:rPr>
  </w:style>
  <w:style w:type="character" w:customStyle="1" w:styleId="Char2">
    <w:name w:val="文档结构图 Char"/>
    <w:basedOn w:val="DefaultParagraphFont"/>
    <w:link w:val="DocumentMap"/>
    <w:uiPriority w:val="99"/>
    <w:semiHidden/>
    <w:rsid w:val="002C7CA4"/>
    <w:rPr>
      <w:rFonts w:ascii="宋体" w:eastAsia="宋体" w:hAnsi="Times New Roman" w:cs="Times New Roman"/>
      <w:sz w:val="18"/>
      <w:szCs w:val="18"/>
    </w:rPr>
  </w:style>
  <w:style w:type="character" w:styleId="CommentReference">
    <w:name w:val="annotation reference"/>
    <w:basedOn w:val="DefaultParagraphFont"/>
    <w:uiPriority w:val="99"/>
    <w:semiHidden/>
    <w:unhideWhenUsed/>
    <w:rsid w:val="004167E4"/>
    <w:rPr>
      <w:sz w:val="21"/>
      <w:szCs w:val="21"/>
    </w:rPr>
  </w:style>
  <w:style w:type="paragraph" w:styleId="CommentText">
    <w:name w:val="annotation text"/>
    <w:basedOn w:val="Normal"/>
    <w:link w:val="Char3"/>
    <w:uiPriority w:val="99"/>
    <w:semiHidden/>
    <w:unhideWhenUsed/>
    <w:rsid w:val="004167E4"/>
    <w:pPr>
      <w:jc w:val="left"/>
    </w:pPr>
  </w:style>
  <w:style w:type="character" w:customStyle="1" w:styleId="Char3">
    <w:name w:val="批注文字 Char"/>
    <w:basedOn w:val="DefaultParagraphFont"/>
    <w:link w:val="CommentText"/>
    <w:uiPriority w:val="99"/>
    <w:semiHidden/>
    <w:rsid w:val="004167E4"/>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4167E4"/>
    <w:rPr>
      <w:b/>
      <w:bCs/>
    </w:rPr>
  </w:style>
  <w:style w:type="character" w:customStyle="1" w:styleId="Char4">
    <w:name w:val="批注主题 Char"/>
    <w:basedOn w:val="Char3"/>
    <w:link w:val="CommentSubject"/>
    <w:uiPriority w:val="99"/>
    <w:semiHidden/>
    <w:rsid w:val="004167E4"/>
    <w:rPr>
      <w:rFonts w:ascii="Times New Roman" w:eastAsia="宋体" w:hAnsi="Times New Roman" w:cs="Times New Roman"/>
      <w:b/>
      <w:bCs/>
      <w:szCs w:val="24"/>
    </w:rPr>
  </w:style>
  <w:style w:type="character" w:customStyle="1" w:styleId="5Char">
    <w:name w:val="标题 5 Char"/>
    <w:basedOn w:val="DefaultParagraphFont"/>
    <w:link w:val="Heading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