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仿宋简体" w:eastAsia="方正仿宋简体" w:cs="仿宋_GB2312" w:hAnsiTheme="minorEastAsia"/>
          <w:kern w:val="0"/>
          <w:sz w:val="36"/>
          <w:szCs w:val="36"/>
        </w:rPr>
      </w:pPr>
      <w:r>
        <w:rPr>
          <w:rFonts w:hint="eastAsia" w:ascii="方正仿宋简体" w:eastAsia="方正仿宋简体" w:cs="仿宋_GB2312" w:hAnsiTheme="minorEastAsia"/>
          <w:kern w:val="0"/>
          <w:sz w:val="36"/>
          <w:szCs w:val="36"/>
        </w:rPr>
        <w:t>博时荣丰回报灵活配置混合型证券投资基金（博时荣丰回报灵活配置混合A）基金产品资料概要更新</w:t>
      </w:r>
    </w:p>
    <w:p>
      <w:pPr>
        <w:autoSpaceDE w:val="0"/>
        <w:autoSpaceDN w:val="0"/>
        <w:adjustRightInd w:val="0"/>
        <w:jc w:val="right"/>
        <w:rPr>
          <w:rFonts w:ascii="方正仿宋简体" w:hAnsi="方正仿宋简体" w:eastAsia="方正仿宋简体" w:cs="方正仿宋简体"/>
          <w:iCs/>
          <w:sz w:val="24"/>
          <w:szCs w:val="24"/>
        </w:rPr>
      </w:pPr>
      <w:r>
        <w:rPr>
          <w:rFonts w:hint="eastAsia" w:ascii="方正仿宋简体" w:hAnsi="方正仿宋简体" w:eastAsia="方正仿宋简体" w:cs="方正仿宋简体"/>
          <w:iCs/>
          <w:sz w:val="24"/>
          <w:szCs w:val="24"/>
        </w:rPr>
        <w:t>编制日期：2023年5月8日</w:t>
      </w:r>
    </w:p>
    <w:p>
      <w:pPr>
        <w:autoSpaceDE w:val="0"/>
        <w:autoSpaceDN w:val="0"/>
        <w:adjustRightInd w:val="0"/>
        <w:jc w:val="center"/>
        <w:rPr>
          <w:rFonts w:ascii="方正仿宋简体" w:hAnsi="方正仿宋简体" w:eastAsia="方正仿宋简体" w:cs="方正仿宋简体"/>
          <w:iCs/>
          <w:sz w:val="24"/>
          <w:szCs w:val="24"/>
        </w:rPr>
      </w:pPr>
      <w:r>
        <w:rPr>
          <w:rFonts w:hint="eastAsia" w:ascii="方正仿宋简体" w:hAnsi="方正仿宋简体" w:eastAsia="方正仿宋简体" w:cs="方正仿宋简体"/>
          <w:iCs/>
          <w:sz w:val="24"/>
          <w:szCs w:val="24"/>
        </w:rPr>
        <w:t>送出日期：2023年5月9日</w:t>
      </w:r>
    </w:p>
    <w:p>
      <w:pPr>
        <w:autoSpaceDE w:val="0"/>
        <w:autoSpaceDN w:val="0"/>
        <w:adjustRightInd w:val="0"/>
        <w:spacing w:line="440" w:lineRule="exact"/>
        <w:jc w:val="center"/>
        <w:rPr>
          <w:rFonts w:ascii="方正黑体简体" w:eastAsia="方正黑体简体" w:cs="黑体"/>
          <w:kern w:val="0"/>
          <w:sz w:val="28"/>
          <w:szCs w:val="28"/>
        </w:rPr>
      </w:pPr>
      <w:r>
        <w:rPr>
          <w:rFonts w:hint="eastAsia" w:ascii="方正黑体简体" w:eastAsia="方正黑体简体" w:cs="黑体"/>
          <w:kern w:val="0"/>
          <w:sz w:val="28"/>
          <w:szCs w:val="28"/>
        </w:rPr>
        <w:t>本概要提供本基金的重要信息，是招募说明书的一部分。</w:t>
      </w:r>
    </w:p>
    <w:p>
      <w:pPr>
        <w:autoSpaceDE w:val="0"/>
        <w:autoSpaceDN w:val="0"/>
        <w:adjustRightInd w:val="0"/>
        <w:spacing w:line="440" w:lineRule="exact"/>
        <w:jc w:val="center"/>
        <w:rPr>
          <w:rFonts w:ascii="方正黑体简体" w:eastAsia="方正黑体简体" w:cs="黑体"/>
          <w:kern w:val="0"/>
          <w:sz w:val="28"/>
          <w:szCs w:val="28"/>
        </w:rPr>
      </w:pPr>
      <w:r>
        <w:rPr>
          <w:rFonts w:hint="eastAsia" w:ascii="方正黑体简体" w:eastAsia="方正黑体简体" w:cs="黑体"/>
          <w:kern w:val="0"/>
          <w:sz w:val="28"/>
          <w:szCs w:val="28"/>
        </w:rPr>
        <w:t>作出投资决定前，请阅读完整的招募说明书等销售文件。</w:t>
      </w: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产品概况</w:t>
      </w:r>
    </w:p>
    <w:tbl>
      <w:tblPr>
        <w:tblStyle w:val="8"/>
        <w:tblW w:w="5000" w:type="pct"/>
        <w:tblInd w:w="0" w:type="dxa"/>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Layout w:type="fixed"/>
        <w:tblCellMar>
          <w:top w:w="0" w:type="dxa"/>
          <w:left w:w="108" w:type="dxa"/>
          <w:bottom w:w="0" w:type="dxa"/>
          <w:right w:w="108" w:type="dxa"/>
        </w:tblCellMar>
      </w:tblPr>
      <w:tblGrid>
        <w:gridCol w:w="2446"/>
        <w:gridCol w:w="3019"/>
        <w:gridCol w:w="2134"/>
        <w:gridCol w:w="3083"/>
      </w:tblGrid>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基金简称</w:t>
            </w:r>
          </w:p>
        </w:tc>
        <w:tc>
          <w:tcPr>
            <w:tcW w:w="1413" w:type="pct"/>
            <w:vMerge w:val="restar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博时荣丰回报灵活配置混合</w:t>
            </w:r>
          </w:p>
        </w:tc>
        <w:tc>
          <w:tcPr>
            <w:tcW w:w="998"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基金代码</w:t>
            </w:r>
          </w:p>
        </w:tc>
        <w:tc>
          <w:tcPr>
            <w:tcW w:w="1443" w:type="pct"/>
            <w:tcBorders>
              <w:bottom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009217</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150" w:hRule="atLeast"/>
        </w:trPr>
        <w:tc>
          <w:tcPr>
            <w:tcW w:w="1144"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下属基金简称</w:t>
            </w:r>
          </w:p>
        </w:tc>
        <w:tc>
          <w:tcPr>
            <w:tcW w:w="1413" w:type="pct"/>
            <w:vMerge w:val="restar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博时荣丰回报灵活配置混合A</w:t>
            </w:r>
          </w:p>
        </w:tc>
        <w:tc>
          <w:tcPr>
            <w:tcW w:w="998"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下属基金代码</w:t>
            </w:r>
          </w:p>
        </w:tc>
        <w:tc>
          <w:tcPr>
            <w:tcW w:w="1443" w:type="pct"/>
            <w:tcBorders>
              <w:top w:val="dashSmallGap" w:color="A5A5A5" w:themeColor="background1" w:themeShade="A6" w:sz="4" w:space="0"/>
              <w:bottom w:val="nil"/>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009217</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基金管理人</w:t>
            </w:r>
          </w:p>
        </w:tc>
        <w:tc>
          <w:tcPr>
            <w:tcW w:w="141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博时基金管理有限公司</w:t>
            </w:r>
          </w:p>
        </w:tc>
        <w:tc>
          <w:tcPr>
            <w:tcW w:w="998"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基金托管人</w:t>
            </w:r>
          </w:p>
        </w:tc>
        <w:tc>
          <w:tcPr>
            <w:tcW w:w="144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 xml:space="preserve">中国建设银行股份有限公司 </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基金合同生效日</w:t>
            </w:r>
          </w:p>
        </w:tc>
        <w:tc>
          <w:tcPr>
            <w:tcW w:w="1413" w:type="pct"/>
            <w:vMerge w:val="restar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2020-05-07</w:t>
            </w:r>
          </w:p>
        </w:tc>
        <w:tc>
          <w:tcPr>
            <w:tcW w:w="998" w:type="pct"/>
            <w:vMerge w:val="restart"/>
            <w:vAlign w:val="center"/>
          </w:tcPr>
          <w:p>
            <w:pPr>
              <w:spacing w:line="320" w:lineRule="exact"/>
              <w:rPr>
                <w:rFonts w:ascii="方正仿宋简体" w:eastAsia="方正仿宋简体" w:cs="方正仿宋简体" w:hAnsiTheme="minorEastAsia"/>
                <w:b/>
                <w:iCs/>
              </w:rPr>
            </w:pPr>
          </w:p>
        </w:tc>
        <w:tc>
          <w:tcPr>
            <w:tcW w:w="1443" w:type="pct"/>
            <w:tcBorders>
              <w:top w:val="dashSmallGap" w:color="A5A5A5" w:themeColor="background1" w:themeShade="A6" w:sz="4" w:space="0"/>
              <w:bottom w:val="nil"/>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 xml:space="preserve"> </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基金类型</w:t>
            </w:r>
          </w:p>
        </w:tc>
        <w:tc>
          <w:tcPr>
            <w:tcW w:w="141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混合型</w:t>
            </w:r>
          </w:p>
        </w:tc>
        <w:tc>
          <w:tcPr>
            <w:tcW w:w="998"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交易币种</w:t>
            </w:r>
          </w:p>
        </w:tc>
        <w:tc>
          <w:tcPr>
            <w:tcW w:w="144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人民币</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运作方式</w:t>
            </w:r>
          </w:p>
        </w:tc>
        <w:tc>
          <w:tcPr>
            <w:tcW w:w="141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其它开放式</w:t>
            </w:r>
          </w:p>
        </w:tc>
        <w:tc>
          <w:tcPr>
            <w:tcW w:w="998"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开放频率</w:t>
            </w:r>
          </w:p>
        </w:tc>
        <w:tc>
          <w:tcPr>
            <w:tcW w:w="144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每个开放日开放申购、赎回</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基金经理</w:t>
            </w:r>
          </w:p>
        </w:tc>
        <w:tc>
          <w:tcPr>
            <w:tcW w:w="1413" w:type="pct"/>
            <w:vMerge w:val="restart"/>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黄继晨</w:t>
            </w:r>
          </w:p>
        </w:tc>
        <w:tc>
          <w:tcPr>
            <w:tcW w:w="998"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开始担任本基金基金经理的日期</w:t>
            </w:r>
          </w:p>
        </w:tc>
        <w:tc>
          <w:tcPr>
            <w:tcW w:w="1443" w:type="pct"/>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2021-09-07</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Merge w:val="continue"/>
            <w:vAlign w:val="center"/>
          </w:tcPr>
          <w:p>
            <w:pPr>
              <w:spacing w:line="320" w:lineRule="exact"/>
              <w:rPr>
                <w:rFonts w:ascii="方正仿宋简体" w:eastAsia="方正仿宋简体" w:cs="方正仿宋简体" w:hAnsiTheme="minorEastAsia"/>
                <w:b/>
                <w:iCs/>
              </w:rPr>
            </w:pPr>
          </w:p>
        </w:tc>
        <w:tc>
          <w:tcPr>
            <w:tcW w:w="1413" w:type="pct"/>
            <w:vMerge w:val="continue"/>
            <w:vAlign w:val="center"/>
          </w:tcPr>
          <w:p>
            <w:pPr>
              <w:spacing w:line="320" w:lineRule="exact"/>
              <w:rPr>
                <w:rFonts w:ascii="方正仿宋简体" w:eastAsia="方正仿宋简体" w:cs="方正仿宋简体" w:hAnsiTheme="minorEastAsia"/>
                <w:b/>
                <w:iCs/>
              </w:rPr>
            </w:pPr>
          </w:p>
        </w:tc>
        <w:tc>
          <w:tcPr>
            <w:tcW w:w="998"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证券从业日期</w:t>
            </w:r>
          </w:p>
        </w:tc>
        <w:tc>
          <w:tcPr>
            <w:tcW w:w="144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2012-08-01</w:t>
            </w:r>
          </w:p>
        </w:tc>
      </w:tr>
    </w:tbl>
    <w:p>
      <w:pPr>
        <w:spacing w:line="280" w:lineRule="exact"/>
        <w:rPr>
          <w:rFonts w:ascii="方正仿宋简体" w:eastAsia="方正仿宋简体" w:cs="仿宋_GB2312" w:hAnsiTheme="minorEastAsia"/>
          <w:b/>
          <w:kern w:val="0"/>
          <w:szCs w:val="24"/>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基金投资与净值表现</w:t>
      </w:r>
    </w:p>
    <w:p>
      <w:pPr>
        <w:pStyle w:val="12"/>
        <w:numPr>
          <w:ilvl w:val="0"/>
          <w:numId w:val="3"/>
        </w:numPr>
        <w:spacing w:line="320" w:lineRule="exact"/>
        <w:ind w:firstLineChars="0"/>
        <w:outlineLvl w:val="1"/>
        <w:rPr>
          <w:rFonts w:ascii="方正仿宋简体" w:eastAsia="方正仿宋简体" w:cs="方正仿宋简体" w:hAnsiTheme="minorEastAsia"/>
          <w:b/>
          <w:iCs/>
          <w:sz w:val="24"/>
          <w:szCs w:val="24"/>
        </w:rPr>
      </w:pPr>
      <w:r>
        <w:rPr>
          <w:rFonts w:hint="eastAsia" w:ascii="方正仿宋简体" w:hAnsi="方正仿宋简体" w:eastAsia="方正仿宋简体" w:cs="方正仿宋简体"/>
          <w:b/>
          <w:iCs/>
          <w:sz w:val="24"/>
          <w:szCs w:val="24"/>
        </w:rPr>
        <w:t>投资目标与投资策略</w:t>
      </w:r>
    </w:p>
    <w:p>
      <w:pPr>
        <w:spacing w:line="320" w:lineRule="exact"/>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敬请投资者阅读更新的《招募说明书》第八章了解详细情况</w:t>
      </w:r>
    </w:p>
    <w:tbl>
      <w:tblPr>
        <w:tblStyle w:val="8"/>
        <w:tblW w:w="5000" w:type="pct"/>
        <w:tblInd w:w="0" w:type="dxa"/>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2623"/>
        <w:gridCol w:w="8059"/>
      </w:tblGrid>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投资目标</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本基金坚持价值投资理念，充分发挥专业研究与精选个股能力，力争组合资产实现长期稳健的增值。</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投资范围</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的投资范围为具有良好流动性的金融工具，包括国内依法发行上市的股票（包括中小板、创业板及其他经中国证监会核准或注册上市的股票、存托凭证）、内地与香港股票市场交易互联互通机制下允许投资的香港联合交易所上市的股票（以下简称“港股通标的股票”）、债券（包括国债、金融债、地方政府债、政府支持机构债券、企业债、公司债、央行票据、中期票据、短期融资券、可转换债券（含可分离交易可转换债券）、可交换债、次级债等）、货币市场工具、同业存单、债券回购、股指期货、国债期货、资产支持证券、银行存款以及法律法规或中国证监会允许基金投资的其他金融工具（但须符合中国证监会的相关规定）。</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如法律法规或中国证监会以后允许基金投资其他品种，本基金管理人在履行适当程序后，可以将其纳入本基金的投资范围。</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的投资组合比例为：在封闭运作期内，投资股票资产（含存托凭证）占基金资产的比例为10%—100%，港股通标的股票的投资比例为股票资产的0%-50%；投资于同业存单的比例不超过基金资产的20%；每个交易日日终在扣除股指期货合约、国债期货合约需缴纳的交易保证金后，应当保持不低于交易保证金一倍的现金；前述现金不包括结算备付金、存出保证金、应收申购款等。</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封闭期届满转为开放式运作后，本基金的股票资产（含存托凭证）占基金资产的10%-95%，港股通标的股票的投资比例为股票资产的0%-50%；投资于同业存单的比例不超过基金资产的20%；每个交易日日终在扣除股指期货合约、国债期货合约所需缴纳的交易保证金后，现金或到期日在一年以内的政府债券不低于基金资产净值的5%。前述现金不包括结算备付金、存出保证金、应收申购款等。</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若法律法规的相关规定发生变更或监管机构允许，本基金管理人在履行适当程序后，可对上述资产配置比例进行调整。</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主要投资策略</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为灵活配置混合型基金。投资策略主要包括资产配置策略、股票投资策略、其他资产投资策略三个部分内容。其中，资产配置策略主要是通过对宏观经济周期运行规律的研究，动态调整大类资产配置比例，以争取规避系统性风险。其次，股票投资策略包括行业选择和个股选择，在行业选择层面，主要是结合宏观和政策环境判断，形成行业配置思路。在个股投资层面，本基金将坚持估值与成长相结合，对企业基本面和长期竞争力进行严格评判。其他资产投资策略有债券投资策略、股指期货、国债期货投资策略和资产支持证券投资策略。</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业绩比较基准</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沪深300指数收益率×50%+恒生综合指数收益率×10%+中债综合财富(总值)指数收益率×40%</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风险收益特征</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是混合型证券投资基金，其预期收益和预期风险水平高于债券型基金产品和货币市场基金，低于股票型基金，属于中高预期风险、中高预期收益的基金产品。本基金如果投资港股通标的股票，需承担汇率风险以及境外市场的风险。</w:t>
            </w:r>
          </w:p>
        </w:tc>
      </w:tr>
    </w:tbl>
    <w:p>
      <w:pPr>
        <w:spacing w:line="320" w:lineRule="exact"/>
        <w:rPr>
          <w:rFonts w:ascii="方正仿宋简体" w:eastAsia="方正仿宋简体" w:cs="仿宋_GB2312" w:hAnsiTheme="minorEastAsia"/>
          <w:kern w:val="0"/>
          <w:szCs w:val="24"/>
        </w:rPr>
      </w:pPr>
    </w:p>
    <w:p>
      <w:pPr>
        <w:pStyle w:val="12"/>
        <w:numPr>
          <w:ilvl w:val="0"/>
          <w:numId w:val="3"/>
        </w:numPr>
        <w:spacing w:line="32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投资组合资产配置图表/区域配置图表</w:t>
      </w:r>
    </w:p>
    <w:p>
      <w:pPr>
        <w:spacing w:line="320" w:lineRule="exact"/>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投资组合资产配置图表</w:t>
      </w:r>
    </w:p>
    <w:p>
      <w:pPr>
        <w:jc w:val="center"/>
        <w:rPr>
          <w:rFonts w:ascii="方正仿宋简体" w:hAnsi="方正仿宋简体" w:eastAsia="方正仿宋简体" w:cs="方正仿宋简体"/>
          <w:b/>
          <w:iCs/>
          <w:sz w:val="24"/>
          <w:szCs w:val="24"/>
        </w:rPr>
      </w:pPr>
      <w:r>
        <w:rPr>
          <w:rFonts w:ascii="方正仿宋简体" w:hAnsi="方正仿宋简体" w:eastAsia="方正仿宋简体" w:cs="方正仿宋简体"/>
          <w:b/>
          <w:iCs/>
          <w:sz w:val="24"/>
          <w:szCs w:val="24"/>
        </w:rPr>
        <w:drawing>
          <wp:inline distT="0" distB="0" distL="0" distR="0">
            <wp:extent cx="5993765" cy="3496945"/>
            <wp:effectExtent l="0" t="0" r="6985" b="635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94000" cy="3497075"/>
                    </a:xfrm>
                    <a:prstGeom prst="rect">
                      <a:avLst/>
                    </a:prstGeom>
                    <a:noFill/>
                    <a:ln>
                      <a:noFill/>
                    </a:ln>
                  </pic:spPr>
                </pic:pic>
              </a:graphicData>
            </a:graphic>
          </wp:inline>
        </w:drawing>
      </w:r>
    </w:p>
    <w:p>
      <w:pPr>
        <w:pStyle w:val="12"/>
        <w:numPr>
          <w:ilvl w:val="0"/>
          <w:numId w:val="3"/>
        </w:numPr>
        <w:spacing w:line="28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自基金合同生效以来基金每年的净值增长率及与同期业绩比较基准的比较图</w:t>
      </w:r>
    </w:p>
    <w:p>
      <w:pPr>
        <w:jc w:val="center"/>
        <w:rPr>
          <w:rFonts w:ascii="方正仿宋简体" w:eastAsia="方正仿宋简体" w:hAnsiTheme="minorEastAsia"/>
        </w:rPr>
      </w:pPr>
      <w:r>
        <w:rPr>
          <w:rFonts w:hint="eastAsia" w:ascii="方正仿宋简体" w:eastAsia="方正仿宋简体" w:hAnsiTheme="minorEastAsia"/>
        </w:rPr>
        <w:drawing>
          <wp:inline distT="0" distB="0" distL="0" distR="0">
            <wp:extent cx="5993765" cy="3504565"/>
            <wp:effectExtent l="0" t="0" r="698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94000" cy="3505142"/>
                    </a:xfrm>
                    <a:prstGeom prst="rect">
                      <a:avLst/>
                    </a:prstGeom>
                    <a:noFill/>
                    <a:ln>
                      <a:noFill/>
                    </a:ln>
                  </pic:spPr>
                </pic:pic>
              </a:graphicData>
            </a:graphic>
          </wp:inline>
        </w:drawing>
      </w:r>
    </w:p>
    <w:p>
      <w:pPr>
        <w:autoSpaceDE w:val="0"/>
        <w:autoSpaceDN w:val="0"/>
        <w:adjustRightInd w:val="0"/>
        <w:spacing w:line="280" w:lineRule="exact"/>
        <w:jc w:val="left"/>
        <w:rPr>
          <w:rFonts w:ascii="方正仿宋简体" w:eastAsia="方正仿宋简体" w:hAnsiTheme="minorEastAsia"/>
          <w:color w:val="000000" w:themeColor="text1"/>
          <w14:textFill>
            <w14:solidFill>
              <w14:schemeClr w14:val="tx1"/>
            </w14:solidFill>
          </w14:textFill>
        </w:rPr>
      </w:pPr>
      <w:r>
        <w:rPr>
          <w:rFonts w:hint="eastAsia" w:ascii="方正仿宋简体" w:eastAsia="方正仿宋简体" w:hAnsiTheme="minorEastAsia"/>
          <w:color w:val="000000" w:themeColor="text1"/>
          <w14:textFill>
            <w14:solidFill>
              <w14:schemeClr w14:val="tx1"/>
            </w14:solidFill>
          </w14:textFill>
        </w:rPr>
        <w:t>注：基金的过往业绩不代表未来表现。本基金份额生效当年按实际存续期计算，不按整个自然年度进行折算。</w:t>
      </w: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投资本基金涉及的费用</w:t>
      </w:r>
    </w:p>
    <w:p>
      <w:pPr>
        <w:pStyle w:val="12"/>
        <w:numPr>
          <w:ilvl w:val="0"/>
          <w:numId w:val="4"/>
        </w:numPr>
        <w:spacing w:line="32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基金销售相关费用</w:t>
      </w:r>
    </w:p>
    <w:p>
      <w:pPr>
        <w:autoSpaceDE w:val="0"/>
        <w:autoSpaceDN w:val="0"/>
        <w:adjustRightInd w:val="0"/>
        <w:spacing w:line="320" w:lineRule="exact"/>
        <w:jc w:val="left"/>
        <w:rPr>
          <w:rFonts w:ascii="方正仿宋简体" w:eastAsia="方正仿宋简体"/>
        </w:rPr>
      </w:pPr>
      <w:r>
        <w:rPr>
          <w:rFonts w:hint="eastAsia" w:ascii="方正仿宋简体" w:hAnsi="方正仿宋简体" w:eastAsia="方正仿宋简体" w:cs="方正仿宋简体"/>
          <w:iCs/>
        </w:rPr>
        <w:t>以下费用在认购/申购/赎回基金过程中收取：</w:t>
      </w:r>
    </w:p>
    <w:tbl>
      <w:tblPr>
        <w:tblStyle w:val="7"/>
        <w:tblW w:w="5000" w:type="pct"/>
        <w:tblInd w:w="0" w:type="dxa"/>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2974"/>
        <w:gridCol w:w="4088"/>
        <w:gridCol w:w="2489"/>
        <w:gridCol w:w="1131"/>
      </w:tblGrid>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费用类型</w:t>
            </w:r>
          </w:p>
        </w:tc>
        <w:tc>
          <w:tcPr>
            <w:tcW w:w="1913"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份额（S）或金额（M）</w:t>
            </w:r>
          </w:p>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/持有期限（N）</w:t>
            </w:r>
          </w:p>
        </w:tc>
        <w:tc>
          <w:tcPr>
            <w:tcW w:w="1165"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收费方式/费率</w:t>
            </w:r>
          </w:p>
        </w:tc>
        <w:tc>
          <w:tcPr>
            <w:tcW w:w="529"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备注</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restar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申购费（前收费）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M &lt; 50万元</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1.20%  </w:t>
            </w:r>
          </w:p>
        </w:tc>
        <w:tc>
          <w:tcPr>
            <w:tcW w:w="529" w:type="pct"/>
            <w:vAlign w:val="center"/>
          </w:tcPr>
          <w:p>
            <w:pPr>
              <w:spacing w:line="320" w:lineRule="exact"/>
              <w:jc w:val="center"/>
              <w:rPr>
                <w:rFonts w:ascii="方正仿宋简体" w:hAnsi="方正仿宋简体" w:eastAsia="方正仿宋简体" w:cs="方正仿宋简体"/>
                <w:bCs/>
                <w:iCs/>
              </w:rPr>
            </w:pP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申购费（前收费）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50万元 ≤ M &lt; 100万元</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0.80%  </w:t>
            </w:r>
          </w:p>
        </w:tc>
        <w:tc>
          <w:tcPr>
            <w:tcW w:w="529" w:type="pct"/>
            <w:vAlign w:val="center"/>
          </w:tcPr>
          <w:p>
            <w:pPr>
              <w:spacing w:line="320" w:lineRule="exact"/>
              <w:jc w:val="center"/>
              <w:rPr>
                <w:rFonts w:ascii="方正仿宋简体" w:hAnsi="方正仿宋简体" w:eastAsia="方正仿宋简体" w:cs="方正仿宋简体"/>
                <w:bCs/>
                <w:iCs/>
              </w:rPr>
            </w:pP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申购费（前收费）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100万元 ≤ M &lt; 500万元</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0.60%  </w:t>
            </w:r>
          </w:p>
        </w:tc>
        <w:tc>
          <w:tcPr>
            <w:tcW w:w="529" w:type="pct"/>
            <w:vAlign w:val="center"/>
          </w:tcPr>
          <w:p>
            <w:pPr>
              <w:spacing w:line="320" w:lineRule="exact"/>
              <w:jc w:val="center"/>
              <w:rPr>
                <w:rFonts w:ascii="方正仿宋简体" w:hAnsi="方正仿宋简体" w:eastAsia="方正仿宋简体" w:cs="方正仿宋简体"/>
                <w:bCs/>
                <w:iCs/>
              </w:rPr>
            </w:pP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申购费（前收费）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M ≥ 500万元</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1000元/笔</w:t>
            </w:r>
          </w:p>
        </w:tc>
        <w:tc>
          <w:tcPr>
            <w:tcW w:w="529" w:type="pct"/>
            <w:vAlign w:val="center"/>
          </w:tcPr>
          <w:p>
            <w:pPr>
              <w:spacing w:line="320" w:lineRule="exact"/>
              <w:jc w:val="center"/>
              <w:rPr>
                <w:rFonts w:ascii="方正仿宋简体" w:hAnsi="方正仿宋简体" w:eastAsia="方正仿宋简体" w:cs="方正仿宋简体"/>
                <w:bCs/>
                <w:iCs/>
              </w:rPr>
            </w:pP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restar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N &lt; 7天 </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1.50%  </w:t>
            </w:r>
          </w:p>
        </w:tc>
        <w:tc>
          <w:tcPr>
            <w:tcW w:w="529"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100%计入资产</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7天 ≤ N &lt; 30天 </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0.75%  </w:t>
            </w:r>
          </w:p>
        </w:tc>
        <w:tc>
          <w:tcPr>
            <w:tcW w:w="529"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100%计入资产</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30天 ≤ N &lt; 90天 </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0.50%  </w:t>
            </w:r>
          </w:p>
        </w:tc>
        <w:tc>
          <w:tcPr>
            <w:tcW w:w="529"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至少75%计入资产</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90天 ≤ N &lt; 180天 </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0.50%  </w:t>
            </w:r>
          </w:p>
        </w:tc>
        <w:tc>
          <w:tcPr>
            <w:tcW w:w="529"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至少50%计入资产</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N ≥ 180天 </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0.00%  </w:t>
            </w:r>
          </w:p>
        </w:tc>
        <w:tc>
          <w:tcPr>
            <w:tcW w:w="529" w:type="pct"/>
            <w:vAlign w:val="center"/>
          </w:tcPr>
          <w:p>
            <w:pPr>
              <w:spacing w:line="320" w:lineRule="exact"/>
              <w:jc w:val="center"/>
              <w:rPr>
                <w:rFonts w:ascii="方正仿宋简体" w:hAnsi="方正仿宋简体" w:eastAsia="方正仿宋简体" w:cs="方正仿宋简体"/>
                <w:bCs/>
                <w:iCs/>
              </w:rPr>
            </w:pPr>
          </w:p>
        </w:tc>
      </w:tr>
    </w:tbl>
    <w:p>
      <w:pPr>
        <w:autoSpaceDE w:val="0"/>
        <w:autoSpaceDN w:val="0"/>
        <w:adjustRightInd w:val="0"/>
        <w:spacing w:line="320" w:lineRule="exact"/>
        <w:jc w:val="left"/>
        <w:rPr>
          <w:rFonts w:ascii="方正仿宋简体" w:hAnsi="方正仿宋简体" w:eastAsia="方正仿宋简体" w:cs="方正仿宋简体"/>
          <w:iCs/>
        </w:rPr>
      </w:pPr>
      <w:r>
        <w:rPr>
          <w:rFonts w:hint="eastAsia" w:ascii="方正仿宋简体" w:hAnsi="方正仿宋简体" w:eastAsia="方正仿宋简体" w:cs="方正仿宋简体"/>
          <w:iCs/>
        </w:rPr>
        <w:t>注：对于通过基金管理人直销渠道申购的养老金客户，享受申购费率1折优惠。对于通过基金管理人直销渠道赎回的养老金客户，将不计入基金资产部分的赎回费免除。</w:t>
      </w:r>
    </w:p>
    <w:p>
      <w:pPr>
        <w:spacing w:line="320" w:lineRule="exact"/>
        <w:rPr>
          <w:rFonts w:ascii="方正仿宋简体" w:eastAsia="方正仿宋简体" w:cs="方正仿宋简体" w:hAnsiTheme="minorEastAsia"/>
          <w:b/>
          <w:iCs/>
          <w:sz w:val="24"/>
          <w:szCs w:val="24"/>
        </w:rPr>
      </w:pPr>
    </w:p>
    <w:p>
      <w:pPr>
        <w:spacing w:line="320" w:lineRule="exact"/>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（二）基金运作相关费用</w:t>
      </w:r>
    </w:p>
    <w:p>
      <w:pPr>
        <w:autoSpaceDE w:val="0"/>
        <w:autoSpaceDN w:val="0"/>
        <w:adjustRightInd w:val="0"/>
        <w:spacing w:line="320" w:lineRule="exact"/>
        <w:jc w:val="left"/>
        <w:rPr>
          <w:rFonts w:ascii="方正仿宋简体" w:hAnsi="方正仿宋简体" w:eastAsia="方正仿宋简体" w:cs="方正仿宋简体"/>
          <w:iCs/>
        </w:rPr>
      </w:pPr>
      <w:r>
        <w:rPr>
          <w:rFonts w:hint="eastAsia" w:ascii="方正仿宋简体" w:eastAsia="方正仿宋简体"/>
        </w:rPr>
        <w:t>以下</w:t>
      </w:r>
      <w:r>
        <w:rPr>
          <w:rFonts w:hint="eastAsia" w:ascii="方正仿宋简体" w:hAnsi="方正仿宋简体" w:eastAsia="方正仿宋简体" w:cs="方正仿宋简体"/>
          <w:iCs/>
        </w:rPr>
        <w:t>费用将从基金资产中扣除：</w:t>
      </w:r>
    </w:p>
    <w:tbl>
      <w:tblPr>
        <w:tblStyle w:val="7"/>
        <w:tblW w:w="5000" w:type="pct"/>
        <w:tblInd w:w="0" w:type="dxa"/>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3155"/>
        <w:gridCol w:w="7527"/>
      </w:tblGrid>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b/>
                <w:bCs/>
              </w:rPr>
            </w:pPr>
            <w:r>
              <w:rPr>
                <w:rFonts w:hint="eastAsia" w:ascii="方正仿宋简体" w:hAnsi="方正仿宋简体" w:eastAsia="方正仿宋简体" w:cs="方正仿宋简体"/>
                <w:b/>
                <w:bCs/>
                <w:iCs/>
              </w:rPr>
              <w:t>费用类别</w:t>
            </w:r>
          </w:p>
        </w:tc>
        <w:tc>
          <w:tcPr>
            <w:tcW w:w="3523"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收费方式/年费率</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管理费</w:t>
            </w:r>
          </w:p>
        </w:tc>
        <w:tc>
          <w:tcPr>
            <w:tcW w:w="352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固定比例 1.50%</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托管费</w:t>
            </w:r>
          </w:p>
        </w:tc>
        <w:tc>
          <w:tcPr>
            <w:tcW w:w="3523" w:type="pct"/>
            <w:vAlign w:val="center"/>
          </w:tcPr>
          <w:p>
            <w:pPr>
              <w:spacing w:line="320" w:lineRule="exact"/>
              <w:jc w:val="center"/>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固定比例 0.25%</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iCs/>
              </w:rPr>
            </w:pPr>
            <w:r>
              <w:rPr>
                <w:rFonts w:hint="eastAsia" w:ascii="方正仿宋简体" w:hAnsi="方正仿宋简体" w:eastAsia="方正仿宋简体" w:cs="方正仿宋简体"/>
                <w:iCs/>
              </w:rPr>
              <w:t>其他费用</w:t>
            </w:r>
          </w:p>
        </w:tc>
        <w:tc>
          <w:tcPr>
            <w:tcW w:w="3523" w:type="pct"/>
            <w:vAlign w:val="center"/>
          </w:tcPr>
          <w:p>
            <w:pPr>
              <w:spacing w:line="320" w:lineRule="exact"/>
              <w:jc w:val="left"/>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 xml:space="preserve">《基金合同》生效后与基金相关的信息披露费用；《基金合同》生效后与基金相关的会计师费、律师费、诉讼费和仲裁费；基金份额持有人大会费用；基金的证券、期货交易费用；基金的银行汇划费用；账户开户费用、账户维护费用；因投资港股通标的股票而产生的各项合理费用；按照国家有关规定和《基金合同》约定，可以在基金财产中列支的其他费用。 </w:t>
            </w:r>
          </w:p>
        </w:tc>
      </w:tr>
    </w:tbl>
    <w:p>
      <w:pPr>
        <w:autoSpaceDE w:val="0"/>
        <w:autoSpaceDN w:val="0"/>
        <w:adjustRightInd w:val="0"/>
        <w:spacing w:line="320" w:lineRule="exact"/>
        <w:jc w:val="left"/>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注： 本基金交易证券等产生的费用和税负，按实际发生额从基金资产扣除。</w:t>
      </w:r>
    </w:p>
    <w:p>
      <w:pPr>
        <w:autoSpaceDE w:val="0"/>
        <w:autoSpaceDN w:val="0"/>
        <w:adjustRightInd w:val="0"/>
        <w:spacing w:line="280" w:lineRule="exact"/>
        <w:jc w:val="left"/>
        <w:rPr>
          <w:rFonts w:ascii="方正仿宋简体" w:eastAsia="方正仿宋简体" w:cs="仿宋_GB2312" w:hAnsiTheme="minorEastAsia"/>
          <w:kern w:val="0"/>
          <w:szCs w:val="24"/>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风险揭示与重要提示</w:t>
      </w:r>
    </w:p>
    <w:p>
      <w:pPr>
        <w:pStyle w:val="12"/>
        <w:numPr>
          <w:ilvl w:val="0"/>
          <w:numId w:val="5"/>
        </w:numPr>
        <w:spacing w:line="320" w:lineRule="exact"/>
        <w:ind w:firstLineChars="0"/>
        <w:outlineLvl w:val="1"/>
        <w:rPr>
          <w:rFonts w:ascii="方正仿宋简体" w:hAnsi="方正仿宋简体" w:eastAsia="方正仿宋简体" w:cs="方正仿宋简体"/>
          <w:b/>
          <w:bCs/>
          <w:iCs/>
          <w:sz w:val="24"/>
          <w:szCs w:val="24"/>
        </w:rPr>
      </w:pPr>
      <w:r>
        <w:rPr>
          <w:rFonts w:hint="eastAsia" w:ascii="方正仿宋简体" w:hAnsi="方正仿宋简体" w:eastAsia="方正仿宋简体" w:cs="方正仿宋简体"/>
          <w:b/>
          <w:bCs/>
          <w:iCs/>
          <w:sz w:val="24"/>
          <w:szCs w:val="24"/>
        </w:rPr>
        <w:t>风险揭示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本基金不提供任何保证。投资者可能损失投资本金。</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投资有风险，投资者购买基金时应认真阅读本基金的《招募说明书》等销售文件。</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1、本基金特有风险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（1）港股通机制下，港股投资风险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投资范围为具有良好流动性的金融工具，包括沪港通机制下允许投资的香港联合交易所（以下简称：“香港联交所”或“联交所”）上市的股票，除与其他投资于内地市场股票的基金所面临的共同风险外，本基金还面临港股通机制下因投资环境、投资者结构、投资标的构成、市场制度以及交易规则等差异所带来的特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（2）股指期货、国债期货投资风险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（3）资产支持证券（ABS）的风险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w:t>
      </w:r>
      <w:r>
        <w:rPr>
          <w:rFonts w:hint="eastAsia" w:ascii="方正仿宋简体" w:hAnsi="方正仿宋简体" w:eastAsia="方正仿宋简体" w:cs="方正仿宋简体"/>
          <w:iCs/>
          <w:lang w:val="en-US" w:eastAsia="zh-CN"/>
        </w:rPr>
        <w:t>4</w:t>
      </w:r>
      <w:r>
        <w:rPr>
          <w:rFonts w:hint="eastAsia" w:ascii="方正仿宋简体" w:hAnsi="方正仿宋简体" w:eastAsia="方正仿宋简体" w:cs="方正仿宋简体"/>
          <w:iCs/>
        </w:rPr>
        <w:t>）投资于存托凭证的风险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本基金普通风险：市场风险（政策风险、经济周期风险、收益波动风险、利率风险、通货膨胀风险、再投资风险等）、管理风险（决策风险、操作风险、技术风险、估值风险等）、信用风险、流动性风险、合规风险和其他风险。</w:t>
      </w:r>
    </w:p>
    <w:p>
      <w:pPr>
        <w:spacing w:line="320" w:lineRule="exact"/>
        <w:outlineLvl w:val="1"/>
        <w:rPr>
          <w:rFonts w:ascii="方正仿宋简体" w:hAnsi="方正仿宋简体" w:eastAsia="方正仿宋简体" w:cs="方正仿宋简体"/>
          <w:b/>
          <w:iCs/>
          <w:sz w:val="22"/>
          <w:szCs w:val="24"/>
        </w:rPr>
      </w:pPr>
      <w:r>
        <w:rPr>
          <w:rFonts w:hint="eastAsia" w:ascii="方正仿宋简体" w:hAnsi="方正仿宋简体" w:eastAsia="方正仿宋简体" w:cs="方正仿宋简体"/>
          <w:b/>
          <w:iCs/>
          <w:sz w:val="24"/>
          <w:szCs w:val="24"/>
        </w:rPr>
        <w:t>（二）重要提示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中国证监会对本基金募集的注册，并不表明其对本基金的价值和收益作出实质性判断或保证，也不表明投资于本基金没有风险。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基金管理人依照恪尽职守、诚实信用、谨慎勤勉的原则管理和运用基金财产，但不保证基金一定盈利，也不保证最低收益。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基金投资者自依基金合同取得基金份额，即成为基金份额持有人和基金合同的当事人。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pPr>
        <w:autoSpaceDE w:val="0"/>
        <w:autoSpaceDN w:val="0"/>
        <w:adjustRightInd w:val="0"/>
        <w:spacing w:line="280" w:lineRule="exact"/>
        <w:jc w:val="left"/>
        <w:rPr>
          <w:rFonts w:ascii="方正仿宋简体" w:eastAsia="方正仿宋简体"/>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其他资料查询方式</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以下资料详见基金管理人网站[网址：www.bosera.com][客服电话：95105568]</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(1)基金合同、托管协议、招募说明书</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(2)定期报告，包括基金季度报告、中期报告和年度报告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(3)基金份额净值</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(4)基金销售机构及联系方式</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(5)其他重要资料</w:t>
      </w:r>
    </w:p>
    <w:p>
      <w:pPr>
        <w:autoSpaceDE w:val="0"/>
        <w:autoSpaceDN w:val="0"/>
        <w:adjustRightInd w:val="0"/>
        <w:spacing w:line="280" w:lineRule="exact"/>
        <w:jc w:val="left"/>
        <w:rPr>
          <w:rFonts w:ascii="方正仿宋简体" w:eastAsia="方正仿宋简体"/>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其他情况说明</w:t>
      </w:r>
    </w:p>
    <w:p>
      <w:pPr>
        <w:spacing w:line="320" w:lineRule="exact"/>
        <w:ind w:firstLine="42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bCs/>
          <w:i/>
          <w:lang w:val="en-US" w:eastAsia="zh-CN"/>
        </w:rPr>
        <w:t>1、</w:t>
      </w:r>
      <w:r>
        <w:rPr>
          <w:rFonts w:hint="eastAsia" w:ascii="方正仿宋简体" w:hAnsi="方正仿宋简体" w:eastAsia="方正仿宋简体" w:cs="方正仿宋简体"/>
          <w:b/>
          <w:bCs/>
          <w:i/>
        </w:rPr>
        <w:t>博时</w:t>
      </w:r>
      <w:r>
        <w:rPr>
          <w:rFonts w:hint="eastAsia" w:ascii="方正仿宋简体" w:hAnsi="方正仿宋简体" w:eastAsia="方正仿宋简体" w:cs="方正仿宋简体"/>
          <w:b/>
          <w:bCs/>
          <w:i/>
          <w:lang w:val="en-US" w:eastAsia="zh-CN"/>
        </w:rPr>
        <w:t>荣丰回报灵活配置</w:t>
      </w:r>
      <w:r>
        <w:rPr>
          <w:rFonts w:hint="eastAsia" w:ascii="方正仿宋简体" w:hAnsi="方正仿宋简体" w:eastAsia="方正仿宋简体" w:cs="方正仿宋简体"/>
          <w:b/>
          <w:bCs/>
          <w:i/>
        </w:rPr>
        <w:t>混合型证券投资基金于202</w:t>
      </w:r>
      <w:r>
        <w:rPr>
          <w:rFonts w:hint="eastAsia" w:ascii="方正仿宋简体" w:hAnsi="方正仿宋简体" w:eastAsia="方正仿宋简体" w:cs="方正仿宋简体"/>
          <w:b/>
          <w:bCs/>
          <w:i/>
          <w:lang w:val="en-US" w:eastAsia="zh-CN"/>
        </w:rPr>
        <w:t>3</w:t>
      </w:r>
      <w:r>
        <w:rPr>
          <w:rFonts w:hint="eastAsia" w:ascii="方正仿宋简体" w:hAnsi="方正仿宋简体" w:eastAsia="方正仿宋简体" w:cs="方正仿宋简体"/>
          <w:b/>
          <w:bCs/>
          <w:i/>
        </w:rPr>
        <w:t>年</w:t>
      </w:r>
      <w:r>
        <w:rPr>
          <w:rFonts w:hint="eastAsia" w:ascii="方正仿宋简体" w:hAnsi="方正仿宋简体" w:eastAsia="方正仿宋简体" w:cs="方正仿宋简体"/>
          <w:b/>
          <w:bCs/>
          <w:i/>
          <w:lang w:val="en-US" w:eastAsia="zh-CN"/>
        </w:rPr>
        <w:t>5</w:t>
      </w:r>
      <w:r>
        <w:rPr>
          <w:rFonts w:hint="eastAsia" w:ascii="方正仿宋简体" w:hAnsi="方正仿宋简体" w:eastAsia="方正仿宋简体" w:cs="方正仿宋简体"/>
          <w:b/>
          <w:bCs/>
          <w:i/>
        </w:rPr>
        <w:t>月9日由博时</w:t>
      </w:r>
      <w:r>
        <w:rPr>
          <w:rFonts w:hint="eastAsia" w:ascii="方正仿宋简体" w:hAnsi="方正仿宋简体" w:eastAsia="方正仿宋简体" w:cs="方正仿宋简体"/>
          <w:b/>
          <w:bCs/>
          <w:i/>
          <w:lang w:val="en-US" w:eastAsia="zh-CN"/>
        </w:rPr>
        <w:t>荣丰回报三年</w:t>
      </w:r>
      <w:r>
        <w:rPr>
          <w:rFonts w:hint="eastAsia" w:ascii="方正仿宋简体" w:hAnsi="方正仿宋简体" w:eastAsia="方正仿宋简体" w:cs="方正仿宋简体"/>
          <w:b/>
          <w:bCs/>
          <w:i/>
        </w:rPr>
        <w:t>封闭运作</w:t>
      </w:r>
      <w:r>
        <w:rPr>
          <w:rFonts w:hint="eastAsia" w:ascii="方正仿宋简体" w:hAnsi="方正仿宋简体" w:eastAsia="方正仿宋简体" w:cs="方正仿宋简体"/>
          <w:b/>
          <w:bCs/>
          <w:i/>
          <w:lang w:val="en-US" w:eastAsia="zh-CN"/>
        </w:rPr>
        <w:t>灵活配置</w:t>
      </w:r>
      <w:r>
        <w:rPr>
          <w:rFonts w:hint="eastAsia" w:ascii="方正仿宋简体" w:hAnsi="方正仿宋简体" w:eastAsia="方正仿宋简体" w:cs="方正仿宋简体"/>
          <w:b/>
          <w:bCs/>
          <w:i/>
        </w:rPr>
        <w:t>混合型证券投资基金封闭运作届满转开放更名而来。</w:t>
      </w:r>
      <w:bookmarkStart w:id="0" w:name="_GoBack"/>
      <w:bookmarkEnd w:id="0"/>
    </w:p>
    <w:p>
      <w:pPr>
        <w:spacing w:line="320" w:lineRule="exact"/>
        <w:ind w:firstLine="420"/>
        <w:rPr>
          <w:rFonts w:ascii="方正仿宋简体" w:hAnsi="方正仿宋简体" w:eastAsia="方正仿宋简体" w:cs="方正仿宋简体"/>
          <w:b/>
          <w:bCs/>
          <w:i/>
        </w:rPr>
      </w:pPr>
      <w:r>
        <w:rPr>
          <w:rFonts w:hint="eastAsia" w:ascii="方正仿宋简体" w:hAnsi="方正仿宋简体" w:eastAsia="方正仿宋简体" w:cs="方正仿宋简体"/>
          <w:b/>
          <w:bCs/>
          <w:i/>
          <w:lang w:val="en-US" w:eastAsia="zh-CN"/>
        </w:rPr>
        <w:t>2、</w:t>
      </w:r>
      <w:r>
        <w:rPr>
          <w:rFonts w:hint="eastAsia" w:ascii="方正仿宋简体" w:hAnsi="方正仿宋简体" w:eastAsia="方正仿宋简体" w:cs="方正仿宋简体"/>
          <w:b/>
          <w:bCs/>
          <w:i/>
        </w:rPr>
        <w:t>争议解决方式：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pPr>
        <w:autoSpaceDE w:val="0"/>
        <w:autoSpaceDN w:val="0"/>
        <w:adjustRightInd w:val="0"/>
        <w:spacing w:line="280" w:lineRule="exact"/>
        <w:jc w:val="left"/>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5751033"/>
      <w:docPartObj>
        <w:docPartGallery w:val="autotext"/>
      </w:docPartObj>
    </w:sdtPr>
    <w:sdtContent>
      <w:sdt>
        <w:sdtPr>
          <w:id w:val="9838135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33FEB"/>
    <w:multiLevelType w:val="multilevel"/>
    <w:tmpl w:val="05C33F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716C97"/>
    <w:multiLevelType w:val="multilevel"/>
    <w:tmpl w:val="1B716C97"/>
    <w:lvl w:ilvl="0" w:tentative="0">
      <w:start w:val="1"/>
      <w:numFmt w:val="decimal"/>
      <w:pStyle w:val="11"/>
      <w:lvlText w:val="§%1"/>
      <w:lvlJc w:val="left"/>
      <w:pPr>
        <w:ind w:left="420" w:hanging="420"/>
      </w:pPr>
      <w:rPr>
        <w:rFonts w:hint="default" w:eastAsia="宋体"/>
        <w:b/>
        <w:i w:val="0"/>
        <w:sz w:val="28"/>
      </w:rPr>
    </w:lvl>
    <w:lvl w:ilvl="1" w:tentative="0">
      <w:start w:val="1"/>
      <w:numFmt w:val="decimal"/>
      <w:pStyle w:val="13"/>
      <w:suff w:val="space"/>
      <w:lvlText w:val="%1.%2"/>
      <w:lvlJc w:val="left"/>
      <w:pPr>
        <w:ind w:left="284" w:hanging="284"/>
      </w:pPr>
      <w:rPr>
        <w:rFonts w:hint="eastAsia"/>
      </w:rPr>
    </w:lvl>
    <w:lvl w:ilvl="2" w:tentative="0">
      <w:start w:val="1"/>
      <w:numFmt w:val="decimal"/>
      <w:pStyle w:val="14"/>
      <w:suff w:val="space"/>
      <w:lvlText w:val="%1.%2.%3"/>
      <w:lvlJc w:val="left"/>
      <w:pPr>
        <w:ind w:left="284" w:hanging="284"/>
      </w:pPr>
      <w:rPr>
        <w:rFonts w:hint="eastAsia"/>
      </w:rPr>
    </w:lvl>
    <w:lvl w:ilvl="3" w:tentative="0">
      <w:start w:val="1"/>
      <w:numFmt w:val="decimal"/>
      <w:pStyle w:val="15"/>
      <w:suff w:val="space"/>
      <w:lvlText w:val="%1.%2.%3.%4"/>
      <w:lvlJc w:val="left"/>
      <w:pPr>
        <w:ind w:left="284" w:hanging="284"/>
      </w:pPr>
      <w:rPr>
        <w:rFonts w:hint="eastAsia"/>
      </w:rPr>
    </w:lvl>
    <w:lvl w:ilvl="4" w:tentative="0">
      <w:start w:val="1"/>
      <w:numFmt w:val="decimal"/>
      <w:pStyle w:val="16"/>
      <w:suff w:val="space"/>
      <w:lvlText w:val="%1.%2.%3.%4.%5"/>
      <w:lvlJc w:val="left"/>
      <w:pPr>
        <w:ind w:left="284" w:hanging="284"/>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478E6770"/>
    <w:multiLevelType w:val="multilevel"/>
    <w:tmpl w:val="478E6770"/>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C33CF0"/>
    <w:multiLevelType w:val="singleLevel"/>
    <w:tmpl w:val="5AC33CF0"/>
    <w:lvl w:ilvl="0" w:tentative="0">
      <w:start w:val="1"/>
      <w:numFmt w:val="chineseCounting"/>
      <w:suff w:val="nothing"/>
      <w:lvlText w:val="%1、"/>
      <w:lvlJc w:val="left"/>
      <w:rPr>
        <w:rFonts w:asciiTheme="minorEastAsia" w:hAnsiTheme="minorEastAsia" w:eastAsiaTheme="minorEastAsia"/>
      </w:rPr>
    </w:lvl>
  </w:abstractNum>
  <w:abstractNum w:abstractNumId="4">
    <w:nsid w:val="7D0D3582"/>
    <w:multiLevelType w:val="multilevel"/>
    <w:tmpl w:val="7D0D3582"/>
    <w:lvl w:ilvl="0" w:tentative="0">
      <w:start w:val="1"/>
      <w:numFmt w:val="chineseCountingThousand"/>
      <w:suff w:val="space"/>
      <w:lvlText w:val="(%1)"/>
      <w:lvlJc w:val="left"/>
      <w:pPr>
        <w:ind w:left="284" w:hanging="284"/>
      </w:pPr>
      <w:rPr>
        <w:rFonts w:hint="eastAsia" w:eastAsia="宋体" w:asciiTheme="minorEastAsia" w:hAnsiTheme="minorEastAsia"/>
        <w:b/>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4B2"/>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54AF"/>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6B"/>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1CA5"/>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6E77"/>
    <w:rsid w:val="002374DD"/>
    <w:rsid w:val="00240A33"/>
    <w:rsid w:val="002419CF"/>
    <w:rsid w:val="00243408"/>
    <w:rsid w:val="00243552"/>
    <w:rsid w:val="00243C17"/>
    <w:rsid w:val="0024571E"/>
    <w:rsid w:val="00246C1A"/>
    <w:rsid w:val="00247F81"/>
    <w:rsid w:val="00250329"/>
    <w:rsid w:val="0025159F"/>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14"/>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2DF1"/>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1F8"/>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171A"/>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152"/>
    <w:rsid w:val="006E4302"/>
    <w:rsid w:val="006E4D7F"/>
    <w:rsid w:val="006E4F54"/>
    <w:rsid w:val="006F3B05"/>
    <w:rsid w:val="006F5DDA"/>
    <w:rsid w:val="006F6174"/>
    <w:rsid w:val="006F644F"/>
    <w:rsid w:val="006F7A73"/>
    <w:rsid w:val="00700B21"/>
    <w:rsid w:val="00703359"/>
    <w:rsid w:val="00704D47"/>
    <w:rsid w:val="00710EE8"/>
    <w:rsid w:val="00710FD8"/>
    <w:rsid w:val="00710FF1"/>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57F63"/>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4A2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55E4"/>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124"/>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0B32"/>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4E7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421"/>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173DD"/>
    <w:rsid w:val="00E20489"/>
    <w:rsid w:val="00E206C7"/>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 w:val="0BA737F6"/>
    <w:rsid w:val="5302611F"/>
    <w:rsid w:val="546F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1"/>
    <w:unhideWhenUsed/>
    <w:qFormat/>
    <w:uiPriority w:val="0"/>
    <w:pPr>
      <w:snapToGrid w:val="0"/>
      <w:jc w:val="left"/>
    </w:pPr>
    <w:rPr>
      <w:rFonts w:ascii="Calibri" w:hAnsi="Calibri" w:eastAsia="宋体" w:cs="Times New Roman"/>
      <w:sz w:val="18"/>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unhideWhenUsed/>
    <w:qFormat/>
    <w:uiPriority w:val="0"/>
    <w:rPr>
      <w:rFonts w:ascii="Times New Roman" w:hAnsi="Times New Roman" w:eastAsia="宋体" w:cs="Times New Roman"/>
      <w:vertAlign w:val="superscript"/>
    </w:rPr>
  </w:style>
  <w:style w:type="paragraph" w:customStyle="1" w:styleId="11">
    <w:name w:val="一级"/>
    <w:basedOn w:val="12"/>
    <w:qFormat/>
    <w:uiPriority w:val="0"/>
    <w:pPr>
      <w:numPr>
        <w:ilvl w:val="0"/>
        <w:numId w:val="1"/>
      </w:numPr>
      <w:spacing w:line="360" w:lineRule="auto"/>
      <w:ind w:firstLine="0" w:firstLineChars="0"/>
      <w:jc w:val="center"/>
    </w:pPr>
    <w:rPr>
      <w:b/>
      <w:sz w:val="28"/>
    </w:rPr>
  </w:style>
  <w:style w:type="paragraph" w:styleId="12">
    <w:name w:val="List Paragraph"/>
    <w:basedOn w:val="1"/>
    <w:qFormat/>
    <w:uiPriority w:val="34"/>
    <w:pPr>
      <w:ind w:firstLine="420" w:firstLineChars="200"/>
    </w:pPr>
  </w:style>
  <w:style w:type="paragraph" w:customStyle="1" w:styleId="13">
    <w:name w:val="二级"/>
    <w:basedOn w:val="12"/>
    <w:qFormat/>
    <w:uiPriority w:val="0"/>
    <w:pPr>
      <w:numPr>
        <w:ilvl w:val="1"/>
        <w:numId w:val="1"/>
      </w:numPr>
      <w:ind w:firstLine="0" w:firstLineChars="0"/>
    </w:pPr>
    <w:rPr>
      <w:b/>
      <w:sz w:val="28"/>
    </w:rPr>
  </w:style>
  <w:style w:type="paragraph" w:customStyle="1" w:styleId="14">
    <w:name w:val="三级"/>
    <w:basedOn w:val="12"/>
    <w:qFormat/>
    <w:uiPriority w:val="0"/>
    <w:pPr>
      <w:numPr>
        <w:ilvl w:val="2"/>
        <w:numId w:val="1"/>
      </w:numPr>
      <w:ind w:firstLine="0" w:firstLineChars="0"/>
    </w:pPr>
    <w:rPr>
      <w:b/>
      <w:sz w:val="28"/>
    </w:rPr>
  </w:style>
  <w:style w:type="paragraph" w:customStyle="1" w:styleId="15">
    <w:name w:val="四级"/>
    <w:basedOn w:val="14"/>
    <w:qFormat/>
    <w:uiPriority w:val="0"/>
    <w:pPr>
      <w:numPr>
        <w:ilvl w:val="3"/>
      </w:numPr>
    </w:pPr>
  </w:style>
  <w:style w:type="paragraph" w:customStyle="1" w:styleId="16">
    <w:name w:val="五级"/>
    <w:basedOn w:val="15"/>
    <w:qFormat/>
    <w:uiPriority w:val="0"/>
    <w:pPr>
      <w:numPr>
        <w:ilvl w:val="4"/>
      </w:numPr>
    </w:pPr>
    <w:rPr>
      <w:sz w:val="24"/>
    </w:rPr>
  </w:style>
  <w:style w:type="character" w:customStyle="1" w:styleId="17">
    <w:name w:val="页眉 Char"/>
    <w:basedOn w:val="9"/>
    <w:link w:val="5"/>
    <w:uiPriority w:val="99"/>
    <w:rPr>
      <w:sz w:val="18"/>
      <w:szCs w:val="18"/>
    </w:rPr>
  </w:style>
  <w:style w:type="character" w:customStyle="1" w:styleId="18">
    <w:name w:val="页脚 Char"/>
    <w:basedOn w:val="9"/>
    <w:link w:val="4"/>
    <w:uiPriority w:val="99"/>
    <w:rPr>
      <w:sz w:val="18"/>
      <w:szCs w:val="18"/>
    </w:rPr>
  </w:style>
  <w:style w:type="character" w:customStyle="1" w:styleId="19">
    <w:name w:val="批注框文本 Char"/>
    <w:basedOn w:val="9"/>
    <w:link w:val="3"/>
    <w:semiHidden/>
    <w:uiPriority w:val="99"/>
    <w:rPr>
      <w:sz w:val="18"/>
      <w:szCs w:val="18"/>
    </w:rPr>
  </w:style>
  <w:style w:type="character" w:styleId="20">
    <w:name w:val="Placeholder Text"/>
    <w:basedOn w:val="9"/>
    <w:semiHidden/>
    <w:qFormat/>
    <w:uiPriority w:val="99"/>
    <w:rPr>
      <w:color w:val="808080"/>
    </w:rPr>
  </w:style>
  <w:style w:type="character" w:customStyle="1" w:styleId="21">
    <w:name w:val="脚注文本 Char"/>
    <w:basedOn w:val="9"/>
    <w:link w:val="6"/>
    <w:qFormat/>
    <w:uiPriority w:val="0"/>
    <w:rPr>
      <w:rFonts w:ascii="Calibri" w:hAnsi="Calibri" w:eastAsia="宋体" w:cs="Times New Roman"/>
      <w:sz w:val="18"/>
      <w:szCs w:val="24"/>
    </w:rPr>
  </w:style>
  <w:style w:type="character" w:customStyle="1" w:styleId="22">
    <w:name w:val="标题 1 Char"/>
    <w:basedOn w:val="9"/>
    <w:link w:val="2"/>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312F-8E28-451A-A15D-912655569409}">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17</Pages>
  <Words>634</Words>
  <Characters>3620</Characters>
  <Lines>30</Lines>
  <Paragraphs>8</Paragraphs>
  <TotalTime>1</TotalTime>
  <ScaleCrop>false</ScaleCrop>
  <LinksUpToDate>false</LinksUpToDate>
  <CharactersWithSpaces>4246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2020-08-28T09:28:00Z</dcterms:created>
  <dc:creator>Donghm</dc:creator>
  <cp:lastModifiedBy>fuxj</cp:lastModifiedBy>
  <dcterms:modified xsi:type="dcterms:W3CDTF">2023-05-08T07:44:40Z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8E7A5E5A653C4712AAA4782BE6F52207</vt:lpwstr>
  </property>
</Properties>
</file>