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FD5C9F" w:rsidP="008F2942">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FD5C9F" w:rsidP="00BA4B87">
      <w:pPr>
        <w:tabs>
          <w:tab w:val="left" w:pos="1890"/>
        </w:tabs>
        <w:rPr>
          <w:rFonts w:asciiTheme="minorEastAsia" w:eastAsiaTheme="minorEastAsia" w:hAnsiTheme="minorEastAsia"/>
          <w:i/>
          <w:iCs/>
          <w:color w:val="000000" w:themeColor="text1"/>
          <w:sz w:val="28"/>
          <w:szCs w:val="28"/>
        </w:rPr>
      </w:pPr>
    </w:p>
    <w:p w:rsidR="00BA4B87" w:rsidRPr="00FD5C9F" w:rsidP="00BA4B87">
      <w:pPr>
        <w:spacing w:line="360" w:lineRule="auto"/>
        <w:ind w:firstLine="881"/>
        <w:jc w:val="center"/>
        <w:rPr>
          <w:rFonts w:asciiTheme="minorEastAsia" w:eastAsiaTheme="minorEastAsia" w:hAnsiTheme="minorEastAsia"/>
          <w:b/>
          <w:color w:val="000000" w:themeColor="text1"/>
          <w:sz w:val="44"/>
        </w:rPr>
      </w:pPr>
    </w:p>
    <w:p w:rsidR="00BA4B87" w:rsidRPr="00FD5C9F" w:rsidP="00BA4B87">
      <w:pPr>
        <w:spacing w:line="360" w:lineRule="auto"/>
        <w:ind w:firstLine="881"/>
        <w:jc w:val="center"/>
        <w:rPr>
          <w:rFonts w:asciiTheme="minorEastAsia" w:eastAsiaTheme="minorEastAsia" w:hAnsiTheme="minorEastAsia"/>
          <w:b/>
          <w:color w:val="000000" w:themeColor="text1"/>
          <w:sz w:val="44"/>
        </w:rPr>
      </w:pPr>
    </w:p>
    <w:p w:rsidR="00BA4B87" w:rsidRPr="00FD5C9F" w:rsidP="00BA4B87">
      <w:pPr>
        <w:spacing w:line="360" w:lineRule="auto"/>
        <w:ind w:firstLine="881"/>
        <w:jc w:val="center"/>
        <w:rPr>
          <w:rFonts w:asciiTheme="minorEastAsia" w:eastAsiaTheme="minorEastAsia" w:hAnsiTheme="minorEastAsia"/>
          <w:b/>
          <w:color w:val="000000" w:themeColor="text1"/>
          <w:sz w:val="44"/>
        </w:rPr>
      </w:pPr>
    </w:p>
    <w:p w:rsidR="00BA4B87" w:rsidRPr="00FD5C9F" w:rsidP="00BA4B87">
      <w:pPr>
        <w:spacing w:line="360" w:lineRule="auto"/>
        <w:ind w:firstLine="881"/>
        <w:jc w:val="center"/>
        <w:rPr>
          <w:rFonts w:asciiTheme="minorEastAsia" w:eastAsiaTheme="minorEastAsia" w:hAnsiTheme="minorEastAsia"/>
          <w:b/>
          <w:color w:val="000000" w:themeColor="text1"/>
          <w:sz w:val="44"/>
        </w:rPr>
      </w:pPr>
    </w:p>
    <w:p w:rsidR="0049443E" w:rsidRPr="00FD5C9F" w:rsidP="00DE2849">
      <w:pPr>
        <w:spacing w:line="360" w:lineRule="auto"/>
        <w:ind w:left="0" w:hanging="141" w:leftChars="-67" w:hangingChars="32"/>
        <w:jc w:val="center"/>
        <w:rPr>
          <w:rFonts w:asciiTheme="minorEastAsia" w:eastAsiaTheme="minorEastAsia" w:hAnsiTheme="minorEastAsia"/>
          <w:b/>
          <w:color w:val="000000" w:themeColor="text1"/>
          <w:sz w:val="44"/>
        </w:rPr>
      </w:pPr>
      <w:r w:rsidRPr="00FD5C9F">
        <w:rPr>
          <w:rFonts w:asciiTheme="minorEastAsia" w:eastAsiaTheme="minorEastAsia" w:hAnsiTheme="minorEastAsia" w:hint="eastAsia"/>
          <w:b/>
          <w:color w:val="000000" w:themeColor="text1"/>
          <w:sz w:val="44"/>
        </w:rPr>
        <w:t>易方达创新成长混合型证券投资基金</w:t>
      </w:r>
    </w:p>
    <w:p w:rsidR="00BA4B87" w:rsidRPr="00FD5C9F" w:rsidP="00DE2849">
      <w:pPr>
        <w:spacing w:line="360" w:lineRule="auto"/>
        <w:ind w:left="0" w:hanging="141" w:leftChars="-67" w:hangingChars="32"/>
        <w:jc w:val="center"/>
        <w:rPr>
          <w:rFonts w:asciiTheme="minorEastAsia" w:eastAsiaTheme="minorEastAsia" w:hAnsiTheme="minorEastAsia"/>
          <w:b/>
          <w:color w:val="000000" w:themeColor="text1"/>
          <w:sz w:val="44"/>
        </w:rPr>
      </w:pPr>
      <w:r w:rsidRPr="00FD5C9F">
        <w:rPr>
          <w:rFonts w:asciiTheme="minorEastAsia" w:eastAsiaTheme="minorEastAsia" w:hAnsiTheme="minorEastAsia" w:hint="eastAsia"/>
          <w:b/>
          <w:color w:val="000000" w:themeColor="text1"/>
          <w:sz w:val="44"/>
        </w:rPr>
        <w:t>更新的招募说明书</w:t>
      </w:r>
    </w:p>
    <w:p w:rsidR="00BA4B87" w:rsidRPr="00FD5C9F" w:rsidP="002A31EB">
      <w:pPr>
        <w:spacing w:line="360" w:lineRule="auto"/>
        <w:ind w:left="1680" w:firstLine="181" w:leftChars="800"/>
        <w:rPr>
          <w:rFonts w:asciiTheme="minorEastAsia" w:eastAsiaTheme="minorEastAsia" w:hAnsiTheme="minorEastAsia"/>
          <w:color w:val="000000" w:themeColor="text1"/>
          <w:sz w:val="30"/>
          <w:szCs w:val="30"/>
        </w:rPr>
      </w:pPr>
    </w:p>
    <w:p w:rsidR="00992FE4" w:rsidRPr="00FD5C9F" w:rsidP="002A31EB">
      <w:pPr>
        <w:spacing w:line="360" w:lineRule="auto"/>
        <w:ind w:left="1680" w:firstLine="181" w:leftChars="800"/>
        <w:rPr>
          <w:rFonts w:asciiTheme="minorEastAsia" w:eastAsiaTheme="minorEastAsia" w:hAnsiTheme="minorEastAsia"/>
          <w:color w:val="000000" w:themeColor="text1"/>
          <w:sz w:val="30"/>
          <w:szCs w:val="30"/>
        </w:rPr>
      </w:pPr>
    </w:p>
    <w:p w:rsidR="00BA4B87" w:rsidRPr="00FD5C9F" w:rsidP="00BA4B87">
      <w:pPr>
        <w:spacing w:line="360" w:lineRule="auto"/>
        <w:ind w:left="1680" w:leftChars="800"/>
        <w:rPr>
          <w:rFonts w:asciiTheme="minorEastAsia" w:eastAsiaTheme="minorEastAsia" w:hAnsiTheme="minorEastAsia"/>
          <w:color w:val="000000" w:themeColor="text1"/>
          <w:sz w:val="30"/>
          <w:szCs w:val="30"/>
        </w:rPr>
      </w:pPr>
    </w:p>
    <w:p w:rsidR="00BA4B87" w:rsidRPr="00FD5C9F" w:rsidP="00BA4B87">
      <w:pPr>
        <w:spacing w:line="360" w:lineRule="auto"/>
        <w:ind w:left="1680" w:leftChars="800"/>
        <w:rPr>
          <w:rFonts w:asciiTheme="minorEastAsia" w:eastAsiaTheme="minorEastAsia" w:hAnsiTheme="minorEastAsia"/>
          <w:color w:val="000000" w:themeColor="text1"/>
          <w:sz w:val="30"/>
          <w:szCs w:val="30"/>
        </w:rPr>
      </w:pPr>
    </w:p>
    <w:p w:rsidR="00BA4B87" w:rsidRPr="00FD5C9F" w:rsidP="00BA4B87">
      <w:pPr>
        <w:spacing w:line="360" w:lineRule="auto"/>
        <w:ind w:left="1680" w:leftChars="800"/>
        <w:rPr>
          <w:rFonts w:asciiTheme="minorEastAsia" w:eastAsiaTheme="minorEastAsia" w:hAnsiTheme="minorEastAsia"/>
          <w:color w:val="000000" w:themeColor="text1"/>
          <w:sz w:val="30"/>
          <w:szCs w:val="30"/>
        </w:rPr>
      </w:pPr>
    </w:p>
    <w:p w:rsidR="00BA4B87" w:rsidRPr="00FD5C9F" w:rsidP="00BA4B87">
      <w:pPr>
        <w:spacing w:line="360" w:lineRule="auto"/>
        <w:ind w:left="1680" w:leftChars="800"/>
        <w:rPr>
          <w:rFonts w:asciiTheme="minorEastAsia" w:eastAsiaTheme="minorEastAsia" w:hAnsiTheme="minorEastAsia"/>
          <w:color w:val="000000" w:themeColor="text1"/>
          <w:sz w:val="30"/>
          <w:szCs w:val="30"/>
        </w:rPr>
      </w:pPr>
    </w:p>
    <w:p w:rsidR="00BA4B87" w:rsidRPr="00FD5C9F" w:rsidP="00BA4B87">
      <w:pPr>
        <w:spacing w:line="360" w:lineRule="auto"/>
        <w:ind w:left="1678" w:hanging="237" w:leftChars="686" w:hangingChars="74"/>
        <w:rPr>
          <w:rFonts w:asciiTheme="minorEastAsia" w:eastAsiaTheme="minorEastAsia" w:hAnsiTheme="minorEastAsia"/>
          <w:b/>
          <w:color w:val="000000" w:themeColor="text1"/>
          <w:sz w:val="32"/>
          <w:szCs w:val="32"/>
        </w:rPr>
      </w:pPr>
      <w:r w:rsidRPr="00FD5C9F">
        <w:rPr>
          <w:rFonts w:asciiTheme="minorEastAsia" w:eastAsiaTheme="minorEastAsia" w:hAnsiTheme="minorEastAsia" w:hint="eastAsia"/>
          <w:b/>
          <w:color w:val="000000" w:themeColor="text1"/>
          <w:sz w:val="32"/>
          <w:szCs w:val="32"/>
        </w:rPr>
        <w:t>基金管理人：易方达基金管理有限公司</w:t>
      </w:r>
    </w:p>
    <w:p w:rsidR="00BA4B87" w:rsidRPr="00FD5C9F" w:rsidP="00BA4B87">
      <w:pPr>
        <w:spacing w:line="360" w:lineRule="auto"/>
        <w:ind w:left="1438" w:leftChars="685"/>
        <w:rPr>
          <w:rFonts w:asciiTheme="minorEastAsia" w:eastAsiaTheme="minorEastAsia" w:hAnsiTheme="minorEastAsia"/>
          <w:b/>
          <w:color w:val="000000" w:themeColor="text1"/>
          <w:sz w:val="32"/>
          <w:szCs w:val="32"/>
        </w:rPr>
      </w:pPr>
      <w:r w:rsidRPr="00FD5C9F">
        <w:rPr>
          <w:rFonts w:asciiTheme="minorEastAsia" w:eastAsiaTheme="minorEastAsia" w:hAnsiTheme="minorEastAsia" w:hint="eastAsia"/>
          <w:b/>
          <w:color w:val="000000" w:themeColor="text1"/>
          <w:sz w:val="32"/>
          <w:szCs w:val="32"/>
        </w:rPr>
        <w:t>基金托管人：</w:t>
      </w:r>
      <w:r w:rsidRPr="00FD5C9F" w:rsidR="00EB3487">
        <w:rPr>
          <w:rFonts w:asciiTheme="minorEastAsia" w:eastAsiaTheme="minorEastAsia" w:hAnsiTheme="minorEastAsia" w:hint="eastAsia"/>
          <w:b/>
          <w:color w:val="000000" w:themeColor="text1"/>
          <w:sz w:val="32"/>
          <w:szCs w:val="32"/>
        </w:rPr>
        <w:t>招商银行股份有限公司</w:t>
      </w:r>
    </w:p>
    <w:p w:rsidR="00922378" w:rsidRPr="00FD5C9F" w:rsidP="001D7201">
      <w:pPr>
        <w:spacing w:line="360" w:lineRule="auto"/>
        <w:ind w:firstLine="561"/>
        <w:jc w:val="center"/>
        <w:rPr>
          <w:rFonts w:asciiTheme="minorEastAsia" w:eastAsiaTheme="minorEastAsia" w:hAnsiTheme="minorEastAsia"/>
          <w:b/>
          <w:color w:val="000000" w:themeColor="text1"/>
          <w:sz w:val="32"/>
        </w:rPr>
      </w:pPr>
    </w:p>
    <w:p w:rsidR="00BA4B87" w:rsidRPr="00FD5C9F" w:rsidP="001D7201">
      <w:pPr>
        <w:spacing w:line="360" w:lineRule="auto"/>
        <w:ind w:firstLine="561"/>
        <w:jc w:val="center"/>
        <w:rPr>
          <w:rFonts w:asciiTheme="minorEastAsia" w:eastAsiaTheme="minorEastAsia" w:hAnsiTheme="minorEastAsia"/>
          <w:b/>
          <w:color w:val="000000" w:themeColor="text1"/>
          <w:sz w:val="24"/>
        </w:rPr>
        <w:sectPr w:rsidSect="00EF30D3">
          <w:headerReference w:type="even" r:id="rId5"/>
          <w:headerReference w:type="default" r:id="rId6"/>
          <w:footerReference w:type="even" r:id="rId7"/>
          <w:footerReference w:type="default" r:id="rId8"/>
          <w:headerReference w:type="first" r:id="rId9"/>
          <w:footerReference w:type="first" r:id="rId10"/>
          <w:pgSz w:w="11906" w:h="16838" w:code="9"/>
          <w:pgMar w:top="1440" w:right="1800" w:bottom="1440" w:left="1800" w:header="1134" w:footer="1247" w:gutter="0"/>
          <w:pgNumType w:fmt="upperRoman" w:start="1"/>
          <w:cols w:space="720"/>
          <w:docGrid w:type="lines" w:linePitch="447"/>
        </w:sectPr>
      </w:pPr>
      <w:r w:rsidRPr="00FD5C9F">
        <w:rPr>
          <w:rFonts w:asciiTheme="minorEastAsia" w:eastAsiaTheme="minorEastAsia" w:hAnsiTheme="minorEastAsia"/>
          <w:b/>
          <w:color w:val="000000" w:themeColor="text1"/>
          <w:sz w:val="32"/>
        </w:rPr>
        <w:t>二〇二三年</w:t>
      </w:r>
      <w:r w:rsidRPr="00FD5C9F" w:rsidR="00DF2404">
        <w:rPr>
          <w:rFonts w:asciiTheme="minorEastAsia" w:eastAsiaTheme="minorEastAsia" w:hAnsiTheme="minorEastAsia"/>
          <w:b/>
          <w:color w:val="000000" w:themeColor="text1"/>
          <w:sz w:val="32"/>
        </w:rPr>
        <w:t>五</w:t>
      </w:r>
      <w:r w:rsidRPr="00FD5C9F">
        <w:rPr>
          <w:rFonts w:asciiTheme="minorEastAsia" w:eastAsiaTheme="minorEastAsia" w:hAnsiTheme="minorEastAsia"/>
          <w:b/>
          <w:color w:val="000000" w:themeColor="text1"/>
          <w:sz w:val="32"/>
        </w:rPr>
        <w:t>月</w:t>
      </w:r>
    </w:p>
    <w:p w:rsidR="00BA4B87" w:rsidRPr="00FD5C9F" w:rsidP="00C81B0A">
      <w:pPr>
        <w:spacing w:line="288" w:lineRule="auto"/>
        <w:jc w:val="center"/>
        <w:rPr>
          <w:rFonts w:asciiTheme="minorEastAsia" w:eastAsiaTheme="minorEastAsia" w:hAnsiTheme="minorEastAsia"/>
          <w:b/>
          <w:color w:val="000000" w:themeColor="text1"/>
          <w:sz w:val="28"/>
          <w:szCs w:val="28"/>
        </w:rPr>
      </w:pPr>
      <w:r w:rsidRPr="00FD5C9F">
        <w:rPr>
          <w:rFonts w:asciiTheme="minorEastAsia" w:eastAsiaTheme="minorEastAsia" w:hAnsiTheme="minorEastAsia" w:hint="eastAsia"/>
          <w:b/>
          <w:color w:val="000000" w:themeColor="text1"/>
          <w:sz w:val="28"/>
          <w:szCs w:val="28"/>
        </w:rPr>
        <w:t>重要提示</w:t>
      </w:r>
    </w:p>
    <w:p w:rsidR="00BA4B87" w:rsidRPr="00FD5C9F" w:rsidP="00724EB8">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hint="eastAsia"/>
          <w:b/>
          <w:color w:val="000000" w:themeColor="text1"/>
        </w:rPr>
        <w:t>1、本基金根据</w:t>
      </w:r>
      <w:r w:rsidRPr="00FD5C9F" w:rsidR="006335C7">
        <w:rPr>
          <w:rFonts w:asciiTheme="minorEastAsia" w:eastAsiaTheme="minorEastAsia" w:hAnsiTheme="minorEastAsia" w:hint="eastAsia"/>
          <w:b/>
          <w:color w:val="000000" w:themeColor="text1"/>
        </w:rPr>
        <w:t>20</w:t>
      </w:r>
      <w:r w:rsidRPr="00FD5C9F" w:rsidR="00BA4030">
        <w:rPr>
          <w:rFonts w:asciiTheme="minorEastAsia" w:eastAsiaTheme="minorEastAsia" w:hAnsiTheme="minorEastAsia"/>
          <w:b/>
          <w:color w:val="000000" w:themeColor="text1"/>
        </w:rPr>
        <w:t>20</w:t>
      </w:r>
      <w:r w:rsidRPr="00FD5C9F" w:rsidR="00461ADF">
        <w:rPr>
          <w:rFonts w:asciiTheme="minorEastAsia" w:eastAsiaTheme="minorEastAsia" w:hAnsiTheme="minorEastAsia" w:hint="eastAsia"/>
          <w:b/>
          <w:color w:val="000000" w:themeColor="text1"/>
        </w:rPr>
        <w:t>年</w:t>
      </w:r>
      <w:r w:rsidRPr="00FD5C9F" w:rsidR="004C3FE5">
        <w:rPr>
          <w:rFonts w:asciiTheme="minorEastAsia" w:eastAsiaTheme="minorEastAsia" w:hAnsiTheme="minorEastAsia" w:hint="eastAsia"/>
          <w:b/>
          <w:color w:val="000000" w:themeColor="text1"/>
        </w:rPr>
        <w:t>6</w:t>
      </w:r>
      <w:r w:rsidRPr="00FD5C9F">
        <w:rPr>
          <w:rFonts w:asciiTheme="minorEastAsia" w:eastAsiaTheme="minorEastAsia" w:hAnsiTheme="minorEastAsia" w:hint="eastAsia"/>
          <w:b/>
          <w:color w:val="000000" w:themeColor="text1"/>
        </w:rPr>
        <w:t>月</w:t>
      </w:r>
      <w:r w:rsidRPr="00FD5C9F" w:rsidR="004C3FE5">
        <w:rPr>
          <w:rFonts w:asciiTheme="minorEastAsia" w:eastAsiaTheme="minorEastAsia" w:hAnsiTheme="minorEastAsia" w:hint="eastAsia"/>
          <w:b/>
          <w:color w:val="000000" w:themeColor="text1"/>
        </w:rPr>
        <w:t>24</w:t>
      </w:r>
      <w:r w:rsidRPr="00FD5C9F">
        <w:rPr>
          <w:rFonts w:asciiTheme="minorEastAsia" w:eastAsiaTheme="minorEastAsia" w:hAnsiTheme="minorEastAsia" w:hint="eastAsia"/>
          <w:b/>
          <w:color w:val="000000" w:themeColor="text1"/>
        </w:rPr>
        <w:t>日中国证券监督管理委员会《关于</w:t>
      </w:r>
      <w:r w:rsidRPr="00FD5C9F" w:rsidR="00E51843">
        <w:rPr>
          <w:rFonts w:asciiTheme="minorEastAsia" w:eastAsiaTheme="minorEastAsia" w:hAnsiTheme="minorEastAsia" w:hint="eastAsia"/>
          <w:b/>
          <w:color w:val="000000" w:themeColor="text1"/>
        </w:rPr>
        <w:t>准予</w:t>
      </w:r>
      <w:r w:rsidRPr="00FD5C9F" w:rsidR="00E3093C">
        <w:rPr>
          <w:rFonts w:asciiTheme="minorEastAsia" w:eastAsiaTheme="minorEastAsia" w:hAnsiTheme="minorEastAsia" w:hint="eastAsia"/>
          <w:b/>
          <w:color w:val="000000" w:themeColor="text1"/>
        </w:rPr>
        <w:t>易方达创新成长混合型证券投资基金</w:t>
      </w:r>
      <w:r w:rsidRPr="00FD5C9F" w:rsidR="00E51843">
        <w:rPr>
          <w:rFonts w:asciiTheme="minorEastAsia" w:eastAsiaTheme="minorEastAsia" w:hAnsiTheme="minorEastAsia" w:hint="eastAsia"/>
          <w:b/>
          <w:color w:val="000000" w:themeColor="text1"/>
        </w:rPr>
        <w:t>注册</w:t>
      </w:r>
      <w:r w:rsidRPr="00FD5C9F">
        <w:rPr>
          <w:rFonts w:asciiTheme="minorEastAsia" w:eastAsiaTheme="minorEastAsia" w:hAnsiTheme="minorEastAsia" w:hint="eastAsia"/>
          <w:b/>
          <w:color w:val="000000" w:themeColor="text1"/>
        </w:rPr>
        <w:t>的批复》</w:t>
      </w:r>
      <w:r w:rsidRPr="00FD5C9F" w:rsidR="002E1C38">
        <w:rPr>
          <w:rFonts w:asciiTheme="minorEastAsia" w:eastAsiaTheme="minorEastAsia" w:hAnsiTheme="minorEastAsia" w:hint="eastAsia"/>
          <w:b/>
          <w:color w:val="000000" w:themeColor="text1"/>
        </w:rPr>
        <w:t>（</w:t>
      </w:r>
      <w:r w:rsidRPr="00FD5C9F">
        <w:rPr>
          <w:rFonts w:asciiTheme="minorEastAsia" w:eastAsiaTheme="minorEastAsia" w:hAnsiTheme="minorEastAsia" w:hint="eastAsia"/>
          <w:b/>
          <w:color w:val="000000" w:themeColor="text1"/>
        </w:rPr>
        <w:t>证监许可[</w:t>
      </w:r>
      <w:r w:rsidRPr="00FD5C9F" w:rsidR="00382EF8">
        <w:rPr>
          <w:rFonts w:asciiTheme="minorEastAsia" w:eastAsiaTheme="minorEastAsia" w:hAnsiTheme="minorEastAsia" w:hint="eastAsia"/>
          <w:b/>
          <w:color w:val="000000" w:themeColor="text1"/>
        </w:rPr>
        <w:t>20</w:t>
      </w:r>
      <w:r w:rsidRPr="00FD5C9F" w:rsidR="00BA4030">
        <w:rPr>
          <w:rFonts w:asciiTheme="minorEastAsia" w:eastAsiaTheme="minorEastAsia" w:hAnsiTheme="minorEastAsia"/>
          <w:b/>
          <w:color w:val="000000" w:themeColor="text1"/>
        </w:rPr>
        <w:t>20</w:t>
      </w:r>
      <w:r w:rsidRPr="00FD5C9F">
        <w:rPr>
          <w:rFonts w:asciiTheme="minorEastAsia" w:eastAsiaTheme="minorEastAsia" w:hAnsiTheme="minorEastAsia" w:hint="eastAsia"/>
          <w:b/>
          <w:color w:val="000000" w:themeColor="text1"/>
        </w:rPr>
        <w:t>]</w:t>
      </w:r>
      <w:r w:rsidRPr="00FD5C9F" w:rsidR="004C3FE5">
        <w:rPr>
          <w:rFonts w:asciiTheme="minorEastAsia" w:eastAsiaTheme="minorEastAsia" w:hAnsiTheme="minorEastAsia" w:hint="eastAsia"/>
          <w:b/>
          <w:color w:val="000000" w:themeColor="text1"/>
        </w:rPr>
        <w:t>1263</w:t>
      </w:r>
      <w:r w:rsidRPr="00FD5C9F">
        <w:rPr>
          <w:rFonts w:asciiTheme="minorEastAsia" w:eastAsiaTheme="minorEastAsia" w:hAnsiTheme="minorEastAsia" w:hint="eastAsia"/>
          <w:b/>
          <w:color w:val="000000" w:themeColor="text1"/>
        </w:rPr>
        <w:t>号</w:t>
      </w:r>
      <w:r w:rsidRPr="00FD5C9F" w:rsidR="002E1C38">
        <w:rPr>
          <w:rFonts w:asciiTheme="minorEastAsia" w:eastAsiaTheme="minorEastAsia" w:hAnsiTheme="minorEastAsia" w:hint="eastAsia"/>
          <w:b/>
          <w:color w:val="000000" w:themeColor="text1"/>
        </w:rPr>
        <w:t>）</w:t>
      </w:r>
      <w:r w:rsidRPr="00FD5C9F">
        <w:rPr>
          <w:rFonts w:asciiTheme="minorEastAsia" w:eastAsiaTheme="minorEastAsia" w:hAnsiTheme="minorEastAsia" w:hint="eastAsia"/>
          <w:b/>
          <w:color w:val="000000" w:themeColor="text1"/>
        </w:rPr>
        <w:t>进行募集。</w:t>
      </w:r>
      <w:r w:rsidRPr="00FD5C9F" w:rsidR="00724EB8">
        <w:rPr>
          <w:rFonts w:asciiTheme="minorEastAsia" w:eastAsiaTheme="minorEastAsia" w:hAnsiTheme="minorEastAsia" w:hint="eastAsia"/>
          <w:b/>
          <w:color w:val="000000" w:themeColor="text1"/>
        </w:rPr>
        <w:t>本基金基金合同于2020年7月24日正式生效。</w:t>
      </w:r>
    </w:p>
    <w:p w:rsidR="00BA4B87" w:rsidRPr="00FD5C9F" w:rsidP="00ED5B81">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hint="eastAsia"/>
          <w:b/>
          <w:color w:val="000000" w:themeColor="text1"/>
        </w:rPr>
        <w:t>2、基金管理人保证《招募说明书》的内容真实、准确、完整。本</w:t>
      </w:r>
      <w:r w:rsidRPr="00FD5C9F" w:rsidR="001E6198">
        <w:rPr>
          <w:rFonts w:asciiTheme="minorEastAsia" w:eastAsiaTheme="minorEastAsia" w:hAnsiTheme="minorEastAsia" w:hint="eastAsia"/>
          <w:b/>
          <w:color w:val="000000" w:themeColor="text1"/>
        </w:rPr>
        <w:t>基金</w:t>
      </w:r>
      <w:r w:rsidRPr="00FD5C9F">
        <w:rPr>
          <w:rFonts w:asciiTheme="minorEastAsia" w:eastAsiaTheme="minorEastAsia" w:hAnsiTheme="minorEastAsia" w:hint="eastAsia"/>
          <w:b/>
          <w:color w:val="000000" w:themeColor="text1"/>
        </w:rPr>
        <w:t>经中国证监会</w:t>
      </w:r>
      <w:r w:rsidRPr="00FD5C9F" w:rsidR="001F59B1">
        <w:rPr>
          <w:rFonts w:asciiTheme="minorEastAsia" w:eastAsiaTheme="minorEastAsia" w:hAnsiTheme="minorEastAsia" w:hint="eastAsia"/>
          <w:b/>
          <w:color w:val="000000" w:themeColor="text1"/>
        </w:rPr>
        <w:t>注册</w:t>
      </w:r>
      <w:r w:rsidRPr="00FD5C9F">
        <w:rPr>
          <w:rFonts w:asciiTheme="minorEastAsia" w:eastAsiaTheme="minorEastAsia" w:hAnsiTheme="minorEastAsia" w:hint="eastAsia"/>
          <w:b/>
          <w:color w:val="000000" w:themeColor="text1"/>
        </w:rPr>
        <w:t>，但中国证监会对本基金募集的</w:t>
      </w:r>
      <w:r w:rsidRPr="00FD5C9F" w:rsidR="001F59B1">
        <w:rPr>
          <w:rFonts w:asciiTheme="minorEastAsia" w:eastAsiaTheme="minorEastAsia" w:hAnsiTheme="minorEastAsia" w:hint="eastAsia"/>
          <w:b/>
          <w:color w:val="000000" w:themeColor="text1"/>
        </w:rPr>
        <w:t>注册</w:t>
      </w:r>
      <w:r w:rsidRPr="00FD5C9F">
        <w:rPr>
          <w:rFonts w:asciiTheme="minorEastAsia" w:eastAsiaTheme="minorEastAsia" w:hAnsiTheme="minorEastAsia" w:hint="eastAsia"/>
          <w:b/>
          <w:color w:val="000000" w:themeColor="text1"/>
        </w:rPr>
        <w:t>，并不表明其对本基金的</w:t>
      </w:r>
      <w:r w:rsidRPr="00FD5C9F" w:rsidR="00DC001E">
        <w:rPr>
          <w:rFonts w:asciiTheme="minorEastAsia" w:eastAsiaTheme="minorEastAsia" w:hAnsiTheme="minorEastAsia" w:hint="eastAsia"/>
          <w:b/>
          <w:color w:val="000000" w:themeColor="text1"/>
        </w:rPr>
        <w:t>投资价值、市场前景</w:t>
      </w:r>
      <w:r w:rsidRPr="00FD5C9F">
        <w:rPr>
          <w:rFonts w:asciiTheme="minorEastAsia" w:eastAsiaTheme="minorEastAsia" w:hAnsiTheme="minorEastAsia" w:hint="eastAsia"/>
          <w:b/>
          <w:color w:val="000000" w:themeColor="text1"/>
        </w:rPr>
        <w:t>和收益作出实质性判断或保证，也不表明投资于本基金没有风险。</w:t>
      </w:r>
    </w:p>
    <w:p w:rsidR="00E04F0B" w:rsidRPr="00FD5C9F" w:rsidP="006F6802">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6F6802" w:rsidRPr="00FD5C9F" w:rsidP="00D25347">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b/>
          <w:color w:val="000000" w:themeColor="text1"/>
        </w:rPr>
        <w:t>3</w:t>
      </w:r>
      <w:r w:rsidRPr="00FD5C9F">
        <w:rPr>
          <w:rFonts w:asciiTheme="minorEastAsia" w:eastAsiaTheme="minorEastAsia" w:hAnsiTheme="minorEastAsia" w:hint="eastAsia"/>
          <w:b/>
          <w:color w:val="000000" w:themeColor="text1"/>
        </w:rPr>
        <w:t>、本基金投资于证券市场，基金净值会因为证券市场波动等因素产生波动。投资有风险，投资者在投资本基金前，请认真阅读本基金的招募说明书</w:t>
      </w:r>
      <w:r w:rsidRPr="00FD5C9F" w:rsidR="00217D8D">
        <w:rPr>
          <w:rFonts w:asciiTheme="minorEastAsia" w:eastAsiaTheme="minorEastAsia" w:hAnsiTheme="minorEastAsia" w:hint="eastAsia"/>
          <w:b/>
          <w:color w:val="000000" w:themeColor="text1"/>
        </w:rPr>
        <w:t>、</w:t>
      </w:r>
      <w:r w:rsidRPr="00FD5C9F">
        <w:rPr>
          <w:rFonts w:asciiTheme="minorEastAsia" w:eastAsiaTheme="minorEastAsia" w:hAnsiTheme="minorEastAsia" w:hint="eastAsia"/>
          <w:b/>
          <w:color w:val="000000" w:themeColor="text1"/>
        </w:rPr>
        <w:t>基金合同</w:t>
      </w:r>
      <w:r w:rsidRPr="00FD5C9F" w:rsidR="00217D8D">
        <w:rPr>
          <w:rFonts w:asciiTheme="minorEastAsia" w:eastAsiaTheme="minorEastAsia" w:hAnsiTheme="minorEastAsia" w:hint="eastAsia"/>
          <w:b/>
          <w:color w:val="000000" w:themeColor="text1"/>
        </w:rPr>
        <w:t>、基金产品资料概要</w:t>
      </w:r>
      <w:r w:rsidRPr="00FD5C9F">
        <w:rPr>
          <w:rFonts w:asciiTheme="minorEastAsia" w:eastAsiaTheme="minorEastAsia" w:hAnsiTheme="minorEastAsia" w:hint="eastAsia"/>
          <w:b/>
          <w:color w:val="000000" w:themeColor="text1"/>
        </w:rPr>
        <w:t>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w:t>
      </w:r>
      <w:r w:rsidRPr="00FD5C9F" w:rsidR="00332BDA">
        <w:rPr>
          <w:rFonts w:asciiTheme="minorEastAsia" w:eastAsiaTheme="minorEastAsia" w:hAnsiTheme="minorEastAsia" w:hint="eastAsia"/>
          <w:b/>
          <w:color w:val="000000" w:themeColor="text1"/>
        </w:rPr>
        <w:t>特有</w:t>
      </w:r>
      <w:r w:rsidRPr="00FD5C9F">
        <w:rPr>
          <w:rFonts w:asciiTheme="minorEastAsia" w:eastAsiaTheme="minorEastAsia" w:hAnsiTheme="minorEastAsia" w:hint="eastAsia"/>
          <w:b/>
          <w:color w:val="000000" w:themeColor="text1"/>
        </w:rPr>
        <w:t>风险包括：</w:t>
      </w:r>
      <w:r w:rsidRPr="00FD5C9F" w:rsidR="00332BDA">
        <w:rPr>
          <w:rFonts w:asciiTheme="minorEastAsia" w:eastAsiaTheme="minorEastAsia" w:hAnsiTheme="minorEastAsia" w:hint="eastAsia"/>
          <w:b/>
          <w:color w:val="000000" w:themeColor="text1"/>
        </w:rPr>
        <w:t>（</w:t>
      </w:r>
      <w:r w:rsidRPr="00FD5C9F" w:rsidR="00332BDA">
        <w:rPr>
          <w:rFonts w:asciiTheme="minorEastAsia" w:eastAsiaTheme="minorEastAsia" w:hAnsiTheme="minorEastAsia"/>
          <w:b/>
          <w:color w:val="000000" w:themeColor="text1"/>
        </w:rPr>
        <w:t>1）</w:t>
      </w:r>
      <w:r w:rsidRPr="00FD5C9F" w:rsidR="00C3209B">
        <w:rPr>
          <w:rFonts w:asciiTheme="minorEastAsia" w:eastAsiaTheme="minorEastAsia" w:hAnsiTheme="minorEastAsia" w:hint="eastAsia"/>
          <w:b/>
          <w:color w:val="000000" w:themeColor="text1"/>
        </w:rPr>
        <w:t>本</w:t>
      </w:r>
      <w:r w:rsidRPr="00FD5C9F" w:rsidR="00C3209B">
        <w:rPr>
          <w:rFonts w:asciiTheme="minorEastAsia" w:eastAsiaTheme="minorEastAsia" w:hAnsiTheme="minorEastAsia"/>
          <w:b/>
          <w:color w:val="000000" w:themeColor="text1"/>
        </w:rPr>
        <w:t>基金</w:t>
      </w:r>
      <w:r w:rsidRPr="00FD5C9F" w:rsidR="00C3209B">
        <w:rPr>
          <w:rFonts w:asciiTheme="minorEastAsia" w:eastAsiaTheme="minorEastAsia" w:hAnsiTheme="minorEastAsia" w:hint="eastAsia"/>
          <w:b/>
          <w:color w:val="000000" w:themeColor="text1"/>
        </w:rPr>
        <w:t>股票资产</w:t>
      </w:r>
      <w:r w:rsidRPr="00FD5C9F" w:rsidR="00C3209B">
        <w:rPr>
          <w:rFonts w:asciiTheme="minorEastAsia" w:eastAsiaTheme="minorEastAsia" w:hAnsiTheme="minorEastAsia"/>
          <w:b/>
          <w:color w:val="000000" w:themeColor="text1"/>
        </w:rPr>
        <w:t>仓位</w:t>
      </w:r>
      <w:r w:rsidRPr="00FD5C9F" w:rsidR="00C3209B">
        <w:rPr>
          <w:rFonts w:asciiTheme="minorEastAsia" w:eastAsiaTheme="minorEastAsia" w:hAnsiTheme="minorEastAsia" w:hint="eastAsia"/>
          <w:b/>
          <w:color w:val="000000" w:themeColor="text1"/>
        </w:rPr>
        <w:t>偏高</w:t>
      </w:r>
      <w:r w:rsidRPr="00FD5C9F" w:rsidR="00C3209B">
        <w:rPr>
          <w:rFonts w:asciiTheme="minorEastAsia" w:eastAsiaTheme="minorEastAsia" w:hAnsiTheme="minorEastAsia"/>
          <w:b/>
          <w:color w:val="000000" w:themeColor="text1"/>
        </w:rPr>
        <w:t>且相对稳定</w:t>
      </w:r>
      <w:r w:rsidRPr="00FD5C9F" w:rsidR="00C3209B">
        <w:rPr>
          <w:rFonts w:asciiTheme="minorEastAsia" w:eastAsiaTheme="minorEastAsia" w:hAnsiTheme="minorEastAsia" w:hint="eastAsia"/>
          <w:b/>
          <w:color w:val="000000" w:themeColor="text1"/>
        </w:rPr>
        <w:t>而</w:t>
      </w:r>
      <w:r w:rsidRPr="00FD5C9F" w:rsidR="00C3209B">
        <w:rPr>
          <w:rFonts w:asciiTheme="minorEastAsia" w:eastAsiaTheme="minorEastAsia" w:hAnsiTheme="minorEastAsia"/>
          <w:b/>
          <w:color w:val="000000" w:themeColor="text1"/>
        </w:rPr>
        <w:t>面临</w:t>
      </w:r>
      <w:r w:rsidRPr="00FD5C9F" w:rsidR="00C3209B">
        <w:rPr>
          <w:rFonts w:asciiTheme="minorEastAsia" w:eastAsiaTheme="minorEastAsia" w:hAnsiTheme="minorEastAsia" w:hint="eastAsia"/>
          <w:b/>
          <w:color w:val="000000" w:themeColor="text1"/>
        </w:rPr>
        <w:t>的</w:t>
      </w:r>
      <w:r w:rsidRPr="00FD5C9F" w:rsidR="00364D6F">
        <w:rPr>
          <w:rFonts w:asciiTheme="minorEastAsia" w:eastAsiaTheme="minorEastAsia" w:hAnsiTheme="minorEastAsia" w:hint="eastAsia"/>
          <w:b/>
          <w:color w:val="000000" w:themeColor="text1"/>
        </w:rPr>
        <w:t>资产配置风险</w:t>
      </w:r>
      <w:r w:rsidRPr="00FD5C9F" w:rsidR="00201627">
        <w:rPr>
          <w:rFonts w:asciiTheme="minorEastAsia" w:eastAsiaTheme="minorEastAsia" w:hAnsiTheme="minorEastAsia"/>
          <w:b/>
          <w:color w:val="000000" w:themeColor="text1"/>
        </w:rPr>
        <w:t>；</w:t>
      </w:r>
      <w:r w:rsidRPr="00FD5C9F" w:rsidR="00201627">
        <w:rPr>
          <w:rFonts w:asciiTheme="minorEastAsia" w:eastAsiaTheme="minorEastAsia" w:hAnsiTheme="minorEastAsia" w:hint="eastAsia"/>
          <w:b/>
          <w:color w:val="000000" w:themeColor="text1"/>
        </w:rPr>
        <w:t>（</w:t>
      </w:r>
      <w:r w:rsidRPr="00FD5C9F" w:rsidR="00201627">
        <w:rPr>
          <w:rFonts w:asciiTheme="minorEastAsia" w:eastAsiaTheme="minorEastAsia" w:hAnsiTheme="minorEastAsia"/>
          <w:b/>
          <w:color w:val="000000" w:themeColor="text1"/>
        </w:rPr>
        <w:t>2）</w:t>
      </w:r>
      <w:r w:rsidRPr="00FD5C9F" w:rsidR="00BC24C9">
        <w:rPr>
          <w:rFonts w:asciiTheme="minorEastAsia" w:eastAsiaTheme="minorEastAsia" w:hAnsiTheme="minorEastAsia" w:hint="eastAsia"/>
          <w:b/>
          <w:color w:val="000000" w:themeColor="text1"/>
        </w:rPr>
        <w:t>非现金资产中不低于</w:t>
      </w:r>
      <w:r w:rsidRPr="00FD5C9F" w:rsidR="00BC24C9">
        <w:rPr>
          <w:rFonts w:asciiTheme="minorEastAsia" w:eastAsiaTheme="minorEastAsia" w:hAnsiTheme="minorEastAsia"/>
          <w:b/>
          <w:color w:val="000000" w:themeColor="text1"/>
        </w:rPr>
        <w:t>80%</w:t>
      </w:r>
      <w:r w:rsidRPr="00FD5C9F" w:rsidR="009A3902">
        <w:rPr>
          <w:rFonts w:asciiTheme="minorEastAsia" w:eastAsiaTheme="minorEastAsia" w:hAnsiTheme="minorEastAsia" w:hint="eastAsia"/>
          <w:b/>
          <w:color w:val="000000" w:themeColor="text1"/>
        </w:rPr>
        <w:t>的资产将投资于</w:t>
      </w:r>
      <w:r w:rsidRPr="00FD5C9F" w:rsidR="00E3093C">
        <w:rPr>
          <w:rFonts w:asciiTheme="minorEastAsia" w:eastAsiaTheme="minorEastAsia" w:hAnsiTheme="minorEastAsia" w:hint="eastAsia"/>
          <w:b/>
          <w:color w:val="000000" w:themeColor="text1"/>
        </w:rPr>
        <w:t>创新成长主题相关公司</w:t>
      </w:r>
      <w:r w:rsidRPr="00FD5C9F" w:rsidR="009A3902">
        <w:rPr>
          <w:rFonts w:asciiTheme="minorEastAsia" w:eastAsiaTheme="minorEastAsia" w:hAnsiTheme="minorEastAsia" w:hint="eastAsia"/>
          <w:b/>
          <w:color w:val="000000" w:themeColor="text1"/>
        </w:rPr>
        <w:t>而面临的特有风险</w:t>
      </w:r>
      <w:r w:rsidRPr="00FD5C9F" w:rsidR="00201627">
        <w:rPr>
          <w:rFonts w:asciiTheme="minorEastAsia" w:eastAsiaTheme="minorEastAsia" w:hAnsiTheme="minorEastAsia"/>
          <w:b/>
          <w:color w:val="000000" w:themeColor="text1"/>
        </w:rPr>
        <w:t>；（</w:t>
      </w:r>
      <w:r w:rsidRPr="00FD5C9F" w:rsidR="00217D8D">
        <w:rPr>
          <w:rFonts w:asciiTheme="minorEastAsia" w:eastAsiaTheme="minorEastAsia" w:hAnsiTheme="minorEastAsia"/>
          <w:b/>
          <w:color w:val="000000" w:themeColor="text1"/>
        </w:rPr>
        <w:t>3</w:t>
      </w:r>
      <w:r w:rsidRPr="00FD5C9F" w:rsidR="00201627">
        <w:rPr>
          <w:rFonts w:asciiTheme="minorEastAsia" w:eastAsiaTheme="minorEastAsia" w:hAnsiTheme="minorEastAsia"/>
          <w:b/>
          <w:color w:val="000000" w:themeColor="text1"/>
        </w:rPr>
        <w:t>）</w:t>
      </w:r>
      <w:r w:rsidRPr="00FD5C9F">
        <w:rPr>
          <w:rFonts w:asciiTheme="minorEastAsia" w:eastAsiaTheme="minorEastAsia" w:hAnsiTheme="minorEastAsia" w:hint="eastAsia"/>
          <w:b/>
          <w:color w:val="000000" w:themeColor="text1"/>
        </w:rPr>
        <w:t>本基金</w:t>
      </w:r>
      <w:r w:rsidRPr="00FD5C9F" w:rsidR="00201627">
        <w:rPr>
          <w:rFonts w:asciiTheme="minorEastAsia" w:eastAsiaTheme="minorEastAsia" w:hAnsiTheme="minorEastAsia" w:hint="eastAsia"/>
          <w:b/>
          <w:color w:val="000000" w:themeColor="text1"/>
        </w:rPr>
        <w:t>投资范围包括内地与香港股票市场交易互联互通机制允许买卖的香港证券市场股票</w:t>
      </w:r>
      <w:r w:rsidRPr="00FD5C9F" w:rsidR="003F2A95">
        <w:rPr>
          <w:rFonts w:asciiTheme="minorEastAsia" w:eastAsiaTheme="minorEastAsia" w:hAnsiTheme="minorEastAsia" w:hint="eastAsia"/>
          <w:b/>
          <w:color w:val="000000" w:themeColor="text1"/>
        </w:rPr>
        <w:t>而</w:t>
      </w:r>
      <w:r w:rsidRPr="00FD5C9F">
        <w:rPr>
          <w:rFonts w:asciiTheme="minorEastAsia" w:eastAsiaTheme="minorEastAsia" w:hAnsiTheme="minorEastAsia"/>
          <w:b/>
          <w:color w:val="000000" w:themeColor="text1"/>
        </w:rPr>
        <w:t>面临</w:t>
      </w:r>
      <w:r w:rsidRPr="00FD5C9F" w:rsidR="003F2A95">
        <w:rPr>
          <w:rFonts w:asciiTheme="minorEastAsia" w:eastAsiaTheme="minorEastAsia" w:hAnsiTheme="minorEastAsia" w:hint="eastAsia"/>
          <w:b/>
          <w:color w:val="000000" w:themeColor="text1"/>
        </w:rPr>
        <w:t>的</w:t>
      </w:r>
      <w:r w:rsidRPr="00FD5C9F" w:rsidR="00201627">
        <w:rPr>
          <w:rFonts w:asciiTheme="minorEastAsia" w:eastAsiaTheme="minorEastAsia" w:hAnsiTheme="minorEastAsia"/>
          <w:b/>
          <w:color w:val="000000" w:themeColor="text1"/>
        </w:rPr>
        <w:t>香港股票市场及港股通机制带来的风险</w:t>
      </w:r>
      <w:r w:rsidRPr="00FD5C9F" w:rsidR="00201627">
        <w:rPr>
          <w:rFonts w:asciiTheme="minorEastAsia" w:eastAsiaTheme="minorEastAsia" w:hAnsiTheme="minorEastAsia" w:hint="eastAsia"/>
          <w:b/>
          <w:color w:val="000000" w:themeColor="text1"/>
        </w:rPr>
        <w:t>；</w:t>
      </w:r>
      <w:r w:rsidRPr="00FD5C9F" w:rsidR="00201627">
        <w:rPr>
          <w:rFonts w:asciiTheme="minorEastAsia" w:eastAsiaTheme="minorEastAsia" w:hAnsiTheme="minorEastAsia"/>
          <w:b/>
          <w:color w:val="000000" w:themeColor="text1"/>
        </w:rPr>
        <w:t>（</w:t>
      </w:r>
      <w:r w:rsidRPr="00FD5C9F" w:rsidR="00217D8D">
        <w:rPr>
          <w:rFonts w:asciiTheme="minorEastAsia" w:eastAsiaTheme="minorEastAsia" w:hAnsiTheme="minorEastAsia"/>
          <w:b/>
          <w:color w:val="000000" w:themeColor="text1"/>
        </w:rPr>
        <w:t>4</w:t>
      </w:r>
      <w:r w:rsidRPr="00FD5C9F" w:rsidR="00201627">
        <w:rPr>
          <w:rFonts w:asciiTheme="minorEastAsia" w:eastAsiaTheme="minorEastAsia" w:hAnsiTheme="minorEastAsia"/>
          <w:b/>
          <w:color w:val="000000" w:themeColor="text1"/>
        </w:rPr>
        <w:t>）</w:t>
      </w:r>
      <w:r w:rsidRPr="00FD5C9F">
        <w:rPr>
          <w:rFonts w:asciiTheme="minorEastAsia" w:eastAsiaTheme="minorEastAsia" w:hAnsiTheme="minorEastAsia" w:hint="eastAsia"/>
          <w:b/>
          <w:color w:val="000000" w:themeColor="text1"/>
        </w:rPr>
        <w:t>本</w:t>
      </w:r>
      <w:r w:rsidRPr="00FD5C9F">
        <w:rPr>
          <w:rFonts w:asciiTheme="minorEastAsia" w:eastAsiaTheme="minorEastAsia" w:hAnsiTheme="minorEastAsia"/>
          <w:b/>
          <w:color w:val="000000" w:themeColor="text1"/>
        </w:rPr>
        <w:t>基金</w:t>
      </w:r>
      <w:r w:rsidRPr="00FD5C9F" w:rsidR="00201627">
        <w:rPr>
          <w:rFonts w:asciiTheme="minorEastAsia" w:eastAsiaTheme="minorEastAsia" w:hAnsiTheme="minorEastAsia"/>
          <w:b/>
          <w:color w:val="000000" w:themeColor="text1"/>
        </w:rPr>
        <w:t>投资</w:t>
      </w:r>
      <w:r w:rsidRPr="00FD5C9F">
        <w:rPr>
          <w:rFonts w:asciiTheme="minorEastAsia" w:eastAsiaTheme="minorEastAsia" w:hAnsiTheme="minorEastAsia" w:hint="eastAsia"/>
          <w:b/>
          <w:color w:val="000000" w:themeColor="text1"/>
        </w:rPr>
        <w:t>范围</w:t>
      </w:r>
      <w:r w:rsidRPr="00FD5C9F">
        <w:rPr>
          <w:rFonts w:asciiTheme="minorEastAsia" w:eastAsiaTheme="minorEastAsia" w:hAnsiTheme="minorEastAsia"/>
          <w:b/>
          <w:color w:val="000000" w:themeColor="text1"/>
        </w:rPr>
        <w:t>包括</w:t>
      </w:r>
      <w:r w:rsidRPr="00FD5C9F" w:rsidR="00201627">
        <w:rPr>
          <w:rFonts w:asciiTheme="minorEastAsia" w:eastAsiaTheme="minorEastAsia" w:hAnsiTheme="minorEastAsia" w:hint="eastAsia"/>
          <w:b/>
          <w:color w:val="000000" w:themeColor="text1"/>
        </w:rPr>
        <w:t>股指期货、国债期货、股票期权等金融衍生品</w:t>
      </w:r>
      <w:r w:rsidRPr="00FD5C9F" w:rsidR="00396B19">
        <w:rPr>
          <w:rFonts w:asciiTheme="minorEastAsia" w:eastAsiaTheme="minorEastAsia" w:hAnsiTheme="minorEastAsia" w:hint="eastAsia"/>
          <w:b/>
          <w:color w:val="000000" w:themeColor="text1"/>
        </w:rPr>
        <w:t>以及资产支持证券</w:t>
      </w:r>
      <w:r w:rsidRPr="00FD5C9F" w:rsidR="002D6B21">
        <w:rPr>
          <w:rFonts w:asciiTheme="minorEastAsia" w:eastAsiaTheme="minorEastAsia" w:hAnsiTheme="minorEastAsia" w:hint="eastAsia"/>
          <w:b/>
          <w:color w:val="000000" w:themeColor="text1"/>
        </w:rPr>
        <w:t>、存托凭证</w:t>
      </w:r>
      <w:r w:rsidRPr="00FD5C9F">
        <w:rPr>
          <w:rFonts w:asciiTheme="minorEastAsia" w:eastAsiaTheme="minorEastAsia" w:hAnsiTheme="minorEastAsia" w:hint="eastAsia"/>
          <w:b/>
          <w:color w:val="000000" w:themeColor="text1"/>
        </w:rPr>
        <w:t>等特殊</w:t>
      </w:r>
      <w:r w:rsidRPr="00FD5C9F">
        <w:rPr>
          <w:rFonts w:asciiTheme="minorEastAsia" w:eastAsiaTheme="minorEastAsia" w:hAnsiTheme="minorEastAsia"/>
          <w:b/>
          <w:color w:val="000000" w:themeColor="text1"/>
        </w:rPr>
        <w:t>品种</w:t>
      </w:r>
      <w:r w:rsidRPr="00FD5C9F" w:rsidR="003F2A95">
        <w:rPr>
          <w:rFonts w:asciiTheme="minorEastAsia" w:eastAsiaTheme="minorEastAsia" w:hAnsiTheme="minorEastAsia" w:hint="eastAsia"/>
          <w:b/>
          <w:color w:val="000000" w:themeColor="text1"/>
        </w:rPr>
        <w:t>而</w:t>
      </w:r>
      <w:r w:rsidRPr="00FD5C9F">
        <w:rPr>
          <w:rFonts w:asciiTheme="minorEastAsia" w:eastAsiaTheme="minorEastAsia" w:hAnsiTheme="minorEastAsia"/>
          <w:b/>
          <w:color w:val="000000" w:themeColor="text1"/>
        </w:rPr>
        <w:t>面临的其他</w:t>
      </w:r>
      <w:r w:rsidRPr="00FD5C9F" w:rsidR="00201627">
        <w:rPr>
          <w:rFonts w:asciiTheme="minorEastAsia" w:eastAsiaTheme="minorEastAsia" w:hAnsiTheme="minorEastAsia"/>
          <w:b/>
          <w:color w:val="000000" w:themeColor="text1"/>
        </w:rPr>
        <w:t>额外风险</w:t>
      </w:r>
      <w:r w:rsidRPr="00FD5C9F" w:rsidR="00B924CD">
        <w:rPr>
          <w:rFonts w:asciiTheme="minorEastAsia" w:eastAsiaTheme="minorEastAsia" w:hAnsiTheme="minorEastAsia" w:hint="eastAsia"/>
          <w:b/>
          <w:color w:val="000000" w:themeColor="text1"/>
        </w:rPr>
        <w:t>。</w:t>
      </w:r>
      <w:r w:rsidRPr="00FD5C9F">
        <w:rPr>
          <w:rFonts w:asciiTheme="minorEastAsia" w:eastAsiaTheme="minorEastAsia" w:hAnsiTheme="minorEastAsia" w:hint="eastAsia"/>
          <w:b/>
          <w:color w:val="000000" w:themeColor="text1"/>
        </w:rPr>
        <w:t>此外</w:t>
      </w:r>
      <w:r w:rsidRPr="00FD5C9F" w:rsidR="00B924CD">
        <w:rPr>
          <w:rFonts w:asciiTheme="minorEastAsia" w:eastAsiaTheme="minorEastAsia" w:hAnsiTheme="minorEastAsia" w:hint="eastAsia"/>
          <w:b/>
          <w:color w:val="000000" w:themeColor="text1"/>
        </w:rPr>
        <w:t>，</w:t>
      </w:r>
      <w:r w:rsidRPr="00FD5C9F">
        <w:rPr>
          <w:rFonts w:asciiTheme="minorEastAsia" w:eastAsiaTheme="minorEastAsia" w:hAnsiTheme="minorEastAsia" w:hint="eastAsia"/>
          <w:b/>
          <w:color w:val="000000" w:themeColor="text1"/>
        </w:rPr>
        <w:t>本基金还将面临市场风险、流动性风险、管理风险</w:t>
      </w:r>
      <w:r w:rsidRPr="00FD5C9F" w:rsidR="00AE23DE">
        <w:rPr>
          <w:rFonts w:asciiTheme="minorEastAsia" w:eastAsiaTheme="minorEastAsia" w:hAnsiTheme="minorEastAsia" w:hint="eastAsia"/>
          <w:b/>
          <w:color w:val="000000" w:themeColor="text1"/>
        </w:rPr>
        <w:t>、税收风险</w:t>
      </w:r>
      <w:r w:rsidRPr="00FD5C9F" w:rsidR="00217D8D">
        <w:rPr>
          <w:rFonts w:asciiTheme="minorEastAsia" w:eastAsiaTheme="minorEastAsia" w:hAnsiTheme="minorEastAsia" w:hint="eastAsia"/>
          <w:b/>
          <w:color w:val="000000" w:themeColor="text1"/>
        </w:rPr>
        <w:t>、本基金法律文件中涉及基金风险特征的表述与销售机构对基金的风险评级可能不一致的风险</w:t>
      </w:r>
      <w:r w:rsidRPr="00FD5C9F">
        <w:rPr>
          <w:rFonts w:asciiTheme="minorEastAsia" w:eastAsiaTheme="minorEastAsia" w:hAnsiTheme="minorEastAsia" w:hint="eastAsia"/>
          <w:b/>
          <w:color w:val="000000" w:themeColor="text1"/>
        </w:rPr>
        <w:t>等其他一般风险</w:t>
      </w:r>
      <w:r w:rsidRPr="00FD5C9F" w:rsidR="003E0331">
        <w:rPr>
          <w:rFonts w:asciiTheme="minorEastAsia" w:eastAsiaTheme="minorEastAsia" w:hAnsiTheme="minorEastAsia" w:hint="eastAsia"/>
          <w:b/>
          <w:color w:val="000000" w:themeColor="text1"/>
        </w:rPr>
        <w:t>。</w:t>
      </w:r>
    </w:p>
    <w:p w:rsidR="00565195" w:rsidRPr="00FD5C9F" w:rsidP="00C20C63">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hint="eastAsia"/>
          <w:b/>
          <w:color w:val="000000" w:themeColor="text1"/>
        </w:rPr>
        <w:t>本基金的具体运作特点详见基金合同和招募说明书的约定。本基金的一般风险及特有风险详见本招募说明书的“风险揭示”部分。</w:t>
      </w:r>
    </w:p>
    <w:p w:rsidR="006C68A2" w:rsidRPr="00FD5C9F" w:rsidP="00C20C63">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b/>
          <w:color w:val="000000" w:themeColor="text1"/>
        </w:rPr>
        <w:t>4</w:t>
      </w:r>
      <w:r w:rsidRPr="00FD5C9F">
        <w:rPr>
          <w:rFonts w:asciiTheme="minorEastAsia" w:eastAsiaTheme="minorEastAsia" w:hAnsiTheme="minorEastAsia" w:hint="eastAsia"/>
          <w:b/>
          <w:color w:val="000000" w:themeColor="text1"/>
        </w:rPr>
        <w:t>、本基金为混合基金，理论上其预期风险与预期收益水平低于股票基金，高于债券基金和货币市场基金。</w:t>
      </w:r>
    </w:p>
    <w:p w:rsidR="00BA4B87" w:rsidRPr="00FD5C9F" w:rsidP="00F477A7">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hint="eastAsia"/>
          <w:b/>
          <w:color w:val="000000" w:themeColor="text1"/>
        </w:rPr>
        <w:t>5</w:t>
      </w:r>
      <w:r w:rsidRPr="00FD5C9F" w:rsidR="00886EE5">
        <w:rPr>
          <w:rFonts w:asciiTheme="minorEastAsia" w:eastAsiaTheme="minorEastAsia" w:hAnsiTheme="minorEastAsia" w:hint="eastAsia"/>
          <w:b/>
          <w:color w:val="000000" w:themeColor="text1"/>
        </w:rPr>
        <w:t>、</w:t>
      </w:r>
      <w:r w:rsidRPr="00FD5C9F" w:rsidR="00565195">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FD5C9F" w:rsidR="00886EE5">
        <w:rPr>
          <w:rFonts w:asciiTheme="minorEastAsia" w:eastAsiaTheme="minorEastAsia" w:hAnsiTheme="minorEastAsia" w:hint="eastAsia"/>
          <w:b/>
          <w:color w:val="000000" w:themeColor="text1"/>
        </w:rPr>
        <w:t>此外，本基金以1元初始面值进行募集，在市场波动等因素的影响下，存在单位份额净值跌破1元初始面值的风险。</w:t>
      </w:r>
    </w:p>
    <w:p w:rsidR="00BA4B87" w:rsidRPr="00FD5C9F" w:rsidP="00EF30D3">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hint="eastAsia"/>
          <w:b/>
          <w:color w:val="000000" w:themeColor="text1"/>
        </w:rPr>
        <w:t>6、基金不同于银行储蓄，基金</w:t>
      </w:r>
      <w:r w:rsidRPr="00FD5C9F" w:rsidR="008D4032">
        <w:rPr>
          <w:rFonts w:asciiTheme="minorEastAsia" w:eastAsiaTheme="minorEastAsia" w:hAnsiTheme="minorEastAsia" w:hint="eastAsia"/>
          <w:b/>
          <w:color w:val="000000" w:themeColor="text1"/>
        </w:rPr>
        <w:t>投资人</w:t>
      </w:r>
      <w:r w:rsidRPr="00FD5C9F" w:rsidR="001812A6">
        <w:rPr>
          <w:rFonts w:asciiTheme="minorEastAsia" w:eastAsiaTheme="minorEastAsia" w:hAnsiTheme="minorEastAsia" w:hint="eastAsia"/>
          <w:b/>
          <w:color w:val="000000" w:themeColor="text1"/>
        </w:rPr>
        <w:t>投资于基金</w:t>
      </w:r>
      <w:r w:rsidRPr="00FD5C9F">
        <w:rPr>
          <w:rFonts w:asciiTheme="minorEastAsia" w:eastAsiaTheme="minorEastAsia" w:hAnsiTheme="minorEastAsia" w:hint="eastAsia"/>
          <w:b/>
          <w:color w:val="000000" w:themeColor="text1"/>
        </w:rPr>
        <w:t>有可能获得较高的收益，也有可能损失本金。投资有风险，</w:t>
      </w:r>
      <w:r w:rsidRPr="00FD5C9F" w:rsidR="008D4032">
        <w:rPr>
          <w:rFonts w:asciiTheme="minorEastAsia" w:eastAsiaTheme="minorEastAsia" w:hAnsiTheme="minorEastAsia" w:hint="eastAsia"/>
          <w:b/>
          <w:color w:val="000000" w:themeColor="text1"/>
        </w:rPr>
        <w:t>投资人</w:t>
      </w:r>
      <w:r w:rsidRPr="00FD5C9F">
        <w:rPr>
          <w:rFonts w:asciiTheme="minorEastAsia" w:eastAsiaTheme="minorEastAsia" w:hAnsiTheme="minorEastAsia" w:hint="eastAsia"/>
          <w:b/>
          <w:color w:val="000000" w:themeColor="text1"/>
        </w:rPr>
        <w:t>在进行投资决策前，请仔细阅读本基金的《招募说明书》及《基金合同》。</w:t>
      </w:r>
    </w:p>
    <w:p w:rsidR="005D65CC" w:rsidRPr="00FD5C9F" w:rsidP="00EF30D3">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hint="eastAsia"/>
          <w:b/>
          <w:color w:val="000000" w:themeColor="text1"/>
        </w:rPr>
        <w:t>7、基金的过往业绩并不预示其未来表现</w:t>
      </w:r>
      <w:r w:rsidRPr="00FD5C9F" w:rsidR="004E67B3">
        <w:rPr>
          <w:rFonts w:asciiTheme="minorEastAsia" w:eastAsiaTheme="minorEastAsia" w:hAnsiTheme="minorEastAsia" w:hint="eastAsia"/>
          <w:b/>
          <w:color w:val="000000" w:themeColor="text1"/>
        </w:rPr>
        <w:t>，基金管理人管理的其他基金的业绩并不构成对本基金表现的保证</w:t>
      </w:r>
      <w:r w:rsidRPr="00FD5C9F">
        <w:rPr>
          <w:rFonts w:asciiTheme="minorEastAsia" w:eastAsiaTheme="minorEastAsia" w:hAnsiTheme="minorEastAsia" w:hint="eastAsia"/>
          <w:b/>
          <w:color w:val="000000" w:themeColor="text1"/>
        </w:rPr>
        <w:t>。</w:t>
      </w:r>
    </w:p>
    <w:p w:rsidR="00724EB8" w:rsidRPr="00FD5C9F" w:rsidP="00EF30D3">
      <w:pPr>
        <w:snapToGrid w:val="0"/>
        <w:spacing w:line="360" w:lineRule="auto"/>
        <w:ind w:firstLine="420" w:firstLineChars="200"/>
        <w:rPr>
          <w:rFonts w:asciiTheme="minorEastAsia" w:eastAsiaTheme="minorEastAsia" w:hAnsiTheme="minorEastAsia"/>
          <w:b/>
          <w:color w:val="000000" w:themeColor="text1"/>
        </w:rPr>
      </w:pPr>
      <w:r w:rsidRPr="00FD5C9F">
        <w:rPr>
          <w:rFonts w:asciiTheme="minorEastAsia" w:eastAsiaTheme="minorEastAsia" w:hAnsiTheme="minorEastAsia" w:hint="eastAsia"/>
          <w:b/>
          <w:color w:val="000000" w:themeColor="text1"/>
        </w:rPr>
        <w:t>本基金本次更新招募说明书对基金管理人章节进行更新，相关信息更新截止日为</w:t>
      </w:r>
      <w:r w:rsidRPr="00FD5C9F">
        <w:rPr>
          <w:rFonts w:asciiTheme="minorEastAsia" w:eastAsiaTheme="minorEastAsia" w:hAnsiTheme="minorEastAsia"/>
          <w:b/>
          <w:color w:val="000000" w:themeColor="text1"/>
        </w:rPr>
        <w:t>2023</w:t>
      </w:r>
      <w:r w:rsidRPr="00FD5C9F">
        <w:rPr>
          <w:rFonts w:asciiTheme="minorEastAsia" w:eastAsiaTheme="minorEastAsia" w:hAnsiTheme="minorEastAsia" w:hint="eastAsia"/>
          <w:b/>
          <w:color w:val="000000" w:themeColor="text1"/>
        </w:rPr>
        <w:t>年</w:t>
      </w:r>
      <w:r w:rsidRPr="00FD5C9F">
        <w:rPr>
          <w:rFonts w:asciiTheme="minorEastAsia" w:eastAsiaTheme="minorEastAsia" w:hAnsiTheme="minorEastAsia"/>
          <w:b/>
          <w:color w:val="000000" w:themeColor="text1"/>
        </w:rPr>
        <w:t>5</w:t>
      </w:r>
      <w:r w:rsidRPr="00FD5C9F">
        <w:rPr>
          <w:rFonts w:asciiTheme="minorEastAsia" w:eastAsiaTheme="minorEastAsia" w:hAnsiTheme="minorEastAsia" w:hint="eastAsia"/>
          <w:b/>
          <w:color w:val="000000" w:themeColor="text1"/>
        </w:rPr>
        <w:t>月</w:t>
      </w:r>
      <w:r w:rsidRPr="00FD5C9F">
        <w:rPr>
          <w:rFonts w:asciiTheme="minorEastAsia" w:eastAsiaTheme="minorEastAsia" w:hAnsiTheme="minorEastAsia"/>
          <w:b/>
          <w:color w:val="000000" w:themeColor="text1"/>
        </w:rPr>
        <w:t>6日</w:t>
      </w:r>
      <w:r w:rsidRPr="00FD5C9F">
        <w:rPr>
          <w:rFonts w:asciiTheme="minorEastAsia" w:eastAsiaTheme="minorEastAsia" w:hAnsiTheme="minorEastAsia" w:hint="eastAsia"/>
          <w:b/>
          <w:color w:val="000000" w:themeColor="text1"/>
        </w:rPr>
        <w:t>。</w:t>
      </w:r>
      <w:r w:rsidRPr="00FD5C9F" w:rsidR="005479F1">
        <w:rPr>
          <w:rFonts w:asciiTheme="minorEastAsia" w:eastAsiaTheme="minorEastAsia" w:hAnsiTheme="minorEastAsia"/>
          <w:b/>
          <w:color w:val="000000" w:themeColor="text1"/>
        </w:rPr>
        <w:t>本基金有关财务数据截止日为2023年3月31日，净值表现截止日为2022年12月31日，除非另有说明，本招募说明书其他所载内容截止日为2023年3月16日。（本报告中财务数据未经审计）</w:t>
      </w:r>
    </w:p>
    <w:p w:rsidR="005A019A" w:rsidRPr="00FD5C9F" w:rsidP="00EF30D3">
      <w:pPr>
        <w:snapToGrid w:val="0"/>
        <w:spacing w:line="360" w:lineRule="auto"/>
        <w:ind w:firstLine="420" w:firstLineChars="200"/>
        <w:rPr>
          <w:rFonts w:asciiTheme="minorEastAsia" w:eastAsiaTheme="minorEastAsia" w:hAnsiTheme="minorEastAsia"/>
          <w:b/>
          <w:color w:val="000000" w:themeColor="text1"/>
        </w:rPr>
        <w:sectPr w:rsidSect="00EF30D3">
          <w:headerReference w:type="even" r:id="rId11"/>
          <w:headerReference w:type="default" r:id="rId12"/>
          <w:footerReference w:type="even" r:id="rId13"/>
          <w:footerReference w:type="default" r:id="rId14"/>
          <w:pgSz w:w="11906" w:h="16838" w:code="9"/>
          <w:pgMar w:top="1440" w:right="1800" w:bottom="1440" w:left="1800" w:header="851" w:footer="992" w:gutter="0"/>
          <w:pgNumType w:fmt="upperRoman" w:start="1"/>
          <w:cols w:space="720"/>
          <w:docGrid w:type="lines" w:linePitch="317"/>
        </w:sectPr>
      </w:pPr>
    </w:p>
    <w:p w:rsidR="00BA4B87" w:rsidRPr="00FD5C9F" w:rsidP="00BA4B87">
      <w:pPr>
        <w:adjustRightInd w:val="0"/>
        <w:snapToGrid w:val="0"/>
        <w:spacing w:before="100" w:after="100" w:line="360" w:lineRule="auto"/>
        <w:jc w:val="center"/>
        <w:rPr>
          <w:rFonts w:asciiTheme="minorEastAsia" w:eastAsiaTheme="minorEastAsia" w:hAnsiTheme="minorEastAsia"/>
          <w:color w:val="000000" w:themeColor="text1"/>
          <w:sz w:val="30"/>
        </w:rPr>
      </w:pPr>
      <w:r w:rsidRPr="00FD5C9F">
        <w:rPr>
          <w:rFonts w:asciiTheme="minorEastAsia" w:eastAsiaTheme="minorEastAsia" w:hAnsiTheme="minorEastAsia" w:hint="eastAsia"/>
          <w:color w:val="000000" w:themeColor="text1"/>
          <w:sz w:val="30"/>
        </w:rPr>
        <w:t>目     录</w:t>
      </w:r>
    </w:p>
    <w:p w:rsidR="00BA4B87" w:rsidRPr="00FD5C9F" w:rsidP="00BA4B87">
      <w:pPr>
        <w:adjustRightInd w:val="0"/>
        <w:snapToGrid w:val="0"/>
        <w:spacing w:before="100" w:after="100" w:line="320" w:lineRule="exact"/>
        <w:ind w:firstLine="480"/>
        <w:jc w:val="center"/>
        <w:rPr>
          <w:rFonts w:asciiTheme="minorEastAsia" w:eastAsiaTheme="minorEastAsia" w:hAnsiTheme="minorEastAsia"/>
          <w:b/>
          <w:color w:val="000000" w:themeColor="text1"/>
        </w:rPr>
      </w:pPr>
    </w:p>
    <w:p w:rsidR="00234326">
      <w:pPr>
        <w:pStyle w:val="TOC1"/>
        <w:rPr>
          <w:rFonts w:asciiTheme="minorHAnsi" w:eastAsiaTheme="minorEastAsia" w:hAnsiTheme="minorHAnsi" w:cstheme="minorBidi"/>
          <w:caps w:val="0"/>
          <w:color w:val="auto"/>
          <w:sz w:val="21"/>
          <w:szCs w:val="22"/>
        </w:rPr>
      </w:pPr>
      <w:r w:rsidRPr="00FD5C9F">
        <w:rPr>
          <w:rFonts w:asciiTheme="minorEastAsia" w:eastAsiaTheme="minorEastAsia" w:hAnsiTheme="minorEastAsia"/>
          <w:b/>
          <w:color w:val="000000" w:themeColor="text1"/>
        </w:rPr>
        <w:fldChar w:fldCharType="begin"/>
      </w:r>
      <w:r w:rsidRPr="00FD5C9F" w:rsidR="00BA1E8F">
        <w:rPr>
          <w:rFonts w:asciiTheme="minorEastAsia" w:eastAsiaTheme="minorEastAsia" w:hAnsiTheme="minorEastAsia"/>
          <w:b/>
          <w:color w:val="000000" w:themeColor="text1"/>
        </w:rPr>
        <w:instrText xml:space="preserve"> TOC \o "1-1" \h \z \u </w:instrText>
      </w:r>
      <w:r w:rsidRPr="00FD5C9F">
        <w:rPr>
          <w:rFonts w:asciiTheme="minorEastAsia" w:eastAsiaTheme="minorEastAsia" w:hAnsiTheme="minorEastAsia"/>
          <w:b/>
          <w:color w:val="000000" w:themeColor="text1"/>
        </w:rPr>
        <w:fldChar w:fldCharType="separate"/>
      </w:r>
      <w:hyperlink w:anchor="_Toc134547839" w:history="1">
        <w:r w:rsidRPr="003E6991">
          <w:rPr>
            <w:rStyle w:val="Hyperlink"/>
            <w:rFonts w:asciiTheme="minorEastAsia" w:hAnsiTheme="minorEastAsia" w:hint="eastAsia"/>
          </w:rPr>
          <w:t>一、绪</w:t>
        </w:r>
        <w:r w:rsidRPr="003E6991">
          <w:rPr>
            <w:rStyle w:val="Hyperlink"/>
            <w:rFonts w:asciiTheme="minorEastAsia" w:hAnsiTheme="minorEastAsia"/>
          </w:rPr>
          <w:t xml:space="preserve">  </w:t>
        </w:r>
        <w:r w:rsidRPr="003E6991">
          <w:rPr>
            <w:rStyle w:val="Hyperlink"/>
            <w:rFonts w:asciiTheme="minorEastAsia" w:hAnsiTheme="minorEastAsia" w:hint="eastAsia"/>
          </w:rPr>
          <w:t>言</w:t>
        </w:r>
        <w:r>
          <w:rPr>
            <w:webHidden/>
          </w:rPr>
          <w:tab/>
        </w:r>
        <w:r>
          <w:rPr>
            <w:webHidden/>
          </w:rPr>
          <w:fldChar w:fldCharType="begin"/>
        </w:r>
        <w:r>
          <w:rPr>
            <w:webHidden/>
          </w:rPr>
          <w:instrText xml:space="preserve"> PAGEREF _Toc134547839 \h </w:instrText>
        </w:r>
        <w:r>
          <w:rPr>
            <w:webHidden/>
          </w:rPr>
          <w:fldChar w:fldCharType="separate"/>
        </w:r>
        <w:r>
          <w:rPr>
            <w:webHidden/>
          </w:rPr>
          <w:t>1</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0" w:history="1">
        <w:r w:rsidRPr="003E6991">
          <w:rPr>
            <w:rStyle w:val="Hyperlink"/>
            <w:rFonts w:asciiTheme="minorEastAsia" w:hAnsiTheme="minorEastAsia" w:hint="eastAsia"/>
          </w:rPr>
          <w:t>二、释</w:t>
        </w:r>
        <w:r w:rsidRPr="003E6991">
          <w:rPr>
            <w:rStyle w:val="Hyperlink"/>
            <w:rFonts w:asciiTheme="minorEastAsia" w:hAnsiTheme="minorEastAsia"/>
          </w:rPr>
          <w:t xml:space="preserve">  </w:t>
        </w:r>
        <w:r w:rsidRPr="003E6991">
          <w:rPr>
            <w:rStyle w:val="Hyperlink"/>
            <w:rFonts w:asciiTheme="minorEastAsia" w:hAnsiTheme="minorEastAsia" w:hint="eastAsia"/>
          </w:rPr>
          <w:t>义</w:t>
        </w:r>
        <w:r>
          <w:rPr>
            <w:webHidden/>
          </w:rPr>
          <w:tab/>
        </w:r>
        <w:r>
          <w:rPr>
            <w:webHidden/>
          </w:rPr>
          <w:fldChar w:fldCharType="begin"/>
        </w:r>
        <w:r>
          <w:rPr>
            <w:webHidden/>
          </w:rPr>
          <w:instrText xml:space="preserve"> PAGEREF _Toc134547840 \h </w:instrText>
        </w:r>
        <w:r>
          <w:rPr>
            <w:webHidden/>
          </w:rPr>
          <w:fldChar w:fldCharType="separate"/>
        </w:r>
        <w:r>
          <w:rPr>
            <w:webHidden/>
          </w:rPr>
          <w:t>2</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1" w:history="1">
        <w:r w:rsidRPr="003E6991">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_Toc134547841 \h </w:instrText>
        </w:r>
        <w:r>
          <w:rPr>
            <w:webHidden/>
          </w:rPr>
          <w:fldChar w:fldCharType="separate"/>
        </w:r>
        <w:r>
          <w:rPr>
            <w:webHidden/>
          </w:rPr>
          <w:t>6</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2" w:history="1">
        <w:r w:rsidRPr="003E6991">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_Toc134547842 \h </w:instrText>
        </w:r>
        <w:r>
          <w:rPr>
            <w:webHidden/>
          </w:rPr>
          <w:fldChar w:fldCharType="separate"/>
        </w:r>
        <w:r>
          <w:rPr>
            <w:webHidden/>
          </w:rPr>
          <w:t>18</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3" w:history="1">
        <w:r w:rsidRPr="003E6991">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_Toc134547843 \h </w:instrText>
        </w:r>
        <w:r>
          <w:rPr>
            <w:webHidden/>
          </w:rPr>
          <w:fldChar w:fldCharType="separate"/>
        </w:r>
        <w:r>
          <w:rPr>
            <w:webHidden/>
          </w:rPr>
          <w:t>24</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4" w:history="1">
        <w:r w:rsidRPr="003E6991">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_Toc134547844 \h </w:instrText>
        </w:r>
        <w:r>
          <w:rPr>
            <w:webHidden/>
          </w:rPr>
          <w:fldChar w:fldCharType="separate"/>
        </w:r>
        <w:r>
          <w:rPr>
            <w:webHidden/>
          </w:rPr>
          <w:t>26</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5" w:history="1">
        <w:r w:rsidRPr="003E6991">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_Toc134547845 \h </w:instrText>
        </w:r>
        <w:r>
          <w:rPr>
            <w:webHidden/>
          </w:rPr>
          <w:fldChar w:fldCharType="separate"/>
        </w:r>
        <w:r>
          <w:rPr>
            <w:webHidden/>
          </w:rPr>
          <w:t>27</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6" w:history="1">
        <w:r w:rsidRPr="003E6991">
          <w:rPr>
            <w:rStyle w:val="Hyperlink"/>
            <w:rFonts w:asciiTheme="minorEastAsia" w:hAnsiTheme="minorEastAsia" w:hint="eastAsia"/>
            <w:bCs/>
          </w:rPr>
          <w:t>八、基金份额的申购、赎回</w:t>
        </w:r>
        <w:r>
          <w:rPr>
            <w:webHidden/>
          </w:rPr>
          <w:tab/>
        </w:r>
        <w:r>
          <w:rPr>
            <w:webHidden/>
          </w:rPr>
          <w:fldChar w:fldCharType="begin"/>
        </w:r>
        <w:r>
          <w:rPr>
            <w:webHidden/>
          </w:rPr>
          <w:instrText xml:space="preserve"> PAGEREF _Toc134547846 \h </w:instrText>
        </w:r>
        <w:r>
          <w:rPr>
            <w:webHidden/>
          </w:rPr>
          <w:fldChar w:fldCharType="separate"/>
        </w:r>
        <w:r>
          <w:rPr>
            <w:webHidden/>
          </w:rPr>
          <w:t>28</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7" w:history="1">
        <w:r w:rsidRPr="003E6991">
          <w:rPr>
            <w:rStyle w:val="Hyperlink"/>
            <w:rFonts w:asciiTheme="minorEastAsia" w:hAnsiTheme="minorEastAsia" w:hint="eastAsia"/>
          </w:rPr>
          <w:t>九、基金转换和定期定额投资计划</w:t>
        </w:r>
        <w:r>
          <w:rPr>
            <w:webHidden/>
          </w:rPr>
          <w:tab/>
        </w:r>
        <w:r>
          <w:rPr>
            <w:webHidden/>
          </w:rPr>
          <w:fldChar w:fldCharType="begin"/>
        </w:r>
        <w:r>
          <w:rPr>
            <w:webHidden/>
          </w:rPr>
          <w:instrText xml:space="preserve"> PAGEREF _Toc134547847 \h </w:instrText>
        </w:r>
        <w:r>
          <w:rPr>
            <w:webHidden/>
          </w:rPr>
          <w:fldChar w:fldCharType="separate"/>
        </w:r>
        <w:r>
          <w:rPr>
            <w:webHidden/>
          </w:rPr>
          <w:t>38</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8" w:history="1">
        <w:r w:rsidRPr="003E6991">
          <w:rPr>
            <w:rStyle w:val="Hyperlink"/>
            <w:rFonts w:asciiTheme="minorEastAsia" w:hAnsiTheme="minorEastAsia" w:hint="eastAsia"/>
          </w:rPr>
          <w:t>十、基金的转托管、质押、非交易过户、冻结与解冻</w:t>
        </w:r>
        <w:r>
          <w:rPr>
            <w:webHidden/>
          </w:rPr>
          <w:tab/>
        </w:r>
        <w:r>
          <w:rPr>
            <w:webHidden/>
          </w:rPr>
          <w:fldChar w:fldCharType="begin"/>
        </w:r>
        <w:r>
          <w:rPr>
            <w:webHidden/>
          </w:rPr>
          <w:instrText xml:space="preserve"> PAGEREF _Toc134547848 \h </w:instrText>
        </w:r>
        <w:r>
          <w:rPr>
            <w:webHidden/>
          </w:rPr>
          <w:fldChar w:fldCharType="separate"/>
        </w:r>
        <w:r>
          <w:rPr>
            <w:webHidden/>
          </w:rPr>
          <w:t>43</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49" w:history="1">
        <w:r w:rsidRPr="003E6991">
          <w:rPr>
            <w:rStyle w:val="Hyperlink"/>
            <w:rFonts w:asciiTheme="minorEastAsia" w:hAnsiTheme="minorEastAsia" w:hint="eastAsia"/>
          </w:rPr>
          <w:t>十一、基金的投资</w:t>
        </w:r>
        <w:r>
          <w:rPr>
            <w:webHidden/>
          </w:rPr>
          <w:tab/>
        </w:r>
        <w:r>
          <w:rPr>
            <w:webHidden/>
          </w:rPr>
          <w:fldChar w:fldCharType="begin"/>
        </w:r>
        <w:r>
          <w:rPr>
            <w:webHidden/>
          </w:rPr>
          <w:instrText xml:space="preserve"> PAGEREF _Toc134547849 \h </w:instrText>
        </w:r>
        <w:r>
          <w:rPr>
            <w:webHidden/>
          </w:rPr>
          <w:fldChar w:fldCharType="separate"/>
        </w:r>
        <w:r>
          <w:rPr>
            <w:webHidden/>
          </w:rPr>
          <w:t>44</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0" w:history="1">
        <w:r w:rsidRPr="003E6991">
          <w:rPr>
            <w:rStyle w:val="Hyperlink"/>
            <w:rFonts w:asciiTheme="minorEastAsia" w:hAnsiTheme="minorEastAsia" w:hint="eastAsia"/>
          </w:rPr>
          <w:t>十二、基金的业绩</w:t>
        </w:r>
        <w:r>
          <w:rPr>
            <w:webHidden/>
          </w:rPr>
          <w:tab/>
        </w:r>
        <w:r>
          <w:rPr>
            <w:webHidden/>
          </w:rPr>
          <w:fldChar w:fldCharType="begin"/>
        </w:r>
        <w:r>
          <w:rPr>
            <w:webHidden/>
          </w:rPr>
          <w:instrText xml:space="preserve"> PAGEREF _Toc134547850 \h </w:instrText>
        </w:r>
        <w:r>
          <w:rPr>
            <w:webHidden/>
          </w:rPr>
          <w:fldChar w:fldCharType="separate"/>
        </w:r>
        <w:r>
          <w:rPr>
            <w:webHidden/>
          </w:rPr>
          <w:t>55</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1" w:history="1">
        <w:r w:rsidRPr="003E6991">
          <w:rPr>
            <w:rStyle w:val="Hyperlink"/>
            <w:rFonts w:asciiTheme="minorEastAsia" w:hAnsiTheme="minorEastAsia" w:hint="eastAsia"/>
          </w:rPr>
          <w:t>十三、基金的财产</w:t>
        </w:r>
        <w:r>
          <w:rPr>
            <w:webHidden/>
          </w:rPr>
          <w:tab/>
        </w:r>
        <w:r>
          <w:rPr>
            <w:webHidden/>
          </w:rPr>
          <w:fldChar w:fldCharType="begin"/>
        </w:r>
        <w:r>
          <w:rPr>
            <w:webHidden/>
          </w:rPr>
          <w:instrText xml:space="preserve"> PAGEREF _Toc134547851 \h </w:instrText>
        </w:r>
        <w:r>
          <w:rPr>
            <w:webHidden/>
          </w:rPr>
          <w:fldChar w:fldCharType="separate"/>
        </w:r>
        <w:r>
          <w:rPr>
            <w:webHidden/>
          </w:rPr>
          <w:t>56</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2" w:history="1">
        <w:r w:rsidRPr="003E6991">
          <w:rPr>
            <w:rStyle w:val="Hyperlink"/>
            <w:rFonts w:asciiTheme="minorEastAsia" w:hAnsiTheme="minorEastAsia" w:hint="eastAsia"/>
          </w:rPr>
          <w:t>十四、基金资产的估值</w:t>
        </w:r>
        <w:r>
          <w:rPr>
            <w:webHidden/>
          </w:rPr>
          <w:tab/>
        </w:r>
        <w:r>
          <w:rPr>
            <w:webHidden/>
          </w:rPr>
          <w:fldChar w:fldCharType="begin"/>
        </w:r>
        <w:r>
          <w:rPr>
            <w:webHidden/>
          </w:rPr>
          <w:instrText xml:space="preserve"> PAGEREF _Toc134547852 \h </w:instrText>
        </w:r>
        <w:r>
          <w:rPr>
            <w:webHidden/>
          </w:rPr>
          <w:fldChar w:fldCharType="separate"/>
        </w:r>
        <w:r>
          <w:rPr>
            <w:webHidden/>
          </w:rPr>
          <w:t>57</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3" w:history="1">
        <w:r w:rsidRPr="003E6991">
          <w:rPr>
            <w:rStyle w:val="Hyperlink"/>
            <w:rFonts w:asciiTheme="minorEastAsia" w:hAnsiTheme="minorEastAsia" w:hint="eastAsia"/>
          </w:rPr>
          <w:t>十五、基金的收益分配</w:t>
        </w:r>
        <w:r>
          <w:rPr>
            <w:webHidden/>
          </w:rPr>
          <w:tab/>
        </w:r>
        <w:r>
          <w:rPr>
            <w:webHidden/>
          </w:rPr>
          <w:fldChar w:fldCharType="begin"/>
        </w:r>
        <w:r>
          <w:rPr>
            <w:webHidden/>
          </w:rPr>
          <w:instrText xml:space="preserve"> PAGEREF _Toc134547853 \h </w:instrText>
        </w:r>
        <w:r>
          <w:rPr>
            <w:webHidden/>
          </w:rPr>
          <w:fldChar w:fldCharType="separate"/>
        </w:r>
        <w:r>
          <w:rPr>
            <w:webHidden/>
          </w:rPr>
          <w:t>63</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4" w:history="1">
        <w:r w:rsidRPr="003E6991">
          <w:rPr>
            <w:rStyle w:val="Hyperlink"/>
            <w:rFonts w:asciiTheme="minorEastAsia" w:hAnsiTheme="minorEastAsia" w:hint="eastAsia"/>
          </w:rPr>
          <w:t>十六、基金的费用与税收</w:t>
        </w:r>
        <w:r>
          <w:rPr>
            <w:webHidden/>
          </w:rPr>
          <w:tab/>
        </w:r>
        <w:r>
          <w:rPr>
            <w:webHidden/>
          </w:rPr>
          <w:fldChar w:fldCharType="begin"/>
        </w:r>
        <w:r>
          <w:rPr>
            <w:webHidden/>
          </w:rPr>
          <w:instrText xml:space="preserve"> PAGEREF _Toc134547854 \h </w:instrText>
        </w:r>
        <w:r>
          <w:rPr>
            <w:webHidden/>
          </w:rPr>
          <w:fldChar w:fldCharType="separate"/>
        </w:r>
        <w:r>
          <w:rPr>
            <w:webHidden/>
          </w:rPr>
          <w:t>65</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5" w:history="1">
        <w:r w:rsidRPr="003E6991">
          <w:rPr>
            <w:rStyle w:val="Hyperlink"/>
            <w:rFonts w:asciiTheme="minorEastAsia" w:hAnsiTheme="minorEastAsia" w:hint="eastAsia"/>
          </w:rPr>
          <w:t>十七、基金的会计与审计</w:t>
        </w:r>
        <w:r>
          <w:rPr>
            <w:webHidden/>
          </w:rPr>
          <w:tab/>
        </w:r>
        <w:r>
          <w:rPr>
            <w:webHidden/>
          </w:rPr>
          <w:fldChar w:fldCharType="begin"/>
        </w:r>
        <w:r>
          <w:rPr>
            <w:webHidden/>
          </w:rPr>
          <w:instrText xml:space="preserve"> PAGEREF _Toc134547855 \h </w:instrText>
        </w:r>
        <w:r>
          <w:rPr>
            <w:webHidden/>
          </w:rPr>
          <w:fldChar w:fldCharType="separate"/>
        </w:r>
        <w:r>
          <w:rPr>
            <w:webHidden/>
          </w:rPr>
          <w:t>67</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6" w:history="1">
        <w:r w:rsidRPr="003E6991">
          <w:rPr>
            <w:rStyle w:val="Hyperlink"/>
            <w:rFonts w:asciiTheme="minorEastAsia" w:hAnsiTheme="minorEastAsia" w:hint="eastAsia"/>
          </w:rPr>
          <w:t>十八、基金的信息披露</w:t>
        </w:r>
        <w:r>
          <w:rPr>
            <w:webHidden/>
          </w:rPr>
          <w:tab/>
        </w:r>
        <w:r>
          <w:rPr>
            <w:webHidden/>
          </w:rPr>
          <w:fldChar w:fldCharType="begin"/>
        </w:r>
        <w:r>
          <w:rPr>
            <w:webHidden/>
          </w:rPr>
          <w:instrText xml:space="preserve"> PAGEREF _Toc134547856 \h </w:instrText>
        </w:r>
        <w:r>
          <w:rPr>
            <w:webHidden/>
          </w:rPr>
          <w:fldChar w:fldCharType="separate"/>
        </w:r>
        <w:r>
          <w:rPr>
            <w:webHidden/>
          </w:rPr>
          <w:t>68</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7" w:history="1">
        <w:r w:rsidRPr="003E6991">
          <w:rPr>
            <w:rStyle w:val="Hyperlink"/>
            <w:rFonts w:asciiTheme="minorEastAsia" w:hAnsiTheme="minorEastAsia" w:hint="eastAsia"/>
          </w:rPr>
          <w:t>十九、风险揭示</w:t>
        </w:r>
        <w:r>
          <w:rPr>
            <w:webHidden/>
          </w:rPr>
          <w:tab/>
        </w:r>
        <w:r>
          <w:rPr>
            <w:webHidden/>
          </w:rPr>
          <w:fldChar w:fldCharType="begin"/>
        </w:r>
        <w:r>
          <w:rPr>
            <w:webHidden/>
          </w:rPr>
          <w:instrText xml:space="preserve"> PAGEREF _Toc134547857 \h </w:instrText>
        </w:r>
        <w:r>
          <w:rPr>
            <w:webHidden/>
          </w:rPr>
          <w:fldChar w:fldCharType="separate"/>
        </w:r>
        <w:r>
          <w:rPr>
            <w:webHidden/>
          </w:rPr>
          <w:t>74</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8" w:history="1">
        <w:r w:rsidRPr="003E6991">
          <w:rPr>
            <w:rStyle w:val="Hyperlink"/>
            <w:rFonts w:asciiTheme="minorEastAsia" w:hAnsiTheme="minorEastAsia" w:hint="eastAsia"/>
          </w:rPr>
          <w:t>二十、基金合同的变更、终止与基金财产的清算</w:t>
        </w:r>
        <w:r>
          <w:rPr>
            <w:webHidden/>
          </w:rPr>
          <w:tab/>
        </w:r>
        <w:r>
          <w:rPr>
            <w:webHidden/>
          </w:rPr>
          <w:fldChar w:fldCharType="begin"/>
        </w:r>
        <w:r>
          <w:rPr>
            <w:webHidden/>
          </w:rPr>
          <w:instrText xml:space="preserve"> PAGEREF _Toc134547858 \h </w:instrText>
        </w:r>
        <w:r>
          <w:rPr>
            <w:webHidden/>
          </w:rPr>
          <w:fldChar w:fldCharType="separate"/>
        </w:r>
        <w:r>
          <w:rPr>
            <w:webHidden/>
          </w:rPr>
          <w:t>82</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59" w:history="1">
        <w:r w:rsidRPr="003E6991">
          <w:rPr>
            <w:rStyle w:val="Hyperlink"/>
            <w:rFonts w:asciiTheme="minorEastAsia" w:hAnsiTheme="minorEastAsia" w:hint="eastAsia"/>
          </w:rPr>
          <w:t>二十一、基金合同的内容摘要</w:t>
        </w:r>
        <w:r>
          <w:rPr>
            <w:webHidden/>
          </w:rPr>
          <w:tab/>
        </w:r>
        <w:r>
          <w:rPr>
            <w:webHidden/>
          </w:rPr>
          <w:fldChar w:fldCharType="begin"/>
        </w:r>
        <w:r>
          <w:rPr>
            <w:webHidden/>
          </w:rPr>
          <w:instrText xml:space="preserve"> PAGEREF _Toc134547859 \h </w:instrText>
        </w:r>
        <w:r>
          <w:rPr>
            <w:webHidden/>
          </w:rPr>
          <w:fldChar w:fldCharType="separate"/>
        </w:r>
        <w:r>
          <w:rPr>
            <w:webHidden/>
          </w:rPr>
          <w:t>84</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60" w:history="1">
        <w:r w:rsidRPr="003E6991">
          <w:rPr>
            <w:rStyle w:val="Hyperlink"/>
            <w:rFonts w:asciiTheme="minorEastAsia" w:hAnsiTheme="minorEastAsia" w:hint="eastAsia"/>
          </w:rPr>
          <w:t>二十二、基金托管协议的内容摘要</w:t>
        </w:r>
        <w:r>
          <w:rPr>
            <w:webHidden/>
          </w:rPr>
          <w:tab/>
        </w:r>
        <w:r>
          <w:rPr>
            <w:webHidden/>
          </w:rPr>
          <w:fldChar w:fldCharType="begin"/>
        </w:r>
        <w:r>
          <w:rPr>
            <w:webHidden/>
          </w:rPr>
          <w:instrText xml:space="preserve"> PAGEREF _Toc134547860 \h </w:instrText>
        </w:r>
        <w:r>
          <w:rPr>
            <w:webHidden/>
          </w:rPr>
          <w:fldChar w:fldCharType="separate"/>
        </w:r>
        <w:r>
          <w:rPr>
            <w:webHidden/>
          </w:rPr>
          <w:t>99</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61" w:history="1">
        <w:r w:rsidRPr="003E6991">
          <w:rPr>
            <w:rStyle w:val="Hyperlink"/>
            <w:rFonts w:asciiTheme="minorEastAsia" w:hAnsiTheme="minorEastAsia" w:hint="eastAsia"/>
          </w:rPr>
          <w:t>二十三、对基金份额持有人的服务</w:t>
        </w:r>
        <w:r>
          <w:rPr>
            <w:webHidden/>
          </w:rPr>
          <w:tab/>
        </w:r>
        <w:r>
          <w:rPr>
            <w:webHidden/>
          </w:rPr>
          <w:fldChar w:fldCharType="begin"/>
        </w:r>
        <w:r>
          <w:rPr>
            <w:webHidden/>
          </w:rPr>
          <w:instrText xml:space="preserve"> PAGEREF _Toc134547861 \h </w:instrText>
        </w:r>
        <w:r>
          <w:rPr>
            <w:webHidden/>
          </w:rPr>
          <w:fldChar w:fldCharType="separate"/>
        </w:r>
        <w:r>
          <w:rPr>
            <w:webHidden/>
          </w:rPr>
          <w:t>115</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62" w:history="1">
        <w:r w:rsidRPr="003E6991">
          <w:rPr>
            <w:rStyle w:val="Hyperlink"/>
            <w:rFonts w:asciiTheme="minorEastAsia" w:hAnsiTheme="minorEastAsia" w:hint="eastAsia"/>
          </w:rPr>
          <w:t>二十四、其他应披露事项</w:t>
        </w:r>
        <w:r>
          <w:rPr>
            <w:webHidden/>
          </w:rPr>
          <w:tab/>
        </w:r>
        <w:r>
          <w:rPr>
            <w:webHidden/>
          </w:rPr>
          <w:fldChar w:fldCharType="begin"/>
        </w:r>
        <w:r>
          <w:rPr>
            <w:webHidden/>
          </w:rPr>
          <w:instrText xml:space="preserve"> PAGEREF _Toc134547862 \h </w:instrText>
        </w:r>
        <w:r>
          <w:rPr>
            <w:webHidden/>
          </w:rPr>
          <w:fldChar w:fldCharType="separate"/>
        </w:r>
        <w:r>
          <w:rPr>
            <w:webHidden/>
          </w:rPr>
          <w:t>117</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63" w:history="1">
        <w:r w:rsidRPr="003E6991">
          <w:rPr>
            <w:rStyle w:val="Hyperlink"/>
            <w:rFonts w:asciiTheme="minorEastAsia" w:hAnsiTheme="minorEastAsia" w:hint="eastAsia"/>
          </w:rPr>
          <w:t>二十五、招募说明书的存放及查阅方式</w:t>
        </w:r>
        <w:r>
          <w:rPr>
            <w:webHidden/>
          </w:rPr>
          <w:tab/>
        </w:r>
        <w:r>
          <w:rPr>
            <w:webHidden/>
          </w:rPr>
          <w:fldChar w:fldCharType="begin"/>
        </w:r>
        <w:r>
          <w:rPr>
            <w:webHidden/>
          </w:rPr>
          <w:instrText xml:space="preserve"> PAGEREF _Toc134547863 \h </w:instrText>
        </w:r>
        <w:r>
          <w:rPr>
            <w:webHidden/>
          </w:rPr>
          <w:fldChar w:fldCharType="separate"/>
        </w:r>
        <w:r>
          <w:rPr>
            <w:webHidden/>
          </w:rPr>
          <w:t>118</w:t>
        </w:r>
        <w:r>
          <w:rPr>
            <w:webHidden/>
          </w:rPr>
          <w:fldChar w:fldCharType="end"/>
        </w:r>
      </w:hyperlink>
    </w:p>
    <w:p w:rsidR="00234326">
      <w:pPr>
        <w:pStyle w:val="TOC1"/>
        <w:rPr>
          <w:rFonts w:asciiTheme="minorHAnsi" w:eastAsiaTheme="minorEastAsia" w:hAnsiTheme="minorHAnsi" w:cstheme="minorBidi"/>
          <w:caps w:val="0"/>
          <w:color w:val="auto"/>
          <w:sz w:val="21"/>
          <w:szCs w:val="22"/>
        </w:rPr>
      </w:pPr>
      <w:hyperlink w:anchor="_Toc134547864" w:history="1">
        <w:r w:rsidRPr="003E6991">
          <w:rPr>
            <w:rStyle w:val="Hyperlink"/>
            <w:rFonts w:asciiTheme="minorEastAsia" w:hAnsiTheme="minorEastAsia" w:hint="eastAsia"/>
          </w:rPr>
          <w:t>二十六、备查文件</w:t>
        </w:r>
        <w:r>
          <w:rPr>
            <w:webHidden/>
          </w:rPr>
          <w:tab/>
        </w:r>
        <w:r>
          <w:rPr>
            <w:webHidden/>
          </w:rPr>
          <w:fldChar w:fldCharType="begin"/>
        </w:r>
        <w:r>
          <w:rPr>
            <w:webHidden/>
          </w:rPr>
          <w:instrText xml:space="preserve"> PAGEREF _Toc134547864 \h </w:instrText>
        </w:r>
        <w:r>
          <w:rPr>
            <w:webHidden/>
          </w:rPr>
          <w:fldChar w:fldCharType="separate"/>
        </w:r>
        <w:r>
          <w:rPr>
            <w:webHidden/>
          </w:rPr>
          <w:t>119</w:t>
        </w:r>
        <w:r>
          <w:rPr>
            <w:webHidden/>
          </w:rPr>
          <w:fldChar w:fldCharType="end"/>
        </w:r>
      </w:hyperlink>
    </w:p>
    <w:p w:rsidR="00BA4B87" w:rsidRPr="00FD5C9F" w:rsidP="004A2685">
      <w:pPr>
        <w:ind w:firstLine="560"/>
        <w:jc w:val="center"/>
        <w:rPr>
          <w:rFonts w:asciiTheme="minorEastAsia" w:eastAsiaTheme="minorEastAsia" w:hAnsiTheme="minorEastAsia"/>
          <w:b/>
          <w:caps/>
          <w:noProof/>
          <w:color w:val="000000" w:themeColor="text1"/>
          <w:sz w:val="24"/>
          <w:szCs w:val="28"/>
        </w:rPr>
      </w:pPr>
      <w:r w:rsidRPr="00FD5C9F">
        <w:rPr>
          <w:rFonts w:asciiTheme="minorEastAsia" w:eastAsiaTheme="minorEastAsia" w:hAnsiTheme="minorEastAsia"/>
          <w:b/>
          <w:caps/>
          <w:noProof/>
          <w:color w:val="000000" w:themeColor="text1"/>
          <w:sz w:val="24"/>
          <w:szCs w:val="28"/>
        </w:rPr>
        <w:fldChar w:fldCharType="end"/>
      </w:r>
    </w:p>
    <w:p w:rsidR="00AE70B8" w:rsidRPr="00FD5C9F" w:rsidP="004A2685">
      <w:pPr>
        <w:ind w:firstLine="560"/>
        <w:jc w:val="center"/>
        <w:rPr>
          <w:rFonts w:asciiTheme="minorEastAsia" w:eastAsiaTheme="minorEastAsia" w:hAnsiTheme="minorEastAsia"/>
          <w:b/>
          <w:caps/>
          <w:noProof/>
          <w:color w:val="000000" w:themeColor="text1"/>
          <w:sz w:val="24"/>
          <w:szCs w:val="28"/>
        </w:rPr>
        <w:sectPr w:rsidSect="00EF30D3">
          <w:footerReference w:type="default" r:id="rId15"/>
          <w:pgSz w:w="11906" w:h="16838" w:code="9"/>
          <w:pgMar w:top="1440" w:right="1800" w:bottom="1440" w:left="1800" w:header="851" w:footer="992" w:gutter="0"/>
          <w:pgNumType w:fmt="upperRoman" w:start="1"/>
          <w:cols w:space="720"/>
          <w:docGrid w:type="lines" w:linePitch="317"/>
        </w:sectPr>
      </w:pPr>
    </w:p>
    <w:p w:rsidR="00BA4B87" w:rsidRPr="00FD5C9F" w:rsidP="009A5A64">
      <w:pPr>
        <w:pStyle w:val="1"/>
        <w:spacing w:before="317" w:after="317" w:line="320" w:lineRule="exact"/>
        <w:ind w:firstLine="600"/>
        <w:rPr>
          <w:rFonts w:asciiTheme="minorEastAsia" w:eastAsiaTheme="minorEastAsia" w:hAnsiTheme="minorEastAsia"/>
          <w:b w:val="0"/>
          <w:color w:val="000000" w:themeColor="text1"/>
          <w:sz w:val="30"/>
        </w:rPr>
      </w:pPr>
      <w:bookmarkStart w:id="0" w:name="_Toc332373444"/>
      <w:bookmarkStart w:id="1" w:name="_Toc134547839"/>
      <w:r w:rsidRPr="00FD5C9F">
        <w:rPr>
          <w:rFonts w:asciiTheme="minorEastAsia" w:eastAsiaTheme="minorEastAsia" w:hAnsiTheme="minorEastAsia" w:hint="eastAsia"/>
          <w:b w:val="0"/>
          <w:color w:val="000000" w:themeColor="text1"/>
          <w:sz w:val="30"/>
        </w:rPr>
        <w:t>一、</w:t>
      </w:r>
      <w:r w:rsidRPr="00FD5C9F">
        <w:rPr>
          <w:rFonts w:asciiTheme="minorEastAsia" w:eastAsiaTheme="minorEastAsia" w:hAnsiTheme="minorEastAsia" w:hint="eastAsia"/>
          <w:b w:val="0"/>
          <w:color w:val="000000" w:themeColor="text1"/>
        </w:rPr>
        <w:t>绪  言</w:t>
      </w:r>
      <w:bookmarkEnd w:id="0"/>
      <w:bookmarkEnd w:id="1"/>
    </w:p>
    <w:p w:rsidR="00BA4B87" w:rsidRPr="00FD5C9F" w:rsidP="001678FB">
      <w:pPr>
        <w:spacing w:line="360" w:lineRule="auto"/>
        <w:ind w:firstLine="420" w:firstLineChars="200"/>
        <w:rPr>
          <w:rFonts w:asciiTheme="minorEastAsia" w:eastAsiaTheme="minorEastAsia" w:hAnsiTheme="minorEastAsia"/>
          <w:color w:val="000000" w:themeColor="text1"/>
        </w:rPr>
      </w:pPr>
    </w:p>
    <w:p w:rsidR="00BA4B87" w:rsidRPr="00FD5C9F" w:rsidP="001678FB">
      <w:pPr>
        <w:autoSpaceDE w:val="0"/>
        <w:autoSpaceDN w:val="0"/>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本招募说明书依据《中华人民共和国证券投资基金法》</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以下简称《基金法》</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w:t>
      </w:r>
      <w:r w:rsidRPr="00FD5C9F" w:rsidR="00683327">
        <w:rPr>
          <w:rFonts w:asciiTheme="minorEastAsia" w:eastAsiaTheme="minorEastAsia" w:hAnsiTheme="minorEastAsia" w:hint="eastAsia"/>
          <w:color w:val="000000" w:themeColor="text1"/>
        </w:rPr>
        <w:t>公开募集</w:t>
      </w:r>
      <w:r w:rsidRPr="00FD5C9F">
        <w:rPr>
          <w:rFonts w:asciiTheme="minorEastAsia" w:eastAsiaTheme="minorEastAsia" w:hAnsiTheme="minorEastAsia" w:hint="eastAsia"/>
          <w:color w:val="000000" w:themeColor="text1"/>
        </w:rPr>
        <w:t>证券投资基金运作管理办法》</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以下简称《运作办法》</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、《证券投资基金销售管理办法》</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以下简称《销售办法》</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w:t>
      </w:r>
      <w:r w:rsidRPr="00FD5C9F" w:rsidR="001C3816">
        <w:rPr>
          <w:rFonts w:asciiTheme="minorEastAsia" w:eastAsiaTheme="minorEastAsia" w:hAnsiTheme="minorEastAsia" w:hint="eastAsia"/>
          <w:color w:val="000000" w:themeColor="text1"/>
        </w:rPr>
        <w:t>公开募集</w:t>
      </w:r>
      <w:r w:rsidRPr="00FD5C9F">
        <w:rPr>
          <w:rFonts w:asciiTheme="minorEastAsia" w:eastAsiaTheme="minorEastAsia" w:hAnsiTheme="minorEastAsia" w:hint="eastAsia"/>
          <w:color w:val="000000" w:themeColor="text1"/>
        </w:rPr>
        <w:t>证券投资基金信息披露管理办法》</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以下简称《信息披露办法》</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、《证券投资基金信息披露内容与格式准则第5号&lt;招募说明书的内容与格式&gt;》、</w:t>
      </w:r>
      <w:r w:rsidRPr="00FD5C9F" w:rsidR="000C7C75">
        <w:rPr>
          <w:rFonts w:asciiTheme="minorEastAsia" w:eastAsiaTheme="minorEastAsia" w:hAnsiTheme="minorEastAsia" w:hint="eastAsia"/>
          <w:color w:val="000000" w:themeColor="text1"/>
        </w:rPr>
        <w:t>《公开募集开放式证券投资基金流动性风险管理规定》（以下简称《管理规定》）、</w:t>
      </w:r>
      <w:r w:rsidRPr="00FD5C9F">
        <w:rPr>
          <w:rFonts w:asciiTheme="minorEastAsia" w:eastAsiaTheme="minorEastAsia" w:hAnsiTheme="minorEastAsia" w:hint="eastAsia"/>
          <w:color w:val="000000" w:themeColor="text1"/>
        </w:rPr>
        <w:t>《</w:t>
      </w:r>
      <w:r w:rsidRPr="00FD5C9F" w:rsidR="00E3093C">
        <w:rPr>
          <w:rFonts w:asciiTheme="minorEastAsia" w:eastAsiaTheme="minorEastAsia" w:hAnsiTheme="minorEastAsia" w:hint="eastAsia"/>
          <w:color w:val="000000" w:themeColor="text1"/>
        </w:rPr>
        <w:t>易方达创新成长混合型证券投资基金</w:t>
      </w:r>
      <w:r w:rsidRPr="00FD5C9F">
        <w:rPr>
          <w:rFonts w:asciiTheme="minorEastAsia" w:eastAsiaTheme="minorEastAsia" w:hAnsiTheme="minorEastAsia" w:hint="eastAsia"/>
          <w:color w:val="000000" w:themeColor="text1"/>
        </w:rPr>
        <w:t>基金合同》</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以下简称基金合同</w:t>
      </w:r>
      <w:r w:rsidRPr="00FD5C9F" w:rsidR="002E1C38">
        <w:rPr>
          <w:rFonts w:asciiTheme="minorEastAsia" w:eastAsiaTheme="minorEastAsia" w:hAnsiTheme="minorEastAsia" w:hint="eastAsia"/>
          <w:color w:val="000000" w:themeColor="text1"/>
        </w:rPr>
        <w:t>）</w:t>
      </w:r>
      <w:r w:rsidRPr="00FD5C9F">
        <w:rPr>
          <w:rFonts w:asciiTheme="minorEastAsia" w:eastAsiaTheme="minorEastAsia" w:hAnsiTheme="minorEastAsia" w:hint="eastAsia"/>
          <w:color w:val="000000" w:themeColor="text1"/>
        </w:rPr>
        <w:t>及其它有关规定等编写。</w:t>
      </w:r>
    </w:p>
    <w:p w:rsidR="00BA4B87" w:rsidRPr="00FD5C9F" w:rsidP="001678FB">
      <w:pPr>
        <w:spacing w:line="360" w:lineRule="auto"/>
        <w:ind w:firstLine="420" w:firstLineChars="200"/>
        <w:rPr>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FD5C9F" w:rsidP="001678F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本招募说明书根据本基金的基金合同编写，并经中国证监会</w:t>
      </w:r>
      <w:r w:rsidRPr="00FD5C9F" w:rsidR="006F3D9F">
        <w:rPr>
          <w:rStyle w:val="da"/>
          <w:rFonts w:asciiTheme="minorEastAsia" w:eastAsiaTheme="minorEastAsia" w:hAnsiTheme="minorEastAsia" w:hint="eastAsia"/>
          <w:color w:val="000000" w:themeColor="text1"/>
        </w:rPr>
        <w:t>注册</w:t>
      </w:r>
      <w:r w:rsidRPr="00FD5C9F">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BA4B87">
      <w:pPr>
        <w:spacing w:line="320" w:lineRule="exact"/>
        <w:ind w:firstLine="482"/>
        <w:rPr>
          <w:rFonts w:asciiTheme="minorEastAsia" w:eastAsiaTheme="minorEastAsia" w:hAnsiTheme="minorEastAsia"/>
          <w:color w:val="000000" w:themeColor="text1"/>
        </w:rPr>
      </w:pPr>
    </w:p>
    <w:p w:rsidR="00BA4B87" w:rsidRPr="00FD5C9F" w:rsidP="009A5A64">
      <w:pPr>
        <w:pStyle w:val="111"/>
        <w:pageBreakBefore w:val="0"/>
        <w:spacing w:before="317" w:after="317" w:line="320" w:lineRule="exact"/>
        <w:ind w:firstLine="600"/>
        <w:rPr>
          <w:rFonts w:asciiTheme="minorEastAsia" w:eastAsiaTheme="minorEastAsia" w:hAnsiTheme="minorEastAsia"/>
          <w:color w:val="000000" w:themeColor="text1"/>
          <w:sz w:val="30"/>
        </w:rPr>
      </w:pPr>
      <w:bookmarkStart w:id="2" w:name="_Toc332373445"/>
      <w:bookmarkStart w:id="3" w:name="_Toc134547840"/>
      <w:r w:rsidRPr="00FD5C9F">
        <w:rPr>
          <w:rFonts w:asciiTheme="minorEastAsia" w:eastAsiaTheme="minorEastAsia" w:hAnsiTheme="minorEastAsia" w:hint="eastAsia"/>
          <w:color w:val="000000" w:themeColor="text1"/>
          <w:sz w:val="30"/>
        </w:rPr>
        <w:t>二、释  义</w:t>
      </w:r>
      <w:bookmarkEnd w:id="2"/>
      <w:bookmarkEnd w:id="3"/>
    </w:p>
    <w:p w:rsidR="00BA4B87" w:rsidRPr="00FD5C9F" w:rsidP="00266EA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本招募说明书中除非文意另有所指，下列词语</w:t>
      </w:r>
      <w:r w:rsidRPr="00FD5C9F" w:rsidR="00153874">
        <w:rPr>
          <w:rStyle w:val="da"/>
          <w:rFonts w:asciiTheme="minorEastAsia" w:eastAsiaTheme="minorEastAsia" w:hAnsiTheme="minorEastAsia" w:hint="eastAsia"/>
          <w:color w:val="000000" w:themeColor="text1"/>
        </w:rPr>
        <w:t>或</w:t>
      </w:r>
      <w:r w:rsidRPr="00FD5C9F" w:rsidR="00153874">
        <w:rPr>
          <w:rStyle w:val="da"/>
          <w:rFonts w:asciiTheme="minorEastAsia" w:eastAsiaTheme="minorEastAsia" w:hAnsiTheme="minorEastAsia"/>
          <w:color w:val="000000" w:themeColor="text1"/>
        </w:rPr>
        <w:t>简称</w:t>
      </w:r>
      <w:r w:rsidRPr="00FD5C9F" w:rsidR="00E2681E">
        <w:rPr>
          <w:rStyle w:val="da"/>
          <w:rFonts w:asciiTheme="minorEastAsia" w:eastAsiaTheme="minorEastAsia" w:hAnsiTheme="minorEastAsia" w:hint="eastAsia"/>
          <w:color w:val="000000" w:themeColor="text1"/>
        </w:rPr>
        <w:t>具</w:t>
      </w:r>
      <w:r w:rsidRPr="00FD5C9F">
        <w:rPr>
          <w:rStyle w:val="da"/>
          <w:rFonts w:asciiTheme="minorEastAsia" w:eastAsiaTheme="minorEastAsia" w:hAnsiTheme="minorEastAsia" w:hint="eastAsia"/>
          <w:color w:val="000000" w:themeColor="text1"/>
        </w:rPr>
        <w:t>有如下含义：</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、基金或本基金：</w:t>
      </w:r>
      <w:r w:rsidRPr="00FD5C9F">
        <w:rPr>
          <w:rStyle w:val="da"/>
          <w:rFonts w:asciiTheme="minorEastAsia" w:eastAsiaTheme="minorEastAsia" w:hAnsiTheme="minorEastAsia"/>
          <w:color w:val="000000" w:themeColor="text1"/>
        </w:rPr>
        <w:t>指</w:t>
      </w:r>
      <w:r w:rsidRPr="00FD5C9F" w:rsidR="00E3093C">
        <w:rPr>
          <w:rStyle w:val="da"/>
          <w:rFonts w:asciiTheme="minorEastAsia" w:eastAsiaTheme="minorEastAsia" w:hAnsiTheme="minorEastAsia" w:hint="eastAsia"/>
          <w:color w:val="000000" w:themeColor="text1"/>
        </w:rPr>
        <w:t>易方达创新成长混合型证券投资基金</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、基金管理人：</w:t>
      </w:r>
      <w:r w:rsidRPr="00FD5C9F">
        <w:rPr>
          <w:rStyle w:val="da"/>
          <w:rFonts w:asciiTheme="minorEastAsia" w:eastAsiaTheme="minorEastAsia" w:hAnsiTheme="minorEastAsia"/>
          <w:color w:val="000000" w:themeColor="text1"/>
        </w:rPr>
        <w:t>指</w:t>
      </w:r>
      <w:r w:rsidRPr="00FD5C9F">
        <w:rPr>
          <w:rStyle w:val="da"/>
          <w:rFonts w:asciiTheme="minorEastAsia" w:eastAsiaTheme="minorEastAsia" w:hAnsiTheme="minorEastAsia" w:hint="eastAsia"/>
          <w:color w:val="000000" w:themeColor="text1"/>
        </w:rPr>
        <w:t>易方达基金管理有限公司</w:t>
      </w:r>
      <w:r w:rsidRPr="00FD5C9F">
        <w:rPr>
          <w:rStyle w:val="da"/>
          <w:rFonts w:asciiTheme="minorEastAsia" w:eastAsiaTheme="minorEastAsia" w:hAnsiTheme="minorEastAsia"/>
          <w:color w:val="000000" w:themeColor="text1"/>
        </w:rPr>
        <w:t xml:space="preserve">          </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、基金托管人：</w:t>
      </w:r>
      <w:r w:rsidRPr="00FD5C9F">
        <w:rPr>
          <w:rStyle w:val="da"/>
          <w:rFonts w:asciiTheme="minorEastAsia" w:eastAsiaTheme="minorEastAsia" w:hAnsiTheme="minorEastAsia"/>
          <w:color w:val="000000" w:themeColor="text1"/>
        </w:rPr>
        <w:t>指</w:t>
      </w:r>
      <w:r w:rsidRPr="00FD5C9F">
        <w:rPr>
          <w:rStyle w:val="da"/>
          <w:rFonts w:asciiTheme="minorEastAsia" w:eastAsiaTheme="minorEastAsia" w:hAnsiTheme="minorEastAsia" w:hint="eastAsia"/>
          <w:color w:val="000000" w:themeColor="text1"/>
        </w:rPr>
        <w:t>招商银行股份有限公司</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4、基金合同：指《</w:t>
      </w:r>
      <w:r w:rsidRPr="00FD5C9F" w:rsidR="00E3093C">
        <w:rPr>
          <w:rStyle w:val="da"/>
          <w:rFonts w:asciiTheme="minorEastAsia" w:eastAsiaTheme="minorEastAsia" w:hAnsiTheme="minorEastAsia" w:hint="eastAsia"/>
          <w:color w:val="000000" w:themeColor="text1"/>
        </w:rPr>
        <w:t>易方达创新成长混合型证券投资基金</w:t>
      </w:r>
      <w:r w:rsidRPr="00FD5C9F">
        <w:rPr>
          <w:rStyle w:val="da"/>
          <w:rFonts w:asciiTheme="minorEastAsia" w:eastAsiaTheme="minorEastAsia" w:hAnsiTheme="minorEastAsia"/>
          <w:color w:val="000000" w:themeColor="text1"/>
        </w:rPr>
        <w:t>基金合同</w:t>
      </w:r>
      <w:r w:rsidRPr="00FD5C9F">
        <w:rPr>
          <w:rStyle w:val="da"/>
          <w:rFonts w:asciiTheme="minorEastAsia" w:eastAsiaTheme="minorEastAsia" w:hAnsiTheme="minorEastAsia" w:hint="eastAsia"/>
          <w:color w:val="000000" w:themeColor="text1"/>
        </w:rPr>
        <w:t>》及对</w:t>
      </w:r>
      <w:r w:rsidRPr="00FD5C9F" w:rsidR="00C84047">
        <w:rPr>
          <w:rStyle w:val="da"/>
          <w:rFonts w:asciiTheme="minorEastAsia" w:eastAsiaTheme="minorEastAsia" w:hAnsiTheme="minorEastAsia" w:hint="eastAsia"/>
          <w:color w:val="000000" w:themeColor="text1"/>
        </w:rPr>
        <w:t>基金合同</w:t>
      </w:r>
      <w:r w:rsidRPr="00FD5C9F">
        <w:rPr>
          <w:rStyle w:val="da"/>
          <w:rFonts w:asciiTheme="minorEastAsia" w:eastAsiaTheme="minorEastAsia" w:hAnsiTheme="minorEastAsia" w:hint="eastAsia"/>
          <w:color w:val="000000" w:themeColor="text1"/>
        </w:rPr>
        <w:t>的任何有效修订和补充</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5、托管协议：指基金管理人与基金托管人就本基金签订之《</w:t>
      </w:r>
      <w:r w:rsidRPr="00FD5C9F" w:rsidR="00E3093C">
        <w:rPr>
          <w:rStyle w:val="da"/>
          <w:rFonts w:asciiTheme="minorEastAsia" w:eastAsiaTheme="minorEastAsia" w:hAnsiTheme="minorEastAsia" w:hint="eastAsia"/>
          <w:color w:val="000000" w:themeColor="text1"/>
        </w:rPr>
        <w:t>易方达创新成长混合型证券投资基金</w:t>
      </w:r>
      <w:r w:rsidRPr="00FD5C9F">
        <w:rPr>
          <w:rStyle w:val="da"/>
          <w:rFonts w:asciiTheme="minorEastAsia" w:eastAsiaTheme="minorEastAsia" w:hAnsiTheme="minorEastAsia"/>
          <w:color w:val="000000" w:themeColor="text1"/>
        </w:rPr>
        <w:t>托管协议</w:t>
      </w:r>
      <w:r w:rsidRPr="00FD5C9F">
        <w:rPr>
          <w:rStyle w:val="da"/>
          <w:rFonts w:asciiTheme="minorEastAsia" w:eastAsiaTheme="minorEastAsia" w:hAnsiTheme="minorEastAsia" w:hint="eastAsia"/>
          <w:color w:val="000000" w:themeColor="text1"/>
        </w:rPr>
        <w:t>》及对该托管协议的任何有效修订和补充</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6、招募说明书：指《</w:t>
      </w:r>
      <w:r w:rsidRPr="00FD5C9F" w:rsidR="00E3093C">
        <w:rPr>
          <w:rStyle w:val="da"/>
          <w:rFonts w:asciiTheme="minorEastAsia" w:eastAsiaTheme="minorEastAsia" w:hAnsiTheme="minorEastAsia" w:hint="eastAsia"/>
          <w:color w:val="000000" w:themeColor="text1"/>
        </w:rPr>
        <w:t>易方达创新成长混合型证券投资基金</w:t>
      </w:r>
      <w:r w:rsidRPr="00FD5C9F">
        <w:rPr>
          <w:rStyle w:val="da"/>
          <w:rFonts w:asciiTheme="minorEastAsia" w:eastAsiaTheme="minorEastAsia" w:hAnsiTheme="minorEastAsia"/>
          <w:color w:val="000000" w:themeColor="text1"/>
        </w:rPr>
        <w:t>招募说明书</w:t>
      </w:r>
      <w:r w:rsidRPr="00FD5C9F">
        <w:rPr>
          <w:rStyle w:val="da"/>
          <w:rFonts w:asciiTheme="minorEastAsia" w:eastAsiaTheme="minorEastAsia" w:hAnsiTheme="minorEastAsia" w:hint="eastAsia"/>
          <w:color w:val="000000" w:themeColor="text1"/>
        </w:rPr>
        <w:t>》及其更新</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7、基金产品资料概要：指《</w:t>
      </w:r>
      <w:r w:rsidRPr="00FD5C9F" w:rsidR="00E3093C">
        <w:rPr>
          <w:rStyle w:val="da"/>
          <w:rFonts w:asciiTheme="minorEastAsia" w:eastAsiaTheme="minorEastAsia" w:hAnsiTheme="minorEastAsia" w:hint="eastAsia"/>
          <w:color w:val="000000" w:themeColor="text1"/>
        </w:rPr>
        <w:t>易方达创新成长混合型证券投资基金</w:t>
      </w:r>
      <w:r w:rsidRPr="00FD5C9F">
        <w:rPr>
          <w:rStyle w:val="da"/>
          <w:rFonts w:asciiTheme="minorEastAsia" w:eastAsiaTheme="minorEastAsia" w:hAnsiTheme="minorEastAsia" w:hint="eastAsia"/>
          <w:color w:val="000000" w:themeColor="text1"/>
        </w:rPr>
        <w:t>基金产品资料概要》及其更新</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8、基金份额发售公告：指《</w:t>
      </w:r>
      <w:r w:rsidRPr="00FD5C9F" w:rsidR="00E3093C">
        <w:rPr>
          <w:rStyle w:val="da"/>
          <w:rFonts w:asciiTheme="minorEastAsia" w:eastAsiaTheme="minorEastAsia" w:hAnsiTheme="minorEastAsia" w:hint="eastAsia"/>
          <w:color w:val="000000" w:themeColor="text1"/>
        </w:rPr>
        <w:t>易方达创新成长混合型证券投资基金</w:t>
      </w:r>
      <w:r w:rsidRPr="00FD5C9F">
        <w:rPr>
          <w:rStyle w:val="da"/>
          <w:rFonts w:asciiTheme="minorEastAsia" w:eastAsiaTheme="minorEastAsia" w:hAnsiTheme="minorEastAsia"/>
          <w:color w:val="000000" w:themeColor="text1"/>
        </w:rPr>
        <w:t>基金份额发售公告</w:t>
      </w:r>
      <w:r w:rsidRPr="00FD5C9F">
        <w:rPr>
          <w:rStyle w:val="da"/>
          <w:rFonts w:asciiTheme="minorEastAsia" w:eastAsiaTheme="minorEastAsia" w:hAnsiTheme="minorEastAsia" w:hint="eastAsia"/>
          <w:color w:val="000000" w:themeColor="text1"/>
        </w:rPr>
        <w:t>》</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9、法律法规：指中国现行有效并公布实施的法律、行政法规、规范性文件、司法解释、行政规章以及其他对基金合同当事人有约束力的决定、决议、通知等</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1、《销售办法》：指中国证监会2013年3月15日颁布、同年6月1日实施的《证券投资基金销售管理办法》及颁布机关对其不时做出的修订</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2、《信息披露办法》：指中国证监会2019年7月26日颁布、同年9月1日实施的《公开募集证券投资基金信息披露管理办法》及颁布机关对其不时做出的修订</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3、《运作办法》：指中国证监会2014年7月7日颁布、同年8月8日实施的《公开募集证券投资基金运作管理办法》及颁布机关对其不时做出的修订</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4、《流动性风险管理规定》：指中国证监会2017年8月31日颁布、同年10月1日实施的《公开募集开放式证券投资基金流动性风险管理规定》及颁布机关对其不时做出的修订</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15、中国证监会：指中国证券监督管理委员会</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6、银行业监督管理机构：指中国人民银行和</w:t>
      </w: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或中国银行保险监督管理委员会</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17、基金合同当事人：指受基金合同约束，根据基金合同享有权利并承担义务的法律主体，包括基金管理人、基金托管人和基金份额持有人</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18、个人投资者：指依据有关法律法规规定可投资于证券投资基金的自然人</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19、机构投资者：指依法可以投资证券投资基金的、在中华人民共和国境内合法登记并存续或经有关政府部门批准设立并存续的企业法人、事业法人、社会团体或其他组织</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0、合格境外机构投资者：指符合相关法律法规规定可以投资于在中国境内依法募集的证券投资基金的中国境外的机构投资者</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21、人民币合格境外机构投资者：指按照相关法律法规规定，运用来自境外的人民币资金进行境内证券投资的境外法人</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22、投资人、</w:t>
      </w:r>
      <w:r w:rsidRPr="00FD5C9F">
        <w:rPr>
          <w:rStyle w:val="da"/>
          <w:rFonts w:asciiTheme="minorEastAsia" w:eastAsiaTheme="minorEastAsia" w:hAnsiTheme="minorEastAsia"/>
          <w:color w:val="000000" w:themeColor="text1"/>
        </w:rPr>
        <w:t>投资者</w:t>
      </w:r>
      <w:r w:rsidRPr="00FD5C9F">
        <w:rPr>
          <w:rStyle w:val="da"/>
          <w:rFonts w:asciiTheme="minorEastAsia" w:eastAsiaTheme="minorEastAsia" w:hAnsiTheme="minorEastAsia" w:hint="eastAsia"/>
          <w:color w:val="000000" w:themeColor="text1"/>
        </w:rPr>
        <w:t>：指个人投资者、机构投资者、合格境外机构投资者和人民币合格境外机构投资者以及法律法规或中国证监会允许购买证券投资基金的其他投资人的合称</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23、基金份额持有人：指依基金合同和招募说明书合法取得基金份额的投资人</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4、基金销售业务：指基金管理人或销售机构宣传推介基金，发售基金份额，办理基金份额的申购、赎回、转换、转托管及定期定额投资等业务</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5、销售机构：指易方达基金管理有限公司以及符合《销售办法》和中国证监会规定的其他条件，取得基金销售业务资格并与基金管理人签订了基金销售服务协议，办理基金销售业务的机构</w:t>
      </w:r>
    </w:p>
    <w:p w:rsidR="009B3DF0" w:rsidRPr="00FD5C9F" w:rsidP="009B3DF0">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w:t>
      </w:r>
      <w:r w:rsidRPr="00FD5C9F">
        <w:rPr>
          <w:rStyle w:val="da"/>
          <w:rFonts w:asciiTheme="minorEastAsia" w:eastAsiaTheme="minorEastAsia" w:hAnsiTheme="minorEastAsia"/>
          <w:color w:val="000000" w:themeColor="text1"/>
        </w:rPr>
        <w:t>6</w:t>
      </w:r>
      <w:r w:rsidRPr="00FD5C9F">
        <w:rPr>
          <w:rStyle w:val="da"/>
          <w:rFonts w:asciiTheme="minorEastAsia" w:eastAsiaTheme="minorEastAsia" w:hAnsiTheme="minorEastAsia" w:hint="eastAsia"/>
          <w:color w:val="000000" w:themeColor="text1"/>
        </w:rPr>
        <w:t>、直销机构：指易方达基金管理有限公司</w:t>
      </w:r>
    </w:p>
    <w:p w:rsidR="009B3DF0" w:rsidRPr="00FD5C9F" w:rsidP="009B3DF0">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w:t>
      </w:r>
      <w:r w:rsidRPr="00FD5C9F">
        <w:rPr>
          <w:rStyle w:val="da"/>
          <w:rFonts w:asciiTheme="minorEastAsia" w:eastAsiaTheme="minorEastAsia" w:hAnsiTheme="minorEastAsia"/>
          <w:color w:val="000000" w:themeColor="text1"/>
        </w:rPr>
        <w:t>7</w:t>
      </w:r>
      <w:r w:rsidRPr="00FD5C9F">
        <w:rPr>
          <w:rStyle w:val="da"/>
          <w:rFonts w:asciiTheme="minorEastAsia" w:eastAsiaTheme="minorEastAsia" w:hAnsiTheme="minorEastAsia" w:hint="eastAsia"/>
          <w:color w:val="000000" w:themeColor="text1"/>
        </w:rPr>
        <w:t>、非直销销售机构：指符合《销售办法》和中国证监会规定的其他条件，取得基金销售业务资格并与基金管理人签订了基金销售服务协议，办理基金销售业务的机构</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w:t>
      </w:r>
      <w:r w:rsidRPr="00FD5C9F" w:rsidR="003F18F8">
        <w:rPr>
          <w:rStyle w:val="da"/>
          <w:rFonts w:asciiTheme="minorEastAsia" w:eastAsiaTheme="minorEastAsia" w:hAnsiTheme="minorEastAsia" w:hint="eastAsia"/>
          <w:color w:val="000000" w:themeColor="text1"/>
        </w:rPr>
        <w:t>9</w:t>
      </w:r>
      <w:r w:rsidRPr="00FD5C9F">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30</w:t>
      </w:r>
      <w:r w:rsidRPr="00FD5C9F">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31、基金交易账户：指销售机构为投资人开立的、记录投资人通过该销售机构办理认购、申购、赎回、转换、转托管及定期定额投资等业务而引起的基金份额变动及结余情况的账户</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3</w:t>
      </w:r>
      <w:r w:rsidRPr="00FD5C9F" w:rsidR="003F18F8">
        <w:rPr>
          <w:rStyle w:val="da"/>
          <w:rFonts w:asciiTheme="minorEastAsia" w:eastAsiaTheme="minorEastAsia" w:hAnsiTheme="minorEastAsia" w:hint="eastAsia"/>
          <w:color w:val="000000" w:themeColor="text1"/>
        </w:rPr>
        <w:t>2</w:t>
      </w:r>
      <w:r w:rsidRPr="00FD5C9F">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3</w:t>
      </w:r>
      <w:r w:rsidRPr="00FD5C9F" w:rsidR="003F18F8">
        <w:rPr>
          <w:rStyle w:val="da"/>
          <w:rFonts w:asciiTheme="minorEastAsia" w:eastAsiaTheme="minorEastAsia" w:hAnsiTheme="minorEastAsia" w:hint="eastAsia"/>
          <w:color w:val="000000" w:themeColor="text1"/>
        </w:rPr>
        <w:t>3</w:t>
      </w:r>
      <w:r w:rsidRPr="00FD5C9F">
        <w:rPr>
          <w:rStyle w:val="da"/>
          <w:rFonts w:asciiTheme="minorEastAsia" w:eastAsiaTheme="minorEastAsia" w:hAnsiTheme="minorEastAsia" w:hint="eastAsia"/>
          <w:color w:val="000000" w:themeColor="text1"/>
        </w:rPr>
        <w:t>、基金合同终止日：指基金合同规定的基金合同终止事由出现后，基金财产清算完毕，清算结果报中国证监会备案并予以公告的日期</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w:t>
      </w:r>
      <w:r w:rsidRPr="00FD5C9F" w:rsidR="003F18F8">
        <w:rPr>
          <w:rStyle w:val="da"/>
          <w:rFonts w:asciiTheme="minorEastAsia" w:eastAsiaTheme="minorEastAsia" w:hAnsiTheme="minorEastAsia" w:hint="eastAsia"/>
          <w:color w:val="000000" w:themeColor="text1"/>
        </w:rPr>
        <w:t>4</w:t>
      </w:r>
      <w:r w:rsidRPr="00FD5C9F">
        <w:rPr>
          <w:rStyle w:val="da"/>
          <w:rFonts w:asciiTheme="minorEastAsia" w:eastAsiaTheme="minorEastAsia" w:hAnsiTheme="minorEastAsia" w:hint="eastAsia"/>
          <w:color w:val="000000" w:themeColor="text1"/>
        </w:rPr>
        <w:t>、基金募集期：指自基金份额发售之日起至发售结束之日止的期间，最长不得超过</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个月</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w:t>
      </w:r>
      <w:r w:rsidRPr="00FD5C9F" w:rsidR="003F18F8">
        <w:rPr>
          <w:rStyle w:val="da"/>
          <w:rFonts w:asciiTheme="minorEastAsia" w:eastAsiaTheme="minorEastAsia" w:hAnsiTheme="minorEastAsia" w:hint="eastAsia"/>
          <w:color w:val="000000" w:themeColor="text1"/>
        </w:rPr>
        <w:t>5</w:t>
      </w:r>
      <w:r w:rsidRPr="00FD5C9F">
        <w:rPr>
          <w:rStyle w:val="da"/>
          <w:rFonts w:asciiTheme="minorEastAsia" w:eastAsiaTheme="minorEastAsia" w:hAnsiTheme="minorEastAsia" w:hint="eastAsia"/>
          <w:color w:val="000000" w:themeColor="text1"/>
        </w:rPr>
        <w:t>、存续期：指基金合同生效日至终止日之间的不定期期限</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w:t>
      </w:r>
      <w:r w:rsidRPr="00FD5C9F" w:rsidR="003F18F8">
        <w:rPr>
          <w:rStyle w:val="da"/>
          <w:rFonts w:asciiTheme="minorEastAsia" w:eastAsiaTheme="minorEastAsia" w:hAnsiTheme="minorEastAsia" w:hint="eastAsia"/>
          <w:color w:val="000000" w:themeColor="text1"/>
        </w:rPr>
        <w:t>6</w:t>
      </w:r>
      <w:r w:rsidRPr="00FD5C9F">
        <w:rPr>
          <w:rStyle w:val="da"/>
          <w:rFonts w:asciiTheme="minorEastAsia" w:eastAsiaTheme="minorEastAsia" w:hAnsiTheme="minorEastAsia" w:hint="eastAsia"/>
          <w:color w:val="000000" w:themeColor="text1"/>
        </w:rPr>
        <w:t>、工作日：指上海证券交易所、深圳证券交易所的交易日</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w:t>
      </w:r>
      <w:r w:rsidRPr="00FD5C9F" w:rsidR="003F18F8">
        <w:rPr>
          <w:rStyle w:val="da"/>
          <w:rFonts w:asciiTheme="minorEastAsia" w:eastAsiaTheme="minorEastAsia" w:hAnsiTheme="minorEastAsia" w:hint="eastAsia"/>
          <w:color w:val="000000" w:themeColor="text1"/>
        </w:rPr>
        <w:t>7</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T</w:t>
      </w:r>
      <w:r w:rsidRPr="00FD5C9F">
        <w:rPr>
          <w:rStyle w:val="da"/>
          <w:rFonts w:asciiTheme="minorEastAsia" w:eastAsiaTheme="minorEastAsia" w:hAnsiTheme="minorEastAsia" w:hint="eastAsia"/>
          <w:color w:val="000000" w:themeColor="text1"/>
        </w:rPr>
        <w:t>日：指销售机构在规定时间受理投资人申购、赎回或其他业务申请的开放日</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w:t>
      </w:r>
      <w:r w:rsidRPr="00FD5C9F" w:rsidR="003F18F8">
        <w:rPr>
          <w:rStyle w:val="da"/>
          <w:rFonts w:asciiTheme="minorEastAsia" w:eastAsiaTheme="minorEastAsia" w:hAnsiTheme="minorEastAsia" w:hint="eastAsia"/>
          <w:color w:val="000000" w:themeColor="text1"/>
        </w:rPr>
        <w:t>8</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T+n</w:t>
      </w:r>
      <w:r w:rsidRPr="00FD5C9F">
        <w:rPr>
          <w:rStyle w:val="da"/>
          <w:rFonts w:asciiTheme="minorEastAsia" w:eastAsiaTheme="minorEastAsia" w:hAnsiTheme="minorEastAsia" w:hint="eastAsia"/>
          <w:color w:val="000000" w:themeColor="text1"/>
        </w:rPr>
        <w:t>日：指自</w:t>
      </w:r>
      <w:r w:rsidRPr="00FD5C9F">
        <w:rPr>
          <w:rStyle w:val="da"/>
          <w:rFonts w:asciiTheme="minorEastAsia" w:eastAsiaTheme="minorEastAsia" w:hAnsiTheme="minorEastAsia"/>
          <w:color w:val="000000" w:themeColor="text1"/>
        </w:rPr>
        <w:t>T</w:t>
      </w:r>
      <w:r w:rsidRPr="00FD5C9F">
        <w:rPr>
          <w:rStyle w:val="da"/>
          <w:rFonts w:asciiTheme="minorEastAsia" w:eastAsiaTheme="minorEastAsia" w:hAnsiTheme="minorEastAsia" w:hint="eastAsia"/>
          <w:color w:val="000000" w:themeColor="text1"/>
        </w:rPr>
        <w:t>日起第</w:t>
      </w:r>
      <w:r w:rsidRPr="00FD5C9F">
        <w:rPr>
          <w:rStyle w:val="da"/>
          <w:rFonts w:asciiTheme="minorEastAsia" w:eastAsiaTheme="minorEastAsia" w:hAnsiTheme="minorEastAsia"/>
          <w:color w:val="000000" w:themeColor="text1"/>
        </w:rPr>
        <w:t>n</w:t>
      </w:r>
      <w:r w:rsidRPr="00FD5C9F">
        <w:rPr>
          <w:rStyle w:val="da"/>
          <w:rFonts w:asciiTheme="minorEastAsia" w:eastAsiaTheme="minorEastAsia" w:hAnsiTheme="minorEastAsia" w:hint="eastAsia"/>
          <w:color w:val="000000" w:themeColor="text1"/>
        </w:rPr>
        <w:t>个工作日（不包含</w:t>
      </w:r>
      <w:r w:rsidRPr="00FD5C9F">
        <w:rPr>
          <w:rStyle w:val="da"/>
          <w:rFonts w:asciiTheme="minorEastAsia" w:eastAsiaTheme="minorEastAsia" w:hAnsiTheme="minorEastAsia"/>
          <w:color w:val="000000" w:themeColor="text1"/>
        </w:rPr>
        <w:t>T</w:t>
      </w:r>
      <w:r w:rsidRPr="00FD5C9F">
        <w:rPr>
          <w:rStyle w:val="da"/>
          <w:rFonts w:asciiTheme="minorEastAsia" w:eastAsiaTheme="minorEastAsia" w:hAnsiTheme="minorEastAsia" w:hint="eastAsia"/>
          <w:color w:val="000000" w:themeColor="text1"/>
        </w:rPr>
        <w:t>日），</w:t>
      </w:r>
      <w:r w:rsidRPr="00FD5C9F">
        <w:rPr>
          <w:rStyle w:val="da"/>
          <w:rFonts w:asciiTheme="minorEastAsia" w:eastAsiaTheme="minorEastAsia" w:hAnsiTheme="minorEastAsia"/>
          <w:color w:val="000000" w:themeColor="text1"/>
        </w:rPr>
        <w:t>n</w:t>
      </w:r>
      <w:r w:rsidRPr="00FD5C9F">
        <w:rPr>
          <w:rStyle w:val="da"/>
          <w:rFonts w:asciiTheme="minorEastAsia" w:eastAsiaTheme="minorEastAsia" w:hAnsiTheme="minorEastAsia" w:hint="eastAsia"/>
          <w:color w:val="000000" w:themeColor="text1"/>
        </w:rPr>
        <w:t>为自然数</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w:t>
      </w:r>
      <w:r w:rsidRPr="00FD5C9F" w:rsidR="003F18F8">
        <w:rPr>
          <w:rStyle w:val="da"/>
          <w:rFonts w:asciiTheme="minorEastAsia" w:eastAsiaTheme="minorEastAsia" w:hAnsiTheme="minorEastAsia" w:hint="eastAsia"/>
          <w:color w:val="000000" w:themeColor="text1"/>
        </w:rPr>
        <w:t>9</w:t>
      </w:r>
      <w:r w:rsidRPr="00FD5C9F">
        <w:rPr>
          <w:rStyle w:val="da"/>
          <w:rFonts w:asciiTheme="minorEastAsia" w:eastAsiaTheme="minorEastAsia" w:hAnsiTheme="minorEastAsia" w:hint="eastAsia"/>
          <w:color w:val="000000" w:themeColor="text1"/>
        </w:rPr>
        <w:t>、开放日：指为投资人办理基金份额申购、赎回或其他业务的工作日，若该工作日非港股通交易日，则本基金不开放</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40、开放时间：指开放日基金接受申购、赎回或其他交易的时间段</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41</w:t>
      </w:r>
      <w:r w:rsidRPr="00FD5C9F">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4</w:t>
      </w:r>
      <w:r w:rsidRPr="00FD5C9F" w:rsidR="003F18F8">
        <w:rPr>
          <w:rStyle w:val="da"/>
          <w:rFonts w:asciiTheme="minorEastAsia" w:eastAsiaTheme="minorEastAsia" w:hAnsiTheme="minorEastAsia" w:hint="eastAsia"/>
          <w:color w:val="000000" w:themeColor="text1"/>
        </w:rPr>
        <w:t>2</w:t>
      </w:r>
      <w:r w:rsidRPr="00FD5C9F">
        <w:rPr>
          <w:rStyle w:val="da"/>
          <w:rFonts w:asciiTheme="minorEastAsia" w:eastAsiaTheme="minorEastAsia" w:hAnsiTheme="minorEastAsia" w:hint="eastAsia"/>
          <w:color w:val="000000" w:themeColor="text1"/>
        </w:rPr>
        <w:t>、认购：指在基金募集期内，投资人根据基金合同和招募说明书的规定申请购买基金份额的行为</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4</w:t>
      </w:r>
      <w:r w:rsidRPr="00FD5C9F" w:rsidR="003F18F8">
        <w:rPr>
          <w:rStyle w:val="da"/>
          <w:rFonts w:asciiTheme="minorEastAsia" w:eastAsiaTheme="minorEastAsia" w:hAnsiTheme="minorEastAsia" w:hint="eastAsia"/>
          <w:color w:val="000000" w:themeColor="text1"/>
        </w:rPr>
        <w:t>3</w:t>
      </w:r>
      <w:r w:rsidRPr="00FD5C9F">
        <w:rPr>
          <w:rStyle w:val="da"/>
          <w:rFonts w:asciiTheme="minorEastAsia" w:eastAsiaTheme="minorEastAsia" w:hAnsiTheme="minorEastAsia" w:hint="eastAsia"/>
          <w:color w:val="000000" w:themeColor="text1"/>
        </w:rPr>
        <w:t>、申购：指基金合同生效后，投资人根据基金合同和招募说明书的规定申请购买基金份额的行为</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44、赎回：指基金合同生效后，基金份额持有人按基金合同和招募说明书规定的条件要求将基金份额兑换为现金的行为</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w:t>
      </w:r>
      <w:r w:rsidRPr="00FD5C9F" w:rsidR="003F18F8">
        <w:rPr>
          <w:rStyle w:val="da"/>
          <w:rFonts w:asciiTheme="minorEastAsia" w:eastAsiaTheme="minorEastAsia" w:hAnsiTheme="minorEastAsia" w:hint="eastAsia"/>
          <w:color w:val="000000" w:themeColor="text1"/>
        </w:rPr>
        <w:t>5</w:t>
      </w:r>
      <w:r w:rsidRPr="00FD5C9F">
        <w:rPr>
          <w:rStyle w:val="da"/>
          <w:rFonts w:asciiTheme="minorEastAsia" w:eastAsiaTheme="minorEastAsia" w:hAnsiTheme="minorEastAsia" w:hint="eastAsia"/>
          <w:color w:val="000000" w:themeColor="text1"/>
        </w:rPr>
        <w:t>、基金转换：指基金份额持有人按照</w:t>
      </w:r>
      <w:r w:rsidRPr="00FD5C9F" w:rsidR="00C84047">
        <w:rPr>
          <w:rStyle w:val="da"/>
          <w:rFonts w:asciiTheme="minorEastAsia" w:eastAsiaTheme="minorEastAsia" w:hAnsiTheme="minorEastAsia" w:hint="eastAsia"/>
          <w:color w:val="000000" w:themeColor="text1"/>
        </w:rPr>
        <w:t>基金合同</w:t>
      </w:r>
      <w:r w:rsidRPr="00FD5C9F">
        <w:rPr>
          <w:rStyle w:val="da"/>
          <w:rFonts w:asciiTheme="minorEastAsia" w:eastAsiaTheme="minorEastAsia" w:hAnsiTheme="minorEastAsia" w:hint="eastAsia"/>
          <w:color w:val="000000" w:themeColor="text1"/>
        </w:rPr>
        <w:t>和基金管理人届时有效公告规定的条件，申请将其持有基金管理人管理的、某一基金的基金份额转换为基金管理人管理的其他基金基金份额的行为</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w:t>
      </w:r>
      <w:r w:rsidRPr="00FD5C9F" w:rsidR="003F18F8">
        <w:rPr>
          <w:rStyle w:val="da"/>
          <w:rFonts w:asciiTheme="minorEastAsia" w:eastAsiaTheme="minorEastAsia" w:hAnsiTheme="minorEastAsia" w:hint="eastAsia"/>
          <w:color w:val="000000" w:themeColor="text1"/>
        </w:rPr>
        <w:t>6</w:t>
      </w:r>
      <w:r w:rsidRPr="00FD5C9F">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w:t>
      </w:r>
      <w:r w:rsidRPr="00FD5C9F" w:rsidR="003F18F8">
        <w:rPr>
          <w:rStyle w:val="da"/>
          <w:rFonts w:asciiTheme="minorEastAsia" w:eastAsiaTheme="minorEastAsia" w:hAnsiTheme="minorEastAsia" w:hint="eastAsia"/>
          <w:color w:val="000000" w:themeColor="text1"/>
        </w:rPr>
        <w:t>7</w:t>
      </w:r>
      <w:r w:rsidRPr="00FD5C9F">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w:t>
      </w:r>
      <w:r w:rsidRPr="00FD5C9F" w:rsidR="003F18F8">
        <w:rPr>
          <w:rStyle w:val="da"/>
          <w:rFonts w:asciiTheme="minorEastAsia" w:eastAsiaTheme="minorEastAsia" w:hAnsiTheme="minorEastAsia" w:hint="eastAsia"/>
          <w:color w:val="000000" w:themeColor="text1"/>
        </w:rPr>
        <w:t>8</w:t>
      </w:r>
      <w:r w:rsidRPr="00FD5C9F">
        <w:rPr>
          <w:rStyle w:val="da"/>
          <w:rFonts w:asciiTheme="minorEastAsia" w:eastAsiaTheme="minorEastAsia" w:hAnsiTheme="minorEastAsia" w:hint="eastAsia"/>
          <w:color w:val="000000" w:themeColor="text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FD5C9F">
        <w:rPr>
          <w:rStyle w:val="da"/>
          <w:rFonts w:asciiTheme="minorEastAsia" w:eastAsiaTheme="minorEastAsia" w:hAnsiTheme="minorEastAsia"/>
          <w:color w:val="000000" w:themeColor="text1"/>
        </w:rPr>
        <w:t>10%</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4</w:t>
      </w:r>
      <w:r w:rsidRPr="00FD5C9F" w:rsidR="003F18F8">
        <w:rPr>
          <w:rStyle w:val="da"/>
          <w:rFonts w:asciiTheme="minorEastAsia" w:eastAsiaTheme="minorEastAsia" w:hAnsiTheme="minorEastAsia"/>
          <w:color w:val="000000" w:themeColor="text1"/>
        </w:rPr>
        <w:t>9</w:t>
      </w:r>
      <w:r w:rsidRPr="00FD5C9F">
        <w:rPr>
          <w:rStyle w:val="da"/>
          <w:rFonts w:asciiTheme="minorEastAsia" w:eastAsiaTheme="minorEastAsia" w:hAnsiTheme="minorEastAsia" w:hint="eastAsia"/>
          <w:color w:val="000000" w:themeColor="text1"/>
        </w:rPr>
        <w:t>、元：指人民币元</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50</w:t>
      </w:r>
      <w:r w:rsidRPr="00FD5C9F">
        <w:rPr>
          <w:rStyle w:val="da"/>
          <w:rFonts w:asciiTheme="minorEastAsia" w:eastAsiaTheme="minorEastAsia" w:hAnsiTheme="minorEastAsia" w:hint="eastAsia"/>
          <w:color w:val="000000" w:themeColor="text1"/>
        </w:rPr>
        <w:t>、基金收益：指基金投资所得红利</w:t>
      </w: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股息、债券利息、买卖证券价差、银行存款利息、已实现的其他合法收入及因运用基金财产带来的成本和费用的节约</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51</w:t>
      </w:r>
      <w:r w:rsidRPr="00FD5C9F">
        <w:rPr>
          <w:rStyle w:val="da"/>
          <w:rFonts w:asciiTheme="minorEastAsia" w:eastAsiaTheme="minorEastAsia" w:hAnsiTheme="minorEastAsia" w:hint="eastAsia"/>
          <w:color w:val="000000" w:themeColor="text1"/>
        </w:rPr>
        <w:t>、基金资产总值：指基金拥有的各类有价证券、银行存款本息、基金应收申购款及其他资产的价值总和</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52</w:t>
      </w:r>
      <w:r w:rsidRPr="00FD5C9F">
        <w:rPr>
          <w:rStyle w:val="da"/>
          <w:rFonts w:asciiTheme="minorEastAsia" w:eastAsiaTheme="minorEastAsia" w:hAnsiTheme="minorEastAsia" w:hint="eastAsia"/>
          <w:color w:val="000000" w:themeColor="text1"/>
        </w:rPr>
        <w:t>、基金资产净值：指基金资产总值减去基金负债后的价值</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w:t>
      </w:r>
      <w:r w:rsidRPr="00FD5C9F" w:rsidR="003F18F8">
        <w:rPr>
          <w:rStyle w:val="da"/>
          <w:rFonts w:asciiTheme="minorEastAsia" w:eastAsiaTheme="minorEastAsia" w:hAnsiTheme="minorEastAsia" w:hint="eastAsia"/>
          <w:color w:val="000000" w:themeColor="text1"/>
        </w:rPr>
        <w:t>3</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基金份额净值：指计算日基金资产净值除以计算日基金份额总数</w:t>
      </w:r>
    </w:p>
    <w:p w:rsidR="009B3DF0" w:rsidRPr="00FD5C9F" w:rsidP="003F18F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54、基金资产估值：指计算评估基金资产和负债的价值，以确定基金资产净值和基金份额净值的过程</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w:t>
      </w:r>
      <w:r w:rsidRPr="00FD5C9F" w:rsidR="003F18F8">
        <w:rPr>
          <w:rStyle w:val="da"/>
          <w:rFonts w:asciiTheme="minorEastAsia" w:eastAsiaTheme="minorEastAsia" w:hAnsiTheme="minorEastAsia" w:hint="eastAsia"/>
          <w:color w:val="000000" w:themeColor="text1"/>
        </w:rPr>
        <w:t>5</w:t>
      </w:r>
      <w:r w:rsidRPr="00FD5C9F">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w:t>
      </w:r>
      <w:r w:rsidRPr="00FD5C9F" w:rsidR="003F18F8">
        <w:rPr>
          <w:rStyle w:val="da"/>
          <w:rFonts w:asciiTheme="minorEastAsia" w:eastAsiaTheme="minorEastAsia" w:hAnsiTheme="minorEastAsia" w:hint="eastAsia"/>
          <w:color w:val="000000" w:themeColor="text1"/>
        </w:rPr>
        <w:t>6</w:t>
      </w:r>
      <w:r w:rsidRPr="00FD5C9F">
        <w:rPr>
          <w:rStyle w:val="da"/>
          <w:rFonts w:asciiTheme="minorEastAsia" w:eastAsiaTheme="minorEastAsia" w:hAnsiTheme="minorEastAsia" w:hint="eastAsia"/>
          <w:color w:val="000000" w:themeColor="text1"/>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w:t>
      </w:r>
      <w:r w:rsidRPr="00FD5C9F" w:rsidR="003F18F8">
        <w:rPr>
          <w:rStyle w:val="da"/>
          <w:rFonts w:asciiTheme="minorEastAsia" w:eastAsiaTheme="minorEastAsia" w:hAnsiTheme="minorEastAsia" w:hint="eastAsia"/>
          <w:color w:val="000000" w:themeColor="text1"/>
        </w:rPr>
        <w:t>7</w:t>
      </w:r>
      <w:r w:rsidRPr="00FD5C9F">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9B3DF0"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w:t>
      </w:r>
      <w:r w:rsidRPr="00FD5C9F" w:rsidR="003F18F8">
        <w:rPr>
          <w:rStyle w:val="da"/>
          <w:rFonts w:asciiTheme="minorEastAsia" w:eastAsiaTheme="minorEastAsia" w:hAnsiTheme="minorEastAsia" w:hint="eastAsia"/>
          <w:color w:val="000000" w:themeColor="text1"/>
        </w:rPr>
        <w:t>8</w:t>
      </w:r>
      <w:r w:rsidRPr="00FD5C9F">
        <w:rPr>
          <w:rStyle w:val="da"/>
          <w:rFonts w:asciiTheme="minorEastAsia" w:eastAsiaTheme="minorEastAsia" w:hAnsiTheme="minorEastAsia" w:hint="eastAsia"/>
          <w:color w:val="000000" w:themeColor="text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9B3DF0" w:rsidRPr="00FD5C9F" w:rsidP="00266EA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w:t>
      </w:r>
      <w:r w:rsidRPr="00FD5C9F" w:rsidR="003F18F8">
        <w:rPr>
          <w:rStyle w:val="da"/>
          <w:rFonts w:asciiTheme="minorEastAsia" w:eastAsiaTheme="minorEastAsia" w:hAnsiTheme="minorEastAsia" w:hint="eastAsia"/>
          <w:color w:val="000000" w:themeColor="text1"/>
        </w:rPr>
        <w:t>9</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不可抗力：指</w:t>
      </w:r>
      <w:r w:rsidRPr="00FD5C9F" w:rsidR="00C84047">
        <w:rPr>
          <w:rStyle w:val="da"/>
          <w:rFonts w:asciiTheme="minorEastAsia" w:eastAsiaTheme="minorEastAsia" w:hAnsiTheme="minorEastAsia"/>
          <w:color w:val="000000" w:themeColor="text1"/>
        </w:rPr>
        <w:t>基金合同</w:t>
      </w:r>
      <w:r w:rsidRPr="00FD5C9F">
        <w:rPr>
          <w:rStyle w:val="da"/>
          <w:rFonts w:asciiTheme="minorEastAsia" w:eastAsiaTheme="minorEastAsia" w:hAnsiTheme="minorEastAsia"/>
          <w:color w:val="000000" w:themeColor="text1"/>
        </w:rPr>
        <w:t>当事人不能预见、不能避免且不能克服的客观事件</w:t>
      </w:r>
    </w:p>
    <w:p w:rsidR="00BA4B87" w:rsidRPr="00FD5C9F" w:rsidP="001D7201">
      <w:pPr>
        <w:pStyle w:val="Heading1"/>
        <w:spacing w:before="317" w:after="317" w:line="360" w:lineRule="auto"/>
        <w:ind w:firstLine="64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kern w:val="0"/>
        </w:rPr>
        <w:br w:type="column"/>
      </w:r>
      <w:bookmarkStart w:id="4" w:name="_Toc332373446"/>
      <w:bookmarkStart w:id="5" w:name="_Toc134547841"/>
      <w:r w:rsidRPr="00FD5C9F">
        <w:rPr>
          <w:rFonts w:asciiTheme="minorEastAsia" w:eastAsiaTheme="minorEastAsia" w:hAnsiTheme="minorEastAsia" w:hint="eastAsia"/>
          <w:color w:val="000000" w:themeColor="text1"/>
        </w:rPr>
        <w:t>三、基金管理人</w:t>
      </w:r>
      <w:bookmarkEnd w:id="4"/>
      <w:bookmarkEnd w:id="5"/>
    </w:p>
    <w:p w:rsidR="00BA4B87" w:rsidRPr="00FD5C9F" w:rsidP="00541082">
      <w:pPr>
        <w:spacing w:line="360" w:lineRule="auto"/>
        <w:ind w:firstLine="420" w:firstLineChars="200"/>
        <w:rPr>
          <w:rFonts w:asciiTheme="minorEastAsia" w:eastAsiaTheme="minorEastAsia" w:hAnsiTheme="minorEastAsia"/>
          <w:bCs/>
          <w:color w:val="000000" w:themeColor="text1"/>
        </w:rPr>
      </w:pPr>
      <w:bookmarkStart w:id="6" w:name="_Toc332373447"/>
      <w:r w:rsidRPr="00FD5C9F">
        <w:rPr>
          <w:rFonts w:asciiTheme="minorEastAsia" w:eastAsiaTheme="minorEastAsia" w:hAnsiTheme="minorEastAsia" w:hint="eastAsia"/>
          <w:bCs/>
          <w:color w:val="000000" w:themeColor="text1"/>
        </w:rPr>
        <w:t>（一）基金管理人基本情况</w:t>
      </w:r>
      <w:bookmarkEnd w:id="6"/>
    </w:p>
    <w:p w:rsidR="000001DF" w:rsidRPr="00FD5C9F" w:rsidP="001D7201">
      <w:pPr>
        <w:spacing w:line="360" w:lineRule="auto"/>
        <w:ind w:firstLine="420" w:firstLineChars="200"/>
        <w:rPr>
          <w:rStyle w:val="da"/>
          <w:rFonts w:asciiTheme="minorEastAsia" w:eastAsiaTheme="minorEastAsia" w:hAnsiTheme="minorEastAsia"/>
          <w:color w:val="000000" w:themeColor="text1"/>
        </w:rPr>
      </w:pPr>
      <w:bookmarkStart w:id="7" w:name="_Toc332373448"/>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、基金管理人：易方达基金管理有限公司</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注册地址：广东省珠海市横琴新区荣粤道188号6层</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办公地址：广州市天河区珠江新城珠江东路</w:t>
      </w:r>
      <w:r w:rsidRPr="00FD5C9F">
        <w:rPr>
          <w:rStyle w:val="da"/>
          <w:rFonts w:asciiTheme="minorEastAsia" w:eastAsiaTheme="minorEastAsia" w:hAnsiTheme="minorEastAsia"/>
          <w:color w:val="000000" w:themeColor="text1"/>
        </w:rPr>
        <w:t>30</w:t>
      </w:r>
      <w:r w:rsidRPr="00FD5C9F">
        <w:rPr>
          <w:rStyle w:val="da"/>
          <w:rFonts w:asciiTheme="minorEastAsia" w:eastAsiaTheme="minorEastAsia" w:hAnsiTheme="minorEastAsia" w:hint="eastAsia"/>
          <w:color w:val="000000" w:themeColor="text1"/>
        </w:rPr>
        <w:t>号广州银行大厦</w:t>
      </w:r>
      <w:r w:rsidRPr="00FD5C9F">
        <w:rPr>
          <w:rStyle w:val="da"/>
          <w:rFonts w:asciiTheme="minorEastAsia" w:eastAsiaTheme="minorEastAsia" w:hAnsiTheme="minorEastAsia"/>
          <w:color w:val="000000" w:themeColor="text1"/>
        </w:rPr>
        <w:t>40-43</w:t>
      </w:r>
      <w:r w:rsidRPr="00FD5C9F">
        <w:rPr>
          <w:rStyle w:val="da"/>
          <w:rFonts w:asciiTheme="minorEastAsia" w:eastAsiaTheme="minorEastAsia" w:hAnsiTheme="minorEastAsia" w:hint="eastAsia"/>
          <w:color w:val="000000" w:themeColor="text1"/>
        </w:rPr>
        <w:t>楼</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设立日期：</w:t>
      </w:r>
      <w:smartTag w:uri="urn:schemas-microsoft-com:office:smarttags" w:element="chsdate">
        <w:smartTagPr>
          <w:attr w:name="Day" w:val="17"/>
          <w:attr w:name="IsLunarDate" w:val="False"/>
          <w:attr w:name="IsROCDate" w:val="False"/>
          <w:attr w:name="Month" w:val="4"/>
          <w:attr w:name="Year" w:val="2001"/>
        </w:smartTagPr>
        <w:r w:rsidRPr="00FD5C9F">
          <w:rPr>
            <w:rStyle w:val="da"/>
            <w:rFonts w:asciiTheme="minorEastAsia" w:eastAsiaTheme="minorEastAsia" w:hAnsiTheme="minorEastAsia"/>
            <w:color w:val="000000" w:themeColor="text1"/>
          </w:rPr>
          <w:t>2001</w:t>
        </w:r>
        <w:r w:rsidRPr="00FD5C9F">
          <w:rPr>
            <w:rStyle w:val="da"/>
            <w:rFonts w:asciiTheme="minorEastAsia" w:eastAsiaTheme="minorEastAsia" w:hAnsiTheme="minorEastAsia" w:hint="eastAsia"/>
            <w:color w:val="000000" w:themeColor="text1"/>
          </w:rPr>
          <w:t>年</w:t>
        </w:r>
        <w:r w:rsidRPr="00FD5C9F">
          <w:rPr>
            <w:rStyle w:val="da"/>
            <w:rFonts w:asciiTheme="minorEastAsia" w:eastAsiaTheme="minorEastAsia" w:hAnsiTheme="minorEastAsia"/>
            <w:color w:val="000000" w:themeColor="text1"/>
          </w:rPr>
          <w:t>4</w:t>
        </w:r>
        <w:r w:rsidRPr="00FD5C9F">
          <w:rPr>
            <w:rStyle w:val="da"/>
            <w:rFonts w:asciiTheme="minorEastAsia" w:eastAsiaTheme="minorEastAsia" w:hAnsiTheme="minorEastAsia" w:hint="eastAsia"/>
            <w:color w:val="000000" w:themeColor="text1"/>
          </w:rPr>
          <w:t>月</w:t>
        </w:r>
        <w:r w:rsidRPr="00FD5C9F">
          <w:rPr>
            <w:rStyle w:val="da"/>
            <w:rFonts w:asciiTheme="minorEastAsia" w:eastAsiaTheme="minorEastAsia" w:hAnsiTheme="minorEastAsia"/>
            <w:color w:val="000000" w:themeColor="text1"/>
          </w:rPr>
          <w:t>17</w:t>
        </w:r>
        <w:r w:rsidRPr="00FD5C9F">
          <w:rPr>
            <w:rStyle w:val="da"/>
            <w:rFonts w:asciiTheme="minorEastAsia" w:eastAsiaTheme="minorEastAsia" w:hAnsiTheme="minorEastAsia" w:hint="eastAsia"/>
            <w:color w:val="000000" w:themeColor="text1"/>
          </w:rPr>
          <w:t>日</w:t>
        </w:r>
      </w:smartTag>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法定代表人：刘晓艳</w:t>
      </w:r>
      <w:r w:rsidRPr="00FD5C9F">
        <w:rPr>
          <w:rStyle w:val="da"/>
          <w:rFonts w:asciiTheme="minorEastAsia" w:eastAsiaTheme="minorEastAsia" w:hAnsiTheme="minorEastAsia"/>
          <w:color w:val="000000" w:themeColor="text1"/>
        </w:rPr>
        <w:t xml:space="preserve"> </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联系电话：</w:t>
      </w:r>
      <w:r w:rsidRPr="00FD5C9F">
        <w:rPr>
          <w:rStyle w:val="da"/>
          <w:rFonts w:asciiTheme="minorEastAsia" w:eastAsiaTheme="minorEastAsia" w:hAnsiTheme="minorEastAsia"/>
          <w:color w:val="000000" w:themeColor="text1"/>
        </w:rPr>
        <w:t>400 881 8088</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联系人：闵俊杰</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注册资本：</w:t>
      </w:r>
      <w:r w:rsidRPr="00FD5C9F">
        <w:rPr>
          <w:rStyle w:val="da"/>
          <w:rFonts w:asciiTheme="minorEastAsia" w:eastAsiaTheme="minorEastAsia" w:hAnsiTheme="minorEastAsia"/>
          <w:color w:val="000000" w:themeColor="text1"/>
        </w:rPr>
        <w:t>13,244.2</w:t>
      </w:r>
      <w:r w:rsidRPr="00FD5C9F">
        <w:rPr>
          <w:rStyle w:val="da"/>
          <w:rFonts w:asciiTheme="minorEastAsia" w:eastAsiaTheme="minorEastAsia" w:hAnsiTheme="minorEastAsia" w:hint="eastAsia"/>
          <w:color w:val="000000" w:themeColor="text1"/>
        </w:rPr>
        <w:t>万元人民币</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批准设立机关及文号：中国</w:t>
      </w:r>
      <w:r w:rsidRPr="00FD5C9F">
        <w:rPr>
          <w:rStyle w:val="da"/>
          <w:rFonts w:asciiTheme="minorEastAsia" w:eastAsiaTheme="minorEastAsia" w:hAnsiTheme="minorEastAsia"/>
          <w:color w:val="000000" w:themeColor="text1"/>
        </w:rPr>
        <w:t>证券</w:t>
      </w:r>
      <w:r w:rsidRPr="00FD5C9F">
        <w:rPr>
          <w:rStyle w:val="da"/>
          <w:rFonts w:asciiTheme="minorEastAsia" w:eastAsiaTheme="minorEastAsia" w:hAnsiTheme="minorEastAsia" w:hint="eastAsia"/>
          <w:color w:val="000000" w:themeColor="text1"/>
        </w:rPr>
        <w:t>监督管理</w:t>
      </w:r>
      <w:r w:rsidRPr="00FD5C9F">
        <w:rPr>
          <w:rStyle w:val="da"/>
          <w:rFonts w:asciiTheme="minorEastAsia" w:eastAsiaTheme="minorEastAsia" w:hAnsiTheme="minorEastAsia"/>
          <w:color w:val="000000" w:themeColor="text1"/>
        </w:rPr>
        <w:t>委员会</w:t>
      </w:r>
      <w:r w:rsidRPr="00FD5C9F">
        <w:rPr>
          <w:rStyle w:val="da"/>
          <w:rFonts w:asciiTheme="minorEastAsia" w:eastAsiaTheme="minorEastAsia" w:hAnsiTheme="minorEastAsia" w:hint="eastAsia"/>
          <w:color w:val="000000" w:themeColor="text1"/>
        </w:rPr>
        <w:t>，证监基金字</w:t>
      </w:r>
      <w:r w:rsidRPr="00FD5C9F">
        <w:rPr>
          <w:rStyle w:val="da"/>
          <w:rFonts w:asciiTheme="minorEastAsia" w:eastAsiaTheme="minorEastAsia" w:hAnsiTheme="minorEastAsia"/>
          <w:color w:val="000000" w:themeColor="text1"/>
        </w:rPr>
        <w:t>[2001]4</w:t>
      </w:r>
      <w:r w:rsidRPr="00FD5C9F">
        <w:rPr>
          <w:rStyle w:val="da"/>
          <w:rFonts w:asciiTheme="minorEastAsia" w:eastAsiaTheme="minorEastAsia" w:hAnsiTheme="minorEastAsia" w:hint="eastAsia"/>
          <w:color w:val="000000" w:themeColor="text1"/>
        </w:rPr>
        <w:t>号</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经营范围：公开募集证券投资基金管理、基金销售、特定客户资产管理</w:t>
      </w:r>
    </w:p>
    <w:p w:rsidR="00202358" w:rsidRPr="00FD5C9F" w:rsidP="004F5FFE">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2577"/>
      </w:tblGrid>
      <w:tr w:rsidTr="009D378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rsidR="00202358"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rsidR="00202358"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出资比例</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广东粤财信托有限公司</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广发证券股份有限公司</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盈峰集团有限公司</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22.6514％</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广东省广晟控股集团有限公司</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15.1010％</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广州市广永国有资产经营有限公司</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7.5505％</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珠海祺荣宝投资合伙企业（有限合伙）</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1.5087％</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珠海祺泰宝投资合伙企业（有限合伙）</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1.6205％</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珠海祺丰宝投资合伙企业（有限合伙）</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1.5309％</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珠海聚莱康投资合伙企业（有限合伙）</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1.7558％</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珠海聚宁康投资合伙企业（有限合伙）</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1.4396％</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珠海聚弘康投资合伙企业（有限合伙）</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1.5388％</w:t>
            </w:r>
          </w:p>
        </w:tc>
      </w:tr>
      <w:tr>
        <w:tblPrEx>
          <w:tblW w:w="5000" w:type="pct"/>
          <w:jc w:val="center"/>
          <w:tblLook w:val="04A0"/>
        </w:tblPrEx>
        <w:trPr>
          <w:jc w:val="center"/>
        </w:trPr>
        <w:tc>
          <w:tcPr>
            <w:tcW w:w="5945"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总   计</w:t>
            </w:r>
          </w:p>
        </w:tc>
        <w:tc>
          <w:tcPr>
            <w:tcW w:w="2577"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100％</w:t>
            </w:r>
          </w:p>
        </w:tc>
      </w:tr>
    </w:tbl>
    <w:p w:rsidR="00202358" w:rsidRPr="00FD5C9F" w:rsidP="00202358">
      <w:pPr>
        <w:pStyle w:val="PlainText"/>
        <w:adjustRightInd w:val="0"/>
        <w:spacing w:line="348" w:lineRule="auto"/>
        <w:ind w:firstLine="480"/>
        <w:textAlignment w:val="baseline"/>
        <w:rPr>
          <w:rFonts w:asciiTheme="minorEastAsia" w:eastAsiaTheme="minorEastAsia" w:hAnsiTheme="minorEastAsia"/>
          <w:color w:val="000000" w:themeColor="text1"/>
          <w:kern w:val="0"/>
          <w:szCs w:val="24"/>
        </w:rPr>
      </w:pP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8D4032">
        <w:rPr>
          <w:rStyle w:val="da"/>
          <w:rFonts w:asciiTheme="minorEastAsia" w:eastAsiaTheme="minorEastAsia" w:hAnsiTheme="minorEastAsia" w:hint="eastAsia"/>
          <w:color w:val="000000" w:themeColor="text1"/>
        </w:rPr>
        <w:t>二</w:t>
      </w:r>
      <w:r w:rsidRPr="00FD5C9F">
        <w:rPr>
          <w:rStyle w:val="da"/>
          <w:rFonts w:asciiTheme="minorEastAsia" w:eastAsiaTheme="minorEastAsia" w:hAnsiTheme="minorEastAsia" w:hint="eastAsia"/>
          <w:color w:val="000000" w:themeColor="text1"/>
        </w:rPr>
        <w:t>）主要人员情况</w:t>
      </w:r>
      <w:bookmarkEnd w:id="7"/>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1、董事、监事及高级管理人员</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刘晓艳女士，经济学博士。现任易方达基金管理有限公司副董事长、总</w:t>
      </w:r>
      <w:r w:rsidRPr="00234326">
        <w:rPr>
          <w:rFonts w:asciiTheme="minorEastAsia" w:eastAsiaTheme="minorEastAsia" w:hAnsiTheme="minorEastAsia"/>
          <w:color w:val="000000" w:themeColor="text1"/>
        </w:rPr>
        <w:t>经理</w:t>
      </w:r>
      <w:r w:rsidRPr="00234326">
        <w:rPr>
          <w:rFonts w:asciiTheme="minorEastAsia" w:eastAsiaTheme="minorEastAsia" w:hAnsiTheme="minorEastAsia" w:hint="eastAsia"/>
          <w:color w:val="000000" w:themeColor="text1"/>
        </w:rPr>
        <w:t>，易方达国际控股有限公司董事。曾任广发证券有限责任公司投资理财部副经理、基金经理</w:t>
      </w:r>
      <w:r w:rsidRPr="00234326">
        <w:rPr>
          <w:rFonts w:asciiTheme="minorEastAsia" w:eastAsiaTheme="minorEastAsia" w:hAnsiTheme="minorEastAsia"/>
          <w:color w:val="000000" w:themeColor="text1"/>
        </w:rPr>
        <w:t>、</w:t>
      </w:r>
      <w:r w:rsidRPr="00234326">
        <w:rPr>
          <w:rFonts w:asciiTheme="minorEastAsia" w:eastAsiaTheme="minorEastAsia" w:hAnsiTheme="minorEastAsia" w:hint="eastAsia"/>
          <w:color w:val="000000" w:themeColor="text1"/>
        </w:rPr>
        <w:t>基金投资理财部副总经理，易方达基金管理有限公司督察员、监察部总经理、总裁助理、市场总监、公司副总经理，易方达资产管理有限公司董事，易方达资产管理（香港）有限公司董事长。</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易阳方先生，经济学硕士。现任易方达基金管理有限公司董事，广发证券股份有限公司副总经理。曾任江西省永修县第二中学考研室教师，江西省永修县招商开发局招商办科员，广发证券有限责任公司投资银行总部、投资理财总部、投资自营部业务员、副经理，广发基金管理有限公司筹备组成员、投资管理部职员、基金经理、投资管理部总经理、公司总经理助理、公司投资总监、公司副总经理、公司常务副总经理，广发国际资产管理有限公司董事、董事会主席及副主席，瑞元资本管理有限公司董事。</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珠海澳斐盈峰私募基金管理有限公司董事长、经理。曾任中富证券有限责任公司投行部经理，鸿商产业控股集团有限公司产业投资部执行董事，名力中国成长基金合伙人，复星能源环境与智能装备集团总裁，盈合（深圳）机器人与自动化科技有限公司董事长。</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color w:val="000000" w:themeColor="text1"/>
        </w:rPr>
        <w:t>刘韧</w:t>
      </w:r>
      <w:r w:rsidRPr="00234326">
        <w:rPr>
          <w:rFonts w:asciiTheme="minorEastAsia" w:eastAsiaTheme="minorEastAsia" w:hAnsiTheme="minorEastAsia" w:hint="eastAsia"/>
          <w:color w:val="000000" w:themeColor="text1"/>
        </w:rPr>
        <w:t>先生，经济学硕士。现任易方达基金管理有限公司董事，广东省广晟控股集团有限公司资本运营部负责人，广东省广晟资本投资有限公司董事。曾任</w:t>
      </w:r>
      <w:r w:rsidRPr="00234326">
        <w:rPr>
          <w:rFonts w:asciiTheme="minorEastAsia" w:eastAsiaTheme="minorEastAsia" w:hAnsiTheme="minorEastAsia"/>
          <w:color w:val="000000" w:themeColor="text1"/>
        </w:rPr>
        <w:t>湖南证券股份有限公司投资银行部经理助理，湘财证券有限责任公司投资银行总部副总经理，二十三冶建设集团有限公司副总裁兼矿业事业部部长、党委委员，广东省广晟资产经营有限公司总经理助理兼资本运营部部长、战略委员会委员，东江环保股份有限公司党委书记、董事长，广东风华高新科技股份有限公司党委委员、副总裁、财务负责人</w:t>
      </w:r>
      <w:r w:rsidRPr="00234326">
        <w:rPr>
          <w:rFonts w:asciiTheme="minorEastAsia" w:eastAsiaTheme="minorEastAsia" w:hAnsiTheme="minorEastAsia" w:hint="eastAsia"/>
          <w:color w:val="000000" w:themeColor="text1"/>
        </w:rPr>
        <w:t>。</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w:t>
      </w:r>
      <w:r w:rsidRPr="00234326">
        <w:rPr>
          <w:rFonts w:asciiTheme="minorEastAsia" w:eastAsiaTheme="minorEastAsia" w:hAnsiTheme="minorEastAsia"/>
          <w:color w:val="000000" w:themeColor="text1"/>
        </w:rPr>
        <w:t>东</w:t>
      </w:r>
      <w:r w:rsidRPr="00234326">
        <w:rPr>
          <w:rFonts w:asciiTheme="minorEastAsia" w:eastAsiaTheme="minorEastAsia" w:hAnsiTheme="minorEastAsia" w:hint="eastAsia"/>
          <w:color w:val="000000" w:themeColor="text1"/>
        </w:rPr>
        <w:t>茉莉数字科技集团股份有限公司独立董事，广东神朗律师事务所兼职律师，深圳市美之高科技股份有限公司独立董事，广东凯金新能源科技股份有限公司独立董事，艾尔玛科技股份有限公司独立董事，祥鑫科技股份有限公司独立董事。曾任美国天普大学法学院访问副教授。</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234326">
        <w:rPr>
          <w:rFonts w:asciiTheme="minorEastAsia" w:eastAsiaTheme="minorEastAsia" w:hAnsiTheme="minorEastAsia"/>
          <w:color w:val="000000" w:themeColor="text1"/>
        </w:rPr>
        <w:t>清华大学</w:t>
      </w:r>
      <w:r w:rsidRPr="00234326">
        <w:rPr>
          <w:rFonts w:asciiTheme="minorEastAsia" w:eastAsiaTheme="minorEastAsia" w:hAnsiTheme="minorEastAsia" w:hint="eastAsia"/>
          <w:color w:val="000000" w:themeColor="text1"/>
        </w:rPr>
        <w:t>经济管理</w:t>
      </w:r>
      <w:r w:rsidRPr="00234326">
        <w:rPr>
          <w:rFonts w:asciiTheme="minorEastAsia" w:eastAsiaTheme="minorEastAsia" w:hAnsiTheme="minorEastAsia"/>
          <w:color w:val="000000" w:themeColor="text1"/>
        </w:rPr>
        <w:t>学院讲师、副教授、</w:t>
      </w:r>
      <w:r w:rsidRPr="00234326">
        <w:rPr>
          <w:rFonts w:asciiTheme="minorEastAsia" w:eastAsiaTheme="minorEastAsia" w:hAnsiTheme="minorEastAsia" w:hint="eastAsia"/>
          <w:color w:val="000000" w:themeColor="text1"/>
        </w:rPr>
        <w:t>技术经济与管理系主任、创新创业与战略系主任、</w:t>
      </w:r>
      <w:r w:rsidRPr="00234326">
        <w:rPr>
          <w:rFonts w:asciiTheme="minorEastAsia" w:eastAsiaTheme="minorEastAsia" w:hAnsiTheme="minorEastAsia"/>
          <w:color w:val="000000" w:themeColor="text1"/>
        </w:rPr>
        <w:t>院长助理、副院长、党委书记</w:t>
      </w:r>
      <w:r w:rsidRPr="00234326">
        <w:rPr>
          <w:rFonts w:asciiTheme="minorEastAsia" w:eastAsiaTheme="minorEastAsia" w:hAnsiTheme="minorEastAsia" w:hint="eastAsia"/>
          <w:color w:val="000000" w:themeColor="text1"/>
        </w:rPr>
        <w:t>，</w:t>
      </w:r>
      <w:r w:rsidRPr="00234326">
        <w:rPr>
          <w:rFonts w:asciiTheme="minorEastAsia" w:eastAsiaTheme="minorEastAsia" w:hAnsiTheme="minorEastAsia"/>
          <w:color w:val="000000" w:themeColor="text1"/>
        </w:rPr>
        <w:t>山东新北洋信息技术股份有限公司独立董事，</w:t>
      </w:r>
      <w:r w:rsidRPr="00234326">
        <w:rPr>
          <w:rFonts w:asciiTheme="minorEastAsia" w:eastAsiaTheme="minorEastAsia" w:hAnsiTheme="minorEastAsia" w:hint="eastAsia"/>
          <w:color w:val="000000" w:themeColor="text1"/>
        </w:rPr>
        <w:t>中融人寿保险股份有限公司独立董事</w:t>
      </w:r>
      <w:r w:rsidRPr="00234326">
        <w:rPr>
          <w:rFonts w:asciiTheme="minorEastAsia" w:eastAsiaTheme="minorEastAsia" w:hAnsiTheme="minorEastAsia"/>
          <w:color w:val="000000" w:themeColor="text1"/>
        </w:rPr>
        <w:t>。</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DBA项目副院长、创创社区项目发起人兼副院长，云南白药集团股份有限公司独立董事，瑞士银行（中国）有限公司独立董事，秦川机床工具集团股份公司独立董事，浙江红蜻蜓鞋业股份有限公司独立董事。</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刘发宏先生，工商管理硕士。现任易方达基金管理有限公司监事会主席，广东粤财融资担保集团有限公司监事长，</w:t>
      </w:r>
      <w:r w:rsidRPr="00234326">
        <w:rPr>
          <w:rFonts w:asciiTheme="minorEastAsia" w:eastAsiaTheme="minorEastAsia" w:hAnsiTheme="minorEastAsia"/>
          <w:color w:val="000000" w:themeColor="text1"/>
        </w:rPr>
        <w:t>广东省融资再担保有限责任公司监事</w:t>
      </w:r>
      <w:r w:rsidRPr="00234326">
        <w:rPr>
          <w:rFonts w:asciiTheme="minorEastAsia" w:eastAsiaTheme="minorEastAsia" w:hAnsiTheme="minorEastAsia" w:hint="eastAsia"/>
          <w:color w:val="000000" w:themeColor="text1"/>
        </w:rPr>
        <w:t>。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广州银行股份有限公司董事，广州广永投资管理有限公司董事长，广州广永股权投资基金管理有限公司董事长，广州广永科技发展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万联证券股份有限公司监事。</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廖智先生，经济学硕士。现任易方达基金管理有限公司监事、总裁助理、党群工作部联席总经理，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刘炜先生，工商管理硕士（EMBA）、法学硕士。现任易方达基金管理有限公司监事、人力资源部总经理，易方达资产管理有限公司董事。曾任易方达基金管理有限公司监察部监察员、上海分公司销售经理、市场部总经理助理、人力资源部副总经理、综合管理部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w:t>
      </w:r>
      <w:r w:rsidRPr="00234326" w:rsidR="00E514B3">
        <w:rPr>
          <w:rFonts w:asciiTheme="minorEastAsia" w:eastAsiaTheme="minorEastAsia" w:hAnsiTheme="minorEastAsia" w:hint="eastAsia"/>
          <w:color w:val="000000" w:themeColor="text1"/>
        </w:rPr>
        <w:t>、基金经理</w:t>
      </w:r>
      <w:r w:rsidRPr="00234326">
        <w:rPr>
          <w:rFonts w:asciiTheme="minorEastAsia" w:eastAsiaTheme="minorEastAsia" w:hAnsiTheme="minorEastAsia" w:hint="eastAsia"/>
          <w:color w:val="000000" w:themeColor="text1"/>
        </w:rPr>
        <w:t>。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w:t>
      </w:r>
      <w:bookmarkStart w:id="8" w:name="_GoBack"/>
      <w:bookmarkEnd w:id="8"/>
      <w:r w:rsidRPr="00234326">
        <w:rPr>
          <w:rFonts w:asciiTheme="minorEastAsia" w:eastAsiaTheme="minorEastAsia" w:hAnsiTheme="minorEastAsia" w:hint="eastAsia"/>
          <w:color w:val="000000" w:themeColor="text1"/>
        </w:rPr>
        <w:t>公募基金投资部总经理、基金经理助理、投资经理。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马骏先生，工商管理硕士（EMBA）。现任易方达基金管理有限公司副总经理级高级管理人员、固定收益投资决策委员会委员、基础设施资产管理委员会委员，易方达资产管理（香港）有限公司董事长、Q</w:t>
      </w:r>
      <w:r w:rsidRPr="00234326">
        <w:rPr>
          <w:rFonts w:asciiTheme="minorEastAsia" w:eastAsiaTheme="minorEastAsia" w:hAnsiTheme="minorEastAsia"/>
          <w:color w:val="000000" w:themeColor="text1"/>
        </w:rPr>
        <w:t>FI</w:t>
      </w:r>
      <w:r w:rsidRPr="00234326">
        <w:rPr>
          <w:rFonts w:asciiTheme="minorEastAsia" w:eastAsiaTheme="minorEastAsia" w:hAnsiTheme="minorEastAsia" w:hint="eastAsia"/>
          <w:color w:val="000000" w:themeColor="text1"/>
        </w:rPr>
        <w:t>业务负责人、证券交易负责人员（</w:t>
      </w:r>
      <w:r w:rsidRPr="00234326">
        <w:rPr>
          <w:rFonts w:asciiTheme="minorEastAsia" w:eastAsiaTheme="minorEastAsia" w:hAnsiTheme="minorEastAsia"/>
          <w:color w:val="000000" w:themeColor="text1"/>
        </w:rPr>
        <w:t>RO</w:t>
      </w:r>
      <w:r w:rsidRPr="00234326">
        <w:rPr>
          <w:rFonts w:asciiTheme="minorEastAsia" w:eastAsiaTheme="minorEastAsia" w:hAnsiTheme="minorEastAsia" w:hint="eastAsia"/>
          <w:color w:val="000000" w:themeColor="text1"/>
        </w:rPr>
        <w:t>）、就证券提供意见负责人员（</w:t>
      </w:r>
      <w:r w:rsidRPr="00234326">
        <w:rPr>
          <w:rFonts w:asciiTheme="minorEastAsia" w:eastAsiaTheme="minorEastAsia" w:hAnsiTheme="minorEastAsia"/>
          <w:color w:val="000000" w:themeColor="text1"/>
        </w:rPr>
        <w:t>RO</w:t>
      </w:r>
      <w:r w:rsidRPr="00234326">
        <w:rPr>
          <w:rFonts w:asciiTheme="minorEastAsia" w:eastAsiaTheme="minorEastAsia" w:hAnsiTheme="minorEastAsia" w:hint="eastAsia"/>
          <w:color w:val="000000" w:themeColor="text1"/>
        </w:rPr>
        <w:t>）、提供资产管理负责人员（</w:t>
      </w:r>
      <w:r w:rsidRPr="00234326">
        <w:rPr>
          <w:rFonts w:asciiTheme="minorEastAsia" w:eastAsiaTheme="minorEastAsia" w:hAnsiTheme="minorEastAsia"/>
          <w:color w:val="000000" w:themeColor="text1"/>
        </w:rPr>
        <w:t>RO</w:t>
      </w:r>
      <w:r w:rsidRPr="00234326">
        <w:rPr>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吴欣荣先生，工学硕士。现任易方达基金管理有限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娄利舟女士，工商管理硕士（EMBA）、经济学硕士。现任易方达基金管理有限公司副总经理级高级管理人员、</w:t>
      </w:r>
      <w:r w:rsidRPr="00234326">
        <w:rPr>
          <w:rFonts w:asciiTheme="minorEastAsia" w:eastAsiaTheme="minorEastAsia" w:hAnsiTheme="minorEastAsia"/>
          <w:color w:val="000000" w:themeColor="text1"/>
        </w:rPr>
        <w:t>FOF</w:t>
      </w:r>
      <w:r w:rsidRPr="00234326">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张南女士，经济学博士。现任易方达基金管理有限公司副总经理级高级管理人员、发展研究中心总经理。曾任广东省经济贸易委员会主任科员、副处长，易方达基金管理有限公司市场拓展部副总经理、监察部总经理、督察长。</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范岳先生，工商管理硕士。现任易方达基金管理有限公司副总经理级高级管理人员、基础设施资产管理委员会委员，易方达资产管理有限公司副董事长，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高松凡先生，工商管理硕士（E</w:t>
      </w:r>
      <w:r w:rsidRPr="00234326">
        <w:rPr>
          <w:rFonts w:asciiTheme="minorEastAsia" w:eastAsiaTheme="minorEastAsia" w:hAnsiTheme="minorEastAsia"/>
          <w:color w:val="000000" w:themeColor="text1"/>
        </w:rPr>
        <w:t>MBA</w:t>
      </w:r>
      <w:r w:rsidRPr="00234326">
        <w:rPr>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关秀霞女士，工商管理硕士、金融学硕士。现任易方达基金管理有限公司副总经理级高级管理人员（首席国际业务官）。曾任中国银行（香港）有限公司分析员，Daniel Dennis高级审计师，美国道富银行公司内部审计部高级审计师、美国共同基金业务风险经理、亚洲区（除日本外）机构服务主管、亚洲区（除日本外）副总裁、大中华地区董事总经理、大中华地区高级副总裁、中国区行长。</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萧楠先生，经济学硕士。现任易方达基金管理有限公司副总经理级高级管理人员、投资三部总经理、基金经理。曾任易方达基金管理有限公司行业研究员、基金经理助理、投资经理、研究部副总经理。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王玉女士，法学硕士。现任易方达基金管理有限公司督察长、内审稽核部总经理。曾在北京市国枫律师事务所、中国证监会工作，曾任易方达基金管理有限公司公司法律事务部总经理，易方达资产管理有限公司董事。</w:t>
      </w:r>
    </w:p>
    <w:p w:rsidR="00234326" w:rsidRPr="00234326" w:rsidP="00234326">
      <w:pPr>
        <w:spacing w:line="360" w:lineRule="auto"/>
        <w:ind w:firstLine="420"/>
        <w:rPr>
          <w:rFonts w:asciiTheme="minorEastAsia" w:eastAsiaTheme="minorEastAsia" w:hAnsiTheme="minorEastAsia"/>
          <w:color w:val="000000" w:themeColor="text1"/>
        </w:rPr>
      </w:pPr>
      <w:r w:rsidRPr="00234326">
        <w:rPr>
          <w:rFonts w:asciiTheme="minorEastAsia" w:eastAsiaTheme="minorEastAsia" w:hAnsiTheme="minorEastAsia" w:hint="eastAsia"/>
          <w:color w:val="000000" w:themeColor="text1"/>
        </w:rPr>
        <w:t>王骏先生，会计硕士。现任易方达基金管理有限公司副总经理级高级管理人员（首席市场官）、渠道与营销管理部总经理、产品设计与业务创新部总经理，易方达资产管理有限公司董事。曾在普华永道中天会计师事务所、证监会广东监管局工作，曾任易方达资产管理有限公司副总经理、合规风控负责人、常务副总经理。</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2、基金经理</w:t>
      </w:r>
    </w:p>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刘武先生，工学硕士，本基金的基金经理。现任易方达基金管理有限公司基金经理。曾任华夏基金管理有限公司投资研究部研究员，易方达基金管理有限公司行业研究员、投资经理。刘武历任基金经理的基金如下：</w:t>
      </w:r>
    </w:p>
    <w:tbl>
      <w:tblPr>
        <w:tblStyle w:val="TableGrid"/>
        <w:tblW w:w="0" w:type="auto"/>
        <w:jc w:val="center"/>
        <w:tblLook w:val="04A0"/>
      </w:tblPr>
      <w:tblGrid>
        <w:gridCol w:w="4420"/>
        <w:gridCol w:w="2051"/>
        <w:gridCol w:w="2051"/>
      </w:tblGrid>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b/>
                <w:color w:val="000000" w:themeColor="text1"/>
              </w:rPr>
              <w:t>历任基金经理的基金</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b/>
                <w:color w:val="000000" w:themeColor="text1"/>
              </w:rPr>
              <w:t>任职时间</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b/>
                <w:color w:val="000000" w:themeColor="text1"/>
              </w:rPr>
              <w:t>离任时间</w:t>
            </w:r>
          </w:p>
        </w:tc>
      </w:tr>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易方达新兴成长混合</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2018-12-12</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w:t>
            </w:r>
          </w:p>
        </w:tc>
      </w:tr>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易方达创新成长混合</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2020-07-24</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w:t>
            </w:r>
          </w:p>
        </w:tc>
      </w:tr>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易方达战略新兴产业股票</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2021-01-13</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w:t>
            </w:r>
          </w:p>
        </w:tc>
      </w:tr>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易方达科技创新混合</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2019-04-29</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2022-04-21</w:t>
            </w:r>
          </w:p>
        </w:tc>
      </w:tr>
    </w:tbl>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张琦先生，工学博士，本基金的基金经理。现任易方达基金管理有限公司基金经理、行业研究员。曾任易方达基金管理有限公司投资经理。张琦历任基金经理的基金如下：</w:t>
      </w:r>
    </w:p>
    <w:tbl>
      <w:tblPr>
        <w:tblStyle w:val="TableGrid"/>
        <w:tblW w:w="0" w:type="auto"/>
        <w:jc w:val="center"/>
        <w:tblLook w:val="04A0"/>
      </w:tblPr>
      <w:tblGrid>
        <w:gridCol w:w="4709"/>
        <w:gridCol w:w="2107"/>
        <w:gridCol w:w="1706"/>
      </w:tblGrid>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b/>
                <w:color w:val="000000" w:themeColor="text1"/>
              </w:rPr>
              <w:t>历任基金经理的基金</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b/>
                <w:color w:val="000000" w:themeColor="text1"/>
              </w:rPr>
              <w:t>任职时间</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b/>
                <w:color w:val="000000" w:themeColor="text1"/>
              </w:rPr>
              <w:t>离任时间</w:t>
            </w:r>
          </w:p>
        </w:tc>
      </w:tr>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易方达策略成长二号混合</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2022-04-21</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w:t>
            </w:r>
          </w:p>
        </w:tc>
      </w:tr>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易方达策略成长混合</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2022-04-21</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w:t>
            </w:r>
          </w:p>
        </w:tc>
      </w:tr>
      <w:tr w:rsidTr="00241E45">
        <w:tblPrEx>
          <w:tblW w:w="0" w:type="auto"/>
          <w:jc w:val="center"/>
          <w:tblLook w:val="04A0"/>
        </w:tblPrEx>
        <w:trPr>
          <w:jc w:val="center"/>
        </w:trPr>
        <w:tc>
          <w:tcPr>
            <w:tcW w:w="8640" w:type="dxa"/>
          </w:tcPr>
          <w:p w:rsidR="00DF2404" w:rsidRPr="00FD5C9F" w:rsidP="00241E45">
            <w:pP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易方达创新成长混合</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2023-05-06</w:t>
            </w:r>
          </w:p>
        </w:tc>
        <w:tc>
          <w:tcPr>
            <w:tcW w:w="2880" w:type="dxa"/>
          </w:tcPr>
          <w:p w:rsidR="00DF2404" w:rsidRPr="00FD5C9F" w:rsidP="00241E45">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w:t>
            </w:r>
          </w:p>
        </w:tc>
      </w:tr>
    </w:tbl>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3、权益投资决策委员会成员</w:t>
      </w:r>
    </w:p>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本公司权益投资决策委员会成员包括：吴欣荣先生、冯波先生、陈皓先生、张坤先生、付浩先生、李剑锋先生。</w:t>
      </w:r>
    </w:p>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吴欣荣先生，同上。</w:t>
      </w:r>
    </w:p>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冯波先生，同上。</w:t>
      </w:r>
    </w:p>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陈皓先生，同上。</w:t>
      </w:r>
    </w:p>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张坤先生，同上。</w:t>
      </w:r>
    </w:p>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付浩先生，同上。</w:t>
      </w:r>
    </w:p>
    <w:p w:rsidR="00DF2404" w:rsidRPr="00FD5C9F" w:rsidP="00DF2404">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李剑锋先生，易方达基金管理有限公司国际权益投资部总经理、基金经理，易方达资产管理（香港）有限公司首席投资官（国际权益）、就证券提供意见负责人员（RO）、提供资产管理负责人员（RO）、证券交易负责人员（RO）、投资决策委员会委员。</w:t>
      </w:r>
    </w:p>
    <w:p w:rsidR="00BA4B87" w:rsidRPr="00FD5C9F" w:rsidP="00027D3C">
      <w:pPr>
        <w:spacing w:line="360" w:lineRule="auto"/>
        <w:ind w:firstLine="420" w:firstLineChars="200"/>
        <w:rPr>
          <w:rStyle w:val="da"/>
          <w:rFonts w:asciiTheme="minorEastAsia" w:eastAsiaTheme="minorEastAsia" w:hAnsiTheme="minorEastAsia"/>
          <w:color w:val="000000" w:themeColor="text1"/>
        </w:rPr>
      </w:pPr>
      <w:r w:rsidRPr="00FD5C9F">
        <w:rPr>
          <w:rFonts w:asciiTheme="minorEastAsia" w:eastAsiaTheme="minorEastAsia" w:hAnsiTheme="minorEastAsia"/>
          <w:bCs/>
          <w:color w:val="000000" w:themeColor="text1"/>
        </w:rPr>
        <w:t>4</w:t>
      </w:r>
      <w:r w:rsidRPr="00FD5C9F">
        <w:rPr>
          <w:rFonts w:asciiTheme="minorEastAsia" w:eastAsiaTheme="minorEastAsia" w:hAnsiTheme="minorEastAsia" w:hint="eastAsia"/>
          <w:bCs/>
          <w:color w:val="000000" w:themeColor="text1"/>
        </w:rPr>
        <w:t>、上述</w:t>
      </w:r>
      <w:r w:rsidRPr="00FD5C9F">
        <w:rPr>
          <w:rStyle w:val="da"/>
          <w:rFonts w:asciiTheme="minorEastAsia" w:eastAsiaTheme="minorEastAsia" w:hAnsiTheme="minorEastAsia" w:hint="eastAsia"/>
          <w:color w:val="000000" w:themeColor="text1"/>
        </w:rPr>
        <w:t>人员之间均不存在近亲属关系。</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bookmarkStart w:id="9" w:name="_Toc332373451"/>
      <w:r w:rsidRPr="00FD5C9F">
        <w:rPr>
          <w:rStyle w:val="da"/>
          <w:rFonts w:asciiTheme="minorEastAsia" w:eastAsiaTheme="minorEastAsia" w:hAnsiTheme="minorEastAsia" w:hint="eastAsia"/>
          <w:color w:val="000000" w:themeColor="text1"/>
        </w:rPr>
        <w:t>（三）基金管理人的职责</w:t>
      </w:r>
      <w:bookmarkEnd w:id="9"/>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bookmarkStart w:id="10" w:name="_Toc332373455"/>
      <w:r w:rsidRPr="00FD5C9F">
        <w:rPr>
          <w:rStyle w:val="da"/>
          <w:rFonts w:asciiTheme="minorEastAsia" w:eastAsiaTheme="minorEastAsia" w:hAnsiTheme="minorEastAsia" w:hint="eastAsia"/>
          <w:color w:val="000000" w:themeColor="text1"/>
        </w:rPr>
        <w:t>1、依法募集资金，办理基金份额的发售和登记事宜；</w:t>
      </w:r>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bookmarkStart w:id="11" w:name="_Toc332373452"/>
      <w:r w:rsidRPr="00FD5C9F">
        <w:rPr>
          <w:rStyle w:val="da"/>
          <w:rFonts w:asciiTheme="minorEastAsia" w:eastAsiaTheme="minorEastAsia" w:hAnsiTheme="minorEastAsia" w:hint="eastAsia"/>
          <w:color w:val="000000" w:themeColor="text1"/>
        </w:rPr>
        <w:t>2、办理基金备案手续；</w:t>
      </w:r>
      <w:bookmarkEnd w:id="11"/>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3、对所管理的不同基金财产分别管理、分别记账，进行证券投资；</w:t>
      </w:r>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4、按照基金合同的约定及时向基金份额持有人分配收益；</w:t>
      </w:r>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5、进行基金会计核算并编制基金财务会计报告；</w:t>
      </w:r>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6、编制</w:t>
      </w:r>
      <w:r w:rsidRPr="00FD5C9F" w:rsidR="00634EDD">
        <w:rPr>
          <w:rStyle w:val="da"/>
          <w:rFonts w:asciiTheme="minorEastAsia" w:eastAsiaTheme="minorEastAsia" w:hAnsiTheme="minorEastAsia" w:hint="eastAsia"/>
          <w:color w:val="000000" w:themeColor="text1"/>
        </w:rPr>
        <w:t>季度报告、中期报告和年度报告</w:t>
      </w:r>
      <w:r w:rsidRPr="00FD5C9F">
        <w:rPr>
          <w:rStyle w:val="da"/>
          <w:rFonts w:asciiTheme="minorEastAsia" w:eastAsiaTheme="minorEastAsia" w:hAnsiTheme="minorEastAsia" w:hint="eastAsia"/>
          <w:color w:val="000000" w:themeColor="text1"/>
        </w:rPr>
        <w:t>；</w:t>
      </w:r>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7、计算并公告</w:t>
      </w:r>
      <w:r w:rsidRPr="00FD5C9F" w:rsidR="00634EDD">
        <w:rPr>
          <w:rStyle w:val="da"/>
          <w:rFonts w:asciiTheme="minorEastAsia" w:eastAsiaTheme="minorEastAsia" w:hAnsiTheme="minorEastAsia" w:hint="eastAsia"/>
          <w:color w:val="000000" w:themeColor="text1"/>
        </w:rPr>
        <w:t>基金净值信息</w:t>
      </w:r>
      <w:r w:rsidRPr="00FD5C9F" w:rsidR="00FF3FA9">
        <w:rPr>
          <w:rStyle w:val="da"/>
          <w:rFonts w:asciiTheme="minorEastAsia" w:eastAsiaTheme="minorEastAsia" w:hAnsiTheme="minorEastAsia" w:hint="eastAsia"/>
          <w:color w:val="000000" w:themeColor="text1"/>
        </w:rPr>
        <w:t>，确定基金份额申购、赎回价格</w:t>
      </w:r>
      <w:r w:rsidRPr="00FD5C9F">
        <w:rPr>
          <w:rStyle w:val="da"/>
          <w:rFonts w:asciiTheme="minorEastAsia" w:eastAsiaTheme="minorEastAsia" w:hAnsiTheme="minorEastAsia" w:hint="eastAsia"/>
          <w:color w:val="000000" w:themeColor="text1"/>
        </w:rPr>
        <w:t>；</w:t>
      </w:r>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bookmarkStart w:id="12" w:name="_Toc332373453"/>
      <w:r w:rsidRPr="00FD5C9F">
        <w:rPr>
          <w:rStyle w:val="da"/>
          <w:rFonts w:asciiTheme="minorEastAsia" w:eastAsiaTheme="minorEastAsia" w:hAnsiTheme="minorEastAsia" w:hint="eastAsia"/>
          <w:color w:val="000000" w:themeColor="text1"/>
        </w:rPr>
        <w:t>8、办理与基金财产管理业务活动有关的信息披露事项；</w:t>
      </w:r>
      <w:bookmarkEnd w:id="12"/>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9、按照规定召集基金份额持有人大会；</w:t>
      </w:r>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bookmarkStart w:id="13" w:name="_Toc332373454"/>
      <w:r w:rsidRPr="00FD5C9F">
        <w:rPr>
          <w:rStyle w:val="da"/>
          <w:rFonts w:asciiTheme="minorEastAsia" w:eastAsiaTheme="minorEastAsia" w:hAnsiTheme="minorEastAsia" w:hint="eastAsia"/>
          <w:color w:val="000000" w:themeColor="text1"/>
        </w:rPr>
        <w:t>10、保存基金财产管理业务活动的记录、账册、报表和其他相关资料；</w:t>
      </w:r>
      <w:bookmarkEnd w:id="13"/>
    </w:p>
    <w:p w:rsidR="003059D7" w:rsidRPr="00FD5C9F" w:rsidP="003059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3059D7" w:rsidRPr="00FD5C9F" w:rsidP="003059D7">
      <w:pPr>
        <w:spacing w:line="360" w:lineRule="auto"/>
        <w:ind w:firstLine="420"/>
        <w:rPr>
          <w:rFonts w:asciiTheme="minorEastAsia" w:eastAsiaTheme="minorEastAsia" w:hAnsiTheme="minorEastAsia"/>
          <w:color w:val="000000" w:themeColor="text1"/>
          <w:kern w:val="0"/>
        </w:rPr>
      </w:pPr>
      <w:r w:rsidRPr="00FD5C9F">
        <w:rPr>
          <w:rStyle w:val="da"/>
          <w:rFonts w:asciiTheme="minorEastAsia" w:eastAsiaTheme="minorEastAsia" w:hAnsiTheme="minorEastAsia" w:hint="eastAsia"/>
          <w:color w:val="000000" w:themeColor="text1"/>
        </w:rPr>
        <w:t>12、中国证监会规定的其他职责</w:t>
      </w:r>
      <w:r w:rsidRPr="00FD5C9F">
        <w:rPr>
          <w:rFonts w:asciiTheme="minorEastAsia" w:eastAsiaTheme="minorEastAsia" w:hAnsiTheme="minorEastAsia"/>
          <w:color w:val="000000" w:themeColor="text1"/>
          <w:kern w:val="0"/>
        </w:rPr>
        <w:t>。</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（四）基金管理人的承诺</w:t>
      </w:r>
      <w:bookmarkEnd w:id="10"/>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bookmarkStart w:id="14" w:name="_Toc332373456"/>
      <w:r w:rsidRPr="00FD5C9F">
        <w:rPr>
          <w:rStyle w:val="da"/>
          <w:rFonts w:asciiTheme="minorEastAsia" w:eastAsiaTheme="minorEastAsia" w:hAnsiTheme="minorEastAsia" w:hint="eastAsia"/>
          <w:color w:val="000000" w:themeColor="text1"/>
        </w:rPr>
        <w:t>（</w:t>
      </w:r>
      <w:r w:rsidRPr="00FD5C9F" w:rsidR="002F62DA">
        <w:rPr>
          <w:rStyle w:val="da"/>
          <w:rFonts w:asciiTheme="minorEastAsia" w:eastAsiaTheme="minorEastAsia" w:hAnsiTheme="minorEastAsia" w:hint="eastAsia"/>
          <w:color w:val="000000" w:themeColor="text1"/>
        </w:rPr>
        <w:t>1</w:t>
      </w:r>
      <w:r w:rsidRPr="00FD5C9F">
        <w:rPr>
          <w:rStyle w:val="da"/>
          <w:rFonts w:asciiTheme="minorEastAsia" w:eastAsiaTheme="minorEastAsia" w:hAnsiTheme="minorEastAsia" w:hint="eastAsia"/>
          <w:color w:val="000000" w:themeColor="text1"/>
        </w:rPr>
        <w:t>）将其固有财产或者他人财产混同于基金财产从事证券投资；</w:t>
      </w:r>
      <w:bookmarkEnd w:id="14"/>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D55E50">
        <w:rPr>
          <w:rStyle w:val="da"/>
          <w:rFonts w:asciiTheme="minorEastAsia" w:eastAsiaTheme="minorEastAsia" w:hAnsiTheme="minorEastAsia" w:hint="eastAsia"/>
          <w:color w:val="000000" w:themeColor="text1"/>
        </w:rPr>
        <w:t>2</w:t>
      </w:r>
      <w:r w:rsidRPr="00FD5C9F">
        <w:rPr>
          <w:rStyle w:val="da"/>
          <w:rFonts w:asciiTheme="minorEastAsia" w:eastAsiaTheme="minorEastAsia" w:hAnsiTheme="minorEastAsia" w:hint="eastAsia"/>
          <w:color w:val="000000" w:themeColor="text1"/>
        </w:rPr>
        <w:t>）不公平地对待其管理的不同基金财产；</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bookmarkStart w:id="15" w:name="_Toc332373457"/>
      <w:r w:rsidRPr="00FD5C9F">
        <w:rPr>
          <w:rStyle w:val="da"/>
          <w:rFonts w:asciiTheme="minorEastAsia" w:eastAsiaTheme="minorEastAsia" w:hAnsiTheme="minorEastAsia" w:hint="eastAsia"/>
          <w:color w:val="000000" w:themeColor="text1"/>
        </w:rPr>
        <w:t>（</w:t>
      </w:r>
      <w:r w:rsidRPr="00FD5C9F" w:rsidR="00D55E50">
        <w:rPr>
          <w:rStyle w:val="da"/>
          <w:rFonts w:asciiTheme="minorEastAsia" w:eastAsiaTheme="minorEastAsia" w:hAnsiTheme="minorEastAsia" w:hint="eastAsia"/>
          <w:color w:val="000000" w:themeColor="text1"/>
        </w:rPr>
        <w:t>3</w:t>
      </w:r>
      <w:r w:rsidRPr="00FD5C9F">
        <w:rPr>
          <w:rStyle w:val="da"/>
          <w:rFonts w:asciiTheme="minorEastAsia" w:eastAsiaTheme="minorEastAsia" w:hAnsiTheme="minorEastAsia" w:hint="eastAsia"/>
          <w:color w:val="000000" w:themeColor="text1"/>
        </w:rPr>
        <w:t>）利用基金财产为基金份额持有人以外的第三人谋取利益；</w:t>
      </w:r>
      <w:bookmarkEnd w:id="15"/>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D55E50">
        <w:rPr>
          <w:rStyle w:val="da"/>
          <w:rFonts w:asciiTheme="minorEastAsia" w:eastAsiaTheme="minorEastAsia" w:hAnsiTheme="minorEastAsia" w:hint="eastAsia"/>
          <w:color w:val="000000" w:themeColor="text1"/>
        </w:rPr>
        <w:t>4</w:t>
      </w:r>
      <w:r w:rsidRPr="00FD5C9F">
        <w:rPr>
          <w:rStyle w:val="da"/>
          <w:rFonts w:asciiTheme="minorEastAsia" w:eastAsiaTheme="minorEastAsia" w:hAnsiTheme="minorEastAsia" w:hint="eastAsia"/>
          <w:color w:val="000000" w:themeColor="text1"/>
        </w:rPr>
        <w:t>）向基金份额持有人违规承诺收益或者承担损失；</w:t>
      </w:r>
    </w:p>
    <w:p w:rsidR="005D7F94" w:rsidRPr="00FD5C9F" w:rsidP="005D7F9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（5）侵占、挪用基金财产；</w:t>
      </w:r>
    </w:p>
    <w:p w:rsidR="005D7F94" w:rsidRPr="00FD5C9F" w:rsidP="005D7F9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（6）</w:t>
      </w:r>
      <w:r w:rsidRPr="00FD5C9F" w:rsidR="00570D29">
        <w:rPr>
          <w:rStyle w:val="da"/>
          <w:rFonts w:asciiTheme="minorEastAsia" w:eastAsiaTheme="minorEastAsia" w:hAnsiTheme="minorEastAsia" w:hint="eastAsia"/>
          <w:color w:val="000000" w:themeColor="text1"/>
        </w:rPr>
        <w:t>泄露</w:t>
      </w:r>
      <w:r w:rsidRPr="00FD5C9F">
        <w:rPr>
          <w:rStyle w:val="da"/>
          <w:rFonts w:asciiTheme="minorEastAsia" w:eastAsiaTheme="minorEastAsia" w:hAnsiTheme="minorEastAsia" w:hint="eastAsia"/>
          <w:color w:val="000000" w:themeColor="text1"/>
        </w:rPr>
        <w:t>因职务便利获取的未公开信息、利用该信息从事或者明示、暗示他人从事相关的交易活动；</w:t>
      </w:r>
    </w:p>
    <w:p w:rsidR="005D7F94" w:rsidRPr="00FD5C9F" w:rsidP="005D7F9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（7）玩忽职守，不按照规定履行职责；</w:t>
      </w:r>
    </w:p>
    <w:p w:rsidR="00B918DA" w:rsidRPr="00FD5C9F" w:rsidP="005D7F9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（8）法律、行政法规和中国证监会禁止的其他行为。</w:t>
      </w:r>
    </w:p>
    <w:p w:rsidR="00BA4B87" w:rsidRPr="00FD5C9F" w:rsidP="005D7F9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1</w:t>
      </w:r>
      <w:r w:rsidRPr="00FD5C9F">
        <w:rPr>
          <w:rStyle w:val="da"/>
          <w:rFonts w:asciiTheme="minorEastAsia" w:eastAsiaTheme="minorEastAsia" w:hAnsiTheme="minorEastAsia" w:hint="eastAsia"/>
          <w:color w:val="000000" w:themeColor="text1"/>
        </w:rPr>
        <w:t>）越权或违规经营；</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2</w:t>
      </w:r>
      <w:r w:rsidRPr="00FD5C9F">
        <w:rPr>
          <w:rStyle w:val="da"/>
          <w:rFonts w:asciiTheme="minorEastAsia" w:eastAsiaTheme="minorEastAsia" w:hAnsiTheme="minorEastAsia" w:hint="eastAsia"/>
          <w:color w:val="000000" w:themeColor="text1"/>
        </w:rPr>
        <w:t>）违反基金合同或托管协议；</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3</w:t>
      </w:r>
      <w:r w:rsidRPr="00FD5C9F">
        <w:rPr>
          <w:rStyle w:val="da"/>
          <w:rFonts w:asciiTheme="minorEastAsia" w:eastAsiaTheme="minorEastAsia" w:hAnsiTheme="minorEastAsia" w:hint="eastAsia"/>
          <w:color w:val="000000" w:themeColor="text1"/>
        </w:rPr>
        <w:t>）故意损害基金份额持有人或其他基金相关机构的合法利益；</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bookmarkStart w:id="16" w:name="_Toc332373458"/>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4</w:t>
      </w:r>
      <w:r w:rsidRPr="00FD5C9F">
        <w:rPr>
          <w:rStyle w:val="da"/>
          <w:rFonts w:asciiTheme="minorEastAsia" w:eastAsiaTheme="minorEastAsia" w:hAnsiTheme="minorEastAsia" w:hint="eastAsia"/>
          <w:color w:val="000000" w:themeColor="text1"/>
        </w:rPr>
        <w:t>）在向中国证监会报送的资料中弄虚作假；</w:t>
      </w:r>
      <w:bookmarkEnd w:id="16"/>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5</w:t>
      </w:r>
      <w:r w:rsidRPr="00FD5C9F">
        <w:rPr>
          <w:rStyle w:val="da"/>
          <w:rFonts w:asciiTheme="minorEastAsia" w:eastAsiaTheme="minorEastAsia" w:hAnsiTheme="minorEastAsia" w:hint="eastAsia"/>
          <w:color w:val="000000" w:themeColor="text1"/>
        </w:rPr>
        <w:t>）拒绝、干扰、阻挠或严重影响中国证监会依法监管；</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bookmarkStart w:id="17" w:name="_Toc332373459"/>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6</w:t>
      </w:r>
      <w:r w:rsidRPr="00FD5C9F">
        <w:rPr>
          <w:rStyle w:val="da"/>
          <w:rFonts w:asciiTheme="minorEastAsia" w:eastAsiaTheme="minorEastAsia" w:hAnsiTheme="minorEastAsia" w:hint="eastAsia"/>
          <w:color w:val="000000" w:themeColor="text1"/>
        </w:rPr>
        <w:t>）玩忽职守、滥用职权；</w:t>
      </w:r>
      <w:bookmarkEnd w:id="17"/>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7</w:t>
      </w:r>
      <w:r w:rsidRPr="00FD5C9F">
        <w:rPr>
          <w:rStyle w:val="da"/>
          <w:rFonts w:asciiTheme="minorEastAsia" w:eastAsiaTheme="minorEastAsia" w:hAnsiTheme="minorEastAsia" w:hint="eastAsia"/>
          <w:color w:val="000000" w:themeColor="text1"/>
        </w:rPr>
        <w:t>）违反现行有效的有关法律、法规、规章、基金合同和中国证监会的有关规定，泄</w:t>
      </w:r>
      <w:r w:rsidRPr="00FD5C9F" w:rsidR="000F6E00">
        <w:rPr>
          <w:rStyle w:val="da"/>
          <w:rFonts w:asciiTheme="minorEastAsia" w:eastAsiaTheme="minorEastAsia" w:hAnsiTheme="minorEastAsia" w:hint="eastAsia"/>
          <w:color w:val="000000" w:themeColor="text1"/>
        </w:rPr>
        <w:t>露</w:t>
      </w:r>
      <w:r w:rsidRPr="00FD5C9F">
        <w:rPr>
          <w:rStyle w:val="da"/>
          <w:rFonts w:asciiTheme="minorEastAsia" w:eastAsiaTheme="minorEastAsia" w:hAnsiTheme="minorEastAsia" w:hint="eastAsia"/>
          <w:color w:val="000000" w:themeColor="text1"/>
        </w:rPr>
        <w:t>在任职期间知悉的有关证券、基金的商业秘密，尚未依法公开的基金投资内容、基金投资计划等信息；</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8</w:t>
      </w:r>
      <w:r w:rsidRPr="00FD5C9F">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9</w:t>
      </w:r>
      <w:r w:rsidRPr="00FD5C9F">
        <w:rPr>
          <w:rStyle w:val="da"/>
          <w:rFonts w:asciiTheme="minorEastAsia" w:eastAsiaTheme="minorEastAsia" w:hAnsiTheme="minorEastAsia" w:hint="eastAsia"/>
          <w:color w:val="000000" w:themeColor="text1"/>
        </w:rPr>
        <w:t>）贬损同行，以抬高自己；</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10</w:t>
      </w:r>
      <w:r w:rsidRPr="00FD5C9F">
        <w:rPr>
          <w:rStyle w:val="da"/>
          <w:rFonts w:asciiTheme="minorEastAsia" w:eastAsiaTheme="minorEastAsia" w:hAnsiTheme="minorEastAsia" w:hint="eastAsia"/>
          <w:color w:val="000000" w:themeColor="text1"/>
        </w:rPr>
        <w:t>）以不正当手段谋求业务发展；</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11</w:t>
      </w:r>
      <w:r w:rsidRPr="00FD5C9F">
        <w:rPr>
          <w:rStyle w:val="da"/>
          <w:rFonts w:asciiTheme="minorEastAsia" w:eastAsiaTheme="minorEastAsia" w:hAnsiTheme="minorEastAsia" w:hint="eastAsia"/>
          <w:color w:val="000000" w:themeColor="text1"/>
        </w:rPr>
        <w:t>）有悖社会公德，损害证券投资基金人员形象；</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12</w:t>
      </w:r>
      <w:r w:rsidRPr="00FD5C9F">
        <w:rPr>
          <w:rStyle w:val="da"/>
          <w:rFonts w:asciiTheme="minorEastAsia" w:eastAsiaTheme="minorEastAsia" w:hAnsiTheme="minorEastAsia" w:hint="eastAsia"/>
          <w:color w:val="000000" w:themeColor="text1"/>
        </w:rPr>
        <w:t>）在公开信息披露和广告中故意含有虚假、误导、欺诈成分；</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A2578B">
        <w:rPr>
          <w:rStyle w:val="da"/>
          <w:rFonts w:asciiTheme="minorEastAsia" w:eastAsiaTheme="minorEastAsia" w:hAnsiTheme="minorEastAsia" w:hint="eastAsia"/>
          <w:color w:val="000000" w:themeColor="text1"/>
        </w:rPr>
        <w:t>13</w:t>
      </w:r>
      <w:r w:rsidRPr="00FD5C9F">
        <w:rPr>
          <w:rStyle w:val="da"/>
          <w:rFonts w:asciiTheme="minorEastAsia" w:eastAsiaTheme="minorEastAsia" w:hAnsiTheme="minorEastAsia" w:hint="eastAsia"/>
          <w:color w:val="000000" w:themeColor="text1"/>
        </w:rPr>
        <w:t>）其他法律、行政法规以及中国证监会禁止的行为。</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bookmarkStart w:id="18" w:name="_Toc332373460"/>
      <w:r w:rsidRPr="00FD5C9F">
        <w:rPr>
          <w:rStyle w:val="da"/>
          <w:rFonts w:asciiTheme="minorEastAsia" w:eastAsiaTheme="minorEastAsia" w:hAnsiTheme="minorEastAsia" w:hint="eastAsia"/>
          <w:color w:val="000000" w:themeColor="text1"/>
        </w:rPr>
        <w:t>4、基金经理承诺</w:t>
      </w:r>
      <w:bookmarkEnd w:id="18"/>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bookmarkStart w:id="19" w:name="_Toc332373461"/>
      <w:r w:rsidRPr="00FD5C9F">
        <w:rPr>
          <w:rStyle w:val="da"/>
          <w:rFonts w:asciiTheme="minorEastAsia" w:eastAsiaTheme="minorEastAsia" w:hAnsiTheme="minorEastAsia" w:hint="eastAsia"/>
          <w:color w:val="000000" w:themeColor="text1"/>
        </w:rPr>
        <w:t>（2）不利用职务之便为自己及其代理人、受雇人或任何第三人谋取利益；</w:t>
      </w:r>
      <w:bookmarkEnd w:id="19"/>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（3）不违反现行有效的有关法律、法规、规章、基金合同和中国证监会的有关规定，</w:t>
      </w:r>
      <w:r w:rsidRPr="00FD5C9F" w:rsidR="00570D29">
        <w:rPr>
          <w:rStyle w:val="da"/>
          <w:rFonts w:asciiTheme="minorEastAsia" w:eastAsiaTheme="minorEastAsia" w:hAnsiTheme="minorEastAsia" w:hint="eastAsia"/>
          <w:color w:val="000000" w:themeColor="text1"/>
        </w:rPr>
        <w:t>泄露</w:t>
      </w:r>
      <w:r w:rsidRPr="00FD5C9F">
        <w:rPr>
          <w:rStyle w:val="da"/>
          <w:rFonts w:asciiTheme="minorEastAsia" w:eastAsiaTheme="minorEastAsia" w:hAnsiTheme="minorEastAsia" w:hint="eastAsia"/>
          <w:color w:val="000000" w:themeColor="text1"/>
        </w:rPr>
        <w:t>在任职期间知悉的有关证券、基金的商业秘密、尚未依法公开的基金投资内容、基金投资计划等信息；</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bookmarkStart w:id="20" w:name="_Toc332373462"/>
      <w:r w:rsidRPr="00FD5C9F">
        <w:rPr>
          <w:rStyle w:val="da"/>
          <w:rFonts w:asciiTheme="minorEastAsia" w:eastAsiaTheme="minorEastAsia" w:hAnsiTheme="minorEastAsia" w:hint="eastAsia"/>
          <w:color w:val="000000" w:themeColor="text1"/>
        </w:rPr>
        <w:t>（五）基金管理人的内部控制制度</w:t>
      </w:r>
      <w:bookmarkEnd w:id="20"/>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1、公司内部控制的总体目标</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（1）保证公司经营管理活动的合法合规性；</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（2）保证各类基金份额持有人及委托人的合法权益不受侵犯；</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（4）督促公司全体员工恪守职业操守，正直诚信，廉洁自律，勤勉尽责；</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（5）维护公司的声誉，保持公司的良好形象。</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2、公司内部控制遵循的原则</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（2）有效性原则。通过科学的内控手段和方法，建立合理的内控程序，维护内控制度的有效执行。</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（4）相互制约原则。公司内部部门和岗位的设置应当体现权责分明、相互制衡。</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3、内部控制的制度体系</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4、关于授权、研究、投资、交易等方面的控制点</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（1）授权制度</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（2）公司研究业务</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（3）基金投资业务</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（4）交易业务</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（5）基金会计核算</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（6）信息披露</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（7）监察与合规管理</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5、基金管理人关于内部控制制度声明书</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（1）本公司承诺以上关于内部控制制度的披露真实、准确；</w:t>
      </w:r>
    </w:p>
    <w:p w:rsidR="00BA4B87" w:rsidRPr="00FD5C9F" w:rsidP="00541082">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052C9F">
        <w:rPr>
          <w:rStyle w:val="da"/>
          <w:rFonts w:asciiTheme="minorEastAsia" w:eastAsiaTheme="minorEastAsia" w:hAnsiTheme="minorEastAsia" w:hint="eastAsia"/>
          <w:color w:val="000000" w:themeColor="text1"/>
        </w:rPr>
        <w:t>2</w:t>
      </w:r>
      <w:r w:rsidRPr="00FD5C9F">
        <w:rPr>
          <w:rStyle w:val="da"/>
          <w:rFonts w:asciiTheme="minorEastAsia" w:eastAsiaTheme="minorEastAsia" w:hAnsiTheme="minorEastAsia" w:hint="eastAsia"/>
          <w:color w:val="000000" w:themeColor="text1"/>
        </w:rPr>
        <w:t>）本公司承诺根据市场变化和公司业务发展不断完善内部控制制度。</w:t>
      </w:r>
    </w:p>
    <w:p w:rsidR="00BA4B87" w:rsidRPr="00FD5C9F" w:rsidP="009A5A64">
      <w:pPr>
        <w:pStyle w:val="Heading1"/>
        <w:spacing w:before="317" w:after="317" w:line="360" w:lineRule="auto"/>
        <w:ind w:firstLine="640"/>
        <w:rPr>
          <w:rFonts w:asciiTheme="minorEastAsia" w:eastAsiaTheme="minorEastAsia" w:hAnsiTheme="minorEastAsia"/>
          <w:color w:val="000000" w:themeColor="text1"/>
        </w:rPr>
      </w:pPr>
      <w:r w:rsidRPr="00FD5C9F">
        <w:rPr>
          <w:rFonts w:asciiTheme="minorEastAsia" w:eastAsiaTheme="minorEastAsia" w:hAnsiTheme="minorEastAsia" w:hint="eastAsia"/>
          <w:bCs/>
          <w:color w:val="000000" w:themeColor="text1"/>
        </w:rPr>
        <w:br w:type="column"/>
      </w:r>
      <w:bookmarkStart w:id="21" w:name="_Toc332373471"/>
      <w:bookmarkStart w:id="22" w:name="_Toc134547842"/>
      <w:r w:rsidRPr="00FD5C9F">
        <w:rPr>
          <w:rFonts w:asciiTheme="minorEastAsia" w:eastAsiaTheme="minorEastAsia" w:hAnsiTheme="minorEastAsia" w:hint="eastAsia"/>
          <w:color w:val="000000" w:themeColor="text1"/>
        </w:rPr>
        <w:t>四、基金托管人</w:t>
      </w:r>
      <w:bookmarkEnd w:id="21"/>
      <w:bookmarkEnd w:id="22"/>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（一）基金托管人概况</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1、基本情况</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名称：招商银行股份有限公司（以下简称“招商银行”）</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设立日期：1987年4月8日</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注册地址：深圳市深南大道7088号招商银行大厦</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办公地址：深圳市深南大道7088号招商银行大厦</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注册资本：252.20亿元</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法定代表人：缪建民</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行长：王良</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资产托管业务批准文号：证监基金字[2002]83号</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电话：0755-83199084</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传真：0755-83195201</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资产托管部信息披露负责人：张燕</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 xml:space="preserve">2、发展概况 </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2022年9月30日，本集团总资产97,071.11亿元人民币，高级法下资本充足率17.17%，权重法下资本充足率14.36%。</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150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2022年1月荣获中央国债登记结算有限责任公司“2021年度优秀资产托管机构、估值业务杰出机构”；9月荣获《财资》“中国最佳托管银行”“最佳公募基金托管银行”“最佳理财托管银行”三项大奖。</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（二）主要人员情况</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缪建民先生，本行董事长、非执行董事，2020年9月起担任本行董事、董事长。中央财经大学经济学博士，高级经济师。中国共产党第十九届、二十届中央委员会候补委员。招商局集团有限公司董事长。曾任中国人寿保险（集团）公司副董事长、总裁，中国人民保险 集团股份有限公司副董事长、总裁、董事长，曾兼任中国人民财产保险股份有限公司董事长，中国人保资产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王良先生，本公司执行董事、党委书记、行长，兼任财务负责人、董事会秘书。中国人民大学硕士研究生学历，高级经济师。1995年6月加入本公司北京分行，自2001年10月起历任本公司北京分行行长助理、副行长、行长，2012年6月任本公司行长助理兼任北京分行行长，2013年11月不再兼任本公司北京分行行长，2015年1月任本公司副行长，2016年11月至2019年4月兼任本公司董事会秘书，2019年4月起兼任本公司财务负责人，2021年8月起任本公司常务副行长兼任董事会秘书、公司秘书及香港上市相关事宜之授权代表，2022年4月18日起全面主持本公司工作，2022年5月19日起任本公司党委书记，2022年6月15日起任本公司行长。兼任中国支付清算协会副会长、中国银保监会数据治理高层指导协调委员会委员、中国银行业协会中间业务专业委员会第四届主任、中国金融会计学会第六届常务理事。</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孙乐女士，招商银行资产托管部总经理，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（三）基金托管业务经营情况</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截至2022年9月30日，招商银行股份有限公司累计托管1129只证券投资基金。</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（四）托管人的内部控制制度</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1.内部控制目标</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2.内部控制组织结构</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招商银行资产托管业务建立三级内部控制及风险防范体系：</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一级内部控制及风险防范是在招商银行总行风险管控层面对风险进行预防和控制；总行风险管理部、法律合规部、审计部独立对资产托管业务进行评估监督，并提出内控提升管理建议。</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二级内部控制及风险防范是招商银行资产托管部设立风险合规管理相关团队，负责部门内部风险预防和控制，及时发现内部控制缺陷，提出整改方案，跟踪整改情况，并直接向部门总经理室报告。</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三级内部控制及风险防范是招商银行资产托管部在设置专业岗位时，遵循内控制衡原则，视业务的风险程度制定相应监督制衡机制。</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3.内部控制原则</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（1）全面性原则。内部控制覆盖各项业务过程和操作环节、覆盖所有团队和岗位，并由全部人员参与。</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（2）审慎性原则。托管组织体系的构成、内部管理制度的建立均以防范风险、审慎经营为出发点，体现“内控优先”的要求。</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（3）独立性原则。招商银行资产托管部各团队、各岗位职责保持相对独立，不同托管资产之间、托管资产和自有资产之间相互分离。内部控制的检查、评价部门独立于内部控制的建立和执行部门。</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（5）适应性原则。内部控制适应招商银行托管业务风险管理的需要，并能够随着托管业务经营战略、经营方针、经营理念等内部环境的变化和国家法律、法规、政策制度等外部环境的改变及时进行修订和完善。</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 xml:space="preserve">（6）防火墙原则。招商银行资产托管部办公场地与我行其他业务场地隔离，办公网和业务网物理分离，部门业务网和全行业务网防火墙策略分离，以达到风险防范的目的。 </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（7）重要性原则。内部控制在实现全面控制的基础上，关注重要托管业务重要事项和高风险环节。</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（8）制衡性原则。内部控制能够实现在托管组织体系、机构设置、权责分配及业务流程等方面相互制约、相互监督，同时兼顾运营效率。</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4.内部控制措施</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完善的制度建设。招商银行资产托管部从资产托管业务内控管理、产品受理、会计核算、资金清算、岗位管理、档案管理和信息管理等方面制定一系列规章制度，建立了三层制度体系，即：基本规定、业务管理办法和业务操作规程。制度结构层次清晰、管理要求明确，满足风险管理全覆盖的要求，保证资产托管业务科学化、制度化、规范化运作。</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（2）业务信息风险控制。招商银行资产托管部在数据传输和保存方面有严格的加密和备份措施，采用加密、直连方式传输数据，数据执行异地实时备份，所有的业务信息须经过严格的授权方能进行访问。</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（3）客户资料风险控制。招商银行资产托管部对业务办理过程中获取的客户资料严格保密，除法律法规和其他有关规定、监管机构及审计要求外，不向任何机构、部门或个人泄露。</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（5）人力资源控制。招商银行资产托管部通过建立良好的企业文化和员工培训、激励机制、加强人力资源管理及建立人才梯级队伍及人才储备机制，有效地进行人力资源管理。</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（五）基金托管人对基金管理人运作基金进行监督的方法和程序</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根据《中华人民共和国证券投资基金法》《公开募集证券投资基金运作管理办法》等有关法律法规的规定及基金合同、托管协议的约定，对基金投资范围、投资比例、投资组合等情况的合法性、合规性进行监督和核查。</w:t>
      </w:r>
    </w:p>
    <w:p w:rsidR="00FD7100" w:rsidRPr="00FD5C9F" w:rsidP="00FD7100">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E4194A" w:rsidRPr="00FD5C9F" w:rsidP="00FD7100">
      <w:pPr>
        <w:spacing w:line="360" w:lineRule="auto"/>
        <w:ind w:firstLine="420" w:firstLineChars="200"/>
        <w:rPr>
          <w:rFonts w:asciiTheme="minorEastAsia" w:eastAsiaTheme="minorEastAsia" w:hAnsiTheme="minorEastAsia"/>
          <w:color w:val="000000" w:themeColor="text1"/>
          <w:kern w:val="36"/>
          <w:szCs w:val="21"/>
        </w:rPr>
      </w:pPr>
      <w:r w:rsidRPr="00FD5C9F">
        <w:rPr>
          <w:rFonts w:asciiTheme="minorEastAsia" w:eastAsiaTheme="minorEastAsia" w:hAnsiTheme="minorEastAsia" w:hint="eastAsia"/>
          <w:color w:val="000000" w:themeColor="text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rsidR="00E4194A" w:rsidRPr="00FD5C9F" w:rsidP="00E4194A">
      <w:pPr>
        <w:widowControl/>
        <w:spacing w:line="360" w:lineRule="auto"/>
        <w:ind w:firstLine="420" w:firstLineChars="200"/>
        <w:jc w:val="left"/>
        <w:rPr>
          <w:rFonts w:asciiTheme="minorEastAsia" w:eastAsiaTheme="minorEastAsia" w:hAnsiTheme="minorEastAsia"/>
          <w:color w:val="000000" w:themeColor="text1"/>
          <w:szCs w:val="21"/>
        </w:rPr>
      </w:pPr>
    </w:p>
    <w:p w:rsidR="00B73111" w:rsidRPr="00FD5C9F">
      <w:pP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 xml:space="preserve"> </w:t>
      </w:r>
      <w:r w:rsidRPr="00FD5C9F">
        <w:rPr>
          <w:rFonts w:asciiTheme="minorEastAsia" w:eastAsiaTheme="minorEastAsia" w:hAnsiTheme="minorEastAsia"/>
          <w:color w:val="000000" w:themeColor="text1"/>
        </w:rPr>
        <w:br w:type="page"/>
      </w:r>
    </w:p>
    <w:p w:rsidR="00BA4B87" w:rsidRPr="00FD5C9F" w:rsidP="007D2B40">
      <w:pPr>
        <w:pStyle w:val="111"/>
        <w:spacing w:before="317" w:after="317" w:line="360" w:lineRule="auto"/>
        <w:ind w:firstLine="640"/>
        <w:rPr>
          <w:rFonts w:asciiTheme="minorEastAsia" w:eastAsiaTheme="minorEastAsia" w:hAnsiTheme="minorEastAsia"/>
          <w:color w:val="000000" w:themeColor="text1"/>
          <w:szCs w:val="32"/>
        </w:rPr>
      </w:pPr>
      <w:bookmarkStart w:id="23" w:name="_Toc332373481"/>
      <w:bookmarkStart w:id="24" w:name="_Toc134547843"/>
      <w:r w:rsidRPr="00FD5C9F">
        <w:rPr>
          <w:rFonts w:asciiTheme="minorEastAsia" w:eastAsiaTheme="minorEastAsia" w:hAnsiTheme="minorEastAsia" w:hint="eastAsia"/>
          <w:color w:val="000000" w:themeColor="text1"/>
          <w:szCs w:val="21"/>
        </w:rPr>
        <w:t>五、相关服务机构</w:t>
      </w:r>
      <w:bookmarkEnd w:id="23"/>
      <w:bookmarkEnd w:id="24"/>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bookmarkStart w:id="25" w:name="_Toc332373482"/>
      <w:r w:rsidRPr="00FD5C9F">
        <w:rPr>
          <w:rStyle w:val="da"/>
          <w:rFonts w:asciiTheme="minorEastAsia" w:eastAsiaTheme="minorEastAsia" w:hAnsiTheme="minorEastAsia" w:hint="eastAsia"/>
          <w:color w:val="000000" w:themeColor="text1"/>
        </w:rPr>
        <w:t>（一）基金份额</w:t>
      </w:r>
      <w:r w:rsidRPr="00FD5C9F" w:rsidR="001B048E">
        <w:rPr>
          <w:rStyle w:val="da"/>
          <w:rFonts w:asciiTheme="minorEastAsia" w:eastAsiaTheme="minorEastAsia" w:hAnsiTheme="minorEastAsia"/>
          <w:color w:val="000000" w:themeColor="text1"/>
        </w:rPr>
        <w:t>销售</w:t>
      </w:r>
      <w:r w:rsidRPr="00FD5C9F">
        <w:rPr>
          <w:rStyle w:val="da"/>
          <w:rFonts w:asciiTheme="minorEastAsia" w:eastAsiaTheme="minorEastAsia" w:hAnsiTheme="minorEastAsia" w:hint="eastAsia"/>
          <w:color w:val="000000" w:themeColor="text1"/>
        </w:rPr>
        <w:t>机构</w:t>
      </w:r>
      <w:bookmarkEnd w:id="25"/>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1、直销机构：易方达基金管理有限公司</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注册地址：广东省珠海市横琴新区荣粤道188号6层</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办公地址：广州市天河区珠江新城珠江东路30号广州银行大厦40-43楼</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法定代表人：刘晓艳</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电话：020-85102506</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传真：4008818099</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联系人：梁美</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网址：www.efunds.com.cn</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直销机构网点信息：</w:t>
      </w:r>
    </w:p>
    <w:p w:rsidR="003F4E9F" w:rsidRPr="00FD5C9F" w:rsidP="00BE23F6">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本公司直销中心和网上直销系统销售本基金，网点具体信息详见本公司网站。</w:t>
      </w:r>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w:t>
      </w:r>
      <w:r w:rsidRPr="00FD5C9F" w:rsidR="00CA069E">
        <w:rPr>
          <w:rStyle w:val="da"/>
          <w:rFonts w:asciiTheme="minorEastAsia" w:eastAsiaTheme="minorEastAsia" w:hAnsiTheme="minorEastAsia" w:hint="eastAsia"/>
          <w:color w:val="000000" w:themeColor="text1"/>
        </w:rPr>
        <w:t>非直销</w:t>
      </w:r>
      <w:r w:rsidRPr="00FD5C9F" w:rsidR="007520A0">
        <w:rPr>
          <w:rStyle w:val="da"/>
          <w:rFonts w:asciiTheme="minorEastAsia" w:eastAsiaTheme="minorEastAsia" w:hAnsiTheme="minorEastAsia" w:hint="eastAsia"/>
          <w:color w:val="000000" w:themeColor="text1"/>
        </w:rPr>
        <w:t>销售</w:t>
      </w:r>
      <w:r w:rsidRPr="00FD5C9F">
        <w:rPr>
          <w:rStyle w:val="da"/>
          <w:rFonts w:asciiTheme="minorEastAsia" w:eastAsiaTheme="minorEastAsia" w:hAnsiTheme="minorEastAsia" w:hint="eastAsia"/>
          <w:color w:val="000000" w:themeColor="text1"/>
        </w:rPr>
        <w:t>机构</w:t>
      </w:r>
    </w:p>
    <w:p w:rsidR="003F4E9F" w:rsidRPr="00FD5C9F">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本基金非直销销售机构信息详见基金管理人网站公示。</w:t>
      </w:r>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bookmarkStart w:id="26" w:name="_Toc332373483"/>
      <w:r w:rsidRPr="00FD5C9F">
        <w:rPr>
          <w:rStyle w:val="da"/>
          <w:rFonts w:asciiTheme="minorEastAsia" w:eastAsiaTheme="minorEastAsia" w:hAnsiTheme="minorEastAsia" w:hint="eastAsia"/>
          <w:color w:val="000000" w:themeColor="text1"/>
        </w:rPr>
        <w:t>（二）基金</w:t>
      </w:r>
      <w:bookmarkEnd w:id="26"/>
      <w:r w:rsidRPr="00FD5C9F" w:rsidR="006F2DCE">
        <w:rPr>
          <w:rStyle w:val="da"/>
          <w:rFonts w:asciiTheme="minorEastAsia" w:eastAsiaTheme="minorEastAsia" w:hAnsiTheme="minorEastAsia" w:hint="eastAsia"/>
          <w:color w:val="000000" w:themeColor="text1"/>
        </w:rPr>
        <w:t>登记机构</w:t>
      </w:r>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名称：易方达基金管理有限公司</w:t>
      </w:r>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注册地址：广东省珠海市横琴新区荣粤道188号6层</w:t>
      </w:r>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办公</w:t>
      </w:r>
      <w:r w:rsidRPr="00FD5C9F">
        <w:rPr>
          <w:rStyle w:val="da"/>
          <w:rFonts w:asciiTheme="minorEastAsia" w:eastAsiaTheme="minorEastAsia" w:hAnsiTheme="minorEastAsia" w:hint="eastAsia"/>
          <w:color w:val="000000" w:themeColor="text1"/>
        </w:rPr>
        <w:t>地址：</w:t>
      </w:r>
      <w:r w:rsidRPr="00FD5C9F" w:rsidR="007445A2">
        <w:rPr>
          <w:rFonts w:asciiTheme="minorEastAsia" w:eastAsiaTheme="minorEastAsia" w:hAnsiTheme="minorEastAsia" w:hint="eastAsia"/>
          <w:color w:val="000000" w:themeColor="text1"/>
        </w:rPr>
        <w:t>广州市天河区珠江新城珠江东路30号广州银行大厦40-43楼</w:t>
      </w:r>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法定代表人：</w:t>
      </w:r>
      <w:r w:rsidRPr="00FD5C9F" w:rsidR="004D5D9B">
        <w:rPr>
          <w:rStyle w:val="da"/>
          <w:rFonts w:asciiTheme="minorEastAsia" w:eastAsiaTheme="minorEastAsia" w:hAnsiTheme="minorEastAsia" w:hint="eastAsia"/>
          <w:color w:val="000000" w:themeColor="text1"/>
        </w:rPr>
        <w:t>刘晓艳</w:t>
      </w:r>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电话：4008818088</w:t>
      </w:r>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传真：</w:t>
      </w:r>
      <w:r w:rsidRPr="00FD5C9F">
        <w:rPr>
          <w:rStyle w:val="da"/>
          <w:rFonts w:asciiTheme="minorEastAsia" w:eastAsiaTheme="minorEastAsia" w:hAnsiTheme="minorEastAsia"/>
          <w:color w:val="000000" w:themeColor="text1"/>
        </w:rPr>
        <w:t>020</w:t>
      </w:r>
      <w:r w:rsidRPr="00FD5C9F">
        <w:rPr>
          <w:rStyle w:val="da"/>
          <w:rFonts w:asciiTheme="minorEastAsia" w:eastAsiaTheme="minorEastAsia" w:hAnsiTheme="minorEastAsia" w:hint="eastAsia"/>
          <w:color w:val="000000" w:themeColor="text1"/>
        </w:rPr>
        <w:t>-38799249</w:t>
      </w:r>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联系人：余贤高</w:t>
      </w:r>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bookmarkStart w:id="27" w:name="_Toc332373484"/>
      <w:r w:rsidRPr="00FD5C9F">
        <w:rPr>
          <w:rStyle w:val="da"/>
          <w:rFonts w:asciiTheme="minorEastAsia" w:eastAsiaTheme="minorEastAsia" w:hAnsiTheme="minorEastAsia" w:hint="eastAsia"/>
          <w:color w:val="000000" w:themeColor="text1"/>
        </w:rPr>
        <w:t>（三）律师事务所和经办律师</w:t>
      </w:r>
      <w:bookmarkEnd w:id="27"/>
    </w:p>
    <w:p w:rsidR="0068672C" w:rsidRPr="00FD5C9F" w:rsidP="0068672C">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律师事务所：广东金桥百信律师事务所</w:t>
      </w:r>
    </w:p>
    <w:p w:rsidR="00C52DC8" w:rsidRPr="00FD5C9F" w:rsidP="00A67953">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地址：广州市珠江新城珠江东路</w:t>
      </w:r>
      <w:r w:rsidRPr="00FD5C9F">
        <w:rPr>
          <w:rFonts w:asciiTheme="minorEastAsia" w:eastAsiaTheme="minorEastAsia" w:hAnsiTheme="minorEastAsia" w:cs="Arial"/>
          <w:color w:val="000000" w:themeColor="text1"/>
          <w:szCs w:val="21"/>
        </w:rPr>
        <w:t>16</w:t>
      </w:r>
      <w:r w:rsidRPr="00FD5C9F">
        <w:rPr>
          <w:rFonts w:asciiTheme="minorEastAsia" w:eastAsiaTheme="minorEastAsia" w:hAnsiTheme="minorEastAsia" w:cs="Arial" w:hint="eastAsia"/>
          <w:color w:val="000000" w:themeColor="text1"/>
          <w:szCs w:val="21"/>
        </w:rPr>
        <w:t>号高德置地冬广场</w:t>
      </w:r>
      <w:r w:rsidRPr="00FD5C9F">
        <w:rPr>
          <w:rFonts w:asciiTheme="minorEastAsia" w:eastAsiaTheme="minorEastAsia" w:hAnsiTheme="minorEastAsia" w:cs="Arial"/>
          <w:color w:val="000000" w:themeColor="text1"/>
          <w:szCs w:val="21"/>
        </w:rPr>
        <w:t>G</w:t>
      </w:r>
      <w:r w:rsidRPr="00FD5C9F">
        <w:rPr>
          <w:rFonts w:asciiTheme="minorEastAsia" w:eastAsiaTheme="minorEastAsia" w:hAnsiTheme="minorEastAsia" w:cs="Arial" w:hint="eastAsia"/>
          <w:color w:val="000000" w:themeColor="text1"/>
          <w:szCs w:val="21"/>
        </w:rPr>
        <w:t>座</w:t>
      </w:r>
      <w:r w:rsidRPr="00FD5C9F">
        <w:rPr>
          <w:rFonts w:asciiTheme="minorEastAsia" w:eastAsiaTheme="minorEastAsia" w:hAnsiTheme="minorEastAsia" w:cs="Arial"/>
          <w:color w:val="000000" w:themeColor="text1"/>
          <w:szCs w:val="21"/>
        </w:rPr>
        <w:t>24</w:t>
      </w:r>
      <w:r w:rsidRPr="00FD5C9F">
        <w:rPr>
          <w:rFonts w:asciiTheme="minorEastAsia" w:eastAsiaTheme="minorEastAsia" w:hAnsiTheme="minorEastAsia" w:cs="Arial" w:hint="eastAsia"/>
          <w:color w:val="000000" w:themeColor="text1"/>
          <w:szCs w:val="21"/>
        </w:rPr>
        <w:t>楼</w:t>
      </w:r>
      <w:r w:rsidRPr="00FD5C9F">
        <w:rPr>
          <w:rFonts w:asciiTheme="minorEastAsia" w:eastAsiaTheme="minorEastAsia" w:hAnsiTheme="minorEastAsia" w:cs="Arial"/>
          <w:color w:val="000000" w:themeColor="text1"/>
          <w:szCs w:val="21"/>
        </w:rPr>
        <w:br/>
      </w:r>
      <w:r w:rsidRPr="00FD5C9F">
        <w:rPr>
          <w:rFonts w:asciiTheme="minorEastAsia" w:eastAsiaTheme="minorEastAsia" w:hAnsiTheme="minorEastAsia" w:cs="Arial" w:hint="eastAsia"/>
          <w:color w:val="000000" w:themeColor="text1"/>
          <w:szCs w:val="21"/>
        </w:rPr>
        <w:t xml:space="preserve">    负责人：聂卫国</w:t>
      </w:r>
    </w:p>
    <w:p w:rsidR="00E5436B" w:rsidRPr="00FD5C9F" w:rsidP="00A67953">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电话：</w:t>
      </w:r>
      <w:r w:rsidRPr="00FD5C9F">
        <w:rPr>
          <w:rFonts w:asciiTheme="minorEastAsia" w:eastAsiaTheme="minorEastAsia" w:hAnsiTheme="minorEastAsia" w:cs="Arial"/>
          <w:color w:val="000000" w:themeColor="text1"/>
          <w:szCs w:val="21"/>
        </w:rPr>
        <w:t>020-83338668</w:t>
      </w:r>
    </w:p>
    <w:p w:rsidR="00E5436B" w:rsidRPr="00FD5C9F" w:rsidP="00A67953">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传真：</w:t>
      </w:r>
      <w:r w:rsidRPr="00FD5C9F">
        <w:rPr>
          <w:rFonts w:asciiTheme="minorEastAsia" w:eastAsiaTheme="minorEastAsia" w:hAnsiTheme="minorEastAsia" w:cs="Arial"/>
          <w:color w:val="000000" w:themeColor="text1"/>
          <w:szCs w:val="21"/>
        </w:rPr>
        <w:t>020-83338088</w:t>
      </w:r>
    </w:p>
    <w:p w:rsidR="00E5436B" w:rsidRPr="00FD5C9F" w:rsidP="00A67953">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经办律师：</w:t>
      </w:r>
      <w:r w:rsidRPr="00FD5C9F" w:rsidR="006B064A">
        <w:rPr>
          <w:rFonts w:asciiTheme="minorEastAsia" w:eastAsiaTheme="minorEastAsia" w:hAnsiTheme="minorEastAsia" w:cs="Arial" w:hint="eastAsia"/>
          <w:color w:val="000000" w:themeColor="text1"/>
          <w:szCs w:val="21"/>
        </w:rPr>
        <w:t>石向阳</w:t>
      </w:r>
      <w:r w:rsidRPr="00FD5C9F" w:rsidR="0032409E">
        <w:rPr>
          <w:rFonts w:asciiTheme="minorEastAsia" w:eastAsiaTheme="minorEastAsia" w:hAnsiTheme="minorEastAsia" w:cs="Arial" w:hint="eastAsia"/>
          <w:color w:val="000000" w:themeColor="text1"/>
          <w:szCs w:val="21"/>
        </w:rPr>
        <w:t>、</w:t>
      </w:r>
      <w:r w:rsidRPr="00FD5C9F" w:rsidR="006B064A">
        <w:rPr>
          <w:rFonts w:asciiTheme="minorEastAsia" w:eastAsiaTheme="minorEastAsia" w:hAnsiTheme="minorEastAsia" w:cs="Arial"/>
          <w:color w:val="000000" w:themeColor="text1"/>
          <w:szCs w:val="21"/>
        </w:rPr>
        <w:t>莫哲</w:t>
      </w:r>
    </w:p>
    <w:p w:rsidR="00E5436B" w:rsidRPr="00FD5C9F" w:rsidP="00A67953">
      <w:pPr>
        <w:spacing w:line="360" w:lineRule="auto"/>
        <w:ind w:firstLine="420" w:firstLineChars="200"/>
        <w:rPr>
          <w:rStyle w:val="da"/>
          <w:rFonts w:asciiTheme="minorEastAsia" w:eastAsiaTheme="minorEastAsia" w:hAnsiTheme="minorEastAsia"/>
          <w:color w:val="000000" w:themeColor="text1"/>
        </w:rPr>
      </w:pPr>
      <w:r w:rsidRPr="00FD5C9F">
        <w:rPr>
          <w:rFonts w:asciiTheme="minorEastAsia" w:eastAsiaTheme="minorEastAsia" w:hAnsiTheme="minorEastAsia" w:cs="Arial" w:hint="eastAsia"/>
          <w:color w:val="000000" w:themeColor="text1"/>
          <w:szCs w:val="21"/>
        </w:rPr>
        <w:t>联系人：</w:t>
      </w:r>
      <w:r w:rsidRPr="00FD5C9F" w:rsidR="008B324D">
        <w:rPr>
          <w:rFonts w:asciiTheme="minorEastAsia" w:eastAsiaTheme="minorEastAsia" w:hAnsiTheme="minorEastAsia" w:cs="Arial" w:hint="eastAsia"/>
          <w:color w:val="000000" w:themeColor="text1"/>
          <w:szCs w:val="21"/>
        </w:rPr>
        <w:t>石向阳</w:t>
      </w:r>
      <w:bookmarkStart w:id="28" w:name="_Toc332373485"/>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（四）会计师事务所和经办注册会计师</w:t>
      </w:r>
      <w:bookmarkEnd w:id="28"/>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hint="eastAsia"/>
          <w:color w:val="000000" w:themeColor="text1"/>
        </w:rPr>
        <w:t>本</w:t>
      </w:r>
      <w:r w:rsidRPr="00FD5C9F">
        <w:rPr>
          <w:rFonts w:asciiTheme="minorEastAsia" w:eastAsiaTheme="minorEastAsia" w:hAnsiTheme="minorEastAsia" w:cs="Arial" w:hint="eastAsia"/>
          <w:color w:val="000000" w:themeColor="text1"/>
          <w:szCs w:val="21"/>
        </w:rPr>
        <w:t>基金的法定验资机构为安永华明会计师事务所（特殊普通合伙）</w:t>
      </w:r>
      <w:r w:rsidRPr="00FD5C9F" w:rsidR="004F0610">
        <w:rPr>
          <w:rFonts w:asciiTheme="minorEastAsia" w:eastAsiaTheme="minorEastAsia" w:hAnsiTheme="minorEastAsia" w:cs="Arial" w:hint="eastAsia"/>
          <w:color w:val="000000" w:themeColor="text1"/>
          <w:szCs w:val="21"/>
        </w:rPr>
        <w:t>。</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会计师事务所：安永华明会计师事务所（特殊普通合伙）</w:t>
      </w:r>
      <w:r w:rsidRPr="00FD5C9F">
        <w:rPr>
          <w:rFonts w:asciiTheme="minorEastAsia" w:eastAsiaTheme="minorEastAsia" w:hAnsiTheme="minorEastAsia" w:cs="Arial"/>
          <w:color w:val="000000" w:themeColor="text1"/>
          <w:szCs w:val="21"/>
        </w:rPr>
        <w:t xml:space="preserve"> </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主要经营场所：北京市东城区东长安街</w:t>
      </w:r>
      <w:r w:rsidRPr="00FD5C9F">
        <w:rPr>
          <w:rFonts w:asciiTheme="minorEastAsia" w:eastAsiaTheme="minorEastAsia" w:hAnsiTheme="minorEastAsia" w:cs="Arial"/>
          <w:color w:val="000000" w:themeColor="text1"/>
          <w:szCs w:val="21"/>
        </w:rPr>
        <w:t>1</w:t>
      </w:r>
      <w:r w:rsidRPr="00FD5C9F">
        <w:rPr>
          <w:rFonts w:asciiTheme="minorEastAsia" w:eastAsiaTheme="minorEastAsia" w:hAnsiTheme="minorEastAsia" w:cs="Arial" w:hint="eastAsia"/>
          <w:color w:val="000000" w:themeColor="text1"/>
          <w:szCs w:val="21"/>
        </w:rPr>
        <w:t>号东方广场安永大楼</w:t>
      </w:r>
      <w:r w:rsidRPr="00FD5C9F">
        <w:rPr>
          <w:rFonts w:asciiTheme="minorEastAsia" w:eastAsiaTheme="minorEastAsia" w:hAnsiTheme="minorEastAsia" w:cs="Arial"/>
          <w:color w:val="000000" w:themeColor="text1"/>
          <w:szCs w:val="21"/>
        </w:rPr>
        <w:t>17</w:t>
      </w:r>
      <w:r w:rsidRPr="00FD5C9F">
        <w:rPr>
          <w:rFonts w:asciiTheme="minorEastAsia" w:eastAsiaTheme="minorEastAsia" w:hAnsiTheme="minorEastAsia" w:cs="Arial" w:hint="eastAsia"/>
          <w:color w:val="000000" w:themeColor="text1"/>
          <w:szCs w:val="21"/>
        </w:rPr>
        <w:t>层</w:t>
      </w:r>
      <w:r w:rsidRPr="00FD5C9F">
        <w:rPr>
          <w:rFonts w:asciiTheme="minorEastAsia" w:eastAsiaTheme="minorEastAsia" w:hAnsiTheme="minorEastAsia" w:cs="Arial"/>
          <w:color w:val="000000" w:themeColor="text1"/>
          <w:szCs w:val="21"/>
        </w:rPr>
        <w:t>01-12</w:t>
      </w:r>
      <w:r w:rsidRPr="00FD5C9F">
        <w:rPr>
          <w:rFonts w:asciiTheme="minorEastAsia" w:eastAsiaTheme="minorEastAsia" w:hAnsiTheme="minorEastAsia" w:cs="Arial" w:hint="eastAsia"/>
          <w:color w:val="000000" w:themeColor="text1"/>
          <w:szCs w:val="21"/>
        </w:rPr>
        <w:t>室</w:t>
      </w:r>
      <w:r w:rsidRPr="00FD5C9F">
        <w:rPr>
          <w:rFonts w:asciiTheme="minorEastAsia" w:eastAsiaTheme="minorEastAsia" w:hAnsiTheme="minorEastAsia" w:cs="Arial"/>
          <w:color w:val="000000" w:themeColor="text1"/>
          <w:szCs w:val="21"/>
        </w:rPr>
        <w:t xml:space="preserve"> </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执行事务合伙人：</w:t>
      </w:r>
      <w:r w:rsidRPr="00FD5C9F">
        <w:rPr>
          <w:rFonts w:asciiTheme="minorEastAsia" w:eastAsiaTheme="minorEastAsia" w:hAnsiTheme="minorEastAsia" w:cs="Arial"/>
          <w:color w:val="000000" w:themeColor="text1"/>
          <w:szCs w:val="21"/>
        </w:rPr>
        <w:t xml:space="preserve">Tony Mao </w:t>
      </w:r>
      <w:r w:rsidRPr="00FD5C9F">
        <w:rPr>
          <w:rFonts w:asciiTheme="minorEastAsia" w:eastAsiaTheme="minorEastAsia" w:hAnsiTheme="minorEastAsia" w:cs="Arial" w:hint="eastAsia"/>
          <w:color w:val="000000" w:themeColor="text1"/>
          <w:szCs w:val="21"/>
        </w:rPr>
        <w:t>毛鞍宁</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电话：</w:t>
      </w:r>
      <w:r w:rsidRPr="00FD5C9F">
        <w:rPr>
          <w:rFonts w:asciiTheme="minorEastAsia" w:eastAsiaTheme="minorEastAsia" w:hAnsiTheme="minorEastAsia" w:cs="Arial"/>
          <w:color w:val="000000" w:themeColor="text1"/>
          <w:szCs w:val="21"/>
        </w:rPr>
        <w:t xml:space="preserve">010-58153000 </w:t>
      </w:r>
    </w:p>
    <w:p w:rsidR="00295AAF" w:rsidRPr="00FD5C9F" w:rsidP="00295AAF">
      <w:pPr>
        <w:tabs>
          <w:tab w:val="left" w:pos="2730"/>
        </w:tabs>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传真：</w:t>
      </w:r>
      <w:r w:rsidRPr="00FD5C9F">
        <w:rPr>
          <w:rFonts w:asciiTheme="minorEastAsia" w:eastAsiaTheme="minorEastAsia" w:hAnsiTheme="minorEastAsia" w:cs="Arial"/>
          <w:color w:val="000000" w:themeColor="text1"/>
          <w:szCs w:val="21"/>
        </w:rPr>
        <w:t xml:space="preserve">010-85188298 </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经办注册会计师：</w:t>
      </w:r>
      <w:r w:rsidRPr="00FD5C9F">
        <w:rPr>
          <w:rFonts w:asciiTheme="minorEastAsia" w:eastAsiaTheme="minorEastAsia" w:hAnsiTheme="minorEastAsia" w:hint="eastAsia"/>
          <w:color w:val="000000" w:themeColor="text1"/>
        </w:rPr>
        <w:t>赵雅、马婧</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联系人：</w:t>
      </w:r>
      <w:r w:rsidRPr="00FD5C9F">
        <w:rPr>
          <w:rFonts w:asciiTheme="minorEastAsia" w:eastAsiaTheme="minorEastAsia" w:hAnsiTheme="minorEastAsia" w:hint="eastAsia"/>
          <w:color w:val="000000" w:themeColor="text1"/>
        </w:rPr>
        <w:t>赵雅</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本基金的年度财务报表及其他规定事项的审计机构为普华永道中天会计师事务所</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s="Arial" w:hint="eastAsia"/>
          <w:color w:val="000000" w:themeColor="text1"/>
          <w:szCs w:val="21"/>
        </w:rPr>
        <w:t>特殊普通合伙</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s="Arial" w:hint="eastAsia"/>
          <w:color w:val="000000" w:themeColor="text1"/>
          <w:szCs w:val="21"/>
        </w:rPr>
        <w:t>。</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会计师事务所：普华永道中天会计师事务所（特殊普通合伙）</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住所：上海市湖滨路</w:t>
      </w:r>
      <w:r w:rsidRPr="00FD5C9F">
        <w:rPr>
          <w:rFonts w:asciiTheme="minorEastAsia" w:eastAsiaTheme="minorEastAsia" w:hAnsiTheme="minorEastAsia" w:cs="Arial"/>
          <w:color w:val="000000" w:themeColor="text1"/>
          <w:szCs w:val="21"/>
        </w:rPr>
        <w:t>202</w:t>
      </w:r>
      <w:r w:rsidRPr="00FD5C9F">
        <w:rPr>
          <w:rFonts w:asciiTheme="minorEastAsia" w:eastAsiaTheme="minorEastAsia" w:hAnsiTheme="minorEastAsia" w:cs="Arial" w:hint="eastAsia"/>
          <w:color w:val="000000" w:themeColor="text1"/>
          <w:szCs w:val="21"/>
        </w:rPr>
        <w:t>号普华永道中心</w:t>
      </w:r>
      <w:r w:rsidRPr="00FD5C9F">
        <w:rPr>
          <w:rFonts w:asciiTheme="minorEastAsia" w:eastAsiaTheme="minorEastAsia" w:hAnsiTheme="minorEastAsia" w:cs="Arial"/>
          <w:color w:val="000000" w:themeColor="text1"/>
          <w:szCs w:val="21"/>
        </w:rPr>
        <w:t>11</w:t>
      </w:r>
      <w:r w:rsidRPr="00FD5C9F">
        <w:rPr>
          <w:rFonts w:asciiTheme="minorEastAsia" w:eastAsiaTheme="minorEastAsia" w:hAnsiTheme="minorEastAsia" w:cs="Arial" w:hint="eastAsia"/>
          <w:color w:val="000000" w:themeColor="text1"/>
          <w:szCs w:val="21"/>
        </w:rPr>
        <w:t>楼</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办公地址：上海市湖滨路</w:t>
      </w:r>
      <w:r w:rsidRPr="00FD5C9F">
        <w:rPr>
          <w:rFonts w:asciiTheme="minorEastAsia" w:eastAsiaTheme="minorEastAsia" w:hAnsiTheme="minorEastAsia" w:cs="Arial"/>
          <w:color w:val="000000" w:themeColor="text1"/>
          <w:szCs w:val="21"/>
        </w:rPr>
        <w:t>202</w:t>
      </w:r>
      <w:r w:rsidRPr="00FD5C9F">
        <w:rPr>
          <w:rFonts w:asciiTheme="minorEastAsia" w:eastAsiaTheme="minorEastAsia" w:hAnsiTheme="minorEastAsia" w:cs="Arial" w:hint="eastAsia"/>
          <w:color w:val="000000" w:themeColor="text1"/>
          <w:szCs w:val="21"/>
        </w:rPr>
        <w:t>号普华永道中心</w:t>
      </w:r>
      <w:r w:rsidRPr="00FD5C9F">
        <w:rPr>
          <w:rFonts w:asciiTheme="minorEastAsia" w:eastAsiaTheme="minorEastAsia" w:hAnsiTheme="minorEastAsia" w:cs="Arial"/>
          <w:color w:val="000000" w:themeColor="text1"/>
          <w:szCs w:val="21"/>
        </w:rPr>
        <w:t>11</w:t>
      </w:r>
      <w:r w:rsidRPr="00FD5C9F">
        <w:rPr>
          <w:rFonts w:asciiTheme="minorEastAsia" w:eastAsiaTheme="minorEastAsia" w:hAnsiTheme="minorEastAsia" w:cs="Arial" w:hint="eastAsia"/>
          <w:color w:val="000000" w:themeColor="text1"/>
          <w:szCs w:val="21"/>
        </w:rPr>
        <w:t>楼</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首席合伙人：李丹</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电话：（</w:t>
      </w:r>
      <w:r w:rsidRPr="00FD5C9F">
        <w:rPr>
          <w:rFonts w:asciiTheme="minorEastAsia" w:eastAsiaTheme="minorEastAsia" w:hAnsiTheme="minorEastAsia" w:cs="Arial"/>
          <w:color w:val="000000" w:themeColor="text1"/>
          <w:szCs w:val="21"/>
        </w:rPr>
        <w:t>021</w:t>
      </w:r>
      <w:r w:rsidRPr="00FD5C9F">
        <w:rPr>
          <w:rFonts w:asciiTheme="minorEastAsia" w:eastAsiaTheme="minorEastAsia" w:hAnsiTheme="minorEastAsia" w:cs="Arial" w:hint="eastAsia"/>
          <w:color w:val="000000" w:themeColor="text1"/>
          <w:szCs w:val="21"/>
        </w:rPr>
        <w:t>）</w:t>
      </w:r>
      <w:r w:rsidRPr="00FD5C9F">
        <w:rPr>
          <w:rFonts w:asciiTheme="minorEastAsia" w:eastAsiaTheme="minorEastAsia" w:hAnsiTheme="minorEastAsia" w:cs="Arial"/>
          <w:color w:val="000000" w:themeColor="text1"/>
          <w:szCs w:val="21"/>
        </w:rPr>
        <w:t>23238888</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传真：（</w:t>
      </w:r>
      <w:r w:rsidRPr="00FD5C9F">
        <w:rPr>
          <w:rFonts w:asciiTheme="minorEastAsia" w:eastAsiaTheme="minorEastAsia" w:hAnsiTheme="minorEastAsia" w:cs="Arial"/>
          <w:color w:val="000000" w:themeColor="text1"/>
          <w:szCs w:val="21"/>
        </w:rPr>
        <w:t>021</w:t>
      </w:r>
      <w:r w:rsidRPr="00FD5C9F">
        <w:rPr>
          <w:rFonts w:asciiTheme="minorEastAsia" w:eastAsiaTheme="minorEastAsia" w:hAnsiTheme="minorEastAsia" w:cs="Arial" w:hint="eastAsia"/>
          <w:color w:val="000000" w:themeColor="text1"/>
          <w:szCs w:val="21"/>
        </w:rPr>
        <w:t>）</w:t>
      </w:r>
      <w:r w:rsidRPr="00FD5C9F">
        <w:rPr>
          <w:rFonts w:asciiTheme="minorEastAsia" w:eastAsiaTheme="minorEastAsia" w:hAnsiTheme="minorEastAsia" w:cs="Arial"/>
          <w:color w:val="000000" w:themeColor="text1"/>
          <w:szCs w:val="21"/>
        </w:rPr>
        <w:t>23238800</w:t>
      </w:r>
    </w:p>
    <w:p w:rsidR="00295AAF" w:rsidRPr="00FD5C9F" w:rsidP="00295AAF">
      <w:pPr>
        <w:spacing w:line="360" w:lineRule="auto"/>
        <w:ind w:firstLine="420" w:firstLineChars="200"/>
        <w:rPr>
          <w:rFonts w:asciiTheme="minorEastAsia" w:eastAsiaTheme="minorEastAsia" w:hAnsiTheme="minorEastAsia" w:cs="Arial"/>
          <w:color w:val="000000" w:themeColor="text1"/>
        </w:rPr>
      </w:pPr>
      <w:r w:rsidRPr="00FD5C9F">
        <w:rPr>
          <w:rFonts w:asciiTheme="minorEastAsia" w:eastAsiaTheme="minorEastAsia" w:hAnsiTheme="minorEastAsia"/>
          <w:color w:val="000000" w:themeColor="text1"/>
        </w:rPr>
        <w:t>经办注册会计师：陈熹、陈轶杰</w:t>
      </w:r>
    </w:p>
    <w:p w:rsidR="00295AAF" w:rsidRPr="00FD5C9F" w:rsidP="00295AAF">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联系人：周祎</w:t>
      </w:r>
    </w:p>
    <w:p w:rsidR="00BA4B87" w:rsidRPr="00FD5C9F" w:rsidP="009A5A64">
      <w:pPr>
        <w:pStyle w:val="Heading1"/>
        <w:pageBreakBefore/>
        <w:spacing w:before="317" w:after="317" w:line="360" w:lineRule="auto"/>
        <w:ind w:firstLine="640"/>
        <w:rPr>
          <w:rFonts w:asciiTheme="minorEastAsia" w:eastAsiaTheme="minorEastAsia" w:hAnsiTheme="minorEastAsia"/>
          <w:bCs/>
          <w:color w:val="000000" w:themeColor="text1"/>
        </w:rPr>
      </w:pPr>
      <w:bookmarkStart w:id="29" w:name="_Toc332373486"/>
      <w:bookmarkStart w:id="30" w:name="_Toc134547844"/>
      <w:r w:rsidRPr="00FD5C9F">
        <w:rPr>
          <w:rFonts w:asciiTheme="minorEastAsia" w:eastAsiaTheme="minorEastAsia" w:hAnsiTheme="minorEastAsia" w:hint="eastAsia"/>
          <w:bCs/>
          <w:color w:val="000000" w:themeColor="text1"/>
        </w:rPr>
        <w:t>六、基金的募集</w:t>
      </w:r>
      <w:bookmarkEnd w:id="29"/>
      <w:bookmarkEnd w:id="30"/>
    </w:p>
    <w:p w:rsidR="00BA4B87" w:rsidRPr="00FD5C9F" w:rsidP="00722FC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本基金由基金管理人依照《基金法》、《运作办法》、《销售办法》、基金合同的相关规定</w:t>
      </w:r>
      <w:r w:rsidRPr="00FD5C9F" w:rsidR="00952F8E">
        <w:rPr>
          <w:rStyle w:val="da"/>
          <w:rFonts w:asciiTheme="minorEastAsia" w:eastAsiaTheme="minorEastAsia" w:hAnsiTheme="minorEastAsia" w:hint="eastAsia"/>
          <w:color w:val="000000" w:themeColor="text1"/>
        </w:rPr>
        <w:t>募集，并经</w:t>
      </w:r>
      <w:r w:rsidRPr="00FD5C9F">
        <w:rPr>
          <w:rStyle w:val="da"/>
          <w:rFonts w:asciiTheme="minorEastAsia" w:eastAsiaTheme="minorEastAsia" w:hAnsiTheme="minorEastAsia" w:hint="eastAsia"/>
          <w:color w:val="000000" w:themeColor="text1"/>
        </w:rPr>
        <w:t>中国证券监督管理委员会</w:t>
      </w:r>
      <w:r w:rsidRPr="00FD5C9F" w:rsidR="008123E5">
        <w:rPr>
          <w:rStyle w:val="da"/>
          <w:rFonts w:asciiTheme="minorEastAsia" w:eastAsiaTheme="minorEastAsia" w:hAnsiTheme="minorEastAsia" w:hint="eastAsia"/>
          <w:color w:val="000000" w:themeColor="text1"/>
        </w:rPr>
        <w:t>2020年6月24日</w:t>
      </w:r>
      <w:r w:rsidRPr="00FD5C9F">
        <w:rPr>
          <w:rStyle w:val="da"/>
          <w:rFonts w:asciiTheme="minorEastAsia" w:eastAsiaTheme="minorEastAsia" w:hAnsiTheme="minorEastAsia" w:hint="eastAsia"/>
          <w:color w:val="000000" w:themeColor="text1"/>
        </w:rPr>
        <w:t>《关于</w:t>
      </w:r>
      <w:r w:rsidRPr="00FD5C9F" w:rsidR="007036A5">
        <w:rPr>
          <w:rStyle w:val="da"/>
          <w:rFonts w:asciiTheme="minorEastAsia" w:eastAsiaTheme="minorEastAsia" w:hAnsiTheme="minorEastAsia" w:hint="eastAsia"/>
          <w:color w:val="000000" w:themeColor="text1"/>
        </w:rPr>
        <w:t>准予</w:t>
      </w:r>
      <w:r w:rsidRPr="00FD5C9F" w:rsidR="00E3093C">
        <w:rPr>
          <w:rStyle w:val="da"/>
          <w:rFonts w:asciiTheme="minorEastAsia" w:eastAsiaTheme="minorEastAsia" w:hAnsiTheme="minorEastAsia" w:hint="eastAsia"/>
          <w:color w:val="000000" w:themeColor="text1"/>
        </w:rPr>
        <w:t>易方达创新成长混合型证券投资基金</w:t>
      </w:r>
      <w:r w:rsidRPr="00FD5C9F" w:rsidR="007036A5">
        <w:rPr>
          <w:rStyle w:val="da"/>
          <w:rFonts w:asciiTheme="minorEastAsia" w:eastAsiaTheme="minorEastAsia" w:hAnsiTheme="minorEastAsia" w:hint="eastAsia"/>
          <w:color w:val="000000" w:themeColor="text1"/>
        </w:rPr>
        <w:t>注册</w:t>
      </w:r>
      <w:r w:rsidRPr="00FD5C9F">
        <w:rPr>
          <w:rStyle w:val="da"/>
          <w:rFonts w:asciiTheme="minorEastAsia" w:eastAsiaTheme="minorEastAsia" w:hAnsiTheme="minorEastAsia" w:hint="eastAsia"/>
          <w:color w:val="000000" w:themeColor="text1"/>
        </w:rPr>
        <w:t>的批复》</w:t>
      </w:r>
      <w:r w:rsidRPr="00FD5C9F" w:rsidR="002E1C38">
        <w:rPr>
          <w:rStyle w:val="da"/>
          <w:rFonts w:asciiTheme="minorEastAsia" w:eastAsiaTheme="minorEastAsia" w:hAnsiTheme="minorEastAsia" w:hint="eastAsia"/>
          <w:color w:val="000000" w:themeColor="text1"/>
        </w:rPr>
        <w:t>（</w:t>
      </w:r>
      <w:r w:rsidRPr="00FD5C9F" w:rsidR="002303C7">
        <w:rPr>
          <w:rStyle w:val="da"/>
          <w:rFonts w:asciiTheme="minorEastAsia" w:eastAsiaTheme="minorEastAsia" w:hAnsiTheme="minorEastAsia" w:hint="eastAsia"/>
          <w:color w:val="000000" w:themeColor="text1"/>
        </w:rPr>
        <w:t>证监许可[20</w:t>
      </w:r>
      <w:r w:rsidRPr="00FD5C9F" w:rsidR="002303C7">
        <w:rPr>
          <w:rStyle w:val="da"/>
          <w:rFonts w:asciiTheme="minorEastAsia" w:eastAsiaTheme="minorEastAsia" w:hAnsiTheme="minorEastAsia"/>
          <w:color w:val="000000" w:themeColor="text1"/>
        </w:rPr>
        <w:t>20</w:t>
      </w:r>
      <w:r w:rsidRPr="00FD5C9F" w:rsidR="002303C7">
        <w:rPr>
          <w:rStyle w:val="da"/>
          <w:rFonts w:asciiTheme="minorEastAsia" w:eastAsiaTheme="minorEastAsia" w:hAnsiTheme="minorEastAsia" w:hint="eastAsia"/>
          <w:color w:val="000000" w:themeColor="text1"/>
        </w:rPr>
        <w:t>]</w:t>
      </w:r>
      <w:r w:rsidRPr="00FD5C9F" w:rsidR="00783366">
        <w:rPr>
          <w:rStyle w:val="da"/>
          <w:rFonts w:asciiTheme="minorEastAsia" w:eastAsiaTheme="minorEastAsia" w:hAnsiTheme="minorEastAsia"/>
          <w:color w:val="000000" w:themeColor="text1"/>
        </w:rPr>
        <w:t>1263</w:t>
      </w:r>
      <w:r w:rsidRPr="00FD5C9F" w:rsidR="002303C7">
        <w:rPr>
          <w:rStyle w:val="da"/>
          <w:rFonts w:asciiTheme="minorEastAsia" w:eastAsiaTheme="minorEastAsia" w:hAnsiTheme="minorEastAsia" w:hint="eastAsia"/>
          <w:color w:val="000000" w:themeColor="text1"/>
        </w:rPr>
        <w:t>号</w:t>
      </w:r>
      <w:r w:rsidRPr="00FD5C9F" w:rsidR="002E1C38">
        <w:rPr>
          <w:rStyle w:val="da"/>
          <w:rFonts w:asciiTheme="minorEastAsia" w:eastAsiaTheme="minorEastAsia" w:hAnsiTheme="minorEastAsia" w:hint="eastAsia"/>
          <w:color w:val="000000" w:themeColor="text1"/>
        </w:rPr>
        <w:t>）</w:t>
      </w:r>
      <w:r w:rsidRPr="00FD5C9F" w:rsidR="00952F8E">
        <w:rPr>
          <w:rStyle w:val="da"/>
          <w:rFonts w:asciiTheme="minorEastAsia" w:eastAsiaTheme="minorEastAsia" w:hAnsiTheme="minorEastAsia" w:hint="eastAsia"/>
          <w:color w:val="000000" w:themeColor="text1"/>
        </w:rPr>
        <w:t>注册</w:t>
      </w:r>
      <w:r w:rsidRPr="00FD5C9F">
        <w:rPr>
          <w:rStyle w:val="da"/>
          <w:rFonts w:asciiTheme="minorEastAsia" w:eastAsiaTheme="minorEastAsia" w:hAnsiTheme="minorEastAsia" w:hint="eastAsia"/>
          <w:color w:val="000000" w:themeColor="text1"/>
        </w:rPr>
        <w:t>。</w:t>
      </w:r>
    </w:p>
    <w:p w:rsidR="00724EB8" w:rsidRPr="00FD5C9F" w:rsidP="00724EB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本基金为契约型开放式混合型</w:t>
      </w:r>
      <w:r w:rsidRPr="00FD5C9F">
        <w:rPr>
          <w:rStyle w:val="da"/>
          <w:rFonts w:asciiTheme="minorEastAsia" w:eastAsiaTheme="minorEastAsia" w:hAnsiTheme="minorEastAsia"/>
          <w:color w:val="000000" w:themeColor="text1"/>
        </w:rPr>
        <w:t>证券投资基金</w:t>
      </w:r>
      <w:r w:rsidRPr="00FD5C9F">
        <w:rPr>
          <w:rStyle w:val="da"/>
          <w:rFonts w:asciiTheme="minorEastAsia" w:eastAsiaTheme="minorEastAsia" w:hAnsiTheme="minorEastAsia" w:hint="eastAsia"/>
          <w:color w:val="000000" w:themeColor="text1"/>
        </w:rPr>
        <w:t>，基金的存续期为不定期。</w:t>
      </w:r>
    </w:p>
    <w:p w:rsidR="00724EB8" w:rsidRPr="00FD5C9F" w:rsidP="00724EB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本基金募集期间每份基金份额初始面值为人民币1.00元。</w:t>
      </w:r>
    </w:p>
    <w:p w:rsidR="00724EB8" w:rsidRPr="00FD5C9F" w:rsidP="00724EB8">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本基金募集期自2020年7月22日至2020年7月22日。</w:t>
      </w:r>
    </w:p>
    <w:p w:rsidR="002F4B3F" w:rsidRPr="00FD5C9F" w:rsidP="00724EB8">
      <w:pPr>
        <w:spacing w:line="360" w:lineRule="auto"/>
        <w:ind w:firstLine="420" w:firstLineChars="200"/>
        <w:rPr>
          <w:rFonts w:asciiTheme="minorEastAsia" w:eastAsiaTheme="minorEastAsia" w:hAnsiTheme="minorEastAsia"/>
          <w:bCs/>
          <w:color w:val="000000" w:themeColor="text1"/>
        </w:rPr>
      </w:pPr>
      <w:bookmarkStart w:id="31" w:name="_Toc332373491"/>
      <w:r w:rsidRPr="00FD5C9F">
        <w:rPr>
          <w:rStyle w:val="da"/>
          <w:rFonts w:asciiTheme="minorEastAsia" w:eastAsiaTheme="minorEastAsia" w:hAnsiTheme="minorEastAsia" w:hint="eastAsia"/>
          <w:color w:val="000000" w:themeColor="text1"/>
        </w:rPr>
        <w:t>募集对象</w:t>
      </w:r>
      <w:bookmarkEnd w:id="31"/>
      <w:r w:rsidRPr="00FD5C9F" w:rsidR="00724EB8">
        <w:rPr>
          <w:rFonts w:asciiTheme="minorEastAsia" w:eastAsiaTheme="minorEastAsia" w:hAnsiTheme="minorEastAsia"/>
          <w:bCs/>
          <w:color w:val="000000" w:themeColor="text1"/>
        </w:rPr>
        <w:t>为</w:t>
      </w:r>
      <w:r w:rsidRPr="00FD5C9F">
        <w:rPr>
          <w:rFonts w:asciiTheme="minorEastAsia" w:eastAsiaTheme="minorEastAsia" w:hAnsiTheme="minorEastAsia" w:hint="eastAsia"/>
          <w:bCs/>
          <w:color w:val="000000" w:themeColor="text1"/>
        </w:rPr>
        <w:t>符合法律法规规定的可投资于证券投资基金的个人投资者、机构投资者、合格境外机构投资者和人民币合格境外机构投资者以及法律法规或中国证监会允许购买证券投资基金的其他投资人。</w:t>
      </w:r>
    </w:p>
    <w:p w:rsidR="005D66CE" w:rsidRPr="00FD5C9F" w:rsidP="005D66CE">
      <w:pPr>
        <w:spacing w:line="312" w:lineRule="auto"/>
        <w:ind w:firstLine="420" w:firstLineChars="200"/>
        <w:rPr>
          <w:rFonts w:asciiTheme="minorEastAsia" w:eastAsiaTheme="minorEastAsia" w:hAnsiTheme="minorEastAsia"/>
          <w:color w:val="000000" w:themeColor="text1"/>
        </w:rPr>
      </w:pPr>
    </w:p>
    <w:p w:rsidR="00BA4B87" w:rsidRPr="00FD5C9F" w:rsidP="009A5A64">
      <w:pPr>
        <w:pStyle w:val="Heading1"/>
        <w:pageBreakBefore/>
        <w:spacing w:before="317" w:after="317" w:line="360" w:lineRule="auto"/>
        <w:ind w:firstLine="640"/>
        <w:rPr>
          <w:rFonts w:asciiTheme="minorEastAsia" w:eastAsiaTheme="minorEastAsia" w:hAnsiTheme="minorEastAsia"/>
          <w:bCs/>
          <w:color w:val="000000" w:themeColor="text1"/>
        </w:rPr>
      </w:pPr>
      <w:bookmarkStart w:id="32" w:name="_Toc332373495"/>
      <w:bookmarkStart w:id="33" w:name="_Toc134547845"/>
      <w:r w:rsidRPr="00FD5C9F">
        <w:rPr>
          <w:rFonts w:asciiTheme="minorEastAsia" w:eastAsiaTheme="minorEastAsia" w:hAnsiTheme="minorEastAsia" w:hint="eastAsia"/>
          <w:bCs/>
          <w:color w:val="000000" w:themeColor="text1"/>
        </w:rPr>
        <w:t>七、基金合同的生效</w:t>
      </w:r>
      <w:bookmarkEnd w:id="32"/>
      <w:bookmarkEnd w:id="33"/>
    </w:p>
    <w:p w:rsidR="00724EB8" w:rsidRPr="00FD5C9F" w:rsidP="00724EB8">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hint="eastAsia"/>
          <w:color w:val="000000" w:themeColor="text1"/>
          <w:szCs w:val="21"/>
        </w:rPr>
        <w:t>（一）基金合同的生效</w:t>
      </w:r>
    </w:p>
    <w:p w:rsidR="00724EB8" w:rsidRPr="00FD5C9F" w:rsidP="001D7201">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本基金基金合同于2020年7月24日正式生效。自基金合同生效日起，本基金管理人正式开始管理本基金。</w:t>
      </w:r>
    </w:p>
    <w:p w:rsidR="00D21D3E" w:rsidRPr="00FD5C9F" w:rsidP="001D7201">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sidR="00724EB8">
        <w:rPr>
          <w:rFonts w:asciiTheme="minorEastAsia" w:eastAsiaTheme="minorEastAsia" w:hAnsiTheme="minorEastAsia" w:hint="eastAsia"/>
          <w:color w:val="000000" w:themeColor="text1"/>
          <w:szCs w:val="21"/>
        </w:rPr>
        <w:t>二</w:t>
      </w:r>
      <w:r w:rsidRPr="00FD5C9F">
        <w:rPr>
          <w:rFonts w:asciiTheme="minorEastAsia" w:eastAsiaTheme="minorEastAsia" w:hAnsiTheme="minorEastAsia" w:hint="eastAsia"/>
          <w:color w:val="000000" w:themeColor="text1"/>
          <w:szCs w:val="21"/>
        </w:rPr>
        <w:t>）基金存续期内的基金份额持有人数量和资产规模</w:t>
      </w:r>
    </w:p>
    <w:p w:rsidR="00D21D3E" w:rsidRPr="00FD5C9F" w:rsidP="001D7201">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《基金合同》生效</w:t>
      </w:r>
      <w:r w:rsidRPr="00FD5C9F">
        <w:rPr>
          <w:rFonts w:asciiTheme="minorEastAsia" w:eastAsiaTheme="minorEastAsia" w:hAnsiTheme="minorEastAsia" w:hint="eastAsia"/>
          <w:color w:val="000000" w:themeColor="text1"/>
          <w:szCs w:val="21"/>
        </w:rPr>
        <w:t>后，连续2</w:t>
      </w:r>
      <w:r w:rsidRPr="00FD5C9F">
        <w:rPr>
          <w:rFonts w:asciiTheme="minorEastAsia" w:eastAsiaTheme="minorEastAsia" w:hAnsiTheme="minorEastAsia"/>
          <w:color w:val="000000" w:themeColor="text1"/>
          <w:szCs w:val="21"/>
        </w:rPr>
        <w:t>0</w:t>
      </w:r>
      <w:r w:rsidRPr="00FD5C9F">
        <w:rPr>
          <w:rFonts w:asciiTheme="minorEastAsia" w:eastAsiaTheme="minorEastAsia" w:hAnsiTheme="minorEastAsia" w:hint="eastAsia"/>
          <w:color w:val="000000" w:themeColor="text1"/>
          <w:szCs w:val="21"/>
        </w:rPr>
        <w:t>个工作日出现基金份额持有人数量不满2</w:t>
      </w:r>
      <w:r w:rsidRPr="00FD5C9F">
        <w:rPr>
          <w:rFonts w:asciiTheme="minorEastAsia" w:eastAsiaTheme="minorEastAsia" w:hAnsiTheme="minorEastAsia"/>
          <w:color w:val="000000" w:themeColor="text1"/>
          <w:szCs w:val="21"/>
        </w:rPr>
        <w:t>00</w:t>
      </w:r>
      <w:r w:rsidRPr="00FD5C9F">
        <w:rPr>
          <w:rFonts w:asciiTheme="minorEastAsia" w:eastAsiaTheme="minorEastAsia" w:hAnsiTheme="minorEastAsia" w:hint="eastAsia"/>
          <w:color w:val="000000" w:themeColor="text1"/>
          <w:szCs w:val="21"/>
        </w:rPr>
        <w:t>人或者基金资产净值低于5</w:t>
      </w:r>
      <w:r w:rsidRPr="00FD5C9F">
        <w:rPr>
          <w:rFonts w:asciiTheme="minorEastAsia" w:eastAsiaTheme="minorEastAsia" w:hAnsiTheme="minorEastAsia"/>
          <w:color w:val="000000" w:themeColor="text1"/>
          <w:szCs w:val="21"/>
        </w:rPr>
        <w:t>000</w:t>
      </w:r>
      <w:r w:rsidRPr="00FD5C9F">
        <w:rPr>
          <w:rFonts w:asciiTheme="minorEastAsia" w:eastAsiaTheme="minorEastAsia" w:hAnsiTheme="minorEastAsia" w:hint="eastAsia"/>
          <w:color w:val="000000" w:themeColor="text1"/>
          <w:szCs w:val="21"/>
        </w:rPr>
        <w:t>万元情形的，基金管理人应当在定期报告中予以披露；连续6</w:t>
      </w:r>
      <w:r w:rsidRPr="00FD5C9F">
        <w:rPr>
          <w:rFonts w:asciiTheme="minorEastAsia" w:eastAsiaTheme="minorEastAsia" w:hAnsiTheme="minorEastAsia"/>
          <w:color w:val="000000" w:themeColor="text1"/>
          <w:szCs w:val="21"/>
        </w:rPr>
        <w:t>0</w:t>
      </w:r>
      <w:r w:rsidRPr="00FD5C9F">
        <w:rPr>
          <w:rFonts w:asciiTheme="minorEastAsia" w:eastAsiaTheme="minorEastAsia" w:hAnsiTheme="minorEastAsia" w:hint="eastAsia"/>
          <w:color w:val="000000" w:themeColor="text1"/>
          <w:szCs w:val="21"/>
        </w:rPr>
        <w:t>个工作日出现前述情形的，基金管理人应当在</w:t>
      </w:r>
      <w:r w:rsidRPr="00FD5C9F">
        <w:rPr>
          <w:rFonts w:asciiTheme="minorEastAsia" w:eastAsiaTheme="minorEastAsia" w:hAnsiTheme="minorEastAsia"/>
          <w:color w:val="000000" w:themeColor="text1"/>
          <w:szCs w:val="21"/>
        </w:rPr>
        <w:t>10</w:t>
      </w:r>
      <w:r w:rsidRPr="00FD5C9F">
        <w:rPr>
          <w:rFonts w:asciiTheme="minorEastAsia" w:eastAsiaTheme="minorEastAsia" w:hAnsiTheme="minorEastAsia" w:hint="eastAsia"/>
          <w:color w:val="000000" w:themeColor="text1"/>
          <w:szCs w:val="21"/>
        </w:rPr>
        <w:t>个工作日内向中国证监会报告并提出解决方案，如持续营销、转换运作方式、与其他基金合并或者终止基金合同等，并在</w:t>
      </w:r>
      <w:r w:rsidRPr="00FD5C9F">
        <w:rPr>
          <w:rFonts w:asciiTheme="minorEastAsia" w:eastAsiaTheme="minorEastAsia" w:hAnsiTheme="minorEastAsia"/>
          <w:color w:val="000000" w:themeColor="text1"/>
          <w:szCs w:val="21"/>
        </w:rPr>
        <w:t>6</w:t>
      </w:r>
      <w:r w:rsidRPr="00FD5C9F">
        <w:rPr>
          <w:rFonts w:asciiTheme="minorEastAsia" w:eastAsiaTheme="minorEastAsia" w:hAnsiTheme="minorEastAsia" w:hint="eastAsia"/>
          <w:color w:val="000000" w:themeColor="text1"/>
          <w:szCs w:val="21"/>
        </w:rPr>
        <w:t>个月内召开基金份额持有人大会进行表决。</w:t>
      </w:r>
    </w:p>
    <w:p w:rsidR="00D21D3E" w:rsidRPr="00FD5C9F" w:rsidP="001D7201">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法律法规或中国证监会另有规定时，从其规定。</w:t>
      </w:r>
    </w:p>
    <w:p w:rsidR="00D21D3E" w:rsidRPr="00FD5C9F" w:rsidP="001D7201">
      <w:pPr>
        <w:rPr>
          <w:rFonts w:asciiTheme="minorEastAsia" w:eastAsiaTheme="minorEastAsia" w:hAnsiTheme="minorEastAsia"/>
          <w:color w:val="000000" w:themeColor="text1"/>
        </w:rPr>
      </w:pPr>
    </w:p>
    <w:p w:rsidR="00BA4B87" w:rsidRPr="00FD5C9F" w:rsidP="005046B2">
      <w:pPr>
        <w:pStyle w:val="Heading1"/>
        <w:pageBreakBefore/>
        <w:spacing w:before="317" w:after="317" w:line="360" w:lineRule="auto"/>
        <w:ind w:firstLine="0" w:firstLineChars="0"/>
        <w:rPr>
          <w:rFonts w:asciiTheme="minorEastAsia" w:eastAsiaTheme="minorEastAsia" w:hAnsiTheme="minorEastAsia"/>
          <w:bCs/>
          <w:color w:val="000000" w:themeColor="text1"/>
        </w:rPr>
      </w:pPr>
      <w:bookmarkStart w:id="34" w:name="_Toc332373499"/>
      <w:bookmarkStart w:id="35" w:name="_Toc134547846"/>
      <w:r w:rsidRPr="00FD5C9F">
        <w:rPr>
          <w:rFonts w:asciiTheme="minorEastAsia" w:eastAsiaTheme="minorEastAsia" w:hAnsiTheme="minorEastAsia" w:hint="eastAsia"/>
          <w:bCs/>
          <w:color w:val="000000" w:themeColor="text1"/>
        </w:rPr>
        <w:t>八、基金份额的申购、赎回</w:t>
      </w:r>
      <w:bookmarkEnd w:id="34"/>
      <w:bookmarkEnd w:id="35"/>
    </w:p>
    <w:p w:rsidR="00BA4B87" w:rsidRPr="00FD5C9F" w:rsidP="00F55EBC">
      <w:pPr>
        <w:spacing w:line="360" w:lineRule="auto"/>
        <w:ind w:firstLine="420" w:firstLineChars="200"/>
        <w:rPr>
          <w:rStyle w:val="da"/>
          <w:rFonts w:asciiTheme="minorEastAsia" w:eastAsiaTheme="minorEastAsia" w:hAnsiTheme="minorEastAsia"/>
          <w:color w:val="000000" w:themeColor="text1"/>
          <w:szCs w:val="21"/>
        </w:rPr>
      </w:pPr>
      <w:bookmarkStart w:id="36" w:name="_Toc332373500"/>
      <w:r w:rsidRPr="00FD5C9F">
        <w:rPr>
          <w:rStyle w:val="da"/>
          <w:rFonts w:asciiTheme="minorEastAsia" w:eastAsiaTheme="minorEastAsia" w:hAnsiTheme="minorEastAsia" w:hint="eastAsia"/>
          <w:color w:val="000000" w:themeColor="text1"/>
          <w:szCs w:val="21"/>
        </w:rPr>
        <w:t>（一）基金</w:t>
      </w:r>
      <w:r w:rsidRPr="00FD5C9F" w:rsidR="008D4032">
        <w:rPr>
          <w:rStyle w:val="da"/>
          <w:rFonts w:asciiTheme="minorEastAsia" w:eastAsiaTheme="minorEastAsia" w:hAnsiTheme="minorEastAsia" w:hint="eastAsia"/>
          <w:color w:val="000000" w:themeColor="text1"/>
          <w:szCs w:val="21"/>
        </w:rPr>
        <w:t>投资人</w:t>
      </w:r>
      <w:r w:rsidRPr="00FD5C9F">
        <w:rPr>
          <w:rStyle w:val="da"/>
          <w:rFonts w:asciiTheme="minorEastAsia" w:eastAsiaTheme="minorEastAsia" w:hAnsiTheme="minorEastAsia" w:hint="eastAsia"/>
          <w:color w:val="000000" w:themeColor="text1"/>
          <w:szCs w:val="21"/>
        </w:rPr>
        <w:t>范围</w:t>
      </w:r>
      <w:bookmarkEnd w:id="36"/>
    </w:p>
    <w:p w:rsidR="00BA4B87" w:rsidRPr="00FD5C9F" w:rsidP="00F55EBC">
      <w:pPr>
        <w:spacing w:line="360" w:lineRule="auto"/>
        <w:ind w:firstLine="424" w:firstLineChars="202"/>
        <w:rPr>
          <w:rFonts w:asciiTheme="minorEastAsia" w:eastAsiaTheme="minorEastAsia" w:hAnsiTheme="minorEastAsia"/>
          <w:color w:val="000000" w:themeColor="text1"/>
          <w:szCs w:val="21"/>
        </w:rPr>
      </w:pPr>
      <w:r w:rsidRPr="00FD5C9F">
        <w:rPr>
          <w:rFonts w:asciiTheme="minorEastAsia" w:eastAsiaTheme="minorEastAsia" w:hAnsiTheme="minorEastAsia" w:hint="eastAsia"/>
          <w:bCs/>
          <w:color w:val="000000" w:themeColor="text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BA4B87" w:rsidRPr="00FD5C9F" w:rsidP="00F55EBC">
      <w:pPr>
        <w:spacing w:line="360" w:lineRule="auto"/>
        <w:ind w:firstLine="420" w:firstLineChars="200"/>
        <w:rPr>
          <w:rStyle w:val="da"/>
          <w:rFonts w:asciiTheme="minorEastAsia" w:eastAsiaTheme="minorEastAsia" w:hAnsiTheme="minorEastAsia"/>
          <w:color w:val="000000" w:themeColor="text1"/>
          <w:szCs w:val="21"/>
        </w:rPr>
      </w:pPr>
      <w:bookmarkStart w:id="37" w:name="_Toc332373501"/>
      <w:r w:rsidRPr="00FD5C9F">
        <w:rPr>
          <w:rStyle w:val="da"/>
          <w:rFonts w:asciiTheme="minorEastAsia" w:eastAsiaTheme="minorEastAsia" w:hAnsiTheme="minorEastAsia" w:hint="eastAsia"/>
          <w:color w:val="000000" w:themeColor="text1"/>
          <w:szCs w:val="21"/>
        </w:rPr>
        <w:t>（二）申购与赎回的场所</w:t>
      </w:r>
      <w:bookmarkEnd w:id="37"/>
    </w:p>
    <w:p w:rsidR="00BA4B87" w:rsidRPr="00FD5C9F" w:rsidP="00F55EBC">
      <w:pPr>
        <w:spacing w:line="360" w:lineRule="auto"/>
        <w:ind w:firstLine="424" w:firstLineChars="202"/>
        <w:rPr>
          <w:rFonts w:asciiTheme="minorEastAsia" w:eastAsiaTheme="minorEastAsia" w:hAnsiTheme="minorEastAsia"/>
          <w:color w:val="000000" w:themeColor="text1"/>
          <w:szCs w:val="21"/>
        </w:rPr>
      </w:pPr>
      <w:r w:rsidRPr="00FD5C9F">
        <w:rPr>
          <w:rFonts w:asciiTheme="minorEastAsia" w:eastAsiaTheme="minorEastAsia" w:hAnsiTheme="minorEastAsia" w:hint="eastAsia"/>
          <w:bCs/>
          <w:color w:val="000000" w:themeColor="text1"/>
          <w:szCs w:val="21"/>
        </w:rPr>
        <w:t>本基金的申购与赎回将通过销售机构进行。基金管理人可根据情况变更或增减销售机构</w:t>
      </w:r>
      <w:r w:rsidRPr="00FD5C9F" w:rsidR="008C7CA9">
        <w:rPr>
          <w:rFonts w:asciiTheme="minorEastAsia" w:eastAsiaTheme="minorEastAsia" w:hAnsiTheme="minorEastAsia" w:hint="eastAsia"/>
          <w:bCs/>
          <w:color w:val="000000" w:themeColor="text1"/>
          <w:szCs w:val="21"/>
        </w:rPr>
        <w:t>，并在基金管理人网站公示</w:t>
      </w:r>
      <w:r w:rsidRPr="00FD5C9F">
        <w:rPr>
          <w:rFonts w:asciiTheme="minorEastAsia" w:eastAsiaTheme="minorEastAsia" w:hAnsiTheme="minorEastAsia" w:hint="eastAsia"/>
          <w:bCs/>
          <w:color w:val="000000" w:themeColor="text1"/>
          <w:szCs w:val="21"/>
        </w:rPr>
        <w:t>。基金投资者应当在销售机构办理基金销售业务的营业场所或按销售机构提供的其他方式办理基金份额的申购与赎回</w:t>
      </w:r>
      <w:r w:rsidRPr="00FD5C9F" w:rsidR="0011071E">
        <w:rPr>
          <w:rFonts w:asciiTheme="minorEastAsia" w:eastAsiaTheme="minorEastAsia" w:hAnsiTheme="minorEastAsia" w:hint="eastAsia"/>
          <w:bCs/>
          <w:color w:val="000000" w:themeColor="text1"/>
          <w:szCs w:val="21"/>
        </w:rPr>
        <w:t>。</w:t>
      </w:r>
    </w:p>
    <w:p w:rsidR="00BA4B87" w:rsidRPr="00FD5C9F" w:rsidP="00F55EBC">
      <w:pPr>
        <w:spacing w:line="360" w:lineRule="auto"/>
        <w:ind w:firstLine="420" w:firstLineChars="200"/>
        <w:rPr>
          <w:rStyle w:val="da"/>
          <w:rFonts w:asciiTheme="minorEastAsia" w:eastAsiaTheme="minorEastAsia" w:hAnsiTheme="minorEastAsia"/>
          <w:color w:val="000000" w:themeColor="text1"/>
          <w:szCs w:val="21"/>
        </w:rPr>
      </w:pPr>
      <w:bookmarkStart w:id="38" w:name="_Toc332373502"/>
      <w:r w:rsidRPr="00FD5C9F">
        <w:rPr>
          <w:rStyle w:val="da"/>
          <w:rFonts w:asciiTheme="minorEastAsia" w:eastAsiaTheme="minorEastAsia" w:hAnsiTheme="minorEastAsia" w:hint="eastAsia"/>
          <w:color w:val="000000" w:themeColor="text1"/>
          <w:szCs w:val="21"/>
        </w:rPr>
        <w:t>（三）申购与赎回办理的开放日及时间</w:t>
      </w:r>
      <w:bookmarkEnd w:id="38"/>
    </w:p>
    <w:p w:rsidR="007048E2" w:rsidRPr="00FD5C9F" w:rsidP="005046B2">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color w:val="000000" w:themeColor="text1"/>
          <w:szCs w:val="21"/>
        </w:rPr>
        <w:t>1</w:t>
      </w:r>
      <w:r w:rsidRPr="00FD5C9F">
        <w:rPr>
          <w:rStyle w:val="da"/>
          <w:rFonts w:asciiTheme="minorEastAsia" w:eastAsiaTheme="minorEastAsia" w:hAnsiTheme="minorEastAsia" w:hint="eastAsia"/>
          <w:color w:val="000000" w:themeColor="text1"/>
          <w:szCs w:val="21"/>
        </w:rPr>
        <w:t>、开放日及开放时间</w:t>
      </w:r>
    </w:p>
    <w:p w:rsidR="00A57470" w:rsidRPr="00FD5C9F" w:rsidP="00646375">
      <w:pPr>
        <w:spacing w:line="360" w:lineRule="auto"/>
        <w:ind w:firstLine="420" w:firstLineChars="200"/>
        <w:rPr>
          <w:rStyle w:val="da"/>
          <w:rFonts w:asciiTheme="minorEastAsia" w:eastAsiaTheme="minorEastAsia" w:hAnsiTheme="minorEastAsia"/>
          <w:color w:val="000000" w:themeColor="text1"/>
        </w:rPr>
      </w:pPr>
      <w:r w:rsidRPr="00FD5C9F">
        <w:rPr>
          <w:rFonts w:asciiTheme="minorEastAsia" w:eastAsiaTheme="minorEastAsia" w:hAnsiTheme="minorEastAsia" w:hint="eastAsia"/>
          <w:bCs/>
          <w:color w:val="000000" w:themeColor="text1"/>
          <w:szCs w:val="21"/>
        </w:rPr>
        <w:t>投资人在开放日办理基金份额的申购和赎回，本基金的开放日为上海证券交易所、深圳证券交易所的交易日，若该交易日非港股通交易日，则本基金不开放申购和赎回，但基金管理人根据法律法规、中国证监会的要求或</w:t>
      </w:r>
      <w:r w:rsidRPr="00FD5C9F" w:rsidR="00C84047">
        <w:rPr>
          <w:rFonts w:asciiTheme="minorEastAsia" w:eastAsiaTheme="minorEastAsia" w:hAnsiTheme="minorEastAsia" w:hint="eastAsia"/>
          <w:bCs/>
          <w:color w:val="000000" w:themeColor="text1"/>
          <w:szCs w:val="21"/>
        </w:rPr>
        <w:t>基金合同</w:t>
      </w:r>
      <w:r w:rsidRPr="00FD5C9F">
        <w:rPr>
          <w:rFonts w:asciiTheme="minorEastAsia" w:eastAsiaTheme="minorEastAsia" w:hAnsiTheme="minorEastAsia" w:hint="eastAsia"/>
          <w:bCs/>
          <w:color w:val="000000" w:themeColor="text1"/>
          <w:szCs w:val="21"/>
        </w:rPr>
        <w:t>的规定公告暂停申购、赎回时除外。</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hint="eastAsia"/>
          <w:color w:val="000000" w:themeColor="text1"/>
          <w:szCs w:val="21"/>
        </w:rPr>
        <w:t>基金合同生效后，若出现新的证券</w:t>
      </w:r>
      <w:r w:rsidRPr="00FD5C9F">
        <w:rPr>
          <w:rStyle w:val="da"/>
          <w:rFonts w:asciiTheme="minorEastAsia" w:eastAsiaTheme="minorEastAsia" w:hAnsiTheme="minorEastAsia"/>
          <w:color w:val="000000" w:themeColor="text1"/>
          <w:szCs w:val="21"/>
        </w:rPr>
        <w:t>/</w:t>
      </w:r>
      <w:r w:rsidRPr="00FD5C9F">
        <w:rPr>
          <w:rStyle w:val="da"/>
          <w:rFonts w:asciiTheme="minorEastAsia" w:eastAsiaTheme="minorEastAsia" w:hAnsiTheme="minorEastAsia" w:hint="eastAsia"/>
          <w:color w:val="000000" w:themeColor="text1"/>
          <w:szCs w:val="21"/>
        </w:rPr>
        <w:t>期货交易市场、证券</w:t>
      </w:r>
      <w:r w:rsidRPr="00FD5C9F">
        <w:rPr>
          <w:rStyle w:val="da"/>
          <w:rFonts w:asciiTheme="minorEastAsia" w:eastAsiaTheme="minorEastAsia" w:hAnsiTheme="minorEastAsia"/>
          <w:color w:val="000000" w:themeColor="text1"/>
          <w:szCs w:val="21"/>
        </w:rPr>
        <w:t>/</w:t>
      </w:r>
      <w:r w:rsidRPr="00FD5C9F">
        <w:rPr>
          <w:rStyle w:val="da"/>
          <w:rFonts w:asciiTheme="minorEastAsia" w:eastAsiaTheme="minorEastAsia" w:hAnsiTheme="minorEastAsia" w:hint="eastAsia"/>
          <w:color w:val="000000" w:themeColor="text1"/>
          <w:szCs w:val="21"/>
        </w:rPr>
        <w:t>期货交易所交易时间变更、其他特殊情况或根据业务需要，基金管理人将视情况对前述开放日及开放时间进行相应的调整，但应在实施前依照《信息披露办法》的有关规定在规定媒介上公告。</w:t>
      </w:r>
    </w:p>
    <w:p w:rsidR="00290847" w:rsidRPr="00FD5C9F" w:rsidP="00646375">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color w:val="000000" w:themeColor="text1"/>
          <w:szCs w:val="21"/>
        </w:rPr>
        <w:t>2</w:t>
      </w:r>
      <w:r w:rsidRPr="00FD5C9F">
        <w:rPr>
          <w:rStyle w:val="da"/>
          <w:rFonts w:asciiTheme="minorEastAsia" w:eastAsiaTheme="minorEastAsia" w:hAnsiTheme="minorEastAsia" w:hint="eastAsia"/>
          <w:color w:val="000000" w:themeColor="text1"/>
          <w:szCs w:val="21"/>
        </w:rPr>
        <w:t>、申购、赎回开始日及业务办理时间</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r w:rsidRPr="00FD5C9F">
        <w:rPr>
          <w:rFonts w:asciiTheme="minorEastAsia" w:eastAsiaTheme="minorEastAsia" w:hAnsiTheme="minorEastAsia" w:hint="eastAsia"/>
          <w:bCs/>
          <w:color w:val="000000" w:themeColor="text1"/>
          <w:szCs w:val="21"/>
        </w:rPr>
        <w:t>本基金已于</w:t>
      </w:r>
      <w:r w:rsidRPr="00FD5C9F">
        <w:rPr>
          <w:rFonts w:asciiTheme="minorEastAsia" w:eastAsiaTheme="minorEastAsia" w:hAnsiTheme="minorEastAsia"/>
          <w:bCs/>
          <w:color w:val="000000" w:themeColor="text1"/>
          <w:szCs w:val="21"/>
        </w:rPr>
        <w:t>2020</w:t>
      </w:r>
      <w:r w:rsidRPr="00FD5C9F">
        <w:rPr>
          <w:rFonts w:asciiTheme="minorEastAsia" w:eastAsiaTheme="minorEastAsia" w:hAnsiTheme="minorEastAsia" w:hint="eastAsia"/>
          <w:bCs/>
          <w:color w:val="000000" w:themeColor="text1"/>
          <w:szCs w:val="21"/>
        </w:rPr>
        <w:t>年</w:t>
      </w:r>
      <w:r w:rsidRPr="00FD5C9F">
        <w:rPr>
          <w:rFonts w:asciiTheme="minorEastAsia" w:eastAsiaTheme="minorEastAsia" w:hAnsiTheme="minorEastAsia"/>
          <w:bCs/>
          <w:color w:val="000000" w:themeColor="text1"/>
          <w:szCs w:val="21"/>
        </w:rPr>
        <w:t>8</w:t>
      </w:r>
      <w:r w:rsidRPr="00FD5C9F">
        <w:rPr>
          <w:rFonts w:asciiTheme="minorEastAsia" w:eastAsiaTheme="minorEastAsia" w:hAnsiTheme="minorEastAsia" w:hint="eastAsia"/>
          <w:bCs/>
          <w:color w:val="000000" w:themeColor="text1"/>
          <w:szCs w:val="21"/>
        </w:rPr>
        <w:t>月</w:t>
      </w:r>
      <w:r w:rsidRPr="00FD5C9F">
        <w:rPr>
          <w:rFonts w:asciiTheme="minorEastAsia" w:eastAsiaTheme="minorEastAsia" w:hAnsiTheme="minorEastAsia"/>
          <w:bCs/>
          <w:color w:val="000000" w:themeColor="text1"/>
          <w:szCs w:val="21"/>
        </w:rPr>
        <w:t>24</w:t>
      </w:r>
      <w:r w:rsidRPr="00FD5C9F">
        <w:rPr>
          <w:rFonts w:asciiTheme="minorEastAsia" w:eastAsiaTheme="minorEastAsia" w:hAnsiTheme="minorEastAsia" w:hint="eastAsia"/>
          <w:bCs/>
          <w:color w:val="000000" w:themeColor="text1"/>
          <w:szCs w:val="21"/>
        </w:rPr>
        <w:t>日开放办理日常申购、赎回业务。</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hint="eastAsia"/>
          <w:color w:val="000000" w:themeColor="text1"/>
          <w:szCs w:val="21"/>
        </w:rPr>
        <w:t>基金管理人不得在基金合同约定之外的日期或者时间办理基金份额的申购、赎回或者转换。投资人在基金合同约定之外的日期和时间提出申购、赎回或转换申请且登记机构确认接受的，其基金份额申购、</w:t>
      </w:r>
      <w:r w:rsidRPr="00FD5C9F">
        <w:rPr>
          <w:rStyle w:val="da"/>
          <w:rFonts w:asciiTheme="minorEastAsia" w:eastAsiaTheme="minorEastAsia" w:hAnsiTheme="minorEastAsia"/>
          <w:color w:val="000000" w:themeColor="text1"/>
          <w:szCs w:val="21"/>
        </w:rPr>
        <w:t>赎回价格为下一开放日基金份额申购、赎回的价格</w:t>
      </w:r>
      <w:r w:rsidRPr="00FD5C9F">
        <w:rPr>
          <w:rStyle w:val="da"/>
          <w:rFonts w:asciiTheme="minorEastAsia" w:eastAsiaTheme="minorEastAsia" w:hAnsiTheme="minorEastAsia" w:hint="eastAsia"/>
          <w:color w:val="000000" w:themeColor="text1"/>
          <w:szCs w:val="21"/>
        </w:rPr>
        <w:t>。</w:t>
      </w:r>
    </w:p>
    <w:p w:rsidR="004E0625" w:rsidRPr="00FD5C9F" w:rsidP="00785DF9">
      <w:pPr>
        <w:spacing w:line="360" w:lineRule="auto"/>
        <w:ind w:firstLine="420" w:firstLineChars="200"/>
        <w:rPr>
          <w:rFonts w:asciiTheme="minorEastAsia" w:eastAsiaTheme="minorEastAsia" w:hAnsiTheme="minorEastAsia"/>
          <w:bCs/>
          <w:color w:val="000000" w:themeColor="text1"/>
          <w:sz w:val="24"/>
        </w:rPr>
      </w:pPr>
      <w:bookmarkStart w:id="39" w:name="_Toc332373503"/>
      <w:r w:rsidRPr="00FD5C9F">
        <w:rPr>
          <w:rStyle w:val="da"/>
          <w:rFonts w:asciiTheme="minorEastAsia" w:eastAsiaTheme="minorEastAsia" w:hAnsiTheme="minorEastAsia" w:hint="eastAsia"/>
          <w:color w:val="000000" w:themeColor="text1"/>
          <w:szCs w:val="21"/>
        </w:rPr>
        <w:t>（</w:t>
      </w:r>
      <w:r w:rsidRPr="00FD5C9F" w:rsidR="008D4032">
        <w:rPr>
          <w:rStyle w:val="da"/>
          <w:rFonts w:asciiTheme="minorEastAsia" w:eastAsiaTheme="minorEastAsia" w:hAnsiTheme="minorEastAsia" w:hint="eastAsia"/>
          <w:color w:val="000000" w:themeColor="text1"/>
          <w:szCs w:val="21"/>
        </w:rPr>
        <w:t>四</w:t>
      </w:r>
      <w:r w:rsidRPr="00FD5C9F">
        <w:rPr>
          <w:rStyle w:val="da"/>
          <w:rFonts w:asciiTheme="minorEastAsia" w:eastAsiaTheme="minorEastAsia" w:hAnsiTheme="minorEastAsia" w:hint="eastAsia"/>
          <w:color w:val="000000" w:themeColor="text1"/>
          <w:szCs w:val="21"/>
        </w:rPr>
        <w:t>）</w:t>
      </w:r>
      <w:r w:rsidRPr="00FD5C9F">
        <w:rPr>
          <w:rStyle w:val="da"/>
          <w:rFonts w:asciiTheme="minorEastAsia" w:eastAsiaTheme="minorEastAsia" w:hAnsiTheme="minorEastAsia"/>
          <w:color w:val="000000" w:themeColor="text1"/>
          <w:szCs w:val="21"/>
        </w:rPr>
        <w:t>申购与赎回的原则</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bookmarkStart w:id="40" w:name="_Toc332373504"/>
      <w:bookmarkEnd w:id="39"/>
      <w:r w:rsidRPr="00FD5C9F">
        <w:rPr>
          <w:rStyle w:val="da"/>
          <w:rFonts w:asciiTheme="minorEastAsia" w:eastAsiaTheme="minorEastAsia" w:hAnsiTheme="minorEastAsia"/>
          <w:color w:val="000000" w:themeColor="text1"/>
          <w:szCs w:val="21"/>
        </w:rPr>
        <w:t>1</w:t>
      </w:r>
      <w:r w:rsidRPr="00FD5C9F">
        <w:rPr>
          <w:rStyle w:val="da"/>
          <w:rFonts w:asciiTheme="minorEastAsia" w:eastAsiaTheme="minorEastAsia" w:hAnsiTheme="minorEastAsia" w:hint="eastAsia"/>
          <w:color w:val="000000" w:themeColor="text1"/>
          <w:szCs w:val="21"/>
        </w:rPr>
        <w:t>、“未知价”原则，即申购、</w:t>
      </w:r>
      <w:r w:rsidRPr="00FD5C9F">
        <w:rPr>
          <w:rStyle w:val="da"/>
          <w:rFonts w:asciiTheme="minorEastAsia" w:eastAsiaTheme="minorEastAsia" w:hAnsiTheme="minorEastAsia"/>
          <w:color w:val="000000" w:themeColor="text1"/>
          <w:szCs w:val="21"/>
        </w:rPr>
        <w:t>赎回价格以申请当日收市后计算的基金份额净值为基准进行计算</w:t>
      </w:r>
      <w:r w:rsidRPr="00FD5C9F">
        <w:rPr>
          <w:rStyle w:val="da"/>
          <w:rFonts w:asciiTheme="minorEastAsia" w:eastAsiaTheme="minorEastAsia" w:hAnsiTheme="minorEastAsia" w:hint="eastAsia"/>
          <w:color w:val="000000" w:themeColor="text1"/>
          <w:szCs w:val="21"/>
        </w:rPr>
        <w:t>；</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color w:val="000000" w:themeColor="text1"/>
          <w:szCs w:val="21"/>
        </w:rPr>
        <w:t>2</w:t>
      </w:r>
      <w:r w:rsidRPr="00FD5C9F">
        <w:rPr>
          <w:rStyle w:val="da"/>
          <w:rFonts w:asciiTheme="minorEastAsia" w:eastAsiaTheme="minorEastAsia" w:hAnsiTheme="minorEastAsia" w:hint="eastAsia"/>
          <w:color w:val="000000" w:themeColor="text1"/>
          <w:szCs w:val="21"/>
        </w:rPr>
        <w:t>、“金额申购、份额赎回”原则，即申购以金额申请，赎回以份额申请；</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color w:val="000000" w:themeColor="text1"/>
          <w:szCs w:val="21"/>
        </w:rPr>
        <w:t>3</w:t>
      </w:r>
      <w:r w:rsidRPr="00FD5C9F">
        <w:rPr>
          <w:rStyle w:val="da"/>
          <w:rFonts w:asciiTheme="minorEastAsia" w:eastAsiaTheme="minorEastAsia" w:hAnsiTheme="minorEastAsia" w:hint="eastAsia"/>
          <w:color w:val="000000" w:themeColor="text1"/>
          <w:szCs w:val="21"/>
        </w:rPr>
        <w:t>、当日的申购与赎回申请可以在基金管理人规定的时间以内撤销；</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color w:val="000000" w:themeColor="text1"/>
          <w:szCs w:val="21"/>
        </w:rPr>
        <w:t>4</w:t>
      </w:r>
      <w:r w:rsidRPr="00FD5C9F">
        <w:rPr>
          <w:rStyle w:val="da"/>
          <w:rFonts w:asciiTheme="minorEastAsia" w:eastAsiaTheme="minorEastAsia" w:hAnsiTheme="minorEastAsia" w:hint="eastAsia"/>
          <w:color w:val="000000" w:themeColor="text1"/>
          <w:szCs w:val="21"/>
        </w:rPr>
        <w:t>、基金份额持有人赎回时，除指定赎回外，基金管理人按先进先出的原则，对该持有人账户在该销售机构托管的基金份额进行处理，即先确认的份额先赎回，后确认的份额后赎回，以确定所适用的赎回费率；</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hint="eastAsia"/>
          <w:color w:val="000000" w:themeColor="text1"/>
          <w:szCs w:val="21"/>
        </w:rPr>
        <w:t>5、办理申购、赎回业务时，应当遵循基金份额持有人利益优先原则，确保投资者的合法权益不受损害并得到公平对待。</w:t>
      </w:r>
    </w:p>
    <w:p w:rsidR="00040D81" w:rsidRPr="00FD5C9F" w:rsidP="001D7201">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hint="eastAsia"/>
          <w:color w:val="000000" w:themeColor="text1"/>
          <w:szCs w:val="21"/>
        </w:rPr>
        <w:t>基金管理人可在不违反法律法规的情况下，对上述原则进行调整。基金管理人必须在新规则开始实施前依照《信息披露办法》的有关规定在规定媒介上公告。</w:t>
      </w:r>
    </w:p>
    <w:p w:rsidR="00BA4B87" w:rsidRPr="00FD5C9F" w:rsidP="00875470">
      <w:pPr>
        <w:spacing w:line="360" w:lineRule="auto"/>
        <w:ind w:firstLine="420" w:firstLineChars="200"/>
        <w:rPr>
          <w:rStyle w:val="da"/>
          <w:rFonts w:asciiTheme="minorEastAsia" w:eastAsiaTheme="minorEastAsia" w:hAnsiTheme="minorEastAsia"/>
          <w:color w:val="000000" w:themeColor="text1"/>
          <w:szCs w:val="21"/>
        </w:rPr>
      </w:pPr>
      <w:r w:rsidRPr="00FD5C9F">
        <w:rPr>
          <w:rStyle w:val="da"/>
          <w:rFonts w:asciiTheme="minorEastAsia" w:eastAsiaTheme="minorEastAsia" w:hAnsiTheme="minorEastAsia" w:hint="eastAsia"/>
          <w:color w:val="000000" w:themeColor="text1"/>
          <w:szCs w:val="21"/>
        </w:rPr>
        <w:t>（</w:t>
      </w:r>
      <w:r w:rsidRPr="00FD5C9F" w:rsidR="008D4032">
        <w:rPr>
          <w:rStyle w:val="da"/>
          <w:rFonts w:asciiTheme="minorEastAsia" w:eastAsiaTheme="minorEastAsia" w:hAnsiTheme="minorEastAsia" w:hint="eastAsia"/>
          <w:color w:val="000000" w:themeColor="text1"/>
          <w:szCs w:val="21"/>
        </w:rPr>
        <w:t>五</w:t>
      </w:r>
      <w:r w:rsidRPr="00FD5C9F">
        <w:rPr>
          <w:rStyle w:val="da"/>
          <w:rFonts w:asciiTheme="minorEastAsia" w:eastAsiaTheme="minorEastAsia" w:hAnsiTheme="minorEastAsia" w:hint="eastAsia"/>
          <w:color w:val="000000" w:themeColor="text1"/>
          <w:szCs w:val="21"/>
        </w:rPr>
        <w:t>）申购与赎回的程序</w:t>
      </w:r>
      <w:bookmarkEnd w:id="40"/>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w:t>
      </w:r>
      <w:r w:rsidRPr="00FD5C9F" w:rsidR="008A168E">
        <w:rPr>
          <w:rFonts w:asciiTheme="minorEastAsia" w:eastAsiaTheme="minorEastAsia" w:hAnsiTheme="minorEastAsia" w:hint="eastAsia"/>
          <w:color w:val="000000" w:themeColor="text1"/>
          <w:szCs w:val="21"/>
        </w:rPr>
        <w:t>、</w:t>
      </w:r>
      <w:r w:rsidRPr="00FD5C9F">
        <w:rPr>
          <w:rFonts w:asciiTheme="minorEastAsia" w:eastAsiaTheme="minorEastAsia" w:hAnsiTheme="minorEastAsia" w:hint="eastAsia"/>
          <w:color w:val="000000" w:themeColor="text1"/>
          <w:szCs w:val="21"/>
        </w:rPr>
        <w:t>申购和赎回的申请方式</w:t>
      </w:r>
    </w:p>
    <w:p w:rsidR="009A2218"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w:t>
      </w:r>
      <w:r w:rsidRPr="00FD5C9F" w:rsidR="005B42EA">
        <w:rPr>
          <w:rFonts w:asciiTheme="minorEastAsia" w:eastAsiaTheme="minorEastAsia" w:hAnsiTheme="minorEastAsia" w:hint="eastAsia"/>
          <w:color w:val="000000" w:themeColor="text1"/>
          <w:szCs w:val="21"/>
        </w:rPr>
        <w:t>不成立</w:t>
      </w:r>
      <w:r w:rsidRPr="00FD5C9F">
        <w:rPr>
          <w:rFonts w:asciiTheme="minorEastAsia" w:eastAsiaTheme="minorEastAsia" w:hAnsiTheme="minorEastAsia" w:hint="eastAsia"/>
          <w:color w:val="000000" w:themeColor="text1"/>
          <w:szCs w:val="21"/>
        </w:rPr>
        <w:t>。</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Pr="00FD5C9F" w:rsidR="00EC5B35">
        <w:rPr>
          <w:rFonts w:asciiTheme="minorEastAsia" w:eastAsiaTheme="minorEastAsia" w:hAnsiTheme="minorEastAsia" w:hint="eastAsia"/>
          <w:color w:val="000000" w:themeColor="text1"/>
          <w:szCs w:val="21"/>
        </w:rPr>
        <w:t>本</w:t>
      </w:r>
      <w:r w:rsidRPr="00FD5C9F">
        <w:rPr>
          <w:rFonts w:asciiTheme="minorEastAsia" w:eastAsiaTheme="minorEastAsia" w:hAnsiTheme="minorEastAsia" w:hint="eastAsia"/>
          <w:color w:val="000000" w:themeColor="text1"/>
          <w:szCs w:val="21"/>
        </w:rPr>
        <w:t>招募说明书规定的前提下，以各销售机构的具体规定为准。</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w:t>
      </w:r>
      <w:r w:rsidRPr="00FD5C9F" w:rsidR="008A168E">
        <w:rPr>
          <w:rFonts w:asciiTheme="minorEastAsia" w:eastAsiaTheme="minorEastAsia" w:hAnsiTheme="minorEastAsia" w:hint="eastAsia"/>
          <w:color w:val="000000" w:themeColor="text1"/>
          <w:szCs w:val="21"/>
        </w:rPr>
        <w:t>、</w:t>
      </w:r>
      <w:r w:rsidRPr="00FD5C9F">
        <w:rPr>
          <w:rFonts w:asciiTheme="minorEastAsia" w:eastAsiaTheme="minorEastAsia" w:hAnsiTheme="minorEastAsia" w:hint="eastAsia"/>
          <w:color w:val="000000" w:themeColor="text1"/>
          <w:szCs w:val="21"/>
        </w:rPr>
        <w:t>申购和赎回申请的确认</w:t>
      </w:r>
    </w:p>
    <w:p w:rsidR="001735E3" w:rsidRPr="00FD5C9F" w:rsidP="001735E3">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w:t>
      </w:r>
      <w:r w:rsidRPr="00FD5C9F" w:rsidR="00880F98">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hint="eastAsia"/>
          <w:bCs/>
          <w:color w:val="000000" w:themeColor="text1"/>
          <w:szCs w:val="21"/>
        </w:rPr>
        <w:t>T日</w:t>
      </w:r>
      <w:r w:rsidRPr="00FD5C9F" w:rsidR="00880F98">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hint="eastAsia"/>
          <w:bCs/>
          <w:color w:val="000000" w:themeColor="text1"/>
          <w:szCs w:val="21"/>
        </w:rPr>
        <w:t>，在正常情况下，本基金登记机构在T+1日内对该交易的有效性进行确认。T日提交的有效申请，投资人应在T+2日后</w:t>
      </w:r>
      <w:r w:rsidRPr="00FD5C9F" w:rsidR="00880F98">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hint="eastAsia"/>
          <w:bCs/>
          <w:color w:val="000000" w:themeColor="text1"/>
          <w:szCs w:val="21"/>
        </w:rPr>
        <w:t>包括该日</w:t>
      </w:r>
      <w:r w:rsidRPr="00FD5C9F" w:rsidR="00880F98">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hint="eastAsia"/>
          <w:bCs/>
          <w:color w:val="000000" w:themeColor="text1"/>
          <w:szCs w:val="21"/>
        </w:rPr>
        <w:t>到销售网点柜台或以销售机构规定的其他方式查询申请的确认情况。若申购不成功，则申购款项本金退还给投资人。</w:t>
      </w:r>
    </w:p>
    <w:p w:rsidR="007D0E22"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请的确认情况，投资人应及时查询并妥善行使合法权利。</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在</w:t>
      </w:r>
      <w:r w:rsidRPr="00FD5C9F" w:rsidR="00F43707">
        <w:rPr>
          <w:rFonts w:asciiTheme="minorEastAsia" w:eastAsiaTheme="minorEastAsia" w:hAnsiTheme="minorEastAsia" w:hint="eastAsia"/>
          <w:color w:val="000000" w:themeColor="text1"/>
          <w:szCs w:val="21"/>
        </w:rPr>
        <w:t>不违反</w:t>
      </w:r>
      <w:r w:rsidRPr="00FD5C9F">
        <w:rPr>
          <w:rFonts w:asciiTheme="minorEastAsia" w:eastAsiaTheme="minorEastAsia" w:hAnsiTheme="minorEastAsia" w:hint="eastAsia"/>
          <w:color w:val="000000" w:themeColor="text1"/>
          <w:szCs w:val="21"/>
        </w:rPr>
        <w:t>法律法规</w:t>
      </w:r>
      <w:r w:rsidRPr="00FD5C9F" w:rsidR="00F43707">
        <w:rPr>
          <w:rFonts w:asciiTheme="minorEastAsia" w:eastAsiaTheme="minorEastAsia" w:hAnsiTheme="minorEastAsia" w:hint="eastAsia"/>
          <w:color w:val="000000" w:themeColor="text1"/>
          <w:szCs w:val="21"/>
        </w:rPr>
        <w:t>的前提下</w:t>
      </w:r>
      <w:r w:rsidRPr="00FD5C9F">
        <w:rPr>
          <w:rFonts w:asciiTheme="minorEastAsia" w:eastAsiaTheme="minorEastAsia" w:hAnsiTheme="minorEastAsia" w:hint="eastAsia"/>
          <w:color w:val="000000" w:themeColor="text1"/>
          <w:szCs w:val="21"/>
        </w:rPr>
        <w:t>，</w:t>
      </w:r>
      <w:r w:rsidRPr="00FD5C9F" w:rsidR="006F2DCE">
        <w:rPr>
          <w:rFonts w:asciiTheme="minorEastAsia" w:eastAsiaTheme="minorEastAsia" w:hAnsiTheme="minorEastAsia" w:hint="eastAsia"/>
          <w:color w:val="000000" w:themeColor="text1"/>
          <w:szCs w:val="21"/>
        </w:rPr>
        <w:t>登记机构</w:t>
      </w:r>
      <w:r w:rsidRPr="00FD5C9F">
        <w:rPr>
          <w:rFonts w:asciiTheme="minorEastAsia" w:eastAsiaTheme="minorEastAsia" w:hAnsiTheme="minorEastAsia" w:hint="eastAsia"/>
          <w:color w:val="000000" w:themeColor="text1"/>
          <w:szCs w:val="21"/>
        </w:rPr>
        <w:t>可根据《业务规则》，对上述业务办理时间进行调整，本基金管理人将于开始实施前按照有关规定予以公告。</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w:t>
      </w:r>
      <w:r w:rsidRPr="00FD5C9F" w:rsidR="00F55EBC">
        <w:rPr>
          <w:rFonts w:asciiTheme="minorEastAsia" w:eastAsiaTheme="minorEastAsia" w:hAnsiTheme="minorEastAsia" w:hint="eastAsia"/>
          <w:color w:val="000000" w:themeColor="text1"/>
          <w:szCs w:val="21"/>
        </w:rPr>
        <w:t>、</w:t>
      </w:r>
      <w:r w:rsidRPr="00FD5C9F">
        <w:rPr>
          <w:rFonts w:asciiTheme="minorEastAsia" w:eastAsiaTheme="minorEastAsia" w:hAnsiTheme="minorEastAsia" w:hint="eastAsia"/>
          <w:color w:val="000000" w:themeColor="text1"/>
          <w:szCs w:val="21"/>
        </w:rPr>
        <w:t>申购和赎回的款项支付</w:t>
      </w:r>
    </w:p>
    <w:p w:rsidR="002B115A"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申购采用全额缴款方式，若申购资金在规定时间内未全额到账则申购不成功。若申购不成功或无效，基金管理人或基金管理人指定的</w:t>
      </w:r>
      <w:r w:rsidRPr="00FD5C9F" w:rsidR="00CF0114">
        <w:rPr>
          <w:rFonts w:asciiTheme="minorEastAsia" w:eastAsiaTheme="minorEastAsia" w:hAnsiTheme="minorEastAsia" w:hint="eastAsia"/>
          <w:color w:val="000000" w:themeColor="text1"/>
          <w:szCs w:val="21"/>
        </w:rPr>
        <w:t>非直销</w:t>
      </w:r>
      <w:r w:rsidRPr="00FD5C9F" w:rsidR="00B81D74">
        <w:rPr>
          <w:rFonts w:asciiTheme="minorEastAsia" w:eastAsiaTheme="minorEastAsia" w:hAnsiTheme="minorEastAsia" w:hint="eastAsia"/>
          <w:color w:val="000000" w:themeColor="text1"/>
          <w:szCs w:val="21"/>
        </w:rPr>
        <w:t>销售</w:t>
      </w:r>
      <w:r w:rsidRPr="00FD5C9F">
        <w:rPr>
          <w:rFonts w:asciiTheme="minorEastAsia" w:eastAsiaTheme="minorEastAsia" w:hAnsiTheme="minorEastAsia" w:hint="eastAsia"/>
          <w:color w:val="000000" w:themeColor="text1"/>
          <w:szCs w:val="21"/>
        </w:rPr>
        <w:t>机构将投资人已缴付的申购款项本金退还给投资人。</w:t>
      </w:r>
    </w:p>
    <w:p w:rsidR="00040D81" w:rsidRPr="00FD5C9F" w:rsidP="00040D81">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基金份额持有人递交赎回申请，赎回成立；登记机构确认赎回时，赎回生效。</w:t>
      </w:r>
      <w:r w:rsidRPr="00FD5C9F" w:rsidR="00550924">
        <w:rPr>
          <w:rFonts w:asciiTheme="minorEastAsia" w:eastAsiaTheme="minorEastAsia" w:hAnsiTheme="minorEastAsia" w:cs="Calibri" w:hint="eastAsia"/>
          <w:bCs/>
          <w:color w:val="000000" w:themeColor="text1"/>
          <w:szCs w:val="21"/>
        </w:rPr>
        <w:t>投资者赎回申请生效后，</w:t>
      </w:r>
      <w:r w:rsidRPr="00FD5C9F" w:rsidR="000D40BF">
        <w:rPr>
          <w:rFonts w:asciiTheme="minorEastAsia" w:eastAsiaTheme="minorEastAsia" w:hAnsiTheme="minorEastAsia" w:cs="Calibri" w:hint="eastAsia"/>
          <w:color w:val="000000" w:themeColor="text1"/>
          <w:szCs w:val="21"/>
        </w:rPr>
        <w:t>基金管理人将在</w:t>
      </w:r>
      <w:r w:rsidRPr="00FD5C9F" w:rsidR="000D40BF">
        <w:rPr>
          <w:rFonts w:asciiTheme="minorEastAsia" w:eastAsiaTheme="minorEastAsia" w:hAnsiTheme="minorEastAsia" w:cs="Calibri"/>
          <w:color w:val="000000" w:themeColor="text1"/>
          <w:szCs w:val="21"/>
        </w:rPr>
        <w:t>T＋</w:t>
      </w:r>
      <w:r w:rsidRPr="00FD5C9F" w:rsidR="00C93756">
        <w:rPr>
          <w:rFonts w:asciiTheme="minorEastAsia" w:eastAsiaTheme="minorEastAsia" w:hAnsiTheme="minorEastAsia" w:cs="Calibri" w:hint="eastAsia"/>
          <w:color w:val="000000" w:themeColor="text1"/>
          <w:szCs w:val="21"/>
        </w:rPr>
        <w:t>7</w:t>
      </w:r>
      <w:r w:rsidRPr="00FD5C9F" w:rsidR="000D40BF">
        <w:rPr>
          <w:rFonts w:asciiTheme="minorEastAsia" w:eastAsiaTheme="minorEastAsia" w:hAnsiTheme="minorEastAsia" w:cs="Calibri" w:hint="eastAsia"/>
          <w:color w:val="000000" w:themeColor="text1"/>
          <w:szCs w:val="21"/>
        </w:rPr>
        <w:t>日（包括该日）内支付赎回款项。</w:t>
      </w:r>
      <w:r w:rsidRPr="00FD5C9F">
        <w:rPr>
          <w:rFonts w:asciiTheme="minorEastAsia" w:eastAsiaTheme="minorEastAsia" w:hAnsiTheme="minorEastAsia" w:hint="eastAsia"/>
          <w:color w:val="000000" w:themeColor="text1"/>
          <w:szCs w:val="21"/>
        </w:rPr>
        <w:t>如遇国家外汇局相关规定有变更或本基金境外投资主要市场的交易清算规则有变更、基金境外投资主要市场及外汇市场休市或暂停交易、登记公司系统故障、交易所或交易市场数据传输延迟、通讯系统故障、银行数据交换系统故障或其它非基金管理人及基金托管人所能控制的因素影响业务处理流程，则赎回款项的支付时间可相应顺延。在发生巨额赎回或</w:t>
      </w:r>
      <w:r w:rsidRPr="00FD5C9F" w:rsidR="00C84047">
        <w:rPr>
          <w:rFonts w:asciiTheme="minorEastAsia" w:eastAsiaTheme="minorEastAsia" w:hAnsiTheme="minorEastAsia" w:hint="eastAsia"/>
          <w:color w:val="000000" w:themeColor="text1"/>
          <w:szCs w:val="21"/>
        </w:rPr>
        <w:t>基金合同</w:t>
      </w:r>
      <w:r w:rsidRPr="00FD5C9F">
        <w:rPr>
          <w:rFonts w:asciiTheme="minorEastAsia" w:eastAsiaTheme="minorEastAsia" w:hAnsiTheme="minorEastAsia" w:hint="eastAsia"/>
          <w:color w:val="000000" w:themeColor="text1"/>
          <w:szCs w:val="21"/>
        </w:rPr>
        <w:t>载明的其他暂停赎回或延缓支付赎回款项的情形时，款项的支付办法参照</w:t>
      </w:r>
      <w:r w:rsidRPr="00FD5C9F" w:rsidR="00C84047">
        <w:rPr>
          <w:rFonts w:asciiTheme="minorEastAsia" w:eastAsiaTheme="minorEastAsia" w:hAnsiTheme="minorEastAsia" w:hint="eastAsia"/>
          <w:color w:val="000000" w:themeColor="text1"/>
          <w:szCs w:val="21"/>
        </w:rPr>
        <w:t>基金合同</w:t>
      </w:r>
      <w:r w:rsidRPr="00FD5C9F">
        <w:rPr>
          <w:rFonts w:asciiTheme="minorEastAsia" w:eastAsiaTheme="minorEastAsia" w:hAnsiTheme="minorEastAsia" w:hint="eastAsia"/>
          <w:color w:val="000000" w:themeColor="text1"/>
          <w:szCs w:val="21"/>
        </w:rPr>
        <w:t>有关条款处理。</w:t>
      </w:r>
    </w:p>
    <w:p w:rsidR="00BA4B87" w:rsidRPr="00FD5C9F" w:rsidP="00F55EBC">
      <w:pPr>
        <w:spacing w:line="360" w:lineRule="auto"/>
        <w:ind w:firstLine="420" w:firstLineChars="200"/>
        <w:rPr>
          <w:rStyle w:val="da"/>
          <w:rFonts w:asciiTheme="minorEastAsia" w:eastAsiaTheme="minorEastAsia" w:hAnsiTheme="minorEastAsia"/>
          <w:color w:val="000000" w:themeColor="text1"/>
          <w:szCs w:val="21"/>
        </w:rPr>
      </w:pPr>
      <w:bookmarkStart w:id="41" w:name="_Toc332373505"/>
      <w:r w:rsidRPr="00FD5C9F">
        <w:rPr>
          <w:rStyle w:val="da"/>
          <w:rFonts w:asciiTheme="minorEastAsia" w:eastAsiaTheme="minorEastAsia" w:hAnsiTheme="minorEastAsia" w:hint="eastAsia"/>
          <w:color w:val="000000" w:themeColor="text1"/>
          <w:szCs w:val="21"/>
        </w:rPr>
        <w:t>（</w:t>
      </w:r>
      <w:r w:rsidRPr="00FD5C9F" w:rsidR="00214A68">
        <w:rPr>
          <w:rStyle w:val="da"/>
          <w:rFonts w:asciiTheme="minorEastAsia" w:eastAsiaTheme="minorEastAsia" w:hAnsiTheme="minorEastAsia" w:hint="eastAsia"/>
          <w:color w:val="000000" w:themeColor="text1"/>
          <w:szCs w:val="21"/>
        </w:rPr>
        <w:t>六</w:t>
      </w:r>
      <w:r w:rsidRPr="00FD5C9F">
        <w:rPr>
          <w:rStyle w:val="da"/>
          <w:rFonts w:asciiTheme="minorEastAsia" w:eastAsiaTheme="minorEastAsia" w:hAnsiTheme="minorEastAsia" w:hint="eastAsia"/>
          <w:color w:val="000000" w:themeColor="text1"/>
          <w:szCs w:val="21"/>
        </w:rPr>
        <w:t>）申购与赎回的数额限制</w:t>
      </w:r>
      <w:bookmarkEnd w:id="41"/>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 xml:space="preserve">1、申购金额的限制 </w:t>
      </w:r>
    </w:p>
    <w:p w:rsidR="00214A68"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投资人通过</w:t>
      </w:r>
      <w:r w:rsidRPr="00FD5C9F" w:rsidR="00CF0114">
        <w:rPr>
          <w:rFonts w:asciiTheme="minorEastAsia" w:eastAsiaTheme="minorEastAsia" w:hAnsiTheme="minorEastAsia" w:hint="eastAsia"/>
          <w:color w:val="000000" w:themeColor="text1"/>
          <w:szCs w:val="21"/>
        </w:rPr>
        <w:t>非直销</w:t>
      </w:r>
      <w:r w:rsidRPr="00FD5C9F" w:rsidR="007C6E23">
        <w:rPr>
          <w:rFonts w:asciiTheme="minorEastAsia" w:eastAsiaTheme="minorEastAsia" w:hAnsiTheme="minorEastAsia" w:hint="eastAsia"/>
          <w:color w:val="000000" w:themeColor="text1"/>
          <w:szCs w:val="21"/>
        </w:rPr>
        <w:t>销售</w:t>
      </w:r>
      <w:r w:rsidRPr="00FD5C9F" w:rsidR="0054622C">
        <w:rPr>
          <w:rFonts w:asciiTheme="minorEastAsia" w:eastAsiaTheme="minorEastAsia" w:hAnsiTheme="minorEastAsia" w:hint="eastAsia"/>
          <w:color w:val="000000" w:themeColor="text1"/>
          <w:szCs w:val="21"/>
        </w:rPr>
        <w:t>机构</w:t>
      </w:r>
      <w:r w:rsidRPr="00FD5C9F">
        <w:rPr>
          <w:rFonts w:asciiTheme="minorEastAsia" w:eastAsiaTheme="minorEastAsia" w:hAnsiTheme="minorEastAsia" w:hint="eastAsia"/>
          <w:color w:val="000000" w:themeColor="text1"/>
          <w:szCs w:val="21"/>
        </w:rPr>
        <w:t>或本公司</w:t>
      </w:r>
      <w:r w:rsidRPr="00FD5C9F" w:rsidR="009D737B">
        <w:rPr>
          <w:rFonts w:asciiTheme="minorEastAsia" w:eastAsiaTheme="minorEastAsia" w:hAnsiTheme="minorEastAsia" w:hint="eastAsia"/>
          <w:color w:val="000000" w:themeColor="text1"/>
          <w:szCs w:val="21"/>
        </w:rPr>
        <w:t>网上直销系统</w:t>
      </w:r>
      <w:r w:rsidRPr="00FD5C9F">
        <w:rPr>
          <w:rFonts w:asciiTheme="minorEastAsia" w:eastAsiaTheme="minorEastAsia" w:hAnsiTheme="minorEastAsia" w:hint="eastAsia"/>
          <w:color w:val="000000" w:themeColor="text1"/>
          <w:szCs w:val="21"/>
        </w:rPr>
        <w:t>首次申购的单笔最低</w:t>
      </w:r>
      <w:r w:rsidRPr="00FD5C9F" w:rsidR="0054622C">
        <w:rPr>
          <w:rFonts w:asciiTheme="minorEastAsia" w:eastAsiaTheme="minorEastAsia" w:hAnsiTheme="minorEastAsia"/>
          <w:color w:val="000000" w:themeColor="text1"/>
          <w:szCs w:val="21"/>
        </w:rPr>
        <w:t>限额</w:t>
      </w:r>
      <w:r w:rsidRPr="00FD5C9F">
        <w:rPr>
          <w:rFonts w:asciiTheme="minorEastAsia" w:eastAsiaTheme="minorEastAsia" w:hAnsiTheme="minorEastAsia" w:hint="eastAsia"/>
          <w:color w:val="000000" w:themeColor="text1"/>
          <w:szCs w:val="21"/>
        </w:rPr>
        <w:t>为</w:t>
      </w:r>
      <w:r w:rsidRPr="00FD5C9F" w:rsidR="0054622C">
        <w:rPr>
          <w:rFonts w:asciiTheme="minorEastAsia" w:eastAsiaTheme="minorEastAsia" w:hAnsiTheme="minorEastAsia" w:hint="eastAsia"/>
          <w:color w:val="000000" w:themeColor="text1"/>
          <w:szCs w:val="21"/>
        </w:rPr>
        <w:t>人民币</w:t>
      </w:r>
      <w:r w:rsidRPr="00FD5C9F" w:rsidR="00A35EDE">
        <w:rPr>
          <w:rFonts w:asciiTheme="minorEastAsia" w:eastAsiaTheme="minorEastAsia" w:hAnsiTheme="minorEastAsia" w:hint="eastAsia"/>
          <w:color w:val="000000" w:themeColor="text1"/>
          <w:szCs w:val="21"/>
        </w:rPr>
        <w:t>1</w:t>
      </w:r>
      <w:r w:rsidRPr="00FD5C9F">
        <w:rPr>
          <w:rFonts w:asciiTheme="minorEastAsia" w:eastAsiaTheme="minorEastAsia" w:hAnsiTheme="minorEastAsia" w:hint="eastAsia"/>
          <w:color w:val="000000" w:themeColor="text1"/>
          <w:szCs w:val="21"/>
        </w:rPr>
        <w:t>元</w:t>
      </w:r>
      <w:r w:rsidRPr="00FD5C9F" w:rsidR="0054622C">
        <w:rPr>
          <w:rFonts w:asciiTheme="minorEastAsia" w:eastAsiaTheme="minorEastAsia" w:hAnsiTheme="minorEastAsia" w:hint="eastAsia"/>
          <w:color w:val="000000" w:themeColor="text1"/>
          <w:szCs w:val="21"/>
        </w:rPr>
        <w:t>，</w:t>
      </w:r>
      <w:r w:rsidRPr="00FD5C9F">
        <w:rPr>
          <w:rFonts w:asciiTheme="minorEastAsia" w:eastAsiaTheme="minorEastAsia" w:hAnsiTheme="minorEastAsia" w:hint="eastAsia"/>
          <w:color w:val="000000" w:themeColor="text1"/>
          <w:szCs w:val="21"/>
        </w:rPr>
        <w:t>追加申购单笔最低</w:t>
      </w:r>
      <w:r w:rsidRPr="00FD5C9F" w:rsidR="0054622C">
        <w:rPr>
          <w:rFonts w:asciiTheme="minorEastAsia" w:eastAsiaTheme="minorEastAsia" w:hAnsiTheme="minorEastAsia"/>
          <w:color w:val="000000" w:themeColor="text1"/>
          <w:szCs w:val="21"/>
        </w:rPr>
        <w:t>限额</w:t>
      </w:r>
      <w:r w:rsidRPr="00FD5C9F">
        <w:rPr>
          <w:rFonts w:asciiTheme="minorEastAsia" w:eastAsiaTheme="minorEastAsia" w:hAnsiTheme="minorEastAsia" w:hint="eastAsia"/>
          <w:color w:val="000000" w:themeColor="text1"/>
          <w:szCs w:val="21"/>
        </w:rPr>
        <w:t>为</w:t>
      </w:r>
      <w:r w:rsidRPr="00FD5C9F" w:rsidR="0054622C">
        <w:rPr>
          <w:rFonts w:asciiTheme="minorEastAsia" w:eastAsiaTheme="minorEastAsia" w:hAnsiTheme="minorEastAsia" w:hint="eastAsia"/>
          <w:color w:val="000000" w:themeColor="text1"/>
          <w:szCs w:val="21"/>
        </w:rPr>
        <w:t>人民币</w:t>
      </w:r>
      <w:r w:rsidRPr="00FD5C9F" w:rsidR="00A35EDE">
        <w:rPr>
          <w:rFonts w:asciiTheme="minorEastAsia" w:eastAsiaTheme="minorEastAsia" w:hAnsiTheme="minorEastAsia" w:hint="eastAsia"/>
          <w:color w:val="000000" w:themeColor="text1"/>
          <w:szCs w:val="21"/>
        </w:rPr>
        <w:t>1</w:t>
      </w:r>
      <w:r w:rsidRPr="00FD5C9F">
        <w:rPr>
          <w:rFonts w:asciiTheme="minorEastAsia" w:eastAsiaTheme="minorEastAsia" w:hAnsiTheme="minorEastAsia" w:hint="eastAsia"/>
          <w:color w:val="000000" w:themeColor="text1"/>
          <w:szCs w:val="21"/>
        </w:rPr>
        <w:t>元</w:t>
      </w:r>
      <w:r w:rsidRPr="00FD5C9F" w:rsidR="0054622C">
        <w:rPr>
          <w:rFonts w:asciiTheme="minorEastAsia" w:eastAsiaTheme="minorEastAsia" w:hAnsiTheme="minorEastAsia" w:hint="eastAsia"/>
          <w:color w:val="000000" w:themeColor="text1"/>
          <w:szCs w:val="21"/>
        </w:rPr>
        <w:t>；投资人通过本公司直销中心首次申购的单笔最低</w:t>
      </w:r>
      <w:r w:rsidRPr="00FD5C9F" w:rsidR="0054622C">
        <w:rPr>
          <w:rFonts w:asciiTheme="minorEastAsia" w:eastAsiaTheme="minorEastAsia" w:hAnsiTheme="minorEastAsia"/>
          <w:color w:val="000000" w:themeColor="text1"/>
          <w:szCs w:val="21"/>
        </w:rPr>
        <w:t>限额</w:t>
      </w:r>
      <w:r w:rsidRPr="00FD5C9F" w:rsidR="0054622C">
        <w:rPr>
          <w:rFonts w:asciiTheme="minorEastAsia" w:eastAsiaTheme="minorEastAsia" w:hAnsiTheme="minorEastAsia" w:hint="eastAsia"/>
          <w:color w:val="000000" w:themeColor="text1"/>
          <w:szCs w:val="21"/>
        </w:rPr>
        <w:t>为人民币50,000元，追加申购单笔最低</w:t>
      </w:r>
      <w:r w:rsidRPr="00FD5C9F" w:rsidR="0054622C">
        <w:rPr>
          <w:rFonts w:asciiTheme="minorEastAsia" w:eastAsiaTheme="minorEastAsia" w:hAnsiTheme="minorEastAsia"/>
          <w:color w:val="000000" w:themeColor="text1"/>
          <w:szCs w:val="21"/>
        </w:rPr>
        <w:t>限额</w:t>
      </w:r>
      <w:r w:rsidRPr="00FD5C9F" w:rsidR="0054622C">
        <w:rPr>
          <w:rFonts w:asciiTheme="minorEastAsia" w:eastAsiaTheme="minorEastAsia" w:hAnsiTheme="minorEastAsia" w:hint="eastAsia"/>
          <w:color w:val="000000" w:themeColor="text1"/>
          <w:szCs w:val="21"/>
        </w:rPr>
        <w:t>是人民币1,000元</w:t>
      </w:r>
      <w:r w:rsidRPr="00FD5C9F">
        <w:rPr>
          <w:rFonts w:asciiTheme="minorEastAsia" w:eastAsiaTheme="minorEastAsia" w:hAnsiTheme="minorEastAsia" w:hint="eastAsia"/>
          <w:color w:val="000000" w:themeColor="text1"/>
          <w:szCs w:val="21"/>
        </w:rPr>
        <w:t>。</w:t>
      </w:r>
      <w:r w:rsidRPr="00FD5C9F" w:rsidR="00243C97">
        <w:rPr>
          <w:rStyle w:val="da"/>
          <w:rFonts w:asciiTheme="minorEastAsia" w:eastAsiaTheme="minorEastAsia" w:hAnsiTheme="minorEastAsia" w:hint="eastAsia"/>
          <w:color w:val="000000" w:themeColor="text1"/>
        </w:rPr>
        <w:t>在符合法律法规规定的前提下，</w:t>
      </w:r>
      <w:r w:rsidRPr="00FD5C9F">
        <w:rPr>
          <w:rFonts w:asciiTheme="minorEastAsia" w:eastAsiaTheme="minorEastAsia" w:hAnsiTheme="minorEastAsia" w:hint="eastAsia"/>
          <w:color w:val="000000" w:themeColor="text1"/>
          <w:szCs w:val="21"/>
        </w:rPr>
        <w:t>各销售机构对申购</w:t>
      </w:r>
      <w:r w:rsidRPr="00FD5C9F" w:rsidR="00BD6496">
        <w:rPr>
          <w:rFonts w:asciiTheme="minorEastAsia" w:eastAsiaTheme="minorEastAsia" w:hAnsiTheme="minorEastAsia"/>
          <w:color w:val="000000" w:themeColor="text1"/>
          <w:szCs w:val="21"/>
        </w:rPr>
        <w:t>限额</w:t>
      </w:r>
      <w:r w:rsidRPr="00FD5C9F">
        <w:rPr>
          <w:rFonts w:asciiTheme="minorEastAsia" w:eastAsiaTheme="minorEastAsia" w:hAnsiTheme="minorEastAsia" w:hint="eastAsia"/>
          <w:color w:val="000000" w:themeColor="text1"/>
          <w:szCs w:val="21"/>
        </w:rPr>
        <w:t>及交易级差有其他规定的，</w:t>
      </w:r>
      <w:r w:rsidRPr="00FD5C9F" w:rsidR="00A35EDE">
        <w:rPr>
          <w:rFonts w:asciiTheme="minorEastAsia" w:eastAsiaTheme="minorEastAsia" w:hAnsiTheme="minorEastAsia" w:hint="eastAsia"/>
          <w:color w:val="000000" w:themeColor="text1"/>
          <w:szCs w:val="21"/>
        </w:rPr>
        <w:t>需同时遵循该销售机构的相关规定</w:t>
      </w:r>
      <w:r w:rsidRPr="00FD5C9F">
        <w:rPr>
          <w:rFonts w:asciiTheme="minorEastAsia" w:eastAsiaTheme="minorEastAsia" w:hAnsiTheme="minorEastAsia" w:hint="eastAsia"/>
          <w:color w:val="000000" w:themeColor="text1"/>
          <w:szCs w:val="21"/>
        </w:rPr>
        <w:t>。</w:t>
      </w:r>
      <w:r w:rsidRPr="00FD5C9F" w:rsidR="002E1C38">
        <w:rPr>
          <w:rFonts w:asciiTheme="minorEastAsia" w:eastAsiaTheme="minorEastAsia" w:hAnsiTheme="minorEastAsia"/>
          <w:color w:val="000000" w:themeColor="text1"/>
          <w:szCs w:val="21"/>
        </w:rPr>
        <w:t>（</w:t>
      </w:r>
      <w:r w:rsidRPr="00FD5C9F" w:rsidR="0050397E">
        <w:rPr>
          <w:rFonts w:asciiTheme="minorEastAsia" w:eastAsiaTheme="minorEastAsia" w:hAnsiTheme="minorEastAsia"/>
          <w:color w:val="000000" w:themeColor="text1"/>
          <w:szCs w:val="21"/>
        </w:rPr>
        <w:t>以上金额</w:t>
      </w:r>
      <w:r w:rsidRPr="00FD5C9F" w:rsidR="00714307">
        <w:rPr>
          <w:rFonts w:asciiTheme="minorEastAsia" w:eastAsiaTheme="minorEastAsia" w:hAnsiTheme="minorEastAsia" w:hint="eastAsia"/>
          <w:color w:val="000000" w:themeColor="text1"/>
          <w:szCs w:val="21"/>
        </w:rPr>
        <w:t>均</w:t>
      </w:r>
      <w:r w:rsidRPr="00FD5C9F" w:rsidR="0050397E">
        <w:rPr>
          <w:rFonts w:asciiTheme="minorEastAsia" w:eastAsiaTheme="minorEastAsia" w:hAnsiTheme="minorEastAsia"/>
          <w:color w:val="000000" w:themeColor="text1"/>
          <w:szCs w:val="21"/>
        </w:rPr>
        <w:t>含</w:t>
      </w:r>
      <w:r w:rsidRPr="00FD5C9F" w:rsidR="0050397E">
        <w:rPr>
          <w:rFonts w:asciiTheme="minorEastAsia" w:eastAsiaTheme="minorEastAsia" w:hAnsiTheme="minorEastAsia" w:hint="eastAsia"/>
          <w:color w:val="000000" w:themeColor="text1"/>
          <w:szCs w:val="21"/>
        </w:rPr>
        <w:t>申</w:t>
      </w:r>
      <w:r w:rsidRPr="00FD5C9F" w:rsidR="0050397E">
        <w:rPr>
          <w:rFonts w:asciiTheme="minorEastAsia" w:eastAsiaTheme="minorEastAsia" w:hAnsiTheme="minorEastAsia"/>
          <w:color w:val="000000" w:themeColor="text1"/>
          <w:szCs w:val="21"/>
        </w:rPr>
        <w:t>购费</w:t>
      </w:r>
      <w:r w:rsidRPr="00FD5C9F" w:rsidR="002E1C38">
        <w:rPr>
          <w:rFonts w:asciiTheme="minorEastAsia" w:eastAsiaTheme="minorEastAsia" w:hAnsiTheme="minorEastAsia"/>
          <w:color w:val="000000" w:themeColor="text1"/>
          <w:szCs w:val="21"/>
        </w:rPr>
        <w:t>）</w:t>
      </w:r>
      <w:r w:rsidRPr="00FD5C9F" w:rsidR="00CE51D2">
        <w:rPr>
          <w:rFonts w:asciiTheme="minorEastAsia" w:eastAsiaTheme="minorEastAsia" w:hAnsiTheme="minorEastAsia" w:hint="eastAsia"/>
          <w:color w:val="000000" w:themeColor="text1"/>
          <w:szCs w:val="21"/>
        </w:rPr>
        <w:t>。</w:t>
      </w:r>
    </w:p>
    <w:p w:rsidR="00214A68"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投资人可多次申购，</w:t>
      </w:r>
      <w:r w:rsidRPr="00FD5C9F" w:rsidR="00D558FF">
        <w:rPr>
          <w:rFonts w:asciiTheme="minorEastAsia" w:eastAsiaTheme="minorEastAsia" w:hAnsiTheme="minorEastAsia" w:hint="eastAsia"/>
          <w:color w:val="000000" w:themeColor="text1"/>
          <w:szCs w:val="21"/>
        </w:rPr>
        <w:t>一般情况下本基金</w:t>
      </w:r>
      <w:r w:rsidRPr="00FD5C9F">
        <w:rPr>
          <w:rFonts w:asciiTheme="minorEastAsia" w:eastAsiaTheme="minorEastAsia" w:hAnsiTheme="minorEastAsia" w:hint="eastAsia"/>
          <w:color w:val="000000" w:themeColor="text1"/>
          <w:szCs w:val="21"/>
        </w:rPr>
        <w:t>对单个投资人累计持有份额不设上限限制。</w:t>
      </w:r>
      <w:r w:rsidRPr="00FD5C9F" w:rsidR="00A6727C">
        <w:rPr>
          <w:rFonts w:asciiTheme="minorEastAsia" w:eastAsiaTheme="minorEastAsia" w:hAnsiTheme="minorEastAsia" w:hint="eastAsia"/>
          <w:color w:val="000000" w:themeColor="text1"/>
          <w:szCs w:val="21"/>
        </w:rPr>
        <w:t>但对于可能导致单一投资者持有基金份额的比例</w:t>
      </w:r>
      <w:r w:rsidRPr="00FD5C9F" w:rsidR="00FE2BB8">
        <w:rPr>
          <w:rFonts w:asciiTheme="minorEastAsia" w:eastAsiaTheme="minorEastAsia" w:hAnsiTheme="minorEastAsia" w:hint="eastAsia"/>
          <w:color w:val="000000" w:themeColor="text1"/>
          <w:szCs w:val="21"/>
        </w:rPr>
        <w:t>达到或者</w:t>
      </w:r>
      <w:r w:rsidRPr="00FD5C9F" w:rsidR="00A6727C">
        <w:rPr>
          <w:rFonts w:asciiTheme="minorEastAsia" w:eastAsiaTheme="minorEastAsia" w:hAnsiTheme="minorEastAsia" w:hint="eastAsia"/>
          <w:color w:val="000000" w:themeColor="text1"/>
          <w:szCs w:val="21"/>
        </w:rPr>
        <w:t>超过</w:t>
      </w:r>
      <w:r w:rsidRPr="00FD5C9F" w:rsidR="00A6727C">
        <w:rPr>
          <w:rFonts w:asciiTheme="minorEastAsia" w:eastAsiaTheme="minorEastAsia" w:hAnsiTheme="minorEastAsia"/>
          <w:color w:val="000000" w:themeColor="text1"/>
          <w:szCs w:val="21"/>
        </w:rPr>
        <w:t>50%，或者变相规避50%集中度的情形，基金管理人有权采取控制措施。</w:t>
      </w:r>
      <w:r w:rsidRPr="00FD5C9F" w:rsidR="00530BDE">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FD5C9F" w:rsidR="0021228B">
        <w:rPr>
          <w:rFonts w:asciiTheme="minorEastAsia" w:eastAsiaTheme="minorEastAsia" w:hAnsiTheme="minorEastAsia"/>
          <w:color w:val="000000" w:themeColor="text1"/>
          <w:szCs w:val="21"/>
        </w:rPr>
        <w:t>,具体请参见相关公告</w:t>
      </w:r>
      <w:r w:rsidRPr="00FD5C9F" w:rsidR="00530BDE">
        <w:rPr>
          <w:rFonts w:asciiTheme="minorEastAsia" w:eastAsiaTheme="minorEastAsia" w:hAnsiTheme="minorEastAsia" w:hint="eastAsia"/>
          <w:color w:val="000000" w:themeColor="text1"/>
          <w:szCs w:val="21"/>
        </w:rPr>
        <w:t>。</w:t>
      </w:r>
      <w:r w:rsidRPr="00FD5C9F">
        <w:rPr>
          <w:rFonts w:asciiTheme="minorEastAsia" w:eastAsiaTheme="minorEastAsia" w:hAnsiTheme="minorEastAsia" w:hint="eastAsia"/>
          <w:color w:val="000000" w:themeColor="text1"/>
          <w:szCs w:val="21"/>
        </w:rPr>
        <w:t>法律法规、中国证监会另有规定的除外。</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2、赎回份额的限制</w:t>
      </w:r>
    </w:p>
    <w:p w:rsidR="00214A68"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投资人可将其全部或部分基金份额赎回。</w:t>
      </w:r>
      <w:r w:rsidRPr="00FD5C9F">
        <w:rPr>
          <w:rFonts w:asciiTheme="minorEastAsia" w:eastAsiaTheme="minorEastAsia" w:hAnsiTheme="minorEastAsia" w:cs="TT64E9BFA0tCID-WinCharSetFFFF-H" w:hint="eastAsia"/>
          <w:color w:val="000000" w:themeColor="text1"/>
          <w:kern w:val="0"/>
          <w:szCs w:val="21"/>
        </w:rPr>
        <w:t>基金份额</w:t>
      </w:r>
      <w:r w:rsidRPr="00FD5C9F">
        <w:rPr>
          <w:rFonts w:asciiTheme="minorEastAsia" w:eastAsiaTheme="minorEastAsia" w:hAnsiTheme="minorEastAsia" w:hint="eastAsia"/>
          <w:color w:val="000000" w:themeColor="text1"/>
          <w:szCs w:val="21"/>
        </w:rPr>
        <w:t>单笔赎回或转换不得少于1份</w:t>
      </w:r>
      <w:r w:rsidRPr="00FD5C9F" w:rsidR="002E1C38">
        <w:rPr>
          <w:rFonts w:asciiTheme="minorEastAsia" w:eastAsiaTheme="minorEastAsia" w:hAnsiTheme="minorEastAsia" w:hint="eastAsia"/>
          <w:color w:val="000000" w:themeColor="text1"/>
          <w:szCs w:val="21"/>
        </w:rPr>
        <w:t>（</w:t>
      </w:r>
      <w:r w:rsidRPr="00FD5C9F" w:rsidR="00A2433C">
        <w:rPr>
          <w:rFonts w:asciiTheme="minorEastAsia" w:eastAsiaTheme="minorEastAsia" w:hAnsiTheme="minorEastAsia" w:hint="eastAsia"/>
          <w:color w:val="000000" w:themeColor="text1"/>
          <w:szCs w:val="21"/>
        </w:rPr>
        <w:t>如该账户在该销售机构托管的该基金余额不足</w:t>
      </w:r>
      <w:r w:rsidRPr="00FD5C9F">
        <w:rPr>
          <w:rFonts w:asciiTheme="minorEastAsia" w:eastAsiaTheme="minorEastAsia" w:hAnsiTheme="minorEastAsia" w:hint="eastAsia"/>
          <w:color w:val="000000" w:themeColor="text1"/>
          <w:szCs w:val="21"/>
        </w:rPr>
        <w:t>1份，则必须一次性赎回或转出</w:t>
      </w:r>
      <w:r w:rsidRPr="00FD5C9F" w:rsidR="00CF1997">
        <w:rPr>
          <w:rFonts w:asciiTheme="minorEastAsia" w:eastAsiaTheme="minorEastAsia" w:hAnsiTheme="minorEastAsia" w:hint="eastAsia"/>
          <w:color w:val="000000" w:themeColor="text1"/>
          <w:szCs w:val="21"/>
        </w:rPr>
        <w:t>该</w:t>
      </w:r>
      <w:r w:rsidRPr="00FD5C9F">
        <w:rPr>
          <w:rFonts w:asciiTheme="minorEastAsia" w:eastAsiaTheme="minorEastAsia" w:hAnsiTheme="minorEastAsia" w:hint="eastAsia"/>
          <w:color w:val="000000" w:themeColor="text1"/>
          <w:szCs w:val="21"/>
        </w:rPr>
        <w:t>基金全部份额</w:t>
      </w:r>
      <w:r w:rsidRPr="00FD5C9F" w:rsidR="002E1C38">
        <w:rPr>
          <w:rFonts w:asciiTheme="minorEastAsia" w:eastAsiaTheme="minorEastAsia" w:hAnsiTheme="minorEastAsia" w:hint="eastAsia"/>
          <w:color w:val="000000" w:themeColor="text1"/>
          <w:szCs w:val="21"/>
        </w:rPr>
        <w:t>）</w:t>
      </w:r>
      <w:r w:rsidRPr="00FD5C9F">
        <w:rPr>
          <w:rFonts w:asciiTheme="minorEastAsia" w:eastAsiaTheme="minorEastAsia" w:hAnsiTheme="minorEastAsia" w:hint="eastAsia"/>
          <w:color w:val="000000" w:themeColor="text1"/>
          <w:szCs w:val="21"/>
        </w:rPr>
        <w:t>；若某笔赎回将导致投资人在</w:t>
      </w:r>
      <w:r w:rsidRPr="00FD5C9F" w:rsidR="00A2433C">
        <w:rPr>
          <w:rFonts w:asciiTheme="minorEastAsia" w:eastAsiaTheme="minorEastAsia" w:hAnsiTheme="minorEastAsia" w:hint="eastAsia"/>
          <w:color w:val="000000" w:themeColor="text1"/>
          <w:szCs w:val="21"/>
        </w:rPr>
        <w:t>该</w:t>
      </w:r>
      <w:r w:rsidRPr="00FD5C9F">
        <w:rPr>
          <w:rFonts w:asciiTheme="minorEastAsia" w:eastAsiaTheme="minorEastAsia" w:hAnsiTheme="minorEastAsia" w:hint="eastAsia"/>
          <w:color w:val="000000" w:themeColor="text1"/>
          <w:szCs w:val="21"/>
        </w:rPr>
        <w:t>销售机构托管的</w:t>
      </w:r>
      <w:r w:rsidRPr="00FD5C9F" w:rsidR="00A2433C">
        <w:rPr>
          <w:rFonts w:asciiTheme="minorEastAsia" w:eastAsiaTheme="minorEastAsia" w:hAnsiTheme="minorEastAsia" w:hint="eastAsia"/>
          <w:color w:val="000000" w:themeColor="text1"/>
          <w:szCs w:val="21"/>
        </w:rPr>
        <w:t>该</w:t>
      </w:r>
      <w:r w:rsidRPr="00FD5C9F">
        <w:rPr>
          <w:rFonts w:asciiTheme="minorEastAsia" w:eastAsiaTheme="minorEastAsia" w:hAnsiTheme="minorEastAsia" w:hint="eastAsia"/>
          <w:color w:val="000000" w:themeColor="text1"/>
          <w:szCs w:val="21"/>
        </w:rPr>
        <w:t>基金余额不足1份时，基金管理人有权将投资人在该销售机构托管的</w:t>
      </w:r>
      <w:r w:rsidRPr="00FD5C9F" w:rsidR="00A2433C">
        <w:rPr>
          <w:rFonts w:asciiTheme="minorEastAsia" w:eastAsiaTheme="minorEastAsia" w:hAnsiTheme="minorEastAsia" w:hint="eastAsia"/>
          <w:color w:val="000000" w:themeColor="text1"/>
          <w:szCs w:val="21"/>
        </w:rPr>
        <w:t>该</w:t>
      </w:r>
      <w:r w:rsidRPr="00FD5C9F">
        <w:rPr>
          <w:rFonts w:asciiTheme="minorEastAsia" w:eastAsiaTheme="minorEastAsia" w:hAnsiTheme="minorEastAsia" w:hint="eastAsia"/>
          <w:color w:val="000000" w:themeColor="text1"/>
          <w:szCs w:val="21"/>
        </w:rPr>
        <w:t>基金剩余份额一次性全部赎回。</w:t>
      </w:r>
      <w:r w:rsidRPr="00FD5C9F" w:rsidR="00243C97">
        <w:rPr>
          <w:rStyle w:val="da"/>
          <w:rFonts w:asciiTheme="minorEastAsia" w:eastAsiaTheme="minorEastAsia" w:hAnsiTheme="minorEastAsia" w:hint="eastAsia"/>
          <w:color w:val="000000" w:themeColor="text1"/>
        </w:rPr>
        <w:t>在符合法律法规规定的前提下，</w:t>
      </w:r>
      <w:r w:rsidRPr="00FD5C9F">
        <w:rPr>
          <w:rFonts w:asciiTheme="minorEastAsia" w:eastAsiaTheme="minorEastAsia" w:hAnsiTheme="minorEastAsia" w:hint="eastAsia"/>
          <w:color w:val="000000" w:themeColor="text1"/>
          <w:szCs w:val="21"/>
        </w:rPr>
        <w:t>各销售机构对赎回份额限制有其他规定的，</w:t>
      </w:r>
      <w:r w:rsidRPr="00FD5C9F" w:rsidR="0019799A">
        <w:rPr>
          <w:rFonts w:asciiTheme="minorEastAsia" w:eastAsiaTheme="minorEastAsia" w:hAnsiTheme="minorEastAsia" w:hint="eastAsia"/>
          <w:color w:val="000000" w:themeColor="text1"/>
          <w:szCs w:val="21"/>
        </w:rPr>
        <w:t>需同时遵循该销售机构的相关规定</w:t>
      </w:r>
      <w:r w:rsidRPr="00FD5C9F">
        <w:rPr>
          <w:rFonts w:asciiTheme="minorEastAsia" w:eastAsiaTheme="minorEastAsia" w:hAnsiTheme="minorEastAsia" w:hint="eastAsia"/>
          <w:color w:val="000000" w:themeColor="text1"/>
          <w:szCs w:val="21"/>
        </w:rPr>
        <w:t>。</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3、基金管理人可以根据市场情况，在</w:t>
      </w:r>
      <w:r w:rsidRPr="00FD5C9F" w:rsidR="00F43707">
        <w:rPr>
          <w:rFonts w:asciiTheme="minorEastAsia" w:eastAsiaTheme="minorEastAsia" w:hAnsiTheme="minorEastAsia" w:hint="eastAsia"/>
          <w:color w:val="000000" w:themeColor="text1"/>
          <w:szCs w:val="21"/>
        </w:rPr>
        <w:t>不违反</w:t>
      </w:r>
      <w:r w:rsidRPr="00FD5C9F">
        <w:rPr>
          <w:rFonts w:asciiTheme="minorEastAsia" w:eastAsiaTheme="minorEastAsia" w:hAnsiTheme="minorEastAsia" w:hint="eastAsia"/>
          <w:color w:val="000000" w:themeColor="text1"/>
          <w:szCs w:val="21"/>
        </w:rPr>
        <w:t>法律法规的情况下，调整上述规定申购金额和赎回份额的数量限制</w:t>
      </w:r>
      <w:r w:rsidRPr="00FD5C9F" w:rsidR="00783F25">
        <w:rPr>
          <w:rFonts w:asciiTheme="minorEastAsia" w:eastAsiaTheme="minorEastAsia" w:hAnsiTheme="minorEastAsia" w:hint="eastAsia"/>
          <w:color w:val="000000" w:themeColor="text1"/>
          <w:szCs w:val="21"/>
        </w:rPr>
        <w:t>，</w:t>
      </w:r>
      <w:r w:rsidRPr="00FD5C9F" w:rsidR="00783F25">
        <w:rPr>
          <w:rFonts w:asciiTheme="minorEastAsia" w:eastAsiaTheme="minorEastAsia" w:hAnsiTheme="minorEastAsia" w:hint="eastAsia"/>
          <w:bCs/>
          <w:color w:val="000000" w:themeColor="text1"/>
          <w:szCs w:val="21"/>
        </w:rPr>
        <w:t>或者新增基金规模控制措施</w:t>
      </w:r>
      <w:r w:rsidRPr="00FD5C9F">
        <w:rPr>
          <w:rFonts w:asciiTheme="minorEastAsia" w:eastAsiaTheme="minorEastAsia" w:hAnsiTheme="minorEastAsia" w:hint="eastAsia"/>
          <w:color w:val="000000" w:themeColor="text1"/>
          <w:szCs w:val="21"/>
        </w:rPr>
        <w:t>。基金管理人必须在调整前依照《信息披露办法》的有关规定在</w:t>
      </w:r>
      <w:r w:rsidRPr="00FD5C9F" w:rsidR="003F09BA">
        <w:rPr>
          <w:rFonts w:asciiTheme="minorEastAsia" w:eastAsiaTheme="minorEastAsia" w:hAnsiTheme="minorEastAsia"/>
          <w:color w:val="000000" w:themeColor="text1"/>
          <w:szCs w:val="21"/>
        </w:rPr>
        <w:t>规</w:t>
      </w:r>
      <w:r w:rsidRPr="00FD5C9F">
        <w:rPr>
          <w:rFonts w:asciiTheme="minorEastAsia" w:eastAsiaTheme="minorEastAsia" w:hAnsiTheme="minorEastAsia" w:hint="eastAsia"/>
          <w:color w:val="000000" w:themeColor="text1"/>
          <w:szCs w:val="21"/>
        </w:rPr>
        <w:t>定</w:t>
      </w:r>
      <w:r w:rsidRPr="00FD5C9F" w:rsidR="009F705C">
        <w:rPr>
          <w:rFonts w:asciiTheme="minorEastAsia" w:eastAsiaTheme="minorEastAsia" w:hAnsiTheme="minorEastAsia" w:hint="eastAsia"/>
          <w:color w:val="000000" w:themeColor="text1"/>
          <w:szCs w:val="21"/>
        </w:rPr>
        <w:t>媒介</w:t>
      </w:r>
      <w:r w:rsidRPr="00FD5C9F">
        <w:rPr>
          <w:rFonts w:asciiTheme="minorEastAsia" w:eastAsiaTheme="minorEastAsia" w:hAnsiTheme="minorEastAsia" w:hint="eastAsia"/>
          <w:color w:val="000000" w:themeColor="text1"/>
          <w:szCs w:val="21"/>
        </w:rPr>
        <w:t>上公告。</w:t>
      </w:r>
    </w:p>
    <w:p w:rsidR="00BA4B87" w:rsidRPr="00FD5C9F" w:rsidP="00F55EBC">
      <w:pPr>
        <w:spacing w:line="360" w:lineRule="auto"/>
        <w:ind w:firstLine="420" w:firstLineChars="200"/>
        <w:rPr>
          <w:rStyle w:val="da"/>
          <w:rFonts w:asciiTheme="minorEastAsia" w:eastAsiaTheme="minorEastAsia" w:hAnsiTheme="minorEastAsia"/>
          <w:color w:val="000000" w:themeColor="text1"/>
          <w:szCs w:val="21"/>
        </w:rPr>
      </w:pPr>
      <w:bookmarkStart w:id="42" w:name="_Toc332373506"/>
      <w:r w:rsidRPr="00FD5C9F">
        <w:rPr>
          <w:rStyle w:val="da"/>
          <w:rFonts w:asciiTheme="minorEastAsia" w:eastAsiaTheme="minorEastAsia" w:hAnsiTheme="minorEastAsia" w:hint="eastAsia"/>
          <w:color w:val="000000" w:themeColor="text1"/>
          <w:szCs w:val="21"/>
        </w:rPr>
        <w:t>（</w:t>
      </w:r>
      <w:r w:rsidRPr="00FD5C9F" w:rsidR="00214A68">
        <w:rPr>
          <w:rStyle w:val="da"/>
          <w:rFonts w:asciiTheme="minorEastAsia" w:eastAsiaTheme="minorEastAsia" w:hAnsiTheme="minorEastAsia" w:hint="eastAsia"/>
          <w:color w:val="000000" w:themeColor="text1"/>
          <w:szCs w:val="21"/>
        </w:rPr>
        <w:t>七</w:t>
      </w:r>
      <w:r w:rsidRPr="00FD5C9F">
        <w:rPr>
          <w:rStyle w:val="da"/>
          <w:rFonts w:asciiTheme="minorEastAsia" w:eastAsiaTheme="minorEastAsia" w:hAnsiTheme="minorEastAsia" w:hint="eastAsia"/>
          <w:color w:val="000000" w:themeColor="text1"/>
          <w:szCs w:val="21"/>
        </w:rPr>
        <w:t>）基金的申购费和赎回费</w:t>
      </w:r>
      <w:bookmarkEnd w:id="42"/>
    </w:p>
    <w:p w:rsidR="00BA4B87" w:rsidRPr="00FD5C9F" w:rsidP="001735E3">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w:t>
      </w:r>
      <w:r w:rsidRPr="00FD5C9F" w:rsidR="00A05E07">
        <w:rPr>
          <w:rFonts w:asciiTheme="minorEastAsia" w:eastAsiaTheme="minorEastAsia" w:hAnsiTheme="minorEastAsia" w:hint="eastAsia"/>
          <w:bCs/>
          <w:color w:val="000000" w:themeColor="text1"/>
          <w:szCs w:val="21"/>
        </w:rPr>
        <w:t>本基金的</w:t>
      </w:r>
      <w:r w:rsidRPr="00FD5C9F" w:rsidR="00A05E07">
        <w:rPr>
          <w:rFonts w:asciiTheme="minorEastAsia" w:eastAsiaTheme="minorEastAsia" w:hAnsiTheme="minorEastAsia"/>
          <w:bCs/>
          <w:color w:val="000000" w:themeColor="text1"/>
          <w:szCs w:val="21"/>
        </w:rPr>
        <w:t>申购费用由</w:t>
      </w:r>
      <w:r w:rsidRPr="00FD5C9F" w:rsidR="00A05E07">
        <w:rPr>
          <w:rFonts w:asciiTheme="minorEastAsia" w:eastAsiaTheme="minorEastAsia" w:hAnsiTheme="minorEastAsia" w:hint="eastAsia"/>
          <w:bCs/>
          <w:color w:val="000000" w:themeColor="text1"/>
          <w:szCs w:val="21"/>
        </w:rPr>
        <w:t>申购基金份额的</w:t>
      </w:r>
      <w:r w:rsidRPr="00FD5C9F" w:rsidR="00A05E07">
        <w:rPr>
          <w:rFonts w:asciiTheme="minorEastAsia" w:eastAsiaTheme="minorEastAsia" w:hAnsiTheme="minorEastAsia"/>
          <w:bCs/>
          <w:color w:val="000000" w:themeColor="text1"/>
          <w:szCs w:val="21"/>
        </w:rPr>
        <w:t>投资人承担</w:t>
      </w: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不列入基金财产，主要用于本基金的市场推广、销售、注册登记等各项费用。</w:t>
      </w:r>
      <w:r w:rsidRPr="00FD5C9F">
        <w:rPr>
          <w:rFonts w:asciiTheme="minorEastAsia" w:eastAsiaTheme="minorEastAsia" w:hAnsiTheme="minorEastAsia" w:hint="eastAsia"/>
          <w:color w:val="000000" w:themeColor="text1"/>
          <w:szCs w:val="21"/>
        </w:rPr>
        <w:t>赎回费用由基金赎回人承担。</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2、申购费率</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本基金对通过</w:t>
      </w:r>
      <w:r w:rsidRPr="00FD5C9F" w:rsidR="00320FDC">
        <w:rPr>
          <w:rFonts w:asciiTheme="minorEastAsia" w:eastAsiaTheme="minorEastAsia" w:hAnsiTheme="minorEastAsia" w:hint="eastAsia"/>
          <w:color w:val="000000" w:themeColor="text1"/>
          <w:szCs w:val="21"/>
        </w:rPr>
        <w:t>本</w:t>
      </w:r>
      <w:r w:rsidRPr="00FD5C9F" w:rsidR="00320FDC">
        <w:rPr>
          <w:rFonts w:asciiTheme="minorEastAsia" w:eastAsiaTheme="minorEastAsia" w:hAnsiTheme="minorEastAsia"/>
          <w:color w:val="000000" w:themeColor="text1"/>
          <w:szCs w:val="21"/>
        </w:rPr>
        <w:t>公司</w:t>
      </w:r>
      <w:r w:rsidRPr="00FD5C9F" w:rsidR="00A26107">
        <w:rPr>
          <w:rFonts w:asciiTheme="minorEastAsia" w:eastAsiaTheme="minorEastAsia" w:hAnsiTheme="minorEastAsia" w:hint="eastAsia"/>
          <w:color w:val="000000" w:themeColor="text1"/>
          <w:szCs w:val="21"/>
        </w:rPr>
        <w:t>直销</w:t>
      </w:r>
      <w:r w:rsidRPr="00FD5C9F" w:rsidR="009C56F4">
        <w:rPr>
          <w:rFonts w:asciiTheme="minorEastAsia" w:eastAsiaTheme="minorEastAsia" w:hAnsiTheme="minorEastAsia" w:hint="eastAsia"/>
          <w:color w:val="000000" w:themeColor="text1"/>
          <w:szCs w:val="21"/>
        </w:rPr>
        <w:t>中心</w:t>
      </w:r>
      <w:r w:rsidRPr="00FD5C9F">
        <w:rPr>
          <w:rFonts w:asciiTheme="minorEastAsia" w:eastAsiaTheme="minorEastAsia" w:hAnsiTheme="minorEastAsia" w:hint="eastAsia"/>
          <w:color w:val="000000" w:themeColor="text1"/>
          <w:szCs w:val="21"/>
        </w:rPr>
        <w:t>申购的</w:t>
      </w:r>
      <w:r w:rsidRPr="00FD5C9F" w:rsidR="001175C0">
        <w:rPr>
          <w:rStyle w:val="da"/>
          <w:rFonts w:asciiTheme="minorEastAsia" w:eastAsiaTheme="minorEastAsia" w:hAnsiTheme="minorEastAsia" w:hint="eastAsia"/>
          <w:color w:val="000000" w:themeColor="text1"/>
        </w:rPr>
        <w:t>特定投资群体</w:t>
      </w:r>
      <w:r w:rsidRPr="00FD5C9F">
        <w:rPr>
          <w:rFonts w:asciiTheme="minorEastAsia" w:eastAsiaTheme="minorEastAsia" w:hAnsiTheme="minorEastAsia" w:hint="eastAsia"/>
          <w:color w:val="000000" w:themeColor="text1"/>
          <w:szCs w:val="21"/>
        </w:rPr>
        <w:t>与除此之外的其他投资者实施差别的申购费率。</w:t>
      </w:r>
    </w:p>
    <w:p w:rsidR="001175C0"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175C0"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特定投资群体可通过本</w:t>
      </w:r>
      <w:r w:rsidRPr="00FD5C9F" w:rsidR="00553EB9">
        <w:rPr>
          <w:rFonts w:asciiTheme="minorEastAsia" w:eastAsiaTheme="minorEastAsia" w:hAnsiTheme="minorEastAsia" w:hint="eastAsia"/>
          <w:color w:val="000000" w:themeColor="text1"/>
          <w:szCs w:val="21"/>
        </w:rPr>
        <w:t>公司</w:t>
      </w:r>
      <w:r w:rsidRPr="00FD5C9F">
        <w:rPr>
          <w:rFonts w:asciiTheme="minorEastAsia" w:eastAsiaTheme="minorEastAsia" w:hAnsiTheme="minorEastAsia" w:hint="eastAsia"/>
          <w:color w:val="000000" w:themeColor="text1"/>
          <w:szCs w:val="21"/>
        </w:rPr>
        <w:t>直销中心申购本基金。基金管理人可根据情况变更</w:t>
      </w:r>
      <w:r w:rsidRPr="00FD5C9F" w:rsidR="00133009">
        <w:rPr>
          <w:rFonts w:asciiTheme="minorEastAsia" w:eastAsiaTheme="minorEastAsia" w:hAnsiTheme="minorEastAsia" w:hint="eastAsia"/>
          <w:bCs/>
          <w:color w:val="000000" w:themeColor="text1"/>
          <w:szCs w:val="21"/>
        </w:rPr>
        <w:t>或增减</w:t>
      </w:r>
      <w:r w:rsidRPr="00FD5C9F">
        <w:rPr>
          <w:rFonts w:asciiTheme="minorEastAsia" w:eastAsiaTheme="minorEastAsia" w:hAnsiTheme="minorEastAsia" w:hint="eastAsia"/>
          <w:color w:val="000000" w:themeColor="text1"/>
          <w:szCs w:val="21"/>
        </w:rPr>
        <w:t>特定投资群体申购本基金的销售机</w:t>
      </w:r>
      <w:r w:rsidRPr="00FD5C9F">
        <w:rPr>
          <w:rFonts w:asciiTheme="minorEastAsia" w:eastAsiaTheme="minorEastAsia" w:hAnsiTheme="minorEastAsia" w:hint="eastAsia"/>
          <w:color w:val="000000" w:themeColor="text1"/>
          <w:sz w:val="24"/>
          <w:szCs w:val="20"/>
        </w:rPr>
        <w:t>构</w:t>
      </w:r>
      <w:r w:rsidRPr="00FD5C9F">
        <w:rPr>
          <w:rFonts w:asciiTheme="minorEastAsia" w:eastAsiaTheme="minorEastAsia" w:hAnsiTheme="minorEastAsia" w:hint="eastAsia"/>
          <w:color w:val="000000" w:themeColor="text1"/>
          <w:szCs w:val="21"/>
        </w:rPr>
        <w:t>，</w:t>
      </w:r>
      <w:r w:rsidRPr="00FD5C9F" w:rsidR="008C7CA9">
        <w:rPr>
          <w:rFonts w:asciiTheme="minorEastAsia" w:eastAsiaTheme="minorEastAsia" w:hAnsiTheme="minorEastAsia" w:hint="eastAsia"/>
          <w:color w:val="000000" w:themeColor="text1"/>
          <w:szCs w:val="21"/>
        </w:rPr>
        <w:t>并在基金管理人网站公示</w:t>
      </w:r>
      <w:r w:rsidRPr="00FD5C9F">
        <w:rPr>
          <w:rFonts w:asciiTheme="minorEastAsia" w:eastAsiaTheme="minorEastAsia" w:hAnsiTheme="minorEastAsia" w:hint="eastAsia"/>
          <w:color w:val="000000" w:themeColor="text1"/>
          <w:szCs w:val="21"/>
        </w:rPr>
        <w:t>。</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通过基金管理人的</w:t>
      </w:r>
      <w:r w:rsidRPr="00FD5C9F" w:rsidR="00A26107">
        <w:rPr>
          <w:rFonts w:asciiTheme="minorEastAsia" w:eastAsiaTheme="minorEastAsia" w:hAnsiTheme="minorEastAsia" w:hint="eastAsia"/>
          <w:color w:val="000000" w:themeColor="text1"/>
          <w:szCs w:val="21"/>
        </w:rPr>
        <w:t>直销</w:t>
      </w:r>
      <w:r w:rsidRPr="00FD5C9F" w:rsidR="009C56F4">
        <w:rPr>
          <w:rFonts w:asciiTheme="minorEastAsia" w:eastAsiaTheme="minorEastAsia" w:hAnsiTheme="minorEastAsia" w:hint="eastAsia"/>
          <w:color w:val="000000" w:themeColor="text1"/>
          <w:szCs w:val="21"/>
        </w:rPr>
        <w:t>中心</w:t>
      </w:r>
      <w:r w:rsidRPr="00FD5C9F">
        <w:rPr>
          <w:rFonts w:asciiTheme="minorEastAsia" w:eastAsiaTheme="minorEastAsia" w:hAnsiTheme="minorEastAsia" w:hint="eastAsia"/>
          <w:color w:val="000000" w:themeColor="text1"/>
          <w:szCs w:val="21"/>
        </w:rPr>
        <w:t>申购本基金的</w:t>
      </w:r>
      <w:r w:rsidRPr="00FD5C9F" w:rsidR="001175C0">
        <w:rPr>
          <w:rFonts w:asciiTheme="minorEastAsia" w:eastAsiaTheme="minorEastAsia" w:hAnsiTheme="minorEastAsia"/>
          <w:color w:val="000000" w:themeColor="text1"/>
        </w:rPr>
        <w:t>特定投资群体</w:t>
      </w:r>
      <w:r w:rsidRPr="00FD5C9F">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2E681B" w:rsidRPr="00FD5C9F" w:rsidP="00BA4B87">
            <w:pPr>
              <w:widowControl/>
              <w:spacing w:line="360" w:lineRule="auto"/>
              <w:jc w:val="center"/>
              <w:rPr>
                <w:rFonts w:asciiTheme="minorEastAsia" w:eastAsiaTheme="minorEastAsia" w:hAnsiTheme="minorEastAsia"/>
                <w:bCs/>
                <w:color w:val="000000" w:themeColor="text1"/>
                <w:kern w:val="0"/>
                <w:szCs w:val="21"/>
              </w:rPr>
            </w:pPr>
            <w:r w:rsidRPr="00FD5C9F">
              <w:rPr>
                <w:rFonts w:asciiTheme="minorEastAsia" w:eastAsiaTheme="minorEastAsia" w:hAnsiTheme="minorEastAsia"/>
                <w:bCs/>
                <w:color w:val="000000" w:themeColor="text1"/>
                <w:kern w:val="0"/>
                <w:szCs w:val="21"/>
              </w:rPr>
              <w:t>申购金额M</w:t>
            </w:r>
            <w:r w:rsidRPr="00FD5C9F" w:rsidR="002E1C38">
              <w:rPr>
                <w:rFonts w:asciiTheme="minorEastAsia" w:eastAsiaTheme="minorEastAsia" w:hAnsiTheme="minorEastAsia"/>
                <w:bCs/>
                <w:color w:val="000000" w:themeColor="text1"/>
                <w:kern w:val="0"/>
                <w:szCs w:val="21"/>
              </w:rPr>
              <w:t>（</w:t>
            </w:r>
            <w:r w:rsidRPr="00FD5C9F">
              <w:rPr>
                <w:rFonts w:asciiTheme="minorEastAsia" w:eastAsiaTheme="minorEastAsia" w:hAnsiTheme="minorEastAsia"/>
                <w:bCs/>
                <w:color w:val="000000" w:themeColor="text1"/>
                <w:kern w:val="0"/>
                <w:szCs w:val="21"/>
              </w:rPr>
              <w:t>元</w:t>
            </w:r>
            <w:r w:rsidRPr="00FD5C9F" w:rsidR="002E1C38">
              <w:rPr>
                <w:rFonts w:asciiTheme="minorEastAsia" w:eastAsiaTheme="minorEastAsia" w:hAnsiTheme="minorEastAsia"/>
                <w:bCs/>
                <w:color w:val="000000" w:themeColor="text1"/>
                <w:kern w:val="0"/>
                <w:szCs w:val="21"/>
              </w:rPr>
              <w:t>）（</w:t>
            </w:r>
            <w:r w:rsidRPr="00FD5C9F">
              <w:rPr>
                <w:rFonts w:asciiTheme="minorEastAsia" w:eastAsiaTheme="minorEastAsia" w:hAnsiTheme="minorEastAsia"/>
                <w:bCs/>
                <w:color w:val="000000" w:themeColor="text1"/>
                <w:kern w:val="0"/>
                <w:szCs w:val="21"/>
              </w:rPr>
              <w:t>含申购费</w:t>
            </w:r>
            <w:r w:rsidRPr="00FD5C9F" w:rsidR="002E1C38">
              <w:rPr>
                <w:rFonts w:asciiTheme="minorEastAsia" w:eastAsiaTheme="minorEastAsia" w:hAnsiTheme="minorEastAsia"/>
                <w:bCs/>
                <w:color w:val="000000" w:themeColor="text1"/>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rsidR="002E681B" w:rsidRPr="00FD5C9F" w:rsidP="00BA4B87">
            <w:pPr>
              <w:widowControl/>
              <w:spacing w:line="360" w:lineRule="auto"/>
              <w:jc w:val="center"/>
              <w:rPr>
                <w:rFonts w:asciiTheme="minorEastAsia" w:eastAsiaTheme="minorEastAsia" w:hAnsiTheme="minorEastAsia"/>
                <w:bCs/>
                <w:color w:val="000000" w:themeColor="text1"/>
                <w:kern w:val="0"/>
                <w:szCs w:val="21"/>
              </w:rPr>
            </w:pPr>
            <w:r w:rsidRPr="00FD5C9F">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D5C9F" w:rsidP="00BA4B87">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2E681B" w:rsidRPr="00FD5C9F" w:rsidP="006B6B4D">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w:t>
            </w:r>
            <w:r w:rsidRPr="00FD5C9F" w:rsidR="007C5FFE">
              <w:rPr>
                <w:rFonts w:asciiTheme="minorEastAsia" w:eastAsiaTheme="minorEastAsia" w:hAnsiTheme="minorEastAsia"/>
                <w:color w:val="000000" w:themeColor="text1"/>
                <w:kern w:val="0"/>
                <w:szCs w:val="21"/>
              </w:rPr>
              <w:t>1</w:t>
            </w:r>
            <w:r w:rsidRPr="00FD5C9F" w:rsidR="006B6B4D">
              <w:rPr>
                <w:rFonts w:asciiTheme="minorEastAsia" w:eastAsiaTheme="minorEastAsia" w:hAnsiTheme="minorEastAsia" w:hint="eastAsia"/>
                <w:color w:val="000000" w:themeColor="text1"/>
                <w:kern w:val="0"/>
                <w:szCs w:val="21"/>
              </w:rPr>
              <w:t>5</w:t>
            </w:r>
            <w:r w:rsidRPr="00FD5C9F">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D5C9F" w:rsidP="007C5FFE">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2E681B" w:rsidRPr="00FD5C9F" w:rsidP="006B6B4D">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w:t>
            </w:r>
            <w:r w:rsidRPr="00FD5C9F" w:rsidR="007C5FFE">
              <w:rPr>
                <w:rFonts w:asciiTheme="minorEastAsia" w:eastAsiaTheme="minorEastAsia" w:hAnsiTheme="minorEastAsia"/>
                <w:color w:val="000000" w:themeColor="text1"/>
                <w:kern w:val="0"/>
                <w:szCs w:val="21"/>
              </w:rPr>
              <w:t>1</w:t>
            </w:r>
            <w:r w:rsidRPr="00FD5C9F" w:rsidR="006B6B4D">
              <w:rPr>
                <w:rFonts w:asciiTheme="minorEastAsia" w:eastAsiaTheme="minorEastAsia" w:hAnsiTheme="minorEastAsia" w:hint="eastAsia"/>
                <w:color w:val="000000" w:themeColor="text1"/>
                <w:kern w:val="0"/>
                <w:szCs w:val="21"/>
              </w:rPr>
              <w:t>2</w:t>
            </w:r>
            <w:r w:rsidRPr="00FD5C9F">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D5C9F" w:rsidP="00BA4B87">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2E681B" w:rsidRPr="00FD5C9F" w:rsidP="006B6B4D">
            <w:pPr>
              <w:widowControl/>
              <w:spacing w:line="360" w:lineRule="auto"/>
              <w:ind w:firstLine="1546" w:firstLineChars="736"/>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w:t>
            </w:r>
            <w:r w:rsidRPr="00FD5C9F" w:rsidR="007C5FFE">
              <w:rPr>
                <w:rFonts w:asciiTheme="minorEastAsia" w:eastAsiaTheme="minorEastAsia" w:hAnsiTheme="minorEastAsia"/>
                <w:color w:val="000000" w:themeColor="text1"/>
                <w:kern w:val="0"/>
                <w:szCs w:val="21"/>
              </w:rPr>
              <w:t>0</w:t>
            </w:r>
            <w:r w:rsidRPr="00FD5C9F" w:rsidR="006B6B4D">
              <w:rPr>
                <w:rFonts w:asciiTheme="minorEastAsia" w:eastAsiaTheme="minorEastAsia" w:hAnsiTheme="minorEastAsia" w:hint="eastAsia"/>
                <w:color w:val="000000" w:themeColor="text1"/>
                <w:kern w:val="0"/>
                <w:szCs w:val="21"/>
              </w:rPr>
              <w:t>3</w:t>
            </w:r>
            <w:r w:rsidRPr="00FD5C9F">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2E681B" w:rsidRPr="00FD5C9F" w:rsidP="00BA4B87">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2E681B" w:rsidRPr="00FD5C9F" w:rsidP="00BA4B87">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sidR="00CE51D2">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00</w:t>
            </w:r>
            <w:r w:rsidRPr="00FD5C9F" w:rsidR="00371919">
              <w:rPr>
                <w:rFonts w:asciiTheme="minorEastAsia" w:eastAsiaTheme="minorEastAsia" w:hAnsiTheme="minorEastAsia"/>
                <w:color w:val="000000" w:themeColor="text1"/>
                <w:kern w:val="0"/>
                <w:szCs w:val="21"/>
              </w:rPr>
              <w:t>0</w:t>
            </w:r>
            <w:r w:rsidRPr="00FD5C9F">
              <w:rPr>
                <w:rFonts w:asciiTheme="minorEastAsia" w:eastAsiaTheme="minorEastAsia" w:hAnsiTheme="minorEastAsia"/>
                <w:color w:val="000000" w:themeColor="text1"/>
                <w:kern w:val="0"/>
                <w:szCs w:val="21"/>
              </w:rPr>
              <w:t>元/笔</w:t>
            </w:r>
          </w:p>
        </w:tc>
      </w:tr>
    </w:tbl>
    <w:p w:rsidR="00BA4B87" w:rsidRPr="00FD5C9F" w:rsidP="00722FC3">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rPr>
        <w:t>其他投资者申购本基金的申购费率见下表：</w:t>
      </w:r>
    </w:p>
    <w:tbl>
      <w:tblPr>
        <w:tblW w:w="7574" w:type="dxa"/>
        <w:jc w:val="center"/>
        <w:tblLook w:val="0000"/>
      </w:tblPr>
      <w:tblGrid>
        <w:gridCol w:w="3794"/>
        <w:gridCol w:w="3780"/>
      </w:tblGrid>
      <w:tr w:rsidTr="00BA4B87">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bCs/>
                <w:color w:val="000000" w:themeColor="text1"/>
                <w:kern w:val="0"/>
                <w:szCs w:val="21"/>
              </w:rPr>
            </w:pPr>
            <w:r w:rsidRPr="00FD5C9F">
              <w:rPr>
                <w:rFonts w:asciiTheme="minorEastAsia" w:eastAsiaTheme="minorEastAsia" w:hAnsiTheme="minorEastAsia"/>
                <w:bCs/>
                <w:color w:val="000000" w:themeColor="text1"/>
                <w:kern w:val="0"/>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bCs/>
                <w:color w:val="000000" w:themeColor="text1"/>
                <w:kern w:val="0"/>
                <w:szCs w:val="21"/>
              </w:rPr>
            </w:pPr>
            <w:r w:rsidRPr="00FD5C9F">
              <w:rPr>
                <w:rFonts w:asciiTheme="minorEastAsia" w:eastAsiaTheme="minorEastAsia" w:hAnsiTheme="minorEastAsia"/>
                <w:bCs/>
                <w:color w:val="000000" w:themeColor="text1"/>
                <w:kern w:val="0"/>
                <w:szCs w:val="21"/>
              </w:rPr>
              <w:t>申购费率</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sidR="00941906">
              <w:rPr>
                <w:rFonts w:asciiTheme="minorEastAsia" w:eastAsiaTheme="minorEastAsia" w:hAnsiTheme="minorEastAsia" w:hint="eastAsia"/>
                <w:color w:val="000000" w:themeColor="text1"/>
                <w:kern w:val="0"/>
                <w:szCs w:val="21"/>
              </w:rPr>
              <w:t>5</w:t>
            </w:r>
            <w:r w:rsidRPr="00FD5C9F">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sidR="00941906">
              <w:rPr>
                <w:rFonts w:asciiTheme="minorEastAsia" w:eastAsiaTheme="minorEastAsia" w:hAnsiTheme="minorEastAsia" w:hint="eastAsia"/>
                <w:color w:val="000000" w:themeColor="text1"/>
                <w:kern w:val="0"/>
                <w:szCs w:val="21"/>
              </w:rPr>
              <w:t>2</w:t>
            </w:r>
            <w:r w:rsidRPr="00FD5C9F">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w:t>
            </w:r>
            <w:r w:rsidRPr="00FD5C9F" w:rsidR="00941906">
              <w:rPr>
                <w:rFonts w:asciiTheme="minorEastAsia" w:eastAsiaTheme="minorEastAsia" w:hAnsiTheme="minorEastAsia" w:hint="eastAsia"/>
                <w:color w:val="000000" w:themeColor="text1"/>
                <w:kern w:val="0"/>
                <w:szCs w:val="21"/>
              </w:rPr>
              <w:t>3</w:t>
            </w:r>
            <w:r w:rsidRPr="00FD5C9F">
              <w:rPr>
                <w:rFonts w:asciiTheme="minorEastAsia" w:eastAsiaTheme="minorEastAsia" w:hAnsiTheme="minorEastAsia"/>
                <w:color w:val="000000" w:themeColor="text1"/>
                <w:kern w:val="0"/>
                <w:szCs w:val="21"/>
              </w:rPr>
              <w:t>%</w:t>
            </w:r>
          </w:p>
        </w:tc>
      </w:tr>
      <w:tr w:rsidTr="00BA4B87">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3566EB" w:rsidRPr="00FD5C9F" w:rsidP="003566EB">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000元/笔</w:t>
            </w:r>
          </w:p>
        </w:tc>
      </w:tr>
    </w:tbl>
    <w:p w:rsidR="00BA4B87" w:rsidRPr="00FD5C9F" w:rsidP="00722FC3">
      <w:pPr>
        <w:spacing w:line="312"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BA4B87" w:rsidRPr="00FD5C9F" w:rsidP="00722FC3">
      <w:pPr>
        <w:spacing w:line="312"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3、赎回费率</w:t>
      </w:r>
    </w:p>
    <w:p w:rsidR="00BA4B87" w:rsidRPr="00FD5C9F" w:rsidP="00722FC3">
      <w:pPr>
        <w:spacing w:line="312"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rsidTr="00A832B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BA4B87" w:rsidRPr="00FD5C9F" w:rsidP="00BA4B87">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持有时间</w:t>
            </w:r>
            <w:r w:rsidRPr="00FD5C9F" w:rsidR="002E1C38">
              <w:rPr>
                <w:rFonts w:asciiTheme="minorEastAsia" w:eastAsiaTheme="minorEastAsia" w:hAnsiTheme="minorEastAsia"/>
                <w:color w:val="000000" w:themeColor="text1"/>
                <w:kern w:val="0"/>
                <w:szCs w:val="21"/>
              </w:rPr>
              <w:t>（</w:t>
            </w:r>
            <w:r w:rsidRPr="00FD5C9F">
              <w:rPr>
                <w:rFonts w:asciiTheme="minorEastAsia" w:eastAsiaTheme="minorEastAsia" w:hAnsiTheme="minorEastAsia"/>
                <w:color w:val="000000" w:themeColor="text1"/>
                <w:kern w:val="0"/>
                <w:szCs w:val="21"/>
              </w:rPr>
              <w:t>天</w:t>
            </w:r>
            <w:r w:rsidRPr="00FD5C9F" w:rsidR="002E1C38">
              <w:rPr>
                <w:rFonts w:asciiTheme="minorEastAsia" w:eastAsiaTheme="minorEastAsia" w:hAnsiTheme="minorEastAsia"/>
                <w:color w:val="000000" w:themeColor="text1"/>
                <w:kern w:val="0"/>
                <w:szCs w:val="21"/>
              </w:rPr>
              <w:t>）</w:t>
            </w:r>
            <w:r w:rsidRPr="00FD5C9F">
              <w:rPr>
                <w:rFonts w:asciiTheme="minorEastAsia" w:eastAsiaTheme="minorEastAsia" w:hAnsiTheme="minorEastAsia"/>
                <w:color w:val="000000" w:themeColor="text1"/>
                <w:szCs w:val="21"/>
                <w:vertAlign w:val="superscript"/>
              </w:rPr>
              <w:t xml:space="preserve"> </w:t>
            </w:r>
          </w:p>
        </w:tc>
        <w:tc>
          <w:tcPr>
            <w:tcW w:w="3735" w:type="dxa"/>
          </w:tcPr>
          <w:p w:rsidR="00BA4B87" w:rsidRPr="00FD5C9F" w:rsidP="00BA4B87">
            <w:pPr>
              <w:widowControl/>
              <w:spacing w:before="100" w:beforeAutospacing="1" w:after="100" w:afterAutospacing="1"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 xml:space="preserve">赎回费率 </w:t>
            </w:r>
          </w:p>
        </w:tc>
      </w:tr>
      <w:tr w:rsidTr="00A832B1">
        <w:tblPrEx>
          <w:tblW w:w="0" w:type="auto"/>
          <w:jc w:val="center"/>
          <w:tblLayout w:type="fixed"/>
          <w:tblLook w:val="01E0"/>
        </w:tblPrEx>
        <w:trPr>
          <w:trHeight w:val="462"/>
          <w:jc w:val="center"/>
        </w:trPr>
        <w:tc>
          <w:tcPr>
            <w:tcW w:w="3806"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0-6</w:t>
            </w:r>
          </w:p>
        </w:tc>
        <w:tc>
          <w:tcPr>
            <w:tcW w:w="3735"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1.5%</w:t>
            </w:r>
          </w:p>
        </w:tc>
      </w:tr>
      <w:tr w:rsidTr="00A832B1">
        <w:tblPrEx>
          <w:tblW w:w="0" w:type="auto"/>
          <w:jc w:val="center"/>
          <w:tblLayout w:type="fixed"/>
          <w:tblLook w:val="01E0"/>
        </w:tblPrEx>
        <w:trPr>
          <w:trHeight w:val="474"/>
          <w:jc w:val="center"/>
        </w:trPr>
        <w:tc>
          <w:tcPr>
            <w:tcW w:w="3806"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7-29</w:t>
            </w:r>
          </w:p>
        </w:tc>
        <w:tc>
          <w:tcPr>
            <w:tcW w:w="3735"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0.75%</w:t>
            </w:r>
          </w:p>
        </w:tc>
      </w:tr>
      <w:tr w:rsidTr="00A832B1">
        <w:tblPrEx>
          <w:tblW w:w="0" w:type="auto"/>
          <w:jc w:val="center"/>
          <w:tblLayout w:type="fixed"/>
          <w:tblLook w:val="01E0"/>
        </w:tblPrEx>
        <w:trPr>
          <w:trHeight w:val="462"/>
          <w:jc w:val="center"/>
        </w:trPr>
        <w:tc>
          <w:tcPr>
            <w:tcW w:w="3806"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30-89</w:t>
            </w:r>
          </w:p>
        </w:tc>
        <w:tc>
          <w:tcPr>
            <w:tcW w:w="3735"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62"/>
          <w:jc w:val="center"/>
        </w:trPr>
        <w:tc>
          <w:tcPr>
            <w:tcW w:w="3806"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90-179</w:t>
            </w:r>
          </w:p>
        </w:tc>
        <w:tc>
          <w:tcPr>
            <w:tcW w:w="3735"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62"/>
          <w:jc w:val="center"/>
        </w:trPr>
        <w:tc>
          <w:tcPr>
            <w:tcW w:w="3806"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180-364</w:t>
            </w:r>
          </w:p>
        </w:tc>
        <w:tc>
          <w:tcPr>
            <w:tcW w:w="3735"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0.5%</w:t>
            </w:r>
          </w:p>
        </w:tc>
      </w:tr>
      <w:tr w:rsidTr="00A832B1">
        <w:tblPrEx>
          <w:tblW w:w="0" w:type="auto"/>
          <w:jc w:val="center"/>
          <w:tblLayout w:type="fixed"/>
          <w:tblLook w:val="01E0"/>
        </w:tblPrEx>
        <w:trPr>
          <w:trHeight w:val="474"/>
          <w:jc w:val="center"/>
        </w:trPr>
        <w:tc>
          <w:tcPr>
            <w:tcW w:w="3806"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365-729</w:t>
            </w:r>
          </w:p>
        </w:tc>
        <w:tc>
          <w:tcPr>
            <w:tcW w:w="3735"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 xml:space="preserve">0.25% </w:t>
            </w:r>
          </w:p>
        </w:tc>
      </w:tr>
      <w:tr w:rsidTr="00A832B1">
        <w:tblPrEx>
          <w:tblW w:w="0" w:type="auto"/>
          <w:jc w:val="center"/>
          <w:tblLayout w:type="fixed"/>
          <w:tblLook w:val="01E0"/>
        </w:tblPrEx>
        <w:trPr>
          <w:trHeight w:val="474"/>
          <w:jc w:val="center"/>
        </w:trPr>
        <w:tc>
          <w:tcPr>
            <w:tcW w:w="3806"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730及以上</w:t>
            </w:r>
          </w:p>
        </w:tc>
        <w:tc>
          <w:tcPr>
            <w:tcW w:w="3735" w:type="dxa"/>
          </w:tcPr>
          <w:p w:rsidR="001735E3" w:rsidRPr="00FD5C9F" w:rsidP="001735E3">
            <w:pPr>
              <w:widowControl/>
              <w:spacing w:line="360" w:lineRule="auto"/>
              <w:jc w:val="center"/>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 xml:space="preserve">0% </w:t>
            </w:r>
          </w:p>
        </w:tc>
      </w:tr>
    </w:tbl>
    <w:p w:rsidR="005D539E" w:rsidRPr="00FD5C9F" w:rsidP="005D539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投资者可将其持有的全部或部分基金份额赎回。</w:t>
      </w:r>
      <w:r w:rsidRPr="00FD5C9F">
        <w:rPr>
          <w:rFonts w:asciiTheme="minorEastAsia" w:eastAsiaTheme="minorEastAsia" w:hAnsiTheme="minorEastAsia"/>
          <w:color w:val="000000" w:themeColor="text1"/>
          <w:szCs w:val="21"/>
        </w:rPr>
        <w:t>赎回费用由赎回基金份额的基金份额持有人承担，</w:t>
      </w:r>
      <w:r w:rsidRPr="00FD5C9F">
        <w:rPr>
          <w:rFonts w:asciiTheme="minorEastAsia" w:eastAsiaTheme="minorEastAsia" w:hAnsiTheme="minorEastAsia" w:hint="eastAsia"/>
          <w:color w:val="000000" w:themeColor="text1"/>
          <w:szCs w:val="21"/>
        </w:rPr>
        <w:t>在基金份额持有人赎回基金份额时收取。对持有期少于30天（不含）的基金份额持有人所收取赎回费用全额计入基金财产；对持有期在30天以上（含）且少于90天（不含）的基金份额持有人所收取赎回费用总额的</w:t>
      </w:r>
      <w:r w:rsidRPr="00FD5C9F">
        <w:rPr>
          <w:rFonts w:asciiTheme="minorEastAsia" w:eastAsiaTheme="minorEastAsia" w:hAnsiTheme="minorEastAsia"/>
          <w:color w:val="000000" w:themeColor="text1"/>
          <w:szCs w:val="21"/>
        </w:rPr>
        <w:t>75%计入</w:t>
      </w:r>
      <w:r w:rsidRPr="00FD5C9F">
        <w:rPr>
          <w:rFonts w:asciiTheme="minorEastAsia" w:eastAsiaTheme="minorEastAsia" w:hAnsiTheme="minorEastAsia" w:hint="eastAsia"/>
          <w:color w:val="000000" w:themeColor="text1"/>
          <w:szCs w:val="21"/>
        </w:rPr>
        <w:t>基金财产；对持有期在90天以上（含）且少于180天（不含）的基金份额持有人所收取赎回费用总额</w:t>
      </w:r>
      <w:r w:rsidRPr="00FD5C9F">
        <w:rPr>
          <w:rFonts w:asciiTheme="minorEastAsia" w:eastAsiaTheme="minorEastAsia" w:hAnsiTheme="minorEastAsia"/>
          <w:color w:val="000000" w:themeColor="text1"/>
          <w:szCs w:val="21"/>
        </w:rPr>
        <w:t>的50%计入</w:t>
      </w:r>
      <w:r w:rsidRPr="00FD5C9F">
        <w:rPr>
          <w:rFonts w:asciiTheme="minorEastAsia" w:eastAsiaTheme="minorEastAsia" w:hAnsiTheme="minorEastAsia" w:hint="eastAsia"/>
          <w:color w:val="000000" w:themeColor="text1"/>
          <w:szCs w:val="21"/>
        </w:rPr>
        <w:t>基金财产；对持续持有</w:t>
      </w:r>
      <w:r w:rsidRPr="00FD5C9F">
        <w:rPr>
          <w:rFonts w:asciiTheme="minorEastAsia" w:eastAsiaTheme="minorEastAsia" w:hAnsiTheme="minorEastAsia"/>
          <w:color w:val="000000" w:themeColor="text1"/>
          <w:szCs w:val="21"/>
        </w:rPr>
        <w:t>期180天以上（含）的</w:t>
      </w:r>
      <w:r w:rsidRPr="00FD5C9F">
        <w:rPr>
          <w:rFonts w:asciiTheme="minorEastAsia" w:eastAsiaTheme="minorEastAsia" w:hAnsiTheme="minorEastAsia" w:hint="eastAsia"/>
          <w:color w:val="000000" w:themeColor="text1"/>
          <w:szCs w:val="21"/>
        </w:rPr>
        <w:t>基金份额持有人</w:t>
      </w:r>
      <w:r w:rsidRPr="00FD5C9F">
        <w:rPr>
          <w:rFonts w:asciiTheme="minorEastAsia" w:eastAsiaTheme="minorEastAsia" w:hAnsiTheme="minorEastAsia"/>
          <w:color w:val="000000" w:themeColor="text1"/>
          <w:szCs w:val="21"/>
        </w:rPr>
        <w:t>所收取赎回费用总额</w:t>
      </w:r>
      <w:r w:rsidRPr="00FD5C9F">
        <w:rPr>
          <w:rFonts w:asciiTheme="minorEastAsia" w:eastAsiaTheme="minorEastAsia" w:hAnsiTheme="minorEastAsia" w:hint="eastAsia"/>
          <w:color w:val="000000" w:themeColor="text1"/>
          <w:szCs w:val="21"/>
        </w:rPr>
        <w:t>的25%计入基金财产；其余用于支付市场推广、注册登记费和其他手续费。</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4、基金管理人可以在基金合同规定的范围内调整申购费率</w:t>
      </w:r>
      <w:r w:rsidRPr="00FD5C9F" w:rsidR="00880A01">
        <w:rPr>
          <w:rFonts w:asciiTheme="minorEastAsia" w:eastAsiaTheme="minorEastAsia" w:hAnsiTheme="minorEastAsia" w:hint="eastAsia"/>
          <w:color w:val="000000" w:themeColor="text1"/>
          <w:szCs w:val="21"/>
        </w:rPr>
        <w:t>、</w:t>
      </w:r>
      <w:r w:rsidRPr="00FD5C9F">
        <w:rPr>
          <w:rFonts w:asciiTheme="minorEastAsia" w:eastAsiaTheme="minorEastAsia" w:hAnsiTheme="minorEastAsia" w:hint="eastAsia"/>
          <w:color w:val="000000" w:themeColor="text1"/>
          <w:szCs w:val="21"/>
        </w:rPr>
        <w:t>赎回费率</w:t>
      </w:r>
      <w:r w:rsidRPr="00FD5C9F" w:rsidR="00880A01">
        <w:rPr>
          <w:rFonts w:asciiTheme="minorEastAsia" w:eastAsiaTheme="minorEastAsia" w:hAnsiTheme="minorEastAsia" w:hint="eastAsia"/>
          <w:color w:val="000000" w:themeColor="text1"/>
          <w:szCs w:val="21"/>
        </w:rPr>
        <w:t>或变更收费方式</w:t>
      </w:r>
      <w:r w:rsidRPr="00FD5C9F">
        <w:rPr>
          <w:rFonts w:asciiTheme="minorEastAsia" w:eastAsiaTheme="minorEastAsia" w:hAnsiTheme="minorEastAsia" w:hint="eastAsia"/>
          <w:color w:val="000000" w:themeColor="text1"/>
          <w:szCs w:val="21"/>
        </w:rPr>
        <w:t>，调整后的申购费率</w:t>
      </w:r>
      <w:r w:rsidRPr="00FD5C9F" w:rsidR="00880A01">
        <w:rPr>
          <w:rFonts w:asciiTheme="minorEastAsia" w:eastAsiaTheme="minorEastAsia" w:hAnsiTheme="minorEastAsia" w:hint="eastAsia"/>
          <w:color w:val="000000" w:themeColor="text1"/>
          <w:szCs w:val="21"/>
        </w:rPr>
        <w:t>、</w:t>
      </w:r>
      <w:r w:rsidRPr="00FD5C9F">
        <w:rPr>
          <w:rFonts w:asciiTheme="minorEastAsia" w:eastAsiaTheme="minorEastAsia" w:hAnsiTheme="minorEastAsia" w:hint="eastAsia"/>
          <w:color w:val="000000" w:themeColor="text1"/>
          <w:szCs w:val="21"/>
        </w:rPr>
        <w:t>赎回费率</w:t>
      </w:r>
      <w:r w:rsidRPr="00FD5C9F" w:rsidR="009012CD">
        <w:rPr>
          <w:rFonts w:asciiTheme="minorEastAsia" w:eastAsiaTheme="minorEastAsia" w:hAnsiTheme="minorEastAsia" w:hint="eastAsia"/>
          <w:color w:val="000000" w:themeColor="text1"/>
          <w:szCs w:val="21"/>
        </w:rPr>
        <w:t>或变更的收费方式</w:t>
      </w:r>
      <w:r w:rsidRPr="00FD5C9F">
        <w:rPr>
          <w:rFonts w:asciiTheme="minorEastAsia" w:eastAsiaTheme="minorEastAsia" w:hAnsiTheme="minorEastAsia" w:hint="eastAsia"/>
          <w:color w:val="000000" w:themeColor="text1"/>
          <w:szCs w:val="21"/>
        </w:rPr>
        <w:t>在更新的《招募说明书》中列示。上述费率</w:t>
      </w:r>
      <w:r w:rsidRPr="00FD5C9F" w:rsidR="009012CD">
        <w:rPr>
          <w:rFonts w:asciiTheme="minorEastAsia" w:eastAsiaTheme="minorEastAsia" w:hAnsiTheme="minorEastAsia" w:hint="eastAsia"/>
          <w:color w:val="000000" w:themeColor="text1"/>
          <w:szCs w:val="21"/>
        </w:rPr>
        <w:t>或收费方式</w:t>
      </w:r>
      <w:r w:rsidRPr="00FD5C9F">
        <w:rPr>
          <w:rFonts w:asciiTheme="minorEastAsia" w:eastAsiaTheme="minorEastAsia" w:hAnsiTheme="minorEastAsia" w:hint="eastAsia"/>
          <w:color w:val="000000" w:themeColor="text1"/>
          <w:szCs w:val="21"/>
        </w:rPr>
        <w:t>如发生变更，基金管理人最迟应于新的费率或收费方式实施前依照《信息披露办法》的有关规定在</w:t>
      </w:r>
      <w:r w:rsidRPr="00FD5C9F" w:rsidR="00191609">
        <w:rPr>
          <w:rFonts w:asciiTheme="minorEastAsia" w:eastAsiaTheme="minorEastAsia" w:hAnsiTheme="minorEastAsia"/>
          <w:color w:val="000000" w:themeColor="text1"/>
          <w:szCs w:val="21"/>
        </w:rPr>
        <w:t>规</w:t>
      </w:r>
      <w:r w:rsidRPr="00FD5C9F">
        <w:rPr>
          <w:rFonts w:asciiTheme="minorEastAsia" w:eastAsiaTheme="minorEastAsia" w:hAnsiTheme="minorEastAsia" w:hint="eastAsia"/>
          <w:color w:val="000000" w:themeColor="text1"/>
          <w:szCs w:val="21"/>
        </w:rPr>
        <w:t>定</w:t>
      </w:r>
      <w:r w:rsidRPr="00FD5C9F" w:rsidR="009F705C">
        <w:rPr>
          <w:rFonts w:asciiTheme="minorEastAsia" w:eastAsiaTheme="minorEastAsia" w:hAnsiTheme="minorEastAsia" w:hint="eastAsia"/>
          <w:color w:val="000000" w:themeColor="text1"/>
          <w:szCs w:val="21"/>
        </w:rPr>
        <w:t>媒介</w:t>
      </w:r>
      <w:r w:rsidRPr="00FD5C9F">
        <w:rPr>
          <w:rFonts w:asciiTheme="minorEastAsia" w:eastAsiaTheme="minorEastAsia" w:hAnsiTheme="minorEastAsia" w:hint="eastAsia"/>
          <w:color w:val="000000" w:themeColor="text1"/>
          <w:szCs w:val="21"/>
        </w:rPr>
        <w:t>上公告。</w:t>
      </w:r>
    </w:p>
    <w:p w:rsidR="00AE4146" w:rsidRPr="00FD5C9F" w:rsidP="00F55EBC">
      <w:pPr>
        <w:spacing w:line="360" w:lineRule="auto"/>
        <w:ind w:firstLine="420" w:firstLineChars="200"/>
        <w:rPr>
          <w:rFonts w:asciiTheme="minorEastAsia" w:eastAsiaTheme="minorEastAsia" w:hAnsiTheme="minorEastAsia"/>
          <w:bCs/>
          <w:color w:val="000000" w:themeColor="text1"/>
          <w:szCs w:val="21"/>
        </w:rPr>
      </w:pPr>
      <w:bookmarkStart w:id="43" w:name="_Toc332373507"/>
      <w:r w:rsidRPr="00FD5C9F">
        <w:rPr>
          <w:rFonts w:asciiTheme="minorEastAsia" w:eastAsiaTheme="minorEastAsia" w:hAnsiTheme="minorEastAsia" w:hint="eastAsia"/>
          <w:bCs/>
          <w:color w:val="000000" w:themeColor="text1"/>
          <w:szCs w:val="21"/>
        </w:rPr>
        <w:t>基金管理人可以在不违反法律法规规定及基金合同约定的情况下根据市场情况制定基金促销计划，针对基金投资者定期和不定期地开展基金促销活动。</w:t>
      </w:r>
      <w:r w:rsidRPr="00FD5C9F">
        <w:rPr>
          <w:rFonts w:asciiTheme="minorEastAsia" w:eastAsiaTheme="minorEastAsia" w:hAnsiTheme="minorEastAsia" w:hint="eastAsia"/>
          <w:color w:val="000000" w:themeColor="text1"/>
          <w:szCs w:val="21"/>
        </w:rPr>
        <w:t>在基金促销活动期间，基金管理人可以适当调低基金销售费率，或针对特定渠道、特定投资群体开展有差别的费率优惠活动</w:t>
      </w:r>
      <w:r w:rsidRPr="00FD5C9F">
        <w:rPr>
          <w:rFonts w:asciiTheme="minorEastAsia" w:eastAsiaTheme="minorEastAsia" w:hAnsiTheme="minorEastAsia" w:hint="eastAsia"/>
          <w:bCs/>
          <w:color w:val="000000" w:themeColor="text1"/>
          <w:szCs w:val="21"/>
        </w:rPr>
        <w:t>。</w:t>
      </w:r>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214A68">
        <w:rPr>
          <w:rStyle w:val="da"/>
          <w:rFonts w:asciiTheme="minorEastAsia" w:eastAsiaTheme="minorEastAsia" w:hAnsiTheme="minorEastAsia" w:hint="eastAsia"/>
          <w:color w:val="000000" w:themeColor="text1"/>
        </w:rPr>
        <w:t>八</w:t>
      </w:r>
      <w:r w:rsidRPr="00FD5C9F">
        <w:rPr>
          <w:rStyle w:val="da"/>
          <w:rFonts w:asciiTheme="minorEastAsia" w:eastAsiaTheme="minorEastAsia" w:hAnsiTheme="minorEastAsia" w:hint="eastAsia"/>
          <w:color w:val="000000" w:themeColor="text1"/>
        </w:rPr>
        <w:t>）申购和赎回的数额和价格</w:t>
      </w:r>
      <w:bookmarkEnd w:id="43"/>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 xml:space="preserve">1、申购和赎回数额、余额的处理方式 </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1）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 xml:space="preserve">（2）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 </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bookmarkStart w:id="44" w:name="_Toc332373508"/>
      <w:r w:rsidRPr="00FD5C9F">
        <w:rPr>
          <w:rFonts w:asciiTheme="minorEastAsia" w:eastAsiaTheme="minorEastAsia" w:hAnsiTheme="minorEastAsia"/>
          <w:color w:val="000000" w:themeColor="text1"/>
          <w:szCs w:val="21"/>
        </w:rPr>
        <w:t>2、申购份额的计算</w:t>
      </w:r>
      <w:bookmarkEnd w:id="44"/>
      <w:r w:rsidRPr="00FD5C9F">
        <w:rPr>
          <w:rFonts w:asciiTheme="minorEastAsia" w:eastAsiaTheme="minorEastAsia" w:hAnsiTheme="minorEastAsia"/>
          <w:color w:val="000000" w:themeColor="text1"/>
          <w:szCs w:val="21"/>
        </w:rPr>
        <w:t xml:space="preserve">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bookmarkStart w:id="45" w:name="_Toc332373509"/>
      <w:r w:rsidRPr="00FD5C9F">
        <w:rPr>
          <w:rFonts w:asciiTheme="minorEastAsia" w:eastAsiaTheme="minorEastAsia" w:hAnsiTheme="minorEastAsia"/>
          <w:color w:val="000000" w:themeColor="text1"/>
          <w:szCs w:val="21"/>
        </w:rPr>
        <w:t xml:space="preserve">净申购金额=申购金额/（1+申购费率）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（注：对于500万（含）以上适用固定金额申购费的申购，净申购金额＝申购金额－固定申购费金额）</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 xml:space="preserve">申购费用=申购金额-净申购金额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申购份额=净申购金额/ T日基金份额净值</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例</w:t>
      </w:r>
      <w:r w:rsidRPr="00FD5C9F">
        <w:rPr>
          <w:rFonts w:asciiTheme="minorEastAsia" w:eastAsiaTheme="minorEastAsia" w:hAnsiTheme="minorEastAsia" w:hint="eastAsia"/>
          <w:color w:val="000000" w:themeColor="text1"/>
          <w:szCs w:val="21"/>
        </w:rPr>
        <w:t>三</w:t>
      </w:r>
      <w:r w:rsidRPr="00FD5C9F">
        <w:rPr>
          <w:rFonts w:asciiTheme="minorEastAsia" w:eastAsiaTheme="minorEastAsia" w:hAnsiTheme="minorEastAsia"/>
          <w:color w:val="000000" w:themeColor="text1"/>
          <w:szCs w:val="21"/>
        </w:rPr>
        <w:t>：某投资人（非</w:t>
      </w:r>
      <w:r w:rsidRPr="00FD5C9F">
        <w:rPr>
          <w:rFonts w:asciiTheme="minorEastAsia" w:eastAsiaTheme="minorEastAsia" w:hAnsiTheme="minorEastAsia"/>
          <w:color w:val="000000" w:themeColor="text1"/>
        </w:rPr>
        <w:t>特定投资群体</w:t>
      </w:r>
      <w:r w:rsidRPr="00FD5C9F">
        <w:rPr>
          <w:rFonts w:asciiTheme="minorEastAsia" w:eastAsiaTheme="minorEastAsia" w:hAnsiTheme="minorEastAsia"/>
          <w:color w:val="000000" w:themeColor="text1"/>
          <w:szCs w:val="21"/>
        </w:rPr>
        <w:t>）投资100,000元申购本基金，申购费率为</w:t>
      </w:r>
      <w:r w:rsidRPr="00FD5C9F">
        <w:rPr>
          <w:rFonts w:asciiTheme="minorEastAsia" w:eastAsiaTheme="minorEastAsia" w:hAnsiTheme="minorEastAsia" w:hint="eastAsia"/>
          <w:color w:val="000000" w:themeColor="text1"/>
          <w:szCs w:val="21"/>
        </w:rPr>
        <w:t>1.5</w:t>
      </w:r>
      <w:r w:rsidRPr="00FD5C9F">
        <w:rPr>
          <w:rFonts w:asciiTheme="minorEastAsia" w:eastAsiaTheme="minorEastAsia" w:hAnsiTheme="minorEastAsia"/>
          <w:color w:val="000000" w:themeColor="text1"/>
          <w:szCs w:val="21"/>
        </w:rPr>
        <w:t>%，假设申购当日基金份额净值为1.040</w:t>
      </w:r>
      <w:r w:rsidRPr="00FD5C9F" w:rsidR="00E2584F">
        <w:rPr>
          <w:rFonts w:asciiTheme="minorEastAsia" w:eastAsiaTheme="minorEastAsia" w:hAnsiTheme="minorEastAsia"/>
          <w:color w:val="000000" w:themeColor="text1"/>
          <w:szCs w:val="21"/>
        </w:rPr>
        <w:t>0</w:t>
      </w:r>
      <w:r w:rsidRPr="00FD5C9F">
        <w:rPr>
          <w:rFonts w:asciiTheme="minorEastAsia" w:eastAsiaTheme="minorEastAsia" w:hAnsiTheme="minorEastAsia"/>
          <w:color w:val="000000" w:themeColor="text1"/>
          <w:szCs w:val="21"/>
        </w:rPr>
        <w:t xml:space="preserve">元，则其可得到的申购份额为：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净申购金额=100,000/（1+</w:t>
      </w:r>
      <w:r w:rsidRPr="00FD5C9F">
        <w:rPr>
          <w:rFonts w:asciiTheme="minorEastAsia" w:eastAsiaTheme="minorEastAsia" w:hAnsiTheme="minorEastAsia" w:hint="eastAsia"/>
          <w:color w:val="000000" w:themeColor="text1"/>
          <w:szCs w:val="21"/>
        </w:rPr>
        <w:t>1.5</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98,522.17</w:t>
      </w:r>
      <w:r w:rsidRPr="00FD5C9F">
        <w:rPr>
          <w:rFonts w:asciiTheme="minorEastAsia" w:eastAsiaTheme="minorEastAsia" w:hAnsiTheme="minorEastAsia"/>
          <w:color w:val="000000" w:themeColor="text1"/>
          <w:szCs w:val="21"/>
        </w:rPr>
        <w:t xml:space="preserve">元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申购费用=100,000-</w:t>
      </w:r>
      <w:r w:rsidRPr="00FD5C9F">
        <w:rPr>
          <w:rFonts w:asciiTheme="minorEastAsia" w:eastAsiaTheme="minorEastAsia" w:hAnsiTheme="minorEastAsia" w:hint="eastAsia"/>
          <w:color w:val="000000" w:themeColor="text1"/>
          <w:szCs w:val="21"/>
        </w:rPr>
        <w:t>98,522.17</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1,477.83</w:t>
      </w:r>
      <w:r w:rsidRPr="00FD5C9F">
        <w:rPr>
          <w:rFonts w:asciiTheme="minorEastAsia" w:eastAsiaTheme="minorEastAsia" w:hAnsiTheme="minorEastAsia"/>
          <w:color w:val="000000" w:themeColor="text1"/>
          <w:szCs w:val="21"/>
        </w:rPr>
        <w:t xml:space="preserve">元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申购份额=</w:t>
      </w:r>
      <w:r w:rsidRPr="00FD5C9F">
        <w:rPr>
          <w:rFonts w:asciiTheme="minorEastAsia" w:eastAsiaTheme="minorEastAsia" w:hAnsiTheme="minorEastAsia" w:hint="eastAsia"/>
          <w:color w:val="000000" w:themeColor="text1"/>
          <w:szCs w:val="21"/>
        </w:rPr>
        <w:t>98,522.17</w:t>
      </w:r>
      <w:r w:rsidRPr="00FD5C9F">
        <w:rPr>
          <w:rFonts w:asciiTheme="minorEastAsia" w:eastAsiaTheme="minorEastAsia" w:hAnsiTheme="minorEastAsia"/>
          <w:color w:val="000000" w:themeColor="text1"/>
          <w:szCs w:val="21"/>
        </w:rPr>
        <w:t>/1.040</w:t>
      </w:r>
      <w:r w:rsidRPr="00FD5C9F" w:rsidR="00E2584F">
        <w:rPr>
          <w:rFonts w:asciiTheme="minorEastAsia" w:eastAsiaTheme="minorEastAsia" w:hAnsiTheme="minorEastAsia"/>
          <w:color w:val="000000" w:themeColor="text1"/>
          <w:szCs w:val="21"/>
        </w:rPr>
        <w:t>0</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94,732.86</w:t>
      </w:r>
      <w:r w:rsidRPr="00FD5C9F">
        <w:rPr>
          <w:rFonts w:asciiTheme="minorEastAsia" w:eastAsiaTheme="minorEastAsia" w:hAnsiTheme="minorEastAsia"/>
          <w:color w:val="000000" w:themeColor="text1"/>
          <w:szCs w:val="21"/>
        </w:rPr>
        <w:t xml:space="preserve">份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例四</w:t>
      </w:r>
      <w:r w:rsidRPr="00FD5C9F">
        <w:rPr>
          <w:rFonts w:asciiTheme="minorEastAsia" w:eastAsiaTheme="minorEastAsia" w:hAnsiTheme="minorEastAsia"/>
          <w:color w:val="000000" w:themeColor="text1"/>
          <w:szCs w:val="21"/>
        </w:rPr>
        <w:t>：某投资人（</w:t>
      </w:r>
      <w:r w:rsidRPr="00FD5C9F">
        <w:rPr>
          <w:rFonts w:asciiTheme="minorEastAsia" w:eastAsiaTheme="minorEastAsia" w:hAnsiTheme="minorEastAsia"/>
          <w:color w:val="000000" w:themeColor="text1"/>
        </w:rPr>
        <w:t>特定投资群体</w:t>
      </w:r>
      <w:r w:rsidRPr="00FD5C9F">
        <w:rPr>
          <w:rFonts w:asciiTheme="minorEastAsia" w:eastAsiaTheme="minorEastAsia" w:hAnsiTheme="minorEastAsia"/>
          <w:color w:val="000000" w:themeColor="text1"/>
          <w:szCs w:val="21"/>
        </w:rPr>
        <w:t>）通过本管理人的直销</w:t>
      </w:r>
      <w:r w:rsidRPr="00FD5C9F">
        <w:rPr>
          <w:rFonts w:asciiTheme="minorEastAsia" w:eastAsiaTheme="minorEastAsia" w:hAnsiTheme="minorEastAsia" w:hint="eastAsia"/>
          <w:color w:val="000000" w:themeColor="text1"/>
          <w:szCs w:val="21"/>
        </w:rPr>
        <w:t>中心</w:t>
      </w:r>
      <w:r w:rsidRPr="00FD5C9F">
        <w:rPr>
          <w:rFonts w:asciiTheme="minorEastAsia" w:eastAsiaTheme="minorEastAsia" w:hAnsiTheme="minorEastAsia"/>
          <w:color w:val="000000" w:themeColor="text1"/>
          <w:szCs w:val="21"/>
        </w:rPr>
        <w:t>投资100,000元申购本基金，申购费率为0.</w:t>
      </w:r>
      <w:r w:rsidRPr="00FD5C9F">
        <w:rPr>
          <w:rFonts w:asciiTheme="minorEastAsia" w:eastAsiaTheme="minorEastAsia" w:hAnsiTheme="minorEastAsia" w:hint="eastAsia"/>
          <w:color w:val="000000" w:themeColor="text1"/>
          <w:szCs w:val="21"/>
        </w:rPr>
        <w:t>15</w:t>
      </w:r>
      <w:r w:rsidRPr="00FD5C9F">
        <w:rPr>
          <w:rFonts w:asciiTheme="minorEastAsia" w:eastAsiaTheme="minorEastAsia" w:hAnsiTheme="minorEastAsia"/>
          <w:color w:val="000000" w:themeColor="text1"/>
          <w:szCs w:val="21"/>
        </w:rPr>
        <w:t>%，假设申购当日基金份额净值为1.040</w:t>
      </w:r>
      <w:r w:rsidRPr="00FD5C9F" w:rsidR="00E2584F">
        <w:rPr>
          <w:rFonts w:asciiTheme="minorEastAsia" w:eastAsiaTheme="minorEastAsia" w:hAnsiTheme="minorEastAsia"/>
          <w:color w:val="000000" w:themeColor="text1"/>
          <w:szCs w:val="21"/>
        </w:rPr>
        <w:t>0</w:t>
      </w:r>
      <w:r w:rsidRPr="00FD5C9F">
        <w:rPr>
          <w:rFonts w:asciiTheme="minorEastAsia" w:eastAsiaTheme="minorEastAsia" w:hAnsiTheme="minorEastAsia"/>
          <w:color w:val="000000" w:themeColor="text1"/>
          <w:szCs w:val="21"/>
        </w:rPr>
        <w:t xml:space="preserve">元，则其可得到的申购份额为：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净申购金额=100,000/（1+</w:t>
      </w:r>
      <w:r w:rsidRPr="00FD5C9F">
        <w:rPr>
          <w:rFonts w:asciiTheme="minorEastAsia" w:eastAsiaTheme="minorEastAsia" w:hAnsiTheme="minorEastAsia" w:hint="eastAsia"/>
          <w:color w:val="000000" w:themeColor="text1"/>
          <w:szCs w:val="21"/>
        </w:rPr>
        <w:t>0.15</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99,850.22</w:t>
      </w:r>
      <w:r w:rsidRPr="00FD5C9F">
        <w:rPr>
          <w:rFonts w:asciiTheme="minorEastAsia" w:eastAsiaTheme="minorEastAsia" w:hAnsiTheme="minorEastAsia"/>
          <w:color w:val="000000" w:themeColor="text1"/>
          <w:szCs w:val="21"/>
        </w:rPr>
        <w:t xml:space="preserve">元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申购费用=100,000-</w:t>
      </w:r>
      <w:r w:rsidRPr="00FD5C9F">
        <w:rPr>
          <w:rFonts w:asciiTheme="minorEastAsia" w:eastAsiaTheme="minorEastAsia" w:hAnsiTheme="minorEastAsia" w:hint="eastAsia"/>
          <w:color w:val="000000" w:themeColor="text1"/>
          <w:szCs w:val="21"/>
        </w:rPr>
        <w:t>99,850.22</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149.78</w:t>
      </w:r>
      <w:r w:rsidRPr="00FD5C9F">
        <w:rPr>
          <w:rFonts w:asciiTheme="minorEastAsia" w:eastAsiaTheme="minorEastAsia" w:hAnsiTheme="minorEastAsia"/>
          <w:color w:val="000000" w:themeColor="text1"/>
          <w:szCs w:val="21"/>
        </w:rPr>
        <w:t xml:space="preserve">元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申购份额=</w:t>
      </w:r>
      <w:r w:rsidRPr="00FD5C9F">
        <w:rPr>
          <w:rFonts w:asciiTheme="minorEastAsia" w:eastAsiaTheme="minorEastAsia" w:hAnsiTheme="minorEastAsia" w:hint="eastAsia"/>
          <w:color w:val="000000" w:themeColor="text1"/>
          <w:szCs w:val="21"/>
        </w:rPr>
        <w:t>99,850.22</w:t>
      </w:r>
      <w:r w:rsidRPr="00FD5C9F">
        <w:rPr>
          <w:rFonts w:asciiTheme="minorEastAsia" w:eastAsiaTheme="minorEastAsia" w:hAnsiTheme="minorEastAsia"/>
          <w:color w:val="000000" w:themeColor="text1"/>
          <w:szCs w:val="21"/>
        </w:rPr>
        <w:t>/1.040</w:t>
      </w:r>
      <w:r w:rsidRPr="00FD5C9F" w:rsidR="00E2584F">
        <w:rPr>
          <w:rFonts w:asciiTheme="minorEastAsia" w:eastAsiaTheme="minorEastAsia" w:hAnsiTheme="minorEastAsia"/>
          <w:color w:val="000000" w:themeColor="text1"/>
          <w:szCs w:val="21"/>
        </w:rPr>
        <w:t>0</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96,009.83</w:t>
      </w:r>
      <w:r w:rsidRPr="00FD5C9F">
        <w:rPr>
          <w:rFonts w:asciiTheme="minorEastAsia" w:eastAsiaTheme="minorEastAsia" w:hAnsiTheme="minorEastAsia"/>
          <w:color w:val="000000" w:themeColor="text1"/>
          <w:szCs w:val="21"/>
        </w:rPr>
        <w:t xml:space="preserve">份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 xml:space="preserve">3、赎回金额的计算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 xml:space="preserve">赎回金额的计算方法如下：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 xml:space="preserve">赎回费用=赎回份额×T日基金份额净值×赎回费率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 xml:space="preserve">赎回金额=赎回份额×T日基金份额净值-赎回费用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例</w:t>
      </w:r>
      <w:r w:rsidRPr="00FD5C9F">
        <w:rPr>
          <w:rFonts w:asciiTheme="minorEastAsia" w:eastAsiaTheme="minorEastAsia" w:hAnsiTheme="minorEastAsia" w:hint="eastAsia"/>
          <w:color w:val="000000" w:themeColor="text1"/>
          <w:szCs w:val="21"/>
        </w:rPr>
        <w:t>五</w:t>
      </w:r>
      <w:r w:rsidRPr="00FD5C9F">
        <w:rPr>
          <w:rFonts w:asciiTheme="minorEastAsia" w:eastAsiaTheme="minorEastAsia" w:hAnsiTheme="minorEastAsia"/>
          <w:color w:val="000000" w:themeColor="text1"/>
          <w:szCs w:val="21"/>
        </w:rPr>
        <w:t>：某投资人赎回10,000份基金份额，假设该笔份额持有期限为100天，则对应的赎回费率为0.</w:t>
      </w:r>
      <w:r w:rsidRPr="00FD5C9F">
        <w:rPr>
          <w:rFonts w:asciiTheme="minorEastAsia" w:eastAsiaTheme="minorEastAsia" w:hAnsiTheme="minorEastAsia" w:hint="eastAsia"/>
          <w:color w:val="000000" w:themeColor="text1"/>
          <w:szCs w:val="21"/>
        </w:rPr>
        <w:t>5</w:t>
      </w:r>
      <w:r w:rsidRPr="00FD5C9F">
        <w:rPr>
          <w:rFonts w:asciiTheme="minorEastAsia" w:eastAsiaTheme="minorEastAsia" w:hAnsiTheme="minorEastAsia"/>
          <w:color w:val="000000" w:themeColor="text1"/>
          <w:szCs w:val="21"/>
        </w:rPr>
        <w:t>%，假设赎回当日基金份额净值是1.016</w:t>
      </w:r>
      <w:r w:rsidRPr="00FD5C9F" w:rsidR="00E2584F">
        <w:rPr>
          <w:rFonts w:asciiTheme="minorEastAsia" w:eastAsiaTheme="minorEastAsia" w:hAnsiTheme="minorEastAsia"/>
          <w:color w:val="000000" w:themeColor="text1"/>
          <w:szCs w:val="21"/>
        </w:rPr>
        <w:t>0</w:t>
      </w:r>
      <w:r w:rsidRPr="00FD5C9F">
        <w:rPr>
          <w:rFonts w:asciiTheme="minorEastAsia" w:eastAsiaTheme="minorEastAsia" w:hAnsiTheme="minorEastAsia"/>
          <w:color w:val="000000" w:themeColor="text1"/>
          <w:szCs w:val="21"/>
        </w:rPr>
        <w:t xml:space="preserve">元，则其可得到的赎回金额为：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赎回费用 = 10,000×1.016</w:t>
      </w:r>
      <w:r w:rsidRPr="00FD5C9F" w:rsidR="00E2584F">
        <w:rPr>
          <w:rFonts w:asciiTheme="minorEastAsia" w:eastAsiaTheme="minorEastAsia" w:hAnsiTheme="minorEastAsia"/>
          <w:color w:val="000000" w:themeColor="text1"/>
          <w:szCs w:val="21"/>
        </w:rPr>
        <w:t>0</w:t>
      </w:r>
      <w:r w:rsidRPr="00FD5C9F">
        <w:rPr>
          <w:rFonts w:asciiTheme="minorEastAsia" w:eastAsiaTheme="minorEastAsia" w:hAnsiTheme="minorEastAsia"/>
          <w:color w:val="000000" w:themeColor="text1"/>
          <w:szCs w:val="21"/>
        </w:rPr>
        <w:t>×0.</w:t>
      </w:r>
      <w:r w:rsidRPr="00FD5C9F">
        <w:rPr>
          <w:rFonts w:asciiTheme="minorEastAsia" w:eastAsiaTheme="minorEastAsia" w:hAnsiTheme="minorEastAsia" w:hint="eastAsia"/>
          <w:color w:val="000000" w:themeColor="text1"/>
          <w:szCs w:val="21"/>
        </w:rPr>
        <w:t>5</w:t>
      </w:r>
      <w:r w:rsidRPr="00FD5C9F">
        <w:rPr>
          <w:rFonts w:asciiTheme="minorEastAsia" w:eastAsiaTheme="minorEastAsia" w:hAnsiTheme="minorEastAsia"/>
          <w:color w:val="000000" w:themeColor="text1"/>
          <w:szCs w:val="21"/>
        </w:rPr>
        <w:t xml:space="preserve">% ＝ </w:t>
      </w:r>
      <w:r w:rsidRPr="00FD5C9F">
        <w:rPr>
          <w:rFonts w:asciiTheme="minorEastAsia" w:eastAsiaTheme="minorEastAsia" w:hAnsiTheme="minorEastAsia" w:hint="eastAsia"/>
          <w:color w:val="000000" w:themeColor="text1"/>
          <w:szCs w:val="21"/>
        </w:rPr>
        <w:t>50.80</w:t>
      </w:r>
      <w:r w:rsidRPr="00FD5C9F">
        <w:rPr>
          <w:rFonts w:asciiTheme="minorEastAsia" w:eastAsiaTheme="minorEastAsia" w:hAnsiTheme="minorEastAsia"/>
          <w:color w:val="000000" w:themeColor="text1"/>
          <w:szCs w:val="21"/>
        </w:rPr>
        <w:t xml:space="preserve">元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赎回金额 = 10,000×1.016</w:t>
      </w:r>
      <w:r w:rsidRPr="00FD5C9F" w:rsidR="00E2584F">
        <w:rPr>
          <w:rFonts w:asciiTheme="minorEastAsia" w:eastAsiaTheme="minorEastAsia" w:hAnsiTheme="minorEastAsia"/>
          <w:color w:val="000000" w:themeColor="text1"/>
          <w:szCs w:val="21"/>
        </w:rPr>
        <w:t>0</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50.80</w:t>
      </w:r>
      <w:r w:rsidRPr="00FD5C9F">
        <w:rPr>
          <w:rFonts w:asciiTheme="minorEastAsia" w:eastAsiaTheme="minorEastAsia" w:hAnsiTheme="minorEastAsia"/>
          <w:color w:val="000000" w:themeColor="text1"/>
          <w:szCs w:val="21"/>
        </w:rPr>
        <w:t xml:space="preserve"> ＝ 10,</w:t>
      </w:r>
      <w:r w:rsidRPr="00FD5C9F">
        <w:rPr>
          <w:rFonts w:asciiTheme="minorEastAsia" w:eastAsiaTheme="minorEastAsia" w:hAnsiTheme="minorEastAsia" w:hint="eastAsia"/>
          <w:color w:val="000000" w:themeColor="text1"/>
          <w:szCs w:val="21"/>
        </w:rPr>
        <w:t>109</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20</w:t>
      </w:r>
      <w:r w:rsidRPr="00FD5C9F">
        <w:rPr>
          <w:rFonts w:asciiTheme="minorEastAsia" w:eastAsiaTheme="minorEastAsia" w:hAnsiTheme="minorEastAsia"/>
          <w:color w:val="000000" w:themeColor="text1"/>
          <w:szCs w:val="21"/>
        </w:rPr>
        <w:t xml:space="preserve">元 </w:t>
      </w:r>
    </w:p>
    <w:p w:rsidR="006B6B4D" w:rsidRPr="00FD5C9F" w:rsidP="006B6B4D">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即：投资人赎回本基金10,000份基金份额，假设赎回当日基金份额净值是1.016</w:t>
      </w:r>
      <w:r w:rsidRPr="00FD5C9F" w:rsidR="00E2584F">
        <w:rPr>
          <w:rFonts w:asciiTheme="minorEastAsia" w:eastAsiaTheme="minorEastAsia" w:hAnsiTheme="minorEastAsia"/>
          <w:color w:val="000000" w:themeColor="text1"/>
          <w:szCs w:val="21"/>
        </w:rPr>
        <w:t>0</w:t>
      </w:r>
      <w:r w:rsidRPr="00FD5C9F">
        <w:rPr>
          <w:rFonts w:asciiTheme="minorEastAsia" w:eastAsiaTheme="minorEastAsia" w:hAnsiTheme="minorEastAsia"/>
          <w:color w:val="000000" w:themeColor="text1"/>
          <w:szCs w:val="21"/>
        </w:rPr>
        <w:t>元，则其可得到的赎回金额为10,</w:t>
      </w:r>
      <w:r w:rsidRPr="00FD5C9F">
        <w:rPr>
          <w:rFonts w:asciiTheme="minorEastAsia" w:eastAsiaTheme="minorEastAsia" w:hAnsiTheme="minorEastAsia" w:hint="eastAsia"/>
          <w:color w:val="000000" w:themeColor="text1"/>
          <w:szCs w:val="21"/>
        </w:rPr>
        <w:t>109</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20</w:t>
      </w:r>
      <w:r w:rsidRPr="00FD5C9F">
        <w:rPr>
          <w:rFonts w:asciiTheme="minorEastAsia" w:eastAsiaTheme="minorEastAsia" w:hAnsiTheme="minorEastAsia"/>
          <w:color w:val="000000" w:themeColor="text1"/>
          <w:szCs w:val="21"/>
        </w:rPr>
        <w:t xml:space="preserve">元。 </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4、基金份额净值的计算公式</w:t>
      </w:r>
      <w:bookmarkEnd w:id="45"/>
      <w:r w:rsidRPr="00FD5C9F">
        <w:rPr>
          <w:rFonts w:asciiTheme="minorEastAsia" w:eastAsiaTheme="minorEastAsia" w:hAnsiTheme="minorEastAsia"/>
          <w:color w:val="000000" w:themeColor="text1"/>
          <w:szCs w:val="21"/>
        </w:rPr>
        <w:t xml:space="preserve"> </w:t>
      </w:r>
    </w:p>
    <w:p w:rsidR="00BA4B87" w:rsidRPr="00FD5C9F" w:rsidP="00F55EBC">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计算日基金份额净值=计算日基金资产净值/计算日基金总份额</w:t>
      </w:r>
    </w:p>
    <w:p w:rsidR="00B74927" w:rsidRPr="00FD5C9F" w:rsidP="00B74927">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本基金份额净值的计算，保留到小数点后</w:t>
      </w:r>
      <w:r w:rsidRPr="00FD5C9F" w:rsidR="0072492F">
        <w:rPr>
          <w:rFonts w:asciiTheme="minorEastAsia" w:eastAsiaTheme="minorEastAsia" w:hAnsiTheme="minorEastAsia" w:hint="eastAsia"/>
          <w:color w:val="000000" w:themeColor="text1"/>
          <w:szCs w:val="21"/>
        </w:rPr>
        <w:t>四</w:t>
      </w:r>
      <w:r w:rsidRPr="00FD5C9F">
        <w:rPr>
          <w:rFonts w:asciiTheme="minorEastAsia" w:eastAsiaTheme="minorEastAsia" w:hAnsiTheme="minorEastAsia"/>
          <w:color w:val="000000" w:themeColor="text1"/>
          <w:szCs w:val="21"/>
        </w:rPr>
        <w:t>位，小数点后第</w:t>
      </w:r>
      <w:r w:rsidRPr="00FD5C9F" w:rsidR="0072492F">
        <w:rPr>
          <w:rFonts w:asciiTheme="minorEastAsia" w:eastAsiaTheme="minorEastAsia" w:hAnsiTheme="minorEastAsia" w:hint="eastAsia"/>
          <w:color w:val="000000" w:themeColor="text1"/>
          <w:szCs w:val="21"/>
        </w:rPr>
        <w:t>五</w:t>
      </w:r>
      <w:r w:rsidRPr="00FD5C9F">
        <w:rPr>
          <w:rFonts w:asciiTheme="minorEastAsia" w:eastAsiaTheme="minorEastAsia" w:hAnsiTheme="minorEastAsia"/>
          <w:color w:val="000000" w:themeColor="text1"/>
          <w:szCs w:val="21"/>
        </w:rPr>
        <w:t>位四舍五入，由此产生的收益或损失由基金财产承担。</w:t>
      </w:r>
      <w:r w:rsidRPr="00FD5C9F">
        <w:rPr>
          <w:rFonts w:asciiTheme="minorEastAsia" w:eastAsiaTheme="minorEastAsia" w:hAnsiTheme="minorEastAsia" w:hint="eastAsia"/>
          <w:color w:val="000000" w:themeColor="text1"/>
          <w:szCs w:val="21"/>
        </w:rPr>
        <w:t>遇特殊情况，经履行适当程序，可以适当延迟计算或公告。</w:t>
      </w:r>
    </w:p>
    <w:p w:rsidR="00D136C3" w:rsidRPr="00FD5C9F" w:rsidP="00F55EBC">
      <w:pPr>
        <w:spacing w:line="360" w:lineRule="auto"/>
        <w:ind w:firstLine="420" w:firstLineChars="200"/>
        <w:rPr>
          <w:rStyle w:val="da"/>
          <w:rFonts w:asciiTheme="minorEastAsia" w:eastAsiaTheme="minorEastAsia" w:hAnsiTheme="minorEastAsia"/>
          <w:color w:val="000000" w:themeColor="text1"/>
        </w:rPr>
      </w:pPr>
      <w:bookmarkStart w:id="46" w:name="_Toc332373510"/>
      <w:r w:rsidRPr="00FD5C9F">
        <w:rPr>
          <w:rStyle w:val="da"/>
          <w:rFonts w:asciiTheme="minorEastAsia" w:eastAsiaTheme="minorEastAsia" w:hAnsiTheme="minorEastAsia" w:hint="eastAsia"/>
          <w:color w:val="000000" w:themeColor="text1"/>
        </w:rPr>
        <w:t>（</w:t>
      </w:r>
      <w:r w:rsidRPr="00FD5C9F" w:rsidR="00214A68">
        <w:rPr>
          <w:rStyle w:val="da"/>
          <w:rFonts w:asciiTheme="minorEastAsia" w:eastAsiaTheme="minorEastAsia" w:hAnsiTheme="minorEastAsia" w:hint="eastAsia"/>
          <w:color w:val="000000" w:themeColor="text1"/>
        </w:rPr>
        <w:t>九</w:t>
      </w:r>
      <w:r w:rsidRPr="00FD5C9F">
        <w:rPr>
          <w:rStyle w:val="da"/>
          <w:rFonts w:asciiTheme="minorEastAsia" w:eastAsiaTheme="minorEastAsia" w:hAnsiTheme="minorEastAsia" w:hint="eastAsia"/>
          <w:color w:val="000000" w:themeColor="text1"/>
        </w:rPr>
        <w:t>）申购和赎回的登记</w:t>
      </w:r>
    </w:p>
    <w:p w:rsidR="00D136C3"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w:t>
      </w:r>
      <w:r w:rsidRPr="00FD5C9F" w:rsidR="00D97103">
        <w:rPr>
          <w:rStyle w:val="da"/>
          <w:rFonts w:asciiTheme="minorEastAsia" w:eastAsiaTheme="minorEastAsia" w:hAnsiTheme="minorEastAsia" w:hint="eastAsia"/>
          <w:color w:val="000000" w:themeColor="text1"/>
        </w:rPr>
        <w:t>不违反</w:t>
      </w:r>
      <w:r w:rsidRPr="00FD5C9F">
        <w:rPr>
          <w:rStyle w:val="da"/>
          <w:rFonts w:asciiTheme="minorEastAsia" w:eastAsiaTheme="minorEastAsia" w:hAnsiTheme="minorEastAsia" w:hint="eastAsia"/>
          <w:color w:val="000000" w:themeColor="text1"/>
        </w:rPr>
        <w:t>法律法规的</w:t>
      </w:r>
      <w:r w:rsidRPr="00FD5C9F" w:rsidR="00D97103">
        <w:rPr>
          <w:rStyle w:val="da"/>
          <w:rFonts w:asciiTheme="minorEastAsia" w:eastAsiaTheme="minorEastAsia" w:hAnsiTheme="minorEastAsia" w:hint="eastAsia"/>
          <w:color w:val="000000" w:themeColor="text1"/>
        </w:rPr>
        <w:t>前提下</w:t>
      </w:r>
      <w:r w:rsidRPr="00FD5C9F">
        <w:rPr>
          <w:rStyle w:val="da"/>
          <w:rFonts w:asciiTheme="minorEastAsia" w:eastAsiaTheme="minorEastAsia" w:hAnsiTheme="minorEastAsia" w:hint="eastAsia"/>
          <w:color w:val="000000" w:themeColor="text1"/>
        </w:rPr>
        <w:t>，登记机构可以对上述登记办理时间进行调整，基金管理人</w:t>
      </w:r>
      <w:r w:rsidRPr="00FD5C9F" w:rsidR="00B74F93">
        <w:rPr>
          <w:rStyle w:val="da"/>
          <w:rFonts w:asciiTheme="minorEastAsia" w:eastAsiaTheme="minorEastAsia" w:hAnsiTheme="minorEastAsia" w:hint="eastAsia"/>
          <w:color w:val="000000" w:themeColor="text1"/>
        </w:rPr>
        <w:t>应</w:t>
      </w:r>
      <w:r w:rsidRPr="00FD5C9F">
        <w:rPr>
          <w:rStyle w:val="da"/>
          <w:rFonts w:asciiTheme="minorEastAsia" w:eastAsiaTheme="minorEastAsia" w:hAnsiTheme="minorEastAsia" w:hint="eastAsia"/>
          <w:color w:val="000000" w:themeColor="text1"/>
        </w:rPr>
        <w:t>于开始实施前依照《信息披露办法》的有关规定在</w:t>
      </w:r>
      <w:r w:rsidRPr="00FD5C9F" w:rsidR="00EB5341">
        <w:rPr>
          <w:rStyle w:val="da"/>
          <w:rFonts w:asciiTheme="minorEastAsia" w:eastAsiaTheme="minorEastAsia" w:hAnsiTheme="minorEastAsia"/>
          <w:color w:val="000000" w:themeColor="text1"/>
        </w:rPr>
        <w:t>规定</w:t>
      </w:r>
      <w:r w:rsidRPr="00FD5C9F" w:rsidR="009F705C">
        <w:rPr>
          <w:rStyle w:val="da"/>
          <w:rFonts w:asciiTheme="minorEastAsia" w:eastAsiaTheme="minorEastAsia" w:hAnsiTheme="minorEastAsia" w:hint="eastAsia"/>
          <w:color w:val="000000" w:themeColor="text1"/>
        </w:rPr>
        <w:t>媒介</w:t>
      </w:r>
      <w:r w:rsidRPr="00FD5C9F">
        <w:rPr>
          <w:rStyle w:val="da"/>
          <w:rFonts w:asciiTheme="minorEastAsia" w:eastAsiaTheme="minorEastAsia" w:hAnsiTheme="minorEastAsia" w:hint="eastAsia"/>
          <w:color w:val="000000" w:themeColor="text1"/>
        </w:rPr>
        <w:t>上公告。</w:t>
      </w:r>
      <w:bookmarkEnd w:id="46"/>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bookmarkStart w:id="47" w:name="_Toc332373511"/>
      <w:r w:rsidRPr="00FD5C9F">
        <w:rPr>
          <w:rStyle w:val="da"/>
          <w:rFonts w:asciiTheme="minorEastAsia" w:eastAsiaTheme="minorEastAsia" w:hAnsiTheme="minorEastAsia" w:hint="eastAsia"/>
          <w:color w:val="000000" w:themeColor="text1"/>
        </w:rPr>
        <w:t>（</w:t>
      </w:r>
      <w:r w:rsidRPr="00FD5C9F" w:rsidR="00214A68">
        <w:rPr>
          <w:rStyle w:val="da"/>
          <w:rFonts w:asciiTheme="minorEastAsia" w:eastAsiaTheme="minorEastAsia" w:hAnsiTheme="minorEastAsia" w:hint="eastAsia"/>
          <w:color w:val="000000" w:themeColor="text1"/>
        </w:rPr>
        <w:t>十</w:t>
      </w:r>
      <w:r w:rsidRPr="00FD5C9F">
        <w:rPr>
          <w:rStyle w:val="da"/>
          <w:rFonts w:asciiTheme="minorEastAsia" w:eastAsiaTheme="minorEastAsia" w:hAnsiTheme="minorEastAsia" w:hint="eastAsia"/>
          <w:color w:val="000000" w:themeColor="text1"/>
        </w:rPr>
        <w:t>）巨额赎回的认定及处理方式</w:t>
      </w:r>
      <w:bookmarkEnd w:id="47"/>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bookmarkStart w:id="48" w:name="_Toc332373514"/>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、巨额赎回的认定</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若本基金单个开放日内的基金份额净赎回申请（赎回申请份额总数加上基金转换中转出申请份额总数后扣除申购申请份额总数及基金转换中转入申请份额总数后的余额）超过前一开放日的基金总份额的1</w:t>
      </w:r>
      <w:r w:rsidRPr="00FD5C9F">
        <w:rPr>
          <w:rStyle w:val="da"/>
          <w:rFonts w:asciiTheme="minorEastAsia" w:eastAsiaTheme="minorEastAsia" w:hAnsiTheme="minorEastAsia"/>
          <w:color w:val="000000" w:themeColor="text1"/>
        </w:rPr>
        <w:t>0%</w:t>
      </w:r>
      <w:r w:rsidRPr="00FD5C9F">
        <w:rPr>
          <w:rStyle w:val="da"/>
          <w:rFonts w:asciiTheme="minorEastAsia" w:eastAsiaTheme="minorEastAsia" w:hAnsiTheme="minorEastAsia" w:hint="eastAsia"/>
          <w:color w:val="000000" w:themeColor="text1"/>
        </w:rPr>
        <w:t>，即认为是发生了巨额赎回。</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、巨额赎回的处理方式</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当基金出现巨额赎回时，基金管理人可以根据基金当时的资产组合状况决定全额赎回或部分延期赎回。</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）全额赎回：当基金管理人认为有能力支付投资人的全部赎回申请时，按正常赎回程序执行。</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FD5C9F">
        <w:rPr>
          <w:rStyle w:val="da"/>
          <w:rFonts w:asciiTheme="minorEastAsia" w:eastAsiaTheme="minorEastAsia" w:hAnsiTheme="minorEastAsia"/>
          <w:color w:val="000000" w:themeColor="text1"/>
        </w:rPr>
        <w:t>10%</w:t>
      </w:r>
      <w:r w:rsidRPr="00FD5C9F">
        <w:rPr>
          <w:rStyle w:val="da"/>
          <w:rFonts w:asciiTheme="minorEastAsia" w:eastAsiaTheme="minorEastAsia" w:hAnsiTheme="minorEastAsia" w:hint="eastAsia"/>
          <w:color w:val="000000" w:themeColor="text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若本基金发生巨额赎回且单个基金份额持有人的赎回申请超过上一开放日基金总份额1</w:t>
      </w:r>
      <w:r w:rsidRPr="00FD5C9F">
        <w:rPr>
          <w:rStyle w:val="da"/>
          <w:rFonts w:asciiTheme="minorEastAsia" w:eastAsiaTheme="minorEastAsia" w:hAnsiTheme="minorEastAsia"/>
          <w:color w:val="000000" w:themeColor="text1"/>
        </w:rPr>
        <w:t>0%</w:t>
      </w:r>
      <w:r w:rsidRPr="00FD5C9F">
        <w:rPr>
          <w:rStyle w:val="da"/>
          <w:rFonts w:asciiTheme="minorEastAsia" w:eastAsiaTheme="minorEastAsia" w:hAnsiTheme="minorEastAsia" w:hint="eastAsia"/>
          <w:color w:val="000000" w:themeColor="text1"/>
        </w:rPr>
        <w:t>的，基金管理人有权对该单个基金份额持有人超出该比例的赎回申请实施延期办理；对该单个基金份额持有人剩余赎回申请，</w:t>
      </w:r>
      <w:r w:rsidRPr="00FD5C9F">
        <w:rPr>
          <w:rStyle w:val="da"/>
          <w:rFonts w:asciiTheme="minorEastAsia" w:eastAsiaTheme="minorEastAsia" w:hAnsiTheme="minorEastAsia"/>
          <w:color w:val="000000" w:themeColor="text1"/>
        </w:rPr>
        <w:t>基金管理人可以根据前</w:t>
      </w:r>
      <w:r w:rsidRPr="00FD5C9F">
        <w:rPr>
          <w:rStyle w:val="da"/>
          <w:rFonts w:asciiTheme="minorEastAsia" w:eastAsiaTheme="minorEastAsia" w:hAnsiTheme="minorEastAsia" w:hint="eastAsia"/>
          <w:color w:val="000000" w:themeColor="text1"/>
        </w:rPr>
        <w:t>款“</w:t>
      </w:r>
      <w:r w:rsidRPr="00FD5C9F">
        <w:rPr>
          <w:rStyle w:val="da"/>
          <w:rFonts w:asciiTheme="minorEastAsia" w:eastAsiaTheme="minorEastAsia" w:hAnsiTheme="minorEastAsia"/>
          <w:color w:val="000000" w:themeColor="text1"/>
        </w:rPr>
        <w:t>（1）全额赎回</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或</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（2）部分延期赎回</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约定</w:t>
      </w:r>
      <w:r w:rsidRPr="00FD5C9F">
        <w:rPr>
          <w:rStyle w:val="da"/>
          <w:rFonts w:asciiTheme="minorEastAsia" w:eastAsiaTheme="minorEastAsia" w:hAnsiTheme="minorEastAsia" w:hint="eastAsia"/>
          <w:color w:val="000000" w:themeColor="text1"/>
        </w:rPr>
        <w:t>的</w:t>
      </w:r>
      <w:r w:rsidRPr="00FD5C9F">
        <w:rPr>
          <w:rStyle w:val="da"/>
          <w:rFonts w:asciiTheme="minorEastAsia" w:eastAsiaTheme="minorEastAsia" w:hAnsiTheme="minorEastAsia"/>
          <w:color w:val="000000" w:themeColor="text1"/>
        </w:rPr>
        <w:t>方式与其他</w:t>
      </w:r>
      <w:r w:rsidRPr="00FD5C9F">
        <w:rPr>
          <w:rStyle w:val="da"/>
          <w:rFonts w:asciiTheme="minorEastAsia" w:eastAsiaTheme="minorEastAsia" w:hAnsiTheme="minorEastAsia" w:hint="eastAsia"/>
          <w:color w:val="000000" w:themeColor="text1"/>
        </w:rPr>
        <w:t>账户</w:t>
      </w:r>
      <w:r w:rsidRPr="00FD5C9F">
        <w:rPr>
          <w:rStyle w:val="da"/>
          <w:rFonts w:asciiTheme="minorEastAsia" w:eastAsiaTheme="minorEastAsia" w:hAnsiTheme="minorEastAsia"/>
          <w:color w:val="000000" w:themeColor="text1"/>
        </w:rPr>
        <w:t>的赎回申请一并办理</w:t>
      </w:r>
      <w:r w:rsidRPr="00FD5C9F">
        <w:rPr>
          <w:rStyle w:val="da"/>
          <w:rFonts w:asciiTheme="minorEastAsia" w:eastAsiaTheme="minorEastAsia" w:hAnsiTheme="minorEastAsia" w:hint="eastAsia"/>
          <w:color w:val="000000" w:themeColor="text1"/>
        </w:rPr>
        <w:t>。</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）暂停赎回：连续</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个开放日以上（含本数）发生巨额赎回，如基金管理人认为有必要，可暂停接受基金的赎回申请；已经接受的赎回申请可以延缓支付赎回款项，但不得超过</w:t>
      </w:r>
      <w:r w:rsidRPr="00FD5C9F">
        <w:rPr>
          <w:rStyle w:val="da"/>
          <w:rFonts w:asciiTheme="minorEastAsia" w:eastAsiaTheme="minorEastAsia" w:hAnsiTheme="minorEastAsia"/>
          <w:color w:val="000000" w:themeColor="text1"/>
        </w:rPr>
        <w:t>20</w:t>
      </w:r>
      <w:r w:rsidRPr="00FD5C9F">
        <w:rPr>
          <w:rStyle w:val="da"/>
          <w:rFonts w:asciiTheme="minorEastAsia" w:eastAsiaTheme="minorEastAsia" w:hAnsiTheme="minorEastAsia" w:hint="eastAsia"/>
          <w:color w:val="000000" w:themeColor="text1"/>
        </w:rPr>
        <w:t>个工作日，并应当在规定媒介上进行公告。</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、巨额赎回的公告</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当发生上述巨额赎回并延期办理时，基金管理人应当通过邮寄、传真或者招募说明书规定的其他方式在</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个交易日内通知基金份额持有人，说明有关处理方法，并在</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日内在规定媒介上刊登公告。</w:t>
      </w:r>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（十</w:t>
      </w:r>
      <w:r w:rsidRPr="00FD5C9F" w:rsidR="00090469">
        <w:rPr>
          <w:rStyle w:val="da"/>
          <w:rFonts w:asciiTheme="minorEastAsia" w:eastAsiaTheme="minorEastAsia" w:hAnsiTheme="minorEastAsia" w:hint="eastAsia"/>
          <w:color w:val="000000" w:themeColor="text1"/>
        </w:rPr>
        <w:t>一</w:t>
      </w:r>
      <w:r w:rsidRPr="00FD5C9F">
        <w:rPr>
          <w:rStyle w:val="da"/>
          <w:rFonts w:asciiTheme="minorEastAsia" w:eastAsiaTheme="minorEastAsia" w:hAnsiTheme="minorEastAsia" w:hint="eastAsia"/>
          <w:color w:val="000000" w:themeColor="text1"/>
        </w:rPr>
        <w:t>）拒绝或暂停申购、暂停赎回</w:t>
      </w:r>
      <w:r w:rsidRPr="00FD5C9F" w:rsidR="000D3DAB">
        <w:rPr>
          <w:rStyle w:val="da"/>
          <w:rFonts w:asciiTheme="minorEastAsia" w:eastAsiaTheme="minorEastAsia" w:hAnsiTheme="minorEastAsia" w:hint="eastAsia"/>
          <w:color w:val="000000" w:themeColor="text1"/>
        </w:rPr>
        <w:t>或延缓支付赎回款项</w:t>
      </w:r>
      <w:r w:rsidRPr="00FD5C9F">
        <w:rPr>
          <w:rStyle w:val="da"/>
          <w:rFonts w:asciiTheme="minorEastAsia" w:eastAsiaTheme="minorEastAsia" w:hAnsiTheme="minorEastAsia" w:hint="eastAsia"/>
          <w:color w:val="000000" w:themeColor="text1"/>
        </w:rPr>
        <w:t>的情形及处理</w:t>
      </w:r>
      <w:bookmarkEnd w:id="48"/>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发生下列情况时，</w:t>
      </w:r>
      <w:r w:rsidRPr="00FD5C9F">
        <w:rPr>
          <w:rStyle w:val="da"/>
          <w:rFonts w:asciiTheme="minorEastAsia" w:eastAsiaTheme="minorEastAsia" w:hAnsiTheme="minorEastAsia"/>
          <w:color w:val="000000" w:themeColor="text1"/>
        </w:rPr>
        <w:t>基金管理人可拒绝或暂停接受投资人的申购申请</w:t>
      </w:r>
      <w:r w:rsidRPr="00FD5C9F">
        <w:rPr>
          <w:rStyle w:val="da"/>
          <w:rFonts w:asciiTheme="minorEastAsia" w:eastAsiaTheme="minorEastAsia" w:hAnsiTheme="minorEastAsia" w:hint="eastAsia"/>
          <w:color w:val="000000" w:themeColor="text1"/>
        </w:rPr>
        <w:t>：</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因不可抗力导致基金无法正常运作。</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发生基金合同规定的暂停基金资产估值情况时。</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基金进行</w:t>
      </w:r>
      <w:r w:rsidRPr="00FD5C9F">
        <w:rPr>
          <w:rStyle w:val="da"/>
          <w:rFonts w:asciiTheme="minorEastAsia" w:eastAsiaTheme="minorEastAsia" w:hAnsiTheme="minorEastAsia"/>
          <w:color w:val="000000" w:themeColor="text1"/>
        </w:rPr>
        <w:t>交易</w:t>
      </w:r>
      <w:r w:rsidRPr="00FD5C9F">
        <w:rPr>
          <w:rStyle w:val="da"/>
          <w:rFonts w:asciiTheme="minorEastAsia" w:eastAsiaTheme="minorEastAsia" w:hAnsiTheme="minorEastAsia" w:hint="eastAsia"/>
          <w:color w:val="000000" w:themeColor="text1"/>
        </w:rPr>
        <w:t>的主要证券</w:t>
      </w: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期货交易市场交易时间非正常停市。</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（4）</w:t>
      </w:r>
      <w:r w:rsidRPr="00FD5C9F">
        <w:rPr>
          <w:rStyle w:val="da"/>
          <w:rFonts w:asciiTheme="minorEastAsia" w:eastAsiaTheme="minorEastAsia" w:hAnsiTheme="minorEastAsia" w:hint="eastAsia"/>
          <w:color w:val="000000" w:themeColor="text1"/>
        </w:rPr>
        <w:t>基金管理人认为接受某笔或某些申购申请可能会影响或损害现有基金份额持有人利益时。</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（5）</w:t>
      </w:r>
      <w:r w:rsidRPr="00FD5C9F">
        <w:rPr>
          <w:rStyle w:val="da"/>
          <w:rFonts w:asciiTheme="minorEastAsia" w:eastAsiaTheme="minorEastAsia" w:hAnsiTheme="minorEastAsia" w:hint="eastAsia"/>
          <w:color w:val="000000" w:themeColor="text1"/>
        </w:rPr>
        <w:t>基金资产规模过大，使基金管理人无法找到合适的投资品种，或其他可能对基金业绩产生负面影响，或基金管理人认定的其他损害现有基金份额持有人利益的情形。</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（6）</w:t>
      </w:r>
      <w:r w:rsidRPr="00FD5C9F">
        <w:rPr>
          <w:rStyle w:val="da"/>
          <w:rFonts w:asciiTheme="minorEastAsia" w:eastAsiaTheme="minorEastAsia" w:hAnsiTheme="minorEastAsia" w:hint="eastAsia"/>
          <w:color w:val="000000" w:themeColor="text1"/>
        </w:rPr>
        <w:t>基金管理人、基金托管人、登记机构、销售机构、支付结算机构等因异常情况导致基金销售系统、基金销售支付结算系统、基金登记系统、基金会计系统等无法正常运行。</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（7）</w:t>
      </w:r>
      <w:r w:rsidRPr="00FD5C9F">
        <w:rPr>
          <w:rStyle w:val="da"/>
          <w:rFonts w:asciiTheme="minorEastAsia" w:eastAsiaTheme="minorEastAsia" w:hAnsiTheme="minorEastAsia" w:hint="eastAsia"/>
          <w:color w:val="000000" w:themeColor="text1"/>
        </w:rPr>
        <w:t>基金管理人接受某笔或者某些申购申请有可能导致单一投资者持有基金份额的比例达到或者超过50%，或者变相规避50%集中度的情形。</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（8）当一笔新的</w:t>
      </w:r>
      <w:r w:rsidRPr="00FD5C9F">
        <w:rPr>
          <w:rStyle w:val="da"/>
          <w:rFonts w:asciiTheme="minorEastAsia" w:eastAsiaTheme="minorEastAsia" w:hAnsiTheme="minorEastAsia" w:hint="eastAsia"/>
          <w:color w:val="000000" w:themeColor="text1"/>
        </w:rPr>
        <w:t>申购申请被确认成功，使本基金总规模超过基金管理人规定的本基金总规模上限时；或使本基金单日申购金额或</w:t>
      </w:r>
      <w:r w:rsidRPr="00FD5C9F">
        <w:rPr>
          <w:rStyle w:val="da"/>
          <w:rFonts w:asciiTheme="minorEastAsia" w:eastAsiaTheme="minorEastAsia" w:hAnsiTheme="minorEastAsia"/>
          <w:color w:val="000000" w:themeColor="text1"/>
        </w:rPr>
        <w:t>净申购比例</w:t>
      </w:r>
      <w:r w:rsidRPr="00FD5C9F">
        <w:rPr>
          <w:rStyle w:val="da"/>
          <w:rFonts w:asciiTheme="minorEastAsia" w:eastAsiaTheme="minorEastAsia" w:hAnsiTheme="minorEastAsia" w:hint="eastAsia"/>
          <w:color w:val="000000" w:themeColor="text1"/>
        </w:rPr>
        <w:t>超过基金管理人规定的当日申购金额或</w:t>
      </w:r>
      <w:r w:rsidRPr="00FD5C9F">
        <w:rPr>
          <w:rStyle w:val="da"/>
          <w:rFonts w:asciiTheme="minorEastAsia" w:eastAsiaTheme="minorEastAsia" w:hAnsiTheme="minorEastAsia"/>
          <w:color w:val="000000" w:themeColor="text1"/>
        </w:rPr>
        <w:t>净申购比例</w:t>
      </w:r>
      <w:r w:rsidRPr="00FD5C9F">
        <w:rPr>
          <w:rStyle w:val="da"/>
          <w:rFonts w:asciiTheme="minorEastAsia" w:eastAsiaTheme="minorEastAsia" w:hAnsiTheme="minorEastAsia" w:hint="eastAsia"/>
          <w:color w:val="000000" w:themeColor="text1"/>
        </w:rPr>
        <w:t>上限时；或该投资人累计持有的份额超过单个投资人累计持有的份额上限时；或该投资人当日申购金额超过单个投资人单日或</w:t>
      </w:r>
      <w:r w:rsidRPr="00FD5C9F">
        <w:rPr>
          <w:rStyle w:val="da"/>
          <w:rFonts w:asciiTheme="minorEastAsia" w:eastAsiaTheme="minorEastAsia" w:hAnsiTheme="minorEastAsia"/>
          <w:color w:val="000000" w:themeColor="text1"/>
        </w:rPr>
        <w:t>单笔</w:t>
      </w:r>
      <w:r w:rsidRPr="00FD5C9F">
        <w:rPr>
          <w:rStyle w:val="da"/>
          <w:rFonts w:asciiTheme="minorEastAsia" w:eastAsiaTheme="minorEastAsia" w:hAnsiTheme="minorEastAsia" w:hint="eastAsia"/>
          <w:color w:val="000000" w:themeColor="text1"/>
        </w:rPr>
        <w:t>申购金额上限时。</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（9）</w:t>
      </w:r>
      <w:r w:rsidRPr="00FD5C9F">
        <w:rPr>
          <w:rStyle w:val="da"/>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当前一估值日基金资产净值50%以上的资产出现无可参考的活跃市场价格且采用估值技术仍导致公允价值存在重大不确定性时，经与基金托管人协商确认后，基金管理人应当暂停接受基金申购申请。</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w:t>
      </w:r>
      <w:r w:rsidRPr="00FD5C9F">
        <w:rPr>
          <w:rStyle w:val="da"/>
          <w:rFonts w:asciiTheme="minorEastAsia" w:eastAsiaTheme="minorEastAsia" w:hAnsiTheme="minorEastAsia"/>
          <w:color w:val="000000" w:themeColor="text1"/>
        </w:rPr>
        <w:t>0）</w:t>
      </w:r>
      <w:r w:rsidRPr="00FD5C9F">
        <w:rPr>
          <w:rStyle w:val="da"/>
          <w:rFonts w:asciiTheme="minorEastAsia" w:eastAsiaTheme="minorEastAsia" w:hAnsiTheme="minorEastAsia" w:hint="eastAsia"/>
          <w:color w:val="000000" w:themeColor="text1"/>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（11）</w:t>
      </w:r>
      <w:r w:rsidRPr="00FD5C9F">
        <w:rPr>
          <w:rStyle w:val="da"/>
          <w:rFonts w:asciiTheme="minorEastAsia" w:eastAsiaTheme="minorEastAsia" w:hAnsiTheme="minorEastAsia" w:hint="eastAsia"/>
          <w:color w:val="000000" w:themeColor="text1"/>
        </w:rPr>
        <w:t>法律法规规定或中国证监会认定的其他情形。</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发生上述第（</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5）</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6）</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8）</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9）</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10</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11）</w:t>
      </w:r>
      <w:r w:rsidRPr="00FD5C9F">
        <w:rPr>
          <w:rStyle w:val="da"/>
          <w:rFonts w:asciiTheme="minorEastAsia" w:eastAsiaTheme="minorEastAsia" w:hAnsiTheme="minorEastAsia" w:hint="eastAsia"/>
          <w:color w:val="000000" w:themeColor="text1"/>
        </w:rPr>
        <w:t>项情形且基金管理人决定暂停接受投资人申购申请时，基金管理人应当根据有关规定在规定媒介上刊登暂停申购公告。如果投资人的申购申请被拒绝，被拒绝的申购款项本金将退还给投资人。在暂停申购的情况消除时，基金管理人应及时恢复申购业务的办理。</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bookmarkStart w:id="49" w:name="_Hlt70481650"/>
      <w:bookmarkEnd w:id="49"/>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、发生下列情形时，</w:t>
      </w:r>
      <w:r w:rsidRPr="00FD5C9F">
        <w:rPr>
          <w:rStyle w:val="da"/>
          <w:rFonts w:asciiTheme="minorEastAsia" w:eastAsiaTheme="minorEastAsia" w:hAnsiTheme="minorEastAsia"/>
          <w:color w:val="000000" w:themeColor="text1"/>
        </w:rPr>
        <w:t>基金管理人可暂停接受投资人的赎回申请或延缓支付赎回款项</w:t>
      </w:r>
      <w:r w:rsidRPr="00FD5C9F">
        <w:rPr>
          <w:rStyle w:val="da"/>
          <w:rFonts w:asciiTheme="minorEastAsia" w:eastAsiaTheme="minorEastAsia" w:hAnsiTheme="minorEastAsia" w:hint="eastAsia"/>
          <w:color w:val="000000" w:themeColor="text1"/>
        </w:rPr>
        <w:t>：</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因不可抗力导致基金管理人不能支付赎回款项。</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发生基金合同规定的暂停基金资产估值情况时。</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基金</w:t>
      </w:r>
      <w:r w:rsidRPr="00FD5C9F">
        <w:rPr>
          <w:rStyle w:val="da"/>
          <w:rFonts w:asciiTheme="minorEastAsia" w:eastAsiaTheme="minorEastAsia" w:hAnsiTheme="minorEastAsia"/>
          <w:color w:val="000000" w:themeColor="text1"/>
        </w:rPr>
        <w:t>进行交易</w:t>
      </w:r>
      <w:r w:rsidRPr="00FD5C9F">
        <w:rPr>
          <w:rStyle w:val="da"/>
          <w:rFonts w:asciiTheme="minorEastAsia" w:eastAsiaTheme="minorEastAsia" w:hAnsiTheme="minorEastAsia" w:hint="eastAsia"/>
          <w:color w:val="000000" w:themeColor="text1"/>
        </w:rPr>
        <w:t>的主要证券</w:t>
      </w: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期货交易市场交易时间非正常停市</w:t>
      </w:r>
      <w:bookmarkStart w:id="50" w:name="_Hlt152500890"/>
      <w:r w:rsidRPr="00FD5C9F">
        <w:rPr>
          <w:rStyle w:val="da"/>
          <w:rFonts w:asciiTheme="minorEastAsia" w:eastAsiaTheme="minorEastAsia" w:hAnsiTheme="minorEastAsia" w:hint="eastAsia"/>
          <w:color w:val="000000" w:themeColor="text1"/>
        </w:rPr>
        <w:t>。</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（4）</w:t>
      </w:r>
      <w:r w:rsidRPr="00FD5C9F">
        <w:rPr>
          <w:rStyle w:val="da"/>
          <w:rFonts w:asciiTheme="minorEastAsia" w:eastAsiaTheme="minorEastAsia" w:hAnsiTheme="minorEastAsia" w:hint="eastAsia"/>
          <w:color w:val="000000" w:themeColor="text1"/>
        </w:rPr>
        <w:t>连续两个或两个以上开放日发生巨额赎回。</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（5）</w:t>
      </w:r>
      <w:r w:rsidRPr="00FD5C9F">
        <w:rPr>
          <w:rStyle w:val="da"/>
          <w:rFonts w:asciiTheme="minorEastAsia" w:eastAsiaTheme="minorEastAsia" w:hAnsiTheme="minorEastAsia" w:hint="eastAsia"/>
          <w:color w:val="000000" w:themeColor="text1"/>
        </w:rPr>
        <w:t>发生继续接受赎回申请将损害现有基金份额持有人利益的情形时，基金管理人可暂停接受基金份额持有人的赎回申请。</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（6）</w:t>
      </w:r>
      <w:r w:rsidRPr="00FD5C9F">
        <w:rPr>
          <w:rStyle w:val="da"/>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（7）发生证券交易服务公司等机构认定的交易异常情况并决定暂停提供部分或者全部港股通服务，或者发生其他影响通过内地与香港股票市场交易互联互通机制进行正常交易的情形。</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（8）基金管理人、基金托管人、登记机构、销售机构、支付结算机构等因异常情况导致基金销售系统、基金销售支付结算系统、基金登记系统、基金会计系统等无法正常运行。</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（9）</w:t>
      </w:r>
      <w:r w:rsidRPr="00FD5C9F">
        <w:rPr>
          <w:rStyle w:val="da"/>
          <w:rFonts w:asciiTheme="minorEastAsia" w:eastAsiaTheme="minorEastAsia" w:hAnsiTheme="minorEastAsia"/>
          <w:color w:val="000000" w:themeColor="text1"/>
        </w:rPr>
        <w:t>本基金的资产组合中的重要部分发生暂停交易或其他重大事件，继续接受赎回可能会影响或损害基金份额持有人利益时。</w:t>
      </w:r>
    </w:p>
    <w:bookmarkEnd w:id="50"/>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w:t>
      </w:r>
      <w:r w:rsidRPr="00FD5C9F">
        <w:rPr>
          <w:rStyle w:val="da"/>
          <w:rFonts w:asciiTheme="minorEastAsia" w:eastAsiaTheme="minorEastAsia" w:hAnsiTheme="minorEastAsia"/>
          <w:color w:val="000000" w:themeColor="text1"/>
        </w:rPr>
        <w:t>0）</w:t>
      </w:r>
      <w:r w:rsidRPr="00FD5C9F">
        <w:rPr>
          <w:rStyle w:val="da"/>
          <w:rFonts w:asciiTheme="minorEastAsia" w:eastAsiaTheme="minorEastAsia" w:hAnsiTheme="minorEastAsia" w:hint="eastAsia"/>
          <w:color w:val="000000" w:themeColor="text1"/>
        </w:rPr>
        <w:t>法律法规规定或中国证监会认定的其他情形。</w:t>
      </w:r>
    </w:p>
    <w:p w:rsidR="00CC5159"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发生上述情形之一且基金管理人决定暂停赎回或延缓支付赎回款项时，基金管理人应报中国证监会备案。若出现上述第（</w:t>
      </w:r>
      <w:r w:rsidRPr="00FD5C9F">
        <w:rPr>
          <w:rStyle w:val="da"/>
          <w:rFonts w:asciiTheme="minorEastAsia" w:eastAsiaTheme="minorEastAsia" w:hAnsiTheme="minorEastAsia"/>
          <w:color w:val="000000" w:themeColor="text1"/>
        </w:rPr>
        <w:t>4）</w:t>
      </w:r>
      <w:r w:rsidRPr="00FD5C9F">
        <w:rPr>
          <w:rStyle w:val="da"/>
          <w:rFonts w:asciiTheme="minorEastAsia" w:eastAsiaTheme="minorEastAsia" w:hAnsiTheme="minorEastAsia" w:hint="eastAsia"/>
          <w:color w:val="000000" w:themeColor="text1"/>
        </w:rPr>
        <w:t>项所述情形，按基金合同的相关条款处理。基金份额持有人在申请赎回时可事先选择将当日可能未获受理部分予以撤销。在暂停赎回的情况消除时，基金管理人应及时恢复赎回业务的办理。</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bookmarkStart w:id="51" w:name="_Toc332373515"/>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、暂停申购或赎回的公告和重新开放申购或赎回的公告</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发生上述暂停申购或赎回情况的，基金管理人应在规定期限内在规定媒介上刊登暂停公告。</w:t>
      </w:r>
    </w:p>
    <w:p w:rsidR="00CC5159"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bookmarkEnd w:id="51"/>
    <w:p w:rsidR="008E6B54" w:rsidRPr="00FD5C9F" w:rsidP="00CC5159">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（十二）基金份额折算</w:t>
      </w:r>
    </w:p>
    <w:p w:rsidR="008E6B54" w:rsidRPr="00FD5C9F" w:rsidP="00491050">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在对基金份额持有人利益无实质不利影响的前提下，基金管理人经与基金托管人协商一致，可对基金份额进行折算，不需召开基金份额持有人大会审议。</w:t>
      </w:r>
    </w:p>
    <w:p w:rsidR="00BA4B87" w:rsidRPr="00FD5C9F" w:rsidP="00CF1063">
      <w:pPr>
        <w:spacing w:line="360" w:lineRule="auto"/>
        <w:ind w:firstLine="420" w:firstLineChars="200"/>
        <w:rPr>
          <w:rFonts w:asciiTheme="minorEastAsia" w:eastAsiaTheme="minorEastAsia" w:hAnsiTheme="minorEastAsia"/>
          <w:color w:val="000000" w:themeColor="text1"/>
          <w:szCs w:val="21"/>
        </w:rPr>
      </w:pPr>
    </w:p>
    <w:p w:rsidR="00BA4B87" w:rsidRPr="00FD5C9F" w:rsidP="009A5A64">
      <w:pPr>
        <w:pStyle w:val="Heading1"/>
        <w:spacing w:before="317" w:after="317" w:line="320" w:lineRule="exact"/>
        <w:ind w:firstLine="600"/>
        <w:rPr>
          <w:rFonts w:asciiTheme="minorEastAsia" w:eastAsiaTheme="minorEastAsia" w:hAnsiTheme="minorEastAsia"/>
          <w:color w:val="000000" w:themeColor="text1"/>
          <w:sz w:val="30"/>
        </w:rPr>
      </w:pPr>
      <w:r w:rsidRPr="00FD5C9F">
        <w:rPr>
          <w:rFonts w:asciiTheme="minorEastAsia" w:eastAsiaTheme="minorEastAsia" w:hAnsiTheme="minorEastAsia" w:hint="eastAsia"/>
          <w:color w:val="000000" w:themeColor="text1"/>
          <w:sz w:val="30"/>
        </w:rPr>
        <w:br w:type="column"/>
      </w:r>
      <w:bookmarkStart w:id="52" w:name="_Toc332373516"/>
      <w:bookmarkStart w:id="53" w:name="_Toc134547847"/>
      <w:r w:rsidRPr="00FD5C9F">
        <w:rPr>
          <w:rFonts w:asciiTheme="minorEastAsia" w:eastAsiaTheme="minorEastAsia" w:hAnsiTheme="minorEastAsia" w:hint="eastAsia"/>
          <w:color w:val="000000" w:themeColor="text1"/>
          <w:sz w:val="30"/>
        </w:rPr>
        <w:t>九、</w:t>
      </w:r>
      <w:bookmarkEnd w:id="52"/>
      <w:r w:rsidRPr="00FD5C9F" w:rsidR="006B5663">
        <w:rPr>
          <w:rFonts w:asciiTheme="minorEastAsia" w:eastAsiaTheme="minorEastAsia" w:hAnsiTheme="minorEastAsia" w:hint="eastAsia"/>
          <w:color w:val="000000" w:themeColor="text1"/>
          <w:sz w:val="30"/>
        </w:rPr>
        <w:t>基金转换</w:t>
      </w:r>
      <w:r w:rsidRPr="00FD5C9F" w:rsidR="00A64477">
        <w:rPr>
          <w:rFonts w:asciiTheme="minorEastAsia" w:eastAsiaTheme="minorEastAsia" w:hAnsiTheme="minorEastAsia" w:hint="eastAsia"/>
          <w:color w:val="000000" w:themeColor="text1"/>
          <w:sz w:val="30"/>
        </w:rPr>
        <w:t>和</w:t>
      </w:r>
      <w:r w:rsidRPr="00FD5C9F" w:rsidR="006B5663">
        <w:rPr>
          <w:rFonts w:asciiTheme="minorEastAsia" w:eastAsiaTheme="minorEastAsia" w:hAnsiTheme="minorEastAsia" w:hint="eastAsia"/>
          <w:color w:val="000000" w:themeColor="text1"/>
          <w:sz w:val="30"/>
        </w:rPr>
        <w:t>定期定额投资计划</w:t>
      </w:r>
      <w:bookmarkEnd w:id="53"/>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bookmarkStart w:id="54" w:name="_Toc332373517"/>
      <w:r w:rsidRPr="00FD5C9F">
        <w:rPr>
          <w:rStyle w:val="da"/>
          <w:rFonts w:asciiTheme="minorEastAsia" w:eastAsiaTheme="minorEastAsia" w:hAnsiTheme="minorEastAsia" w:hint="eastAsia"/>
          <w:color w:val="000000" w:themeColor="text1"/>
        </w:rPr>
        <w:t>（一）基金转换</w:t>
      </w:r>
      <w:bookmarkEnd w:id="54"/>
    </w:p>
    <w:p w:rsidR="0052063E" w:rsidRPr="00FD5C9F" w:rsidP="0052063E">
      <w:pPr>
        <w:spacing w:line="360" w:lineRule="auto"/>
        <w:ind w:firstLine="420" w:firstLineChars="200"/>
        <w:rPr>
          <w:rStyle w:val="da"/>
          <w:rFonts w:asciiTheme="minorEastAsia" w:eastAsiaTheme="minorEastAsia" w:hAnsiTheme="minorEastAsia"/>
          <w:color w:val="000000" w:themeColor="text1"/>
          <w:szCs w:val="21"/>
        </w:rPr>
      </w:pPr>
      <w:bookmarkStart w:id="55" w:name="_Toc332373518"/>
      <w:r w:rsidRPr="00FD5C9F">
        <w:rPr>
          <w:rStyle w:val="da"/>
          <w:rFonts w:asciiTheme="minorEastAsia" w:eastAsiaTheme="minorEastAsia" w:hAnsiTheme="minorEastAsia" w:hint="eastAsia"/>
          <w:color w:val="000000" w:themeColor="text1"/>
          <w:szCs w:val="21"/>
        </w:rPr>
        <w:t>1、基金转换</w:t>
      </w:r>
      <w:r w:rsidRPr="00FD5C9F">
        <w:rPr>
          <w:rFonts w:asciiTheme="minorEastAsia" w:eastAsiaTheme="minorEastAsia" w:hAnsiTheme="minorEastAsia" w:hint="eastAsia"/>
          <w:color w:val="000000" w:themeColor="text1"/>
          <w:szCs w:val="21"/>
        </w:rPr>
        <w:t>开始日及时间</w:t>
      </w:r>
    </w:p>
    <w:p w:rsidR="0052063E" w:rsidRPr="00FD5C9F" w:rsidP="0052063E">
      <w:pPr>
        <w:spacing w:line="360" w:lineRule="auto"/>
        <w:ind w:firstLine="420"/>
        <w:rPr>
          <w:rFonts w:asciiTheme="minorEastAsia" w:eastAsiaTheme="minorEastAsia" w:hAnsiTheme="minorEastAsia" w:cs="Arial"/>
          <w:color w:val="000000" w:themeColor="text1"/>
        </w:rPr>
      </w:pPr>
      <w:r w:rsidRPr="00FD5C9F">
        <w:rPr>
          <w:rFonts w:asciiTheme="minorEastAsia" w:eastAsiaTheme="minorEastAsia" w:hAnsiTheme="minorEastAsia" w:hint="eastAsia"/>
          <w:color w:val="000000" w:themeColor="text1"/>
          <w:szCs w:val="21"/>
        </w:rPr>
        <w:t>本基金已于2020年8月24日开始办理基金转换业务</w:t>
      </w:r>
      <w:r w:rsidRPr="00FD5C9F">
        <w:rPr>
          <w:rFonts w:asciiTheme="minorEastAsia" w:eastAsiaTheme="minorEastAsia" w:hAnsiTheme="minorEastAsia" w:cs="Arial" w:hint="eastAsia"/>
          <w:color w:val="000000" w:themeColor="text1"/>
          <w:szCs w:val="21"/>
        </w:rPr>
        <w:t>。</w:t>
      </w:r>
    </w:p>
    <w:p w:rsidR="0052063E" w:rsidRPr="00FD5C9F" w:rsidP="0052063E">
      <w:pPr>
        <w:spacing w:line="360" w:lineRule="auto"/>
        <w:ind w:firstLine="420"/>
        <w:rPr>
          <w:rFonts w:asciiTheme="minorEastAsia" w:eastAsiaTheme="minorEastAsia" w:hAnsiTheme="minorEastAsia"/>
          <w:bCs/>
          <w:color w:val="000000" w:themeColor="text1"/>
          <w:szCs w:val="21"/>
        </w:rPr>
      </w:pPr>
      <w:r w:rsidRPr="00FD5C9F">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w:t>
      </w:r>
      <w:r w:rsidRPr="00FD5C9F">
        <w:rPr>
          <w:rFonts w:asciiTheme="minorEastAsia" w:eastAsiaTheme="minorEastAsia" w:hAnsiTheme="minorEastAsia" w:hint="eastAsia"/>
          <w:bCs/>
          <w:color w:val="000000" w:themeColor="text1"/>
          <w:szCs w:val="21"/>
        </w:rPr>
        <w:t>若该交易日非港股通交易日，则本基金不开放转换）</w:t>
      </w:r>
      <w:r w:rsidRPr="00FD5C9F">
        <w:rPr>
          <w:rFonts w:asciiTheme="minorEastAsia" w:eastAsiaTheme="minorEastAsia" w:hAnsiTheme="minorEastAsia" w:cs="Arial" w:hint="eastAsia"/>
          <w:color w:val="000000" w:themeColor="text1"/>
          <w:szCs w:val="21"/>
        </w:rPr>
        <w:t>。开放日的具体业务办理时间为上海证券交易所、深圳证券交易所交易日的交易时间，但基金管理人根据法律法规或基金合同的规定公告暂停转换时除外。</w:t>
      </w:r>
    </w:p>
    <w:p w:rsidR="0052063E" w:rsidRPr="00FD5C9F" w:rsidP="0052063E">
      <w:pPr>
        <w:spacing w:line="360" w:lineRule="auto"/>
        <w:ind w:firstLine="420"/>
        <w:rPr>
          <w:rFonts w:asciiTheme="minorEastAsia" w:eastAsiaTheme="minorEastAsia" w:hAnsiTheme="minorEastAsia" w:cs="Arial"/>
          <w:color w:val="000000" w:themeColor="text1"/>
          <w:szCs w:val="21"/>
        </w:rPr>
      </w:pPr>
      <w:r w:rsidRPr="00FD5C9F">
        <w:rPr>
          <w:rFonts w:asciiTheme="minorEastAsia" w:eastAsiaTheme="minorEastAsia" w:hAnsiTheme="minorEastAsia" w:hint="eastAsia"/>
          <w:bCs/>
          <w:color w:val="000000" w:themeColor="text1"/>
          <w:szCs w:val="21"/>
        </w:rPr>
        <w:t>若出现新的证券交易市场、证券交易所交易时间变更或其他特殊情况，基金管理人将视情况对前述开放日及开放时间进行相应的调整，但应在实施前依照</w:t>
      </w:r>
      <w:r w:rsidRPr="00FD5C9F">
        <w:rPr>
          <w:rFonts w:asciiTheme="minorEastAsia" w:eastAsiaTheme="minorEastAsia" w:hAnsiTheme="minorEastAsia" w:cs="Arial" w:hint="eastAsia"/>
          <w:color w:val="000000" w:themeColor="text1"/>
          <w:szCs w:val="21"/>
        </w:rPr>
        <w:t>《信息披露办法》的有关规定在指定媒介上公告。</w:t>
      </w:r>
    </w:p>
    <w:p w:rsidR="0052063E" w:rsidRPr="00FD5C9F" w:rsidP="0052063E">
      <w:pPr>
        <w:spacing w:line="360" w:lineRule="auto"/>
        <w:ind w:firstLine="42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Style w:val="da"/>
          <w:rFonts w:asciiTheme="minorEastAsia" w:eastAsiaTheme="minorEastAsia" w:hAnsiTheme="minorEastAsia" w:hint="eastAsia"/>
          <w:color w:val="000000" w:themeColor="text1"/>
          <w:szCs w:val="21"/>
        </w:rPr>
        <w:t>2、</w:t>
      </w:r>
      <w:r w:rsidRPr="00FD5C9F">
        <w:rPr>
          <w:rFonts w:asciiTheme="minorEastAsia" w:eastAsiaTheme="minorEastAsia" w:hAnsiTheme="minorEastAsia" w:hint="eastAsia"/>
          <w:color w:val="000000" w:themeColor="text1"/>
          <w:szCs w:val="21"/>
        </w:rPr>
        <w:t>基金转换的原则</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3、基金转换的程序</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（1）基金转换的申请方式</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提交基金转换申请时，账户中必须有足够可用的转出基金份额余额。</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（2）基金转换申请的确认</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基金管理人应以交易时间结束前受理有效基金转换申请的当天作为基金转换的申请日(T日)，在正常情况下，本基金注册登记机构在T+1日前(含T+1日)对该交易的有效性进行确认。T日提交的有效申请，投资人应在T+2 日后(包括该日)到销售网点柜台或以销售机构规定的其他方式查询申请的确认情况。</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4、基金转换的数额限制</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5、基金转换费率</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6、基金转换份额的计算方式</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计算公式：</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A＝［B×C×(1-D)/（1+G）+F］/E</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H＝ B×C×D</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J＝[B×C×(1-D)/(1+G)]×G</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F为货币市场基金全部转出时注册登记机构已支付的未付收益；G为对应的申购补差费率；H为转出基金赎回费；J为申购补差费。</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说明：</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（1）基金转换费用由转出基金赎回费用及基金申购补差费用两部分构成。</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以除上述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例：假设某持有人（其他投资者）持有本基金10,000份，持有100天，现欲转换为易方达策略成长二号混合型证券投资基金；假设转出基金T日的基金份额净值为1.1000元，转入基金易方达策略成长二号混合型证券投资基金T日的基金份额净值为1.020元，则转出基金的赎回费率为0.5%，申购补差费率为0.5%。转换份额计算如下：</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转换金额=转出基金申请份额×转出基金份额净值=10,000×1.1000=11,000.00元</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转出基金赎回费=转换金额×转出基金赎回费率=11,000.00×0.5%=55.00元</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申购补差费=（转换金额-转出基金赎回费）×申购补差费率÷（1＋申购补差费率）=（11,000.00-55.00）×0.5%÷(1+0.5%）=54.45元</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转换费=转出基金赎回费+申购补差费=55.00+54.45=109.45元</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转入金额=转换金额-转换费=11,000.00-109.45=10,890.55元</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转入份额=转入金额÷转入基金份额净值=10,890.55÷1.020=10,677.01份</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7、基金转换的注册登记</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8、基金转换与巨额赎回</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若本基金</w:t>
      </w:r>
      <w:r w:rsidRPr="00FD5C9F">
        <w:rPr>
          <w:rFonts w:asciiTheme="minorEastAsia" w:eastAsiaTheme="minorEastAsia" w:hAnsiTheme="minorEastAsia" w:hint="eastAsia"/>
          <w:bCs/>
          <w:color w:val="000000" w:themeColor="text1"/>
          <w:szCs w:val="21"/>
        </w:rPr>
        <w:t>单个开放日内的基金份额净赎回申请（赎回申请份额总数加上基金转换中转出申请份额总数后扣除申购申请份额总数及基金转换中转入申请份额总数后的余额）超过前一开放日的基金总份额的</w:t>
      </w:r>
      <w:r w:rsidRPr="00FD5C9F">
        <w:rPr>
          <w:rFonts w:asciiTheme="minorEastAsia" w:eastAsiaTheme="minorEastAsia" w:hAnsiTheme="minorEastAsia"/>
          <w:bCs/>
          <w:color w:val="000000" w:themeColor="text1"/>
          <w:szCs w:val="21"/>
        </w:rPr>
        <w:t>10%</w:t>
      </w:r>
      <w:r w:rsidRPr="00FD5C9F">
        <w:rPr>
          <w:rFonts w:asciiTheme="minorEastAsia" w:eastAsiaTheme="minorEastAsia" w:hAnsiTheme="minorEastAsia" w:hint="eastAsia"/>
          <w:color w:val="000000" w:themeColor="text1"/>
          <w:szCs w:val="21"/>
        </w:rPr>
        <w:t>，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9、拒绝或暂停基金转换的情形</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发生下列情况时，基金管理人可拒绝或暂停接受基金投资者的转换申请：</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（1）因不可抗力导致基金无法正常运作或因不可抗力导致基金管理人不能支付转换转出款项。</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（2）发生《基金合同》规定的暂停基金资产估值情况时。</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（3）基金进行交易的主要证券/期货交易市场交易时间非正常停市。</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（4）基金管理人认为接受某笔或某些转换转入申请可能会影响或损害现有基金份额持有人利益时。</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（7）基金管理人接受某笔或者某些转换转入申请有可能导致单一投资者持有基金份额的比例达到或者超过50%，或者变相规避50%集中度的情形时。</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8）当一笔新的转换转入申请被确认成功，使本基金总规模超过基金管理人规定的本基金总规模上限时；或使本基金单日申购金额或净申购比例超过基金管理人规定的当日申购金额或净申购比例上限时；或该投资者累计持有的份额超过单个投资者累计持有的份额上限时；或该投资者当日申购金额超过单个投资者单日或单笔申购金额上限时。</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9）当前一估值日基金资产净值50%以上的资产出现无可参考的活跃市场价格且采用估值技术仍导致公允价值存在重大不确定性时，经与基金托管人协商确认后，基金管理人应当采取暂停接受基金转换申请等措施。</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10）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（11）连续两个或两个以上开放日发生巨额赎回。</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（12）发生继续接受转换转出申请将损害现有基金份额持有人利益的情形时，基金管理人可暂停接受基金份额持有人的转换转出申请。</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（13）本基金的资产组合中的重要部分发生暂停交易或其他重大事件，继续接受转换转出可能会影响或损害基金份额持有人利益时。</w:t>
      </w:r>
    </w:p>
    <w:p w:rsidR="0052063E" w:rsidRPr="00FD5C9F" w:rsidP="0052063E">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（14）法律法规规定或中国证监会认定的其他情形。</w:t>
      </w:r>
    </w:p>
    <w:p w:rsidR="001979DE" w:rsidRPr="00FD5C9F" w:rsidP="0052063E">
      <w:pPr>
        <w:spacing w:line="360" w:lineRule="auto"/>
        <w:ind w:firstLine="420" w:firstLineChars="200"/>
        <w:rPr>
          <w:rStyle w:val="da"/>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（二）定期定额投资计划</w:t>
      </w:r>
      <w:bookmarkEnd w:id="55"/>
    </w:p>
    <w:p w:rsidR="00BA4B87" w:rsidRPr="00FD5C9F" w:rsidP="005A019A">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本基金已于2020年8月24日开始办理定期定额投资业务，具体实施办法参见相关公告。</w:t>
      </w:r>
    </w:p>
    <w:p w:rsidR="00BA4B87" w:rsidRPr="00FD5C9F" w:rsidP="009A5A64">
      <w:pPr>
        <w:pStyle w:val="Heading1"/>
        <w:spacing w:before="317" w:after="317" w:line="320" w:lineRule="exact"/>
        <w:ind w:firstLine="600"/>
        <w:rPr>
          <w:rFonts w:asciiTheme="minorEastAsia" w:eastAsiaTheme="minorEastAsia" w:hAnsiTheme="minorEastAsia"/>
          <w:bCs/>
          <w:color w:val="000000" w:themeColor="text1"/>
          <w:kern w:val="44"/>
          <w:sz w:val="28"/>
          <w:szCs w:val="44"/>
        </w:rPr>
      </w:pPr>
      <w:r w:rsidRPr="00FD5C9F">
        <w:rPr>
          <w:rFonts w:asciiTheme="minorEastAsia" w:eastAsiaTheme="minorEastAsia" w:hAnsiTheme="minorEastAsia" w:hint="eastAsia"/>
          <w:color w:val="000000" w:themeColor="text1"/>
          <w:sz w:val="30"/>
        </w:rPr>
        <w:br w:type="column"/>
      </w:r>
      <w:bookmarkStart w:id="56" w:name="_Toc332373519"/>
      <w:bookmarkStart w:id="57" w:name="_Toc134547848"/>
      <w:r w:rsidRPr="00FD5C9F">
        <w:rPr>
          <w:rFonts w:asciiTheme="minorEastAsia" w:eastAsiaTheme="minorEastAsia" w:hAnsiTheme="minorEastAsia" w:hint="eastAsia"/>
          <w:color w:val="000000" w:themeColor="text1"/>
          <w:sz w:val="30"/>
        </w:rPr>
        <w:t>十、基金的转托管、</w:t>
      </w:r>
      <w:r w:rsidRPr="00FD5C9F" w:rsidR="0059529A">
        <w:rPr>
          <w:rFonts w:asciiTheme="minorEastAsia" w:eastAsiaTheme="minorEastAsia" w:hAnsiTheme="minorEastAsia" w:hint="eastAsia"/>
          <w:color w:val="000000" w:themeColor="text1"/>
          <w:sz w:val="30"/>
        </w:rPr>
        <w:t>质押、</w:t>
      </w:r>
      <w:r w:rsidRPr="00FD5C9F">
        <w:rPr>
          <w:rFonts w:asciiTheme="minorEastAsia" w:eastAsiaTheme="minorEastAsia" w:hAnsiTheme="minorEastAsia" w:hint="eastAsia"/>
          <w:color w:val="000000" w:themeColor="text1"/>
          <w:sz w:val="30"/>
        </w:rPr>
        <w:t>非交易过户、冻结与解冻</w:t>
      </w:r>
      <w:bookmarkEnd w:id="56"/>
      <w:bookmarkEnd w:id="57"/>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bookmarkStart w:id="58" w:name="_Toc332373520"/>
      <w:bookmarkStart w:id="59" w:name="_Toc79392621"/>
      <w:r w:rsidRPr="00FD5C9F">
        <w:rPr>
          <w:rStyle w:val="da"/>
          <w:rFonts w:asciiTheme="minorEastAsia" w:eastAsiaTheme="minorEastAsia" w:hAnsiTheme="minorEastAsia" w:hint="eastAsia"/>
          <w:color w:val="000000" w:themeColor="text1"/>
        </w:rPr>
        <w:t>（一）</w:t>
      </w:r>
      <w:r w:rsidRPr="00FD5C9F" w:rsidR="00401F67">
        <w:rPr>
          <w:rStyle w:val="da"/>
          <w:rFonts w:asciiTheme="minorEastAsia" w:eastAsiaTheme="minorEastAsia" w:hAnsiTheme="minorEastAsia" w:hint="eastAsia"/>
          <w:color w:val="000000" w:themeColor="text1"/>
        </w:rPr>
        <w:t>基金的</w:t>
      </w:r>
      <w:r w:rsidRPr="00FD5C9F">
        <w:rPr>
          <w:rStyle w:val="da"/>
          <w:rFonts w:asciiTheme="minorEastAsia" w:eastAsiaTheme="minorEastAsia" w:hAnsiTheme="minorEastAsia" w:hint="eastAsia"/>
          <w:color w:val="000000" w:themeColor="text1"/>
        </w:rPr>
        <w:t>转托管</w:t>
      </w:r>
      <w:bookmarkEnd w:id="58"/>
    </w:p>
    <w:p w:rsidR="00BA4B87"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基金份额持有人可办理已持有基金份额在不同销售机构之间的转托管，基金销售机构可以按照规定的标准收取转托管费。具体办理方法参照《业务规则》的有关规定以及</w:t>
      </w:r>
      <w:r w:rsidRPr="00FD5C9F" w:rsidR="00546B7B">
        <w:rPr>
          <w:rStyle w:val="da"/>
          <w:rFonts w:asciiTheme="minorEastAsia" w:eastAsiaTheme="minorEastAsia" w:hAnsiTheme="minorEastAsia" w:hint="eastAsia"/>
          <w:color w:val="000000" w:themeColor="text1"/>
        </w:rPr>
        <w:t>各</w:t>
      </w:r>
      <w:r w:rsidRPr="00FD5C9F" w:rsidR="00FF5DDA">
        <w:rPr>
          <w:rStyle w:val="da"/>
          <w:rFonts w:asciiTheme="minorEastAsia" w:eastAsiaTheme="minorEastAsia" w:hAnsiTheme="minorEastAsia" w:hint="eastAsia"/>
          <w:color w:val="000000" w:themeColor="text1"/>
        </w:rPr>
        <w:t>销售</w:t>
      </w:r>
      <w:r w:rsidRPr="00FD5C9F">
        <w:rPr>
          <w:rStyle w:val="da"/>
          <w:rFonts w:asciiTheme="minorEastAsia" w:eastAsiaTheme="minorEastAsia" w:hAnsiTheme="minorEastAsia" w:hint="eastAsia"/>
          <w:color w:val="000000" w:themeColor="text1"/>
        </w:rPr>
        <w:t>机构的业务规则。</w:t>
      </w:r>
    </w:p>
    <w:p w:rsidR="00856C27" w:rsidRPr="00FD5C9F" w:rsidP="009417BA">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（二）基金份额的质押</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在条件许可的情况下，基金登记机构可依据相关法律法规及其业务规则，办理基金份额质押业务，并可收取一定的手续费。</w:t>
      </w:r>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bookmarkStart w:id="60" w:name="_Toc332373521"/>
      <w:r w:rsidRPr="00FD5C9F">
        <w:rPr>
          <w:rStyle w:val="da"/>
          <w:rFonts w:asciiTheme="minorEastAsia" w:eastAsiaTheme="minorEastAsia" w:hAnsiTheme="minorEastAsia" w:hint="eastAsia"/>
          <w:color w:val="000000" w:themeColor="text1"/>
        </w:rPr>
        <w:t>（</w:t>
      </w:r>
      <w:r w:rsidRPr="00FD5C9F" w:rsidR="00856C27">
        <w:rPr>
          <w:rStyle w:val="da"/>
          <w:rFonts w:asciiTheme="minorEastAsia" w:eastAsiaTheme="minorEastAsia" w:hAnsiTheme="minorEastAsia" w:hint="eastAsia"/>
          <w:color w:val="000000" w:themeColor="text1"/>
        </w:rPr>
        <w:t>三</w:t>
      </w:r>
      <w:r w:rsidRPr="00FD5C9F">
        <w:rPr>
          <w:rStyle w:val="da"/>
          <w:rFonts w:asciiTheme="minorEastAsia" w:eastAsiaTheme="minorEastAsia" w:hAnsiTheme="minorEastAsia" w:hint="eastAsia"/>
          <w:color w:val="000000" w:themeColor="text1"/>
        </w:rPr>
        <w:t>）基金的非交易过户</w:t>
      </w:r>
      <w:bookmarkEnd w:id="60"/>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FD5C9F" w:rsidP="00A67953">
      <w:pPr>
        <w:spacing w:line="360" w:lineRule="auto"/>
        <w:ind w:firstLine="420" w:firstLineChars="200"/>
        <w:rPr>
          <w:rStyle w:val="da"/>
          <w:rFonts w:asciiTheme="minorEastAsia" w:eastAsiaTheme="minorEastAsia" w:hAnsiTheme="minorEastAsia"/>
          <w:color w:val="000000" w:themeColor="text1"/>
        </w:rPr>
      </w:pPr>
      <w:bookmarkStart w:id="61" w:name="_Toc332373522"/>
      <w:r w:rsidRPr="00FD5C9F">
        <w:rPr>
          <w:rStyle w:val="da"/>
          <w:rFonts w:asciiTheme="minorEastAsia" w:eastAsiaTheme="minorEastAsia" w:hAnsiTheme="minorEastAsia" w:hint="eastAsia"/>
          <w:color w:val="000000" w:themeColor="text1"/>
        </w:rPr>
        <w:t>（</w:t>
      </w:r>
      <w:r w:rsidRPr="00FD5C9F" w:rsidR="00856C27">
        <w:rPr>
          <w:rStyle w:val="da"/>
          <w:rFonts w:asciiTheme="minorEastAsia" w:eastAsiaTheme="minorEastAsia" w:hAnsiTheme="minorEastAsia" w:hint="eastAsia"/>
          <w:color w:val="000000" w:themeColor="text1"/>
        </w:rPr>
        <w:t>四</w:t>
      </w:r>
      <w:r w:rsidRPr="00FD5C9F">
        <w:rPr>
          <w:rStyle w:val="da"/>
          <w:rFonts w:asciiTheme="minorEastAsia" w:eastAsiaTheme="minorEastAsia" w:hAnsiTheme="minorEastAsia" w:hint="eastAsia"/>
          <w:color w:val="000000" w:themeColor="text1"/>
        </w:rPr>
        <w:t>）基金的冻结与解冻</w:t>
      </w:r>
      <w:bookmarkEnd w:id="61"/>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基金登记机构只受理国家有权机关依法要求的基金份额的冻结与解冻，以及登记机构认可、符合法律法规的其他情况下的冻结与解冻。</w:t>
      </w:r>
    </w:p>
    <w:bookmarkEnd w:id="59"/>
    <w:p w:rsidR="00BA4B87" w:rsidRPr="00FD5C9F" w:rsidP="009A5A64">
      <w:pPr>
        <w:pStyle w:val="Heading1"/>
        <w:spacing w:before="317" w:after="317" w:line="320" w:lineRule="exact"/>
        <w:ind w:firstLine="64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rPr>
        <w:br w:type="column"/>
      </w:r>
      <w:bookmarkStart w:id="62" w:name="_Toc332373523"/>
      <w:bookmarkStart w:id="63" w:name="_Toc134547849"/>
      <w:r w:rsidRPr="00FD5C9F">
        <w:rPr>
          <w:rFonts w:asciiTheme="minorEastAsia" w:eastAsiaTheme="minorEastAsia" w:hAnsiTheme="minorEastAsia" w:hint="eastAsia"/>
          <w:color w:val="000000" w:themeColor="text1"/>
          <w:sz w:val="30"/>
        </w:rPr>
        <w:t>十一、基金的投资</w:t>
      </w:r>
      <w:bookmarkEnd w:id="62"/>
      <w:bookmarkEnd w:id="63"/>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bookmarkStart w:id="64" w:name="_Toc332373524"/>
      <w:r w:rsidRPr="00FD5C9F">
        <w:rPr>
          <w:rStyle w:val="da"/>
          <w:rFonts w:asciiTheme="minorEastAsia" w:eastAsiaTheme="minorEastAsia" w:hAnsiTheme="minorEastAsia" w:hint="eastAsia"/>
          <w:color w:val="000000" w:themeColor="text1"/>
        </w:rPr>
        <w:t>（一）投资目标</w:t>
      </w:r>
      <w:bookmarkEnd w:id="64"/>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bookmarkStart w:id="65" w:name="_Toc332373525"/>
      <w:r w:rsidRPr="00FD5C9F">
        <w:rPr>
          <w:rStyle w:val="da"/>
          <w:rFonts w:asciiTheme="minorEastAsia" w:eastAsiaTheme="minorEastAsia" w:hAnsiTheme="minorEastAsia" w:hint="eastAsia"/>
          <w:color w:val="000000" w:themeColor="text1"/>
        </w:rPr>
        <w:t>本基金主要投资创新成长主题相关公司，在控制风险的前提下，追求超越业绩比较基准的投资回报。</w:t>
      </w:r>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9648D4">
        <w:rPr>
          <w:rStyle w:val="da"/>
          <w:rFonts w:asciiTheme="minorEastAsia" w:eastAsiaTheme="minorEastAsia" w:hAnsiTheme="minorEastAsia" w:hint="eastAsia"/>
          <w:color w:val="000000" w:themeColor="text1"/>
        </w:rPr>
        <w:t>二</w:t>
      </w:r>
      <w:r w:rsidRPr="00FD5C9F">
        <w:rPr>
          <w:rStyle w:val="da"/>
          <w:rFonts w:asciiTheme="minorEastAsia" w:eastAsiaTheme="minorEastAsia" w:hAnsiTheme="minorEastAsia" w:hint="eastAsia"/>
          <w:color w:val="000000" w:themeColor="text1"/>
        </w:rPr>
        <w:t>）投资范围</w:t>
      </w:r>
      <w:bookmarkEnd w:id="65"/>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bookmarkStart w:id="66" w:name="_Toc359426195"/>
      <w:bookmarkStart w:id="67" w:name="_Toc332373526"/>
      <w:r w:rsidRPr="00FD5C9F">
        <w:rPr>
          <w:rStyle w:val="da"/>
          <w:rFonts w:asciiTheme="minorEastAsia" w:eastAsiaTheme="minorEastAsia" w:hAnsiTheme="minorEastAsia" w:hint="eastAsia"/>
          <w:color w:val="000000" w:themeColor="text1"/>
        </w:rPr>
        <w:t>本基金的投资范围包括内地依法发行上市的股票（含中小板、创业板及其他依法发行、上市的股票</w:t>
      </w:r>
      <w:r w:rsidRPr="00FD5C9F" w:rsidR="002D6B21">
        <w:rPr>
          <w:rStyle w:val="da"/>
          <w:rFonts w:asciiTheme="minorEastAsia" w:eastAsiaTheme="minorEastAsia" w:hAnsiTheme="minorEastAsia" w:hint="eastAsia"/>
          <w:color w:val="000000" w:themeColor="text1"/>
        </w:rPr>
        <w:t>、存托凭证</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内地与香港股票市场交易互联互通机制允许买卖的香港证券市场股票（以下简称“</w:t>
      </w:r>
      <w:r w:rsidRPr="00FD5C9F">
        <w:rPr>
          <w:rStyle w:val="da"/>
          <w:rFonts w:asciiTheme="minorEastAsia" w:eastAsiaTheme="minorEastAsia" w:hAnsiTheme="minorEastAsia" w:hint="eastAsia"/>
          <w:color w:val="000000" w:themeColor="text1"/>
        </w:rPr>
        <w:t>港股通股票</w:t>
      </w: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）、内地依法发行、上市的债券（包括国债、央行票据、地方政府债、金融债、企业债、公司债、公开发行</w:t>
      </w:r>
      <w:r w:rsidRPr="00FD5C9F">
        <w:rPr>
          <w:rStyle w:val="da"/>
          <w:rFonts w:asciiTheme="minorEastAsia" w:eastAsiaTheme="minorEastAsia" w:hAnsiTheme="minorEastAsia"/>
          <w:color w:val="000000" w:themeColor="text1"/>
        </w:rPr>
        <w:t>的</w:t>
      </w:r>
      <w:r w:rsidRPr="00FD5C9F">
        <w:rPr>
          <w:rStyle w:val="da"/>
          <w:rFonts w:asciiTheme="minorEastAsia" w:eastAsiaTheme="minorEastAsia" w:hAnsiTheme="minorEastAsia" w:hint="eastAsia"/>
          <w:color w:val="000000" w:themeColor="text1"/>
        </w:rPr>
        <w:t>次级债、中期票据、短期融资券、可转换债券、可交换债券等）、资产支持证券、债券回购、银行存款、同业存单、货币市场工具、股指期货、国债期货、股票期权及法律法规或中国证监会允许基金投资的其他金融工具。</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如法律法规或监管机构以后允许基金投资其他品种，基金管理人在履行适当程序后，本基金可以将其纳入投资范围。</w:t>
      </w:r>
    </w:p>
    <w:p w:rsidR="007704D7" w:rsidRPr="00FD5C9F" w:rsidP="007704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基金的投资组合比例为：</w:t>
      </w:r>
      <w:r w:rsidRPr="00FD5C9F">
        <w:rPr>
          <w:rStyle w:val="da"/>
          <w:rFonts w:asciiTheme="minorEastAsia" w:eastAsiaTheme="minorEastAsia" w:hAnsiTheme="minorEastAsia" w:hint="eastAsia"/>
          <w:color w:val="000000" w:themeColor="text1"/>
        </w:rPr>
        <w:t>本基金股票资产占基金资产的比例为</w:t>
      </w:r>
      <w:r w:rsidRPr="00FD5C9F">
        <w:rPr>
          <w:rStyle w:val="da"/>
          <w:rFonts w:asciiTheme="minorEastAsia" w:eastAsiaTheme="minorEastAsia" w:hAnsiTheme="minorEastAsia"/>
          <w:color w:val="000000" w:themeColor="text1"/>
        </w:rPr>
        <w:t>60%-95%</w:t>
      </w:r>
      <w:r w:rsidRPr="00FD5C9F">
        <w:rPr>
          <w:rStyle w:val="da"/>
          <w:rFonts w:asciiTheme="minorEastAsia" w:eastAsiaTheme="minorEastAsia" w:hAnsiTheme="minorEastAsia" w:hint="eastAsia"/>
          <w:color w:val="000000" w:themeColor="text1"/>
        </w:rPr>
        <w:t>（其中港股通股票不超过股票资产的</w:t>
      </w:r>
      <w:r w:rsidRPr="00FD5C9F">
        <w:rPr>
          <w:rStyle w:val="da"/>
          <w:rFonts w:asciiTheme="minorEastAsia" w:eastAsiaTheme="minorEastAsia" w:hAnsiTheme="minorEastAsia"/>
          <w:color w:val="000000" w:themeColor="text1"/>
        </w:rPr>
        <w:t>50%</w:t>
      </w:r>
      <w:r w:rsidRPr="00FD5C9F">
        <w:rPr>
          <w:rStyle w:val="da"/>
          <w:rFonts w:asciiTheme="minorEastAsia" w:eastAsiaTheme="minorEastAsia" w:hAnsiTheme="minorEastAsia" w:hint="eastAsia"/>
          <w:color w:val="000000" w:themeColor="text1"/>
        </w:rPr>
        <w:t>）；每个交易日日终，扣除股指期货、国债期货、</w:t>
      </w:r>
      <w:r w:rsidRPr="00FD5C9F">
        <w:rPr>
          <w:rStyle w:val="da"/>
          <w:rFonts w:asciiTheme="minorEastAsia" w:eastAsiaTheme="minorEastAsia" w:hAnsiTheme="minorEastAsia"/>
          <w:color w:val="000000" w:themeColor="text1"/>
        </w:rPr>
        <w:t>股票期权</w:t>
      </w:r>
      <w:r w:rsidRPr="00FD5C9F">
        <w:rPr>
          <w:rStyle w:val="da"/>
          <w:rFonts w:asciiTheme="minorEastAsia" w:eastAsiaTheme="minorEastAsia" w:hAnsiTheme="minorEastAsia" w:hint="eastAsia"/>
          <w:color w:val="000000" w:themeColor="text1"/>
        </w:rPr>
        <w:t>合约需缴纳的交易保证金后，现金或到期日在一年以内的政府债券不低于基金资产净值的</w:t>
      </w:r>
      <w:r w:rsidRPr="00FD5C9F">
        <w:rPr>
          <w:rStyle w:val="da"/>
          <w:rFonts w:asciiTheme="minorEastAsia" w:eastAsiaTheme="minorEastAsia" w:hAnsiTheme="minorEastAsia"/>
          <w:color w:val="000000" w:themeColor="text1"/>
        </w:rPr>
        <w:t>5%</w:t>
      </w:r>
      <w:r w:rsidRPr="00FD5C9F">
        <w:rPr>
          <w:rStyle w:val="da"/>
          <w:rFonts w:asciiTheme="minorEastAsia" w:eastAsiaTheme="minorEastAsia" w:hAnsiTheme="minorEastAsia" w:hint="eastAsia"/>
          <w:color w:val="000000" w:themeColor="text1"/>
        </w:rPr>
        <w:t>，现金不包括结算备付金、存出保证金、应收申购款等。股指期货、国债期货、股票期权及其他金融工具的投资比例依照法律法规或监管机构的规定执行。本基金非现金资产中不低于</w:t>
      </w:r>
      <w:r w:rsidRPr="00FD5C9F">
        <w:rPr>
          <w:rStyle w:val="da"/>
          <w:rFonts w:asciiTheme="minorEastAsia" w:eastAsiaTheme="minorEastAsia" w:hAnsiTheme="minorEastAsia"/>
          <w:color w:val="000000" w:themeColor="text1"/>
        </w:rPr>
        <w:t>80%</w:t>
      </w:r>
      <w:r w:rsidRPr="00FD5C9F">
        <w:rPr>
          <w:rStyle w:val="da"/>
          <w:rFonts w:asciiTheme="minorEastAsia" w:eastAsiaTheme="minorEastAsia" w:hAnsiTheme="minorEastAsia" w:hint="eastAsia"/>
          <w:color w:val="000000" w:themeColor="text1"/>
        </w:rPr>
        <w:t>的资产将投资于创新成长主题相关公司。</w:t>
      </w:r>
    </w:p>
    <w:bookmarkEnd w:id="66"/>
    <w:p w:rsidR="008F72CB"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090469">
        <w:rPr>
          <w:rStyle w:val="da"/>
          <w:rFonts w:asciiTheme="minorEastAsia" w:eastAsiaTheme="minorEastAsia" w:hAnsiTheme="minorEastAsia" w:hint="eastAsia"/>
          <w:color w:val="000000" w:themeColor="text1"/>
        </w:rPr>
        <w:t>三</w:t>
      </w:r>
      <w:r w:rsidRPr="00FD5C9F">
        <w:rPr>
          <w:rStyle w:val="da"/>
          <w:rFonts w:asciiTheme="minorEastAsia" w:eastAsiaTheme="minorEastAsia" w:hAnsiTheme="minorEastAsia" w:hint="eastAsia"/>
          <w:color w:val="000000" w:themeColor="text1"/>
        </w:rPr>
        <w:t>）</w:t>
      </w:r>
      <w:r w:rsidRPr="00FD5C9F" w:rsidR="00BA4B87">
        <w:rPr>
          <w:rStyle w:val="da"/>
          <w:rFonts w:asciiTheme="minorEastAsia" w:eastAsiaTheme="minorEastAsia" w:hAnsiTheme="minorEastAsia" w:hint="eastAsia"/>
          <w:color w:val="000000" w:themeColor="text1"/>
        </w:rPr>
        <w:t>投资策略</w:t>
      </w:r>
      <w:bookmarkEnd w:id="67"/>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bookmarkStart w:id="68" w:name="_Toc332373530"/>
      <w:bookmarkStart w:id="69" w:name="question3"/>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、资产配置策略</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本基金将综合</w:t>
      </w:r>
      <w:r w:rsidRPr="00FD5C9F">
        <w:rPr>
          <w:rStyle w:val="da"/>
          <w:rFonts w:asciiTheme="minorEastAsia" w:eastAsiaTheme="minorEastAsia" w:hAnsiTheme="minorEastAsia"/>
          <w:color w:val="000000" w:themeColor="text1"/>
        </w:rPr>
        <w:t>考虑</w:t>
      </w:r>
      <w:r w:rsidRPr="00FD5C9F">
        <w:rPr>
          <w:rStyle w:val="da"/>
          <w:rFonts w:asciiTheme="minorEastAsia" w:eastAsiaTheme="minorEastAsia" w:hAnsiTheme="minorEastAsia" w:hint="eastAsia"/>
          <w:color w:val="000000" w:themeColor="text1"/>
        </w:rPr>
        <w:t>宏观与</w:t>
      </w:r>
      <w:r w:rsidRPr="00FD5C9F">
        <w:rPr>
          <w:rStyle w:val="da"/>
          <w:rFonts w:asciiTheme="minorEastAsia" w:eastAsiaTheme="minorEastAsia" w:hAnsiTheme="minorEastAsia"/>
          <w:color w:val="000000" w:themeColor="text1"/>
        </w:rPr>
        <w:t>微观经济、市场与政策等因素</w:t>
      </w:r>
      <w:r w:rsidRPr="00FD5C9F">
        <w:rPr>
          <w:rStyle w:val="da"/>
          <w:rFonts w:asciiTheme="minorEastAsia" w:eastAsiaTheme="minorEastAsia" w:hAnsiTheme="minorEastAsia" w:hint="eastAsia"/>
          <w:color w:val="000000" w:themeColor="text1"/>
        </w:rPr>
        <w:t>，确定组合中股票、债券、货币市场工具及其他金融工具的比例。</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在资产配置中，本基金主要考虑：（</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）宏观经济因素，包括</w:t>
      </w:r>
      <w:r w:rsidRPr="00FD5C9F">
        <w:rPr>
          <w:rStyle w:val="da"/>
          <w:rFonts w:asciiTheme="minorEastAsia" w:eastAsiaTheme="minorEastAsia" w:hAnsiTheme="minorEastAsia"/>
          <w:color w:val="000000" w:themeColor="text1"/>
        </w:rPr>
        <w:t>GDP</w:t>
      </w:r>
      <w:r w:rsidRPr="00FD5C9F">
        <w:rPr>
          <w:rStyle w:val="da"/>
          <w:rFonts w:asciiTheme="minorEastAsia" w:eastAsiaTheme="minorEastAsia" w:hAnsiTheme="minorEastAsia" w:hint="eastAsia"/>
          <w:color w:val="000000" w:themeColor="text1"/>
        </w:rPr>
        <w:t>增长率及其构成、</w:t>
      </w:r>
      <w:r w:rsidRPr="00FD5C9F">
        <w:rPr>
          <w:rStyle w:val="da"/>
          <w:rFonts w:asciiTheme="minorEastAsia" w:eastAsiaTheme="minorEastAsia" w:hAnsiTheme="minorEastAsia"/>
          <w:color w:val="000000" w:themeColor="text1"/>
        </w:rPr>
        <w:t>CPI</w:t>
      </w:r>
      <w:r w:rsidRPr="00FD5C9F">
        <w:rPr>
          <w:rStyle w:val="da"/>
          <w:rFonts w:asciiTheme="minorEastAsia" w:eastAsiaTheme="minorEastAsia" w:hAnsiTheme="minorEastAsia" w:hint="eastAsia"/>
          <w:color w:val="000000" w:themeColor="text1"/>
        </w:rPr>
        <w:t>、市场利率水平变化、货币政策等；（</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）微观经济因素，包括各行业主要企业的盈利变化情况及其盈利预期；（</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）市场因素，包括股票及债券市场的涨跌、市场整体估值水平、大类资产的预期收益率水平及其历史比较、市场资金供求关系及其变化；（</w:t>
      </w:r>
      <w:r w:rsidRPr="00FD5C9F">
        <w:rPr>
          <w:rStyle w:val="da"/>
          <w:rFonts w:asciiTheme="minorEastAsia" w:eastAsiaTheme="minorEastAsia" w:hAnsiTheme="minorEastAsia"/>
          <w:color w:val="000000" w:themeColor="text1"/>
        </w:rPr>
        <w:t>4</w:t>
      </w:r>
      <w:r w:rsidRPr="00FD5C9F">
        <w:rPr>
          <w:rStyle w:val="da"/>
          <w:rFonts w:asciiTheme="minorEastAsia" w:eastAsiaTheme="minorEastAsia" w:hAnsiTheme="minorEastAsia" w:hint="eastAsia"/>
          <w:color w:val="000000" w:themeColor="text1"/>
        </w:rPr>
        <w:t>）政策因素，与证券市场密切相关的各种政策出台对市场的影响等。</w:t>
      </w:r>
    </w:p>
    <w:p w:rsidR="007704D7" w:rsidRPr="00FD5C9F" w:rsidP="007704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、创新成长主题相关公司的界定</w:t>
      </w:r>
    </w:p>
    <w:p w:rsidR="00D3011D"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本基金界定的创新成长主题相关公司是指各行业中具有较强创新能力和较高成长性的公司：</w:t>
      </w:r>
    </w:p>
    <w:p w:rsidR="00D3011D"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）公司具有较强的创新能力。本基金所指的创新包括产品创新、服务创新、技术创新、管理创新、营销创新、流程创新、组织与制度创新、商业模式创新、市场创新等。</w:t>
      </w:r>
    </w:p>
    <w:p w:rsidR="00D3011D"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在定量指标方面，本基金考虑的指标主要有研发人员数量占比、研发投入、新产品或新服务营业收入占比等。本基金将选择符合以下任一条件的公司：</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）公司研发人员数量占比较高，过去一年研发人员数量占比超过</w:t>
      </w:r>
      <w:r w:rsidRPr="00FD5C9F">
        <w:rPr>
          <w:rStyle w:val="da"/>
          <w:rFonts w:asciiTheme="minorEastAsia" w:eastAsiaTheme="minorEastAsia" w:hAnsiTheme="minorEastAsia"/>
          <w:color w:val="000000" w:themeColor="text1"/>
        </w:rPr>
        <w:t>5%</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）公司研发投入较高，过去一年或预期研发支出总额占营业收入比例超过</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；或者过去一年或预期研发支出总额超过</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亿元人民币。</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）公司新产品或新服务营业收入占比较高，预期新产品或新服务营业收入占比超过</w:t>
      </w:r>
      <w:r w:rsidRPr="00FD5C9F">
        <w:rPr>
          <w:rStyle w:val="da"/>
          <w:rFonts w:asciiTheme="minorEastAsia" w:eastAsiaTheme="minorEastAsia" w:hAnsiTheme="minorEastAsia"/>
          <w:color w:val="000000" w:themeColor="text1"/>
        </w:rPr>
        <w:t>10%</w:t>
      </w:r>
      <w:r w:rsidRPr="00FD5C9F">
        <w:rPr>
          <w:rStyle w:val="da"/>
          <w:rFonts w:asciiTheme="minorEastAsia" w:eastAsiaTheme="minorEastAsia" w:hAnsiTheme="minorEastAsia" w:hint="eastAsia"/>
          <w:color w:val="000000" w:themeColor="text1"/>
        </w:rPr>
        <w:t>。</w:t>
      </w:r>
    </w:p>
    <w:p w:rsidR="00D3011D"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在定性指标方面，本基金将综合分析公司创新战略、创新管理能力、创新文化、对引进技术的吸收和改进能力、通过创新引导、创造新的市场需求情况、研发人员背景情况、创新对公司竞争优势的影响等方面。</w:t>
      </w:r>
    </w:p>
    <w:p w:rsidR="00D3011D"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在以上分析基础上，本基金重点选择具有较强创新能力的公司。</w:t>
      </w:r>
    </w:p>
    <w:p w:rsidR="00D3011D"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）公司具有较高的成长性。本基金界定的具有较高成长性的公司是指未来预期净利润增速高于同期预期</w:t>
      </w:r>
      <w:r w:rsidRPr="00FD5C9F">
        <w:rPr>
          <w:rStyle w:val="da"/>
          <w:rFonts w:asciiTheme="minorEastAsia" w:eastAsiaTheme="minorEastAsia" w:hAnsiTheme="minorEastAsia"/>
          <w:color w:val="000000" w:themeColor="text1"/>
        </w:rPr>
        <w:t>GDP</w:t>
      </w:r>
      <w:r w:rsidRPr="00FD5C9F">
        <w:rPr>
          <w:rStyle w:val="da"/>
          <w:rFonts w:asciiTheme="minorEastAsia" w:eastAsiaTheme="minorEastAsia" w:hAnsiTheme="minorEastAsia" w:hint="eastAsia"/>
          <w:color w:val="000000" w:themeColor="text1"/>
        </w:rPr>
        <w:t>增速的公司。</w:t>
      </w:r>
    </w:p>
    <w:p w:rsidR="003E134B" w:rsidRPr="00FD5C9F" w:rsidP="007704D7">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3、股票投资策略</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）地区配置策略</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本基金将对内地和香港市场进行自上而下的研究，主要通过对财政金融政策、</w:t>
      </w:r>
      <w:r w:rsidRPr="00FD5C9F">
        <w:rPr>
          <w:rStyle w:val="da"/>
          <w:rFonts w:asciiTheme="minorEastAsia" w:eastAsiaTheme="minorEastAsia" w:hAnsiTheme="minorEastAsia"/>
          <w:color w:val="000000" w:themeColor="text1"/>
        </w:rPr>
        <w:t>GDP</w:t>
      </w:r>
      <w:r w:rsidRPr="00FD5C9F">
        <w:rPr>
          <w:rStyle w:val="da"/>
          <w:rFonts w:asciiTheme="minorEastAsia" w:eastAsiaTheme="minorEastAsia" w:hAnsiTheme="minorEastAsia" w:hint="eastAsia"/>
          <w:color w:val="000000" w:themeColor="text1"/>
        </w:rPr>
        <w:t>增长率、物价水平、利率走势、汇率走势、证券市场相对估值水平等方面的分析，对内地和香港市场的投资价值进行综合评价，作为进行地区配置的依据。</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）行业配置策略</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本基金将综合分析相关行业的发展前景、竞争格局、相对估值水平等方面，进行行业配置及动态调整。</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发展前景</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本基金对各行业的发展情况进行持续跟踪分析，适时对各行业的</w:t>
      </w:r>
      <w:r w:rsidRPr="00FD5C9F">
        <w:rPr>
          <w:rStyle w:val="da"/>
          <w:rFonts w:asciiTheme="minorEastAsia" w:eastAsiaTheme="minorEastAsia" w:hAnsiTheme="minorEastAsia"/>
          <w:color w:val="000000" w:themeColor="text1"/>
        </w:rPr>
        <w:t>景气度周期</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未来</w:t>
      </w:r>
      <w:r w:rsidRPr="00FD5C9F">
        <w:rPr>
          <w:rStyle w:val="da"/>
          <w:rFonts w:asciiTheme="minorEastAsia" w:eastAsiaTheme="minorEastAsia" w:hAnsiTheme="minorEastAsia" w:hint="eastAsia"/>
          <w:color w:val="000000" w:themeColor="text1"/>
        </w:rPr>
        <w:t>发展</w:t>
      </w:r>
      <w:r w:rsidRPr="00FD5C9F">
        <w:rPr>
          <w:rStyle w:val="da"/>
          <w:rFonts w:asciiTheme="minorEastAsia" w:eastAsiaTheme="minorEastAsia" w:hAnsiTheme="minorEastAsia"/>
          <w:color w:val="000000" w:themeColor="text1"/>
        </w:rPr>
        <w:t>趋势</w:t>
      </w:r>
      <w:r w:rsidRPr="00FD5C9F">
        <w:rPr>
          <w:rStyle w:val="da"/>
          <w:rFonts w:asciiTheme="minorEastAsia" w:eastAsiaTheme="minorEastAsia" w:hAnsiTheme="minorEastAsia" w:hint="eastAsia"/>
          <w:color w:val="000000" w:themeColor="text1"/>
        </w:rPr>
        <w:t>进行研判，重点投资于发展前景较好的行业。</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）竞争格局</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本基金通过密切跟踪行业当前进入者的数量、行业内相关公司的竞争策略等判断各行业竞争格局的变化，重点投资于竞争格局良好的行业。</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相对估值水平</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本基金将对各行业的相对估值水平进行动态分析，适时增加相对估值水平较低的行业的配置比例，降低相对估值水平较高的行业的配置比例。</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）个股</w:t>
      </w:r>
      <w:r w:rsidRPr="00FD5C9F">
        <w:rPr>
          <w:rStyle w:val="da"/>
          <w:rFonts w:asciiTheme="minorEastAsia" w:eastAsiaTheme="minorEastAsia" w:hAnsiTheme="minorEastAsia"/>
          <w:color w:val="000000" w:themeColor="text1"/>
        </w:rPr>
        <w:t>选择</w:t>
      </w:r>
      <w:r w:rsidRPr="00FD5C9F">
        <w:rPr>
          <w:rStyle w:val="da"/>
          <w:rFonts w:asciiTheme="minorEastAsia" w:eastAsiaTheme="minorEastAsia" w:hAnsiTheme="minorEastAsia" w:hint="eastAsia"/>
          <w:color w:val="000000" w:themeColor="text1"/>
        </w:rPr>
        <w:t>策略</w:t>
      </w:r>
    </w:p>
    <w:p w:rsidR="00654AA2"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）内地市场股票投资策略</w:t>
      </w:r>
    </w:p>
    <w:p w:rsidR="00654AA2"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本基金通过对公司经营、公司治理和管理团队等因素的综合分析，进行个股精选。</w:t>
      </w:r>
    </w:p>
    <w:p w:rsidR="00654AA2"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①在公司经营方面，本基金对公司行业地位、产品或服务的市场前景、盈利能力、财务状况等方面进行深入分析，选择具有长期增长潜力的公司。</w:t>
      </w:r>
    </w:p>
    <w:p w:rsidR="00654AA2"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②在公司治理和管理团队方面，本基金对公司治理结构、激励与利益分配机制设置情况、信息透明度、管理团队稳定性、公司战略执行情况等方面进行分析，选择公司治理合理、管理团队稳定高效的公司。</w:t>
      </w:r>
    </w:p>
    <w:p w:rsidR="00654AA2"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）港股通股票投资策略</w:t>
      </w:r>
    </w:p>
    <w:p w:rsidR="00654AA2" w:rsidRPr="00FD5C9F" w:rsidP="00BE6E2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对于港股通股票的选择，本基金也将综合分析上述因素。对于发行人有</w:t>
      </w:r>
      <w:r w:rsidRPr="00FD5C9F">
        <w:rPr>
          <w:rStyle w:val="da"/>
          <w:rFonts w:asciiTheme="minorEastAsia" w:eastAsiaTheme="minorEastAsia" w:hAnsiTheme="minorEastAsia"/>
          <w:color w:val="000000" w:themeColor="text1"/>
        </w:rPr>
        <w:t>A</w:t>
      </w:r>
      <w:r w:rsidRPr="00FD5C9F">
        <w:rPr>
          <w:rStyle w:val="da"/>
          <w:rFonts w:asciiTheme="minorEastAsia" w:eastAsiaTheme="minorEastAsia" w:hAnsiTheme="minorEastAsia" w:hint="eastAsia"/>
          <w:color w:val="000000" w:themeColor="text1"/>
        </w:rPr>
        <w:t>股上市的港股通股票，本基金还将考虑</w:t>
      </w:r>
      <w:r w:rsidRPr="00FD5C9F">
        <w:rPr>
          <w:rStyle w:val="da"/>
          <w:rFonts w:asciiTheme="minorEastAsia" w:eastAsiaTheme="minorEastAsia" w:hAnsiTheme="minorEastAsia"/>
          <w:color w:val="000000" w:themeColor="text1"/>
        </w:rPr>
        <w:t>AH</w:t>
      </w:r>
      <w:r w:rsidRPr="00FD5C9F">
        <w:rPr>
          <w:rStyle w:val="da"/>
          <w:rFonts w:asciiTheme="minorEastAsia" w:eastAsiaTheme="minorEastAsia" w:hAnsiTheme="minorEastAsia" w:hint="eastAsia"/>
          <w:color w:val="000000" w:themeColor="text1"/>
        </w:rPr>
        <w:t>股折溢价情况。</w:t>
      </w:r>
      <w:r w:rsidRPr="00FD5C9F">
        <w:rPr>
          <w:rStyle w:val="da"/>
          <w:rFonts w:asciiTheme="minorEastAsia" w:eastAsiaTheme="minorEastAsia" w:hAnsiTheme="minorEastAsia"/>
          <w:color w:val="000000" w:themeColor="text1"/>
        </w:rPr>
        <w:t xml:space="preserve"> </w:t>
      </w:r>
      <w:r w:rsidRPr="00FD5C9F">
        <w:rPr>
          <w:rStyle w:val="da"/>
          <w:rFonts w:asciiTheme="minorEastAsia" w:eastAsiaTheme="minorEastAsia" w:hAnsiTheme="minorEastAsia"/>
          <w:color w:val="000000" w:themeColor="text1"/>
        </w:rPr>
        <w:tab/>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4</w:t>
      </w:r>
      <w:r w:rsidRPr="00FD5C9F">
        <w:rPr>
          <w:rStyle w:val="da"/>
          <w:rFonts w:asciiTheme="minorEastAsia" w:eastAsiaTheme="minorEastAsia" w:hAnsiTheme="minorEastAsia" w:hint="eastAsia"/>
          <w:color w:val="000000" w:themeColor="text1"/>
        </w:rPr>
        <w:t>）估值水平分析</w:t>
      </w:r>
    </w:p>
    <w:p w:rsidR="007704D7" w:rsidRPr="00FD5C9F" w:rsidP="003A64F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本基金根据公司的行业特性及公司本身的特点，选择合适的股票估值方法。可供选择的估值方法包括市盈率法（</w:t>
      </w:r>
      <w:r w:rsidRPr="00FD5C9F">
        <w:rPr>
          <w:rStyle w:val="da"/>
          <w:rFonts w:asciiTheme="minorEastAsia" w:eastAsiaTheme="minorEastAsia" w:hAnsiTheme="minorEastAsia"/>
          <w:color w:val="000000" w:themeColor="text1"/>
        </w:rPr>
        <w:t>P/E</w:t>
      </w:r>
      <w:r w:rsidRPr="00FD5C9F">
        <w:rPr>
          <w:rStyle w:val="da"/>
          <w:rFonts w:asciiTheme="minorEastAsia" w:eastAsiaTheme="minorEastAsia" w:hAnsiTheme="minorEastAsia" w:hint="eastAsia"/>
          <w:color w:val="000000" w:themeColor="text1"/>
        </w:rPr>
        <w:t>）、市净率法（</w:t>
      </w:r>
      <w:r w:rsidRPr="00FD5C9F">
        <w:rPr>
          <w:rStyle w:val="da"/>
          <w:rFonts w:asciiTheme="minorEastAsia" w:eastAsiaTheme="minorEastAsia" w:hAnsiTheme="minorEastAsia"/>
          <w:color w:val="000000" w:themeColor="text1"/>
        </w:rPr>
        <w:t>P/B</w:t>
      </w:r>
      <w:r w:rsidRPr="00FD5C9F">
        <w:rPr>
          <w:rStyle w:val="da"/>
          <w:rFonts w:asciiTheme="minorEastAsia" w:eastAsiaTheme="minorEastAsia" w:hAnsiTheme="minorEastAsia" w:hint="eastAsia"/>
          <w:color w:val="000000" w:themeColor="text1"/>
        </w:rPr>
        <w:t>）、市盈率－长期成长法（</w:t>
      </w:r>
      <w:r w:rsidRPr="00FD5C9F">
        <w:rPr>
          <w:rStyle w:val="da"/>
          <w:rFonts w:asciiTheme="minorEastAsia" w:eastAsiaTheme="minorEastAsia" w:hAnsiTheme="minorEastAsia"/>
          <w:color w:val="000000" w:themeColor="text1"/>
        </w:rPr>
        <w:t>PEG</w:t>
      </w:r>
      <w:r w:rsidRPr="00FD5C9F">
        <w:rPr>
          <w:rStyle w:val="da"/>
          <w:rFonts w:asciiTheme="minorEastAsia" w:eastAsiaTheme="minorEastAsia" w:hAnsiTheme="minorEastAsia" w:hint="eastAsia"/>
          <w:color w:val="000000" w:themeColor="text1"/>
        </w:rPr>
        <w:t>）、自由现金流贴现模型（</w:t>
      </w:r>
      <w:r w:rsidRPr="00FD5C9F">
        <w:rPr>
          <w:rStyle w:val="da"/>
          <w:rFonts w:asciiTheme="minorEastAsia" w:eastAsiaTheme="minorEastAsia" w:hAnsiTheme="minorEastAsia"/>
          <w:color w:val="000000" w:themeColor="text1"/>
        </w:rPr>
        <w:t>FCFF</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FCFE</w:t>
      </w:r>
      <w:r w:rsidRPr="00FD5C9F">
        <w:rPr>
          <w:rStyle w:val="da"/>
          <w:rFonts w:asciiTheme="minorEastAsia" w:eastAsiaTheme="minorEastAsia" w:hAnsiTheme="minorEastAsia" w:hint="eastAsia"/>
          <w:color w:val="000000" w:themeColor="text1"/>
        </w:rPr>
        <w:t>）或股利贴现模型（</w:t>
      </w:r>
      <w:r w:rsidRPr="00FD5C9F">
        <w:rPr>
          <w:rStyle w:val="da"/>
          <w:rFonts w:asciiTheme="minorEastAsia" w:eastAsiaTheme="minorEastAsia" w:hAnsiTheme="minorEastAsia"/>
          <w:color w:val="000000" w:themeColor="text1"/>
        </w:rPr>
        <w:t>DDM</w:t>
      </w:r>
      <w:r w:rsidRPr="00FD5C9F">
        <w:rPr>
          <w:rStyle w:val="da"/>
          <w:rFonts w:asciiTheme="minorEastAsia" w:eastAsiaTheme="minorEastAsia" w:hAnsiTheme="minorEastAsia" w:hint="eastAsia"/>
          <w:color w:val="000000" w:themeColor="text1"/>
        </w:rPr>
        <w:t>）等。</w:t>
      </w:r>
      <w:r w:rsidRPr="00FD5C9F">
        <w:rPr>
          <w:rStyle w:val="da"/>
          <w:rFonts w:asciiTheme="minorEastAsia" w:eastAsiaTheme="minorEastAsia" w:hAnsiTheme="minorEastAsia"/>
          <w:color w:val="000000" w:themeColor="text1"/>
        </w:rPr>
        <w:t xml:space="preserve"> </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5</w:t>
      </w:r>
      <w:r w:rsidRPr="00FD5C9F">
        <w:rPr>
          <w:rStyle w:val="da"/>
          <w:rFonts w:asciiTheme="minorEastAsia" w:eastAsiaTheme="minorEastAsia" w:hAnsiTheme="minorEastAsia"/>
          <w:color w:val="000000" w:themeColor="text1"/>
        </w:rPr>
        <w:t xml:space="preserve">）股票投资组合的构建与调整 </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在以上分析的基础上，本基金将进行股票投资组合的构建。当行业、公司的基本面、股票的估值水平出现较大变化时，本基</w:t>
      </w:r>
      <w:r w:rsidRPr="00FD5C9F">
        <w:rPr>
          <w:rStyle w:val="da"/>
          <w:rFonts w:asciiTheme="minorEastAsia" w:eastAsiaTheme="minorEastAsia" w:hAnsiTheme="minorEastAsia"/>
          <w:color w:val="000000" w:themeColor="text1"/>
        </w:rPr>
        <w:t xml:space="preserve">金将对股票组合适时进行调整。 </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本基金可根据投资策略需要或不同配置地市场环境的变化，选择将部分基金资产投资于港股或选择不将基金资产投资于港股，基金资产并非必然投资港股。</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4、存托凭证投资策略</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本基金可投资存托凭证，本基金将结合对宏观经济状况、行业景气度、公司竞争优势、公司治理结构、估值水平等因素的分析判断，选择投资价值高的存托凭证进行投资。</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5、债券投资策略</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权重。</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在券种选择上，本基金以长期利率趋势分析为基础，结合经济变化趋势、货币政策及不同债券品种的收益率水平、流动性和信用风险等因素，实施积极主动的债券投资管理。</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随着国内债券市场的深入发展和结构性变迁，更多债券新品种和交易形式将增加债券投资盈利模式，本基金将密切跟踪市场动态变化，选择合适的介入机会，谋求高于市场平均水平的投资回报。</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6、资产支持证券投资策略</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本基金可在综合考虑预期收益率、信用风险、流动性等因素的基础上，选择投资价值较高的资产支持证券进行投资。</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7、衍生产品投资策略</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可投资股指期货、国债期货、股票期权。若本基金投资股指期货、国债期货、股票期权，将根据风险管理的原则，主要选择流动性好、交易活跃的股指期货、国债期货、股票期权合约进行交易，以对冲投资组合的风险、有效管理现金流量或降低建仓或调仓过程中的冲击成本等。</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8、融资策略</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为了更好地实现投资目标，在综合考虑预期风险、收益、流动性等因素的基础上，本基金可参与融资业务。</w:t>
      </w:r>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090469">
        <w:rPr>
          <w:rStyle w:val="da"/>
          <w:rFonts w:asciiTheme="minorEastAsia" w:eastAsiaTheme="minorEastAsia" w:hAnsiTheme="minorEastAsia" w:hint="eastAsia"/>
          <w:color w:val="000000" w:themeColor="text1"/>
        </w:rPr>
        <w:t>四</w:t>
      </w:r>
      <w:r w:rsidRPr="00FD5C9F">
        <w:rPr>
          <w:rStyle w:val="da"/>
          <w:rFonts w:asciiTheme="minorEastAsia" w:eastAsiaTheme="minorEastAsia" w:hAnsiTheme="minorEastAsia" w:hint="eastAsia"/>
          <w:color w:val="000000" w:themeColor="text1"/>
        </w:rPr>
        <w:t>）业绩比较基准</w:t>
      </w:r>
      <w:bookmarkEnd w:id="68"/>
      <w:r w:rsidRPr="00FD5C9F">
        <w:rPr>
          <w:rStyle w:val="da"/>
          <w:rFonts w:asciiTheme="minorEastAsia" w:eastAsiaTheme="minorEastAsia" w:hAnsiTheme="minorEastAsia" w:hint="eastAsia"/>
          <w:color w:val="000000" w:themeColor="text1"/>
        </w:rPr>
        <w:t xml:space="preserve"> </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bookmarkStart w:id="70" w:name="_Toc332373531"/>
      <w:bookmarkEnd w:id="69"/>
      <w:r w:rsidRPr="00FD5C9F">
        <w:rPr>
          <w:rStyle w:val="da"/>
          <w:rFonts w:asciiTheme="minorEastAsia" w:eastAsiaTheme="minorEastAsia" w:hAnsiTheme="minorEastAsia" w:hint="eastAsia"/>
          <w:color w:val="000000" w:themeColor="text1"/>
        </w:rPr>
        <w:t>中证</w:t>
      </w:r>
      <w:r w:rsidRPr="00FD5C9F">
        <w:rPr>
          <w:rStyle w:val="da"/>
          <w:rFonts w:asciiTheme="minorEastAsia" w:eastAsiaTheme="minorEastAsia" w:hAnsiTheme="minorEastAsia"/>
          <w:color w:val="000000" w:themeColor="text1"/>
        </w:rPr>
        <w:t>500</w:t>
      </w:r>
      <w:r w:rsidRPr="00FD5C9F">
        <w:rPr>
          <w:rStyle w:val="da"/>
          <w:rFonts w:asciiTheme="minorEastAsia" w:eastAsiaTheme="minorEastAsia" w:hAnsiTheme="minorEastAsia" w:hint="eastAsia"/>
          <w:color w:val="000000" w:themeColor="text1"/>
        </w:rPr>
        <w:t>指数收益率×</w:t>
      </w:r>
      <w:r w:rsidRPr="00FD5C9F">
        <w:rPr>
          <w:rStyle w:val="da"/>
          <w:rFonts w:asciiTheme="minorEastAsia" w:eastAsiaTheme="minorEastAsia" w:hAnsiTheme="minorEastAsia"/>
          <w:color w:val="000000" w:themeColor="text1"/>
        </w:rPr>
        <w:t>65%+</w:t>
      </w:r>
      <w:r w:rsidRPr="00FD5C9F">
        <w:rPr>
          <w:rStyle w:val="da"/>
          <w:rFonts w:asciiTheme="minorEastAsia" w:eastAsiaTheme="minorEastAsia" w:hAnsiTheme="minorEastAsia" w:hint="eastAsia"/>
          <w:color w:val="000000" w:themeColor="text1"/>
        </w:rPr>
        <w:t>中证港股通综合指数收益率×</w:t>
      </w:r>
      <w:r w:rsidRPr="00FD5C9F">
        <w:rPr>
          <w:rStyle w:val="da"/>
          <w:rFonts w:asciiTheme="minorEastAsia" w:eastAsiaTheme="minorEastAsia" w:hAnsiTheme="minorEastAsia"/>
          <w:color w:val="000000" w:themeColor="text1"/>
        </w:rPr>
        <w:t>20%+</w:t>
      </w:r>
      <w:r w:rsidRPr="00FD5C9F">
        <w:rPr>
          <w:rStyle w:val="da"/>
          <w:rFonts w:asciiTheme="minorEastAsia" w:eastAsiaTheme="minorEastAsia" w:hAnsiTheme="minorEastAsia" w:hint="eastAsia"/>
          <w:color w:val="000000" w:themeColor="text1"/>
        </w:rPr>
        <w:t>中债总指数收益率×</w:t>
      </w:r>
      <w:r w:rsidRPr="00FD5C9F">
        <w:rPr>
          <w:rStyle w:val="da"/>
          <w:rFonts w:asciiTheme="minorEastAsia" w:eastAsiaTheme="minorEastAsia" w:hAnsiTheme="minorEastAsia"/>
          <w:color w:val="000000" w:themeColor="text1"/>
        </w:rPr>
        <w:t>15%</w:t>
      </w:r>
    </w:p>
    <w:p w:rsidR="00280419" w:rsidRPr="00FD5C9F" w:rsidP="00280419">
      <w:pPr>
        <w:spacing w:line="360" w:lineRule="auto"/>
        <w:ind w:firstLine="420" w:firstLineChars="200"/>
        <w:rPr>
          <w:rFonts w:asciiTheme="minorEastAsia" w:eastAsiaTheme="minorEastAsia" w:hAnsiTheme="minorEastAsia"/>
          <w:bCs/>
          <w:iCs/>
          <w:color w:val="000000" w:themeColor="text1"/>
        </w:rPr>
      </w:pPr>
      <w:r w:rsidRPr="00FD5C9F">
        <w:rPr>
          <w:rFonts w:asciiTheme="minorEastAsia" w:eastAsiaTheme="minorEastAsia" w:hAnsiTheme="minorEastAsia" w:hint="eastAsia"/>
          <w:bCs/>
          <w:iCs/>
          <w:color w:val="000000" w:themeColor="text1"/>
        </w:rPr>
        <w:t>本基金选定被市场广泛认同的中证500指数、中证港股通综合指数作为股票部分的业绩比较基准，中债总指数作为固定收益部分的业绩比较基准。选择本基准的原因为：1、根据本基金的资产配置策略，股票和固定收益部分各选择一个具有市场代表性的指数作为基准，并按照预期大类资产配置的情况，设定业绩比较基准的权重。2、在股票部分基准的选择方面，本基金在市场已有的股票指数中选择了具备市场代表性的中证500指数作为内地股票部分的基准，由于本基金股票投资范围既包括内地依法发行上市的股票，也包括港股通股票，因此本基金选择了中证港股通综合指数作为港股部分的基准。3、本基金固定收益部分选择具有市场代表性的中债总指数作为基准。</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无须召开基金份额持有人大会审议。</w:t>
      </w:r>
    </w:p>
    <w:p w:rsidR="00BA4B87" w:rsidRPr="00FD5C9F" w:rsidP="0063658B">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090469">
        <w:rPr>
          <w:rStyle w:val="da"/>
          <w:rFonts w:asciiTheme="minorEastAsia" w:eastAsiaTheme="minorEastAsia" w:hAnsiTheme="minorEastAsia" w:hint="eastAsia"/>
          <w:color w:val="000000" w:themeColor="text1"/>
        </w:rPr>
        <w:t>五</w:t>
      </w:r>
      <w:r w:rsidRPr="00FD5C9F">
        <w:rPr>
          <w:rStyle w:val="da"/>
          <w:rFonts w:asciiTheme="minorEastAsia" w:eastAsiaTheme="minorEastAsia" w:hAnsiTheme="minorEastAsia" w:hint="eastAsia"/>
          <w:color w:val="000000" w:themeColor="text1"/>
        </w:rPr>
        <w:t>）风险收益特征</w:t>
      </w:r>
      <w:bookmarkEnd w:id="70"/>
    </w:p>
    <w:p w:rsidR="007A3110" w:rsidRPr="00FD5C9F" w:rsidP="00646375">
      <w:pPr>
        <w:spacing w:line="360" w:lineRule="auto"/>
        <w:ind w:firstLine="420" w:firstLineChars="200"/>
        <w:rPr>
          <w:rStyle w:val="da"/>
          <w:rFonts w:asciiTheme="minorEastAsia" w:eastAsiaTheme="minorEastAsia" w:hAnsiTheme="minorEastAsia"/>
          <w:color w:val="000000" w:themeColor="text1"/>
        </w:rPr>
      </w:pPr>
      <w:bookmarkStart w:id="71" w:name="_Toc332373533"/>
      <w:r w:rsidRPr="00FD5C9F">
        <w:rPr>
          <w:rStyle w:val="da"/>
          <w:rFonts w:asciiTheme="minorEastAsia" w:eastAsiaTheme="minorEastAsia" w:hAnsiTheme="minorEastAsia" w:hint="eastAsia"/>
          <w:color w:val="000000" w:themeColor="text1"/>
        </w:rPr>
        <w:t>本基金为混合基金，理论上其预期风险与预期收益水平低于股票基金，高于债券基金和货币市场基金。</w:t>
      </w:r>
    </w:p>
    <w:p w:rsidR="007A3110" w:rsidRPr="00FD5C9F" w:rsidP="00646375">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本基金通过内地与香港股票市场交易互联互通机制投资的风险详见招募说明书。</w:t>
      </w:r>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0008BD">
        <w:rPr>
          <w:rStyle w:val="da"/>
          <w:rFonts w:asciiTheme="minorEastAsia" w:eastAsiaTheme="minorEastAsia" w:hAnsiTheme="minorEastAsia" w:hint="eastAsia"/>
          <w:color w:val="000000" w:themeColor="text1"/>
        </w:rPr>
        <w:t>六</w:t>
      </w:r>
      <w:r w:rsidRPr="00FD5C9F" w:rsidR="002E1C38">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hint="eastAsia"/>
          <w:color w:val="000000" w:themeColor="text1"/>
        </w:rPr>
        <w:t>投资禁止行为与限制</w:t>
      </w:r>
    </w:p>
    <w:bookmarkEnd w:id="71"/>
    <w:p w:rsidR="00BA4B87"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1、禁止行为</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为维护基金份额持有人的合法权益，基金财产不得用于下列投资或者活动：</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）承销证券；</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）违反规定向他人贷款或者提供担保；</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3</w:t>
      </w:r>
      <w:r w:rsidRPr="00FD5C9F">
        <w:rPr>
          <w:rStyle w:val="da"/>
          <w:rFonts w:asciiTheme="minorEastAsia" w:eastAsiaTheme="minorEastAsia" w:hAnsiTheme="minorEastAsia" w:hint="eastAsia"/>
          <w:color w:val="000000" w:themeColor="text1"/>
        </w:rPr>
        <w:t>）从事承担无限责任的投资；</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4</w:t>
      </w:r>
      <w:r w:rsidRPr="00FD5C9F">
        <w:rPr>
          <w:rStyle w:val="da"/>
          <w:rFonts w:asciiTheme="minorEastAsia" w:eastAsiaTheme="minorEastAsia" w:hAnsiTheme="minorEastAsia" w:hint="eastAsia"/>
          <w:color w:val="000000" w:themeColor="text1"/>
        </w:rPr>
        <w:t>）向其基金管理人、基金托管人出资；</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5</w:t>
      </w:r>
      <w:r w:rsidRPr="00FD5C9F">
        <w:rPr>
          <w:rStyle w:val="da"/>
          <w:rFonts w:asciiTheme="minorEastAsia" w:eastAsiaTheme="minorEastAsia" w:hAnsiTheme="minorEastAsia" w:hint="eastAsia"/>
          <w:color w:val="000000" w:themeColor="text1"/>
        </w:rPr>
        <w:t>）从事内幕交易、操纵证券交易价格及其他不正当的证券交易活动；</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6</w:t>
      </w:r>
      <w:r w:rsidRPr="00FD5C9F">
        <w:rPr>
          <w:rStyle w:val="da"/>
          <w:rFonts w:asciiTheme="minorEastAsia" w:eastAsiaTheme="minorEastAsia" w:hAnsiTheme="minorEastAsia" w:hint="eastAsia"/>
          <w:color w:val="000000" w:themeColor="text1"/>
        </w:rPr>
        <w:t>）法律、行政法规和中国证监会规定禁止的其他活动。</w:t>
      </w:r>
    </w:p>
    <w:p w:rsidR="00BA4B87" w:rsidRPr="00FD5C9F" w:rsidP="00F55EBC">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2、投资组合限制</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bookmarkStart w:id="72" w:name="_Toc332373535"/>
      <w:r w:rsidRPr="00FD5C9F">
        <w:rPr>
          <w:rStyle w:val="da"/>
          <w:rFonts w:asciiTheme="minorEastAsia" w:eastAsiaTheme="minorEastAsia" w:hAnsiTheme="minorEastAsia"/>
          <w:color w:val="000000" w:themeColor="text1"/>
        </w:rPr>
        <w:t>基金的投资组合应遵循以下限制：</w:t>
      </w:r>
    </w:p>
    <w:p w:rsidR="00385274" w:rsidRPr="00FD5C9F" w:rsidP="00385274">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w:t>
      </w:r>
      <w:r w:rsidRPr="00FD5C9F">
        <w:rPr>
          <w:rStyle w:val="da"/>
          <w:rFonts w:asciiTheme="minorEastAsia" w:eastAsiaTheme="minorEastAsia" w:hAnsiTheme="minorEastAsia" w:hint="eastAsia"/>
          <w:color w:val="000000" w:themeColor="text1"/>
        </w:rPr>
        <w:t>）本基金股票资产占基金资产的比例为</w:t>
      </w:r>
      <w:r w:rsidRPr="00FD5C9F">
        <w:rPr>
          <w:rStyle w:val="da"/>
          <w:rFonts w:asciiTheme="minorEastAsia" w:eastAsiaTheme="minorEastAsia" w:hAnsiTheme="minorEastAsia"/>
          <w:color w:val="000000" w:themeColor="text1"/>
        </w:rPr>
        <w:t>6</w:t>
      </w:r>
      <w:r w:rsidRPr="00FD5C9F">
        <w:rPr>
          <w:rStyle w:val="da"/>
          <w:rFonts w:asciiTheme="minorEastAsia" w:eastAsiaTheme="minorEastAsia" w:hAnsiTheme="minorEastAsia" w:hint="eastAsia"/>
          <w:color w:val="000000" w:themeColor="text1"/>
        </w:rPr>
        <w:t>0%-95%（其中港股通股票不超过股票资产的50%）；本基金非现金资产中不低于</w:t>
      </w:r>
      <w:r w:rsidRPr="00FD5C9F">
        <w:rPr>
          <w:rStyle w:val="da"/>
          <w:rFonts w:asciiTheme="minorEastAsia" w:eastAsiaTheme="minorEastAsia" w:hAnsiTheme="minorEastAsia"/>
          <w:color w:val="000000" w:themeColor="text1"/>
        </w:rPr>
        <w:t>80%</w:t>
      </w:r>
      <w:r w:rsidRPr="00FD5C9F">
        <w:rPr>
          <w:rStyle w:val="da"/>
          <w:rFonts w:asciiTheme="minorEastAsia" w:eastAsiaTheme="minorEastAsia" w:hAnsiTheme="minorEastAsia" w:hint="eastAsia"/>
          <w:color w:val="000000" w:themeColor="text1"/>
        </w:rPr>
        <w:t>的资产将投资于创新成长主题相关公司。</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2）</w:t>
      </w:r>
      <w:r w:rsidRPr="00FD5C9F">
        <w:rPr>
          <w:rStyle w:val="da"/>
          <w:rFonts w:asciiTheme="minorEastAsia" w:eastAsiaTheme="minorEastAsia" w:hAnsiTheme="minorEastAsia" w:hint="eastAsia"/>
          <w:color w:val="000000" w:themeColor="text1"/>
        </w:rPr>
        <w:t>每个交易日日终，扣除股指期货、国债期货、</w:t>
      </w:r>
      <w:r w:rsidRPr="00FD5C9F">
        <w:rPr>
          <w:rStyle w:val="da"/>
          <w:rFonts w:asciiTheme="minorEastAsia" w:eastAsiaTheme="minorEastAsia" w:hAnsiTheme="minorEastAsia"/>
          <w:color w:val="000000" w:themeColor="text1"/>
        </w:rPr>
        <w:t>股票期权</w:t>
      </w:r>
      <w:r w:rsidRPr="00FD5C9F">
        <w:rPr>
          <w:rStyle w:val="da"/>
          <w:rFonts w:asciiTheme="minorEastAsia" w:eastAsiaTheme="minorEastAsia" w:hAnsiTheme="minorEastAsia" w:hint="eastAsia"/>
          <w:color w:val="000000" w:themeColor="text1"/>
        </w:rPr>
        <w:t>合约需缴纳的交易保证金后，保持不低于基金资产净值</w:t>
      </w:r>
      <w:r w:rsidRPr="00FD5C9F">
        <w:rPr>
          <w:rStyle w:val="da"/>
          <w:rFonts w:asciiTheme="minorEastAsia" w:eastAsiaTheme="minorEastAsia" w:hAnsiTheme="minorEastAsia"/>
          <w:color w:val="000000" w:themeColor="text1"/>
        </w:rPr>
        <w:t>5</w:t>
      </w:r>
      <w:r w:rsidRPr="00FD5C9F">
        <w:rPr>
          <w:rStyle w:val="da"/>
          <w:rFonts w:asciiTheme="minorEastAsia" w:eastAsiaTheme="minorEastAsia" w:hAnsiTheme="minorEastAsia" w:hint="eastAsia"/>
          <w:color w:val="000000" w:themeColor="text1"/>
        </w:rPr>
        <w:t>％的现金或者到期日在一年以内的政府债券，其中现金不包括结算备付金、存出保证金和应收申购款等；</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3</w:t>
      </w:r>
      <w:r w:rsidRPr="00FD5C9F">
        <w:rPr>
          <w:rStyle w:val="da"/>
          <w:rFonts w:asciiTheme="minorEastAsia" w:eastAsiaTheme="minorEastAsia" w:hAnsiTheme="minorEastAsia"/>
          <w:color w:val="000000" w:themeColor="text1"/>
        </w:rPr>
        <w:t>）本基金持有一家公司</w:t>
      </w:r>
      <w:r w:rsidRPr="00FD5C9F">
        <w:rPr>
          <w:rStyle w:val="da"/>
          <w:rFonts w:asciiTheme="minorEastAsia" w:eastAsiaTheme="minorEastAsia" w:hAnsiTheme="minorEastAsia" w:hint="eastAsia"/>
          <w:color w:val="000000" w:themeColor="text1"/>
        </w:rPr>
        <w:t>发行</w:t>
      </w:r>
      <w:r w:rsidRPr="00FD5C9F">
        <w:rPr>
          <w:rStyle w:val="da"/>
          <w:rFonts w:asciiTheme="minorEastAsia" w:eastAsiaTheme="minorEastAsia" w:hAnsiTheme="minorEastAsia"/>
          <w:color w:val="000000" w:themeColor="text1"/>
        </w:rPr>
        <w:t>的</w:t>
      </w:r>
      <w:r w:rsidRPr="00FD5C9F">
        <w:rPr>
          <w:rStyle w:val="da"/>
          <w:rFonts w:asciiTheme="minorEastAsia" w:eastAsiaTheme="minorEastAsia" w:hAnsiTheme="minorEastAsia" w:hint="eastAsia"/>
          <w:color w:val="000000" w:themeColor="text1"/>
        </w:rPr>
        <w:t>证券（</w:t>
      </w:r>
      <w:r w:rsidRPr="00FD5C9F">
        <w:rPr>
          <w:rStyle w:val="da"/>
          <w:rFonts w:asciiTheme="minorEastAsia" w:eastAsiaTheme="minorEastAsia" w:hAnsiTheme="minorEastAsia"/>
          <w:color w:val="000000" w:themeColor="text1"/>
        </w:rPr>
        <w:t>同一家公司在境内和香港同时上市的A+H股合计计算</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，其市值不超过基金资产净值的10％；</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4</w:t>
      </w:r>
      <w:r w:rsidRPr="00FD5C9F">
        <w:rPr>
          <w:rStyle w:val="da"/>
          <w:rFonts w:asciiTheme="minorEastAsia" w:eastAsiaTheme="minorEastAsia" w:hAnsiTheme="minorEastAsia"/>
          <w:color w:val="000000" w:themeColor="text1"/>
        </w:rPr>
        <w:t>）本基金管理人管理的全部基金持有一家公司发行的证券</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同一家公司在境内和香港同时上市的A+H股合计计算</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，不超过该证券的10％</w:t>
      </w:r>
      <w:r w:rsidRPr="00FD5C9F">
        <w:rPr>
          <w:rStyle w:val="da"/>
          <w:rFonts w:asciiTheme="minorEastAsia" w:eastAsiaTheme="minorEastAsia" w:hAnsiTheme="minorEastAsia" w:hint="eastAsia"/>
          <w:color w:val="000000" w:themeColor="text1"/>
        </w:rPr>
        <w:t>，完全按照有关指数的构成比例进行证券投资的基金品种可以不受此条款规定的比例限制</w:t>
      </w:r>
      <w:r w:rsidRPr="00FD5C9F">
        <w:rPr>
          <w:rStyle w:val="da"/>
          <w:rFonts w:asciiTheme="minorEastAsia" w:eastAsiaTheme="minorEastAsia" w:hAnsiTheme="minorEastAsia"/>
          <w:color w:val="000000" w:themeColor="text1"/>
        </w:rPr>
        <w:t>；</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5</w:t>
      </w:r>
      <w:r w:rsidRPr="00FD5C9F">
        <w:rPr>
          <w:rStyle w:val="da"/>
          <w:rFonts w:asciiTheme="minorEastAsia" w:eastAsiaTheme="minorEastAsia" w:hAnsiTheme="minorEastAsia"/>
          <w:color w:val="000000" w:themeColor="text1"/>
        </w:rPr>
        <w:t>）本基金投资于同一原始权益人的各类资产支持证券的比例，不得超过基金资产净值的10％；</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（6）本基金持有的全部资产支持证券，其市值不得超过基金资产净值的20％；</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（7）本基金持有的同一(指同一信用级别)资产支持证券的比例，不得超过该资产支持证券规模的10％；</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（8）本基金管理人管理的全部基金投资于同一原始权益人的各类资产支持证券，不得超过其各类资产支持证券合计规模的10％；</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（9）本基金应投资于信用级别评级为BBB以上(含BBB)的资产支持证券。基金持有资产支持证券期间，如果其信用等级下降、不再符合投资标准，应在评级报告发布之日起3个月内予以全部卖出；</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（10）基金财产参与股票发行申购，本基金所申报的金额不超过本基金的总资产，本基金所申报的股票数量不超过拟发行股票公司本次发行股票的总量；</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（11）本基金进入全国银行间同业市场进行债券回购的资金余额不得超过基金资产净值的40%</w:t>
      </w:r>
      <w:r w:rsidRPr="00FD5C9F">
        <w:rPr>
          <w:rStyle w:val="da"/>
          <w:rFonts w:asciiTheme="minorEastAsia" w:eastAsiaTheme="minorEastAsia" w:hAnsiTheme="minorEastAsia" w:hint="eastAsia"/>
          <w:color w:val="000000" w:themeColor="text1"/>
        </w:rPr>
        <w:t>，进入全国银行间同业市场进行债券回购的最长期限为1年，债券回购到期后不得展期</w:t>
      </w:r>
      <w:r w:rsidRPr="00FD5C9F">
        <w:rPr>
          <w:rStyle w:val="da"/>
          <w:rFonts w:asciiTheme="minorEastAsia" w:eastAsiaTheme="minorEastAsia" w:hAnsiTheme="minorEastAsia"/>
          <w:color w:val="000000" w:themeColor="text1"/>
        </w:rPr>
        <w:t>；</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（12）本基金</w:t>
      </w:r>
      <w:r w:rsidRPr="00FD5C9F">
        <w:rPr>
          <w:rStyle w:val="da"/>
          <w:rFonts w:asciiTheme="minorEastAsia" w:eastAsiaTheme="minorEastAsia" w:hAnsiTheme="minorEastAsia" w:hint="eastAsia"/>
          <w:color w:val="000000" w:themeColor="text1"/>
        </w:rPr>
        <w:t>管理人管理的全部开放式基金持有一家上市公司发行的可流通股票，不得超过该上市公司可流通股票的15%</w:t>
      </w: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（14）本基金与私募类证券资管产品及中国证监会认定的其他主体为交易对手开展逆回购交易的，可接受质押品的资质要求应当与</w:t>
      </w:r>
      <w:r w:rsidRPr="00FD5C9F" w:rsidR="00C84047">
        <w:rPr>
          <w:rStyle w:val="da"/>
          <w:rFonts w:asciiTheme="minorEastAsia" w:eastAsiaTheme="minorEastAsia" w:hAnsiTheme="minorEastAsia"/>
          <w:color w:val="000000" w:themeColor="text1"/>
        </w:rPr>
        <w:t>基金合同</w:t>
      </w:r>
      <w:r w:rsidRPr="00FD5C9F">
        <w:rPr>
          <w:rStyle w:val="da"/>
          <w:rFonts w:asciiTheme="minorEastAsia" w:eastAsiaTheme="minorEastAsia" w:hAnsiTheme="minorEastAsia"/>
          <w:color w:val="000000" w:themeColor="text1"/>
        </w:rPr>
        <w:t>约定的投资范围保持一致；</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（15）本基金资产总值不超过基金资产净值的140%；</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16</w:t>
      </w:r>
      <w:r w:rsidRPr="00FD5C9F">
        <w:rPr>
          <w:rStyle w:val="da"/>
          <w:rFonts w:asciiTheme="minorEastAsia" w:eastAsiaTheme="minorEastAsia" w:hAnsiTheme="minorEastAsia" w:hint="eastAsia"/>
          <w:color w:val="000000" w:themeColor="text1"/>
        </w:rPr>
        <w:t>）本</w:t>
      </w:r>
      <w:r w:rsidRPr="00FD5C9F">
        <w:rPr>
          <w:rStyle w:val="da"/>
          <w:rFonts w:asciiTheme="minorEastAsia" w:eastAsiaTheme="minorEastAsia" w:hAnsiTheme="minorEastAsia"/>
          <w:color w:val="000000" w:themeColor="text1"/>
        </w:rPr>
        <w:t>基金参与股指期货交易</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应当遵守下列要求</w:t>
      </w:r>
      <w:r w:rsidRPr="00FD5C9F">
        <w:rPr>
          <w:rStyle w:val="da"/>
          <w:rFonts w:asciiTheme="minorEastAsia" w:eastAsiaTheme="minorEastAsia" w:hAnsiTheme="minorEastAsia" w:hint="eastAsia"/>
          <w:color w:val="000000" w:themeColor="text1"/>
        </w:rPr>
        <w:t>：本基金在任何交易日日终，持有的买入股指期货合约价值不得超过基金资产净值的</w:t>
      </w:r>
      <w:r w:rsidRPr="00FD5C9F">
        <w:rPr>
          <w:rStyle w:val="da"/>
          <w:rFonts w:asciiTheme="minorEastAsia" w:eastAsiaTheme="minorEastAsia" w:hAnsiTheme="minorEastAsia"/>
          <w:color w:val="000000" w:themeColor="text1"/>
        </w:rPr>
        <w:t>10%</w:t>
      </w:r>
      <w:r w:rsidRPr="00FD5C9F">
        <w:rPr>
          <w:rStyle w:val="da"/>
          <w:rFonts w:asciiTheme="minorEastAsia" w:eastAsiaTheme="minorEastAsia" w:hAnsiTheme="minorEastAsia" w:hint="eastAsia"/>
          <w:color w:val="000000" w:themeColor="text1"/>
        </w:rPr>
        <w:t>；在任何交易日日终，持有的买入国债期货和股指期货合约价值与有价证券市值之和，不得超过基金资产净值的</w:t>
      </w:r>
      <w:r w:rsidRPr="00FD5C9F">
        <w:rPr>
          <w:rStyle w:val="da"/>
          <w:rFonts w:asciiTheme="minorEastAsia" w:eastAsiaTheme="minorEastAsia" w:hAnsiTheme="minorEastAsia"/>
          <w:color w:val="000000" w:themeColor="text1"/>
        </w:rPr>
        <w:t>95%</w:t>
      </w:r>
      <w:r w:rsidRPr="00FD5C9F">
        <w:rPr>
          <w:rStyle w:val="da"/>
          <w:rFonts w:asciiTheme="minorEastAsia" w:eastAsiaTheme="minorEastAsia" w:hAnsiTheme="minorEastAsia" w:hint="eastAsia"/>
          <w:color w:val="000000" w:themeColor="text1"/>
        </w:rPr>
        <w:t>，其中，有价证券指股票、债券（不含到期日在一年以内的政府债券）、资产支持证券、买入返售金融资产（不含质押式回购）等；在任何交易日终，持有的卖出股指期货合约价值不得超过基金持有的股票总市值的</w:t>
      </w:r>
      <w:r w:rsidRPr="00FD5C9F">
        <w:rPr>
          <w:rStyle w:val="da"/>
          <w:rFonts w:asciiTheme="minorEastAsia" w:eastAsiaTheme="minorEastAsia" w:hAnsiTheme="minorEastAsia"/>
          <w:color w:val="000000" w:themeColor="text1"/>
        </w:rPr>
        <w:t>20%</w:t>
      </w:r>
      <w:r w:rsidRPr="00FD5C9F">
        <w:rPr>
          <w:rStyle w:val="da"/>
          <w:rFonts w:asciiTheme="minorEastAsia" w:eastAsiaTheme="minorEastAsia" w:hAnsiTheme="minorEastAsia" w:hint="eastAsia"/>
          <w:color w:val="000000" w:themeColor="text1"/>
        </w:rPr>
        <w:t>；本基金所持有的股票市值和买入、卖出股指期货合约价值，合计（轧差计算）</w:t>
      </w:r>
      <w:r w:rsidRPr="00FD5C9F">
        <w:rPr>
          <w:rStyle w:val="da"/>
          <w:rFonts w:asciiTheme="minorEastAsia" w:eastAsiaTheme="minorEastAsia" w:hAnsiTheme="minorEastAsia"/>
          <w:color w:val="000000" w:themeColor="text1"/>
        </w:rPr>
        <w:t>应当符合基金合同关于股票投资比例的有关约定</w:t>
      </w:r>
      <w:r w:rsidRPr="00FD5C9F">
        <w:rPr>
          <w:rStyle w:val="da"/>
          <w:rFonts w:asciiTheme="minorEastAsia" w:eastAsiaTheme="minorEastAsia" w:hAnsiTheme="minorEastAsia" w:hint="eastAsia"/>
          <w:color w:val="000000" w:themeColor="text1"/>
        </w:rPr>
        <w:t>；在任何交易日内交易</w:t>
      </w: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不包括平仓</w:t>
      </w:r>
      <w:r w:rsidRPr="00FD5C9F">
        <w:rPr>
          <w:rStyle w:val="da"/>
          <w:rFonts w:asciiTheme="minorEastAsia" w:eastAsiaTheme="minorEastAsia" w:hAnsiTheme="minorEastAsia"/>
          <w:color w:val="000000" w:themeColor="text1"/>
        </w:rPr>
        <w:t>)</w:t>
      </w:r>
      <w:r w:rsidRPr="00FD5C9F">
        <w:rPr>
          <w:rStyle w:val="da"/>
          <w:rFonts w:asciiTheme="minorEastAsia" w:eastAsiaTheme="minorEastAsia" w:hAnsiTheme="minorEastAsia" w:hint="eastAsia"/>
          <w:color w:val="000000" w:themeColor="text1"/>
        </w:rPr>
        <w:t>的股指期货合约的成交金额不得超过上一交易日基金资产净值的</w:t>
      </w:r>
      <w:r w:rsidRPr="00FD5C9F">
        <w:rPr>
          <w:rStyle w:val="da"/>
          <w:rFonts w:asciiTheme="minorEastAsia" w:eastAsiaTheme="minorEastAsia" w:hAnsiTheme="minorEastAsia"/>
          <w:color w:val="000000" w:themeColor="text1"/>
        </w:rPr>
        <w:t>20%</w:t>
      </w:r>
      <w:r w:rsidRPr="00FD5C9F">
        <w:rPr>
          <w:rStyle w:val="da"/>
          <w:rFonts w:asciiTheme="minorEastAsia" w:eastAsiaTheme="minorEastAsia" w:hAnsiTheme="minorEastAsia" w:hint="eastAsia"/>
          <w:color w:val="000000" w:themeColor="text1"/>
        </w:rPr>
        <w:t>；</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17</w:t>
      </w:r>
      <w:r w:rsidRPr="00FD5C9F">
        <w:rPr>
          <w:rStyle w:val="da"/>
          <w:rFonts w:asciiTheme="minorEastAsia" w:eastAsiaTheme="minorEastAsia" w:hAnsiTheme="minorEastAsia" w:hint="eastAsia"/>
          <w:color w:val="000000" w:themeColor="text1"/>
        </w:rPr>
        <w:t>）本基金参与国债期货交易，应当遵守下列要求：在任何交易日日终，本基金持有的买入国债期货合约价值，不得超过基金资产净值的</w:t>
      </w:r>
      <w:r w:rsidRPr="00FD5C9F">
        <w:rPr>
          <w:rStyle w:val="da"/>
          <w:rFonts w:asciiTheme="minorEastAsia" w:eastAsiaTheme="minorEastAsia" w:hAnsiTheme="minorEastAsia"/>
          <w:color w:val="000000" w:themeColor="text1"/>
        </w:rPr>
        <w:t>15%</w:t>
      </w:r>
      <w:r w:rsidRPr="00FD5C9F">
        <w:rPr>
          <w:rStyle w:val="da"/>
          <w:rFonts w:asciiTheme="minorEastAsia" w:eastAsiaTheme="minorEastAsia" w:hAnsiTheme="minorEastAsia" w:hint="eastAsia"/>
          <w:color w:val="000000" w:themeColor="text1"/>
        </w:rPr>
        <w:t>；本基金在任何交易日日终，持有的卖出国债期货合约价值不得超过基金持有的债券总市值的</w:t>
      </w:r>
      <w:r w:rsidRPr="00FD5C9F">
        <w:rPr>
          <w:rStyle w:val="da"/>
          <w:rFonts w:asciiTheme="minorEastAsia" w:eastAsiaTheme="minorEastAsia" w:hAnsiTheme="minorEastAsia"/>
          <w:color w:val="000000" w:themeColor="text1"/>
        </w:rPr>
        <w:t>30%</w:t>
      </w:r>
      <w:r w:rsidRPr="00FD5C9F">
        <w:rPr>
          <w:rStyle w:val="da"/>
          <w:rFonts w:asciiTheme="minorEastAsia" w:eastAsiaTheme="minorEastAsia" w:hAnsiTheme="minorEastAsia" w:hint="eastAsia"/>
          <w:color w:val="000000" w:themeColor="text1"/>
        </w:rPr>
        <w:t>；本基金在任何交易日内交易（不包括平仓）的国债期货合约的成交金额不得超过上一交易日基金资产净值的</w:t>
      </w:r>
      <w:r w:rsidRPr="00FD5C9F">
        <w:rPr>
          <w:rStyle w:val="da"/>
          <w:rFonts w:asciiTheme="minorEastAsia" w:eastAsiaTheme="minorEastAsia" w:hAnsiTheme="minorEastAsia"/>
          <w:color w:val="000000" w:themeColor="text1"/>
        </w:rPr>
        <w:t>30%</w:t>
      </w:r>
      <w:r w:rsidRPr="00FD5C9F">
        <w:rPr>
          <w:rStyle w:val="da"/>
          <w:rFonts w:asciiTheme="minorEastAsia" w:eastAsiaTheme="minorEastAsia" w:hAnsiTheme="minorEastAsia" w:hint="eastAsia"/>
          <w:color w:val="000000" w:themeColor="text1"/>
        </w:rPr>
        <w:t>；本基金所持有的债券（不含到期日在一年以内的政府债券）市值和买入、卖出国债期货合约价值，合计（轧差计算）应当符合基金合同关于债券投资比例的有关约定；</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18</w:t>
      </w:r>
      <w:r w:rsidRPr="00FD5C9F">
        <w:rPr>
          <w:rStyle w:val="da"/>
          <w:rFonts w:asciiTheme="minorEastAsia" w:eastAsiaTheme="minorEastAsia" w:hAnsiTheme="minorEastAsia" w:hint="eastAsia"/>
          <w:color w:val="000000" w:themeColor="text1"/>
        </w:rPr>
        <w:t>）本基金参与股票期权交易的，应当符合下列要求：基金因未平仓的期权合约支付和收取的权利金总额不得超过基金资产净值的</w:t>
      </w:r>
      <w:r w:rsidRPr="00FD5C9F">
        <w:rPr>
          <w:rStyle w:val="da"/>
          <w:rFonts w:asciiTheme="minorEastAsia" w:eastAsiaTheme="minorEastAsia" w:hAnsiTheme="minorEastAsia"/>
          <w:color w:val="000000" w:themeColor="text1"/>
        </w:rPr>
        <w:t>10%</w:t>
      </w:r>
      <w:r w:rsidRPr="00FD5C9F">
        <w:rPr>
          <w:rStyle w:val="da"/>
          <w:rFonts w:asciiTheme="minorEastAsia" w:eastAsiaTheme="minorEastAsia" w:hAnsiTheme="minorEastAsia" w:hint="eastAsia"/>
          <w:color w:val="000000" w:themeColor="text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FD5C9F">
        <w:rPr>
          <w:rStyle w:val="da"/>
          <w:rFonts w:asciiTheme="minorEastAsia" w:eastAsiaTheme="minorEastAsia" w:hAnsiTheme="minorEastAsia"/>
          <w:color w:val="000000" w:themeColor="text1"/>
        </w:rPr>
        <w:t>20%</w:t>
      </w:r>
      <w:r w:rsidRPr="00FD5C9F">
        <w:rPr>
          <w:rStyle w:val="da"/>
          <w:rFonts w:asciiTheme="minorEastAsia" w:eastAsiaTheme="minorEastAsia" w:hAnsiTheme="minorEastAsia" w:hint="eastAsia"/>
          <w:color w:val="000000" w:themeColor="text1"/>
        </w:rPr>
        <w:t>。其中，合约面值按照行权价乘以合约乘数计算；</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19</w:t>
      </w:r>
      <w:r w:rsidRPr="00FD5C9F">
        <w:rPr>
          <w:rStyle w:val="da"/>
          <w:rFonts w:asciiTheme="minorEastAsia" w:eastAsiaTheme="minorEastAsia" w:hAnsiTheme="minorEastAsia" w:hint="eastAsia"/>
          <w:color w:val="000000" w:themeColor="text1"/>
        </w:rPr>
        <w:t>）基金参与融资业务后，在任何交易日日终，持有的融资买入股票与其他有价证券市值之和，不得超过基金资产净值的</w:t>
      </w:r>
      <w:r w:rsidRPr="00FD5C9F">
        <w:rPr>
          <w:rStyle w:val="da"/>
          <w:rFonts w:asciiTheme="minorEastAsia" w:eastAsiaTheme="minorEastAsia" w:hAnsiTheme="minorEastAsia"/>
          <w:color w:val="000000" w:themeColor="text1"/>
        </w:rPr>
        <w:t>95%</w:t>
      </w:r>
      <w:r w:rsidRPr="00FD5C9F">
        <w:rPr>
          <w:rStyle w:val="da"/>
          <w:rFonts w:asciiTheme="minorEastAsia" w:eastAsiaTheme="minorEastAsia" w:hAnsiTheme="minorEastAsia" w:hint="eastAsia"/>
          <w:color w:val="000000" w:themeColor="text1"/>
        </w:rPr>
        <w:t>；</w:t>
      </w:r>
    </w:p>
    <w:p w:rsidR="002D6B21"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（20）本基金投资存托凭证的比例限制依照境内上市交易的股票执行，与境内上市交易的股票合并计算；</w:t>
      </w:r>
    </w:p>
    <w:p w:rsidR="003E134B" w:rsidRPr="00FD5C9F" w:rsidP="002D6B2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（21）法律法规及中国证监会规定的和《基金合同》约定的其他投资限制。</w:t>
      </w:r>
    </w:p>
    <w:p w:rsidR="003E134B" w:rsidRPr="00FD5C9F" w:rsidP="001D7201">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除上述（2）、（9）、</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10</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（13）、（14）情形之外，因证券市场波动、上市公司合并、基金规模变动等基金管理人之外的因素致使基金投资比例不符合上述规定投资比例的，基金管理人应当在10个交易日内进行调整</w:t>
      </w:r>
      <w:r w:rsidRPr="00FD5C9F">
        <w:rPr>
          <w:rStyle w:val="da"/>
          <w:rFonts w:asciiTheme="minorEastAsia" w:eastAsiaTheme="minorEastAsia" w:hAnsiTheme="minorEastAsia" w:hint="eastAsia"/>
          <w:color w:val="000000" w:themeColor="text1"/>
        </w:rPr>
        <w:t>，</w:t>
      </w:r>
      <w:r w:rsidRPr="00FD5C9F">
        <w:rPr>
          <w:rStyle w:val="da"/>
          <w:rFonts w:asciiTheme="minorEastAsia" w:eastAsiaTheme="minorEastAsia" w:hAnsiTheme="minorEastAsia"/>
          <w:color w:val="000000" w:themeColor="text1"/>
        </w:rPr>
        <w:t>但中国证监会规定的特殊情形除外。</w:t>
      </w:r>
    </w:p>
    <w:p w:rsidR="003E134B" w:rsidRPr="00FD5C9F" w:rsidP="00EF30D3">
      <w:pPr>
        <w:spacing w:line="360" w:lineRule="auto"/>
        <w:ind w:firstLine="420" w:firstLineChars="200"/>
        <w:rPr>
          <w:rStyle w:val="da"/>
          <w:rFonts w:asciiTheme="minorEastAsia" w:eastAsiaTheme="minorEastAsia" w:hAnsiTheme="minorEastAsia"/>
          <w:color w:val="000000" w:themeColor="text1"/>
        </w:rPr>
      </w:pPr>
      <w:bookmarkStart w:id="73" w:name="OLE_LINK3"/>
      <w:r w:rsidRPr="00FD5C9F">
        <w:rPr>
          <w:rStyle w:val="da"/>
          <w:rFonts w:asciiTheme="minorEastAsia" w:eastAsiaTheme="minorEastAsia" w:hAnsiTheme="minorEastAsia" w:hint="eastAsia"/>
          <w:color w:val="000000" w:themeColor="text1"/>
        </w:rPr>
        <w:t>基金管理人应当自基金合同生效之日起</w:t>
      </w:r>
      <w:r w:rsidRPr="00FD5C9F">
        <w:rPr>
          <w:rStyle w:val="da"/>
          <w:rFonts w:asciiTheme="minorEastAsia" w:eastAsiaTheme="minorEastAsia" w:hAnsiTheme="minorEastAsia"/>
          <w:color w:val="000000" w:themeColor="text1"/>
        </w:rPr>
        <w:t>6</w:t>
      </w:r>
      <w:r w:rsidRPr="00FD5C9F">
        <w:rPr>
          <w:rStyle w:val="da"/>
          <w:rFonts w:asciiTheme="minorEastAsia" w:eastAsiaTheme="minorEastAsia" w:hAnsiTheme="minorEastAsia" w:hint="eastAsia"/>
          <w:color w:val="000000" w:themeColor="text1"/>
        </w:rPr>
        <w:t>个月内使基金的投资组合比例符合基金合同的有关约定。</w:t>
      </w:r>
      <w:r w:rsidRPr="00FD5C9F">
        <w:rPr>
          <w:rStyle w:val="da"/>
          <w:rFonts w:asciiTheme="minorEastAsia" w:eastAsiaTheme="minorEastAsia" w:hAnsiTheme="minorEastAsia"/>
          <w:color w:val="000000" w:themeColor="text1"/>
        </w:rPr>
        <w:t>在上述期间内，本基金的投资范围</w:t>
      </w:r>
      <w:r w:rsidRPr="00FD5C9F">
        <w:rPr>
          <w:rStyle w:val="da"/>
          <w:rFonts w:asciiTheme="minorEastAsia" w:eastAsiaTheme="minorEastAsia" w:hAnsiTheme="minorEastAsia" w:hint="eastAsia"/>
          <w:color w:val="000000" w:themeColor="text1"/>
        </w:rPr>
        <w:t>、投资策略应当符合基金合同的约定。基金托管人对基金的投资的监督与检查自</w:t>
      </w:r>
      <w:r w:rsidRPr="00FD5C9F" w:rsidR="00C84047">
        <w:rPr>
          <w:rStyle w:val="da"/>
          <w:rFonts w:asciiTheme="minorEastAsia" w:eastAsiaTheme="minorEastAsia" w:hAnsiTheme="minorEastAsia" w:hint="eastAsia"/>
          <w:color w:val="000000" w:themeColor="text1"/>
        </w:rPr>
        <w:t>基金合同</w:t>
      </w:r>
      <w:r w:rsidRPr="00FD5C9F">
        <w:rPr>
          <w:rStyle w:val="da"/>
          <w:rFonts w:asciiTheme="minorEastAsia" w:eastAsiaTheme="minorEastAsia" w:hAnsiTheme="minorEastAsia" w:hint="eastAsia"/>
          <w:color w:val="000000" w:themeColor="text1"/>
        </w:rPr>
        <w:t>生效之日起开始。</w:t>
      </w:r>
      <w:bookmarkEnd w:id="73"/>
    </w:p>
    <w:p w:rsidR="003E134B"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Pr="00FD5C9F">
        <w:rPr>
          <w:rStyle w:val="da"/>
          <w:rFonts w:asciiTheme="minorEastAsia" w:eastAsiaTheme="minorEastAsia" w:hAnsiTheme="minorEastAsia"/>
          <w:color w:val="000000" w:themeColor="text1"/>
        </w:rPr>
        <w:t>遵循基金份额持有人利益优先原则</w:t>
      </w:r>
      <w:r w:rsidRPr="00FD5C9F">
        <w:rPr>
          <w:rStyle w:val="da"/>
          <w:rFonts w:asciiTheme="minorEastAsia" w:eastAsiaTheme="minorEastAsia" w:hAnsiTheme="minorEastAsia" w:hint="eastAsia"/>
          <w:color w:val="000000" w:themeColor="text1"/>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E134B"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4、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3E134B"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DA2FD2">
        <w:rPr>
          <w:rStyle w:val="da"/>
          <w:rFonts w:asciiTheme="minorEastAsia" w:eastAsiaTheme="minorEastAsia" w:hAnsiTheme="minorEastAsia" w:hint="eastAsia"/>
          <w:color w:val="000000" w:themeColor="text1"/>
        </w:rPr>
        <w:t>七</w:t>
      </w:r>
      <w:r w:rsidRPr="00FD5C9F">
        <w:rPr>
          <w:rStyle w:val="da"/>
          <w:rFonts w:asciiTheme="minorEastAsia" w:eastAsiaTheme="minorEastAsia" w:hAnsiTheme="minorEastAsia" w:hint="eastAsia"/>
          <w:color w:val="000000" w:themeColor="text1"/>
        </w:rPr>
        <w:t>）</w:t>
      </w:r>
      <w:bookmarkEnd w:id="72"/>
      <w:r w:rsidRPr="00FD5C9F">
        <w:rPr>
          <w:rStyle w:val="da"/>
          <w:rFonts w:asciiTheme="minorEastAsia" w:eastAsiaTheme="minorEastAsia" w:hAnsiTheme="minorEastAsia"/>
          <w:color w:val="000000" w:themeColor="text1"/>
        </w:rPr>
        <w:t>基金管理人代表基金行使股东或债权人权利的处理原则及方法</w:t>
      </w:r>
    </w:p>
    <w:p w:rsidR="003E134B"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 xml:space="preserve">1、基金管理人按照国家有关规定代表基金独立行使股东或债权人权利，保护基金份额持有人的利益； </w:t>
      </w:r>
    </w:p>
    <w:p w:rsidR="003E134B"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 xml:space="preserve">2、不谋求对上市公司的控股； </w:t>
      </w:r>
    </w:p>
    <w:p w:rsidR="003E134B"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 xml:space="preserve">3、有利于基金财产的安全与增值； </w:t>
      </w:r>
    </w:p>
    <w:p w:rsidR="003E134B"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color w:val="000000" w:themeColor="text1"/>
        </w:rPr>
        <w:t>4、不通过关联交易为自身、雇员、授权代理人或任何存在利害关系的第三人牟取任何不当利益。</w:t>
      </w:r>
    </w:p>
    <w:p w:rsidR="00DD2F77" w:rsidRPr="00FD5C9F" w:rsidP="00EF30D3">
      <w:pPr>
        <w:spacing w:line="360" w:lineRule="auto"/>
        <w:ind w:firstLine="420" w:firstLineChars="200"/>
        <w:rPr>
          <w:rStyle w:val="da"/>
          <w:rFonts w:asciiTheme="minorEastAsia" w:eastAsiaTheme="minorEastAsia" w:hAnsiTheme="minorEastAsia"/>
          <w:color w:val="000000" w:themeColor="text1"/>
        </w:rPr>
      </w:pPr>
      <w:bookmarkStart w:id="74" w:name="_Toc368041194"/>
      <w:r w:rsidRPr="00FD5C9F">
        <w:rPr>
          <w:rStyle w:val="da"/>
          <w:rFonts w:asciiTheme="minorEastAsia" w:eastAsiaTheme="minorEastAsia" w:hAnsiTheme="minorEastAsia" w:hint="eastAsia"/>
          <w:color w:val="000000" w:themeColor="text1"/>
        </w:rPr>
        <w:t>（八）基金投资组合报告（未经审计）</w:t>
      </w:r>
      <w:bookmarkEnd w:id="74"/>
    </w:p>
    <w:p w:rsidR="00DD2F77"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本基金管理人的董事会及董事保证本报告所载资料不存在虚假记载、误导性陈述或重大遗漏，并对其内容的真实性、准确性和完整性承担个别及连带责任。</w:t>
      </w:r>
    </w:p>
    <w:p w:rsidR="00DD2F77"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本基金的托管人招商银行股份有限公司根据本基金合同的规定，复核了本报告的内容，保证复核内容不存在虚假记载、误导性陈述或者重大遗漏。</w:t>
      </w:r>
    </w:p>
    <w:p w:rsidR="00DD2F77" w:rsidRPr="00FD5C9F" w:rsidP="00EF30D3">
      <w:pPr>
        <w:spacing w:line="360" w:lineRule="auto"/>
        <w:ind w:firstLine="420" w:firstLineChars="200"/>
        <w:rPr>
          <w:rStyle w:val="da"/>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本投资组合报告有关数据的期间为2023年1月1日至2023年3月31日。</w:t>
      </w:r>
    </w:p>
    <w:p w:rsidR="002304E2" w:rsidRPr="00FD5C9F" w:rsidP="002304E2">
      <w:pPr>
        <w:spacing w:line="360" w:lineRule="auto"/>
        <w:rPr>
          <w:rFonts w:asciiTheme="minorEastAsia" w:eastAsiaTheme="minorEastAsia" w:hAnsiTheme="minorEastAsia"/>
          <w:color w:val="000000" w:themeColor="text1"/>
          <w:kern w:val="0"/>
          <w:sz w:val="22"/>
          <w:szCs w:val="22"/>
        </w:rPr>
      </w:pPr>
      <w:r w:rsidRPr="00FD5C9F">
        <w:rPr>
          <w:rFonts w:asciiTheme="minorEastAsia" w:eastAsiaTheme="minorEastAsia" w:hAnsiTheme="minorEastAsia" w:hint="eastAsia"/>
          <w:color w:val="000000" w:themeColor="text1"/>
        </w:rPr>
        <w:t>1、 报告期末基金资产组合情况</w:t>
      </w:r>
    </w:p>
    <w:tbl>
      <w:tblPr>
        <w:tblStyle w:val="TableGrid"/>
        <w:tblW w:w="0" w:type="auto"/>
        <w:tblLook w:val="04A0"/>
      </w:tblPr>
      <w:tblGrid>
        <w:gridCol w:w="698"/>
        <w:gridCol w:w="3157"/>
        <w:gridCol w:w="2897"/>
        <w:gridCol w:w="1770"/>
      </w:tblGrid>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序号</w:t>
            </w: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项目</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金额（元）</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占基金总资产的比例（%）</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w:t>
            </w: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权益投资</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3,092,035,783.75</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92.52</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tcPr>
          <w:p w:rsidR="002304E2" w:rsidRPr="00FD5C9F">
            <w:pPr>
              <w:jc w:val="center"/>
              <w:rPr>
                <w:rFonts w:asciiTheme="minorEastAsia" w:eastAsiaTheme="minorEastAsia" w:hAnsiTheme="minorEastAsia"/>
                <w:color w:val="000000" w:themeColor="text1"/>
              </w:rPr>
            </w:pP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其中：股票</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3,092,035,783.75</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92.52</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w:t>
            </w: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固定收益投资</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2,358,155.05</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0.07</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tcPr>
          <w:p w:rsidR="002304E2" w:rsidRPr="00FD5C9F">
            <w:pPr>
              <w:jc w:val="center"/>
              <w:rPr>
                <w:rFonts w:asciiTheme="minorEastAsia" w:eastAsiaTheme="minorEastAsia" w:hAnsiTheme="minorEastAsia"/>
                <w:color w:val="000000" w:themeColor="text1"/>
              </w:rPr>
            </w:pP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其中：债券</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2,358,155.05</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0.07</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tcPr>
          <w:p w:rsidR="002304E2" w:rsidRPr="00FD5C9F">
            <w:pPr>
              <w:jc w:val="center"/>
              <w:rPr>
                <w:rFonts w:asciiTheme="minorEastAsia" w:eastAsiaTheme="minorEastAsia" w:hAnsiTheme="minorEastAsia"/>
                <w:color w:val="000000" w:themeColor="text1"/>
              </w:rPr>
            </w:pP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资产支持证券</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w:t>
            </w:r>
          </w:p>
        </w:tc>
        <w:tc>
          <w:tcPr>
            <w:tcW w:w="3357" w:type="dxa"/>
            <w:tcBorders>
              <w:top w:val="single" w:sz="2" w:space="0" w:color="000000"/>
              <w:left w:val="single" w:sz="2" w:space="0" w:color="000000"/>
              <w:bottom w:val="single" w:sz="2" w:space="0" w:color="000000"/>
              <w:right w:val="single" w:sz="2" w:space="0" w:color="000000"/>
            </w:tcBorders>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贵金属投资</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w:t>
            </w: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金融衍生品投资</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5</w:t>
            </w: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买入返售金融资产</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tcPr>
          <w:p w:rsidR="002304E2" w:rsidRPr="00FD5C9F">
            <w:pPr>
              <w:jc w:val="center"/>
              <w:rPr>
                <w:rFonts w:asciiTheme="minorEastAsia" w:eastAsiaTheme="minorEastAsia" w:hAnsiTheme="minorEastAsia"/>
                <w:color w:val="000000" w:themeColor="text1"/>
              </w:rPr>
            </w:pP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其中：买断式回购的买入返售金融资产</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w:t>
            </w: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银行存款和结算备付金合计</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243,582,086.50</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7.29</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w:t>
            </w: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其他资产</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4,026,075.35</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0.12</w:t>
            </w:r>
          </w:p>
        </w:tc>
      </w:tr>
      <w:tr w:rsidTr="002304E2">
        <w:tblPrEx>
          <w:tblW w:w="0" w:type="auto"/>
          <w:tblLook w:val="04A0"/>
        </w:tblPrEx>
        <w:tc>
          <w:tcPr>
            <w:tcW w:w="72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8</w:t>
            </w:r>
          </w:p>
        </w:tc>
        <w:tc>
          <w:tcPr>
            <w:tcW w:w="335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合计</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3,342,002,100.65</w:t>
            </w:r>
          </w:p>
        </w:tc>
        <w:tc>
          <w:tcPr>
            <w:tcW w:w="1843"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100.00</w:t>
            </w:r>
          </w:p>
        </w:tc>
      </w:tr>
    </w:tbl>
    <w:p w:rsidR="002304E2" w:rsidRPr="00FD5C9F" w:rsidP="002304E2">
      <w:pPr>
        <w:spacing w:line="360" w:lineRule="auto"/>
        <w:rPr>
          <w:rFonts w:asciiTheme="minorEastAsia" w:eastAsiaTheme="minorEastAsia" w:hAnsiTheme="minorEastAsia" w:cstheme="minorBidi"/>
          <w:color w:val="000000" w:themeColor="text1"/>
          <w:sz w:val="22"/>
          <w:szCs w:val="22"/>
        </w:rPr>
      </w:pPr>
      <w:r w:rsidRPr="00FD5C9F">
        <w:rPr>
          <w:rFonts w:asciiTheme="minorEastAsia" w:eastAsiaTheme="minorEastAsia" w:hAnsiTheme="minorEastAsia" w:hint="eastAsia"/>
          <w:color w:val="000000" w:themeColor="text1"/>
        </w:rPr>
        <w:t>2、 报告期末按行业分类的股票投资组合</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（1）报告期末按行业分类的境内股票投资组合</w:t>
      </w:r>
    </w:p>
    <w:tbl>
      <w:tblPr>
        <w:tblStyle w:val="TableGrid"/>
        <w:tblW w:w="0" w:type="auto"/>
        <w:tblLook w:val="04A0"/>
      </w:tblPr>
      <w:tblGrid>
        <w:gridCol w:w="694"/>
        <w:gridCol w:w="3388"/>
        <w:gridCol w:w="2919"/>
        <w:gridCol w:w="1521"/>
      </w:tblGrid>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代码</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行业类别</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公允价值（元）</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占基金资产净值比例（％）</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A</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农、林、牧、渔业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B</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采矿业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rsidP="00BE23F6">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82,274.40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rsidP="00BE23F6">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0.00</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C</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制造业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2,520,793,404.40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76.75</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D</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电力、热力、燃气及水生产和供应业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368,222.80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0.01</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E</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建筑业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77,329.12</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0.00</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F</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批发和零售业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444,832.76</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0.01</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G</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交通运输、仓储和邮政业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16,118.86</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0.00</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H</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住宿和餐饮业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信息传输、软件和信息技术服务业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538,860,562.37</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16.41</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J</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金融业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31,299,372.90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0.95</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K</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房地产业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L</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租赁和商务服务业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M</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科学研究和技术服务业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20,137.60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0.00</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N</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水利、环境和公共设施管理业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O</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居民服务、修理和其他服务业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P</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教育</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Q</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卫生和社会工作</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73,528.54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0.00</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R</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文化、体育和娱乐业</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S</w:t>
            </w: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综合</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709" w:type="dxa"/>
            <w:tcBorders>
              <w:top w:val="single" w:sz="2" w:space="0" w:color="000000"/>
              <w:left w:val="single" w:sz="2" w:space="0" w:color="000000"/>
              <w:bottom w:val="single" w:sz="2" w:space="0" w:color="000000"/>
              <w:right w:val="single" w:sz="2" w:space="0" w:color="000000"/>
            </w:tcBorders>
            <w:vAlign w:val="center"/>
          </w:tcPr>
          <w:p w:rsidR="002304E2" w:rsidRPr="00FD5C9F">
            <w:pPr>
              <w:jc w:val="center"/>
              <w:rPr>
                <w:rFonts w:asciiTheme="minorEastAsia" w:eastAsiaTheme="minorEastAsia" w:hAnsiTheme="minorEastAsia"/>
                <w:color w:val="000000" w:themeColor="text1"/>
              </w:rPr>
            </w:pPr>
          </w:p>
        </w:tc>
        <w:tc>
          <w:tcPr>
            <w:tcW w:w="35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合计</w:t>
            </w:r>
          </w:p>
        </w:tc>
        <w:tc>
          <w:tcPr>
            <w:tcW w:w="297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3,092,035,783.75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94.15</w:t>
            </w:r>
          </w:p>
        </w:tc>
      </w:tr>
    </w:tbl>
    <w:p w:rsidR="002304E2" w:rsidRPr="00FD5C9F" w:rsidP="002304E2">
      <w:pPr>
        <w:spacing w:line="360" w:lineRule="auto"/>
        <w:rPr>
          <w:rFonts w:asciiTheme="minorEastAsia" w:eastAsiaTheme="minorEastAsia" w:hAnsiTheme="minorEastAsia" w:cstheme="minorBidi"/>
          <w:color w:val="000000" w:themeColor="text1"/>
          <w:sz w:val="22"/>
          <w:szCs w:val="22"/>
        </w:rPr>
      </w:pPr>
      <w:r w:rsidRPr="00FD5C9F">
        <w:rPr>
          <w:rFonts w:asciiTheme="minorEastAsia" w:eastAsiaTheme="minorEastAsia" w:hAnsiTheme="minorEastAsia" w:hint="eastAsia"/>
          <w:color w:val="000000" w:themeColor="text1"/>
        </w:rPr>
        <w:t>3、 期末按公允价值占基金资产净值比例大小排序的股票投资明细</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 报告期末按公允价值占基金资产净值比例大小排序的前十名股票投资明细</w:t>
      </w:r>
    </w:p>
    <w:tbl>
      <w:tblPr>
        <w:tblStyle w:val="TableGrid"/>
        <w:tblW w:w="0" w:type="auto"/>
        <w:tblLook w:val="04A0"/>
      </w:tblPr>
      <w:tblGrid>
        <w:gridCol w:w="817"/>
        <w:gridCol w:w="1242"/>
        <w:gridCol w:w="1340"/>
        <w:gridCol w:w="1659"/>
        <w:gridCol w:w="1961"/>
        <w:gridCol w:w="1503"/>
      </w:tblGrid>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序号</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股票代码</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股票名称</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数量（股）</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公允价值（元）</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占基金资产净值比例（％）</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002371</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北方华创</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849,591</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225,863,767.35</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6.88</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688111</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金山办公</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470,020</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222,319,460.00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6.77</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603986</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兆易创新</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1,756,051</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214,238,222.00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6.52</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002463</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沪电股份</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7,578,930</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162,871,205.70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4.96</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5</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300054</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鼎龙股份</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6,378,000</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156,261,000.00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4.76</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300604</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长川科技</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3,201,000</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154,800,360.00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4.71</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002230</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科大讯飞</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2,258,600</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143,827,648.00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4.38</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8</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300666</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江丰电子</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1,943,274</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136,417,834.80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4.15</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9</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300394</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天孚通信</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2,428,775</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125,616,243.00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3.82</w:t>
            </w:r>
          </w:p>
        </w:tc>
      </w:tr>
      <w:tr w:rsidTr="002304E2">
        <w:tblPrEx>
          <w:tblW w:w="0" w:type="auto"/>
          <w:tblLook w:val="04A0"/>
        </w:tblPrEx>
        <w:tc>
          <w:tcPr>
            <w:tcW w:w="85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688037</w:t>
            </w:r>
          </w:p>
        </w:tc>
        <w:tc>
          <w:tcPr>
            <w:tcW w:w="141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芯源微</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516,466</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115,109,942.08</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3.50</w:t>
            </w:r>
          </w:p>
        </w:tc>
      </w:tr>
    </w:tbl>
    <w:p w:rsidR="002304E2" w:rsidRPr="00FD5C9F" w:rsidP="002304E2">
      <w:pPr>
        <w:spacing w:line="360" w:lineRule="auto"/>
        <w:rPr>
          <w:rFonts w:asciiTheme="minorEastAsia" w:eastAsiaTheme="minorEastAsia" w:hAnsiTheme="minorEastAsia" w:cstheme="minorBidi"/>
          <w:color w:val="000000" w:themeColor="text1"/>
          <w:sz w:val="22"/>
          <w:szCs w:val="22"/>
        </w:rPr>
      </w:pPr>
      <w:r w:rsidRPr="00FD5C9F">
        <w:rPr>
          <w:rFonts w:asciiTheme="minorEastAsia" w:eastAsiaTheme="minorEastAsia" w:hAnsiTheme="minorEastAsia" w:hint="eastAsia"/>
          <w:color w:val="000000" w:themeColor="text1"/>
        </w:rPr>
        <w:t>4、 报告期末按债券品种分类的债券投资组合</w:t>
      </w:r>
    </w:p>
    <w:tbl>
      <w:tblPr>
        <w:tblStyle w:val="TableGrid"/>
        <w:tblW w:w="0" w:type="auto"/>
        <w:tblLook w:val="04A0"/>
      </w:tblPr>
      <w:tblGrid>
        <w:gridCol w:w="801"/>
        <w:gridCol w:w="3150"/>
        <w:gridCol w:w="2888"/>
        <w:gridCol w:w="1683"/>
      </w:tblGrid>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序号</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债券品种</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公允价值(元)</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占基金资产净值比例(％)</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国家债券</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央行票据</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金融债券</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tcPr>
          <w:p w:rsidR="002304E2" w:rsidRPr="00FD5C9F">
            <w:pPr>
              <w:jc w:val="center"/>
              <w:rPr>
                <w:rFonts w:asciiTheme="minorEastAsia" w:eastAsiaTheme="minorEastAsia" w:hAnsiTheme="minorEastAsia"/>
                <w:color w:val="000000" w:themeColor="text1"/>
              </w:rPr>
            </w:pP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其中：政策性金融债</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企业债券</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5</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企业短期融资券</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中期票据</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可转债（可交换债）</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2,358,155.05</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0.07</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8</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同业存单</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9</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其他</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817"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10</w:t>
            </w:r>
          </w:p>
        </w:tc>
        <w:tc>
          <w:tcPr>
            <w:tcW w:w="32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合计</w:t>
            </w:r>
          </w:p>
        </w:tc>
        <w:tc>
          <w:tcPr>
            <w:tcW w:w="294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2,358,155.05</w:t>
            </w:r>
          </w:p>
        </w:tc>
        <w:tc>
          <w:tcPr>
            <w:tcW w:w="172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0.07</w:t>
            </w:r>
          </w:p>
        </w:tc>
      </w:tr>
    </w:tbl>
    <w:p w:rsidR="002304E2" w:rsidRPr="00FD5C9F" w:rsidP="002304E2">
      <w:pPr>
        <w:spacing w:line="360" w:lineRule="auto"/>
        <w:rPr>
          <w:rFonts w:asciiTheme="minorEastAsia" w:eastAsiaTheme="minorEastAsia" w:hAnsiTheme="minorEastAsia" w:cstheme="minorBidi"/>
          <w:color w:val="000000" w:themeColor="text1"/>
          <w:sz w:val="22"/>
          <w:szCs w:val="22"/>
        </w:rPr>
      </w:pPr>
      <w:r w:rsidRPr="00FD5C9F">
        <w:rPr>
          <w:rFonts w:asciiTheme="minorEastAsia" w:eastAsiaTheme="minorEastAsia" w:hAnsiTheme="minorEastAsia" w:hint="eastAsia"/>
          <w:color w:val="000000" w:themeColor="text1"/>
        </w:rPr>
        <w:t>5、 报告期末按公允价值占基金资产净值比例大小排序的前五名债券投资明细</w:t>
      </w:r>
    </w:p>
    <w:tbl>
      <w:tblPr>
        <w:tblStyle w:val="TableGrid"/>
        <w:tblW w:w="0" w:type="auto"/>
        <w:tblLook w:val="04A0"/>
      </w:tblPr>
      <w:tblGrid>
        <w:gridCol w:w="958"/>
        <w:gridCol w:w="1275"/>
        <w:gridCol w:w="1274"/>
        <w:gridCol w:w="1559"/>
        <w:gridCol w:w="1983"/>
        <w:gridCol w:w="1473"/>
      </w:tblGrid>
      <w:tr w:rsidTr="002304E2">
        <w:tblPrEx>
          <w:tblW w:w="0" w:type="auto"/>
          <w:tblLook w:val="04A0"/>
        </w:tblPrEx>
        <w:tc>
          <w:tcPr>
            <w:tcW w:w="9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序号</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债券代码</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债券名称</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数量（张）</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公允价值（元）</w:t>
            </w:r>
          </w:p>
        </w:tc>
        <w:tc>
          <w:tcPr>
            <w:tcW w:w="147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占基金资产净值比例（％）</w:t>
            </w:r>
          </w:p>
        </w:tc>
      </w:tr>
      <w:tr w:rsidTr="002304E2">
        <w:tblPrEx>
          <w:tblW w:w="0" w:type="auto"/>
          <w:tblLook w:val="04A0"/>
        </w:tblPrEx>
        <w:tc>
          <w:tcPr>
            <w:tcW w:w="959"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118033</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华特转债</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23,580</w:t>
            </w:r>
          </w:p>
        </w:tc>
        <w:tc>
          <w:tcPr>
            <w:tcW w:w="198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2,358,155.05</w:t>
            </w:r>
          </w:p>
        </w:tc>
        <w:tc>
          <w:tcPr>
            <w:tcW w:w="147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0.07</w:t>
            </w:r>
          </w:p>
        </w:tc>
      </w:tr>
    </w:tbl>
    <w:p w:rsidR="002304E2" w:rsidRPr="00FD5C9F" w:rsidP="002304E2">
      <w:pPr>
        <w:spacing w:line="360" w:lineRule="auto"/>
        <w:rPr>
          <w:rFonts w:asciiTheme="minorEastAsia" w:eastAsiaTheme="minorEastAsia" w:hAnsiTheme="minorEastAsia" w:cstheme="minorBidi"/>
          <w:color w:val="000000" w:themeColor="text1"/>
          <w:sz w:val="22"/>
          <w:szCs w:val="22"/>
        </w:rPr>
      </w:pPr>
      <w:r w:rsidRPr="00FD5C9F">
        <w:rPr>
          <w:rFonts w:asciiTheme="minorEastAsia" w:eastAsiaTheme="minorEastAsia" w:hAnsiTheme="minorEastAsia" w:hint="eastAsia"/>
          <w:color w:val="000000" w:themeColor="text1"/>
        </w:rPr>
        <w:t>6、 报告期末按公允价值占基金资产净值比例大小排序的前十名资产支持证券投资明细</w:t>
      </w:r>
    </w:p>
    <w:p w:rsidR="002304E2" w:rsidRPr="00FD5C9F" w:rsidP="002304E2">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本基金本报告期末未持有资产支持证券。</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 报告期末按公允价值占基金资产净值比例大小排序的前五名贵金属投资明细</w:t>
      </w:r>
    </w:p>
    <w:p w:rsidR="002304E2" w:rsidRPr="00FD5C9F" w:rsidP="002304E2">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本基金本报告期末未持有贵金属。</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8、 报告期末按公允价值占基金资产净值比例大小排序的前五名权证投资明细</w:t>
      </w:r>
    </w:p>
    <w:p w:rsidR="002304E2" w:rsidRPr="00FD5C9F" w:rsidP="002304E2">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本基金本报告期末未持有权证。</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9、 报告期末本基金投资的股指期货交易情况说明</w:t>
      </w:r>
    </w:p>
    <w:p w:rsidR="002304E2" w:rsidRPr="00FD5C9F" w:rsidP="002304E2">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本基金本报告期末未投资股指期货。</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10、 报告期末本基金投资的国债期货交易情况说明</w:t>
      </w:r>
    </w:p>
    <w:p w:rsidR="002304E2" w:rsidRPr="00FD5C9F" w:rsidP="002304E2">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本基金本报告期末未投资国债期货。</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11、 投资组合报告附注</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 本基金投资的前十名证券的发行主体中，沈阳芯源微电子设备股份有限公司在报告编制日前一年内曾受到沈阳市城乡建设局的处罚。</w:t>
      </w:r>
    </w:p>
    <w:p w:rsidR="002304E2" w:rsidRPr="00FD5C9F" w:rsidP="002304E2">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本基金对上述主体所发行证券的投资决策程序符合公司投资制度的规定。</w:t>
      </w:r>
    </w:p>
    <w:p w:rsidR="002304E2" w:rsidRPr="00FD5C9F" w:rsidP="002304E2">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除上述主体外，基金管理人未发现本基金投资的前十名证券的发行主体出现本期被监管部门立案调查，或在报告编制日前一年内受到公开谴责、处罚的情形。</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 本基金投资的前十名股票没有超出基金合同规定的备选股票库。</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 其他资产构成</w:t>
      </w:r>
    </w:p>
    <w:tbl>
      <w:tblPr>
        <w:tblStyle w:val="TableGrid"/>
        <w:tblW w:w="0" w:type="auto"/>
        <w:tblLook w:val="04A0"/>
      </w:tblPr>
      <w:tblGrid>
        <w:gridCol w:w="944"/>
        <w:gridCol w:w="2761"/>
        <w:gridCol w:w="4808"/>
      </w:tblGrid>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序号</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名称</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金额（元）</w:t>
            </w:r>
          </w:p>
        </w:tc>
      </w:tr>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存出保证金</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662,919.88</w:t>
            </w:r>
          </w:p>
        </w:tc>
      </w:tr>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应收证券清算款</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应收股利</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应收利息</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5</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应收申购款</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3,363,155.47</w:t>
            </w:r>
          </w:p>
        </w:tc>
      </w:tr>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其他应收款</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其他</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w:t>
            </w:r>
          </w:p>
        </w:tc>
      </w:tr>
      <w:tr w:rsidTr="002304E2">
        <w:tblPrEx>
          <w:tblW w:w="0" w:type="auto"/>
          <w:tblLook w:val="04A0"/>
        </w:tblPrEx>
        <w:tc>
          <w:tcPr>
            <w:tcW w:w="944"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8</w:t>
            </w:r>
          </w:p>
        </w:tc>
        <w:tc>
          <w:tcPr>
            <w:tcW w:w="2761"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合计</w:t>
            </w:r>
          </w:p>
        </w:tc>
        <w:tc>
          <w:tcPr>
            <w:tcW w:w="4808" w:type="dxa"/>
            <w:tcBorders>
              <w:top w:val="single" w:sz="2" w:space="0" w:color="000000"/>
              <w:left w:val="single" w:sz="2" w:space="0" w:color="000000"/>
              <w:bottom w:val="single" w:sz="2" w:space="0" w:color="000000"/>
              <w:right w:val="single" w:sz="2" w:space="0" w:color="000000"/>
            </w:tcBorders>
            <w:vAlign w:val="center"/>
            <w:hideMark/>
          </w:tcPr>
          <w:p w:rsidR="002304E2" w:rsidRPr="00FD5C9F">
            <w:pPr>
              <w:jc w:val="righ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4,026,075.35</w:t>
            </w:r>
          </w:p>
        </w:tc>
      </w:tr>
    </w:tbl>
    <w:p w:rsidR="002304E2" w:rsidRPr="00FD5C9F" w:rsidP="002304E2">
      <w:pPr>
        <w:spacing w:line="360" w:lineRule="auto"/>
        <w:rPr>
          <w:rFonts w:asciiTheme="minorEastAsia" w:eastAsiaTheme="minorEastAsia" w:hAnsiTheme="minorEastAsia" w:cstheme="minorBidi"/>
          <w:color w:val="000000" w:themeColor="text1"/>
          <w:sz w:val="22"/>
          <w:szCs w:val="22"/>
        </w:rPr>
      </w:pPr>
      <w:r w:rsidRPr="00FD5C9F">
        <w:rPr>
          <w:rFonts w:asciiTheme="minorEastAsia" w:eastAsiaTheme="minorEastAsia" w:hAnsiTheme="minorEastAsia" w:hint="eastAsia"/>
          <w:color w:val="000000" w:themeColor="text1"/>
        </w:rPr>
        <w:t>（4）报告期末持有的处于转股期的可转换债券明细</w:t>
      </w:r>
    </w:p>
    <w:p w:rsidR="002304E2" w:rsidRPr="00FD5C9F" w:rsidP="002304E2">
      <w:pPr>
        <w:spacing w:line="360" w:lineRule="auto"/>
        <w:ind w:firstLine="42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本基金本报告期末未持有处于转股期的可转换债券。</w:t>
      </w:r>
    </w:p>
    <w:p w:rsidR="002304E2" w:rsidRPr="00FD5C9F" w:rsidP="002304E2">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（5）报告期末前十名股票中存在流通受限情况的说明</w:t>
      </w:r>
    </w:p>
    <w:p w:rsidR="003F4E9F" w:rsidRPr="00FD5C9F">
      <w:pPr>
        <w:spacing w:line="360" w:lineRule="auto"/>
        <w:ind w:firstLine="420"/>
        <w:jc w:val="left"/>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本基金本报告期末前十名股票中不存在流通受限情况。</w:t>
      </w:r>
      <w:r w:rsidRPr="00FD5C9F">
        <w:rPr>
          <w:rFonts w:asciiTheme="minorEastAsia" w:eastAsiaTheme="minorEastAsia" w:hAnsiTheme="minorEastAsia"/>
          <w:color w:val="000000" w:themeColor="text1"/>
        </w:rPr>
        <w:br w:type="page"/>
      </w:r>
    </w:p>
    <w:p w:rsidR="00DD2F77" w:rsidRPr="00FD5C9F" w:rsidP="00DD2F77">
      <w:pPr>
        <w:pStyle w:val="Heading1"/>
        <w:spacing w:before="317" w:after="317" w:line="320" w:lineRule="exact"/>
        <w:ind w:firstLine="600"/>
        <w:rPr>
          <w:rFonts w:asciiTheme="minorEastAsia" w:eastAsiaTheme="minorEastAsia" w:hAnsiTheme="minorEastAsia"/>
          <w:color w:val="000000" w:themeColor="text1"/>
          <w:szCs w:val="21"/>
        </w:rPr>
      </w:pPr>
      <w:bookmarkStart w:id="75" w:name="_Toc134547850"/>
      <w:r w:rsidRPr="00FD5C9F">
        <w:rPr>
          <w:rFonts w:asciiTheme="minorEastAsia" w:eastAsiaTheme="minorEastAsia" w:hAnsiTheme="minorEastAsia" w:hint="eastAsia"/>
          <w:color w:val="000000" w:themeColor="text1"/>
          <w:sz w:val="30"/>
        </w:rPr>
        <w:t>十二、基金的业绩</w:t>
      </w:r>
      <w:bookmarkEnd w:id="75"/>
    </w:p>
    <w:p w:rsidR="00DD2F77" w:rsidRPr="00FD5C9F" w:rsidP="00DD2F77">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FD5C9F">
        <w:rPr>
          <w:rFonts w:asciiTheme="minorEastAsia" w:eastAsiaTheme="minorEastAsia" w:hAnsiTheme="minorEastAsia" w:hint="eastAsia"/>
          <w:color w:val="000000" w:themeColor="text1"/>
          <w:kern w:val="0"/>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rsidR="00DD2F77" w:rsidRPr="00FD5C9F" w:rsidP="00DD2F77">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FD5C9F">
        <w:rPr>
          <w:rFonts w:asciiTheme="minorEastAsia" w:eastAsiaTheme="minorEastAsia" w:hAnsiTheme="minorEastAsia"/>
          <w:color w:val="000000" w:themeColor="text1"/>
        </w:rPr>
        <w:t>本基金合同生效日为2020年7月24日，基金合同生效以来（截至2022年12月31日）的投资业绩及与同期基准的比较如下表所示：</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080"/>
        <w:gridCol w:w="1079"/>
        <w:gridCol w:w="1439"/>
        <w:gridCol w:w="1338"/>
        <w:gridCol w:w="1133"/>
        <w:gridCol w:w="1266"/>
      </w:tblGrid>
      <w:tr w:rsidTr="00DD2F77">
        <w:tblPrEx>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5"/>
        </w:trPr>
        <w:tc>
          <w:tcPr>
            <w:tcW w:w="1440" w:type="dxa"/>
            <w:tcBorders>
              <w:top w:val="single" w:sz="4" w:space="0" w:color="auto"/>
              <w:left w:val="single" w:sz="4" w:space="0" w:color="auto"/>
              <w:bottom w:val="single" w:sz="4" w:space="0" w:color="auto"/>
              <w:right w:val="single" w:sz="4" w:space="0" w:color="auto"/>
            </w:tcBorders>
            <w:vAlign w:val="center"/>
            <w:hideMark/>
          </w:tcPr>
          <w:p w:rsidR="00DD2F77" w:rsidRPr="00FD5C9F">
            <w:pPr>
              <w:snapToGrid w:val="0"/>
              <w:spacing w:line="360" w:lineRule="auto"/>
              <w:jc w:val="center"/>
              <w:rPr>
                <w:rFonts w:asciiTheme="minorEastAsia" w:eastAsiaTheme="minorEastAsia" w:hAnsiTheme="minorEastAsia" w:cs="Arial Unicode MS"/>
                <w:color w:val="000000" w:themeColor="text1"/>
                <w:szCs w:val="21"/>
              </w:rPr>
            </w:pPr>
            <w:r w:rsidRPr="00FD5C9F">
              <w:rPr>
                <w:rFonts w:asciiTheme="minorEastAsia" w:eastAsiaTheme="minorEastAsia" w:hAnsiTheme="minorEastAsia" w:hint="eastAsia"/>
                <w:color w:val="000000" w:themeColor="text1"/>
                <w:szCs w:val="21"/>
              </w:rPr>
              <w:t>阶段</w:t>
            </w:r>
          </w:p>
        </w:tc>
        <w:tc>
          <w:tcPr>
            <w:tcW w:w="1080" w:type="dxa"/>
            <w:tcBorders>
              <w:top w:val="single" w:sz="4" w:space="0" w:color="auto"/>
              <w:left w:val="single" w:sz="4" w:space="0" w:color="auto"/>
              <w:bottom w:val="single" w:sz="4" w:space="0" w:color="auto"/>
              <w:right w:val="single" w:sz="4" w:space="0" w:color="auto"/>
            </w:tcBorders>
            <w:vAlign w:val="center"/>
            <w:hideMark/>
          </w:tcPr>
          <w:p w:rsidR="00DD2F77" w:rsidRPr="00FD5C9F">
            <w:pPr>
              <w:snapToGrid w:val="0"/>
              <w:spacing w:line="360" w:lineRule="auto"/>
              <w:jc w:val="center"/>
              <w:rPr>
                <w:rFonts w:asciiTheme="minorEastAsia" w:eastAsiaTheme="minorEastAsia" w:hAnsiTheme="minorEastAsia" w:cs="Arial Unicode MS"/>
                <w:color w:val="000000" w:themeColor="text1"/>
                <w:szCs w:val="21"/>
              </w:rPr>
            </w:pPr>
            <w:r w:rsidRPr="00FD5C9F">
              <w:rPr>
                <w:rFonts w:asciiTheme="minorEastAsia" w:eastAsiaTheme="minorEastAsia" w:hAnsiTheme="minorEastAsia" w:hint="eastAsia"/>
                <w:color w:val="000000" w:themeColor="text1"/>
                <w:szCs w:val="21"/>
              </w:rPr>
              <w:t>净值增长率（1）</w:t>
            </w:r>
          </w:p>
        </w:tc>
        <w:tc>
          <w:tcPr>
            <w:tcW w:w="1079" w:type="dxa"/>
            <w:tcBorders>
              <w:top w:val="single" w:sz="4" w:space="0" w:color="auto"/>
              <w:left w:val="single" w:sz="4" w:space="0" w:color="auto"/>
              <w:bottom w:val="single" w:sz="4" w:space="0" w:color="auto"/>
              <w:right w:val="single" w:sz="4" w:space="0" w:color="auto"/>
            </w:tcBorders>
            <w:vAlign w:val="center"/>
            <w:hideMark/>
          </w:tcPr>
          <w:p w:rsidR="00DD2F77" w:rsidRPr="00FD5C9F">
            <w:pPr>
              <w:snapToGrid w:val="0"/>
              <w:spacing w:line="360" w:lineRule="auto"/>
              <w:jc w:val="center"/>
              <w:rPr>
                <w:rFonts w:asciiTheme="minorEastAsia" w:eastAsiaTheme="minorEastAsia" w:hAnsiTheme="minorEastAsia" w:cs="Arial Unicode MS"/>
                <w:color w:val="000000" w:themeColor="text1"/>
                <w:szCs w:val="21"/>
              </w:rPr>
            </w:pPr>
            <w:r w:rsidRPr="00FD5C9F">
              <w:rPr>
                <w:rFonts w:asciiTheme="minorEastAsia" w:eastAsiaTheme="minorEastAsia" w:hAnsiTheme="minorEastAsia" w:hint="eastAsia"/>
                <w:color w:val="000000" w:themeColor="text1"/>
                <w:szCs w:val="21"/>
              </w:rPr>
              <w:t>净值增长率标准差（2）</w:t>
            </w:r>
          </w:p>
        </w:tc>
        <w:tc>
          <w:tcPr>
            <w:tcW w:w="1439" w:type="dxa"/>
            <w:tcBorders>
              <w:top w:val="single" w:sz="4" w:space="0" w:color="auto"/>
              <w:left w:val="single" w:sz="4" w:space="0" w:color="auto"/>
              <w:bottom w:val="single" w:sz="4" w:space="0" w:color="auto"/>
              <w:right w:val="single" w:sz="4" w:space="0" w:color="auto"/>
            </w:tcBorders>
            <w:vAlign w:val="center"/>
            <w:hideMark/>
          </w:tcPr>
          <w:p w:rsidR="00DD2F77" w:rsidRPr="00FD5C9F">
            <w:pPr>
              <w:snapToGrid w:val="0"/>
              <w:spacing w:line="360" w:lineRule="auto"/>
              <w:jc w:val="center"/>
              <w:rPr>
                <w:rFonts w:asciiTheme="minorEastAsia" w:eastAsiaTheme="minorEastAsia" w:hAnsiTheme="minorEastAsia" w:cs="Arial Unicode MS"/>
                <w:color w:val="000000" w:themeColor="text1"/>
                <w:szCs w:val="21"/>
              </w:rPr>
            </w:pPr>
            <w:r w:rsidRPr="00FD5C9F">
              <w:rPr>
                <w:rFonts w:asciiTheme="minorEastAsia" w:eastAsiaTheme="minorEastAsia" w:hAnsiTheme="minorEastAsia" w:hint="eastAsia"/>
                <w:color w:val="000000" w:themeColor="text1"/>
                <w:szCs w:val="21"/>
              </w:rPr>
              <w:t>业绩比较基准收益率（3）</w:t>
            </w:r>
          </w:p>
        </w:tc>
        <w:tc>
          <w:tcPr>
            <w:tcW w:w="1338" w:type="dxa"/>
            <w:tcBorders>
              <w:top w:val="single" w:sz="4" w:space="0" w:color="auto"/>
              <w:left w:val="single" w:sz="4" w:space="0" w:color="auto"/>
              <w:bottom w:val="single" w:sz="4" w:space="0" w:color="auto"/>
              <w:right w:val="single" w:sz="4" w:space="0" w:color="auto"/>
            </w:tcBorders>
            <w:vAlign w:val="center"/>
            <w:hideMark/>
          </w:tcPr>
          <w:p w:rsidR="00DD2F77" w:rsidRPr="00FD5C9F">
            <w:pPr>
              <w:snapToGrid w:val="0"/>
              <w:spacing w:line="360" w:lineRule="auto"/>
              <w:jc w:val="center"/>
              <w:rPr>
                <w:rFonts w:asciiTheme="minorEastAsia" w:eastAsiaTheme="minorEastAsia" w:hAnsiTheme="minorEastAsia" w:cs="Arial Unicode MS"/>
                <w:color w:val="000000" w:themeColor="text1"/>
                <w:szCs w:val="21"/>
              </w:rPr>
            </w:pPr>
            <w:r w:rsidRPr="00FD5C9F">
              <w:rPr>
                <w:rFonts w:asciiTheme="minorEastAsia" w:eastAsiaTheme="minorEastAsia" w:hAnsiTheme="minorEastAsia" w:hint="eastAsia"/>
                <w:color w:val="000000" w:themeColor="text1"/>
                <w:szCs w:val="21"/>
              </w:rPr>
              <w:t>业绩比较基准收益率标准差（4）</w:t>
            </w:r>
          </w:p>
        </w:tc>
        <w:tc>
          <w:tcPr>
            <w:tcW w:w="1133" w:type="dxa"/>
            <w:tcBorders>
              <w:top w:val="single" w:sz="4" w:space="0" w:color="auto"/>
              <w:left w:val="single" w:sz="4" w:space="0" w:color="auto"/>
              <w:bottom w:val="single" w:sz="4" w:space="0" w:color="auto"/>
              <w:right w:val="single" w:sz="4" w:space="0" w:color="auto"/>
            </w:tcBorders>
            <w:vAlign w:val="center"/>
            <w:hideMark/>
          </w:tcPr>
          <w:p w:rsidR="00DD2F77" w:rsidRPr="00FD5C9F">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（1）-（3）</w:t>
            </w:r>
          </w:p>
        </w:tc>
        <w:tc>
          <w:tcPr>
            <w:tcW w:w="1266" w:type="dxa"/>
            <w:tcBorders>
              <w:top w:val="single" w:sz="4" w:space="0" w:color="auto"/>
              <w:left w:val="single" w:sz="4" w:space="0" w:color="auto"/>
              <w:bottom w:val="single" w:sz="4" w:space="0" w:color="auto"/>
              <w:right w:val="single" w:sz="4" w:space="0" w:color="auto"/>
            </w:tcBorders>
            <w:vAlign w:val="center"/>
            <w:hideMark/>
          </w:tcPr>
          <w:p w:rsidR="00DD2F77" w:rsidRPr="00FD5C9F">
            <w:pPr>
              <w:snapToGrid w:val="0"/>
              <w:spacing w:line="360" w:lineRule="auto"/>
              <w:ind w:left="-107" w:leftChars="-51"/>
              <w:jc w:val="center"/>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（2）-（4）</w:t>
            </w:r>
          </w:p>
        </w:tc>
      </w:tr>
      <w:tr>
        <w:tblPrEx>
          <w:tblW w:w="0" w:type="dxa"/>
          <w:tblInd w:w="108" w:type="dxa"/>
          <w:tblLayout w:type="fixed"/>
          <w:tblLook w:val="04A0"/>
        </w:tblPrEx>
        <w:tc>
          <w:tcPr>
            <w:tcW w:w="1440"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自基金合同生效日至2020年12月31日</w:t>
            </w:r>
          </w:p>
        </w:tc>
        <w:tc>
          <w:tcPr>
            <w:tcW w:w="1080"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7.90%</w:t>
            </w:r>
          </w:p>
        </w:tc>
        <w:tc>
          <w:tcPr>
            <w:tcW w:w="1079"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0.68%</w:t>
            </w:r>
          </w:p>
        </w:tc>
        <w:tc>
          <w:tcPr>
            <w:tcW w:w="1439"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-1.25%</w:t>
            </w:r>
          </w:p>
        </w:tc>
        <w:tc>
          <w:tcPr>
            <w:tcW w:w="1338"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0.95%</w:t>
            </w:r>
          </w:p>
        </w:tc>
        <w:tc>
          <w:tcPr>
            <w:tcW w:w="1133"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9.15%</w:t>
            </w:r>
          </w:p>
        </w:tc>
        <w:tc>
          <w:tcPr>
            <w:tcW w:w="1266"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-0.27%</w:t>
            </w:r>
          </w:p>
        </w:tc>
      </w:tr>
      <w:tr>
        <w:tblPrEx>
          <w:tblW w:w="0" w:type="dxa"/>
          <w:tblInd w:w="108" w:type="dxa"/>
          <w:tblLayout w:type="fixed"/>
          <w:tblLook w:val="04A0"/>
        </w:tblPrEx>
        <w:tc>
          <w:tcPr>
            <w:tcW w:w="1440"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2021年1月1日至2021年12月31日</w:t>
            </w:r>
          </w:p>
        </w:tc>
        <w:tc>
          <w:tcPr>
            <w:tcW w:w="1080"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13.10%</w:t>
            </w:r>
          </w:p>
        </w:tc>
        <w:tc>
          <w:tcPr>
            <w:tcW w:w="1079"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1.75%</w:t>
            </w:r>
          </w:p>
        </w:tc>
        <w:tc>
          <w:tcPr>
            <w:tcW w:w="1439"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7.18%</w:t>
            </w:r>
          </w:p>
        </w:tc>
        <w:tc>
          <w:tcPr>
            <w:tcW w:w="1338"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0.80%</w:t>
            </w:r>
          </w:p>
        </w:tc>
        <w:tc>
          <w:tcPr>
            <w:tcW w:w="1133"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5.92%</w:t>
            </w:r>
          </w:p>
        </w:tc>
        <w:tc>
          <w:tcPr>
            <w:tcW w:w="1266"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0.95%</w:t>
            </w:r>
          </w:p>
        </w:tc>
      </w:tr>
      <w:tr>
        <w:tblPrEx>
          <w:tblW w:w="0" w:type="dxa"/>
          <w:tblInd w:w="108" w:type="dxa"/>
          <w:tblLayout w:type="fixed"/>
          <w:tblLook w:val="04A0"/>
        </w:tblPrEx>
        <w:tc>
          <w:tcPr>
            <w:tcW w:w="1440"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2022年1月1日至2022年12月31日</w:t>
            </w:r>
          </w:p>
        </w:tc>
        <w:tc>
          <w:tcPr>
            <w:tcW w:w="1080"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-34.85%</w:t>
            </w:r>
          </w:p>
        </w:tc>
        <w:tc>
          <w:tcPr>
            <w:tcW w:w="1079"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2.07%</w:t>
            </w:r>
          </w:p>
        </w:tc>
        <w:tc>
          <w:tcPr>
            <w:tcW w:w="1439"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-14.97%</w:t>
            </w:r>
          </w:p>
        </w:tc>
        <w:tc>
          <w:tcPr>
            <w:tcW w:w="1338"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1.13%</w:t>
            </w:r>
          </w:p>
        </w:tc>
        <w:tc>
          <w:tcPr>
            <w:tcW w:w="1133"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-19.88%</w:t>
            </w:r>
          </w:p>
        </w:tc>
        <w:tc>
          <w:tcPr>
            <w:tcW w:w="1266"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0.94%</w:t>
            </w:r>
          </w:p>
        </w:tc>
      </w:tr>
      <w:tr>
        <w:tblPrEx>
          <w:tblW w:w="0" w:type="dxa"/>
          <w:tblInd w:w="108" w:type="dxa"/>
          <w:tblLayout w:type="fixed"/>
          <w:tblLook w:val="04A0"/>
        </w:tblPrEx>
        <w:tc>
          <w:tcPr>
            <w:tcW w:w="1440"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自基金合同生效日至2022年12月31日</w:t>
            </w:r>
          </w:p>
        </w:tc>
        <w:tc>
          <w:tcPr>
            <w:tcW w:w="1080"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-20.49%</w:t>
            </w:r>
          </w:p>
        </w:tc>
        <w:tc>
          <w:tcPr>
            <w:tcW w:w="1079"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1.76%</w:t>
            </w:r>
          </w:p>
        </w:tc>
        <w:tc>
          <w:tcPr>
            <w:tcW w:w="1439"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-10.01%</w:t>
            </w:r>
          </w:p>
        </w:tc>
        <w:tc>
          <w:tcPr>
            <w:tcW w:w="1338"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0.98%</w:t>
            </w:r>
          </w:p>
        </w:tc>
        <w:tc>
          <w:tcPr>
            <w:tcW w:w="1133"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-10.48%</w:t>
            </w:r>
          </w:p>
        </w:tc>
        <w:tc>
          <w:tcPr>
            <w:tcW w:w="1266" w:type="dxa"/>
          </w:tcPr>
          <w:p w:rsidR="003F4E9F" w:rsidRPr="00FD5C9F">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0.78%</w:t>
            </w:r>
          </w:p>
        </w:tc>
      </w:tr>
    </w:tbl>
    <w:p w:rsidR="00DD2F77" w:rsidRPr="00FD5C9F" w:rsidP="001D7201">
      <w:pPr>
        <w:spacing w:line="360" w:lineRule="auto"/>
        <w:ind w:firstLine="420" w:firstLineChars="200"/>
        <w:rPr>
          <w:rStyle w:val="da"/>
          <w:rFonts w:asciiTheme="minorEastAsia" w:eastAsiaTheme="minorEastAsia" w:hAnsiTheme="minorEastAsia"/>
          <w:color w:val="000000" w:themeColor="text1"/>
          <w:szCs w:val="21"/>
        </w:rPr>
      </w:pPr>
    </w:p>
    <w:p w:rsidR="00BA4B87" w:rsidRPr="00FD5C9F" w:rsidP="001D7201">
      <w:pPr>
        <w:pStyle w:val="Heading1"/>
        <w:spacing w:before="317" w:after="317" w:line="360" w:lineRule="auto"/>
        <w:ind w:firstLine="640"/>
        <w:rPr>
          <w:rFonts w:asciiTheme="minorEastAsia" w:eastAsiaTheme="minorEastAsia" w:hAnsiTheme="minorEastAsia"/>
          <w:color w:val="000000" w:themeColor="text1"/>
          <w:sz w:val="30"/>
        </w:rPr>
      </w:pPr>
      <w:r w:rsidRPr="00FD5C9F">
        <w:rPr>
          <w:rFonts w:asciiTheme="minorEastAsia" w:eastAsiaTheme="minorEastAsia" w:hAnsiTheme="minorEastAsia" w:hint="eastAsia"/>
          <w:color w:val="000000" w:themeColor="text1"/>
        </w:rPr>
        <w:br w:type="page"/>
      </w:r>
      <w:bookmarkStart w:id="76" w:name="_Toc134547851"/>
      <w:r w:rsidRPr="00FD5C9F">
        <w:rPr>
          <w:rFonts w:asciiTheme="minorEastAsia" w:eastAsiaTheme="minorEastAsia" w:hAnsiTheme="minorEastAsia" w:hint="eastAsia"/>
          <w:color w:val="000000" w:themeColor="text1"/>
          <w:sz w:val="30"/>
        </w:rPr>
        <w:t>十</w:t>
      </w:r>
      <w:bookmarkStart w:id="77" w:name="_Toc332373538"/>
      <w:r w:rsidRPr="00FD5C9F" w:rsidR="00DD2F77">
        <w:rPr>
          <w:rFonts w:asciiTheme="minorEastAsia" w:eastAsiaTheme="minorEastAsia" w:hAnsiTheme="minorEastAsia" w:hint="eastAsia"/>
          <w:color w:val="000000" w:themeColor="text1"/>
          <w:sz w:val="30"/>
        </w:rPr>
        <w:t>三</w:t>
      </w:r>
      <w:r w:rsidRPr="00FD5C9F">
        <w:rPr>
          <w:rFonts w:asciiTheme="minorEastAsia" w:eastAsiaTheme="minorEastAsia" w:hAnsiTheme="minorEastAsia" w:hint="eastAsia"/>
          <w:color w:val="000000" w:themeColor="text1"/>
          <w:sz w:val="30"/>
        </w:rPr>
        <w:t>、基金的财产</w:t>
      </w:r>
      <w:bookmarkEnd w:id="76"/>
    </w:p>
    <w:bookmarkEnd w:id="77"/>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（一）基金资产总值</w:t>
      </w:r>
    </w:p>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基金资产总值是指购买的各类证券及票据价值、银行存款本息和基金应收的申购基金款以及其他投资所形成的价值总和。</w:t>
      </w:r>
    </w:p>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（二）基金资产净值</w:t>
      </w:r>
    </w:p>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基金资产净值是指基金资产总值减去基金负债后的价值。</w:t>
      </w:r>
    </w:p>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（三）基金财产的账户</w:t>
      </w:r>
    </w:p>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基金托管人根据相关法律法规、</w:t>
      </w:r>
      <w:r w:rsidRPr="00FD5C9F">
        <w:rPr>
          <w:rFonts w:asciiTheme="minorEastAsia" w:eastAsiaTheme="minorEastAsia" w:hAnsiTheme="minorEastAsia"/>
          <w:color w:val="000000" w:themeColor="text1"/>
          <w:szCs w:val="21"/>
        </w:rPr>
        <w:t>规范性文件为本基金开立资金</w:t>
      </w:r>
      <w:r w:rsidRPr="00FD5C9F">
        <w:rPr>
          <w:rFonts w:asciiTheme="minorEastAsia" w:eastAsiaTheme="minorEastAsia" w:hAnsiTheme="minorEastAsia" w:hint="eastAsia"/>
          <w:color w:val="000000" w:themeColor="text1"/>
          <w:szCs w:val="21"/>
        </w:rPr>
        <w:t>账户、证券账户以及投资所需的其他专用账户。开立的基金专用账户与基金管理人、基金托管人、基金销售机构和基金登记机构自有的财产账户以及其他基金财产账户相独立。</w:t>
      </w:r>
    </w:p>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（四）基金财产的保管和处分</w:t>
      </w:r>
    </w:p>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本基金财产独立于基金管理人、</w:t>
      </w:r>
      <w:r w:rsidRPr="00FD5C9F">
        <w:rPr>
          <w:rFonts w:asciiTheme="minorEastAsia" w:eastAsiaTheme="minorEastAsia" w:hAnsiTheme="minorEastAsia"/>
          <w:color w:val="000000" w:themeColor="text1"/>
          <w:szCs w:val="21"/>
        </w:rPr>
        <w:t>基金托管人和基金</w:t>
      </w:r>
      <w:r w:rsidRPr="00FD5C9F">
        <w:rPr>
          <w:rFonts w:asciiTheme="minorEastAsia" w:eastAsiaTheme="minorEastAsia" w:hAnsiTheme="minorEastAsia" w:hint="eastAsia"/>
          <w:color w:val="000000" w:themeColor="text1"/>
          <w:szCs w:val="21"/>
        </w:rPr>
        <w:t>销售</w:t>
      </w:r>
      <w:r w:rsidRPr="00FD5C9F">
        <w:rPr>
          <w:rFonts w:asciiTheme="minorEastAsia" w:eastAsiaTheme="minorEastAsia" w:hAnsiTheme="minorEastAsia"/>
          <w:color w:val="000000" w:themeColor="text1"/>
          <w:szCs w:val="21"/>
        </w:rPr>
        <w:t>机构的财产，并由基金托管人保管。</w:t>
      </w:r>
      <w:r w:rsidRPr="00FD5C9F">
        <w:rPr>
          <w:rFonts w:asciiTheme="minorEastAsia" w:eastAsiaTheme="minorEastAsia" w:hAnsiTheme="minorEastAsia" w:hint="eastAsia"/>
          <w:color w:val="000000" w:themeColor="text1"/>
          <w:szCs w:val="21"/>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94768A"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基金管理人、</w:t>
      </w:r>
      <w:r w:rsidRPr="00FD5C9F">
        <w:rPr>
          <w:rFonts w:asciiTheme="minorEastAsia" w:eastAsiaTheme="minorEastAsia" w:hAnsiTheme="minorEastAsia"/>
          <w:color w:val="000000" w:themeColor="text1"/>
          <w:szCs w:val="21"/>
        </w:rPr>
        <w:t>基金托管人因依法解散</w:t>
      </w:r>
      <w:r w:rsidRPr="00FD5C9F">
        <w:rPr>
          <w:rFonts w:asciiTheme="minorEastAsia" w:eastAsiaTheme="minorEastAsia" w:hAnsiTheme="minorEastAsia" w:hint="eastAsia"/>
          <w:color w:val="000000" w:themeColor="text1"/>
          <w:szCs w:val="21"/>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FD5C9F">
        <w:rPr>
          <w:rFonts w:asciiTheme="minorEastAsia" w:eastAsiaTheme="minorEastAsia" w:hAnsiTheme="minorEastAsia"/>
          <w:color w:val="000000" w:themeColor="text1"/>
          <w:szCs w:val="21"/>
        </w:rPr>
        <w:t>非因基金财产本身承担的债务，不得对基金财产强制执行。</w:t>
      </w:r>
    </w:p>
    <w:p w:rsidR="00BA4B87" w:rsidRPr="00FD5C9F" w:rsidP="00646375">
      <w:pPr>
        <w:pStyle w:val="Heading1"/>
        <w:spacing w:before="317" w:after="317" w:line="360" w:lineRule="auto"/>
        <w:ind w:firstLine="420"/>
        <w:rPr>
          <w:rFonts w:asciiTheme="minorEastAsia" w:eastAsiaTheme="minorEastAsia" w:hAnsiTheme="minorEastAsia"/>
          <w:color w:val="000000" w:themeColor="text1"/>
          <w:sz w:val="30"/>
        </w:rPr>
      </w:pPr>
      <w:bookmarkStart w:id="78" w:name="_Hlt88900062"/>
      <w:bookmarkStart w:id="79" w:name="_Hlt88841837"/>
      <w:bookmarkEnd w:id="78"/>
      <w:bookmarkEnd w:id="79"/>
      <w:r w:rsidRPr="00FD5C9F">
        <w:rPr>
          <w:rFonts w:asciiTheme="minorEastAsia" w:eastAsiaTheme="minorEastAsia" w:hAnsiTheme="minorEastAsia"/>
          <w:bCs/>
          <w:color w:val="000000" w:themeColor="text1"/>
          <w:sz w:val="21"/>
          <w:szCs w:val="21"/>
        </w:rPr>
        <w:br w:type="column"/>
      </w:r>
      <w:bookmarkStart w:id="80" w:name="_Toc134547852"/>
      <w:r w:rsidRPr="00FD5C9F">
        <w:rPr>
          <w:rFonts w:asciiTheme="minorEastAsia" w:eastAsiaTheme="minorEastAsia" w:hAnsiTheme="minorEastAsia" w:hint="eastAsia"/>
          <w:color w:val="000000" w:themeColor="text1"/>
          <w:sz w:val="30"/>
        </w:rPr>
        <w:t>十</w:t>
      </w:r>
      <w:bookmarkStart w:id="81" w:name="_Toc332373543"/>
      <w:r w:rsidRPr="00FD5C9F" w:rsidR="00DD2F77">
        <w:rPr>
          <w:rFonts w:asciiTheme="minorEastAsia" w:eastAsiaTheme="minorEastAsia" w:hAnsiTheme="minorEastAsia" w:hint="eastAsia"/>
          <w:color w:val="000000" w:themeColor="text1"/>
          <w:sz w:val="30"/>
        </w:rPr>
        <w:t>四</w:t>
      </w:r>
      <w:r w:rsidRPr="00FD5C9F">
        <w:rPr>
          <w:rFonts w:asciiTheme="minorEastAsia" w:eastAsiaTheme="minorEastAsia" w:hAnsiTheme="minorEastAsia" w:hint="eastAsia"/>
          <w:color w:val="000000" w:themeColor="text1"/>
          <w:sz w:val="30"/>
        </w:rPr>
        <w:t>、基金资产的估值</w:t>
      </w:r>
      <w:bookmarkEnd w:id="80"/>
    </w:p>
    <w:bookmarkEnd w:id="81"/>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（一）估值日</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本基金的估值日为本基金相关的证券交易场所的</w:t>
      </w:r>
      <w:r w:rsidRPr="00FD5C9F">
        <w:rPr>
          <w:rFonts w:asciiTheme="minorEastAsia" w:eastAsiaTheme="minorEastAsia" w:hAnsiTheme="minorEastAsia" w:hint="eastAsia"/>
          <w:color w:val="000000" w:themeColor="text1"/>
          <w:szCs w:val="21"/>
        </w:rPr>
        <w:t>共同</w:t>
      </w:r>
      <w:r w:rsidRPr="00FD5C9F">
        <w:rPr>
          <w:rFonts w:asciiTheme="minorEastAsia" w:eastAsiaTheme="minorEastAsia" w:hAnsiTheme="minorEastAsia"/>
          <w:color w:val="000000" w:themeColor="text1"/>
          <w:szCs w:val="21"/>
        </w:rPr>
        <w:t>交易日以及国家法律法规规定需要对外披露基金净值的非交易日。</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（二）估值对象</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基金所拥有的股票、</w:t>
      </w:r>
      <w:r w:rsidRPr="00FD5C9F">
        <w:rPr>
          <w:rFonts w:asciiTheme="minorEastAsia" w:eastAsiaTheme="minorEastAsia" w:hAnsiTheme="minorEastAsia"/>
          <w:color w:val="000000" w:themeColor="text1"/>
          <w:szCs w:val="21"/>
        </w:rPr>
        <w:t>债券和银行存款本息</w:t>
      </w:r>
      <w:r w:rsidRPr="00FD5C9F">
        <w:rPr>
          <w:rFonts w:asciiTheme="minorEastAsia" w:eastAsiaTheme="minorEastAsia" w:hAnsiTheme="minorEastAsia" w:hint="eastAsia"/>
          <w:color w:val="000000" w:themeColor="text1"/>
          <w:szCs w:val="21"/>
        </w:rPr>
        <w:t>、应收款项、其它投资等资产及负债。</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（三）估值原则</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基金管理人在确定相关金融资产和金融负债的公允价值时，应符合《企业会计准则》、监管部门有关规定。</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3、如经济环境发生重大变化或证券发行人发生影响证券价格的重大事件，使潜在估值调整对前一估值日的基金资产净值的影响在0.25%以上的，应对估值进行调整并确定公允价值。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（四）估值方法</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、证券交易所上市的有价证券的估值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交易所上市的有价证券（包括股票等）</w:t>
      </w:r>
      <w:r w:rsidRPr="00FD5C9F">
        <w:rPr>
          <w:rFonts w:asciiTheme="minorEastAsia" w:eastAsiaTheme="minorEastAsia" w:hAnsiTheme="minorEastAsia" w:hint="eastAsia"/>
          <w:color w:val="000000" w:themeColor="text1"/>
          <w:szCs w:val="21"/>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）交易所上市交易或挂牌转让的不含权固定收益品种，选取估值日第三方估值机构提供的相应品种当日的估值净价进行估值；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3</w:t>
      </w:r>
      <w:r w:rsidRPr="00FD5C9F">
        <w:rPr>
          <w:rFonts w:asciiTheme="minorEastAsia" w:eastAsiaTheme="minorEastAsia" w:hAnsiTheme="minorEastAsia" w:hint="eastAsia"/>
          <w:color w:val="000000" w:themeColor="text1"/>
          <w:szCs w:val="21"/>
        </w:rPr>
        <w:t>）交易所上市交易或挂牌转让的含权固定收益品种，选取估值日第三方估值机构提供的相应品种当日的唯一估值净价或推荐估值净价进行估值；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4</w:t>
      </w:r>
      <w:r w:rsidRPr="00FD5C9F">
        <w:rPr>
          <w:rFonts w:asciiTheme="minorEastAsia" w:eastAsiaTheme="minorEastAsia" w:hAnsiTheme="minorEastAsia" w:hint="eastAsia"/>
          <w:color w:val="000000" w:themeColor="text1"/>
          <w:szCs w:val="21"/>
        </w:rPr>
        <w:t>）交易所上市交易的可转换债券以每日收盘价作为估值全价；</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5</w:t>
      </w:r>
      <w:r w:rsidRPr="00FD5C9F">
        <w:rPr>
          <w:rFonts w:asciiTheme="minorEastAsia" w:eastAsiaTheme="minorEastAsia" w:hAnsiTheme="minorEastAsia" w:hint="eastAsia"/>
          <w:color w:val="000000" w:themeColor="text1"/>
          <w:szCs w:val="21"/>
        </w:rPr>
        <w:t>）交易所上市不存在活跃市场的有价证券，采用估值技术确定公允价值。交易所市场挂牌转让的资产支持证券，采用估值技术确定公允价值；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6</w:t>
      </w:r>
      <w:r w:rsidRPr="00FD5C9F">
        <w:rPr>
          <w:rFonts w:asciiTheme="minorEastAsia" w:eastAsiaTheme="minorEastAsia" w:hAnsiTheme="minorEastAsia" w:hint="eastAsia"/>
          <w:color w:val="000000" w:themeColor="text1"/>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、处于未上市期间的有价证券应区分如下情况处理：</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）送股、转增股、配股和公开增发的新股，按估值日在证券交易所挂牌的同一股票的估值方法估值；该日无交易的，以最近一日的市价（收盘价）估值；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）首次公开发行未上市的股票、债券，采用估值技术确定公允价值，在估值技术难以可靠计量公允价值的情况下，按成本估值；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3</w:t>
      </w:r>
      <w:r w:rsidRPr="00FD5C9F">
        <w:rPr>
          <w:rFonts w:asciiTheme="minorEastAsia" w:eastAsiaTheme="minorEastAsia" w:hAnsiTheme="minorEastAsia" w:hint="eastAsia"/>
          <w:color w:val="000000" w:themeColor="text1"/>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3</w:t>
      </w:r>
      <w:r w:rsidRPr="00FD5C9F">
        <w:rPr>
          <w:rFonts w:asciiTheme="minorEastAsia" w:eastAsiaTheme="minorEastAsia" w:hAnsiTheme="minorEastAsia" w:hint="eastAsia"/>
          <w:color w:val="000000" w:themeColor="text1"/>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4</w:t>
      </w:r>
      <w:r w:rsidRPr="00FD5C9F">
        <w:rPr>
          <w:rFonts w:asciiTheme="minorEastAsia" w:eastAsiaTheme="minorEastAsia" w:hAnsiTheme="minorEastAsia" w:hint="eastAsia"/>
          <w:color w:val="000000" w:themeColor="text1"/>
          <w:szCs w:val="21"/>
        </w:rPr>
        <w:t>、期货合约以估值当日结算价进行估值，估值当日无结算价的，且最近交易日后经济环境未发生重大变化的，采用最近交易日结算价估值。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5、股票期权合约按照法律法规、监管机构、行业协会等规定的估值方法进行估值。</w:t>
      </w:r>
    </w:p>
    <w:p w:rsidR="002D6B21" w:rsidRPr="00FD5C9F" w:rsidP="002D6B2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6、本基金投资存托凭证的估值核算，依照境内上市交易的股票执行。</w:t>
      </w:r>
    </w:p>
    <w:p w:rsidR="002D6B21" w:rsidRPr="00FD5C9F" w:rsidP="002D6B2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7、汇率</w:t>
      </w:r>
    </w:p>
    <w:p w:rsidR="002D6B21" w:rsidRPr="00FD5C9F" w:rsidP="002D6B2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如本基金投资股票市场交易互联互通机制允许买卖的境外证券市场上市的股票，涉及相关货币对人民币汇率的，汇率来源详见招募说明书。</w:t>
      </w:r>
    </w:p>
    <w:p w:rsidR="002D6B21" w:rsidRPr="00FD5C9F" w:rsidP="002D6B2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8、税收</w:t>
      </w:r>
    </w:p>
    <w:p w:rsidR="002D6B21" w:rsidRPr="00FD5C9F" w:rsidP="002D6B2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2D6B21" w:rsidRPr="00FD5C9F" w:rsidP="002D6B2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9、如有充分理由表明按上述方法进行估值不能客观反映其公允价值的，基金管理人可根据具体情况与基金托管人商定后，按最能反映公允价值的价格估值。</w:t>
      </w:r>
    </w:p>
    <w:p w:rsidR="002D6B21" w:rsidRPr="00FD5C9F" w:rsidP="002D6B2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10、当发生大额申购或赎回情形时，基金管理人可以采用摆动定价机制，以确保基金估值的公平性。</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11、相关法律法规以及监管部门有强制规定的，从其规定。如有新增事项，按国家最新规定估值。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（五）估值程序</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、基金份额净值是按照每个估值日闭市后，基金资产净值除以当日基金份额的余额数量计算，精确到</w:t>
      </w:r>
      <w:r w:rsidRPr="00FD5C9F">
        <w:rPr>
          <w:rFonts w:asciiTheme="minorEastAsia" w:eastAsiaTheme="minorEastAsia" w:hAnsiTheme="minorEastAsia"/>
          <w:color w:val="000000" w:themeColor="text1"/>
          <w:szCs w:val="21"/>
        </w:rPr>
        <w:t>0.0001</w:t>
      </w:r>
      <w:r w:rsidRPr="00FD5C9F">
        <w:rPr>
          <w:rFonts w:asciiTheme="minorEastAsia" w:eastAsiaTheme="minorEastAsia" w:hAnsiTheme="minorEastAsia" w:hint="eastAsia"/>
          <w:color w:val="000000" w:themeColor="text1"/>
          <w:szCs w:val="21"/>
        </w:rPr>
        <w:t>元，小数点后第</w:t>
      </w:r>
      <w:r w:rsidRPr="00FD5C9F">
        <w:rPr>
          <w:rFonts w:asciiTheme="minorEastAsia" w:eastAsiaTheme="minorEastAsia" w:hAnsiTheme="minorEastAsia"/>
          <w:color w:val="000000" w:themeColor="text1"/>
          <w:szCs w:val="21"/>
        </w:rPr>
        <w:t>5</w:t>
      </w:r>
      <w:r w:rsidRPr="00FD5C9F">
        <w:rPr>
          <w:rFonts w:asciiTheme="minorEastAsia" w:eastAsiaTheme="minorEastAsia" w:hAnsiTheme="minorEastAsia" w:hint="eastAsia"/>
          <w:color w:val="000000" w:themeColor="text1"/>
          <w:szCs w:val="21"/>
        </w:rPr>
        <w:t>位四舍五入。基金管理人可以设立大额赎回情形下的净值精度应急调整机制。国家另有规定的，从其规定。</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每个估值日计算基金资产净值及基金份额净值，并按规定公告。</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、基金管理人应每个估值日对基金资产估值。但基金管理人根据法律法规或</w:t>
      </w:r>
      <w:r w:rsidRPr="00FD5C9F" w:rsidR="00C84047">
        <w:rPr>
          <w:rFonts w:asciiTheme="minorEastAsia" w:eastAsiaTheme="minorEastAsia" w:hAnsiTheme="minorEastAsia" w:hint="eastAsia"/>
          <w:color w:val="000000" w:themeColor="text1"/>
          <w:szCs w:val="21"/>
        </w:rPr>
        <w:t>基金合同</w:t>
      </w:r>
      <w:r w:rsidRPr="00FD5C9F">
        <w:rPr>
          <w:rFonts w:asciiTheme="minorEastAsia" w:eastAsiaTheme="minorEastAsia" w:hAnsiTheme="minorEastAsia" w:hint="eastAsia"/>
          <w:color w:val="000000" w:themeColor="text1"/>
          <w:szCs w:val="21"/>
        </w:rPr>
        <w:t>的规定暂停估值时除外。基金管理人每个估值日对基金资产估值后，将基金份额净值结果发送基金托管人，经基金托管人复核无误后，由基金管理人按规定对外公布。</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（六）估值错误的处理</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基金管理人和基金托管人将采取必要、适当、合理的措施确保基金资产估值的准确性、及时性。当基金份额净值小数点后</w:t>
      </w:r>
      <w:r w:rsidRPr="00FD5C9F">
        <w:rPr>
          <w:rFonts w:asciiTheme="minorEastAsia" w:eastAsiaTheme="minorEastAsia" w:hAnsiTheme="minorEastAsia"/>
          <w:color w:val="000000" w:themeColor="text1"/>
          <w:szCs w:val="21"/>
        </w:rPr>
        <w:t>4</w:t>
      </w:r>
      <w:r w:rsidRPr="00FD5C9F">
        <w:rPr>
          <w:rFonts w:asciiTheme="minorEastAsia" w:eastAsiaTheme="minorEastAsia" w:hAnsiTheme="minorEastAsia" w:hint="eastAsia"/>
          <w:color w:val="000000" w:themeColor="text1"/>
          <w:szCs w:val="21"/>
        </w:rPr>
        <w:t>位以内（含第</w:t>
      </w:r>
      <w:r w:rsidRPr="00FD5C9F">
        <w:rPr>
          <w:rFonts w:asciiTheme="minorEastAsia" w:eastAsiaTheme="minorEastAsia" w:hAnsiTheme="minorEastAsia"/>
          <w:color w:val="000000" w:themeColor="text1"/>
          <w:szCs w:val="21"/>
        </w:rPr>
        <w:t xml:space="preserve">4 </w:t>
      </w:r>
      <w:r w:rsidRPr="00FD5C9F">
        <w:rPr>
          <w:rFonts w:asciiTheme="minorEastAsia" w:eastAsiaTheme="minorEastAsia" w:hAnsiTheme="minorEastAsia" w:hint="eastAsia"/>
          <w:color w:val="000000" w:themeColor="text1"/>
          <w:szCs w:val="21"/>
        </w:rPr>
        <w:t>位）发生估值错误时，视为基金份额净值错误。</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基金合同的当事人应按照以下约定处理：</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、估值错误类型</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估值错误处理原则</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给予赔偿，承担赔偿责任。</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上述估值错误的主要类型包括但不限于：资料申报差错、数据传输差错、数据计算差错、系统故障差错、下达指令差错等。</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、估值错误处理原则</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）估值错误的责任方对有关当事人的直接损失负责，不对间接损失负责，并且仅对估值错误的有关直接当事人负责，不对第三方负责。</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3</w:t>
      </w:r>
      <w:r w:rsidRPr="00FD5C9F">
        <w:rPr>
          <w:rFonts w:asciiTheme="minorEastAsia" w:eastAsiaTheme="minorEastAsia" w:hAnsiTheme="minorEastAsia" w:hint="eastAsia"/>
          <w:color w:val="000000" w:themeColor="text1"/>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4</w:t>
      </w:r>
      <w:r w:rsidRPr="00FD5C9F">
        <w:rPr>
          <w:rFonts w:asciiTheme="minorEastAsia" w:eastAsiaTheme="minorEastAsia" w:hAnsiTheme="minorEastAsia" w:hint="eastAsia"/>
          <w:color w:val="000000" w:themeColor="text1"/>
          <w:szCs w:val="21"/>
        </w:rPr>
        <w:t>）估值错误调整采用尽量恢复至假设未发生估值错误的正确情形的方式。</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3</w:t>
      </w:r>
      <w:r w:rsidRPr="00FD5C9F">
        <w:rPr>
          <w:rFonts w:asciiTheme="minorEastAsia" w:eastAsiaTheme="minorEastAsia" w:hAnsiTheme="minorEastAsia" w:hint="eastAsia"/>
          <w:color w:val="000000" w:themeColor="text1"/>
          <w:szCs w:val="21"/>
        </w:rPr>
        <w:t>、估值错误处理程序</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估值错误被发现后，有关的当事人应当及时进行处理，处理的程序如下：</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）查明估值错误发生的原因，列明所有的当事人，并根据估值错误发生的原因确定估值错误的责任方；</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）根据估值错误处理原则或当事人协商的方法对因估值错误造成的损失进行评估；</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3</w:t>
      </w:r>
      <w:r w:rsidRPr="00FD5C9F">
        <w:rPr>
          <w:rFonts w:asciiTheme="minorEastAsia" w:eastAsiaTheme="minorEastAsia" w:hAnsiTheme="minorEastAsia" w:hint="eastAsia"/>
          <w:color w:val="000000" w:themeColor="text1"/>
          <w:szCs w:val="21"/>
        </w:rPr>
        <w:t>）根据估值错误处理原则或当事人协商的方法由估值错误的责任方进行更正和赔偿损失；</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4</w:t>
      </w:r>
      <w:r w:rsidRPr="00FD5C9F">
        <w:rPr>
          <w:rFonts w:asciiTheme="minorEastAsia" w:eastAsiaTheme="minorEastAsia" w:hAnsiTheme="minorEastAsia" w:hint="eastAsia"/>
          <w:color w:val="000000" w:themeColor="text1"/>
          <w:szCs w:val="21"/>
        </w:rPr>
        <w:t>）根据估值错误处理的方法，需要修改基金登记机构交易数据的，由基金登记机构进行更正，并就估值错误的更正向有关当事人进行确认。</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4</w:t>
      </w:r>
      <w:r w:rsidRPr="00FD5C9F">
        <w:rPr>
          <w:rFonts w:asciiTheme="minorEastAsia" w:eastAsiaTheme="minorEastAsia" w:hAnsiTheme="minorEastAsia" w:hint="eastAsia"/>
          <w:color w:val="000000" w:themeColor="text1"/>
          <w:szCs w:val="21"/>
        </w:rPr>
        <w:t>、基金份额净值估值错误处理的方法如下：</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）基金份额净值计算出现错误时，基金管理人应当立即予以纠正，通报基金托管人，并采取合理的措施防止损失进一步扩大。</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）错误偏差达到基金份额净值的</w:t>
      </w:r>
      <w:r w:rsidRPr="00FD5C9F">
        <w:rPr>
          <w:rFonts w:asciiTheme="minorEastAsia" w:eastAsiaTheme="minorEastAsia" w:hAnsiTheme="minorEastAsia"/>
          <w:color w:val="000000" w:themeColor="text1"/>
          <w:szCs w:val="21"/>
        </w:rPr>
        <w:t>0.25%</w:t>
      </w:r>
      <w:r w:rsidRPr="00FD5C9F">
        <w:rPr>
          <w:rFonts w:asciiTheme="minorEastAsia" w:eastAsiaTheme="minorEastAsia" w:hAnsiTheme="minorEastAsia" w:hint="eastAsia"/>
          <w:color w:val="000000" w:themeColor="text1"/>
          <w:szCs w:val="21"/>
        </w:rPr>
        <w:t>时，基金管理人应当通报基金托管人；错误偏差达到基金份额净值的</w:t>
      </w:r>
      <w:r w:rsidRPr="00FD5C9F">
        <w:rPr>
          <w:rFonts w:asciiTheme="minorEastAsia" w:eastAsiaTheme="minorEastAsia" w:hAnsiTheme="minorEastAsia"/>
          <w:color w:val="000000" w:themeColor="text1"/>
          <w:szCs w:val="21"/>
        </w:rPr>
        <w:t>0.5%</w:t>
      </w:r>
      <w:r w:rsidRPr="00FD5C9F">
        <w:rPr>
          <w:rFonts w:asciiTheme="minorEastAsia" w:eastAsiaTheme="minorEastAsia" w:hAnsiTheme="minorEastAsia" w:hint="eastAsia"/>
          <w:color w:val="000000" w:themeColor="text1"/>
          <w:szCs w:val="21"/>
        </w:rPr>
        <w:t>时，基金管理人应当公告，并报中国证监会备案。</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（3）当基金份额净值计算差错给基金和基金份额持有人造成损失需要进行赔偿时，基金管理人和基金托管人应根据实际情况界定双方承担的责任，经确认后按以下条款进行赔偿：</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 xml:space="preserve">④由于基金管理人提供的信息错误（包括但不限于基金申购或赎回金额等），进而导致基金份额净值计算错误而引起的基金份额持有人和基金财产的损失，由基金管理人负责赔付。 </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（4）前述内容如法律法规或监管机关另有规定的，从其规定处理。</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（七）暂停估值的情形</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1、基金投资所涉及的证券交易市场遇法定节假日或因其他原因暂停营业时</w:t>
      </w:r>
      <w:r w:rsidRPr="00FD5C9F">
        <w:rPr>
          <w:rFonts w:asciiTheme="minorEastAsia" w:eastAsiaTheme="minorEastAsia" w:hAnsiTheme="minorEastAsia" w:hint="eastAsia"/>
          <w:color w:val="000000" w:themeColor="text1"/>
          <w:szCs w:val="21"/>
        </w:rPr>
        <w:t>；</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、因不可抗力致使基金管理人、基金托管人无法准确评估基金资产价值时；</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3</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当前一估值日基金资产净值 50%以上的资产出现无可参考的活跃市场价格且采用估值技术仍导致公允价值存在重大不确定性时，经与基金托管人协商确认后，基金管理人应当暂停估值；</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4</w:t>
      </w:r>
      <w:r w:rsidRPr="00FD5C9F">
        <w:rPr>
          <w:rFonts w:asciiTheme="minorEastAsia" w:eastAsiaTheme="minorEastAsia" w:hAnsiTheme="minorEastAsia" w:hint="eastAsia"/>
          <w:color w:val="000000" w:themeColor="text1"/>
          <w:szCs w:val="21"/>
        </w:rPr>
        <w:t>、中国证监会和基金合同认定的其它情形。</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（八）基金净值的确认</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（九）特殊情况的处理</w:t>
      </w:r>
    </w:p>
    <w:p w:rsidR="00125E40"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1</w:t>
      </w:r>
      <w:r w:rsidRPr="00FD5C9F">
        <w:rPr>
          <w:rFonts w:asciiTheme="minorEastAsia" w:eastAsiaTheme="minorEastAsia" w:hAnsiTheme="minorEastAsia" w:hint="eastAsia"/>
          <w:color w:val="000000" w:themeColor="text1"/>
          <w:szCs w:val="21"/>
        </w:rPr>
        <w:t>、基金管理人或基金托管人按估值方法的第</w:t>
      </w:r>
      <w:r w:rsidRPr="00FD5C9F" w:rsidR="002D6B21">
        <w:rPr>
          <w:rFonts w:asciiTheme="minorEastAsia" w:eastAsiaTheme="minorEastAsia" w:hAnsiTheme="minorEastAsia" w:hint="eastAsia"/>
          <w:color w:val="000000" w:themeColor="text1"/>
          <w:szCs w:val="21"/>
        </w:rPr>
        <w:t>9</w:t>
      </w:r>
      <w:r w:rsidRPr="00FD5C9F">
        <w:rPr>
          <w:rFonts w:asciiTheme="minorEastAsia" w:eastAsiaTheme="minorEastAsia" w:hAnsiTheme="minorEastAsia" w:hint="eastAsia"/>
          <w:color w:val="000000" w:themeColor="text1"/>
          <w:szCs w:val="21"/>
        </w:rPr>
        <w:t>项进行估值时，所造成的误差不作为基金资产估值错误处理。</w:t>
      </w:r>
    </w:p>
    <w:p w:rsidR="00444CB3" w:rsidRPr="00FD5C9F" w:rsidP="001D7201">
      <w:pPr>
        <w:spacing w:line="360" w:lineRule="auto"/>
        <w:ind w:firstLine="472" w:firstLineChars="225"/>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2</w:t>
      </w:r>
      <w:r w:rsidRPr="00FD5C9F">
        <w:rPr>
          <w:rFonts w:asciiTheme="minorEastAsia" w:eastAsiaTheme="minorEastAsia" w:hAnsiTheme="minorEastAsia" w:hint="eastAsia"/>
          <w:color w:val="000000" w:themeColor="text1"/>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444CB3" w:rsidRPr="00FD5C9F" w:rsidP="001D7201">
      <w:pPr>
        <w:pStyle w:val="Heading1"/>
        <w:spacing w:before="317" w:after="317" w:line="360" w:lineRule="auto"/>
        <w:ind w:firstLine="420"/>
        <w:rPr>
          <w:rFonts w:asciiTheme="minorEastAsia" w:eastAsiaTheme="minorEastAsia" w:hAnsiTheme="minorEastAsia"/>
          <w:color w:val="000000" w:themeColor="text1"/>
          <w:sz w:val="21"/>
          <w:szCs w:val="21"/>
        </w:rPr>
      </w:pPr>
      <w:r w:rsidRPr="00FD5C9F">
        <w:rPr>
          <w:rFonts w:asciiTheme="minorEastAsia" w:eastAsiaTheme="minorEastAsia" w:hAnsiTheme="minorEastAsia"/>
          <w:color w:val="000000" w:themeColor="text1"/>
          <w:sz w:val="21"/>
          <w:szCs w:val="21"/>
        </w:rPr>
        <w:br w:type="page"/>
      </w:r>
    </w:p>
    <w:p w:rsidR="00BA4B87" w:rsidRPr="00FD5C9F" w:rsidP="009A5A64">
      <w:pPr>
        <w:pStyle w:val="Heading1"/>
        <w:spacing w:before="317" w:after="317" w:line="360" w:lineRule="auto"/>
        <w:ind w:firstLine="600"/>
        <w:rPr>
          <w:rFonts w:asciiTheme="minorEastAsia" w:eastAsiaTheme="minorEastAsia" w:hAnsiTheme="minorEastAsia"/>
          <w:bCs/>
          <w:color w:val="000000" w:themeColor="text1"/>
        </w:rPr>
      </w:pPr>
      <w:bookmarkStart w:id="82" w:name="_Toc134547853"/>
      <w:r w:rsidRPr="00FD5C9F">
        <w:rPr>
          <w:rFonts w:asciiTheme="minorEastAsia" w:eastAsiaTheme="minorEastAsia" w:hAnsiTheme="minorEastAsia" w:hint="eastAsia"/>
          <w:color w:val="000000" w:themeColor="text1"/>
          <w:sz w:val="30"/>
        </w:rPr>
        <w:t>十</w:t>
      </w:r>
      <w:bookmarkStart w:id="83" w:name="_Toc332373553"/>
      <w:r w:rsidRPr="00FD5C9F" w:rsidR="00DD2F77">
        <w:rPr>
          <w:rFonts w:asciiTheme="minorEastAsia" w:eastAsiaTheme="minorEastAsia" w:hAnsiTheme="minorEastAsia" w:hint="eastAsia"/>
          <w:color w:val="000000" w:themeColor="text1"/>
          <w:sz w:val="30"/>
        </w:rPr>
        <w:t>五</w:t>
      </w:r>
      <w:r w:rsidRPr="00FD5C9F">
        <w:rPr>
          <w:rFonts w:asciiTheme="minorEastAsia" w:eastAsiaTheme="minorEastAsia" w:hAnsiTheme="minorEastAsia" w:hint="eastAsia"/>
          <w:color w:val="000000" w:themeColor="text1"/>
          <w:sz w:val="30"/>
        </w:rPr>
        <w:t>、基金的收益分配</w:t>
      </w:r>
      <w:bookmarkEnd w:id="82"/>
    </w:p>
    <w:bookmarkEnd w:id="83"/>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（一）基金利润的构成</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基金利润指基金利息收入、投资收益、公允价值变动收益和其他收入扣除相关费用后的余额，基金已实现收益指基金利润减去公允价值变动收益后的余额。</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（二）基金可供分配利润</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基金可供分配利润指截至收益分配基准日基金未分配利润与未分配利润中已实现收益的孰低数。</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（三）基金收益分配原则</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bCs/>
          <w:color w:val="000000" w:themeColor="text1"/>
          <w:szCs w:val="21"/>
        </w:rPr>
        <w:t>在符合有关基金分红条件的前提下，基金管理人可以根据实际情况进行收益分配，具体分配方案以公告为准，</w:t>
      </w:r>
      <w:r w:rsidRPr="00FD5C9F">
        <w:rPr>
          <w:rFonts w:asciiTheme="minorEastAsia" w:eastAsiaTheme="minorEastAsia" w:hAnsiTheme="minorEastAsia" w:hint="eastAsia"/>
          <w:bCs/>
          <w:color w:val="000000" w:themeColor="text1"/>
          <w:szCs w:val="21"/>
        </w:rPr>
        <w:t>若《基金合同》生效不满</w:t>
      </w: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个月可不进行收益分配；</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、本基金收益分配方式分两种：现金分红与红利再投资，投资者可选择现金红利或将现金红利自动转为基金份额进行再投资；若投资者不选择，本基金默认的收益分配方式是现金分红</w:t>
      </w:r>
      <w:r w:rsidRPr="00FD5C9F">
        <w:rPr>
          <w:rFonts w:asciiTheme="minorEastAsia" w:eastAsiaTheme="minorEastAsia" w:hAnsiTheme="minorEastAsia"/>
          <w:bCs/>
          <w:color w:val="000000" w:themeColor="text1"/>
          <w:szCs w:val="21"/>
        </w:rPr>
        <w:t>；</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、基金收益分配后基金份额净值不能低于面值；即基金收益分配基准日的基金份额净值减去每单位基金份额收益分配金额后不能低于面值；</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4、</w:t>
      </w:r>
      <w:r w:rsidRPr="00FD5C9F">
        <w:rPr>
          <w:rFonts w:asciiTheme="minorEastAsia" w:eastAsiaTheme="minorEastAsia" w:hAnsiTheme="minorEastAsia" w:hint="eastAsia"/>
          <w:bCs/>
          <w:color w:val="000000" w:themeColor="text1"/>
          <w:szCs w:val="21"/>
        </w:rPr>
        <w:t>同一类别的</w:t>
      </w:r>
      <w:r w:rsidRPr="00FD5C9F">
        <w:rPr>
          <w:rFonts w:asciiTheme="minorEastAsia" w:eastAsiaTheme="minorEastAsia" w:hAnsiTheme="minorEastAsia"/>
          <w:bCs/>
          <w:color w:val="000000" w:themeColor="text1"/>
          <w:szCs w:val="21"/>
        </w:rPr>
        <w:t>每一基金份额享有同等分配权；</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5</w:t>
      </w:r>
      <w:r w:rsidRPr="00FD5C9F">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6</w:t>
      </w:r>
      <w:r w:rsidRPr="00FD5C9F">
        <w:rPr>
          <w:rFonts w:asciiTheme="minorEastAsia" w:eastAsiaTheme="minorEastAsia" w:hAnsiTheme="minorEastAsia" w:hint="eastAsia"/>
          <w:bCs/>
          <w:color w:val="000000" w:themeColor="text1"/>
          <w:szCs w:val="21"/>
        </w:rPr>
        <w:t>、法律法规或监管机关另有规定的，从其规定。</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（四）收益分配方案</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基金收益分配方案中应载明截止收益分配基准日的可供分配利润、基金收益分配对象、分配时间、分配数额及比例、分配方式等内容。</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（五）收益分配方案的确定、公告与实施</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本基金收益分配方案由基金管理人拟定，并由基金托管人复核，在</w:t>
      </w: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日内在规定媒介公告。</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（六）基金收益分配中发生的费用</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基金收益分配时所发生的银行转账或其他手续费用由投资者自行承担。</w:t>
      </w:r>
      <w:r w:rsidRPr="00FD5C9F">
        <w:rPr>
          <w:rFonts w:asciiTheme="minorEastAsia" w:eastAsiaTheme="minorEastAsia" w:hAnsiTheme="minorEastAsia"/>
          <w:bCs/>
          <w:color w:val="000000" w:themeColor="text1"/>
          <w:szCs w:val="21"/>
        </w:rPr>
        <w:t>当投资者的现金红利小于一定金额</w:t>
      </w:r>
      <w:r w:rsidRPr="00FD5C9F">
        <w:rPr>
          <w:rFonts w:asciiTheme="minorEastAsia" w:eastAsiaTheme="minorEastAsia" w:hAnsiTheme="minorEastAsia" w:hint="eastAsia"/>
          <w:bCs/>
          <w:color w:val="000000" w:themeColor="text1"/>
          <w:szCs w:val="21"/>
        </w:rPr>
        <w:t>，不足以支付银行转账或其他手续费用时，</w:t>
      </w:r>
      <w:r w:rsidRPr="00FD5C9F">
        <w:rPr>
          <w:rFonts w:asciiTheme="minorEastAsia" w:eastAsiaTheme="minorEastAsia" w:hAnsiTheme="minorEastAsia"/>
          <w:bCs/>
          <w:color w:val="000000" w:themeColor="text1"/>
          <w:szCs w:val="21"/>
        </w:rPr>
        <w:t>基金登记机构可将基金份额持有人的现金红利自动转为基金份额。</w:t>
      </w:r>
      <w:r w:rsidRPr="00FD5C9F">
        <w:rPr>
          <w:rFonts w:asciiTheme="minorEastAsia" w:eastAsiaTheme="minorEastAsia" w:hAnsiTheme="minorEastAsia" w:hint="eastAsia"/>
          <w:bCs/>
          <w:color w:val="000000" w:themeColor="text1"/>
          <w:szCs w:val="21"/>
        </w:rPr>
        <w:t>红利再投资的计算方法，依照《业务规则》执行。</w:t>
      </w:r>
    </w:p>
    <w:p w:rsidR="00132CC4" w:rsidRPr="00FD5C9F" w:rsidP="00175137">
      <w:pPr>
        <w:spacing w:line="360" w:lineRule="auto"/>
        <w:ind w:firstLine="472" w:firstLineChars="225"/>
        <w:jc w:val="center"/>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br w:type="page"/>
      </w:r>
    </w:p>
    <w:p w:rsidR="00BA4B87" w:rsidRPr="00FD5C9F" w:rsidP="00491050">
      <w:pPr>
        <w:pStyle w:val="Heading1"/>
        <w:spacing w:before="317" w:after="317" w:line="360" w:lineRule="auto"/>
        <w:ind w:firstLine="600"/>
        <w:rPr>
          <w:rFonts w:asciiTheme="minorEastAsia" w:eastAsiaTheme="minorEastAsia" w:hAnsiTheme="minorEastAsia"/>
          <w:color w:val="000000" w:themeColor="text1"/>
          <w:sz w:val="30"/>
        </w:rPr>
      </w:pPr>
      <w:bookmarkStart w:id="84" w:name="_Toc134547854"/>
      <w:r w:rsidRPr="00FD5C9F">
        <w:rPr>
          <w:rFonts w:asciiTheme="minorEastAsia" w:eastAsiaTheme="minorEastAsia" w:hAnsiTheme="minorEastAsia" w:hint="eastAsia"/>
          <w:color w:val="000000" w:themeColor="text1"/>
          <w:sz w:val="30"/>
        </w:rPr>
        <w:t>十</w:t>
      </w:r>
      <w:bookmarkStart w:id="85" w:name="_Toc332373560"/>
      <w:r w:rsidRPr="00FD5C9F" w:rsidR="00DD2F77">
        <w:rPr>
          <w:rFonts w:asciiTheme="minorEastAsia" w:eastAsiaTheme="minorEastAsia" w:hAnsiTheme="minorEastAsia" w:hint="eastAsia"/>
          <w:color w:val="000000" w:themeColor="text1"/>
          <w:sz w:val="30"/>
        </w:rPr>
        <w:t>六</w:t>
      </w:r>
      <w:r w:rsidRPr="00FD5C9F">
        <w:rPr>
          <w:rFonts w:asciiTheme="minorEastAsia" w:eastAsiaTheme="minorEastAsia" w:hAnsiTheme="minorEastAsia" w:hint="eastAsia"/>
          <w:color w:val="000000" w:themeColor="text1"/>
          <w:sz w:val="30"/>
        </w:rPr>
        <w:t>、基金的费用与税收</w:t>
      </w:r>
      <w:bookmarkEnd w:id="84"/>
    </w:p>
    <w:p w:rsidR="00DB29A2" w:rsidRPr="00FD5C9F" w:rsidP="00DB29A2">
      <w:pPr>
        <w:spacing w:line="360" w:lineRule="auto"/>
        <w:ind w:firstLine="420" w:firstLineChars="200"/>
        <w:rPr>
          <w:rFonts w:asciiTheme="minorEastAsia" w:eastAsiaTheme="minorEastAsia" w:hAnsiTheme="minorEastAsia"/>
          <w:bCs/>
          <w:color w:val="000000" w:themeColor="text1"/>
          <w:szCs w:val="21"/>
        </w:rPr>
      </w:pPr>
      <w:bookmarkStart w:id="86" w:name="_Toc332373561"/>
      <w:bookmarkEnd w:id="85"/>
      <w:r w:rsidRPr="00FD5C9F">
        <w:rPr>
          <w:rFonts w:asciiTheme="minorEastAsia" w:eastAsiaTheme="minorEastAsia" w:hAnsiTheme="minorEastAsia" w:hint="eastAsia"/>
          <w:bCs/>
          <w:color w:val="000000" w:themeColor="text1"/>
          <w:szCs w:val="21"/>
        </w:rPr>
        <w:t>（一）基金费用的种类</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、基金管理人的管理费</w:t>
      </w:r>
      <w:r w:rsidRPr="00FD5C9F">
        <w:rPr>
          <w:rFonts w:asciiTheme="minorEastAsia" w:eastAsiaTheme="minorEastAsia" w:hAnsiTheme="minorEastAsia"/>
          <w:bCs/>
          <w:color w:val="000000" w:themeColor="text1"/>
          <w:szCs w:val="21"/>
        </w:rPr>
        <w:t>；</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、基金托管人的托管费</w:t>
      </w:r>
      <w:r w:rsidRPr="00FD5C9F">
        <w:rPr>
          <w:rFonts w:asciiTheme="minorEastAsia" w:eastAsiaTheme="minorEastAsia" w:hAnsiTheme="minorEastAsia"/>
          <w:bCs/>
          <w:color w:val="000000" w:themeColor="text1"/>
          <w:szCs w:val="21"/>
        </w:rPr>
        <w:t>；</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、《基金合同》生效后与基金相关的信息披露费用；</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4</w:t>
      </w:r>
      <w:r w:rsidRPr="00FD5C9F">
        <w:rPr>
          <w:rFonts w:asciiTheme="minorEastAsia" w:eastAsiaTheme="minorEastAsia" w:hAnsiTheme="minorEastAsia" w:hint="eastAsia"/>
          <w:bCs/>
          <w:color w:val="000000" w:themeColor="text1"/>
          <w:szCs w:val="21"/>
        </w:rPr>
        <w:t>、《基金合同》生效后与基金相关的会计师费、律师费、诉讼费和仲裁费；</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5</w:t>
      </w:r>
      <w:r w:rsidRPr="00FD5C9F">
        <w:rPr>
          <w:rFonts w:asciiTheme="minorEastAsia" w:eastAsiaTheme="minorEastAsia" w:hAnsiTheme="minorEastAsia" w:hint="eastAsia"/>
          <w:bCs/>
          <w:color w:val="000000" w:themeColor="text1"/>
          <w:szCs w:val="21"/>
        </w:rPr>
        <w:t>、基金份额持有人大会费用；</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6、基金的证券交易费用；</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7、基金的银行汇划费用；</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8</w:t>
      </w:r>
      <w:r w:rsidRPr="00FD5C9F">
        <w:rPr>
          <w:rFonts w:asciiTheme="minorEastAsia" w:eastAsiaTheme="minorEastAsia" w:hAnsiTheme="minorEastAsia" w:hint="eastAsia"/>
          <w:bCs/>
          <w:color w:val="000000" w:themeColor="text1"/>
          <w:szCs w:val="21"/>
        </w:rPr>
        <w:t>、证券账户开户费用、银行账户维护费用；</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9、</w:t>
      </w:r>
      <w:r w:rsidRPr="00FD5C9F">
        <w:rPr>
          <w:rFonts w:asciiTheme="minorEastAsia" w:eastAsiaTheme="minorEastAsia" w:hAnsiTheme="minorEastAsia" w:hint="eastAsia"/>
          <w:bCs/>
          <w:color w:val="000000" w:themeColor="text1"/>
          <w:szCs w:val="21"/>
        </w:rPr>
        <w:t>因投资内地与香港股票市场交易互联互通机制允许买卖的香港证券市场股票而产生的各项合理费用；</w:t>
      </w:r>
    </w:p>
    <w:p w:rsidR="00DB29A2"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1</w:t>
      </w:r>
      <w:r w:rsidRPr="00FD5C9F">
        <w:rPr>
          <w:rFonts w:asciiTheme="minorEastAsia" w:eastAsiaTheme="minorEastAsia" w:hAnsiTheme="minorEastAsia"/>
          <w:bCs/>
          <w:color w:val="000000" w:themeColor="text1"/>
          <w:szCs w:val="21"/>
        </w:rPr>
        <w:t>0</w:t>
      </w:r>
      <w:r w:rsidRPr="00FD5C9F">
        <w:rPr>
          <w:rFonts w:asciiTheme="minorEastAsia" w:eastAsiaTheme="minorEastAsia" w:hAnsiTheme="minorEastAsia" w:hint="eastAsia"/>
          <w:bCs/>
          <w:color w:val="000000" w:themeColor="text1"/>
          <w:szCs w:val="21"/>
        </w:rPr>
        <w:t>、按照国家有关规定和《基金合同》约定，可以在基金财产中列支的其他费用。</w:t>
      </w:r>
    </w:p>
    <w:p w:rsidR="00D52FD5" w:rsidRPr="00FD5C9F" w:rsidP="00DB29A2">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（二）基金费用计提方法、计提标准和支付方式</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、基金管理人的管理费</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本基金的管理费按前一日基金资产净值的</w:t>
      </w:r>
      <w:r w:rsidRPr="00FD5C9F">
        <w:rPr>
          <w:rFonts w:asciiTheme="minorEastAsia" w:eastAsiaTheme="minorEastAsia" w:hAnsiTheme="minorEastAsia"/>
          <w:bCs/>
          <w:color w:val="000000" w:themeColor="text1"/>
          <w:szCs w:val="21"/>
        </w:rPr>
        <w:t>1.5%</w:t>
      </w:r>
      <w:r w:rsidRPr="00FD5C9F">
        <w:rPr>
          <w:rFonts w:asciiTheme="minorEastAsia" w:eastAsiaTheme="minorEastAsia" w:hAnsiTheme="minorEastAsia" w:hint="eastAsia"/>
          <w:bCs/>
          <w:color w:val="000000" w:themeColor="text1"/>
          <w:szCs w:val="21"/>
        </w:rPr>
        <w:t>年费率计提。管理费的计算方法如下：</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H</w:t>
      </w:r>
      <w:r w:rsidRPr="00FD5C9F">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bCs/>
          <w:color w:val="000000" w:themeColor="text1"/>
          <w:szCs w:val="21"/>
        </w:rPr>
        <w:t>E×1.5%÷</w:t>
      </w:r>
      <w:r w:rsidRPr="00FD5C9F">
        <w:rPr>
          <w:rFonts w:asciiTheme="minorEastAsia" w:eastAsiaTheme="minorEastAsia" w:hAnsiTheme="minorEastAsia" w:hint="eastAsia"/>
          <w:bCs/>
          <w:color w:val="000000" w:themeColor="text1"/>
          <w:szCs w:val="21"/>
        </w:rPr>
        <w:t>当年天数</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H</w:t>
      </w:r>
      <w:r w:rsidRPr="00FD5C9F">
        <w:rPr>
          <w:rFonts w:asciiTheme="minorEastAsia" w:eastAsiaTheme="minorEastAsia" w:hAnsiTheme="minorEastAsia" w:hint="eastAsia"/>
          <w:bCs/>
          <w:color w:val="000000" w:themeColor="text1"/>
          <w:szCs w:val="21"/>
        </w:rPr>
        <w:t>为每日应计提的基金管理费</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E</w:t>
      </w:r>
      <w:r w:rsidRPr="00FD5C9F">
        <w:rPr>
          <w:rFonts w:asciiTheme="minorEastAsia" w:eastAsiaTheme="minorEastAsia" w:hAnsiTheme="minorEastAsia" w:hint="eastAsia"/>
          <w:bCs/>
          <w:color w:val="000000" w:themeColor="text1"/>
          <w:szCs w:val="21"/>
        </w:rPr>
        <w:t>为前一日的基金资产净值</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基金管理费每日计提，逐日累计至每月月末，按月支付，经基金管理人与基金托管人双方核对无误后，</w:t>
      </w:r>
      <w:r w:rsidRPr="00FD5C9F">
        <w:rPr>
          <w:rFonts w:asciiTheme="minorEastAsia" w:eastAsiaTheme="minorEastAsia" w:hAnsiTheme="minorEastAsia"/>
          <w:bCs/>
          <w:color w:val="000000" w:themeColor="text1"/>
          <w:szCs w:val="21"/>
        </w:rPr>
        <w:t>基金托管人</w:t>
      </w:r>
      <w:r w:rsidRPr="00FD5C9F">
        <w:rPr>
          <w:rFonts w:asciiTheme="minorEastAsia" w:eastAsiaTheme="minorEastAsia" w:hAnsiTheme="minorEastAsia" w:hint="eastAsia"/>
          <w:bCs/>
          <w:color w:val="000000" w:themeColor="text1"/>
          <w:szCs w:val="21"/>
        </w:rPr>
        <w:t>按照与基金管理人协商一致的方式</w:t>
      </w:r>
      <w:r w:rsidRPr="00FD5C9F">
        <w:rPr>
          <w:rFonts w:asciiTheme="minorEastAsia" w:eastAsiaTheme="minorEastAsia" w:hAnsiTheme="minorEastAsia"/>
          <w:bCs/>
          <w:color w:val="000000" w:themeColor="text1"/>
          <w:szCs w:val="21"/>
        </w:rPr>
        <w:t>于次月前</w:t>
      </w:r>
      <w:r w:rsidRPr="00FD5C9F">
        <w:rPr>
          <w:rFonts w:asciiTheme="minorEastAsia" w:eastAsiaTheme="minorEastAsia" w:hAnsiTheme="minorEastAsia" w:hint="eastAsia"/>
          <w:bCs/>
          <w:color w:val="000000" w:themeColor="text1"/>
          <w:szCs w:val="21"/>
        </w:rPr>
        <w:t>5个工作日内</w:t>
      </w:r>
      <w:r w:rsidRPr="00FD5C9F">
        <w:rPr>
          <w:rFonts w:asciiTheme="minorEastAsia" w:eastAsiaTheme="minorEastAsia" w:hAnsiTheme="minorEastAsia"/>
          <w:bCs/>
          <w:color w:val="000000" w:themeColor="text1"/>
          <w:szCs w:val="21"/>
        </w:rPr>
        <w:t>从基金财产中一次性</w:t>
      </w:r>
      <w:r w:rsidRPr="00FD5C9F">
        <w:rPr>
          <w:rFonts w:asciiTheme="minorEastAsia" w:eastAsiaTheme="minorEastAsia" w:hAnsiTheme="minorEastAsia" w:hint="eastAsia"/>
          <w:bCs/>
          <w:color w:val="000000" w:themeColor="text1"/>
          <w:szCs w:val="21"/>
        </w:rPr>
        <w:t>支付</w:t>
      </w:r>
      <w:r w:rsidRPr="00FD5C9F">
        <w:rPr>
          <w:rFonts w:asciiTheme="minorEastAsia" w:eastAsiaTheme="minorEastAsia" w:hAnsiTheme="minorEastAsia"/>
          <w:bCs/>
          <w:color w:val="000000" w:themeColor="text1"/>
          <w:szCs w:val="21"/>
        </w:rPr>
        <w:t>给基金管理人</w:t>
      </w:r>
      <w:r w:rsidRPr="00FD5C9F">
        <w:rPr>
          <w:rFonts w:asciiTheme="minorEastAsia" w:eastAsiaTheme="minorEastAsia" w:hAnsiTheme="minorEastAsia" w:hint="eastAsia"/>
          <w:bCs/>
          <w:color w:val="000000" w:themeColor="text1"/>
          <w:szCs w:val="21"/>
        </w:rPr>
        <w:t>。若遇法定节假日、休息日或不可抗力致使无法按时支付的，顺延至法定节假日、休息日结束之日起2个工作日内或不可抗力情形消除之日起2个工作日内支付。</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、基金托管人的托管费</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本基金的托管费按前一日基金资产净值的0</w:t>
      </w:r>
      <w:r w:rsidRPr="00FD5C9F">
        <w:rPr>
          <w:rFonts w:asciiTheme="minorEastAsia" w:eastAsiaTheme="minorEastAsia" w:hAnsiTheme="minorEastAsia"/>
          <w:bCs/>
          <w:color w:val="000000" w:themeColor="text1"/>
          <w:szCs w:val="21"/>
        </w:rPr>
        <w:t>.25%</w:t>
      </w:r>
      <w:r w:rsidRPr="00FD5C9F">
        <w:rPr>
          <w:rFonts w:asciiTheme="minorEastAsia" w:eastAsiaTheme="minorEastAsia" w:hAnsiTheme="minorEastAsia" w:hint="eastAsia"/>
          <w:bCs/>
          <w:color w:val="000000" w:themeColor="text1"/>
          <w:szCs w:val="21"/>
        </w:rPr>
        <w:t>的年费率计提。托管费的计算方法如下：</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H</w:t>
      </w:r>
      <w:r w:rsidRPr="00FD5C9F">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bCs/>
          <w:color w:val="000000" w:themeColor="text1"/>
          <w:szCs w:val="21"/>
        </w:rPr>
        <w:t>E×0.25%÷</w:t>
      </w:r>
      <w:r w:rsidRPr="00FD5C9F">
        <w:rPr>
          <w:rFonts w:asciiTheme="minorEastAsia" w:eastAsiaTheme="minorEastAsia" w:hAnsiTheme="minorEastAsia" w:hint="eastAsia"/>
          <w:bCs/>
          <w:color w:val="000000" w:themeColor="text1"/>
          <w:szCs w:val="21"/>
        </w:rPr>
        <w:t>当年天数</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H</w:t>
      </w:r>
      <w:r w:rsidRPr="00FD5C9F">
        <w:rPr>
          <w:rFonts w:asciiTheme="minorEastAsia" w:eastAsiaTheme="minorEastAsia" w:hAnsiTheme="minorEastAsia" w:hint="eastAsia"/>
          <w:bCs/>
          <w:color w:val="000000" w:themeColor="text1"/>
          <w:szCs w:val="21"/>
        </w:rPr>
        <w:t>为每日应计提的基金托管费</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E</w:t>
      </w:r>
      <w:r w:rsidRPr="00FD5C9F">
        <w:rPr>
          <w:rFonts w:asciiTheme="minorEastAsia" w:eastAsiaTheme="minorEastAsia" w:hAnsiTheme="minorEastAsia" w:hint="eastAsia"/>
          <w:bCs/>
          <w:color w:val="000000" w:themeColor="text1"/>
          <w:szCs w:val="21"/>
        </w:rPr>
        <w:t>为前一日的基金资产净值</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基金托管费每日计提，逐日累计至每月月末，按月支付，经基金管理人与基金托管人双方核对无误后，</w:t>
      </w:r>
      <w:r w:rsidRPr="00FD5C9F">
        <w:rPr>
          <w:rFonts w:asciiTheme="minorEastAsia" w:eastAsiaTheme="minorEastAsia" w:hAnsiTheme="minorEastAsia"/>
          <w:bCs/>
          <w:color w:val="000000" w:themeColor="text1"/>
          <w:szCs w:val="21"/>
        </w:rPr>
        <w:t>基金托管人</w:t>
      </w:r>
      <w:r w:rsidRPr="00FD5C9F">
        <w:rPr>
          <w:rFonts w:asciiTheme="minorEastAsia" w:eastAsiaTheme="minorEastAsia" w:hAnsiTheme="minorEastAsia" w:hint="eastAsia"/>
          <w:bCs/>
          <w:color w:val="000000" w:themeColor="text1"/>
          <w:szCs w:val="21"/>
        </w:rPr>
        <w:t>按照与基金管理人协商一致的方式</w:t>
      </w:r>
      <w:r w:rsidRPr="00FD5C9F">
        <w:rPr>
          <w:rFonts w:asciiTheme="minorEastAsia" w:eastAsiaTheme="minorEastAsia" w:hAnsiTheme="minorEastAsia"/>
          <w:bCs/>
          <w:color w:val="000000" w:themeColor="text1"/>
          <w:szCs w:val="21"/>
        </w:rPr>
        <w:t>于次月前</w:t>
      </w:r>
      <w:r w:rsidRPr="00FD5C9F">
        <w:rPr>
          <w:rFonts w:asciiTheme="minorEastAsia" w:eastAsiaTheme="minorEastAsia" w:hAnsiTheme="minorEastAsia" w:hint="eastAsia"/>
          <w:bCs/>
          <w:color w:val="000000" w:themeColor="text1"/>
          <w:szCs w:val="21"/>
        </w:rPr>
        <w:t>5个工作日内</w:t>
      </w:r>
      <w:r w:rsidRPr="00FD5C9F">
        <w:rPr>
          <w:rFonts w:asciiTheme="minorEastAsia" w:eastAsiaTheme="minorEastAsia" w:hAnsiTheme="minorEastAsia"/>
          <w:bCs/>
          <w:color w:val="000000" w:themeColor="text1"/>
          <w:szCs w:val="21"/>
        </w:rPr>
        <w:t>从基金财产中一次性</w:t>
      </w:r>
      <w:r w:rsidRPr="00FD5C9F">
        <w:rPr>
          <w:rFonts w:asciiTheme="minorEastAsia" w:eastAsiaTheme="minorEastAsia" w:hAnsiTheme="minorEastAsia" w:hint="eastAsia"/>
          <w:bCs/>
          <w:color w:val="000000" w:themeColor="text1"/>
          <w:szCs w:val="21"/>
        </w:rPr>
        <w:t>支取。若遇法定节假日、休息日或不可抗力致使无法按时支付的，顺延至法定节假日、休息日结束之日起2个工作日内或不可抗力情形消除之日起2个工作日内支付。</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上述“一、基金费用的种类”中第</w:t>
      </w: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bCs/>
          <w:color w:val="000000" w:themeColor="text1"/>
          <w:szCs w:val="21"/>
        </w:rPr>
        <w:t>10</w:t>
      </w:r>
      <w:r w:rsidRPr="00FD5C9F">
        <w:rPr>
          <w:rFonts w:asciiTheme="minorEastAsia" w:eastAsiaTheme="minorEastAsia" w:hAnsiTheme="minorEastAsia" w:hint="eastAsia"/>
          <w:bCs/>
          <w:color w:val="000000" w:themeColor="text1"/>
          <w:szCs w:val="21"/>
        </w:rPr>
        <w:t>项费用，根据有关法规及相应协议规定，按费用实际支出金额列入当期费用，由基金托管人从基金财产中支付。</w:t>
      </w:r>
    </w:p>
    <w:p w:rsidR="00D52FD5" w:rsidRPr="00FD5C9F" w:rsidP="00D52FD5">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（三）不列入基金费用的项目</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下列费用不列入基金费用：</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、基金管理人和基金托管人因未履行或未完全履行义务导致的费用支出或基金财产的损失；</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、基金管理人和基金托管人处理与基金运作无关的事项发生的费用；</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、《基金合同》生效前的相关费用；</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4</w:t>
      </w:r>
      <w:r w:rsidRPr="00FD5C9F">
        <w:rPr>
          <w:rFonts w:asciiTheme="minorEastAsia" w:eastAsiaTheme="minorEastAsia" w:hAnsiTheme="minorEastAsia" w:hint="eastAsia"/>
          <w:bCs/>
          <w:color w:val="000000" w:themeColor="text1"/>
          <w:szCs w:val="21"/>
        </w:rPr>
        <w:t>、其他根据相关法律法规及中国证监会的有关规定不得列入基金费用的项目。</w:t>
      </w:r>
    </w:p>
    <w:p w:rsidR="00762961" w:rsidRPr="00FD5C9F" w:rsidP="00762961">
      <w:pPr>
        <w:spacing w:line="360" w:lineRule="auto"/>
        <w:ind w:firstLine="420" w:firstLineChars="200"/>
        <w:rPr>
          <w:rFonts w:asciiTheme="minorEastAsia" w:eastAsiaTheme="minorEastAsia" w:hAnsiTheme="minorEastAsia"/>
          <w:bCs/>
          <w:color w:val="000000" w:themeColor="text1"/>
          <w:szCs w:val="21"/>
        </w:rPr>
      </w:pPr>
      <w:bookmarkStart w:id="87" w:name="_Hlt88827255"/>
      <w:bookmarkStart w:id="88" w:name="_Toc332373564"/>
      <w:bookmarkEnd w:id="86"/>
      <w:bookmarkEnd w:id="87"/>
      <w:r w:rsidRPr="00FD5C9F">
        <w:rPr>
          <w:rFonts w:asciiTheme="minorEastAsia" w:eastAsiaTheme="minorEastAsia" w:hAnsiTheme="minorEastAsia" w:hint="eastAsia"/>
          <w:bCs/>
          <w:color w:val="000000" w:themeColor="text1"/>
          <w:szCs w:val="21"/>
        </w:rPr>
        <w:t>（四）与基金销售有关的费用</w:t>
      </w:r>
    </w:p>
    <w:p w:rsidR="00762961" w:rsidRPr="00FD5C9F" w:rsidP="00762961">
      <w:pPr>
        <w:spacing w:line="360" w:lineRule="auto"/>
        <w:ind w:firstLine="420" w:firstLineChars="200"/>
        <w:rPr>
          <w:rStyle w:val="da"/>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szCs w:val="21"/>
        </w:rPr>
        <w:t>本基金申购费、赎回费的费率水平、计算公式、收取方式和使用方式请详见本招募说明书“</w:t>
      </w:r>
      <w:r w:rsidRPr="00FD5C9F" w:rsidR="008F289D">
        <w:rPr>
          <w:rFonts w:asciiTheme="minorEastAsia" w:eastAsiaTheme="minorEastAsia" w:hAnsiTheme="minorEastAsia" w:hint="eastAsia"/>
          <w:color w:val="000000" w:themeColor="text1"/>
          <w:szCs w:val="21"/>
        </w:rPr>
        <w:t>八</w:t>
      </w:r>
      <w:r w:rsidRPr="00FD5C9F">
        <w:rPr>
          <w:rFonts w:asciiTheme="minorEastAsia" w:eastAsiaTheme="minorEastAsia" w:hAnsiTheme="minorEastAsia" w:hint="eastAsia"/>
          <w:color w:val="000000" w:themeColor="text1"/>
          <w:szCs w:val="21"/>
        </w:rPr>
        <w:t>、基金份额的申购、赎回”中的“</w:t>
      </w:r>
      <w:r w:rsidRPr="00FD5C9F" w:rsidR="002E1C38">
        <w:rPr>
          <w:rStyle w:val="da"/>
          <w:rFonts w:asciiTheme="minorEastAsia" w:eastAsiaTheme="minorEastAsia" w:hAnsiTheme="minorEastAsia" w:hint="eastAsia"/>
          <w:color w:val="000000" w:themeColor="text1"/>
          <w:szCs w:val="21"/>
        </w:rPr>
        <w:t>（</w:t>
      </w:r>
      <w:r w:rsidRPr="00FD5C9F" w:rsidR="008F289D">
        <w:rPr>
          <w:rStyle w:val="da"/>
          <w:rFonts w:asciiTheme="minorEastAsia" w:eastAsiaTheme="minorEastAsia" w:hAnsiTheme="minorEastAsia" w:hint="eastAsia"/>
          <w:color w:val="000000" w:themeColor="text1"/>
          <w:szCs w:val="21"/>
        </w:rPr>
        <w:t>七</w:t>
      </w:r>
      <w:r w:rsidRPr="00FD5C9F" w:rsidR="002E1C38">
        <w:rPr>
          <w:rStyle w:val="da"/>
          <w:rFonts w:asciiTheme="minorEastAsia" w:eastAsiaTheme="minorEastAsia" w:hAnsiTheme="minorEastAsia" w:hint="eastAsia"/>
          <w:color w:val="000000" w:themeColor="text1"/>
          <w:szCs w:val="21"/>
        </w:rPr>
        <w:t>）</w:t>
      </w:r>
      <w:r w:rsidRPr="00FD5C9F" w:rsidR="008F289D">
        <w:rPr>
          <w:rStyle w:val="da"/>
          <w:rFonts w:asciiTheme="minorEastAsia" w:eastAsiaTheme="minorEastAsia" w:hAnsiTheme="minorEastAsia" w:hint="eastAsia"/>
          <w:color w:val="000000" w:themeColor="text1"/>
          <w:szCs w:val="21"/>
        </w:rPr>
        <w:t>基金的申购费和赎回费</w:t>
      </w:r>
      <w:r w:rsidRPr="00FD5C9F">
        <w:rPr>
          <w:rFonts w:asciiTheme="minorEastAsia" w:eastAsiaTheme="minorEastAsia" w:hAnsiTheme="minorEastAsia" w:hint="eastAsia"/>
          <w:color w:val="000000" w:themeColor="text1"/>
          <w:szCs w:val="21"/>
        </w:rPr>
        <w:t>”与“</w:t>
      </w:r>
      <w:r w:rsidRPr="00FD5C9F" w:rsidR="002E1C38">
        <w:rPr>
          <w:rStyle w:val="da"/>
          <w:rFonts w:asciiTheme="minorEastAsia" w:eastAsiaTheme="minorEastAsia" w:hAnsiTheme="minorEastAsia" w:hint="eastAsia"/>
          <w:color w:val="000000" w:themeColor="text1"/>
        </w:rPr>
        <w:t>（</w:t>
      </w:r>
      <w:r w:rsidRPr="00FD5C9F" w:rsidR="008F289D">
        <w:rPr>
          <w:rStyle w:val="da"/>
          <w:rFonts w:asciiTheme="minorEastAsia" w:eastAsiaTheme="minorEastAsia" w:hAnsiTheme="minorEastAsia" w:hint="eastAsia"/>
          <w:color w:val="000000" w:themeColor="text1"/>
        </w:rPr>
        <w:t>八</w:t>
      </w:r>
      <w:r w:rsidRPr="00FD5C9F" w:rsidR="002E1C38">
        <w:rPr>
          <w:rStyle w:val="da"/>
          <w:rFonts w:asciiTheme="minorEastAsia" w:eastAsiaTheme="minorEastAsia" w:hAnsiTheme="minorEastAsia" w:hint="eastAsia"/>
          <w:color w:val="000000" w:themeColor="text1"/>
        </w:rPr>
        <w:t>）</w:t>
      </w:r>
      <w:r w:rsidRPr="00FD5C9F" w:rsidR="008F289D">
        <w:rPr>
          <w:rStyle w:val="da"/>
          <w:rFonts w:asciiTheme="minorEastAsia" w:eastAsiaTheme="minorEastAsia" w:hAnsiTheme="minorEastAsia" w:hint="eastAsia"/>
          <w:color w:val="000000" w:themeColor="text1"/>
        </w:rPr>
        <w:t>申购和赎回的数额和价格</w:t>
      </w:r>
      <w:r w:rsidRPr="00FD5C9F">
        <w:rPr>
          <w:rFonts w:asciiTheme="minorEastAsia" w:eastAsiaTheme="minorEastAsia" w:hAnsiTheme="minorEastAsia" w:hint="eastAsia"/>
          <w:color w:val="000000" w:themeColor="text1"/>
          <w:szCs w:val="21"/>
        </w:rPr>
        <w:t>”中的相关规定。</w:t>
      </w:r>
    </w:p>
    <w:p w:rsidR="00BA4B87" w:rsidRPr="00FD5C9F" w:rsidP="0014780A">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w:t>
      </w:r>
      <w:r w:rsidRPr="00FD5C9F" w:rsidR="00762961">
        <w:rPr>
          <w:rFonts w:asciiTheme="minorEastAsia" w:eastAsiaTheme="minorEastAsia" w:hAnsiTheme="minorEastAsia" w:hint="eastAsia"/>
          <w:color w:val="000000" w:themeColor="text1"/>
          <w:szCs w:val="21"/>
        </w:rPr>
        <w:t>五</w:t>
      </w:r>
      <w:r w:rsidRPr="00FD5C9F">
        <w:rPr>
          <w:rFonts w:asciiTheme="minorEastAsia" w:eastAsiaTheme="minorEastAsia" w:hAnsiTheme="minorEastAsia" w:hint="eastAsia"/>
          <w:color w:val="000000" w:themeColor="text1"/>
          <w:szCs w:val="21"/>
        </w:rPr>
        <w:t>）</w:t>
      </w:r>
      <w:bookmarkStart w:id="89" w:name="_Toc332373565"/>
      <w:bookmarkEnd w:id="88"/>
      <w:r w:rsidRPr="00FD5C9F">
        <w:rPr>
          <w:rFonts w:asciiTheme="minorEastAsia" w:eastAsiaTheme="minorEastAsia" w:hAnsiTheme="minorEastAsia" w:hint="eastAsia"/>
          <w:color w:val="000000" w:themeColor="text1"/>
          <w:szCs w:val="21"/>
        </w:rPr>
        <w:t>税收</w:t>
      </w:r>
    </w:p>
    <w:bookmarkEnd w:id="89"/>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本基金运作过程中涉及的各纳税主体，其纳税义务按国家税收法律、法规执行。</w:t>
      </w:r>
      <w:r w:rsidRPr="00FD5C9F">
        <w:rPr>
          <w:rFonts w:asciiTheme="minorEastAsia" w:eastAsiaTheme="minorEastAsia" w:hAnsiTheme="minorEastAsia"/>
          <w:bCs/>
          <w:color w:val="000000" w:themeColor="text1"/>
          <w:szCs w:val="21"/>
        </w:rPr>
        <w:t>基金财产投资的相关税收，由基金份额持有人承担，基金管理人或者其他扣缴义务人按照国家有关税收征收的规定代扣代缴。</w:t>
      </w:r>
    </w:p>
    <w:p w:rsidR="00365EEA"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rsidR="00365EEA" w:rsidRPr="00FD5C9F" w:rsidP="0064427B">
      <w:pPr>
        <w:spacing w:line="360" w:lineRule="auto"/>
        <w:rPr>
          <w:rFonts w:asciiTheme="minorEastAsia" w:eastAsiaTheme="minorEastAsia" w:hAnsiTheme="minorEastAsia"/>
          <w:bCs/>
          <w:color w:val="000000" w:themeColor="text1"/>
          <w:szCs w:val="21"/>
        </w:rPr>
      </w:pPr>
    </w:p>
    <w:p w:rsidR="00BA4B87" w:rsidRPr="00FD5C9F" w:rsidP="009A5A64">
      <w:pPr>
        <w:pStyle w:val="Heading1"/>
        <w:spacing w:before="317" w:after="317" w:line="360" w:lineRule="auto"/>
        <w:ind w:firstLine="600"/>
        <w:rPr>
          <w:rFonts w:asciiTheme="minorEastAsia" w:eastAsiaTheme="minorEastAsia" w:hAnsiTheme="minorEastAsia"/>
          <w:bCs/>
          <w:color w:val="000000" w:themeColor="text1"/>
        </w:rPr>
      </w:pPr>
      <w:bookmarkStart w:id="90" w:name="_Toc134547855"/>
      <w:r w:rsidRPr="00FD5C9F">
        <w:rPr>
          <w:rFonts w:asciiTheme="minorEastAsia" w:eastAsiaTheme="minorEastAsia" w:hAnsiTheme="minorEastAsia" w:hint="eastAsia"/>
          <w:color w:val="000000" w:themeColor="text1"/>
          <w:sz w:val="30"/>
        </w:rPr>
        <w:t>十</w:t>
      </w:r>
      <w:bookmarkStart w:id="91" w:name="_Toc332373566"/>
      <w:r w:rsidRPr="00FD5C9F" w:rsidR="00DD2F77">
        <w:rPr>
          <w:rFonts w:asciiTheme="minorEastAsia" w:eastAsiaTheme="minorEastAsia" w:hAnsiTheme="minorEastAsia" w:hint="eastAsia"/>
          <w:color w:val="000000" w:themeColor="text1"/>
          <w:sz w:val="30"/>
        </w:rPr>
        <w:t>七</w:t>
      </w:r>
      <w:r w:rsidRPr="00FD5C9F">
        <w:rPr>
          <w:rFonts w:asciiTheme="minorEastAsia" w:eastAsiaTheme="minorEastAsia" w:hAnsiTheme="minorEastAsia" w:hint="eastAsia"/>
          <w:color w:val="000000" w:themeColor="text1"/>
          <w:sz w:val="30"/>
        </w:rPr>
        <w:t>、基金的会计与审计</w:t>
      </w:r>
      <w:bookmarkEnd w:id="90"/>
    </w:p>
    <w:bookmarkEnd w:id="91"/>
    <w:p w:rsidR="00C63C46" w:rsidRPr="00FD5C9F" w:rsidP="00C63C46">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（一）基金会计政策</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、基金管理人为本基金的基金会计责任方；</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、基金的会计年度为公历年度的</w:t>
      </w: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月</w:t>
      </w: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日至</w:t>
      </w:r>
      <w:r w:rsidRPr="00FD5C9F">
        <w:rPr>
          <w:rFonts w:asciiTheme="minorEastAsia" w:eastAsiaTheme="minorEastAsia" w:hAnsiTheme="minorEastAsia"/>
          <w:bCs/>
          <w:color w:val="000000" w:themeColor="text1"/>
          <w:szCs w:val="21"/>
        </w:rPr>
        <w:t>12</w:t>
      </w:r>
      <w:r w:rsidRPr="00FD5C9F">
        <w:rPr>
          <w:rFonts w:asciiTheme="minorEastAsia" w:eastAsiaTheme="minorEastAsia" w:hAnsiTheme="minorEastAsia" w:hint="eastAsia"/>
          <w:bCs/>
          <w:color w:val="000000" w:themeColor="text1"/>
          <w:szCs w:val="21"/>
        </w:rPr>
        <w:t>月</w:t>
      </w:r>
      <w:r w:rsidRPr="00FD5C9F">
        <w:rPr>
          <w:rFonts w:asciiTheme="minorEastAsia" w:eastAsiaTheme="minorEastAsia" w:hAnsiTheme="minorEastAsia"/>
          <w:bCs/>
          <w:color w:val="000000" w:themeColor="text1"/>
          <w:szCs w:val="21"/>
        </w:rPr>
        <w:t>31</w:t>
      </w:r>
      <w:r w:rsidRPr="00FD5C9F">
        <w:rPr>
          <w:rFonts w:asciiTheme="minorEastAsia" w:eastAsiaTheme="minorEastAsia" w:hAnsiTheme="minorEastAsia" w:hint="eastAsia"/>
          <w:bCs/>
          <w:color w:val="000000" w:themeColor="text1"/>
          <w:szCs w:val="21"/>
        </w:rPr>
        <w:t>日；</w:t>
      </w:r>
      <w:r w:rsidRPr="00FD5C9F">
        <w:rPr>
          <w:rFonts w:asciiTheme="minorEastAsia" w:eastAsiaTheme="minorEastAsia" w:hAnsiTheme="minorEastAsia"/>
          <w:bCs/>
          <w:color w:val="000000" w:themeColor="text1"/>
          <w:szCs w:val="21"/>
        </w:rPr>
        <w:t>基金首次募集的会计年度按如下原则：如果《基金合同》生效少于2个月，可以并入下一个会计年度；</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、基金核算以人民币为记账本位币，以人民币元为记账单位；</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4</w:t>
      </w:r>
      <w:r w:rsidRPr="00FD5C9F">
        <w:rPr>
          <w:rFonts w:asciiTheme="minorEastAsia" w:eastAsiaTheme="minorEastAsia" w:hAnsiTheme="minorEastAsia" w:hint="eastAsia"/>
          <w:bCs/>
          <w:color w:val="000000" w:themeColor="text1"/>
          <w:szCs w:val="21"/>
        </w:rPr>
        <w:t>、会计制度执行国家有关会计制度；</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5</w:t>
      </w:r>
      <w:r w:rsidRPr="00FD5C9F">
        <w:rPr>
          <w:rFonts w:asciiTheme="minorEastAsia" w:eastAsiaTheme="minorEastAsia" w:hAnsiTheme="minorEastAsia" w:hint="eastAsia"/>
          <w:bCs/>
          <w:color w:val="000000" w:themeColor="text1"/>
          <w:szCs w:val="21"/>
        </w:rPr>
        <w:t>、本基金独立建账、独立核算；</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6</w:t>
      </w:r>
      <w:r w:rsidRPr="00FD5C9F">
        <w:rPr>
          <w:rFonts w:asciiTheme="minorEastAsia" w:eastAsiaTheme="minorEastAsia" w:hAnsiTheme="minorEastAsia" w:hint="eastAsia"/>
          <w:bCs/>
          <w:color w:val="000000" w:themeColor="text1"/>
          <w:szCs w:val="21"/>
        </w:rPr>
        <w:t>、基金管理人及基金托管人各自保留完整的会计账目、凭证并进行日常的会计核算，按照有关规定编制基金会计报表；</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7</w:t>
      </w:r>
      <w:r w:rsidRPr="00FD5C9F">
        <w:rPr>
          <w:rFonts w:asciiTheme="minorEastAsia" w:eastAsiaTheme="minorEastAsia" w:hAnsiTheme="minorEastAsia" w:hint="eastAsia"/>
          <w:bCs/>
          <w:color w:val="000000" w:themeColor="text1"/>
          <w:szCs w:val="21"/>
        </w:rPr>
        <w:t>、基金托管人每月与基金管理人就基金的会计核算、报表编制等进行核对确认。</w:t>
      </w:r>
    </w:p>
    <w:p w:rsidR="00C63C46" w:rsidRPr="00FD5C9F" w:rsidP="00C63C46">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（二）基金的年度审计</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、基金管理人聘请与基金管理人、基金托管人相互独立的符合《证券法》规定的会计师事务所及其注册会计师对本基金的年度财务报表进行审计。</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、会计师事务所更换经办注册会计师，应事先征得基金管理人同意。</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、基金管理人认为有充足理由更换会计师事务所，须通报基金托管人。更换会计师事务所需在</w:t>
      </w: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日内在规定媒介公告。</w:t>
      </w:r>
    </w:p>
    <w:p w:rsidR="00BA4B87" w:rsidRPr="00FD5C9F" w:rsidP="005046B2">
      <w:pPr>
        <w:spacing w:line="360" w:lineRule="auto"/>
        <w:ind w:firstLine="420" w:firstLineChars="200"/>
        <w:rPr>
          <w:rFonts w:asciiTheme="minorEastAsia" w:eastAsiaTheme="minorEastAsia" w:hAnsiTheme="minorEastAsia"/>
          <w:color w:val="000000" w:themeColor="text1"/>
          <w:szCs w:val="21"/>
        </w:rPr>
      </w:pPr>
    </w:p>
    <w:p w:rsidR="00BA4B87" w:rsidRPr="00FD5C9F" w:rsidP="005046B2">
      <w:pPr>
        <w:pStyle w:val="Heading1"/>
        <w:spacing w:before="317" w:after="317" w:line="360" w:lineRule="auto"/>
        <w:ind w:firstLine="420"/>
        <w:rPr>
          <w:rFonts w:asciiTheme="minorEastAsia" w:eastAsiaTheme="minorEastAsia" w:hAnsiTheme="minorEastAsia"/>
          <w:color w:val="000000" w:themeColor="text1"/>
          <w:sz w:val="30"/>
        </w:rPr>
      </w:pPr>
      <w:r w:rsidRPr="00FD5C9F">
        <w:rPr>
          <w:rFonts w:asciiTheme="minorEastAsia" w:eastAsiaTheme="minorEastAsia" w:hAnsiTheme="minorEastAsia"/>
          <w:color w:val="000000" w:themeColor="text1"/>
          <w:sz w:val="21"/>
          <w:szCs w:val="21"/>
        </w:rPr>
        <w:br w:type="column"/>
      </w:r>
      <w:bookmarkStart w:id="92" w:name="_Toc134547856"/>
      <w:r w:rsidRPr="00FD5C9F">
        <w:rPr>
          <w:rFonts w:asciiTheme="minorEastAsia" w:eastAsiaTheme="minorEastAsia" w:hAnsiTheme="minorEastAsia" w:hint="eastAsia"/>
          <w:color w:val="000000" w:themeColor="text1"/>
          <w:sz w:val="30"/>
        </w:rPr>
        <w:t>十</w:t>
      </w:r>
      <w:bookmarkStart w:id="93" w:name="_Toc332373569"/>
      <w:r w:rsidRPr="00FD5C9F" w:rsidR="00DD2F77">
        <w:rPr>
          <w:rFonts w:asciiTheme="minorEastAsia" w:eastAsiaTheme="minorEastAsia" w:hAnsiTheme="minorEastAsia" w:hint="eastAsia"/>
          <w:color w:val="000000" w:themeColor="text1"/>
          <w:sz w:val="30"/>
        </w:rPr>
        <w:t>八</w:t>
      </w:r>
      <w:r w:rsidRPr="00FD5C9F">
        <w:rPr>
          <w:rFonts w:asciiTheme="minorEastAsia" w:eastAsiaTheme="minorEastAsia" w:hAnsiTheme="minorEastAsia" w:hint="eastAsia"/>
          <w:color w:val="000000" w:themeColor="text1"/>
          <w:sz w:val="30"/>
        </w:rPr>
        <w:t>、基金的信息披露</w:t>
      </w:r>
      <w:bookmarkEnd w:id="92"/>
    </w:p>
    <w:bookmarkEnd w:id="93"/>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一）本基金的信息披露应符合《基金法》、《运作办法》、《信息披露办法》、《流动性风险管理规定》、《基金合同》及其他有关规定。相关法律法规关于信息披露的披露方式、登载媒介、报备方式等规定发生变化时，本基金从其最新规定。</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（二）信息披露义务人</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本基金信息披露义务人应当在中国证监会规定时间内，将应予披露的基金信息通过规定媒介披露，并保证基金投资者能够按照《基金合同》约定的时间和方式查阅或者复制公开披露的信息资料。</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（三）本基金信息披露义务人承诺公开披露的基金信息，不得有下列行为：</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、虚假记载、误导性陈述或者重大遗漏；</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、对证券投资业绩进行预测；</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、违规承诺收益或者承担损失；</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4</w:t>
      </w:r>
      <w:r w:rsidRPr="00FD5C9F">
        <w:rPr>
          <w:rFonts w:asciiTheme="minorEastAsia" w:eastAsiaTheme="minorEastAsia" w:hAnsiTheme="minorEastAsia" w:hint="eastAsia"/>
          <w:bCs/>
          <w:color w:val="000000" w:themeColor="text1"/>
          <w:szCs w:val="21"/>
        </w:rPr>
        <w:t>、诋毁其他基金管理人、基金托管人或者基金销售机构；</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5</w:t>
      </w:r>
      <w:r w:rsidRPr="00FD5C9F">
        <w:rPr>
          <w:rFonts w:asciiTheme="minorEastAsia" w:eastAsiaTheme="minorEastAsia" w:hAnsiTheme="minorEastAsia" w:hint="eastAsia"/>
          <w:bCs/>
          <w:color w:val="000000" w:themeColor="text1"/>
          <w:szCs w:val="21"/>
        </w:rPr>
        <w:t>、登载任何自然人、法人和非法人组织的祝贺性、恭维性或推荐性的文字；</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6</w:t>
      </w:r>
      <w:r w:rsidRPr="00FD5C9F">
        <w:rPr>
          <w:rFonts w:asciiTheme="minorEastAsia" w:eastAsiaTheme="minorEastAsia" w:hAnsiTheme="minorEastAsia" w:hint="eastAsia"/>
          <w:bCs/>
          <w:color w:val="000000" w:themeColor="text1"/>
          <w:szCs w:val="21"/>
        </w:rPr>
        <w:t>、中国证监会禁止的其他行为。</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（四）本基金公开披露的信息应采用中文文本。如同时采用外文文本的，基金信息披露义务人应保证不同文本的内容一致。不同文本之间发生歧义的，以中文文本为准。</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本基金公开披露的信息采用阿拉伯数字；</w:t>
      </w:r>
      <w:r w:rsidRPr="00FD5C9F">
        <w:rPr>
          <w:rFonts w:asciiTheme="minorEastAsia" w:eastAsiaTheme="minorEastAsia" w:hAnsiTheme="minorEastAsia"/>
          <w:bCs/>
          <w:color w:val="000000" w:themeColor="text1"/>
          <w:szCs w:val="21"/>
        </w:rPr>
        <w:t>除特别说明外，货币单位为人民币元。</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（五）公开披露的基金信息</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公开披露的基金信息包括：</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1、基金招募说明书、《基金合同》、基金托管协议、基金产品资料概要</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基金托管协议是界定基金托管人和基金管理人在基金财产保管及基金运作监督等活动中的权利、义务关系的法律文件。</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（4）</w:t>
      </w:r>
      <w:r w:rsidRPr="00FD5C9F">
        <w:rPr>
          <w:rFonts w:asciiTheme="minorEastAsia" w:eastAsiaTheme="minorEastAsia" w:hAnsiTheme="minorEastAsia" w:hint="eastAsia"/>
          <w:bCs/>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2、基金份额发售公告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基金管理人应当就基金份额发售的具体事宜编制基金份额发售公告，并在披露招募说明书的当日登载于规定媒介上。</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3、《基金合同》生效公告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基金管理人应当在收到中国证监会确认文件的次日在规定媒介上登载《基金合同》生效公告。</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4、基金净值信息</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《基金合同》生效后，在开始办理基金份额申购或者赎回前，基金管理人应当至少每周在规定网站披露一次基金份额净值和基金份额累计净值。</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在开始办理基金份额申购或者赎回后，基金管理人应当在不晚于每个开放日的次日，通过规定网站、基金销售机构网站或者营业网点披露开放日的基金份额净值和基金份额累计净值。</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基金管理人应当在不晚于半年度和年度最后一日的次日，在规定网站披露半年度和年度最后一日的基金份额净值和基金份额累计净值。</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5、基金份额申购、赎回价格</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6、基金定期报告，包括基金年度报告、基金中期报告和基金季度报告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基金管理人应当在上半年结束之日起两个月内，编制完成基金中期报告，将中期报告登载在规定网站上，并将中期报告提示性公告登载在规定报刊上。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基金管理人应当在季度结束之日起</w:t>
      </w:r>
      <w:r w:rsidRPr="00FD5C9F">
        <w:rPr>
          <w:rFonts w:asciiTheme="minorEastAsia" w:eastAsiaTheme="minorEastAsia" w:hAnsiTheme="minorEastAsia"/>
          <w:bCs/>
          <w:color w:val="000000" w:themeColor="text1"/>
          <w:szCs w:val="21"/>
        </w:rPr>
        <w:t>15</w:t>
      </w:r>
      <w:r w:rsidRPr="00FD5C9F">
        <w:rPr>
          <w:rFonts w:asciiTheme="minorEastAsia" w:eastAsiaTheme="minorEastAsia" w:hAnsiTheme="minorEastAsia" w:hint="eastAsia"/>
          <w:bCs/>
          <w:color w:val="000000" w:themeColor="text1"/>
          <w:szCs w:val="21"/>
        </w:rPr>
        <w:t>个工作日内，编制完成基金季度报告，将季度报告登载在规定网站上，并将季度报告提示性公告登载在规定报刊上。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《基金合同》生效不足</w:t>
      </w: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个月的，基金管理人可以不编制当期季度报告、中期报告或者年度报告。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如报告期内出现单一投资者持有基金份额达到或超过基金总份额20%的情形，为保障其他投资者的权益，基金管理人至少应当在定期报告</w:t>
      </w:r>
      <w:r w:rsidRPr="00FD5C9F">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bCs/>
          <w:color w:val="000000" w:themeColor="text1"/>
          <w:szCs w:val="21"/>
        </w:rPr>
        <w:t>影响投资者决策的其他重要信息</w:t>
      </w:r>
      <w:r w:rsidRPr="00FD5C9F">
        <w:rPr>
          <w:rFonts w:asciiTheme="minorEastAsia" w:eastAsiaTheme="minorEastAsia" w:hAnsiTheme="minorEastAsia" w:hint="eastAsia"/>
          <w:bCs/>
          <w:color w:val="000000" w:themeColor="text1"/>
          <w:szCs w:val="21"/>
        </w:rPr>
        <w:t>”</w:t>
      </w:r>
      <w:r w:rsidRPr="00FD5C9F">
        <w:rPr>
          <w:rFonts w:asciiTheme="minorEastAsia" w:eastAsiaTheme="minorEastAsia" w:hAnsiTheme="minorEastAsia"/>
          <w:bCs/>
          <w:color w:val="000000" w:themeColor="text1"/>
          <w:szCs w:val="21"/>
        </w:rPr>
        <w:t>项下披露该投资者的类别、报告期末持有份额及占比、报告期内持有份额变化情况及本基金的特有风险，中国证监会认定的特殊情形除外。</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基金管理人应当在基金年度报告和</w:t>
      </w:r>
      <w:r w:rsidRPr="00FD5C9F">
        <w:rPr>
          <w:rFonts w:asciiTheme="minorEastAsia" w:eastAsiaTheme="minorEastAsia" w:hAnsiTheme="minorEastAsia" w:hint="eastAsia"/>
          <w:bCs/>
          <w:color w:val="000000" w:themeColor="text1"/>
          <w:szCs w:val="21"/>
        </w:rPr>
        <w:t>中期</w:t>
      </w:r>
      <w:r w:rsidRPr="00FD5C9F">
        <w:rPr>
          <w:rFonts w:asciiTheme="minorEastAsia" w:eastAsiaTheme="minorEastAsia" w:hAnsiTheme="minorEastAsia"/>
          <w:bCs/>
          <w:color w:val="000000" w:themeColor="text1"/>
          <w:szCs w:val="21"/>
        </w:rPr>
        <w:t>报告中披露基金组合资产情况及其流动性风险分析等。</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7、临时报告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本基金发生重大事件，有关信息披露义务人应当在2日内编制临时报告书，并登载在规定报刊和规定网站上。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前款所称重大事件，是指可能对基金份额持有人权益或者基金份额的价格产生重大影响的下列事件：</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w:t>
      </w:r>
      <w:r w:rsidRPr="00FD5C9F">
        <w:rPr>
          <w:rFonts w:asciiTheme="minorEastAsia" w:eastAsiaTheme="minorEastAsia" w:hAnsiTheme="minorEastAsia" w:hint="eastAsia"/>
          <w:bCs/>
          <w:color w:val="000000" w:themeColor="text1"/>
          <w:szCs w:val="21"/>
        </w:rPr>
        <w:t>基金份额持有人大会的召开及决定的事项；</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w:t>
      </w:r>
      <w:r w:rsidRPr="00FD5C9F">
        <w:rPr>
          <w:rFonts w:asciiTheme="minorEastAsia" w:eastAsiaTheme="minorEastAsia" w:hAnsiTheme="minorEastAsia" w:hint="eastAsia"/>
          <w:bCs/>
          <w:color w:val="000000" w:themeColor="text1"/>
          <w:szCs w:val="21"/>
        </w:rPr>
        <w:t>基金合同终止、基金清算；</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（3）</w:t>
      </w:r>
      <w:r w:rsidRPr="00FD5C9F">
        <w:rPr>
          <w:rFonts w:asciiTheme="minorEastAsia" w:eastAsiaTheme="minorEastAsia" w:hAnsiTheme="minorEastAsia" w:hint="eastAsia"/>
          <w:bCs/>
          <w:color w:val="000000" w:themeColor="text1"/>
          <w:szCs w:val="21"/>
        </w:rPr>
        <w:t>转换基金运作方式、基金合并；</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（4）</w:t>
      </w:r>
      <w:r w:rsidRPr="00FD5C9F">
        <w:rPr>
          <w:rFonts w:asciiTheme="minorEastAsia" w:eastAsiaTheme="minorEastAsia" w:hAnsiTheme="minorEastAsia" w:hint="eastAsia"/>
          <w:bCs/>
          <w:color w:val="000000" w:themeColor="text1"/>
          <w:szCs w:val="21"/>
        </w:rPr>
        <w:t>更换基金管理人、基金托管人、基金份额登记机构，基金改聘会计师事务所；</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（5）</w:t>
      </w:r>
      <w:r w:rsidRPr="00FD5C9F">
        <w:rPr>
          <w:rFonts w:asciiTheme="minorEastAsia" w:eastAsiaTheme="minorEastAsia" w:hAnsiTheme="minorEastAsia" w:hint="eastAsia"/>
          <w:bCs/>
          <w:color w:val="000000" w:themeColor="text1"/>
          <w:szCs w:val="21"/>
        </w:rPr>
        <w:t>基金管理人委托基金服务机构代为办理基金的份额登记、核算、估值等事项，基金托管人委托基金服务机构代为办理基金的核算、估值、复核等事项；</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（6）</w:t>
      </w:r>
      <w:r w:rsidRPr="00FD5C9F">
        <w:rPr>
          <w:rFonts w:asciiTheme="minorEastAsia" w:eastAsiaTheme="minorEastAsia" w:hAnsiTheme="minorEastAsia" w:hint="eastAsia"/>
          <w:bCs/>
          <w:color w:val="000000" w:themeColor="text1"/>
          <w:szCs w:val="21"/>
        </w:rPr>
        <w:t>基金管理人、基金托管人的法定名称、住所发生变更；</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（7）</w:t>
      </w:r>
      <w:r w:rsidRPr="00FD5C9F">
        <w:rPr>
          <w:rFonts w:asciiTheme="minorEastAsia" w:eastAsiaTheme="minorEastAsia" w:hAnsiTheme="minorEastAsia" w:hint="eastAsia"/>
          <w:bCs/>
          <w:color w:val="000000" w:themeColor="text1"/>
          <w:szCs w:val="21"/>
        </w:rPr>
        <w:t>基金管理公司变更持有百分之五以上股权的股东、基金管理人的实际控制人变更；</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（8）</w:t>
      </w:r>
      <w:r w:rsidRPr="00FD5C9F">
        <w:rPr>
          <w:rFonts w:asciiTheme="minorEastAsia" w:eastAsiaTheme="minorEastAsia" w:hAnsiTheme="minorEastAsia" w:hint="eastAsia"/>
          <w:bCs/>
          <w:color w:val="000000" w:themeColor="text1"/>
          <w:szCs w:val="21"/>
        </w:rPr>
        <w:t>基金募集期延长或提前结束募集；</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（9）</w:t>
      </w:r>
      <w:r w:rsidRPr="00FD5C9F">
        <w:rPr>
          <w:rFonts w:asciiTheme="minorEastAsia" w:eastAsiaTheme="minorEastAsia" w:hAnsiTheme="minorEastAsia" w:hint="eastAsia"/>
          <w:bCs/>
          <w:color w:val="000000" w:themeColor="text1"/>
          <w:szCs w:val="21"/>
        </w:rPr>
        <w:t>基金管理人的高级管理人员、基金经理和基金托管人专门基金托管部门负责人发生变动；</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（10）</w:t>
      </w:r>
      <w:r w:rsidRPr="00FD5C9F">
        <w:rPr>
          <w:rFonts w:asciiTheme="minorEastAsia" w:eastAsiaTheme="minorEastAsia" w:hAnsiTheme="minorEastAsia" w:hint="eastAsia"/>
          <w:bCs/>
          <w:color w:val="000000" w:themeColor="text1"/>
          <w:szCs w:val="21"/>
        </w:rPr>
        <w:t>基金管理人的董事在最近</w:t>
      </w:r>
      <w:r w:rsidRPr="00FD5C9F">
        <w:rPr>
          <w:rFonts w:asciiTheme="minorEastAsia" w:eastAsiaTheme="minorEastAsia" w:hAnsiTheme="minorEastAsia"/>
          <w:bCs/>
          <w:color w:val="000000" w:themeColor="text1"/>
          <w:szCs w:val="21"/>
        </w:rPr>
        <w:t>12</w:t>
      </w:r>
      <w:r w:rsidRPr="00FD5C9F">
        <w:rPr>
          <w:rFonts w:asciiTheme="minorEastAsia" w:eastAsiaTheme="minorEastAsia" w:hAnsiTheme="minorEastAsia" w:hint="eastAsia"/>
          <w:bCs/>
          <w:color w:val="000000" w:themeColor="text1"/>
          <w:szCs w:val="21"/>
        </w:rPr>
        <w:t>个月内变更超过百分之五十，基金管理人、基金托管人专门基金托管部门的主要业务人员在最近</w:t>
      </w:r>
      <w:r w:rsidRPr="00FD5C9F">
        <w:rPr>
          <w:rFonts w:asciiTheme="minorEastAsia" w:eastAsiaTheme="minorEastAsia" w:hAnsiTheme="minorEastAsia"/>
          <w:bCs/>
          <w:color w:val="000000" w:themeColor="text1"/>
          <w:szCs w:val="21"/>
        </w:rPr>
        <w:t>12</w:t>
      </w:r>
      <w:r w:rsidRPr="00FD5C9F">
        <w:rPr>
          <w:rFonts w:asciiTheme="minorEastAsia" w:eastAsiaTheme="minorEastAsia" w:hAnsiTheme="minorEastAsia" w:hint="eastAsia"/>
          <w:bCs/>
          <w:color w:val="000000" w:themeColor="text1"/>
          <w:szCs w:val="21"/>
        </w:rPr>
        <w:t>个月内变动超过百分之三十；</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（11）</w:t>
      </w:r>
      <w:r w:rsidRPr="00FD5C9F">
        <w:rPr>
          <w:rFonts w:asciiTheme="minorEastAsia" w:eastAsiaTheme="minorEastAsia" w:hAnsiTheme="minorEastAsia" w:hint="eastAsia"/>
          <w:bCs/>
          <w:color w:val="000000" w:themeColor="text1"/>
          <w:szCs w:val="21"/>
        </w:rPr>
        <w:t>涉及基金财产、基金管理业务、基金托管业务的诉讼或仲裁；</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（12）</w:t>
      </w:r>
      <w:r w:rsidRPr="00FD5C9F">
        <w:rPr>
          <w:rFonts w:asciiTheme="minorEastAsia" w:eastAsiaTheme="minorEastAsia" w:hAnsiTheme="minorEastAsia" w:hint="eastAsia"/>
          <w:bCs/>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（13）</w:t>
      </w:r>
      <w:r w:rsidRPr="00FD5C9F">
        <w:rPr>
          <w:rFonts w:asciiTheme="minorEastAsia" w:eastAsiaTheme="minorEastAsia" w:hAnsiTheme="minorEastAsia" w:hint="eastAsia"/>
          <w:bCs/>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（14）</w:t>
      </w:r>
      <w:r w:rsidRPr="00FD5C9F">
        <w:rPr>
          <w:rFonts w:asciiTheme="minorEastAsia" w:eastAsiaTheme="minorEastAsia" w:hAnsiTheme="minorEastAsia" w:hint="eastAsia"/>
          <w:bCs/>
          <w:color w:val="000000" w:themeColor="text1"/>
          <w:szCs w:val="21"/>
        </w:rPr>
        <w:t>基金收益分配事项；</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（15）</w:t>
      </w:r>
      <w:r w:rsidRPr="00FD5C9F">
        <w:rPr>
          <w:rFonts w:asciiTheme="minorEastAsia" w:eastAsiaTheme="minorEastAsia" w:hAnsiTheme="minorEastAsia" w:hint="eastAsia"/>
          <w:bCs/>
          <w:color w:val="000000" w:themeColor="text1"/>
          <w:szCs w:val="21"/>
        </w:rPr>
        <w:t>管理费、托管费、申购费、赎回费等费用计提标准、计提方式和费率发生变更；</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（16）</w:t>
      </w:r>
      <w:r w:rsidRPr="00FD5C9F">
        <w:rPr>
          <w:rFonts w:asciiTheme="minorEastAsia" w:eastAsiaTheme="minorEastAsia" w:hAnsiTheme="minorEastAsia" w:hint="eastAsia"/>
          <w:bCs/>
          <w:color w:val="000000" w:themeColor="text1"/>
          <w:szCs w:val="21"/>
        </w:rPr>
        <w:t>基金份额净值计价错误达基金份额净值百分之零点五；</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（17）</w:t>
      </w:r>
      <w:r w:rsidRPr="00FD5C9F">
        <w:rPr>
          <w:rFonts w:asciiTheme="minorEastAsia" w:eastAsiaTheme="minorEastAsia" w:hAnsiTheme="minorEastAsia" w:hint="eastAsia"/>
          <w:bCs/>
          <w:color w:val="000000" w:themeColor="text1"/>
          <w:szCs w:val="21"/>
        </w:rPr>
        <w:t>本基金开始办理申购、赎回；</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（18）</w:t>
      </w:r>
      <w:r w:rsidRPr="00FD5C9F">
        <w:rPr>
          <w:rFonts w:asciiTheme="minorEastAsia" w:eastAsiaTheme="minorEastAsia" w:hAnsiTheme="minorEastAsia" w:hint="eastAsia"/>
          <w:bCs/>
          <w:color w:val="000000" w:themeColor="text1"/>
          <w:szCs w:val="21"/>
        </w:rPr>
        <w:t>本基金暂停接受申购、赎回申请或重新接受申购、赎回申请；</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（19）</w:t>
      </w:r>
      <w:r w:rsidRPr="00FD5C9F">
        <w:rPr>
          <w:rFonts w:asciiTheme="minorEastAsia" w:eastAsiaTheme="minorEastAsia" w:hAnsiTheme="minorEastAsia" w:hint="eastAsia"/>
          <w:bCs/>
          <w:color w:val="000000" w:themeColor="text1"/>
          <w:szCs w:val="21"/>
        </w:rPr>
        <w:t>调整基金份额类别的设置；</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（20）</w:t>
      </w:r>
      <w:r w:rsidRPr="00FD5C9F">
        <w:rPr>
          <w:rFonts w:asciiTheme="minorEastAsia" w:eastAsiaTheme="minorEastAsia" w:hAnsiTheme="minorEastAsia" w:hint="eastAsia"/>
          <w:bCs/>
          <w:color w:val="000000" w:themeColor="text1"/>
          <w:szCs w:val="21"/>
        </w:rPr>
        <w:t>基金推出新业务或服务；</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bCs/>
          <w:color w:val="000000" w:themeColor="text1"/>
          <w:szCs w:val="21"/>
        </w:rPr>
        <w:t>（21）</w:t>
      </w:r>
      <w:r w:rsidRPr="00FD5C9F">
        <w:rPr>
          <w:rFonts w:asciiTheme="minorEastAsia" w:eastAsiaTheme="minorEastAsia" w:hAnsiTheme="minorEastAsia" w:hint="eastAsia"/>
          <w:bCs/>
          <w:color w:val="000000" w:themeColor="text1"/>
          <w:szCs w:val="21"/>
        </w:rPr>
        <w:t>基金信息披露义务人认为可能对基金份额持有人权益或者基金份额的价格产生重大影响的其他事项或中国证监会规定的其他事项。</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8、澄清公告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9、清算报告</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10、基金份额持有人大会决议</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基金份额持有人大会决定的事项，应当依法报中国证监会备案，并予以公告。</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11、中国证监会规定的其他信息。</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若本基金投资股指期货、国债期货、资产支持证券、股票期权、港股通股票，参与融资业务，基金管理人将按相关法律法规要求进行披露。</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当相关法律法规关于上述信息披露的规定发生变化时，基金管理人将按最新规定进行信息披露。</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（六）信息披露事务管理</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基金管理人、基金托管人应当建立健全信息披露管理制度，指定专门部门及高级管理人员负责管理信息披露事务。</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基金信息披露义务人公开披露基金信息，应当符合中国证监会相关基金信息披露内容与格式准则等法规的规定。</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63C46" w:rsidRPr="00FD5C9F" w:rsidP="0054430C">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（七）信息披露文件的存放与查阅</w:t>
      </w:r>
    </w:p>
    <w:p w:rsidR="00C63C46" w:rsidRPr="00FD5C9F" w:rsidP="001D7201">
      <w:pPr>
        <w:spacing w:line="360" w:lineRule="auto"/>
        <w:ind w:firstLine="420" w:firstLineChars="200"/>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依法必须披露的信息发布后，基金管理人、基金托管人应当按照相关法律法规规定将信息置备于公司办公场所，供社会公众查阅、复制。</w:t>
      </w:r>
    </w:p>
    <w:p w:rsidR="00285F90" w:rsidRPr="00FD5C9F" w:rsidP="00285F90">
      <w:pPr>
        <w:spacing w:line="360" w:lineRule="auto"/>
        <w:ind w:firstLine="420" w:firstLineChars="200"/>
        <w:rPr>
          <w:rFonts w:asciiTheme="minorEastAsia" w:eastAsiaTheme="minorEastAsia" w:hAnsiTheme="minorEastAsia"/>
          <w:color w:val="000000" w:themeColor="text1"/>
          <w:szCs w:val="21"/>
        </w:rPr>
      </w:pPr>
    </w:p>
    <w:p w:rsidR="007D75D0"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A56E6C" w:rsidRPr="00FD5C9F" w:rsidP="00285F90">
      <w:pPr>
        <w:spacing w:line="360" w:lineRule="auto"/>
        <w:ind w:firstLine="420" w:firstLineChars="200"/>
        <w:rPr>
          <w:rFonts w:asciiTheme="minorEastAsia" w:eastAsiaTheme="minorEastAsia" w:hAnsiTheme="minorEastAsia"/>
          <w:color w:val="000000" w:themeColor="text1"/>
          <w:szCs w:val="21"/>
        </w:rPr>
      </w:pPr>
    </w:p>
    <w:p w:rsidR="00285F90" w:rsidRPr="00FD5C9F" w:rsidP="00285F90">
      <w:pPr>
        <w:spacing w:line="360" w:lineRule="auto"/>
        <w:ind w:firstLine="420" w:firstLineChars="200"/>
        <w:rPr>
          <w:rFonts w:asciiTheme="minorEastAsia" w:eastAsiaTheme="minorEastAsia" w:hAnsiTheme="minorEastAsia"/>
          <w:color w:val="000000" w:themeColor="text1"/>
          <w:szCs w:val="21"/>
        </w:rPr>
      </w:pPr>
    </w:p>
    <w:p w:rsidR="00BA4B87" w:rsidRPr="00FD5C9F" w:rsidP="009A5A64">
      <w:pPr>
        <w:pStyle w:val="Heading1"/>
        <w:spacing w:before="317" w:after="317" w:line="360" w:lineRule="auto"/>
        <w:ind w:firstLine="600"/>
        <w:rPr>
          <w:rFonts w:asciiTheme="minorEastAsia" w:eastAsiaTheme="minorEastAsia" w:hAnsiTheme="minorEastAsia"/>
          <w:color w:val="000000" w:themeColor="text1"/>
        </w:rPr>
      </w:pPr>
      <w:bookmarkStart w:id="94" w:name="_Toc134547857"/>
      <w:r w:rsidRPr="00FD5C9F">
        <w:rPr>
          <w:rFonts w:asciiTheme="minorEastAsia" w:eastAsiaTheme="minorEastAsia" w:hAnsiTheme="minorEastAsia" w:hint="eastAsia"/>
          <w:color w:val="000000" w:themeColor="text1"/>
          <w:sz w:val="30"/>
        </w:rPr>
        <w:t>十</w:t>
      </w:r>
      <w:bookmarkStart w:id="95" w:name="_Toc332373573"/>
      <w:r w:rsidRPr="00FD5C9F" w:rsidR="00DD2F77">
        <w:rPr>
          <w:rFonts w:asciiTheme="minorEastAsia" w:eastAsiaTheme="minorEastAsia" w:hAnsiTheme="minorEastAsia" w:hint="eastAsia"/>
          <w:color w:val="000000" w:themeColor="text1"/>
          <w:sz w:val="30"/>
        </w:rPr>
        <w:t>九</w:t>
      </w:r>
      <w:r w:rsidRPr="00FD5C9F">
        <w:rPr>
          <w:rFonts w:asciiTheme="minorEastAsia" w:eastAsiaTheme="minorEastAsia" w:hAnsiTheme="minorEastAsia" w:hint="eastAsia"/>
          <w:color w:val="000000" w:themeColor="text1"/>
          <w:sz w:val="30"/>
        </w:rPr>
        <w:t>、风险揭示</w:t>
      </w:r>
      <w:bookmarkEnd w:id="94"/>
    </w:p>
    <w:p w:rsidR="0091351D" w:rsidRPr="00FD5C9F" w:rsidP="0091351D">
      <w:pPr>
        <w:spacing w:line="360" w:lineRule="auto"/>
        <w:ind w:firstLine="420" w:firstLineChars="200"/>
        <w:rPr>
          <w:rStyle w:val="da"/>
          <w:rFonts w:asciiTheme="minorEastAsia" w:eastAsiaTheme="minorEastAsia" w:hAnsiTheme="minorEastAsia"/>
          <w:color w:val="000000" w:themeColor="text1"/>
        </w:rPr>
      </w:pPr>
      <w:bookmarkStart w:id="96" w:name="_Toc332373574"/>
      <w:bookmarkEnd w:id="95"/>
      <w:r w:rsidRPr="00FD5C9F">
        <w:rPr>
          <w:rStyle w:val="da"/>
          <w:rFonts w:asciiTheme="minorEastAsia" w:eastAsiaTheme="minorEastAsia" w:hAnsiTheme="minorEastAsia" w:hint="eastAsia"/>
          <w:color w:val="000000" w:themeColor="text1"/>
        </w:rPr>
        <w:t>（一）本基金的特有风险</w:t>
      </w:r>
    </w:p>
    <w:p w:rsidR="002D3E0D" w:rsidRPr="00FD5C9F" w:rsidP="002D3E0D">
      <w:pPr>
        <w:spacing w:line="360" w:lineRule="auto"/>
        <w:ind w:firstLine="420" w:firstLineChars="200"/>
        <w:rPr>
          <w:rFonts w:asciiTheme="minorEastAsia" w:eastAsiaTheme="minorEastAsia" w:hAnsiTheme="minorEastAsia"/>
          <w:color w:val="000000" w:themeColor="text1"/>
          <w:kern w:val="0"/>
        </w:rPr>
      </w:pPr>
      <w:r w:rsidRPr="00FD5C9F">
        <w:rPr>
          <w:rFonts w:asciiTheme="minorEastAsia" w:eastAsiaTheme="minorEastAsia" w:hAnsiTheme="minorEastAsia" w:hint="eastAsia"/>
          <w:color w:val="000000" w:themeColor="text1"/>
          <w:kern w:val="0"/>
          <w:szCs w:val="21"/>
        </w:rPr>
        <w:t>1、资产配置风险。本基金股票资产占基金资产的比例为</w:t>
      </w:r>
      <w:r w:rsidRPr="00FD5C9F" w:rsidR="00C3209B">
        <w:rPr>
          <w:rFonts w:asciiTheme="minorEastAsia" w:eastAsiaTheme="minorEastAsia" w:hAnsiTheme="minorEastAsia"/>
          <w:color w:val="000000" w:themeColor="text1"/>
          <w:kern w:val="0"/>
          <w:szCs w:val="21"/>
        </w:rPr>
        <w:t>60</w:t>
      </w: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-95%</w:t>
      </w:r>
      <w:r w:rsidRPr="00FD5C9F">
        <w:rPr>
          <w:rFonts w:asciiTheme="minorEastAsia" w:eastAsiaTheme="minorEastAsia" w:hAnsiTheme="minorEastAsia" w:hint="eastAsia"/>
          <w:color w:val="000000" w:themeColor="text1"/>
          <w:kern w:val="0"/>
          <w:szCs w:val="21"/>
        </w:rPr>
        <w:t>，属于股票仓位偏高且相对稳定的基金品种，受股票市场系统性风险影响较大，</w:t>
      </w:r>
      <w:r w:rsidRPr="00FD5C9F">
        <w:rPr>
          <w:rFonts w:asciiTheme="minorEastAsia" w:eastAsiaTheme="minorEastAsia" w:hAnsiTheme="minorEastAsia"/>
          <w:color w:val="000000" w:themeColor="text1"/>
          <w:kern w:val="0"/>
          <w:szCs w:val="21"/>
        </w:rPr>
        <w:t>如果</w:t>
      </w:r>
      <w:r w:rsidRPr="00FD5C9F">
        <w:rPr>
          <w:rFonts w:asciiTheme="minorEastAsia" w:eastAsiaTheme="minorEastAsia" w:hAnsiTheme="minorEastAsia" w:hint="eastAsia"/>
          <w:color w:val="000000" w:themeColor="text1"/>
          <w:kern w:val="0"/>
          <w:szCs w:val="21"/>
        </w:rPr>
        <w:t>股票</w:t>
      </w:r>
      <w:r w:rsidRPr="00FD5C9F">
        <w:rPr>
          <w:rFonts w:asciiTheme="minorEastAsia" w:eastAsiaTheme="minorEastAsia" w:hAnsiTheme="minorEastAsia"/>
          <w:color w:val="000000" w:themeColor="text1"/>
          <w:kern w:val="0"/>
          <w:szCs w:val="21"/>
        </w:rPr>
        <w:t>市场出现整体下跌，本基金的净值表现将受到影响</w:t>
      </w:r>
      <w:r w:rsidRPr="00FD5C9F" w:rsidR="001C1F8B">
        <w:rPr>
          <w:rFonts w:asciiTheme="minorEastAsia" w:eastAsiaTheme="minorEastAsia" w:hAnsiTheme="minorEastAsia" w:hint="eastAsia"/>
          <w:color w:val="000000" w:themeColor="text1"/>
          <w:kern w:val="0"/>
          <w:szCs w:val="21"/>
        </w:rPr>
        <w:t>，</w:t>
      </w:r>
      <w:r w:rsidRPr="00FD5C9F" w:rsidR="001C1F8B">
        <w:rPr>
          <w:rFonts w:asciiTheme="minorEastAsia" w:eastAsiaTheme="minorEastAsia" w:hAnsiTheme="minorEastAsia"/>
          <w:color w:val="000000" w:themeColor="text1"/>
          <w:kern w:val="0"/>
          <w:szCs w:val="21"/>
        </w:rPr>
        <w:t>投资者面临无法获得收益甚至</w:t>
      </w:r>
      <w:r w:rsidRPr="00FD5C9F" w:rsidR="001C1F8B">
        <w:rPr>
          <w:rFonts w:asciiTheme="minorEastAsia" w:eastAsiaTheme="minorEastAsia" w:hAnsiTheme="minorEastAsia" w:hint="eastAsia"/>
          <w:color w:val="000000" w:themeColor="text1"/>
          <w:kern w:val="0"/>
          <w:szCs w:val="21"/>
        </w:rPr>
        <w:t>可能</w:t>
      </w:r>
      <w:r w:rsidRPr="00FD5C9F" w:rsidR="001C1F8B">
        <w:rPr>
          <w:rFonts w:asciiTheme="minorEastAsia" w:eastAsiaTheme="minorEastAsia" w:hAnsiTheme="minorEastAsia"/>
          <w:color w:val="000000" w:themeColor="text1"/>
          <w:kern w:val="0"/>
          <w:szCs w:val="21"/>
        </w:rPr>
        <w:t>发生较大亏损的风险</w:t>
      </w:r>
      <w:r w:rsidRPr="00FD5C9F">
        <w:rPr>
          <w:rFonts w:asciiTheme="minorEastAsia" w:eastAsiaTheme="minorEastAsia" w:hAnsiTheme="minorEastAsia" w:hint="eastAsia"/>
          <w:color w:val="000000" w:themeColor="text1"/>
          <w:kern w:val="0"/>
          <w:szCs w:val="21"/>
        </w:rPr>
        <w:t>。</w:t>
      </w:r>
    </w:p>
    <w:p w:rsidR="00432ACF" w:rsidRPr="00FD5C9F" w:rsidP="00432ACF">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2</w:t>
      </w:r>
      <w:r w:rsidRPr="00FD5C9F" w:rsidR="00457A80">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hint="eastAsia"/>
          <w:color w:val="000000" w:themeColor="text1"/>
          <w:kern w:val="0"/>
          <w:szCs w:val="21"/>
        </w:rPr>
        <w:t>本基金非现金资产中不低于</w:t>
      </w:r>
      <w:r w:rsidRPr="00FD5C9F">
        <w:rPr>
          <w:rFonts w:asciiTheme="minorEastAsia" w:eastAsiaTheme="minorEastAsia" w:hAnsiTheme="minorEastAsia"/>
          <w:color w:val="000000" w:themeColor="text1"/>
          <w:kern w:val="0"/>
          <w:szCs w:val="21"/>
        </w:rPr>
        <w:t>80%</w:t>
      </w:r>
      <w:r w:rsidRPr="00FD5C9F">
        <w:rPr>
          <w:rFonts w:asciiTheme="minorEastAsia" w:eastAsiaTheme="minorEastAsia" w:hAnsiTheme="minorEastAsia" w:hint="eastAsia"/>
          <w:color w:val="000000" w:themeColor="text1"/>
          <w:kern w:val="0"/>
          <w:szCs w:val="21"/>
        </w:rPr>
        <w:t>的资产投资</w:t>
      </w:r>
      <w:r w:rsidRPr="00FD5C9F" w:rsidR="00395C8C">
        <w:rPr>
          <w:rFonts w:asciiTheme="minorEastAsia" w:eastAsiaTheme="minorEastAsia" w:hAnsiTheme="minorEastAsia" w:hint="eastAsia"/>
          <w:color w:val="000000" w:themeColor="text1"/>
          <w:kern w:val="0"/>
          <w:szCs w:val="21"/>
        </w:rPr>
        <w:t>创新成长主题相关公司</w:t>
      </w:r>
      <w:r w:rsidRPr="00FD5C9F">
        <w:rPr>
          <w:rFonts w:asciiTheme="minorEastAsia" w:eastAsiaTheme="minorEastAsia" w:hAnsiTheme="minorEastAsia" w:hint="eastAsia"/>
          <w:color w:val="000000" w:themeColor="text1"/>
          <w:kern w:val="0"/>
          <w:szCs w:val="21"/>
        </w:rPr>
        <w:t>，须承受</w:t>
      </w:r>
      <w:r w:rsidRPr="00FD5C9F" w:rsidR="00CC0EAD">
        <w:rPr>
          <w:rFonts w:asciiTheme="minorEastAsia" w:eastAsiaTheme="minorEastAsia" w:hAnsiTheme="minorEastAsia" w:hint="eastAsia"/>
          <w:color w:val="000000" w:themeColor="text1"/>
          <w:kern w:val="0"/>
          <w:szCs w:val="21"/>
        </w:rPr>
        <w:t>与</w:t>
      </w:r>
      <w:r w:rsidRPr="00FD5C9F" w:rsidR="00395C8C">
        <w:rPr>
          <w:rFonts w:asciiTheme="minorEastAsia" w:eastAsiaTheme="minorEastAsia" w:hAnsiTheme="minorEastAsia" w:hint="eastAsia"/>
          <w:color w:val="000000" w:themeColor="text1"/>
          <w:kern w:val="0"/>
          <w:szCs w:val="21"/>
        </w:rPr>
        <w:t>创新成长主题</w:t>
      </w:r>
      <w:r w:rsidRPr="00FD5C9F" w:rsidR="00C737F7">
        <w:rPr>
          <w:rFonts w:asciiTheme="minorEastAsia" w:eastAsiaTheme="minorEastAsia" w:hAnsiTheme="minorEastAsia" w:hint="eastAsia"/>
          <w:color w:val="000000" w:themeColor="text1"/>
          <w:kern w:val="0"/>
          <w:szCs w:val="21"/>
        </w:rPr>
        <w:t>相关</w:t>
      </w:r>
      <w:r w:rsidRPr="00FD5C9F">
        <w:rPr>
          <w:rFonts w:asciiTheme="minorEastAsia" w:eastAsiaTheme="minorEastAsia" w:hAnsiTheme="minorEastAsia" w:hint="eastAsia"/>
          <w:color w:val="000000" w:themeColor="text1"/>
          <w:kern w:val="0"/>
          <w:szCs w:val="21"/>
        </w:rPr>
        <w:t>的</w:t>
      </w:r>
      <w:r w:rsidRPr="00FD5C9F" w:rsidR="00C737F7">
        <w:rPr>
          <w:rFonts w:asciiTheme="minorEastAsia" w:eastAsiaTheme="minorEastAsia" w:hAnsiTheme="minorEastAsia" w:hint="eastAsia"/>
          <w:color w:val="000000" w:themeColor="text1"/>
          <w:kern w:val="0"/>
          <w:szCs w:val="21"/>
        </w:rPr>
        <w:t>特有</w:t>
      </w:r>
      <w:r w:rsidRPr="00FD5C9F">
        <w:rPr>
          <w:rFonts w:asciiTheme="minorEastAsia" w:eastAsiaTheme="minorEastAsia" w:hAnsiTheme="minorEastAsia" w:hint="eastAsia"/>
          <w:color w:val="000000" w:themeColor="text1"/>
          <w:kern w:val="0"/>
          <w:szCs w:val="21"/>
        </w:rPr>
        <w:t>风险。本基金对于</w:t>
      </w:r>
      <w:r w:rsidRPr="00FD5C9F" w:rsidR="00395C8C">
        <w:rPr>
          <w:rFonts w:asciiTheme="minorEastAsia" w:eastAsiaTheme="minorEastAsia" w:hAnsiTheme="minorEastAsia" w:hint="eastAsia"/>
          <w:color w:val="000000" w:themeColor="text1"/>
          <w:kern w:val="0"/>
          <w:szCs w:val="21"/>
        </w:rPr>
        <w:t>创新成长主题相关</w:t>
      </w:r>
      <w:r w:rsidRPr="00FD5C9F" w:rsidR="00395C8C">
        <w:rPr>
          <w:rFonts w:asciiTheme="minorEastAsia" w:eastAsiaTheme="minorEastAsia" w:hAnsiTheme="minorEastAsia"/>
          <w:color w:val="000000" w:themeColor="text1"/>
          <w:kern w:val="0"/>
          <w:szCs w:val="21"/>
        </w:rPr>
        <w:t>公司</w:t>
      </w:r>
      <w:r w:rsidRPr="00FD5C9F">
        <w:rPr>
          <w:rFonts w:asciiTheme="minorEastAsia" w:eastAsiaTheme="minorEastAsia" w:hAnsiTheme="minorEastAsia" w:hint="eastAsia"/>
          <w:color w:val="000000" w:themeColor="text1"/>
          <w:kern w:val="0"/>
          <w:szCs w:val="21"/>
        </w:rPr>
        <w:t>定义和筛选标准的确定是基于上市公司过往历史数据及其他多方面因素，不预示其未来表现，因此最终能否带来收益具有较大不确定性。</w:t>
      </w:r>
      <w:r w:rsidRPr="00FD5C9F" w:rsidR="00D24943">
        <w:rPr>
          <w:rFonts w:asciiTheme="minorEastAsia" w:eastAsiaTheme="minorEastAsia" w:hAnsiTheme="minorEastAsia" w:hint="eastAsia"/>
          <w:color w:val="000000" w:themeColor="text1"/>
          <w:kern w:val="0"/>
          <w:szCs w:val="21"/>
        </w:rPr>
        <w:t>同时</w:t>
      </w:r>
      <w:r w:rsidRPr="00FD5C9F">
        <w:rPr>
          <w:rFonts w:asciiTheme="minorEastAsia" w:eastAsiaTheme="minorEastAsia" w:hAnsiTheme="minorEastAsia" w:hint="eastAsia"/>
          <w:color w:val="000000" w:themeColor="text1"/>
          <w:kern w:val="0"/>
          <w:szCs w:val="21"/>
        </w:rPr>
        <w:t>本基金投资于股票市场所获取的收益受多种因素影响，因此即便根据投资策略投资于</w:t>
      </w:r>
      <w:r w:rsidRPr="00FD5C9F" w:rsidR="00395C8C">
        <w:rPr>
          <w:rFonts w:asciiTheme="minorEastAsia" w:eastAsiaTheme="minorEastAsia" w:hAnsiTheme="minorEastAsia" w:hint="eastAsia"/>
          <w:color w:val="000000" w:themeColor="text1"/>
          <w:kern w:val="0"/>
          <w:szCs w:val="21"/>
        </w:rPr>
        <w:t>创新成长主题相关</w:t>
      </w:r>
      <w:r w:rsidRPr="00FD5C9F" w:rsidR="00395C8C">
        <w:rPr>
          <w:rFonts w:asciiTheme="minorEastAsia" w:eastAsiaTheme="minorEastAsia" w:hAnsiTheme="minorEastAsia"/>
          <w:color w:val="000000" w:themeColor="text1"/>
          <w:kern w:val="0"/>
          <w:szCs w:val="21"/>
        </w:rPr>
        <w:t>公司</w:t>
      </w:r>
      <w:r w:rsidRPr="00FD5C9F" w:rsidR="00406A88">
        <w:rPr>
          <w:rFonts w:asciiTheme="minorEastAsia" w:eastAsiaTheme="minorEastAsia" w:hAnsiTheme="minorEastAsia" w:hint="eastAsia"/>
          <w:color w:val="000000" w:themeColor="text1"/>
          <w:kern w:val="0"/>
          <w:szCs w:val="21"/>
        </w:rPr>
        <w:t>股票</w:t>
      </w:r>
      <w:r w:rsidRPr="00FD5C9F">
        <w:rPr>
          <w:rFonts w:asciiTheme="minorEastAsia" w:eastAsiaTheme="minorEastAsia" w:hAnsiTheme="minorEastAsia" w:hint="eastAsia"/>
          <w:color w:val="000000" w:themeColor="text1"/>
          <w:kern w:val="0"/>
          <w:szCs w:val="21"/>
        </w:rPr>
        <w:t>，也不意味着本基金一定盈利。</w:t>
      </w:r>
      <w:r w:rsidRPr="00FD5C9F" w:rsidR="00D24943">
        <w:rPr>
          <w:rFonts w:asciiTheme="minorEastAsia" w:eastAsiaTheme="minorEastAsia" w:hAnsiTheme="minorEastAsia" w:hint="eastAsia"/>
          <w:color w:val="000000" w:themeColor="text1"/>
          <w:kern w:val="0"/>
          <w:szCs w:val="21"/>
        </w:rPr>
        <w:t>本基金非现金资产中较大比例资产投资</w:t>
      </w:r>
      <w:r w:rsidRPr="00FD5C9F" w:rsidR="00395C8C">
        <w:rPr>
          <w:rFonts w:asciiTheme="minorEastAsia" w:eastAsiaTheme="minorEastAsia" w:hAnsiTheme="minorEastAsia" w:hint="eastAsia"/>
          <w:color w:val="000000" w:themeColor="text1"/>
          <w:kern w:val="0"/>
          <w:szCs w:val="21"/>
        </w:rPr>
        <w:t>创新成长主题相关</w:t>
      </w:r>
      <w:r w:rsidRPr="00FD5C9F" w:rsidR="00395C8C">
        <w:rPr>
          <w:rFonts w:asciiTheme="minorEastAsia" w:eastAsiaTheme="minorEastAsia" w:hAnsiTheme="minorEastAsia"/>
          <w:color w:val="000000" w:themeColor="text1"/>
          <w:kern w:val="0"/>
          <w:szCs w:val="21"/>
        </w:rPr>
        <w:t>公司</w:t>
      </w:r>
      <w:r w:rsidRPr="00FD5C9F" w:rsidR="00D24943">
        <w:rPr>
          <w:rFonts w:asciiTheme="minorEastAsia" w:eastAsiaTheme="minorEastAsia" w:hAnsiTheme="minorEastAsia" w:hint="eastAsia"/>
          <w:color w:val="000000" w:themeColor="text1"/>
          <w:kern w:val="0"/>
          <w:szCs w:val="21"/>
        </w:rPr>
        <w:t>，当</w:t>
      </w:r>
      <w:r w:rsidRPr="00FD5C9F" w:rsidR="00395C8C">
        <w:rPr>
          <w:rFonts w:asciiTheme="minorEastAsia" w:eastAsiaTheme="minorEastAsia" w:hAnsiTheme="minorEastAsia" w:hint="eastAsia"/>
          <w:color w:val="000000" w:themeColor="text1"/>
          <w:kern w:val="0"/>
          <w:szCs w:val="21"/>
        </w:rPr>
        <w:t>创新成长主题相关</w:t>
      </w:r>
      <w:r w:rsidRPr="00FD5C9F" w:rsidR="00395C8C">
        <w:rPr>
          <w:rFonts w:asciiTheme="minorEastAsia" w:eastAsiaTheme="minorEastAsia" w:hAnsiTheme="minorEastAsia"/>
          <w:color w:val="000000" w:themeColor="text1"/>
          <w:kern w:val="0"/>
          <w:szCs w:val="21"/>
        </w:rPr>
        <w:t>公司</w:t>
      </w:r>
      <w:r w:rsidRPr="00FD5C9F" w:rsidR="00D24943">
        <w:rPr>
          <w:rFonts w:asciiTheme="minorEastAsia" w:eastAsiaTheme="minorEastAsia" w:hAnsiTheme="minorEastAsia" w:hint="eastAsia"/>
          <w:color w:val="000000" w:themeColor="text1"/>
          <w:kern w:val="0"/>
          <w:szCs w:val="21"/>
        </w:rPr>
        <w:t>表现不佳时，本基金的净值将会受到较大影响。</w:t>
      </w:r>
      <w:r w:rsidRPr="00FD5C9F">
        <w:rPr>
          <w:rFonts w:asciiTheme="minorEastAsia" w:eastAsiaTheme="minorEastAsia" w:hAnsiTheme="minorEastAsia" w:hint="eastAsia"/>
          <w:color w:val="000000" w:themeColor="text1"/>
          <w:kern w:val="0"/>
          <w:szCs w:val="21"/>
        </w:rPr>
        <w:t>投资者须在理性判断的基础上做出投资选择。</w:t>
      </w:r>
    </w:p>
    <w:p w:rsidR="00552DFA" w:rsidRPr="00FD5C9F" w:rsidP="00552DFA">
      <w:pPr>
        <w:spacing w:line="360" w:lineRule="auto"/>
        <w:ind w:firstLine="420" w:firstLineChars="200"/>
        <w:rPr>
          <w:rFonts w:asciiTheme="minorEastAsia" w:eastAsiaTheme="minorEastAsia" w:hAnsiTheme="minorEastAsia"/>
          <w:color w:val="000000" w:themeColor="text1"/>
          <w:kern w:val="0"/>
        </w:rPr>
      </w:pPr>
      <w:r w:rsidRPr="00FD5C9F">
        <w:rPr>
          <w:rFonts w:asciiTheme="minorEastAsia" w:eastAsiaTheme="minorEastAsia" w:hAnsiTheme="minorEastAsia" w:hint="eastAsia"/>
          <w:color w:val="000000" w:themeColor="text1"/>
          <w:kern w:val="0"/>
          <w:szCs w:val="21"/>
        </w:rPr>
        <w:t>3</w:t>
      </w:r>
      <w:r w:rsidRPr="00FD5C9F" w:rsidR="0003536B">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hint="eastAsia"/>
          <w:color w:val="000000" w:themeColor="text1"/>
          <w:kern w:val="0"/>
        </w:rPr>
        <w:t>通过内地与香港股票市场交易互联互通机制投资于香港市场股票的风险</w:t>
      </w:r>
    </w:p>
    <w:p w:rsidR="00552DFA" w:rsidRPr="00FD5C9F" w:rsidP="00552DFA">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本基金的投资范围包括港股通股票，除与其他投</w:t>
      </w:r>
      <w:r w:rsidRPr="00FD5C9F">
        <w:rPr>
          <w:rFonts w:asciiTheme="minorEastAsia" w:eastAsiaTheme="minorEastAsia" w:hAnsiTheme="minorEastAsia" w:hint="eastAsia"/>
          <w:color w:val="000000" w:themeColor="text1"/>
          <w:kern w:val="0"/>
          <w:szCs w:val="21"/>
        </w:rPr>
        <w:t>资于沪深市场股票的基金所面临的共同风险外，</w:t>
      </w:r>
      <w:r w:rsidRPr="00FD5C9F">
        <w:rPr>
          <w:rFonts w:asciiTheme="minorEastAsia" w:eastAsiaTheme="minorEastAsia" w:hAnsiTheme="minorEastAsia" w:hint="eastAsia"/>
          <w:color w:val="000000" w:themeColor="text1"/>
        </w:rPr>
        <w:t>本基金还将面临以下特有风险，包括但不限于：</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（1）投资于香港证券市场的特有风险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1）香港证券市场与内地证券市场规则差异的风险。香港证券市场与内地证券市场存在诸多差异，本基金参与港股通交易需遵守内地与香港相关法律、行政法规、部门规章、规范性文件和业务规则，对香港证券市场有所了解。以上情形可能增加本基金的投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2）股价较大波动的风险。港股股票可能出现因公司基本面变化、第三方研究分析报告的观点、异常交易情形、做空机制等原因引起股价较大波动。此外，港股市场实行 T+0 回转交易机制，且个股涨跌幅不设限制，加之香港市场结构性产品和衍生品种类相对丰富以及做空机制的存在，港股股价受到意外事件影响可能表现出更为剧烈的股价波动，由此增加本基金净值的波动风险。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3）中小市值公司和生物科技公司投资风险。中小市值公司存在业绩不稳定、股价波动性较大、市场流动性较差等风险，此外，部分港股通生物科技公司可能存在公开发行并上市时尚未有收入，上市后仍无收入、持续亏损、无法进行利润分配等情形，若本基金投资中小市值股票或生物科技公司，本基金的投资风险可能增加。</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4）股份数量、股票面值大幅变化的风险。部分港股通股票可能存在大比例折价供股或配股、频繁分拆合并股份的行为，投资者持有的股份数量、股票面值可能发生大幅变化，由此可能增加本基金的投资风险。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 xml:space="preserve">5）投票权不同带来的风险。部分港股通上市公司存在不同投票权安排，公司可能因存在控制权相对集中，或因某特定类别股份拥有的投票权利大于或优于普通股份拥有的投票权利等情形，而使本基金的投票权利及对公司日常经营等事务的影响力受到限制，由此可能增加本基金的投资风险。    </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6）停牌风险。与内地市场相比，香港市场股票停牌制度存在一定差异，港股股票可能出现长时间停牌现象，由此可能增加本基金的投资风险。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7）直接退市风险。与内地市场相比，香港市场股票交易没有退市风险警示、退市整理等安排，相关股票存在直接退市的风险。港股股票一旦退市，本基金将面临无法继续通过港股通买卖相关股票的风险。此外，港股通股票退市后，中国证券登记结算有限责任公司通过香港结算继续为本基金提供的退市股票名义持有人服务可能会受限。以上情况可能增加本基金的投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（2）通过</w:t>
      </w:r>
      <w:r w:rsidRPr="00FD5C9F">
        <w:rPr>
          <w:rFonts w:asciiTheme="minorEastAsia" w:eastAsiaTheme="minorEastAsia" w:hAnsiTheme="minorEastAsia" w:hint="eastAsia"/>
          <w:color w:val="000000" w:themeColor="text1"/>
        </w:rPr>
        <w:t>内地与香港股票市场交易互联互通机制投资的特有风险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1）港股通机制及其规则变动带来的风险。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2）港股通股票范围受限及动态调整的风险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本基金可以通过港股通买卖的股票存在一定的范围限制，且港股通股票名单会动态调整。对于被调出的港股通股票，自调整之日起，本基金将不得再行买入。以上情形可能对本基金带来不利影响。</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bCs/>
          <w:color w:val="000000" w:themeColor="text1"/>
          <w:kern w:val="0"/>
          <w:szCs w:val="21"/>
        </w:rPr>
        <w:t>3</w:t>
      </w:r>
      <w:r w:rsidRPr="00FD5C9F">
        <w:rPr>
          <w:rFonts w:asciiTheme="minorEastAsia" w:eastAsiaTheme="minorEastAsia" w:hAnsiTheme="minorEastAsia" w:hint="eastAsia"/>
          <w:color w:val="000000" w:themeColor="text1"/>
          <w:kern w:val="0"/>
          <w:szCs w:val="21"/>
        </w:rPr>
        <w:t>）港股通交易日不连贯的风险。在内地与香港股票市场交易互联互通机制下，只有内地和香港两地均为交易日且能够满足结算安排的交易日才为港股通交易日，存在港股通交易日不连贯的情形，而导致基金所持的港股组合在后续港股通交易日开市交易中集中体现市场反应而造成其价格波动骤然增大，进而导致本基金所持港股组合在资产估值上出现波动增大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bCs/>
          <w:color w:val="000000" w:themeColor="text1"/>
          <w:kern w:val="0"/>
          <w:szCs w:val="21"/>
        </w:rPr>
        <w:t>4</w:t>
      </w:r>
      <w:r w:rsidRPr="00FD5C9F">
        <w:rPr>
          <w:rFonts w:asciiTheme="minorEastAsia" w:eastAsiaTheme="minorEastAsia" w:hAnsiTheme="minorEastAsia" w:hint="eastAsia"/>
          <w:color w:val="000000" w:themeColor="text1"/>
          <w:kern w:val="0"/>
          <w:szCs w:val="21"/>
        </w:rPr>
        <w:t>）交收制度带来的基金流动性风险。香港证券市场与内地证券市场在证券资金的交收期安排上存在差异，香港证券市场实行T+2日（T日买卖股票，资金和股票在T+2日才进行交收）的交收安排，本基金在T日（港股通交易日）卖出股票，T+2日（港股通交易日，即为卖出当日之后第二个港股通交易日）在香港市场完成清算交收，卖出的资金在T+3日才能回到人民币资金账户，因此卖出资金回到本基金人民币账户的周期比内地证券市场要长；此外港股的交收可能因香港出现台风或黑色暴雨等发生延迟交易。因此交收制度的不同以及港股通交易日的设定原因，本基金可能面临卖出港股后资金不能及时到账，而造成支付赎回款日期比正常情况延后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bCs/>
          <w:color w:val="000000" w:themeColor="text1"/>
          <w:kern w:val="0"/>
          <w:szCs w:val="21"/>
        </w:rPr>
        <w:t>5</w:t>
      </w:r>
      <w:r w:rsidRPr="00FD5C9F">
        <w:rPr>
          <w:rFonts w:asciiTheme="minorEastAsia" w:eastAsiaTheme="minorEastAsia" w:hAnsiTheme="minorEastAsia" w:hint="eastAsia"/>
          <w:color w:val="000000" w:themeColor="text1"/>
          <w:kern w:val="0"/>
          <w:szCs w:val="21"/>
        </w:rPr>
        <w:t>）交易额度限制的风险。在内地与香港股票市场交易互联互通机制下，港股通交易实施每日额度限制，如当日额度使用完毕，当日投资者可能无法通过通过港股通买入，本基金可能面临每日额度不足而交易失败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6）无法进行交易或交易中断的风险。香港出现台风、黑色暴雨或者联交所规定的其他情形时，香港证券市场将可能停市，投资者将面临在停市期间无法进行港股交易的风险；出现内地证券交易服务公司认定的交易异常情况时，将可能暂停提供部分或者全部港股通服务，本基金将面临在暂停服务期间无法进行港股通交易的风险。若香港联交所与内地交易所的证券交易服务公司之间的报盘系统或者通信链路出现故障，可能导致15 分钟以上不能申报和撤销申报的交易中断风险；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7）汇率风险。在内地与香港股票市场交易互联互通机制下，港股的买卖是以港币报价、人民币支付，本基金承担港币对人民币汇率波动的风险；同时，由于在交易时间内提交订单依据的港币买入参考汇率和卖出参考汇率，并不等于最终结算汇率，最终结算汇率为相关机构日终确定的数值。此外，若因汇率大幅波动等原因，可能会导致本基金的账户透支风险。因此，本基金面临汇率波动的不确定性风险，由此可能增加本基金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8）交易价格受限的风险。港股通股票不设置涨跌幅限制，但根据联交所业务规则，适用市场波动调节机制的港股通股票的买卖申报可能受到价格限制。此外，对于适用收市竞价交易的港股通股票，收市竞价交易时段的买卖申报也将受到价格限制。以上情形可能增加本基金的投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bCs/>
          <w:color w:val="000000" w:themeColor="text1"/>
          <w:kern w:val="0"/>
          <w:szCs w:val="21"/>
        </w:rPr>
        <w:t>9</w:t>
      </w:r>
      <w:r w:rsidRPr="00FD5C9F">
        <w:rPr>
          <w:rFonts w:asciiTheme="minorEastAsia" w:eastAsiaTheme="minorEastAsia" w:hAnsiTheme="minorEastAsia" w:hint="eastAsia"/>
          <w:color w:val="000000" w:themeColor="text1"/>
          <w:kern w:val="0"/>
          <w:szCs w:val="21"/>
        </w:rPr>
        <w:t>）港股通制度下对公司行为的处理规则带来的风险。本基金因所持香港证券市场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上述规则可能增加本基金的投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10）结算风险。香港结算机构可能因极端情况存在无法交付证券和资金的结算风险；另外港股通境内结算实施分级结算原则，本基金可能面临以下风险：因结算参与人未完成与中国结算的集中交收，导致本基金应收资金或证券被暂不交付或处置；结算参与人对本基金出现交收违约导致本基金未能取得应收证券或资金；结算参与人向中国结算发送的有关本基金的证券划付指令有误的导致本基金权益受损；其他因结算参与人未遵守相关业务规则导致本基金利益受到损害的情况。</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（3）其他可能的风险</w:t>
      </w:r>
    </w:p>
    <w:p w:rsidR="00552DFA"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除上述风险外，本基金投资港股通股票，还可能面临其他风险，包括但不限于：</w:t>
      </w:r>
    </w:p>
    <w:p w:rsidR="00552DFA" w:rsidRPr="00FD5C9F" w:rsidP="00552DFA">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1）</w:t>
      </w:r>
      <w:r w:rsidRPr="00FD5C9F">
        <w:rPr>
          <w:rFonts w:asciiTheme="minorEastAsia" w:eastAsiaTheme="minorEastAsia" w:hAnsiTheme="minorEastAsia" w:hint="eastAsia"/>
          <w:bCs/>
          <w:color w:val="000000" w:themeColor="text1"/>
          <w:szCs w:val="21"/>
        </w:rPr>
        <w:t>本基金的开放日为上海证券交易所、深圳证券交易所的交易日，但若该交易日非港股通交易日，则本基金不开放申购和赎回，</w:t>
      </w:r>
      <w:r w:rsidRPr="00FD5C9F">
        <w:rPr>
          <w:rFonts w:asciiTheme="minorEastAsia" w:eastAsiaTheme="minorEastAsia" w:hAnsiTheme="minorEastAsia"/>
          <w:color w:val="000000" w:themeColor="text1"/>
        </w:rPr>
        <w:t>投资人无法进行申购与赎回；</w:t>
      </w:r>
    </w:p>
    <w:p w:rsidR="00552DFA" w:rsidRPr="00FD5C9F" w:rsidP="00552DFA">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因港股通交易当日额度使用完毕而暂停或停止接受买入申报，或者发生证券交易服务公司等机构认定的交易异常情况并决定暂停提供部分或者全部港股通服务，或者发生其他影响通过股票市场交易互联互通机制进行正常交易的情形，本基金可能发生拒绝或暂停申购，暂停赎回或延缓支付赎回款的情形，可能影响投资人的申购以及份额持有人的赎回。</w:t>
      </w:r>
    </w:p>
    <w:p w:rsidR="00A52ADB" w:rsidRPr="00FD5C9F" w:rsidP="00552DFA">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（4）本基金可根据投资策略需要或不同配置地市场环境的变化，选择将部分基金资产投资于港股或选择不将基金资产投资于港股，基金资产并非必然投资港股。</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4</w:t>
      </w:r>
      <w:r w:rsidRPr="00FD5C9F">
        <w:rPr>
          <w:rFonts w:asciiTheme="minorEastAsia" w:eastAsiaTheme="minorEastAsia" w:hAnsiTheme="minorEastAsia" w:hint="eastAsia"/>
          <w:color w:val="000000" w:themeColor="text1"/>
          <w:kern w:val="0"/>
          <w:szCs w:val="21"/>
        </w:rPr>
        <w:t>、本基金投资范围包括股指期货、国债期货、股票期权等金融衍生品，股指期货、国债期货、股票期权等金融衍生品投资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A56E6C" w:rsidRPr="00FD5C9F" w:rsidP="00A56E6C">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5、</w:t>
      </w:r>
      <w:r w:rsidRPr="00FD5C9F">
        <w:rPr>
          <w:rFonts w:asciiTheme="minorEastAsia" w:eastAsiaTheme="minorEastAsia" w:hAnsiTheme="minorEastAsia" w:hint="eastAsia"/>
          <w:color w:val="000000" w:themeColor="text1"/>
          <w:kern w:val="0"/>
          <w:szCs w:val="21"/>
        </w:rPr>
        <w:t>本基金的投资范围包括资产支持证券，资产支持证券存在一定的信用风险、利率风险、流动性风险、提前偿付风险、操作风险和法律风险，由此可能给基金净值带来不利影响或损失。</w:t>
      </w:r>
    </w:p>
    <w:p w:rsidR="002D6B21" w:rsidRPr="00FD5C9F" w:rsidP="002D6B2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6、投资于存托凭证的风险</w:t>
      </w:r>
    </w:p>
    <w:p w:rsidR="002D6B21" w:rsidRPr="00FD5C9F" w:rsidP="002D6B2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1351D" w:rsidRPr="00FD5C9F" w:rsidP="0091351D">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（二）市场风险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本基金投资于内地和香港证券市场，而证券市场价格因受到经济因素、政治因素、投资者心理和交易制度等各种因素的影响而产生波动，从而导致基金收益水平发生变化，产生风险。主要的风险因素包括：</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Pr>
          <w:rFonts w:asciiTheme="minorEastAsia" w:eastAsiaTheme="minorEastAsia" w:hAnsiTheme="minorEastAsia" w:hint="eastAsia"/>
          <w:color w:val="000000" w:themeColor="text1"/>
          <w:kern w:val="0"/>
          <w:szCs w:val="21"/>
        </w:rPr>
        <w:t>、政策风险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因国家宏观政策（如货币政策、财政政策、产业政策、地区发展政策等）发生变化，导致市场价格波动而产生风险。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2</w:t>
      </w:r>
      <w:r w:rsidRPr="00FD5C9F">
        <w:rPr>
          <w:rFonts w:asciiTheme="minorEastAsia" w:eastAsiaTheme="minorEastAsia" w:hAnsiTheme="minorEastAsia" w:hint="eastAsia"/>
          <w:color w:val="000000" w:themeColor="text1"/>
          <w:kern w:val="0"/>
          <w:szCs w:val="21"/>
        </w:rPr>
        <w:t>、利率风险</w:t>
      </w:r>
    </w:p>
    <w:p w:rsidR="0091351D" w:rsidRPr="00FD5C9F" w:rsidP="0091351D">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kern w:val="0"/>
          <w:szCs w:val="21"/>
        </w:rPr>
        <w:t>利率风险主要是指因金融市场利率的波动而导致证券市场价格和收益率变动的风险。利率直接影响着债券的价格和收益率，影响着企业的融资成本和利润。本</w:t>
      </w:r>
      <w:r w:rsidRPr="00FD5C9F">
        <w:rPr>
          <w:rFonts w:asciiTheme="minorEastAsia" w:eastAsiaTheme="minorEastAsia" w:hAnsiTheme="minorEastAsia" w:hint="eastAsia"/>
          <w:color w:val="000000" w:themeColor="text1"/>
        </w:rPr>
        <w:t>基金可投资于股票和债券，其收益水平可能会受到利率变化的影响。</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3</w:t>
      </w:r>
      <w:r w:rsidRPr="00FD5C9F">
        <w:rPr>
          <w:rFonts w:asciiTheme="minorEastAsia" w:eastAsiaTheme="minorEastAsia" w:hAnsiTheme="minorEastAsia" w:hint="eastAsia"/>
          <w:color w:val="000000" w:themeColor="text1"/>
          <w:kern w:val="0"/>
          <w:szCs w:val="21"/>
        </w:rPr>
        <w:t>、购买力风险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如果发生通货膨胀，基金投资于证券所获得的收益可能会被通货膨胀抵消，从而影响基金资产的实际收益率。</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4</w:t>
      </w:r>
      <w:r w:rsidRPr="00FD5C9F">
        <w:rPr>
          <w:rFonts w:asciiTheme="minorEastAsia" w:eastAsiaTheme="minorEastAsia" w:hAnsiTheme="minorEastAsia" w:hint="eastAsia"/>
          <w:color w:val="000000" w:themeColor="text1"/>
          <w:kern w:val="0"/>
          <w:szCs w:val="21"/>
        </w:rPr>
        <w:t>、信用风险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信用风险主要指债券、票据发行主体、存款银行信用状况可能恶化而可能产生的到期不能兑付的风险。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5</w:t>
      </w:r>
      <w:r w:rsidRPr="00FD5C9F">
        <w:rPr>
          <w:rFonts w:asciiTheme="minorEastAsia" w:eastAsiaTheme="minorEastAsia" w:hAnsiTheme="minorEastAsia" w:hint="eastAsia"/>
          <w:color w:val="000000" w:themeColor="text1"/>
          <w:kern w:val="0"/>
          <w:szCs w:val="21"/>
        </w:rPr>
        <w:t>、公司经营风险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91351D" w:rsidRPr="00FD5C9F" w:rsidP="0091351D">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kern w:val="0"/>
          <w:szCs w:val="21"/>
        </w:rPr>
        <w:t>6</w:t>
      </w: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hint="eastAsia"/>
          <w:color w:val="000000" w:themeColor="text1"/>
        </w:rPr>
        <w:t>经济周期风险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91351D" w:rsidRPr="00FD5C9F" w:rsidP="0091351D">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（三）流动性风险</w:t>
      </w:r>
    </w:p>
    <w:p w:rsidR="003F2317" w:rsidRPr="00FD5C9F" w:rsidP="003F2317">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1、</w:t>
      </w:r>
      <w:r w:rsidRPr="00FD5C9F">
        <w:rPr>
          <w:rFonts w:asciiTheme="minorEastAsia" w:eastAsiaTheme="minorEastAsia" w:hAnsiTheme="minorEastAsia"/>
          <w:color w:val="000000" w:themeColor="text1"/>
          <w:szCs w:val="21"/>
        </w:rPr>
        <w:t>流</w:t>
      </w:r>
      <w:r w:rsidRPr="00FD5C9F">
        <w:rPr>
          <w:rFonts w:asciiTheme="minorEastAsia" w:eastAsiaTheme="minorEastAsia" w:hAnsiTheme="minorEastAsia" w:hint="eastAsia"/>
          <w:color w:val="000000" w:themeColor="text1"/>
          <w:szCs w:val="21"/>
        </w:rPr>
        <w:t>动</w:t>
      </w:r>
      <w:r w:rsidRPr="00FD5C9F">
        <w:rPr>
          <w:rFonts w:asciiTheme="minorEastAsia" w:eastAsiaTheme="minorEastAsia" w:hAnsiTheme="minorEastAsia"/>
          <w:color w:val="000000" w:themeColor="text1"/>
          <w:szCs w:val="21"/>
        </w:rPr>
        <w:t>性风险评估</w:t>
      </w:r>
    </w:p>
    <w:p w:rsidR="00E8515E" w:rsidRPr="00FD5C9F" w:rsidP="00282461">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w:t>
      </w:r>
      <w:r w:rsidRPr="00FD5C9F" w:rsidR="00536E86">
        <w:rPr>
          <w:rFonts w:asciiTheme="minorEastAsia" w:eastAsiaTheme="minorEastAsia" w:hAnsiTheme="minorEastAsia"/>
          <w:color w:val="000000" w:themeColor="text1"/>
        </w:rPr>
        <w:t>可</w:t>
      </w:r>
      <w:r w:rsidRPr="00FD5C9F">
        <w:rPr>
          <w:rFonts w:asciiTheme="minorEastAsia" w:eastAsiaTheme="minorEastAsia" w:hAnsiTheme="minorEastAsia" w:hint="eastAsia"/>
          <w:color w:val="000000" w:themeColor="text1"/>
        </w:rPr>
        <w:t>投资于内地依法发行、上市的股票（包括创业板、中小板以及其他依法发行上市的股票）</w:t>
      </w:r>
      <w:r w:rsidRPr="00FD5C9F" w:rsidR="003F2317">
        <w:rPr>
          <w:rFonts w:asciiTheme="minorEastAsia" w:eastAsiaTheme="minorEastAsia" w:hAnsiTheme="minorEastAsia" w:hint="eastAsia"/>
          <w:color w:val="000000" w:themeColor="text1"/>
        </w:rPr>
        <w:t>、</w:t>
      </w:r>
      <w:r w:rsidRPr="00FD5C9F" w:rsidR="007A40C3">
        <w:rPr>
          <w:rFonts w:asciiTheme="minorEastAsia" w:eastAsiaTheme="minorEastAsia" w:hAnsiTheme="minorEastAsia" w:hint="eastAsia"/>
          <w:color w:val="000000" w:themeColor="text1"/>
        </w:rPr>
        <w:t>港股通股票、</w:t>
      </w:r>
      <w:r w:rsidRPr="00FD5C9F" w:rsidR="003F2317">
        <w:rPr>
          <w:rFonts w:asciiTheme="minorEastAsia" w:eastAsiaTheme="minorEastAsia" w:hAnsiTheme="minorEastAsia" w:hint="eastAsia"/>
          <w:color w:val="000000" w:themeColor="text1"/>
        </w:rPr>
        <w:t>债券、货币市场工具等，</w:t>
      </w:r>
      <w:r w:rsidRPr="00FD5C9F" w:rsidR="00416060">
        <w:rPr>
          <w:rFonts w:asciiTheme="minorEastAsia" w:eastAsiaTheme="minorEastAsia" w:hAnsiTheme="minorEastAsia" w:hint="eastAsia"/>
          <w:color w:val="000000" w:themeColor="text1"/>
        </w:rPr>
        <w:t>一</w:t>
      </w:r>
      <w:r w:rsidRPr="00FD5C9F" w:rsidR="00416060">
        <w:rPr>
          <w:rFonts w:asciiTheme="minorEastAsia" w:eastAsiaTheme="minorEastAsia" w:hAnsiTheme="minorEastAsia"/>
          <w:color w:val="000000" w:themeColor="text1"/>
        </w:rPr>
        <w:t>般情况下，</w:t>
      </w:r>
      <w:r w:rsidRPr="00FD5C9F" w:rsidR="00D822B0">
        <w:rPr>
          <w:rFonts w:asciiTheme="minorEastAsia" w:eastAsiaTheme="minorEastAsia" w:hAnsiTheme="minorEastAsia" w:hint="eastAsia"/>
          <w:color w:val="000000" w:themeColor="text1"/>
        </w:rPr>
        <w:t>上述</w:t>
      </w:r>
      <w:r w:rsidRPr="00FD5C9F" w:rsidR="003F2317">
        <w:rPr>
          <w:rFonts w:asciiTheme="minorEastAsia" w:eastAsiaTheme="minorEastAsia" w:hAnsiTheme="minorEastAsia"/>
          <w:color w:val="000000" w:themeColor="text1"/>
        </w:rPr>
        <w:t>资产</w:t>
      </w:r>
      <w:r w:rsidRPr="00FD5C9F" w:rsidR="003F2317">
        <w:rPr>
          <w:rFonts w:asciiTheme="minorEastAsia" w:eastAsiaTheme="minorEastAsia" w:hAnsiTheme="minorEastAsia" w:hint="eastAsia"/>
          <w:color w:val="000000" w:themeColor="text1"/>
        </w:rPr>
        <w:t>市场流动性较好。</w:t>
      </w:r>
    </w:p>
    <w:p w:rsidR="00267554" w:rsidRPr="00FD5C9F" w:rsidP="00D25347">
      <w:pPr>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但</w:t>
      </w:r>
      <w:r w:rsidRPr="00FD5C9F" w:rsidR="002B1EBC">
        <w:rPr>
          <w:rFonts w:asciiTheme="minorEastAsia" w:eastAsiaTheme="minorEastAsia" w:hAnsiTheme="minorEastAsia" w:hint="eastAsia"/>
          <w:color w:val="000000" w:themeColor="text1"/>
        </w:rPr>
        <w:t>不排除</w:t>
      </w:r>
      <w:r w:rsidRPr="00FD5C9F" w:rsidR="002B1EBC">
        <w:rPr>
          <w:rFonts w:asciiTheme="minorEastAsia" w:eastAsiaTheme="minorEastAsia" w:hAnsiTheme="minorEastAsia"/>
          <w:color w:val="000000" w:themeColor="text1"/>
        </w:rPr>
        <w:t>在特定阶段、特定市场环境下特定投资标的出现流动性较差的情况。</w:t>
      </w:r>
      <w:r w:rsidRPr="00FD5C9F" w:rsidR="002B1EBC">
        <w:rPr>
          <w:rFonts w:asciiTheme="minorEastAsia" w:eastAsiaTheme="minorEastAsia" w:hAnsiTheme="minorEastAsia" w:hint="eastAsia"/>
          <w:color w:val="000000" w:themeColor="text1"/>
        </w:rPr>
        <w:t>因此，</w:t>
      </w:r>
      <w:r w:rsidRPr="00FD5C9F">
        <w:rPr>
          <w:rFonts w:asciiTheme="minorEastAsia" w:eastAsiaTheme="minorEastAsia" w:hAnsiTheme="minorEastAsia" w:hint="eastAsia"/>
          <w:color w:val="000000" w:themeColor="text1"/>
        </w:rPr>
        <w:t>本基金投资于上述资产时，</w:t>
      </w:r>
      <w:r w:rsidRPr="00FD5C9F" w:rsidR="002B1EBC">
        <w:rPr>
          <w:rFonts w:asciiTheme="minorEastAsia" w:eastAsiaTheme="minorEastAsia" w:hAnsiTheme="minorEastAsia" w:hint="eastAsia"/>
          <w:color w:val="000000" w:themeColor="text1"/>
        </w:rPr>
        <w:t>可能</w:t>
      </w:r>
      <w:r w:rsidRPr="00FD5C9F">
        <w:rPr>
          <w:rFonts w:asciiTheme="minorEastAsia" w:eastAsiaTheme="minorEastAsia" w:hAnsiTheme="minorEastAsia" w:hint="eastAsia"/>
          <w:color w:val="000000" w:themeColor="text1"/>
        </w:rPr>
        <w:t>存在以下流动性风险：</w:t>
      </w:r>
      <w:r w:rsidRPr="00FD5C9F">
        <w:rPr>
          <w:rFonts w:asciiTheme="minorEastAsia" w:eastAsiaTheme="minorEastAsia" w:hAnsiTheme="minorEastAsia"/>
          <w:color w:val="000000" w:themeColor="text1"/>
        </w:rPr>
        <w:t>一是基金管理人建仓</w:t>
      </w:r>
      <w:r w:rsidRPr="00FD5C9F" w:rsidR="002B1EBC">
        <w:rPr>
          <w:rFonts w:asciiTheme="minorEastAsia" w:eastAsiaTheme="minorEastAsia" w:hAnsiTheme="minorEastAsia" w:hint="eastAsia"/>
          <w:color w:val="000000" w:themeColor="text1"/>
        </w:rPr>
        <w:t>或</w:t>
      </w:r>
      <w:r w:rsidRPr="00FD5C9F">
        <w:rPr>
          <w:rFonts w:asciiTheme="minorEastAsia" w:eastAsiaTheme="minorEastAsia" w:hAnsiTheme="minorEastAsia"/>
          <w:color w:val="000000" w:themeColor="text1"/>
        </w:rPr>
        <w:t>进行组合调整时，可能由于</w:t>
      </w:r>
      <w:r w:rsidRPr="00FD5C9F">
        <w:rPr>
          <w:rFonts w:asciiTheme="minorEastAsia" w:eastAsiaTheme="minorEastAsia" w:hAnsiTheme="minorEastAsia" w:hint="eastAsia"/>
          <w:color w:val="000000" w:themeColor="text1"/>
        </w:rPr>
        <w:t>特定</w:t>
      </w:r>
      <w:r w:rsidRPr="00FD5C9F">
        <w:rPr>
          <w:rFonts w:asciiTheme="minorEastAsia" w:eastAsiaTheme="minorEastAsia" w:hAnsiTheme="minorEastAsia"/>
          <w:color w:val="000000" w:themeColor="text1"/>
        </w:rPr>
        <w:t>投资标的流动性相对不足而无法按预期的价格买进或卖出；二是为应付投资者的赎回，基金被迫</w:t>
      </w:r>
      <w:r w:rsidRPr="00FD5C9F">
        <w:rPr>
          <w:rFonts w:asciiTheme="minorEastAsia" w:eastAsiaTheme="minorEastAsia" w:hAnsiTheme="minorEastAsia" w:hint="eastAsia"/>
          <w:color w:val="000000" w:themeColor="text1"/>
        </w:rPr>
        <w:t>以</w:t>
      </w:r>
      <w:r w:rsidRPr="00FD5C9F">
        <w:rPr>
          <w:rFonts w:asciiTheme="minorEastAsia" w:eastAsiaTheme="minorEastAsia" w:hAnsiTheme="minorEastAsia"/>
          <w:color w:val="000000" w:themeColor="text1"/>
        </w:rPr>
        <w:t>不适当的价格</w:t>
      </w:r>
      <w:r w:rsidRPr="00FD5C9F">
        <w:rPr>
          <w:rFonts w:asciiTheme="minorEastAsia" w:eastAsiaTheme="minorEastAsia" w:hAnsiTheme="minorEastAsia" w:hint="eastAsia"/>
          <w:color w:val="000000" w:themeColor="text1"/>
        </w:rPr>
        <w:t>卖出</w:t>
      </w:r>
      <w:r w:rsidRPr="00FD5C9F">
        <w:rPr>
          <w:rFonts w:asciiTheme="minorEastAsia" w:eastAsiaTheme="minorEastAsia" w:hAnsiTheme="minorEastAsia"/>
          <w:color w:val="000000" w:themeColor="text1"/>
        </w:rPr>
        <w:t>股票</w:t>
      </w:r>
      <w:r w:rsidRPr="00FD5C9F">
        <w:rPr>
          <w:rFonts w:asciiTheme="minorEastAsia" w:eastAsiaTheme="minorEastAsia" w:hAnsiTheme="minorEastAsia" w:hint="eastAsia"/>
          <w:color w:val="000000" w:themeColor="text1"/>
        </w:rPr>
        <w:t>、</w:t>
      </w:r>
      <w:r w:rsidRPr="00FD5C9F">
        <w:rPr>
          <w:rFonts w:asciiTheme="minorEastAsia" w:eastAsiaTheme="minorEastAsia" w:hAnsiTheme="minorEastAsia"/>
          <w:color w:val="000000" w:themeColor="text1"/>
        </w:rPr>
        <w:t>债券</w:t>
      </w:r>
      <w:r w:rsidRPr="00FD5C9F">
        <w:rPr>
          <w:rFonts w:asciiTheme="minorEastAsia" w:eastAsiaTheme="minorEastAsia" w:hAnsiTheme="minorEastAsia" w:hint="eastAsia"/>
          <w:color w:val="000000" w:themeColor="text1"/>
        </w:rPr>
        <w:t>或其他资产</w:t>
      </w:r>
      <w:r w:rsidRPr="00FD5C9F">
        <w:rPr>
          <w:rFonts w:asciiTheme="minorEastAsia" w:eastAsiaTheme="minorEastAsia" w:hAnsiTheme="minorEastAsia"/>
          <w:color w:val="000000" w:themeColor="text1"/>
        </w:rPr>
        <w:t>。两者均可能使基金净值受到不利影响。</w:t>
      </w:r>
    </w:p>
    <w:p w:rsidR="00267554" w:rsidRPr="00FD5C9F" w:rsidP="0026755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w:t>
      </w:r>
      <w:r w:rsidRPr="00FD5C9F">
        <w:rPr>
          <w:rFonts w:asciiTheme="minorEastAsia" w:eastAsiaTheme="minorEastAsia" w:hAnsiTheme="minorEastAsia" w:hint="eastAsia"/>
          <w:color w:val="000000" w:themeColor="text1"/>
        </w:rPr>
        <w:t>、</w:t>
      </w:r>
      <w:r w:rsidRPr="00FD5C9F">
        <w:rPr>
          <w:rFonts w:asciiTheme="minorEastAsia" w:eastAsiaTheme="minorEastAsia" w:hAnsiTheme="minorEastAsia"/>
          <w:color w:val="000000" w:themeColor="text1"/>
        </w:rPr>
        <w:t>巨额赎回情形下</w:t>
      </w:r>
      <w:r w:rsidRPr="00FD5C9F">
        <w:rPr>
          <w:rFonts w:asciiTheme="minorEastAsia" w:eastAsiaTheme="minorEastAsia" w:hAnsiTheme="minorEastAsia" w:hint="eastAsia"/>
          <w:color w:val="000000" w:themeColor="text1"/>
        </w:rPr>
        <w:t>的流动性</w:t>
      </w:r>
      <w:r w:rsidRPr="00FD5C9F">
        <w:rPr>
          <w:rFonts w:asciiTheme="minorEastAsia" w:eastAsiaTheme="minorEastAsia" w:hAnsiTheme="minorEastAsia"/>
          <w:color w:val="000000" w:themeColor="text1"/>
        </w:rPr>
        <w:t>风险管理措施</w:t>
      </w:r>
    </w:p>
    <w:p w:rsidR="00267554" w:rsidRPr="00FD5C9F" w:rsidP="0026755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FD5C9F">
        <w:rPr>
          <w:rFonts w:asciiTheme="minorEastAsia" w:eastAsiaTheme="minorEastAsia" w:hAnsiTheme="minorEastAsia"/>
          <w:color w:val="000000" w:themeColor="text1"/>
        </w:rPr>
        <w:t>本基金发生巨额赎回且</w:t>
      </w:r>
      <w:r w:rsidRPr="00FD5C9F">
        <w:rPr>
          <w:rFonts w:asciiTheme="minorEastAsia" w:eastAsiaTheme="minorEastAsia" w:hAnsiTheme="minorEastAsia" w:hint="eastAsia"/>
          <w:color w:val="000000" w:themeColor="text1"/>
        </w:rPr>
        <w:t>单个基金份额持有人的赎回申请超过上一开放日基金总份额10%的，基金管理人有权对该单个基金份额持有人超出该比例的赎回申请实施延期办理。具体</w:t>
      </w:r>
      <w:r w:rsidRPr="00FD5C9F">
        <w:rPr>
          <w:rFonts w:asciiTheme="minorEastAsia" w:eastAsiaTheme="minorEastAsia" w:hAnsiTheme="minorEastAsia"/>
          <w:color w:val="000000" w:themeColor="text1"/>
        </w:rPr>
        <w:t>情形、</w:t>
      </w:r>
      <w:r w:rsidRPr="00FD5C9F">
        <w:rPr>
          <w:rFonts w:asciiTheme="minorEastAsia" w:eastAsiaTheme="minorEastAsia" w:hAnsiTheme="minorEastAsia" w:hint="eastAsia"/>
          <w:color w:val="000000" w:themeColor="text1"/>
        </w:rPr>
        <w:t>程序见</w:t>
      </w:r>
      <w:r w:rsidRPr="00FD5C9F">
        <w:rPr>
          <w:rFonts w:asciiTheme="minorEastAsia" w:eastAsiaTheme="minorEastAsia" w:hAnsiTheme="minorEastAsia"/>
          <w:color w:val="000000" w:themeColor="text1"/>
        </w:rPr>
        <w:t>招募说明书</w:t>
      </w:r>
      <w:r w:rsidRPr="00FD5C9F">
        <w:rPr>
          <w:rFonts w:asciiTheme="minorEastAsia" w:eastAsiaTheme="minorEastAsia" w:hAnsiTheme="minorEastAsia" w:hint="eastAsia"/>
          <w:color w:val="000000" w:themeColor="text1"/>
        </w:rPr>
        <w:t>“八、基金份额的申购、赎回”</w:t>
      </w:r>
      <w:r w:rsidRPr="00FD5C9F" w:rsidR="00BE6A00">
        <w:rPr>
          <w:rFonts w:asciiTheme="minorEastAsia" w:eastAsiaTheme="minorEastAsia" w:hAnsiTheme="minorEastAsia" w:hint="eastAsia"/>
          <w:color w:val="000000" w:themeColor="text1"/>
        </w:rPr>
        <w:t>之</w:t>
      </w:r>
      <w:r w:rsidRPr="00FD5C9F">
        <w:rPr>
          <w:rFonts w:asciiTheme="minorEastAsia" w:eastAsiaTheme="minorEastAsia" w:hAnsiTheme="minorEastAsia" w:hint="eastAsia"/>
          <w:color w:val="000000" w:themeColor="text1"/>
        </w:rPr>
        <w:t>“</w:t>
      </w:r>
      <w:r w:rsidRPr="00FD5C9F">
        <w:rPr>
          <w:rFonts w:asciiTheme="minorEastAsia" w:eastAsiaTheme="minorEastAsia" w:hAnsiTheme="minorEastAsia"/>
          <w:color w:val="000000" w:themeColor="text1"/>
        </w:rPr>
        <w:t>（</w:t>
      </w:r>
      <w:r w:rsidRPr="00FD5C9F">
        <w:rPr>
          <w:rFonts w:asciiTheme="minorEastAsia" w:eastAsiaTheme="minorEastAsia" w:hAnsiTheme="minorEastAsia" w:hint="eastAsia"/>
          <w:color w:val="000000" w:themeColor="text1"/>
        </w:rPr>
        <w:t>十）</w:t>
      </w:r>
      <w:r w:rsidRPr="00FD5C9F">
        <w:rPr>
          <w:rFonts w:asciiTheme="minorEastAsia" w:eastAsiaTheme="minorEastAsia" w:hAnsiTheme="minorEastAsia"/>
          <w:color w:val="000000" w:themeColor="text1"/>
        </w:rPr>
        <w:t>巨额赎回的认定及处理方式</w:t>
      </w:r>
      <w:r w:rsidRPr="00FD5C9F">
        <w:rPr>
          <w:rFonts w:asciiTheme="minorEastAsia" w:eastAsiaTheme="minorEastAsia" w:hAnsiTheme="minorEastAsia" w:hint="eastAsia"/>
          <w:color w:val="000000" w:themeColor="text1"/>
        </w:rPr>
        <w:t>。</w:t>
      </w:r>
      <w:r w:rsidRPr="00FD5C9F">
        <w:rPr>
          <w:rFonts w:asciiTheme="minorEastAsia" w:eastAsiaTheme="minorEastAsia" w:hAnsiTheme="minorEastAsia"/>
          <w:color w:val="000000" w:themeColor="text1"/>
        </w:rPr>
        <w:t>”</w:t>
      </w:r>
    </w:p>
    <w:p w:rsidR="00267554" w:rsidRPr="00FD5C9F" w:rsidP="0026755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发生</w:t>
      </w:r>
      <w:r w:rsidRPr="00FD5C9F">
        <w:rPr>
          <w:rFonts w:asciiTheme="minorEastAsia" w:eastAsiaTheme="minorEastAsia" w:hAnsiTheme="minorEastAsia"/>
          <w:color w:val="000000" w:themeColor="text1"/>
        </w:rPr>
        <w:t>上述情形时，投资人面临无法</w:t>
      </w:r>
      <w:r w:rsidRPr="00FD5C9F">
        <w:rPr>
          <w:rFonts w:asciiTheme="minorEastAsia" w:eastAsiaTheme="minorEastAsia" w:hAnsiTheme="minorEastAsia" w:hint="eastAsia"/>
          <w:color w:val="000000" w:themeColor="text1"/>
        </w:rPr>
        <w:t>全</w:t>
      </w:r>
      <w:r w:rsidRPr="00FD5C9F">
        <w:rPr>
          <w:rFonts w:asciiTheme="minorEastAsia" w:eastAsiaTheme="minorEastAsia" w:hAnsiTheme="minorEastAsia"/>
          <w:color w:val="000000" w:themeColor="text1"/>
        </w:rPr>
        <w:t>部赎回或无法及时获得</w:t>
      </w:r>
      <w:r w:rsidRPr="00FD5C9F">
        <w:rPr>
          <w:rFonts w:asciiTheme="minorEastAsia" w:eastAsiaTheme="minorEastAsia" w:hAnsiTheme="minorEastAsia" w:hint="eastAsia"/>
          <w:color w:val="000000" w:themeColor="text1"/>
        </w:rPr>
        <w:t>赎</w:t>
      </w:r>
      <w:r w:rsidRPr="00FD5C9F">
        <w:rPr>
          <w:rFonts w:asciiTheme="minorEastAsia" w:eastAsiaTheme="minorEastAsia" w:hAnsiTheme="minorEastAsia"/>
          <w:color w:val="000000" w:themeColor="text1"/>
        </w:rPr>
        <w:t>回资金的风险</w:t>
      </w:r>
      <w:r w:rsidRPr="00FD5C9F">
        <w:rPr>
          <w:rFonts w:asciiTheme="minorEastAsia" w:eastAsiaTheme="minorEastAsia" w:hAnsiTheme="minorEastAsia" w:hint="eastAsia"/>
          <w:color w:val="000000" w:themeColor="text1"/>
        </w:rPr>
        <w:t>。在</w:t>
      </w:r>
      <w:r w:rsidRPr="00FD5C9F">
        <w:rPr>
          <w:rFonts w:asciiTheme="minorEastAsia" w:eastAsiaTheme="minorEastAsia" w:hAnsiTheme="minorEastAsia"/>
          <w:color w:val="000000" w:themeColor="text1"/>
        </w:rPr>
        <w:t>本基金暂停</w:t>
      </w:r>
      <w:r w:rsidRPr="00FD5C9F">
        <w:rPr>
          <w:rFonts w:asciiTheme="minorEastAsia" w:eastAsiaTheme="minorEastAsia" w:hAnsiTheme="minorEastAsia" w:hint="eastAsia"/>
          <w:color w:val="000000" w:themeColor="text1"/>
        </w:rPr>
        <w:t>或</w:t>
      </w:r>
      <w:r w:rsidRPr="00FD5C9F">
        <w:rPr>
          <w:rFonts w:asciiTheme="minorEastAsia" w:eastAsiaTheme="minorEastAsia" w:hAnsiTheme="minorEastAsia"/>
          <w:color w:val="000000" w:themeColor="text1"/>
        </w:rPr>
        <w:t>延期办理</w:t>
      </w:r>
      <w:r w:rsidRPr="00FD5C9F">
        <w:rPr>
          <w:rFonts w:asciiTheme="minorEastAsia" w:eastAsiaTheme="minorEastAsia" w:hAnsiTheme="minorEastAsia" w:hint="eastAsia"/>
          <w:color w:val="000000" w:themeColor="text1"/>
        </w:rPr>
        <w:t>投资者</w:t>
      </w:r>
      <w:r w:rsidRPr="00FD5C9F">
        <w:rPr>
          <w:rFonts w:asciiTheme="minorEastAsia" w:eastAsiaTheme="minorEastAsia" w:hAnsiTheme="minorEastAsia"/>
          <w:color w:val="000000" w:themeColor="text1"/>
        </w:rPr>
        <w:t>赎回申请</w:t>
      </w:r>
      <w:r w:rsidRPr="00FD5C9F">
        <w:rPr>
          <w:rFonts w:asciiTheme="minorEastAsia" w:eastAsiaTheme="minorEastAsia" w:hAnsiTheme="minorEastAsia" w:hint="eastAsia"/>
          <w:color w:val="000000" w:themeColor="text1"/>
        </w:rPr>
        <w:t>的</w:t>
      </w:r>
      <w:r w:rsidRPr="00FD5C9F">
        <w:rPr>
          <w:rFonts w:asciiTheme="minorEastAsia" w:eastAsiaTheme="minorEastAsia" w:hAnsiTheme="minorEastAsia"/>
          <w:color w:val="000000" w:themeColor="text1"/>
        </w:rPr>
        <w:t>情况下，投资者</w:t>
      </w:r>
      <w:r w:rsidRPr="00FD5C9F">
        <w:rPr>
          <w:rFonts w:asciiTheme="minorEastAsia" w:eastAsiaTheme="minorEastAsia" w:hAnsiTheme="minorEastAsia" w:hint="eastAsia"/>
          <w:color w:val="000000" w:themeColor="text1"/>
        </w:rPr>
        <w:t>未能</w:t>
      </w:r>
      <w:r w:rsidRPr="00FD5C9F">
        <w:rPr>
          <w:rFonts w:asciiTheme="minorEastAsia" w:eastAsiaTheme="minorEastAsia" w:hAnsiTheme="minorEastAsia"/>
          <w:color w:val="000000" w:themeColor="text1"/>
        </w:rPr>
        <w:t>赎回的基金份额还将面临净值波动的风险。</w:t>
      </w:r>
    </w:p>
    <w:p w:rsidR="00267554" w:rsidRPr="00FD5C9F" w:rsidP="0026755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3</w:t>
      </w:r>
      <w:r w:rsidRPr="00FD5C9F">
        <w:rPr>
          <w:rFonts w:asciiTheme="minorEastAsia" w:eastAsiaTheme="minorEastAsia" w:hAnsiTheme="minorEastAsia" w:hint="eastAsia"/>
          <w:color w:val="000000" w:themeColor="text1"/>
        </w:rPr>
        <w:t>、除巨额</w:t>
      </w:r>
      <w:r w:rsidRPr="00FD5C9F">
        <w:rPr>
          <w:rFonts w:asciiTheme="minorEastAsia" w:eastAsiaTheme="minorEastAsia" w:hAnsiTheme="minorEastAsia"/>
          <w:color w:val="000000" w:themeColor="text1"/>
        </w:rPr>
        <w:t>赎回情形外</w:t>
      </w:r>
      <w:r w:rsidRPr="00FD5C9F">
        <w:rPr>
          <w:rFonts w:asciiTheme="minorEastAsia" w:eastAsiaTheme="minorEastAsia" w:hAnsiTheme="minorEastAsia" w:hint="eastAsia"/>
          <w:color w:val="000000" w:themeColor="text1"/>
        </w:rPr>
        <w:t>实施</w:t>
      </w:r>
      <w:r w:rsidRPr="00FD5C9F">
        <w:rPr>
          <w:rFonts w:asciiTheme="minorEastAsia" w:eastAsiaTheme="minorEastAsia" w:hAnsiTheme="minorEastAsia"/>
          <w:color w:val="000000" w:themeColor="text1"/>
        </w:rPr>
        <w:t>备</w:t>
      </w:r>
      <w:r w:rsidRPr="00FD5C9F">
        <w:rPr>
          <w:rFonts w:asciiTheme="minorEastAsia" w:eastAsiaTheme="minorEastAsia" w:hAnsiTheme="minorEastAsia" w:hint="eastAsia"/>
          <w:color w:val="000000" w:themeColor="text1"/>
        </w:rPr>
        <w:t>用</w:t>
      </w:r>
      <w:r w:rsidRPr="00FD5C9F">
        <w:rPr>
          <w:rFonts w:asciiTheme="minorEastAsia" w:eastAsiaTheme="minorEastAsia" w:hAnsiTheme="minorEastAsia"/>
          <w:color w:val="000000" w:themeColor="text1"/>
        </w:rPr>
        <w:t>的流动性风险管理工具的情形、程序及对投资者的潜在影响</w:t>
      </w:r>
    </w:p>
    <w:p w:rsidR="00267554" w:rsidRPr="00FD5C9F" w:rsidP="00267554">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除</w:t>
      </w:r>
      <w:r w:rsidRPr="00FD5C9F">
        <w:rPr>
          <w:rFonts w:asciiTheme="minorEastAsia" w:eastAsiaTheme="minorEastAsia" w:hAnsiTheme="minorEastAsia"/>
          <w:color w:val="000000" w:themeColor="text1"/>
          <w:szCs w:val="21"/>
        </w:rPr>
        <w:t>巨额赎回</w:t>
      </w:r>
      <w:r w:rsidRPr="00FD5C9F">
        <w:rPr>
          <w:rFonts w:asciiTheme="minorEastAsia" w:eastAsiaTheme="minorEastAsia" w:hAnsiTheme="minorEastAsia" w:hint="eastAsia"/>
          <w:color w:val="000000" w:themeColor="text1"/>
          <w:szCs w:val="21"/>
        </w:rPr>
        <w:t>情形外</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本基金</w:t>
      </w:r>
      <w:r w:rsidRPr="00FD5C9F">
        <w:rPr>
          <w:rFonts w:asciiTheme="minorEastAsia" w:eastAsiaTheme="minorEastAsia" w:hAnsiTheme="minorEastAsia"/>
          <w:color w:val="000000" w:themeColor="text1"/>
          <w:szCs w:val="21"/>
        </w:rPr>
        <w:t>备用流动性风险管理工具</w:t>
      </w:r>
      <w:r w:rsidRPr="00FD5C9F">
        <w:rPr>
          <w:rFonts w:asciiTheme="minorEastAsia" w:eastAsiaTheme="minorEastAsia" w:hAnsiTheme="minorEastAsia" w:hint="eastAsia"/>
          <w:color w:val="000000" w:themeColor="text1"/>
          <w:szCs w:val="21"/>
        </w:rPr>
        <w:t>包括但</w:t>
      </w:r>
      <w:r w:rsidRPr="00FD5C9F">
        <w:rPr>
          <w:rFonts w:asciiTheme="minorEastAsia" w:eastAsiaTheme="minorEastAsia" w:hAnsiTheme="minorEastAsia"/>
          <w:color w:val="000000" w:themeColor="text1"/>
          <w:szCs w:val="21"/>
        </w:rPr>
        <w:t>不限于</w:t>
      </w:r>
      <w:r w:rsidRPr="00FD5C9F">
        <w:rPr>
          <w:rFonts w:asciiTheme="minorEastAsia" w:eastAsiaTheme="minorEastAsia" w:hAnsiTheme="minorEastAsia" w:hint="eastAsia"/>
          <w:color w:val="000000" w:themeColor="text1"/>
          <w:szCs w:val="21"/>
        </w:rPr>
        <w:t>暂停</w:t>
      </w:r>
      <w:r w:rsidRPr="00FD5C9F">
        <w:rPr>
          <w:rFonts w:asciiTheme="minorEastAsia" w:eastAsiaTheme="minorEastAsia" w:hAnsiTheme="minorEastAsia"/>
          <w:color w:val="000000" w:themeColor="text1"/>
          <w:szCs w:val="21"/>
        </w:rPr>
        <w:t>接受赎回申请、延缓支付赎回款项、收取短期赎回费、暂停基金估值</w:t>
      </w:r>
      <w:r w:rsidRPr="00FD5C9F">
        <w:rPr>
          <w:rFonts w:asciiTheme="minorEastAsia" w:eastAsiaTheme="minorEastAsia" w:hAnsiTheme="minorEastAsia" w:hint="eastAsia"/>
          <w:color w:val="000000" w:themeColor="text1"/>
        </w:rPr>
        <w:t>、</w:t>
      </w:r>
      <w:r w:rsidRPr="00FD5C9F">
        <w:rPr>
          <w:rFonts w:asciiTheme="minorEastAsia" w:eastAsiaTheme="minorEastAsia" w:hAnsiTheme="minorEastAsia"/>
          <w:color w:val="000000" w:themeColor="text1"/>
        </w:rPr>
        <w:t>摆动定价</w:t>
      </w:r>
      <w:r w:rsidRPr="00FD5C9F">
        <w:rPr>
          <w:rFonts w:asciiTheme="minorEastAsia" w:eastAsiaTheme="minorEastAsia" w:hAnsiTheme="minorEastAsia" w:hint="eastAsia"/>
          <w:color w:val="000000" w:themeColor="text1"/>
          <w:szCs w:val="21"/>
        </w:rPr>
        <w:t>以及证</w:t>
      </w:r>
      <w:r w:rsidRPr="00FD5C9F">
        <w:rPr>
          <w:rFonts w:asciiTheme="minorEastAsia" w:eastAsiaTheme="minorEastAsia" w:hAnsiTheme="minorEastAsia"/>
          <w:color w:val="000000" w:themeColor="text1"/>
          <w:szCs w:val="21"/>
        </w:rPr>
        <w:t>监会认定的其他措施。</w:t>
      </w:r>
    </w:p>
    <w:p w:rsidR="00267554" w:rsidRPr="00FD5C9F" w:rsidP="0026755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szCs w:val="21"/>
        </w:rPr>
        <w:t>暂停</w:t>
      </w:r>
      <w:r w:rsidRPr="00FD5C9F">
        <w:rPr>
          <w:rFonts w:asciiTheme="minorEastAsia" w:eastAsiaTheme="minorEastAsia" w:hAnsiTheme="minorEastAsia"/>
          <w:color w:val="000000" w:themeColor="text1"/>
          <w:szCs w:val="21"/>
        </w:rPr>
        <w:t>接受赎回申请、延缓支付赎回款项</w:t>
      </w:r>
      <w:r w:rsidRPr="00FD5C9F">
        <w:rPr>
          <w:rFonts w:asciiTheme="minorEastAsia" w:eastAsiaTheme="minorEastAsia" w:hAnsiTheme="minorEastAsia" w:hint="eastAsia"/>
          <w:color w:val="000000" w:themeColor="text1"/>
          <w:szCs w:val="21"/>
        </w:rPr>
        <w:t>等</w:t>
      </w:r>
      <w:r w:rsidRPr="00FD5C9F">
        <w:rPr>
          <w:rFonts w:asciiTheme="minorEastAsia" w:eastAsiaTheme="minorEastAsia" w:hAnsiTheme="minorEastAsia"/>
          <w:color w:val="000000" w:themeColor="text1"/>
          <w:szCs w:val="21"/>
        </w:rPr>
        <w:t>工具的情形、程序</w:t>
      </w:r>
      <w:r w:rsidRPr="00FD5C9F">
        <w:rPr>
          <w:rFonts w:asciiTheme="minorEastAsia" w:eastAsiaTheme="minorEastAsia" w:hAnsiTheme="minorEastAsia" w:hint="eastAsia"/>
          <w:color w:val="000000" w:themeColor="text1"/>
          <w:szCs w:val="21"/>
        </w:rPr>
        <w:t>见招募</w:t>
      </w:r>
      <w:r w:rsidRPr="00FD5C9F">
        <w:rPr>
          <w:rFonts w:asciiTheme="minorEastAsia" w:eastAsiaTheme="minorEastAsia" w:hAnsiTheme="minorEastAsia"/>
          <w:color w:val="000000" w:themeColor="text1"/>
          <w:szCs w:val="21"/>
        </w:rPr>
        <w:t>说明</w:t>
      </w:r>
      <w:r w:rsidRPr="00FD5C9F">
        <w:rPr>
          <w:rFonts w:asciiTheme="minorEastAsia" w:eastAsiaTheme="minorEastAsia" w:hAnsiTheme="minorEastAsia" w:hint="eastAsia"/>
          <w:color w:val="000000" w:themeColor="text1"/>
          <w:szCs w:val="21"/>
        </w:rPr>
        <w:t>书“八、基金份额的申购、赎回”</w:t>
      </w:r>
      <w:r w:rsidRPr="00FD5C9F">
        <w:rPr>
          <w:rFonts w:asciiTheme="minorEastAsia" w:eastAsiaTheme="minorEastAsia" w:hAnsiTheme="minorEastAsia"/>
          <w:color w:val="000000" w:themeColor="text1"/>
          <w:szCs w:val="21"/>
        </w:rPr>
        <w:t>之</w:t>
      </w:r>
      <w:r w:rsidRPr="00FD5C9F">
        <w:rPr>
          <w:rFonts w:asciiTheme="minorEastAsia" w:eastAsiaTheme="minorEastAsia" w:hAnsiTheme="minorEastAsia" w:hint="eastAsia"/>
          <w:color w:val="000000" w:themeColor="text1"/>
          <w:szCs w:val="21"/>
        </w:rPr>
        <w:t>“</w:t>
      </w:r>
      <w:r w:rsidRPr="00FD5C9F" w:rsidR="00945FBD">
        <w:rPr>
          <w:rFonts w:asciiTheme="minorEastAsia" w:eastAsiaTheme="minorEastAsia" w:hAnsiTheme="minorEastAsia" w:hint="eastAsia"/>
          <w:color w:val="000000" w:themeColor="text1"/>
        </w:rPr>
        <w:t>（十一）拒绝或暂停申购、暂停赎回或延缓支付赎回款项的情形及处理</w:t>
      </w:r>
      <w:r w:rsidRPr="00FD5C9F">
        <w:rPr>
          <w:rFonts w:asciiTheme="minorEastAsia" w:eastAsiaTheme="minorEastAsia" w:hAnsiTheme="minorEastAsia" w:hint="eastAsia"/>
          <w:color w:val="000000" w:themeColor="text1"/>
        </w:rPr>
        <w:t>”的相关规定。</w:t>
      </w:r>
      <w:r w:rsidRPr="00FD5C9F">
        <w:rPr>
          <w:rFonts w:asciiTheme="minorEastAsia" w:eastAsiaTheme="minorEastAsia" w:hAnsiTheme="minorEastAsia" w:hint="eastAsia"/>
          <w:color w:val="000000" w:themeColor="text1"/>
          <w:szCs w:val="21"/>
        </w:rPr>
        <w:t>若</w:t>
      </w:r>
      <w:r w:rsidRPr="00FD5C9F">
        <w:rPr>
          <w:rFonts w:asciiTheme="minorEastAsia" w:eastAsiaTheme="minorEastAsia" w:hAnsiTheme="minorEastAsia"/>
          <w:color w:val="000000" w:themeColor="text1"/>
          <w:szCs w:val="21"/>
        </w:rPr>
        <w:t>本基金暂停赎回申请</w:t>
      </w: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投</w:t>
      </w:r>
      <w:r w:rsidRPr="00FD5C9F">
        <w:rPr>
          <w:rFonts w:asciiTheme="minorEastAsia" w:eastAsiaTheme="minorEastAsia" w:hAnsiTheme="minorEastAsia"/>
          <w:color w:val="000000" w:themeColor="text1"/>
        </w:rPr>
        <w:t>资</w:t>
      </w:r>
      <w:r w:rsidRPr="00FD5C9F">
        <w:rPr>
          <w:rFonts w:asciiTheme="minorEastAsia" w:eastAsiaTheme="minorEastAsia" w:hAnsiTheme="minorEastAsia" w:hint="eastAsia"/>
          <w:color w:val="000000" w:themeColor="text1"/>
        </w:rPr>
        <w:t>者在</w:t>
      </w:r>
      <w:r w:rsidRPr="00FD5C9F">
        <w:rPr>
          <w:rFonts w:asciiTheme="minorEastAsia" w:eastAsiaTheme="minorEastAsia" w:hAnsiTheme="minorEastAsia"/>
          <w:color w:val="000000" w:themeColor="text1"/>
        </w:rPr>
        <w:t>暂停赎回期间将</w:t>
      </w:r>
      <w:r w:rsidRPr="00FD5C9F">
        <w:rPr>
          <w:rFonts w:asciiTheme="minorEastAsia" w:eastAsiaTheme="minorEastAsia" w:hAnsiTheme="minorEastAsia" w:hint="eastAsia"/>
          <w:color w:val="000000" w:themeColor="text1"/>
        </w:rPr>
        <w:t>无法</w:t>
      </w:r>
      <w:r w:rsidRPr="00FD5C9F">
        <w:rPr>
          <w:rFonts w:asciiTheme="minorEastAsia" w:eastAsiaTheme="minorEastAsia" w:hAnsiTheme="minorEastAsia"/>
          <w:color w:val="000000" w:themeColor="text1"/>
        </w:rPr>
        <w:t>赎回</w:t>
      </w:r>
      <w:r w:rsidRPr="00FD5C9F">
        <w:rPr>
          <w:rFonts w:asciiTheme="minorEastAsia" w:eastAsiaTheme="minorEastAsia" w:hAnsiTheme="minorEastAsia" w:hint="eastAsia"/>
          <w:color w:val="000000" w:themeColor="text1"/>
        </w:rPr>
        <w:t>其持有</w:t>
      </w:r>
      <w:r w:rsidRPr="00FD5C9F">
        <w:rPr>
          <w:rFonts w:asciiTheme="minorEastAsia" w:eastAsiaTheme="minorEastAsia" w:hAnsiTheme="minorEastAsia"/>
          <w:color w:val="000000" w:themeColor="text1"/>
        </w:rPr>
        <w:t>的基金份额。</w:t>
      </w:r>
      <w:r w:rsidRPr="00FD5C9F">
        <w:rPr>
          <w:rFonts w:asciiTheme="minorEastAsia" w:eastAsiaTheme="minorEastAsia" w:hAnsiTheme="minorEastAsia" w:hint="eastAsia"/>
          <w:color w:val="000000" w:themeColor="text1"/>
        </w:rPr>
        <w:t>若</w:t>
      </w:r>
      <w:r w:rsidRPr="00FD5C9F">
        <w:rPr>
          <w:rFonts w:asciiTheme="minorEastAsia" w:eastAsiaTheme="minorEastAsia" w:hAnsiTheme="minorEastAsia" w:hint="eastAsia"/>
          <w:color w:val="000000" w:themeColor="text1"/>
          <w:szCs w:val="21"/>
        </w:rPr>
        <w:t>本</w:t>
      </w:r>
      <w:r w:rsidRPr="00FD5C9F">
        <w:rPr>
          <w:rFonts w:asciiTheme="minorEastAsia" w:eastAsiaTheme="minorEastAsia" w:hAnsiTheme="minorEastAsia"/>
          <w:color w:val="000000" w:themeColor="text1"/>
          <w:szCs w:val="21"/>
        </w:rPr>
        <w:t>基金延缓</w:t>
      </w:r>
      <w:r w:rsidRPr="00FD5C9F">
        <w:rPr>
          <w:rFonts w:asciiTheme="minorEastAsia" w:eastAsiaTheme="minorEastAsia" w:hAnsiTheme="minorEastAsia" w:hint="eastAsia"/>
          <w:color w:val="000000" w:themeColor="text1"/>
          <w:szCs w:val="21"/>
        </w:rPr>
        <w:t>支付</w:t>
      </w:r>
      <w:r w:rsidRPr="00FD5C9F">
        <w:rPr>
          <w:rFonts w:asciiTheme="minorEastAsia" w:eastAsiaTheme="minorEastAsia" w:hAnsiTheme="minorEastAsia"/>
          <w:color w:val="000000" w:themeColor="text1"/>
          <w:szCs w:val="21"/>
        </w:rPr>
        <w:t>赎回</w:t>
      </w:r>
      <w:r w:rsidRPr="00FD5C9F">
        <w:rPr>
          <w:rFonts w:asciiTheme="minorEastAsia" w:eastAsiaTheme="minorEastAsia" w:hAnsiTheme="minorEastAsia" w:hint="eastAsia"/>
          <w:color w:val="000000" w:themeColor="text1"/>
          <w:szCs w:val="21"/>
        </w:rPr>
        <w:t>款项，赎回</w:t>
      </w:r>
      <w:r w:rsidRPr="00FD5C9F">
        <w:rPr>
          <w:rFonts w:asciiTheme="minorEastAsia" w:eastAsiaTheme="minorEastAsia" w:hAnsiTheme="minorEastAsia"/>
          <w:color w:val="000000" w:themeColor="text1"/>
          <w:szCs w:val="21"/>
        </w:rPr>
        <w:t>款</w:t>
      </w:r>
      <w:r w:rsidRPr="00FD5C9F">
        <w:rPr>
          <w:rFonts w:asciiTheme="minorEastAsia" w:eastAsiaTheme="minorEastAsia" w:hAnsiTheme="minorEastAsia" w:hint="eastAsia"/>
          <w:color w:val="000000" w:themeColor="text1"/>
          <w:szCs w:val="21"/>
        </w:rPr>
        <w:t>支付</w:t>
      </w:r>
      <w:r w:rsidRPr="00FD5C9F">
        <w:rPr>
          <w:rFonts w:asciiTheme="minorEastAsia" w:eastAsiaTheme="minorEastAsia" w:hAnsiTheme="minorEastAsia"/>
          <w:color w:val="000000" w:themeColor="text1"/>
          <w:szCs w:val="21"/>
        </w:rPr>
        <w:t>时间将后延</w:t>
      </w:r>
      <w:r w:rsidRPr="00FD5C9F">
        <w:rPr>
          <w:rFonts w:asciiTheme="minorEastAsia" w:eastAsiaTheme="minorEastAsia" w:hAnsiTheme="minorEastAsia" w:hint="eastAsia"/>
          <w:color w:val="000000" w:themeColor="text1"/>
          <w:szCs w:val="21"/>
        </w:rPr>
        <w:t>，可能对</w:t>
      </w:r>
      <w:r w:rsidRPr="00FD5C9F">
        <w:rPr>
          <w:rFonts w:asciiTheme="minorEastAsia" w:eastAsiaTheme="minorEastAsia" w:hAnsiTheme="minorEastAsia"/>
          <w:color w:val="000000" w:themeColor="text1"/>
          <w:szCs w:val="21"/>
        </w:rPr>
        <w:t>投资者的资金安排带来不利影响。</w:t>
      </w:r>
    </w:p>
    <w:p w:rsidR="00267554" w:rsidRPr="00FD5C9F" w:rsidP="00267554">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szCs w:val="21"/>
        </w:rPr>
        <w:t>短期赎回费</w:t>
      </w:r>
      <w:r w:rsidRPr="00FD5C9F">
        <w:rPr>
          <w:rFonts w:asciiTheme="minorEastAsia" w:eastAsiaTheme="minorEastAsia" w:hAnsiTheme="minorEastAsia" w:hint="eastAsia"/>
          <w:color w:val="000000" w:themeColor="text1"/>
          <w:szCs w:val="21"/>
        </w:rPr>
        <w:t>适用</w:t>
      </w:r>
      <w:r w:rsidRPr="00FD5C9F">
        <w:rPr>
          <w:rFonts w:asciiTheme="minorEastAsia" w:eastAsiaTheme="minorEastAsia" w:hAnsiTheme="minorEastAsia"/>
          <w:color w:val="000000" w:themeColor="text1"/>
          <w:szCs w:val="21"/>
        </w:rPr>
        <w:t>于</w:t>
      </w:r>
      <w:r w:rsidRPr="00FD5C9F">
        <w:rPr>
          <w:rFonts w:asciiTheme="minorEastAsia" w:eastAsiaTheme="minorEastAsia" w:hAnsiTheme="minorEastAsia" w:hint="eastAsia"/>
          <w:color w:val="000000" w:themeColor="text1"/>
          <w:szCs w:val="21"/>
        </w:rPr>
        <w:t>持续持有期少于</w:t>
      </w:r>
      <w:r w:rsidRPr="00FD5C9F">
        <w:rPr>
          <w:rFonts w:asciiTheme="minorEastAsia" w:eastAsiaTheme="minorEastAsia" w:hAnsiTheme="minorEastAsia"/>
          <w:color w:val="000000" w:themeColor="text1"/>
          <w:szCs w:val="21"/>
        </w:rPr>
        <w:t xml:space="preserve"> 7 </w:t>
      </w:r>
      <w:r w:rsidRPr="00FD5C9F">
        <w:rPr>
          <w:rFonts w:asciiTheme="minorEastAsia" w:eastAsiaTheme="minorEastAsia" w:hAnsiTheme="minorEastAsia" w:hint="eastAsia"/>
          <w:color w:val="000000" w:themeColor="text1"/>
          <w:szCs w:val="21"/>
        </w:rPr>
        <w:t>日的投资者，</w:t>
      </w:r>
      <w:r w:rsidRPr="00FD5C9F">
        <w:rPr>
          <w:rFonts w:asciiTheme="minorEastAsia" w:eastAsiaTheme="minorEastAsia" w:hAnsiTheme="minorEastAsia"/>
          <w:color w:val="000000" w:themeColor="text1"/>
          <w:szCs w:val="21"/>
        </w:rPr>
        <w:t>费率为1.5%</w:t>
      </w:r>
      <w:r w:rsidRPr="00FD5C9F">
        <w:rPr>
          <w:rFonts w:asciiTheme="minorEastAsia" w:eastAsiaTheme="minorEastAsia" w:hAnsiTheme="minorEastAsia" w:hint="eastAsia"/>
          <w:color w:val="000000" w:themeColor="text1"/>
          <w:szCs w:val="21"/>
        </w:rPr>
        <w:t>。</w:t>
      </w:r>
      <w:r w:rsidRPr="00FD5C9F">
        <w:rPr>
          <w:rFonts w:asciiTheme="minorEastAsia" w:eastAsiaTheme="minorEastAsia" w:hAnsiTheme="minorEastAsia"/>
          <w:color w:val="000000" w:themeColor="text1"/>
          <w:szCs w:val="21"/>
        </w:rPr>
        <w:t>短期赎回费</w:t>
      </w:r>
      <w:r w:rsidRPr="00FD5C9F">
        <w:rPr>
          <w:rFonts w:asciiTheme="minorEastAsia" w:eastAsiaTheme="minorEastAsia" w:hAnsiTheme="minorEastAsia" w:hint="eastAsia"/>
          <w:color w:val="000000" w:themeColor="text1"/>
          <w:szCs w:val="21"/>
        </w:rPr>
        <w:t>由赎回基金份额的基金份额持有人承担，在基金份额持有人赎回基金份额时收取，并全额计入基金财产。短期</w:t>
      </w:r>
      <w:r w:rsidRPr="00FD5C9F">
        <w:rPr>
          <w:rFonts w:asciiTheme="minorEastAsia" w:eastAsiaTheme="minorEastAsia" w:hAnsiTheme="minorEastAsia"/>
          <w:color w:val="000000" w:themeColor="text1"/>
          <w:szCs w:val="21"/>
        </w:rPr>
        <w:t>赎回费的</w:t>
      </w:r>
      <w:r w:rsidRPr="00FD5C9F">
        <w:rPr>
          <w:rFonts w:asciiTheme="minorEastAsia" w:eastAsiaTheme="minorEastAsia" w:hAnsiTheme="minorEastAsia" w:hint="eastAsia"/>
          <w:color w:val="000000" w:themeColor="text1"/>
          <w:szCs w:val="21"/>
        </w:rPr>
        <w:t>收取</w:t>
      </w:r>
      <w:r w:rsidRPr="00FD5C9F">
        <w:rPr>
          <w:rFonts w:asciiTheme="minorEastAsia" w:eastAsiaTheme="minorEastAsia" w:hAnsiTheme="minorEastAsia"/>
          <w:color w:val="000000" w:themeColor="text1"/>
          <w:szCs w:val="21"/>
        </w:rPr>
        <w:t>将</w:t>
      </w:r>
      <w:r w:rsidRPr="00FD5C9F">
        <w:rPr>
          <w:rFonts w:asciiTheme="minorEastAsia" w:eastAsiaTheme="minorEastAsia" w:hAnsiTheme="minorEastAsia" w:hint="eastAsia"/>
          <w:color w:val="000000" w:themeColor="text1"/>
        </w:rPr>
        <w:t>使得</w:t>
      </w:r>
      <w:r w:rsidRPr="00FD5C9F">
        <w:rPr>
          <w:rFonts w:asciiTheme="minorEastAsia" w:eastAsiaTheme="minorEastAsia" w:hAnsiTheme="minorEastAsia"/>
          <w:color w:val="000000" w:themeColor="text1"/>
        </w:rPr>
        <w:t>投资者</w:t>
      </w:r>
      <w:r w:rsidRPr="00FD5C9F">
        <w:rPr>
          <w:rFonts w:asciiTheme="minorEastAsia" w:eastAsiaTheme="minorEastAsia" w:hAnsiTheme="minorEastAsia" w:hint="eastAsia"/>
          <w:color w:val="000000" w:themeColor="text1"/>
        </w:rPr>
        <w:t>在持续</w:t>
      </w:r>
      <w:r w:rsidRPr="00FD5C9F">
        <w:rPr>
          <w:rFonts w:asciiTheme="minorEastAsia" w:eastAsiaTheme="minorEastAsia" w:hAnsiTheme="minorEastAsia"/>
          <w:color w:val="000000" w:themeColor="text1"/>
        </w:rPr>
        <w:t>持有期限少于7日时</w:t>
      </w:r>
      <w:r w:rsidRPr="00FD5C9F">
        <w:rPr>
          <w:rFonts w:asciiTheme="minorEastAsia" w:eastAsiaTheme="minorEastAsia" w:hAnsiTheme="minorEastAsia" w:hint="eastAsia"/>
          <w:color w:val="000000" w:themeColor="text1"/>
        </w:rPr>
        <w:t>会</w:t>
      </w:r>
      <w:r w:rsidRPr="00FD5C9F">
        <w:rPr>
          <w:rFonts w:asciiTheme="minorEastAsia" w:eastAsiaTheme="minorEastAsia" w:hAnsiTheme="minorEastAsia"/>
          <w:color w:val="000000" w:themeColor="text1"/>
        </w:rPr>
        <w:t>承担较高的赎回费</w:t>
      </w:r>
      <w:r w:rsidRPr="00FD5C9F">
        <w:rPr>
          <w:rFonts w:asciiTheme="minorEastAsia" w:eastAsiaTheme="minorEastAsia" w:hAnsiTheme="minorEastAsia" w:hint="eastAsia"/>
          <w:color w:val="000000" w:themeColor="text1"/>
        </w:rPr>
        <w:t>。</w:t>
      </w:r>
    </w:p>
    <w:p w:rsidR="00267554" w:rsidRPr="00FD5C9F" w:rsidP="00267554">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暂停基金</w:t>
      </w:r>
      <w:r w:rsidRPr="00FD5C9F">
        <w:rPr>
          <w:rFonts w:asciiTheme="minorEastAsia" w:eastAsiaTheme="minorEastAsia" w:hAnsiTheme="minorEastAsia"/>
          <w:color w:val="000000" w:themeColor="text1"/>
          <w:szCs w:val="21"/>
        </w:rPr>
        <w:t>估值</w:t>
      </w:r>
      <w:r w:rsidRPr="00FD5C9F">
        <w:rPr>
          <w:rFonts w:asciiTheme="minorEastAsia" w:eastAsiaTheme="minorEastAsia" w:hAnsiTheme="minorEastAsia" w:hint="eastAsia"/>
          <w:color w:val="000000" w:themeColor="text1"/>
        </w:rPr>
        <w:t>的</w:t>
      </w:r>
      <w:r w:rsidRPr="00FD5C9F">
        <w:rPr>
          <w:rFonts w:asciiTheme="minorEastAsia" w:eastAsiaTheme="minorEastAsia" w:hAnsiTheme="minorEastAsia"/>
          <w:color w:val="000000" w:themeColor="text1"/>
        </w:rPr>
        <w:t>情形、程序</w:t>
      </w:r>
      <w:r w:rsidRPr="00FD5C9F">
        <w:rPr>
          <w:rFonts w:asciiTheme="minorEastAsia" w:eastAsiaTheme="minorEastAsia" w:hAnsiTheme="minorEastAsia" w:hint="eastAsia"/>
          <w:color w:val="000000" w:themeColor="text1"/>
        </w:rPr>
        <w:t>见招募</w:t>
      </w:r>
      <w:r w:rsidRPr="00FD5C9F">
        <w:rPr>
          <w:rFonts w:asciiTheme="minorEastAsia" w:eastAsiaTheme="minorEastAsia" w:hAnsiTheme="minorEastAsia"/>
          <w:color w:val="000000" w:themeColor="text1"/>
        </w:rPr>
        <w:t>说明</w:t>
      </w:r>
      <w:r w:rsidRPr="00FD5C9F">
        <w:rPr>
          <w:rFonts w:asciiTheme="minorEastAsia" w:eastAsiaTheme="minorEastAsia" w:hAnsiTheme="minorEastAsia" w:hint="eastAsia"/>
          <w:color w:val="000000" w:themeColor="text1"/>
        </w:rPr>
        <w:t>书“十三、基金资产的估值”</w:t>
      </w:r>
      <w:r w:rsidRPr="00FD5C9F">
        <w:rPr>
          <w:rFonts w:asciiTheme="minorEastAsia" w:eastAsiaTheme="minorEastAsia" w:hAnsiTheme="minorEastAsia"/>
          <w:color w:val="000000" w:themeColor="text1"/>
        </w:rPr>
        <w:t>之</w:t>
      </w:r>
      <w:r w:rsidRPr="00FD5C9F">
        <w:rPr>
          <w:rFonts w:asciiTheme="minorEastAsia" w:eastAsiaTheme="minorEastAsia" w:hAnsiTheme="minorEastAsia" w:hint="eastAsia"/>
          <w:color w:val="000000" w:themeColor="text1"/>
        </w:rPr>
        <w:t xml:space="preserve"> “（</w:t>
      </w:r>
      <w:r w:rsidRPr="00FD5C9F" w:rsidR="00001134">
        <w:rPr>
          <w:rFonts w:asciiTheme="minorEastAsia" w:eastAsiaTheme="minorEastAsia" w:hAnsiTheme="minorEastAsia" w:hint="eastAsia"/>
          <w:color w:val="000000" w:themeColor="text1"/>
        </w:rPr>
        <w:t>七</w:t>
      </w:r>
      <w:r w:rsidRPr="00FD5C9F">
        <w:rPr>
          <w:rFonts w:asciiTheme="minorEastAsia" w:eastAsiaTheme="minorEastAsia" w:hAnsiTheme="minorEastAsia" w:hint="eastAsia"/>
          <w:color w:val="000000" w:themeColor="text1"/>
        </w:rPr>
        <w:t>）暂停估值的情形”的相关规定</w:t>
      </w:r>
      <w:r w:rsidRPr="00FD5C9F">
        <w:rPr>
          <w:rFonts w:asciiTheme="minorEastAsia" w:eastAsiaTheme="minorEastAsia" w:hAnsiTheme="minorEastAsia" w:hint="eastAsia"/>
          <w:color w:val="000000" w:themeColor="text1"/>
          <w:szCs w:val="21"/>
        </w:rPr>
        <w:t>。若</w:t>
      </w:r>
      <w:r w:rsidRPr="00FD5C9F">
        <w:rPr>
          <w:rFonts w:asciiTheme="minorEastAsia" w:eastAsiaTheme="minorEastAsia" w:hAnsiTheme="minorEastAsia"/>
          <w:color w:val="000000" w:themeColor="text1"/>
          <w:szCs w:val="21"/>
        </w:rPr>
        <w:t>本基金暂停基金估值，</w:t>
      </w:r>
      <w:r w:rsidRPr="00FD5C9F">
        <w:rPr>
          <w:rFonts w:asciiTheme="minorEastAsia" w:eastAsiaTheme="minorEastAsia" w:hAnsiTheme="minorEastAsia" w:hint="eastAsia"/>
          <w:color w:val="000000" w:themeColor="text1"/>
          <w:szCs w:val="21"/>
        </w:rPr>
        <w:t>一方面</w:t>
      </w:r>
      <w:r w:rsidRPr="00FD5C9F">
        <w:rPr>
          <w:rFonts w:asciiTheme="minorEastAsia" w:eastAsiaTheme="minorEastAsia" w:hAnsiTheme="minorEastAsia"/>
          <w:color w:val="000000" w:themeColor="text1"/>
          <w:szCs w:val="21"/>
        </w:rPr>
        <w:t>投资者将无法知晓本基金的基金份额净值，</w:t>
      </w:r>
      <w:r w:rsidRPr="00FD5C9F">
        <w:rPr>
          <w:rFonts w:asciiTheme="minorEastAsia" w:eastAsiaTheme="minorEastAsia" w:hAnsiTheme="minorEastAsia" w:hint="eastAsia"/>
          <w:color w:val="000000" w:themeColor="text1"/>
          <w:szCs w:val="21"/>
        </w:rPr>
        <w:t>另一方面基金</w:t>
      </w:r>
      <w:r w:rsidRPr="00FD5C9F">
        <w:rPr>
          <w:rFonts w:asciiTheme="minorEastAsia" w:eastAsiaTheme="minorEastAsia" w:hAnsiTheme="minorEastAsia"/>
          <w:color w:val="000000" w:themeColor="text1"/>
          <w:szCs w:val="21"/>
        </w:rPr>
        <w:t>将</w:t>
      </w:r>
      <w:r w:rsidRPr="00FD5C9F">
        <w:rPr>
          <w:rFonts w:asciiTheme="minorEastAsia" w:eastAsiaTheme="minorEastAsia" w:hAnsiTheme="minorEastAsia" w:hint="eastAsia"/>
          <w:color w:val="000000" w:themeColor="text1"/>
          <w:szCs w:val="21"/>
        </w:rPr>
        <w:t>延缓支付赎回款项或暂停接受基金申购赎回申请</w:t>
      </w:r>
      <w:r w:rsidRPr="00FD5C9F">
        <w:rPr>
          <w:rFonts w:asciiTheme="minorEastAsia" w:eastAsiaTheme="minorEastAsia" w:hAnsiTheme="minorEastAsia"/>
          <w:color w:val="000000" w:themeColor="text1"/>
          <w:szCs w:val="21"/>
        </w:rPr>
        <w:t>，</w:t>
      </w:r>
      <w:r w:rsidRPr="00FD5C9F">
        <w:rPr>
          <w:rFonts w:asciiTheme="minorEastAsia" w:eastAsiaTheme="minorEastAsia" w:hAnsiTheme="minorEastAsia" w:hint="eastAsia"/>
          <w:color w:val="000000" w:themeColor="text1"/>
          <w:szCs w:val="21"/>
        </w:rPr>
        <w:t>延缓支付赎回款项</w:t>
      </w:r>
      <w:r w:rsidRPr="00FD5C9F">
        <w:rPr>
          <w:rFonts w:asciiTheme="minorEastAsia" w:eastAsiaTheme="minorEastAsia" w:hAnsiTheme="minorEastAsia"/>
          <w:color w:val="000000" w:themeColor="text1"/>
          <w:szCs w:val="21"/>
        </w:rPr>
        <w:t>可能影响投资</w:t>
      </w:r>
      <w:r w:rsidRPr="00FD5C9F">
        <w:rPr>
          <w:rFonts w:asciiTheme="minorEastAsia" w:eastAsiaTheme="minorEastAsia" w:hAnsiTheme="minorEastAsia" w:hint="eastAsia"/>
          <w:color w:val="000000" w:themeColor="text1"/>
          <w:szCs w:val="21"/>
        </w:rPr>
        <w:t>者</w:t>
      </w:r>
      <w:r w:rsidRPr="00FD5C9F">
        <w:rPr>
          <w:rFonts w:asciiTheme="minorEastAsia" w:eastAsiaTheme="minorEastAsia" w:hAnsiTheme="minorEastAsia"/>
          <w:color w:val="000000" w:themeColor="text1"/>
          <w:szCs w:val="21"/>
        </w:rPr>
        <w:t>的资金安排</w:t>
      </w:r>
      <w:r w:rsidRPr="00FD5C9F">
        <w:rPr>
          <w:rFonts w:asciiTheme="minorEastAsia" w:eastAsiaTheme="minorEastAsia" w:hAnsiTheme="minorEastAsia" w:hint="eastAsia"/>
          <w:color w:val="000000" w:themeColor="text1"/>
          <w:szCs w:val="21"/>
        </w:rPr>
        <w:t>，暂停接受基金申购赎回申请将</w:t>
      </w:r>
      <w:r w:rsidRPr="00FD5C9F">
        <w:rPr>
          <w:rFonts w:asciiTheme="minorEastAsia" w:eastAsiaTheme="minorEastAsia" w:hAnsiTheme="minorEastAsia"/>
          <w:color w:val="000000" w:themeColor="text1"/>
          <w:szCs w:val="21"/>
        </w:rPr>
        <w:t>导致投资者无法申购或赎回本基金。</w:t>
      </w:r>
    </w:p>
    <w:p w:rsidR="00ED617E" w:rsidRPr="00FD5C9F" w:rsidP="0091351D">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采用</w:t>
      </w:r>
      <w:r w:rsidRPr="00FD5C9F">
        <w:rPr>
          <w:rFonts w:asciiTheme="minorEastAsia" w:eastAsiaTheme="minorEastAsia" w:hAnsiTheme="minorEastAsia"/>
          <w:color w:val="000000" w:themeColor="text1"/>
        </w:rPr>
        <w:t>摆动定价</w:t>
      </w:r>
      <w:r w:rsidRPr="00FD5C9F">
        <w:rPr>
          <w:rFonts w:asciiTheme="minorEastAsia" w:eastAsiaTheme="minorEastAsia" w:hAnsiTheme="minorEastAsia" w:hint="eastAsia"/>
          <w:color w:val="000000" w:themeColor="text1"/>
        </w:rPr>
        <w:t>机制的</w:t>
      </w:r>
      <w:r w:rsidRPr="00FD5C9F">
        <w:rPr>
          <w:rFonts w:asciiTheme="minorEastAsia" w:eastAsiaTheme="minorEastAsia" w:hAnsiTheme="minorEastAsia"/>
          <w:color w:val="000000" w:themeColor="text1"/>
        </w:rPr>
        <w:t>情形、程序</w:t>
      </w:r>
      <w:r w:rsidRPr="00FD5C9F">
        <w:rPr>
          <w:rFonts w:asciiTheme="minorEastAsia" w:eastAsiaTheme="minorEastAsia" w:hAnsiTheme="minorEastAsia" w:hint="eastAsia"/>
          <w:color w:val="000000" w:themeColor="text1"/>
        </w:rPr>
        <w:t>见招募</w:t>
      </w:r>
      <w:r w:rsidRPr="00FD5C9F">
        <w:rPr>
          <w:rFonts w:asciiTheme="minorEastAsia" w:eastAsiaTheme="minorEastAsia" w:hAnsiTheme="minorEastAsia"/>
          <w:color w:val="000000" w:themeColor="text1"/>
        </w:rPr>
        <w:t>说明</w:t>
      </w:r>
      <w:r w:rsidRPr="00FD5C9F">
        <w:rPr>
          <w:rFonts w:asciiTheme="minorEastAsia" w:eastAsiaTheme="minorEastAsia" w:hAnsiTheme="minorEastAsia" w:hint="eastAsia"/>
          <w:color w:val="000000" w:themeColor="text1"/>
        </w:rPr>
        <w:t>书“十三、基金资产的估值”</w:t>
      </w:r>
      <w:r w:rsidRPr="00FD5C9F">
        <w:rPr>
          <w:rFonts w:asciiTheme="minorEastAsia" w:eastAsiaTheme="minorEastAsia" w:hAnsiTheme="minorEastAsia"/>
          <w:color w:val="000000" w:themeColor="text1"/>
        </w:rPr>
        <w:t>之</w:t>
      </w:r>
      <w:r w:rsidRPr="00FD5C9F">
        <w:rPr>
          <w:rFonts w:asciiTheme="minorEastAsia" w:eastAsiaTheme="minorEastAsia" w:hAnsiTheme="minorEastAsia" w:hint="eastAsia"/>
          <w:color w:val="000000" w:themeColor="text1"/>
        </w:rPr>
        <w:t xml:space="preserve"> “</w:t>
      </w:r>
      <w:r w:rsidRPr="00FD5C9F">
        <w:rPr>
          <w:rStyle w:val="da"/>
          <w:rFonts w:asciiTheme="minorEastAsia" w:eastAsiaTheme="minorEastAsia" w:hAnsiTheme="minorEastAsia" w:hint="eastAsia"/>
          <w:color w:val="000000" w:themeColor="text1"/>
          <w:szCs w:val="21"/>
        </w:rPr>
        <w:t>（</w:t>
      </w:r>
      <w:r w:rsidRPr="00FD5C9F" w:rsidR="00001134">
        <w:rPr>
          <w:rStyle w:val="da"/>
          <w:rFonts w:asciiTheme="minorEastAsia" w:eastAsiaTheme="minorEastAsia" w:hAnsiTheme="minorEastAsia" w:hint="eastAsia"/>
          <w:color w:val="000000" w:themeColor="text1"/>
          <w:szCs w:val="21"/>
        </w:rPr>
        <w:t>四</w:t>
      </w:r>
      <w:r w:rsidRPr="00FD5C9F">
        <w:rPr>
          <w:rStyle w:val="da"/>
          <w:rFonts w:asciiTheme="minorEastAsia" w:eastAsiaTheme="minorEastAsia" w:hAnsiTheme="minorEastAsia" w:hint="eastAsia"/>
          <w:color w:val="000000" w:themeColor="text1"/>
          <w:szCs w:val="21"/>
        </w:rPr>
        <w:t>）</w:t>
      </w:r>
      <w:r w:rsidRPr="00FD5C9F">
        <w:rPr>
          <w:rStyle w:val="da"/>
          <w:rFonts w:asciiTheme="minorEastAsia" w:eastAsiaTheme="minorEastAsia" w:hAnsiTheme="minorEastAsia"/>
          <w:color w:val="000000" w:themeColor="text1"/>
          <w:szCs w:val="21"/>
        </w:rPr>
        <w:t>估值方法</w:t>
      </w:r>
      <w:r w:rsidRPr="00FD5C9F">
        <w:rPr>
          <w:rFonts w:asciiTheme="minorEastAsia" w:eastAsiaTheme="minorEastAsia" w:hAnsiTheme="minorEastAsia" w:hint="eastAsia"/>
          <w:color w:val="000000" w:themeColor="text1"/>
        </w:rPr>
        <w:t>”的相关规定。</w:t>
      </w:r>
      <w:r w:rsidRPr="00FD5C9F">
        <w:rPr>
          <w:rFonts w:asciiTheme="minorEastAsia" w:eastAsiaTheme="minorEastAsia" w:hAnsiTheme="minorEastAsia"/>
          <w:color w:val="000000" w:themeColor="text1"/>
        </w:rPr>
        <w:t>若</w:t>
      </w:r>
      <w:r w:rsidRPr="00FD5C9F">
        <w:rPr>
          <w:rFonts w:asciiTheme="minorEastAsia" w:eastAsiaTheme="minorEastAsia" w:hAnsiTheme="minorEastAsia" w:hint="eastAsia"/>
          <w:color w:val="000000" w:themeColor="text1"/>
        </w:rPr>
        <w:t>本</w:t>
      </w:r>
      <w:r w:rsidRPr="00FD5C9F">
        <w:rPr>
          <w:rFonts w:asciiTheme="minorEastAsia" w:eastAsiaTheme="minorEastAsia" w:hAnsiTheme="minorEastAsia"/>
          <w:color w:val="000000" w:themeColor="text1"/>
        </w:rPr>
        <w:t>基金采取摆动定价机制，</w:t>
      </w:r>
      <w:r w:rsidRPr="00FD5C9F">
        <w:rPr>
          <w:rFonts w:asciiTheme="minorEastAsia" w:eastAsiaTheme="minorEastAsia" w:hAnsiTheme="minorEastAsia" w:hint="eastAsia"/>
          <w:color w:val="000000" w:themeColor="text1"/>
        </w:rPr>
        <w:t>投资</w:t>
      </w:r>
      <w:r w:rsidRPr="00FD5C9F">
        <w:rPr>
          <w:rFonts w:asciiTheme="minorEastAsia" w:eastAsiaTheme="minorEastAsia" w:hAnsiTheme="minorEastAsia"/>
          <w:color w:val="000000" w:themeColor="text1"/>
        </w:rPr>
        <w:t>者申购基金获得的</w:t>
      </w:r>
      <w:r w:rsidRPr="00FD5C9F">
        <w:rPr>
          <w:rFonts w:asciiTheme="minorEastAsia" w:eastAsiaTheme="minorEastAsia" w:hAnsiTheme="minorEastAsia" w:hint="eastAsia"/>
          <w:color w:val="000000" w:themeColor="text1"/>
        </w:rPr>
        <w:t>申购</w:t>
      </w:r>
      <w:r w:rsidRPr="00FD5C9F">
        <w:rPr>
          <w:rFonts w:asciiTheme="minorEastAsia" w:eastAsiaTheme="minorEastAsia" w:hAnsiTheme="minorEastAsia"/>
          <w:color w:val="000000" w:themeColor="text1"/>
        </w:rPr>
        <w:t>份额</w:t>
      </w:r>
      <w:r w:rsidRPr="00FD5C9F">
        <w:rPr>
          <w:rFonts w:asciiTheme="minorEastAsia" w:eastAsiaTheme="minorEastAsia" w:hAnsiTheme="minorEastAsia" w:hint="eastAsia"/>
          <w:color w:val="000000" w:themeColor="text1"/>
        </w:rPr>
        <w:t>及赎回</w:t>
      </w:r>
      <w:r w:rsidRPr="00FD5C9F">
        <w:rPr>
          <w:rFonts w:asciiTheme="minorEastAsia" w:eastAsiaTheme="minorEastAsia" w:hAnsiTheme="minorEastAsia"/>
          <w:color w:val="000000" w:themeColor="text1"/>
        </w:rPr>
        <w:t>基金获得的赎回金额均可能受到不利影响。</w:t>
      </w:r>
    </w:p>
    <w:p w:rsidR="0091351D" w:rsidRPr="00FD5C9F" w:rsidP="0091351D">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（四）管理风险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2</w:t>
      </w:r>
      <w:r w:rsidRPr="00FD5C9F">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AE23DE"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（五）税收风险</w:t>
      </w:r>
    </w:p>
    <w:p w:rsidR="00AE23DE"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在本基金存续期间，税收征管部门可能会对增值税等应税行为的认定以及适用的税率等进行调整。届时，基金管理人将执行更新后的政策，可能会因此导致基金资产实际承担的税费发生变化。该等情况下，基金管理人有权根据法律法规及税收政策的变化相应调整税收处理，该等调整可能会影响到基金投资者的收益，也可能导致基金财产的估值调整。由于前述税收政策变化导致对基金资产的收益影响，将由持有该基金的基金投资者承担。对于现有税收政策未明确事项，本基金主要参照行业协会建议方案进行处理，可能会与税收征管认定存在差异，从而产生税费补缴及滞纳金，该等税费及滞纳金将由基金财产承担。</w:t>
      </w:r>
    </w:p>
    <w:p w:rsidR="00217D8D" w:rsidRPr="00FD5C9F" w:rsidP="00217D8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六）</w:t>
      </w:r>
      <w:r w:rsidRPr="00FD5C9F">
        <w:rPr>
          <w:rFonts w:asciiTheme="minorEastAsia" w:eastAsiaTheme="minorEastAsia" w:hAnsiTheme="minorEastAsia" w:hint="eastAsia"/>
          <w:color w:val="000000" w:themeColor="text1"/>
          <w:kern w:val="0"/>
          <w:szCs w:val="21"/>
        </w:rPr>
        <w:t>本基金法律文件中涉及基金风险特征的表述与销售机构对基金的风险评级可能不一致的风险</w:t>
      </w:r>
    </w:p>
    <w:p w:rsidR="00217D8D" w:rsidRPr="00FD5C9F" w:rsidP="00217D8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rsidR="0091351D" w:rsidRPr="00FD5C9F" w:rsidP="0091351D">
      <w:pPr>
        <w:spacing w:line="360" w:lineRule="auto"/>
        <w:ind w:firstLine="420" w:firstLineChars="200"/>
        <w:rPr>
          <w:rStyle w:val="da"/>
          <w:rFonts w:asciiTheme="minorEastAsia" w:eastAsiaTheme="minorEastAsia" w:hAnsiTheme="minorEastAsia"/>
          <w:color w:val="000000" w:themeColor="text1"/>
        </w:rPr>
      </w:pPr>
      <w:r w:rsidRPr="00FD5C9F">
        <w:rPr>
          <w:rStyle w:val="da"/>
          <w:rFonts w:asciiTheme="minorEastAsia" w:eastAsiaTheme="minorEastAsia" w:hAnsiTheme="minorEastAsia" w:hint="eastAsia"/>
          <w:color w:val="000000" w:themeColor="text1"/>
        </w:rPr>
        <w:t>（</w:t>
      </w:r>
      <w:r w:rsidRPr="00FD5C9F" w:rsidR="00217D8D">
        <w:rPr>
          <w:rStyle w:val="da"/>
          <w:rFonts w:asciiTheme="minorEastAsia" w:eastAsiaTheme="minorEastAsia" w:hAnsiTheme="minorEastAsia" w:hint="eastAsia"/>
          <w:color w:val="000000" w:themeColor="text1"/>
        </w:rPr>
        <w:t>七</w:t>
      </w:r>
      <w:r w:rsidRPr="00FD5C9F">
        <w:rPr>
          <w:rStyle w:val="da"/>
          <w:rFonts w:asciiTheme="minorEastAsia" w:eastAsiaTheme="minorEastAsia" w:hAnsiTheme="minorEastAsia" w:hint="eastAsia"/>
          <w:color w:val="000000" w:themeColor="text1"/>
        </w:rPr>
        <w:t>）其他风险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Pr>
          <w:rFonts w:asciiTheme="minorEastAsia" w:eastAsiaTheme="minorEastAsia" w:hAnsiTheme="minorEastAsia" w:hint="eastAsia"/>
          <w:color w:val="000000" w:themeColor="text1"/>
          <w:kern w:val="0"/>
          <w:szCs w:val="21"/>
        </w:rPr>
        <w:t>、因技术因素而产生的风险，如电脑等技术系统的故障或差错产生的风险。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2</w:t>
      </w:r>
      <w:r w:rsidRPr="00FD5C9F">
        <w:rPr>
          <w:rFonts w:asciiTheme="minorEastAsia" w:eastAsiaTheme="minorEastAsia" w:hAnsiTheme="minorEastAsia" w:hint="eastAsia"/>
          <w:color w:val="000000" w:themeColor="text1"/>
          <w:kern w:val="0"/>
          <w:szCs w:val="21"/>
        </w:rPr>
        <w:t>、因战争、自然灾害等不可抗力导致的基金管理人、基金托管人、基金服务机构等机构无法正常工作，从而影响基金运作的风险。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3</w:t>
      </w:r>
      <w:r w:rsidRPr="00FD5C9F">
        <w:rPr>
          <w:rFonts w:asciiTheme="minorEastAsia" w:eastAsiaTheme="minorEastAsia" w:hAnsiTheme="minorEastAsia" w:hint="eastAsia"/>
          <w:color w:val="000000" w:themeColor="text1"/>
          <w:kern w:val="0"/>
          <w:szCs w:val="21"/>
        </w:rPr>
        <w:t>、因金融市场危机、代理商违约、基金托管人违约等超出基金管理人自身控制能力的因素出现，可能导致基金或者基金份额持有人利益受损的风险。</w:t>
      </w:r>
    </w:p>
    <w:p w:rsidR="0091351D" w:rsidRPr="00FD5C9F" w:rsidP="0091351D">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4</w:t>
      </w:r>
      <w:r w:rsidRPr="00FD5C9F">
        <w:rPr>
          <w:rFonts w:asciiTheme="minorEastAsia" w:eastAsiaTheme="minorEastAsia" w:hAnsiTheme="minorEastAsia" w:hint="eastAsia"/>
          <w:color w:val="000000" w:themeColor="text1"/>
          <w:kern w:val="0"/>
          <w:szCs w:val="21"/>
        </w:rPr>
        <w:t>、因固定收益类金融工具主要在场外市场进行交易，场外市场交易现阶段自动化程度较场内市场低，本基金在投资运作过程中可能面临操作风险。</w:t>
      </w:r>
    </w:p>
    <w:p w:rsidR="0091351D" w:rsidRPr="00FD5C9F" w:rsidP="0091351D">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kern w:val="0"/>
          <w:szCs w:val="21"/>
        </w:rPr>
        <w:t>5</w:t>
      </w:r>
      <w:r w:rsidRPr="00FD5C9F">
        <w:rPr>
          <w:rFonts w:asciiTheme="minorEastAsia" w:eastAsiaTheme="minorEastAsia" w:hAnsiTheme="minorEastAsia" w:hint="eastAsia"/>
          <w:color w:val="000000" w:themeColor="text1"/>
          <w:kern w:val="0"/>
          <w:szCs w:val="21"/>
        </w:rPr>
        <w:t>、其他意外导致的风险。</w:t>
      </w:r>
    </w:p>
    <w:p w:rsidR="00DD2F77" w:rsidRPr="00FD5C9F" w:rsidP="005046B2">
      <w:pPr>
        <w:pStyle w:val="Heading1"/>
        <w:spacing w:before="317" w:after="317" w:line="360" w:lineRule="auto"/>
        <w:ind w:firstLine="600"/>
        <w:rPr>
          <w:rFonts w:asciiTheme="minorEastAsia" w:eastAsiaTheme="minorEastAsia" w:hAnsiTheme="minorEastAsia"/>
          <w:color w:val="000000" w:themeColor="text1"/>
          <w:sz w:val="30"/>
        </w:rPr>
      </w:pPr>
      <w:r w:rsidRPr="00FD5C9F">
        <w:rPr>
          <w:rFonts w:asciiTheme="minorEastAsia" w:eastAsiaTheme="minorEastAsia" w:hAnsiTheme="minorEastAsia" w:hint="eastAsia"/>
          <w:color w:val="000000" w:themeColor="text1"/>
          <w:sz w:val="30"/>
        </w:rPr>
        <w:br w:type="column"/>
      </w:r>
      <w:bookmarkStart w:id="97" w:name="_Toc134547858"/>
      <w:bookmarkStart w:id="98" w:name="_Toc332373579"/>
      <w:bookmarkEnd w:id="96"/>
      <w:r w:rsidRPr="00FD5C9F">
        <w:rPr>
          <w:rFonts w:asciiTheme="minorEastAsia" w:eastAsiaTheme="minorEastAsia" w:hAnsiTheme="minorEastAsia" w:hint="eastAsia"/>
          <w:color w:val="000000" w:themeColor="text1"/>
          <w:sz w:val="30"/>
        </w:rPr>
        <w:t>二十、基金合同的变更、终止与基金财产的清算</w:t>
      </w:r>
      <w:bookmarkEnd w:id="97"/>
    </w:p>
    <w:p w:rsidR="00DD2F77" w:rsidRPr="00FD5C9F" w:rsidP="001B18A8">
      <w:pPr>
        <w:spacing w:line="360" w:lineRule="auto"/>
        <w:ind w:firstLine="420" w:firstLineChars="200"/>
        <w:rPr>
          <w:rFonts w:asciiTheme="minorEastAsia" w:eastAsiaTheme="minorEastAsia" w:hAnsiTheme="minorEastAsia"/>
          <w:color w:val="000000" w:themeColor="text1"/>
          <w:kern w:val="0"/>
          <w:szCs w:val="21"/>
        </w:rPr>
      </w:pPr>
      <w:bookmarkStart w:id="99" w:name="_Toc79392639"/>
      <w:bookmarkEnd w:id="98"/>
      <w:r w:rsidRPr="00FD5C9F">
        <w:rPr>
          <w:rFonts w:asciiTheme="minorEastAsia" w:eastAsiaTheme="minorEastAsia" w:hAnsiTheme="minorEastAsia" w:hint="eastAsia"/>
          <w:color w:val="000000" w:themeColor="text1"/>
          <w:kern w:val="0"/>
          <w:szCs w:val="21"/>
        </w:rPr>
        <w:t>（一）《基金合同》的变更</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Pr>
          <w:rFonts w:asciiTheme="minorEastAsia" w:eastAsiaTheme="minorEastAsia" w:hAnsiTheme="minorEastAsia" w:hint="eastAsia"/>
          <w:color w:val="000000" w:themeColor="text1"/>
          <w:kern w:val="0"/>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2、关于《基金合同》变更的基金份额持有人大会决议</w:t>
      </w:r>
      <w:r w:rsidRPr="00FD5C9F">
        <w:rPr>
          <w:rFonts w:asciiTheme="minorEastAsia" w:eastAsiaTheme="minorEastAsia" w:hAnsiTheme="minorEastAsia" w:hint="eastAsia"/>
          <w:color w:val="000000" w:themeColor="text1"/>
          <w:kern w:val="0"/>
          <w:szCs w:val="21"/>
        </w:rPr>
        <w:t>自</w:t>
      </w:r>
      <w:r w:rsidRPr="00FD5C9F">
        <w:rPr>
          <w:rFonts w:asciiTheme="minorEastAsia" w:eastAsiaTheme="minorEastAsia" w:hAnsiTheme="minorEastAsia"/>
          <w:color w:val="000000" w:themeColor="text1"/>
          <w:kern w:val="0"/>
          <w:szCs w:val="21"/>
        </w:rPr>
        <w:t>生效后方可执行，</w:t>
      </w:r>
      <w:r w:rsidRPr="00FD5C9F">
        <w:rPr>
          <w:rFonts w:asciiTheme="minorEastAsia" w:eastAsiaTheme="minorEastAsia" w:hAnsiTheme="minorEastAsia" w:hint="eastAsia"/>
          <w:color w:val="000000" w:themeColor="text1"/>
          <w:kern w:val="0"/>
          <w:szCs w:val="21"/>
        </w:rPr>
        <w:t>自决议生效后两日内在规定媒介公告。</w:t>
      </w:r>
    </w:p>
    <w:p w:rsidR="00DD2F77" w:rsidRPr="00FD5C9F" w:rsidP="001B18A8">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（二）《基金合同》的终止事由</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有下列情形之一的，经履行相关程序后，《基金合同》应当终止：</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1</w:t>
      </w:r>
      <w:r w:rsidRPr="00FD5C9F">
        <w:rPr>
          <w:rFonts w:asciiTheme="minorEastAsia" w:eastAsiaTheme="minorEastAsia" w:hAnsiTheme="minorEastAsia"/>
          <w:color w:val="000000" w:themeColor="text1"/>
          <w:kern w:val="0"/>
          <w:szCs w:val="21"/>
        </w:rPr>
        <w:t>、</w:t>
      </w:r>
      <w:r w:rsidRPr="00FD5C9F">
        <w:rPr>
          <w:rFonts w:asciiTheme="minorEastAsia" w:eastAsiaTheme="minorEastAsia" w:hAnsiTheme="minorEastAsia" w:hint="eastAsia"/>
          <w:color w:val="000000" w:themeColor="text1"/>
          <w:kern w:val="0"/>
          <w:szCs w:val="21"/>
        </w:rPr>
        <w:t>基金份额持有人大会决定终止的；</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2、基金管理人、基金托管人职责终止，在</w:t>
      </w:r>
      <w:r w:rsidRPr="00FD5C9F">
        <w:rPr>
          <w:rFonts w:asciiTheme="minorEastAsia" w:eastAsiaTheme="minorEastAsia" w:hAnsiTheme="minorEastAsia"/>
          <w:color w:val="000000" w:themeColor="text1"/>
          <w:kern w:val="0"/>
          <w:szCs w:val="21"/>
        </w:rPr>
        <w:t>6</w:t>
      </w:r>
      <w:r w:rsidRPr="00FD5C9F">
        <w:rPr>
          <w:rFonts w:asciiTheme="minorEastAsia" w:eastAsiaTheme="minorEastAsia" w:hAnsiTheme="minorEastAsia" w:hint="eastAsia"/>
          <w:color w:val="000000" w:themeColor="text1"/>
          <w:kern w:val="0"/>
          <w:szCs w:val="21"/>
        </w:rPr>
        <w:t>个月内没有新基金管理人、新基金托管人承接的；</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3、《基金合同》约定的其他情形；</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4、相关法律法规和中国证监会规定的其他情况。</w:t>
      </w:r>
    </w:p>
    <w:p w:rsidR="00DD2F77" w:rsidRPr="00FD5C9F" w:rsidP="001B18A8">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（三）基金财产的清算</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1</w:t>
      </w:r>
      <w:r w:rsidRPr="00FD5C9F">
        <w:rPr>
          <w:rFonts w:asciiTheme="minorEastAsia" w:eastAsiaTheme="minorEastAsia" w:hAnsiTheme="minorEastAsia" w:hint="eastAsia"/>
          <w:color w:val="000000" w:themeColor="text1"/>
          <w:kern w:val="0"/>
          <w:szCs w:val="21"/>
        </w:rPr>
        <w:t>、基金财产清算小组：自出现《基金合同》终止事由之日起</w:t>
      </w:r>
      <w:r w:rsidRPr="00FD5C9F">
        <w:rPr>
          <w:rFonts w:asciiTheme="minorEastAsia" w:eastAsiaTheme="minorEastAsia" w:hAnsiTheme="minorEastAsia"/>
          <w:color w:val="000000" w:themeColor="text1"/>
          <w:kern w:val="0"/>
          <w:szCs w:val="21"/>
        </w:rPr>
        <w:t>30</w:t>
      </w:r>
      <w:r w:rsidRPr="00FD5C9F">
        <w:rPr>
          <w:rFonts w:asciiTheme="minorEastAsia" w:eastAsiaTheme="minorEastAsia" w:hAnsiTheme="minorEastAsia" w:hint="eastAsia"/>
          <w:color w:val="000000" w:themeColor="text1"/>
          <w:kern w:val="0"/>
          <w:szCs w:val="21"/>
        </w:rPr>
        <w:t>个工作日内成立清算小组，基金管理人组织基金财产清算小组并在中国证监会的监督下进行基金清算。</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2</w:t>
      </w:r>
      <w:r w:rsidRPr="00FD5C9F">
        <w:rPr>
          <w:rFonts w:asciiTheme="minorEastAsia" w:eastAsiaTheme="minorEastAsia" w:hAnsiTheme="minorEastAsia" w:hint="eastAsia"/>
          <w:color w:val="000000" w:themeColor="text1"/>
          <w:kern w:val="0"/>
          <w:szCs w:val="21"/>
        </w:rPr>
        <w:t>、基金财产清算小组组成：基金财产清算小组成员由基金管理人、基金托管人、符合《证券法》规定的注册会计师、律师以及中国证监会指定的人员组成。基金财产清算小组可以聘用必要的工作人员。</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3</w:t>
      </w:r>
      <w:r w:rsidRPr="00FD5C9F">
        <w:rPr>
          <w:rFonts w:asciiTheme="minorEastAsia" w:eastAsiaTheme="minorEastAsia" w:hAnsiTheme="minorEastAsia" w:hint="eastAsia"/>
          <w:color w:val="000000" w:themeColor="text1"/>
          <w:kern w:val="0"/>
          <w:szCs w:val="21"/>
        </w:rPr>
        <w:t>、基金财产清算小组职责：基金财产清算小组负责基金财产的保管、清理、估价、变现和分配。基金财产清算小组可以依法进行必要的民事活动。</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4</w:t>
      </w:r>
      <w:r w:rsidRPr="00FD5C9F">
        <w:rPr>
          <w:rFonts w:asciiTheme="minorEastAsia" w:eastAsiaTheme="minorEastAsia" w:hAnsiTheme="minorEastAsia" w:hint="eastAsia"/>
          <w:color w:val="000000" w:themeColor="text1"/>
          <w:kern w:val="0"/>
          <w:szCs w:val="21"/>
        </w:rPr>
        <w:t>、基金财产清算程序：</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1</w:t>
      </w:r>
      <w:r w:rsidRPr="00FD5C9F">
        <w:rPr>
          <w:rFonts w:asciiTheme="minorEastAsia" w:eastAsiaTheme="minorEastAsia" w:hAnsiTheme="minorEastAsia" w:hint="eastAsia"/>
          <w:color w:val="000000" w:themeColor="text1"/>
          <w:kern w:val="0"/>
          <w:szCs w:val="21"/>
        </w:rPr>
        <w:t>）《基金合同》终止情形出现时，由基金财产清算小组统一接管基金；</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2</w:t>
      </w:r>
      <w:r w:rsidRPr="00FD5C9F">
        <w:rPr>
          <w:rFonts w:asciiTheme="minorEastAsia" w:eastAsiaTheme="minorEastAsia" w:hAnsiTheme="minorEastAsia" w:hint="eastAsia"/>
          <w:color w:val="000000" w:themeColor="text1"/>
          <w:kern w:val="0"/>
          <w:szCs w:val="21"/>
        </w:rPr>
        <w:t>）对基金财产和债权债务进行清理和确认；</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3</w:t>
      </w:r>
      <w:r w:rsidRPr="00FD5C9F">
        <w:rPr>
          <w:rFonts w:asciiTheme="minorEastAsia" w:eastAsiaTheme="minorEastAsia" w:hAnsiTheme="minorEastAsia" w:hint="eastAsia"/>
          <w:color w:val="000000" w:themeColor="text1"/>
          <w:kern w:val="0"/>
          <w:szCs w:val="21"/>
        </w:rPr>
        <w:t>）对基金财产进行估值和变现；</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4</w:t>
      </w:r>
      <w:r w:rsidRPr="00FD5C9F">
        <w:rPr>
          <w:rFonts w:asciiTheme="minorEastAsia" w:eastAsiaTheme="minorEastAsia" w:hAnsiTheme="minorEastAsia" w:hint="eastAsia"/>
          <w:color w:val="000000" w:themeColor="text1"/>
          <w:kern w:val="0"/>
          <w:szCs w:val="21"/>
        </w:rPr>
        <w:t>）制作清算报告；</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5</w:t>
      </w:r>
      <w:r w:rsidRPr="00FD5C9F">
        <w:rPr>
          <w:rFonts w:asciiTheme="minorEastAsia" w:eastAsiaTheme="minorEastAsia" w:hAnsiTheme="minorEastAsia" w:hint="eastAsia"/>
          <w:color w:val="000000" w:themeColor="text1"/>
          <w:kern w:val="0"/>
          <w:szCs w:val="21"/>
        </w:rPr>
        <w:t>）聘请会计师事务所对清算报告进行外部审计，聘请律师事务所对清算报告出具法律意见书；</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6</w:t>
      </w:r>
      <w:r w:rsidRPr="00FD5C9F">
        <w:rPr>
          <w:rFonts w:asciiTheme="minorEastAsia" w:eastAsiaTheme="minorEastAsia" w:hAnsiTheme="minorEastAsia" w:hint="eastAsia"/>
          <w:color w:val="000000" w:themeColor="text1"/>
          <w:kern w:val="0"/>
          <w:szCs w:val="21"/>
        </w:rPr>
        <w:t>）将清算报告报中国证监会备案并公告；</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color w:val="000000" w:themeColor="text1"/>
          <w:kern w:val="0"/>
          <w:szCs w:val="21"/>
        </w:rPr>
        <w:t>7</w:t>
      </w:r>
      <w:r w:rsidRPr="00FD5C9F">
        <w:rPr>
          <w:rFonts w:asciiTheme="minorEastAsia" w:eastAsiaTheme="minorEastAsia" w:hAnsiTheme="minorEastAsia" w:hint="eastAsia"/>
          <w:color w:val="000000" w:themeColor="text1"/>
          <w:kern w:val="0"/>
          <w:szCs w:val="21"/>
        </w:rPr>
        <w:t>）对基金剩余财产进行分配。</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color w:val="000000" w:themeColor="text1"/>
          <w:kern w:val="0"/>
          <w:szCs w:val="21"/>
        </w:rPr>
        <w:t>5</w:t>
      </w:r>
      <w:r w:rsidRPr="00FD5C9F">
        <w:rPr>
          <w:rFonts w:asciiTheme="minorEastAsia" w:eastAsiaTheme="minorEastAsia" w:hAnsiTheme="minorEastAsia" w:hint="eastAsia"/>
          <w:color w:val="000000" w:themeColor="text1"/>
          <w:kern w:val="0"/>
          <w:szCs w:val="21"/>
        </w:rPr>
        <w:t>、基金财产清算的期限为6个月，但因本基金所持证券的流动性受到限制而不能及时变现的，清算期限相应顺延。</w:t>
      </w:r>
    </w:p>
    <w:p w:rsidR="00DD2F77" w:rsidRPr="00FD5C9F" w:rsidP="001B18A8">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（四）清算费用</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清算费用是指基金财产清算小组在进行基金清算过程中发生的所有合理费用，清算费用由基金财产清算小组优先从基金财产中支付。</w:t>
      </w:r>
    </w:p>
    <w:p w:rsidR="00DD2F77" w:rsidRPr="00FD5C9F" w:rsidP="001B18A8">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（五）基金财产清算剩余资产的分配</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DD2F77" w:rsidRPr="00FD5C9F" w:rsidP="001B18A8">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（六）基金财产清算的公告</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FD5C9F">
        <w:rPr>
          <w:rFonts w:asciiTheme="minorEastAsia" w:eastAsiaTheme="minorEastAsia" w:hAnsiTheme="minorEastAsia"/>
          <w:color w:val="000000" w:themeColor="text1"/>
          <w:kern w:val="0"/>
          <w:szCs w:val="21"/>
        </w:rPr>
        <w:t>5</w:t>
      </w:r>
      <w:r w:rsidRPr="00FD5C9F">
        <w:rPr>
          <w:rFonts w:asciiTheme="minorEastAsia" w:eastAsiaTheme="minorEastAsia" w:hAnsiTheme="minorEastAsia" w:hint="eastAsia"/>
          <w:color w:val="000000" w:themeColor="text1"/>
          <w:kern w:val="0"/>
          <w:szCs w:val="21"/>
        </w:rPr>
        <w:t>个工作日内由基金财产清算小组进行公告。</w:t>
      </w:r>
    </w:p>
    <w:p w:rsidR="00DD2F77" w:rsidRPr="00FD5C9F" w:rsidP="001B18A8">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（七）基金财产清算账册及文件的保存</w:t>
      </w:r>
    </w:p>
    <w:p w:rsidR="00DD2F77" w:rsidRPr="00FD5C9F" w:rsidP="001D7201">
      <w:pPr>
        <w:spacing w:line="360" w:lineRule="auto"/>
        <w:ind w:firstLine="420" w:firstLineChars="200"/>
        <w:rPr>
          <w:rFonts w:asciiTheme="minorEastAsia" w:eastAsiaTheme="minorEastAsia" w:hAnsiTheme="minorEastAsia"/>
          <w:color w:val="000000" w:themeColor="text1"/>
          <w:kern w:val="0"/>
          <w:szCs w:val="21"/>
        </w:rPr>
      </w:pPr>
      <w:r w:rsidRPr="00FD5C9F">
        <w:rPr>
          <w:rFonts w:asciiTheme="minorEastAsia" w:eastAsiaTheme="minorEastAsia" w:hAnsiTheme="minorEastAsia" w:hint="eastAsia"/>
          <w:color w:val="000000" w:themeColor="text1"/>
          <w:kern w:val="0"/>
          <w:szCs w:val="21"/>
        </w:rPr>
        <w:t>基金财产清算账册及有关文件由基金托管人保存</w:t>
      </w:r>
      <w:r w:rsidRPr="00FD5C9F">
        <w:rPr>
          <w:rFonts w:asciiTheme="minorEastAsia" w:eastAsiaTheme="minorEastAsia" w:hAnsiTheme="minorEastAsia"/>
          <w:color w:val="000000" w:themeColor="text1"/>
          <w:kern w:val="0"/>
          <w:szCs w:val="21"/>
        </w:rPr>
        <w:t>15</w:t>
      </w:r>
      <w:r w:rsidRPr="00FD5C9F">
        <w:rPr>
          <w:rFonts w:asciiTheme="minorEastAsia" w:eastAsiaTheme="minorEastAsia" w:hAnsiTheme="minorEastAsia" w:hint="eastAsia"/>
          <w:color w:val="000000" w:themeColor="text1"/>
          <w:kern w:val="0"/>
          <w:szCs w:val="21"/>
        </w:rPr>
        <w:t>年以上。</w:t>
      </w:r>
    </w:p>
    <w:bookmarkEnd w:id="99"/>
    <w:p w:rsidR="00CA57BD" w:rsidRPr="00FD5C9F" w:rsidP="001D7201">
      <w:pPr>
        <w:spacing w:line="360" w:lineRule="auto"/>
        <w:ind w:firstLine="420" w:firstLineChars="200"/>
        <w:rPr>
          <w:rFonts w:asciiTheme="minorEastAsia" w:eastAsiaTheme="minorEastAsia" w:hAnsiTheme="minorEastAsia"/>
          <w:color w:val="000000" w:themeColor="text1"/>
          <w:kern w:val="0"/>
          <w:szCs w:val="21"/>
        </w:rPr>
      </w:pPr>
    </w:p>
    <w:p w:rsidR="00BA4B87" w:rsidRPr="00FD5C9F" w:rsidP="00BF50A2">
      <w:pPr>
        <w:spacing w:line="360" w:lineRule="auto"/>
        <w:ind w:firstLine="420" w:firstLineChars="200"/>
        <w:rPr>
          <w:rFonts w:asciiTheme="minorEastAsia" w:eastAsiaTheme="minorEastAsia" w:hAnsiTheme="minorEastAsia"/>
          <w:color w:val="000000" w:themeColor="text1"/>
          <w:kern w:val="0"/>
          <w:szCs w:val="21"/>
        </w:rPr>
      </w:pPr>
    </w:p>
    <w:p w:rsidR="00BA4B87" w:rsidRPr="00FD5C9F" w:rsidP="009A5A64">
      <w:pPr>
        <w:pStyle w:val="Heading1"/>
        <w:spacing w:before="317" w:after="317" w:line="360" w:lineRule="auto"/>
        <w:ind w:firstLine="600"/>
        <w:rPr>
          <w:rFonts w:asciiTheme="minorEastAsia" w:eastAsiaTheme="minorEastAsia" w:hAnsiTheme="minorEastAsia"/>
          <w:color w:val="000000" w:themeColor="text1"/>
          <w:kern w:val="44"/>
          <w:sz w:val="28"/>
          <w:szCs w:val="44"/>
        </w:rPr>
      </w:pPr>
      <w:r w:rsidRPr="00FD5C9F">
        <w:rPr>
          <w:rFonts w:asciiTheme="minorEastAsia" w:eastAsiaTheme="minorEastAsia" w:hAnsiTheme="minorEastAsia" w:hint="eastAsia"/>
          <w:color w:val="000000" w:themeColor="text1"/>
          <w:sz w:val="30"/>
        </w:rPr>
        <w:br w:type="column"/>
      </w:r>
      <w:bookmarkStart w:id="100" w:name="_Toc134547859"/>
      <w:r w:rsidRPr="00FD5C9F">
        <w:rPr>
          <w:rFonts w:asciiTheme="minorEastAsia" w:eastAsiaTheme="minorEastAsia" w:hAnsiTheme="minorEastAsia" w:hint="eastAsia"/>
          <w:color w:val="000000" w:themeColor="text1"/>
          <w:sz w:val="30"/>
        </w:rPr>
        <w:t>二</w:t>
      </w:r>
      <w:bookmarkStart w:id="101" w:name="_Toc332373588"/>
      <w:r w:rsidRPr="00FD5C9F">
        <w:rPr>
          <w:rFonts w:asciiTheme="minorEastAsia" w:eastAsiaTheme="minorEastAsia" w:hAnsiTheme="minorEastAsia" w:hint="eastAsia"/>
          <w:color w:val="000000" w:themeColor="text1"/>
          <w:sz w:val="30"/>
        </w:rPr>
        <w:t>十</w:t>
      </w:r>
      <w:r w:rsidRPr="00FD5C9F" w:rsidR="00DD2F77">
        <w:rPr>
          <w:rFonts w:asciiTheme="minorEastAsia" w:eastAsiaTheme="minorEastAsia" w:hAnsiTheme="minorEastAsia" w:hint="eastAsia"/>
          <w:color w:val="000000" w:themeColor="text1"/>
          <w:sz w:val="30"/>
        </w:rPr>
        <w:t>一</w:t>
      </w:r>
      <w:r w:rsidRPr="00FD5C9F">
        <w:rPr>
          <w:rFonts w:asciiTheme="minorEastAsia" w:eastAsiaTheme="minorEastAsia" w:hAnsiTheme="minorEastAsia" w:hint="eastAsia"/>
          <w:color w:val="000000" w:themeColor="text1"/>
          <w:sz w:val="30"/>
        </w:rPr>
        <w:t>、基金合同的内容摘要</w:t>
      </w:r>
      <w:bookmarkEnd w:id="100"/>
    </w:p>
    <w:p w:rsidR="001E17D8"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bookmarkStart w:id="102" w:name="_Toc516750717"/>
      <w:bookmarkEnd w:id="101"/>
      <w:r w:rsidRPr="00FD5C9F">
        <w:rPr>
          <w:rFonts w:asciiTheme="minorEastAsia" w:eastAsiaTheme="minorEastAsia" w:hAnsiTheme="minorEastAsia" w:cs="宋体" w:hint="eastAsia"/>
          <w:color w:val="000000" w:themeColor="text1"/>
          <w:kern w:val="0"/>
          <w:szCs w:val="21"/>
        </w:rPr>
        <w:t>一、基金份额持有人、基金管理人和基金托管人的权利、义务</w:t>
      </w:r>
      <w:bookmarkEnd w:id="102"/>
    </w:p>
    <w:p w:rsidR="001E17D8"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（一）基金份额持有人的权利、义务</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03" w:name="_Hlt88825574"/>
      <w:bookmarkEnd w:id="103"/>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、根据《基金法》、《运作办法》及其他有关规定，基金份额持有人的权利包括但不限于：</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）分享基金财产收益；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）参与分配清算后的剩余基金财产；</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）依法转让或者申请赎回其持有的基金份额；</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）按照规定要求召开基金份额持有人大会或者召集基金份额持有人大会；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）出席或者委派代表出席基金份额持有人大会，对基金份额持有人大会审议事项行使表决权；</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）查阅或者复制公开披露的基金信息资料；</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）监督基金管理人的投资运作；</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8</w:t>
      </w:r>
      <w:r w:rsidRPr="00FD5C9F">
        <w:rPr>
          <w:rFonts w:asciiTheme="minorEastAsia" w:eastAsiaTheme="minorEastAsia" w:hAnsiTheme="minorEastAsia" w:cs="宋体" w:hint="eastAsia"/>
          <w:color w:val="000000" w:themeColor="text1"/>
          <w:kern w:val="0"/>
          <w:szCs w:val="21"/>
        </w:rPr>
        <w:t>）对基金管理人、基金托管人、基金服务机构损害其合法权益的行为依法提起诉讼或仲裁；</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9</w:t>
      </w:r>
      <w:r w:rsidRPr="00FD5C9F">
        <w:rPr>
          <w:rFonts w:asciiTheme="minorEastAsia" w:eastAsiaTheme="minorEastAsia" w:hAnsiTheme="minorEastAsia" w:cs="宋体" w:hint="eastAsia"/>
          <w:color w:val="000000" w:themeColor="text1"/>
          <w:kern w:val="0"/>
          <w:szCs w:val="21"/>
        </w:rPr>
        <w:t>）法律法规及中国证监会规定的和《基金合同》约定的其他权利。</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、根据《基金法》、《运作办法》及其他有关规定，基金份额持有人的义务包括但不限于：</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）认真阅读并遵守《基金合同</w:t>
      </w:r>
      <w:r w:rsidRPr="00FD5C9F">
        <w:rPr>
          <w:rFonts w:asciiTheme="minorEastAsia" w:eastAsiaTheme="minorEastAsia" w:hAnsiTheme="minorEastAsia" w:cs="宋体"/>
          <w:color w:val="000000" w:themeColor="text1"/>
          <w:kern w:val="0"/>
          <w:szCs w:val="21"/>
        </w:rPr>
        <w:t>》</w:t>
      </w:r>
      <w:r w:rsidRPr="00FD5C9F">
        <w:rPr>
          <w:rFonts w:asciiTheme="minorEastAsia" w:eastAsiaTheme="minorEastAsia" w:hAnsiTheme="minorEastAsia" w:cs="宋体" w:hint="eastAsia"/>
          <w:color w:val="000000" w:themeColor="text1"/>
          <w:kern w:val="0"/>
          <w:szCs w:val="21"/>
        </w:rPr>
        <w:t>、招募说明书等信息</w:t>
      </w:r>
      <w:r w:rsidRPr="00FD5C9F">
        <w:rPr>
          <w:rFonts w:asciiTheme="minorEastAsia" w:eastAsiaTheme="minorEastAsia" w:hAnsiTheme="minorEastAsia" w:cs="宋体"/>
          <w:color w:val="000000" w:themeColor="text1"/>
          <w:kern w:val="0"/>
          <w:szCs w:val="21"/>
        </w:rPr>
        <w:t>披露</w:t>
      </w:r>
      <w:r w:rsidRPr="00FD5C9F">
        <w:rPr>
          <w:rFonts w:asciiTheme="minorEastAsia" w:eastAsiaTheme="minorEastAsia" w:hAnsiTheme="minorEastAsia" w:cs="宋体" w:hint="eastAsia"/>
          <w:color w:val="000000" w:themeColor="text1"/>
          <w:kern w:val="0"/>
          <w:szCs w:val="21"/>
        </w:rPr>
        <w:t>文件</w:t>
      </w:r>
      <w:r w:rsidRPr="00FD5C9F">
        <w:rPr>
          <w:rFonts w:asciiTheme="minorEastAsia" w:eastAsiaTheme="minorEastAsia" w:hAnsiTheme="minorEastAsia" w:cs="宋体"/>
          <w:color w:val="000000" w:themeColor="text1"/>
          <w:kern w:val="0"/>
          <w:szCs w:val="21"/>
        </w:rPr>
        <w:t>；</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）了解所投资基金产品，了解自身风险承受能力，自主判断基金的投资价值，自主做出投资决策，自行承担投资风险；</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）关注基金信息披露，及时行使权利和履行义务；</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）交纳基金认购、申购款项及法律法规和《基金合同》所规定的费用；</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）在其持有的基金份额范围内，承担基金亏损或者《基金合同》终止的有限责任；</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）不从事任何有损基金及其他《基金合同》当事人合法权益的活动；</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）执行生效的基金份额持有人大会的决定；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8</w:t>
      </w:r>
      <w:r w:rsidRPr="00FD5C9F">
        <w:rPr>
          <w:rFonts w:asciiTheme="minorEastAsia" w:eastAsiaTheme="minorEastAsia" w:hAnsiTheme="minorEastAsia" w:cs="宋体" w:hint="eastAsia"/>
          <w:color w:val="000000" w:themeColor="text1"/>
          <w:kern w:val="0"/>
          <w:szCs w:val="21"/>
        </w:rPr>
        <w:t>）返还在基金交易过程中因任何原因获得的不当得利；</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9</w:t>
      </w:r>
      <w:r w:rsidRPr="00FD5C9F">
        <w:rPr>
          <w:rFonts w:asciiTheme="minorEastAsia" w:eastAsiaTheme="minorEastAsia" w:hAnsiTheme="minorEastAsia" w:cs="宋体" w:hint="eastAsia"/>
          <w:color w:val="000000" w:themeColor="text1"/>
          <w:kern w:val="0"/>
          <w:szCs w:val="21"/>
        </w:rPr>
        <w:t>）法律法规及中国证监会规定的和《基金合同》约定的其他义务。</w:t>
      </w:r>
    </w:p>
    <w:p w:rsidR="001E17D8" w:rsidRPr="00FD5C9F" w:rsidP="00557590">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（二）基金管理人的权利与义务</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04" w:name="_Hlt88897298"/>
      <w:bookmarkEnd w:id="104"/>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、根据《基金法》、《运作办法》及其他有关规定，基金管理人的权利包括但不限于：</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）依法募集资金；</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）自《基金合同》生效之日起，根据法律法规和《基金合同》独立运用并管理基金财产；</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）依照《基金合同》收取基金管理费以及法律法规规定或中国证监会批准的其他费用；</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）销售基金份额；</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w:t>
      </w:r>
      <w:bookmarkStart w:id="105" w:name="_Hlt88896155"/>
      <w:r w:rsidRPr="00FD5C9F">
        <w:rPr>
          <w:rFonts w:asciiTheme="minorEastAsia" w:eastAsiaTheme="minorEastAsia" w:hAnsiTheme="minorEastAsia" w:cs="宋体" w:hint="eastAsia"/>
          <w:color w:val="000000" w:themeColor="text1"/>
          <w:kern w:val="0"/>
          <w:szCs w:val="21"/>
        </w:rPr>
        <w:t>按照规定召集</w:t>
      </w:r>
      <w:bookmarkEnd w:id="105"/>
      <w:r w:rsidRPr="00FD5C9F">
        <w:rPr>
          <w:rFonts w:asciiTheme="minorEastAsia" w:eastAsiaTheme="minorEastAsia" w:hAnsiTheme="minorEastAsia" w:cs="宋体" w:hint="eastAsia"/>
          <w:color w:val="000000" w:themeColor="text1"/>
          <w:kern w:val="0"/>
          <w:szCs w:val="21"/>
        </w:rPr>
        <w:t>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）依据《基金合同》及有关法律规定监督基金托管人，如认为基金托管人违反了《基金合同》及国家有关法律规定，应呈报中国证监会和其他监管部门，并采取必要措施保护基金投资者的利益；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）在基金托管人更换时，提名新的基金托管人；</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8</w:t>
      </w:r>
      <w:r w:rsidRPr="00FD5C9F">
        <w:rPr>
          <w:rFonts w:asciiTheme="minorEastAsia" w:eastAsiaTheme="minorEastAsia" w:hAnsiTheme="minorEastAsia" w:cs="宋体" w:hint="eastAsia"/>
          <w:color w:val="000000" w:themeColor="text1"/>
          <w:kern w:val="0"/>
          <w:szCs w:val="21"/>
        </w:rPr>
        <w:t>）选择、更换基金销售机构，对基金销售机构的相关行为进行监督和处理；</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9</w:t>
      </w:r>
      <w:r w:rsidRPr="00FD5C9F">
        <w:rPr>
          <w:rFonts w:asciiTheme="minorEastAsia" w:eastAsiaTheme="minorEastAsia" w:hAnsiTheme="minorEastAsia" w:cs="宋体" w:hint="eastAsia"/>
          <w:color w:val="000000" w:themeColor="text1"/>
          <w:kern w:val="0"/>
          <w:szCs w:val="21"/>
        </w:rPr>
        <w:t>）担任或委托其他符合条件的机构担任基金登记机构办理基金登记业务并获得《基金合同》规定的费用；</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）依据《基金合同》及有关法律规定决定基金收益的分配方案；</w:t>
      </w:r>
      <w:r w:rsidRPr="00FD5C9F">
        <w:rPr>
          <w:rFonts w:asciiTheme="minorEastAsia" w:eastAsiaTheme="minorEastAsia" w:hAnsiTheme="minorEastAsia" w:cs="宋体"/>
          <w:color w:val="000000" w:themeColor="text1"/>
          <w:kern w:val="0"/>
          <w:szCs w:val="21"/>
        </w:rPr>
        <w:tab/>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11</w:t>
      </w:r>
      <w:r w:rsidRPr="00FD5C9F">
        <w:rPr>
          <w:rFonts w:asciiTheme="minorEastAsia" w:eastAsiaTheme="minorEastAsia" w:hAnsiTheme="minorEastAsia" w:cs="宋体" w:hint="eastAsia"/>
          <w:color w:val="000000" w:themeColor="text1"/>
          <w:kern w:val="0"/>
          <w:szCs w:val="21"/>
        </w:rPr>
        <w:t>）在《基金合同》约定的范围内，拒绝或暂停受理申购、赎回及转换申请；</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12</w:t>
      </w:r>
      <w:r w:rsidRPr="00FD5C9F">
        <w:rPr>
          <w:rFonts w:asciiTheme="minorEastAsia" w:eastAsiaTheme="minorEastAsia" w:hAnsiTheme="minorEastAsia" w:cs="宋体" w:hint="eastAsia"/>
          <w:color w:val="000000" w:themeColor="text1"/>
          <w:kern w:val="0"/>
          <w:szCs w:val="21"/>
        </w:rPr>
        <w:t>）依照法律法规为基金的利益对被投资公司行使股东权利，为基金的利益行使因基金财产投资于证券所产生的权利；</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（1</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）在法律法规允许的前提下，为基金的利益依法为基金进行融资；</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14</w:t>
      </w:r>
      <w:r w:rsidRPr="00FD5C9F">
        <w:rPr>
          <w:rFonts w:asciiTheme="minorEastAsia" w:eastAsiaTheme="minorEastAsia" w:hAnsiTheme="minorEastAsia" w:cs="宋体" w:hint="eastAsia"/>
          <w:color w:val="000000" w:themeColor="text1"/>
          <w:kern w:val="0"/>
          <w:szCs w:val="21"/>
        </w:rPr>
        <w:t>）以基金管理人的名义，代表基金份额持有人的利益行使诉讼权利或者实施其他法律行为；</w:t>
      </w:r>
      <w:r w:rsidRPr="00FD5C9F">
        <w:rPr>
          <w:rFonts w:asciiTheme="minorEastAsia" w:eastAsiaTheme="minorEastAsia" w:hAnsiTheme="minorEastAsia" w:cs="宋体"/>
          <w:color w:val="000000" w:themeColor="text1"/>
          <w:kern w:val="0"/>
          <w:szCs w:val="21"/>
        </w:rPr>
        <w:tab/>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15</w:t>
      </w:r>
      <w:r w:rsidRPr="00FD5C9F">
        <w:rPr>
          <w:rFonts w:asciiTheme="minorEastAsia" w:eastAsiaTheme="minorEastAsia" w:hAnsiTheme="minorEastAsia" w:cs="宋体" w:hint="eastAsia"/>
          <w:color w:val="000000" w:themeColor="text1"/>
          <w:kern w:val="0"/>
          <w:szCs w:val="21"/>
        </w:rPr>
        <w:t>）选择、更换律师事务所、会计师事务所、证券经纪商或其他为基金提供服务的外部机构；</w:t>
      </w:r>
      <w:r w:rsidRPr="00FD5C9F">
        <w:rPr>
          <w:rFonts w:asciiTheme="minorEastAsia" w:eastAsiaTheme="minorEastAsia" w:hAnsiTheme="minorEastAsia" w:cs="宋体"/>
          <w:color w:val="000000" w:themeColor="text1"/>
          <w:kern w:val="0"/>
          <w:szCs w:val="21"/>
        </w:rPr>
        <w:tab/>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16</w:t>
      </w:r>
      <w:r w:rsidRPr="00FD5C9F">
        <w:rPr>
          <w:rFonts w:asciiTheme="minorEastAsia" w:eastAsiaTheme="minorEastAsia" w:hAnsiTheme="minorEastAsia" w:cs="宋体" w:hint="eastAsia"/>
          <w:color w:val="000000" w:themeColor="text1"/>
          <w:kern w:val="0"/>
          <w:szCs w:val="21"/>
        </w:rPr>
        <w:t>）在符合有关法律、法规的前提下，制订和调整有关基金认购、申购、赎回、转换、非交易过户、转托管和收益分配等的业务规则；</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（17）在不违反法律法规和监管规定且对基金份额持有人利益无实质不利影响的前提下，为支付本基金应付的赎回、交易清算等款项，基金管理人有权代表基金份额持有人以基金资产作为质押进行融资；</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（18</w:t>
      </w:r>
      <w:r w:rsidRPr="00FD5C9F">
        <w:rPr>
          <w:rFonts w:asciiTheme="minorEastAsia" w:eastAsiaTheme="minorEastAsia" w:hAnsiTheme="minorEastAsia" w:cs="宋体" w:hint="eastAsia"/>
          <w:color w:val="000000" w:themeColor="text1"/>
          <w:kern w:val="0"/>
          <w:szCs w:val="21"/>
        </w:rPr>
        <w:t>）法律法规及中国证监会规定的和《基金合同》约定的其他权利。</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、根据《基金法》、《运作办法》及其他有关规定，基金管理人的义务包括但不限于：</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）依法募集资金，办理或者委托经中国证监会认定的其他机构办理基金份额的发售、申购、赎回和登记事宜；</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）办理基金备案手续；</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）自《基金合同》生效之日起，以诚实信用、谨慎勤勉的原则管理和运用基金财产；</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）配备足够的具有专业资格的人员进行基金投资分析、决策，以专业化的经营方式管理和运作基金财产；</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）建立健全内部风险控制、监察与稽核、财务管理及人事管理等制度，保证所管理的基金财产和基金管理人的财产相互独立，对所管理的不同基金分别管理，分别记账，进行证券投资；</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）除依据《基金法》、《基金合同》及其他有关规定外，不得利用基金财产为自己及任何第三人谋取利益，不得委托第三人运作基金财产；</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）依法接受基金托管人的监督；</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8</w:t>
      </w:r>
      <w:r w:rsidRPr="00FD5C9F">
        <w:rPr>
          <w:rFonts w:asciiTheme="minorEastAsia" w:eastAsiaTheme="minorEastAsia" w:hAnsiTheme="minorEastAsia" w:cs="宋体" w:hint="eastAsia"/>
          <w:color w:val="000000" w:themeColor="text1"/>
          <w:kern w:val="0"/>
          <w:szCs w:val="21"/>
        </w:rPr>
        <w:t>）采取适当合理的措施使计算基金份额认购、申购、赎回和</w:t>
      </w:r>
      <w:r w:rsidRPr="00FD5C9F">
        <w:rPr>
          <w:rFonts w:asciiTheme="minorEastAsia" w:eastAsiaTheme="minorEastAsia" w:hAnsiTheme="minorEastAsia" w:cs="宋体"/>
          <w:color w:val="000000" w:themeColor="text1"/>
          <w:kern w:val="0"/>
          <w:szCs w:val="21"/>
        </w:rPr>
        <w:t>注销</w:t>
      </w:r>
      <w:r w:rsidRPr="00FD5C9F">
        <w:rPr>
          <w:rFonts w:asciiTheme="minorEastAsia" w:eastAsiaTheme="minorEastAsia" w:hAnsiTheme="minorEastAsia" w:cs="宋体" w:hint="eastAsia"/>
          <w:color w:val="000000" w:themeColor="text1"/>
          <w:kern w:val="0"/>
          <w:szCs w:val="21"/>
        </w:rPr>
        <w:t>价格的方法符合《基金合同》等法律文件的规定，按有关规定计算并公告基金净值信息，确定基金份额申购、赎回的价格；</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9</w:t>
      </w:r>
      <w:r w:rsidRPr="00FD5C9F">
        <w:rPr>
          <w:rFonts w:asciiTheme="minorEastAsia" w:eastAsiaTheme="minorEastAsia" w:hAnsiTheme="minorEastAsia" w:cs="宋体" w:hint="eastAsia"/>
          <w:color w:val="000000" w:themeColor="text1"/>
          <w:kern w:val="0"/>
          <w:szCs w:val="21"/>
        </w:rPr>
        <w:t>）进行基金会计核算并编制基金财务会计报告；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）编制季度报告、中期报告和年度报告；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11</w:t>
      </w:r>
      <w:r w:rsidRPr="00FD5C9F">
        <w:rPr>
          <w:rFonts w:asciiTheme="minorEastAsia" w:eastAsiaTheme="minorEastAsia" w:hAnsiTheme="minorEastAsia" w:cs="宋体" w:hint="eastAsia"/>
          <w:color w:val="000000" w:themeColor="text1"/>
          <w:kern w:val="0"/>
          <w:szCs w:val="21"/>
        </w:rPr>
        <w:t>）严格按照《基金法》、《基金合同》及其他有关规定，履行信息披露及报告义务；</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12</w:t>
      </w:r>
      <w:r w:rsidRPr="00FD5C9F">
        <w:rPr>
          <w:rFonts w:asciiTheme="minorEastAsia" w:eastAsiaTheme="minorEastAsia" w:hAnsiTheme="minorEastAsia" w:cs="宋体" w:hint="eastAsia"/>
          <w:color w:val="000000" w:themeColor="text1"/>
          <w:kern w:val="0"/>
          <w:szCs w:val="21"/>
        </w:rPr>
        <w:t>）保守基金商业秘密，不泄露基金投资计划、投资意向等。除《基金法》、《基金合同》及其他有关规定另有规定外，在基金信息公开披露前应予保密，不向他人泄露；</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13</w:t>
      </w:r>
      <w:r w:rsidRPr="00FD5C9F">
        <w:rPr>
          <w:rFonts w:asciiTheme="minorEastAsia" w:eastAsiaTheme="minorEastAsia" w:hAnsiTheme="minorEastAsia" w:cs="宋体" w:hint="eastAsia"/>
          <w:color w:val="000000" w:themeColor="text1"/>
          <w:kern w:val="0"/>
          <w:szCs w:val="21"/>
        </w:rPr>
        <w:t>）按《基金合同》的约定确定基金收益分配方案，及时向基金份额持有人分配基金收益；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14</w:t>
      </w:r>
      <w:r w:rsidRPr="00FD5C9F">
        <w:rPr>
          <w:rFonts w:asciiTheme="minorEastAsia" w:eastAsiaTheme="minorEastAsia" w:hAnsiTheme="minorEastAsia" w:cs="宋体" w:hint="eastAsia"/>
          <w:color w:val="000000" w:themeColor="text1"/>
          <w:kern w:val="0"/>
          <w:szCs w:val="21"/>
        </w:rPr>
        <w:t>）按规定受理申购与赎回申请，及时、足额支付赎回款项；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15</w:t>
      </w:r>
      <w:r w:rsidRPr="00FD5C9F">
        <w:rPr>
          <w:rFonts w:asciiTheme="minorEastAsia" w:eastAsiaTheme="minorEastAsia" w:hAnsiTheme="minorEastAsia" w:cs="宋体" w:hint="eastAsia"/>
          <w:color w:val="000000" w:themeColor="text1"/>
          <w:kern w:val="0"/>
          <w:szCs w:val="21"/>
        </w:rPr>
        <w:t>）依据《基金法》、《基金合同》及其他有关规定召集基金份额持有人大会或配合基金托管人、基金份额持有人依法召集基金份额持有人大会；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16</w:t>
      </w:r>
      <w:r w:rsidRPr="00FD5C9F">
        <w:rPr>
          <w:rFonts w:asciiTheme="minorEastAsia" w:eastAsiaTheme="minorEastAsia" w:hAnsiTheme="minorEastAsia" w:cs="宋体" w:hint="eastAsia"/>
          <w:color w:val="000000" w:themeColor="text1"/>
          <w:kern w:val="0"/>
          <w:szCs w:val="21"/>
        </w:rPr>
        <w:t>）按规定保存基金财产管理业务活动的会计账册、报表、记录和其他相关资料</w:t>
      </w:r>
      <w:r w:rsidRPr="00FD5C9F">
        <w:rPr>
          <w:rFonts w:asciiTheme="minorEastAsia" w:eastAsiaTheme="minorEastAsia" w:hAnsiTheme="minorEastAsia" w:cs="宋体"/>
          <w:color w:val="000000" w:themeColor="text1"/>
          <w:kern w:val="0"/>
          <w:szCs w:val="21"/>
        </w:rPr>
        <w:t>15</w:t>
      </w:r>
      <w:r w:rsidRPr="00FD5C9F">
        <w:rPr>
          <w:rFonts w:asciiTheme="minorEastAsia" w:eastAsiaTheme="minorEastAsia" w:hAnsiTheme="minorEastAsia" w:cs="宋体" w:hint="eastAsia"/>
          <w:color w:val="000000" w:themeColor="text1"/>
          <w:kern w:val="0"/>
          <w:szCs w:val="21"/>
        </w:rPr>
        <w:t>年以上；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17</w:t>
      </w:r>
      <w:r w:rsidRPr="00FD5C9F">
        <w:rPr>
          <w:rFonts w:asciiTheme="minorEastAsia" w:eastAsiaTheme="minorEastAsia" w:hAnsiTheme="minorEastAsia" w:cs="宋体" w:hint="eastAsia"/>
          <w:color w:val="000000" w:themeColor="text1"/>
          <w:kern w:val="0"/>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18</w:t>
      </w:r>
      <w:r w:rsidRPr="00FD5C9F">
        <w:rPr>
          <w:rFonts w:asciiTheme="minorEastAsia" w:eastAsiaTheme="minorEastAsia" w:hAnsiTheme="minorEastAsia" w:cs="宋体" w:hint="eastAsia"/>
          <w:color w:val="000000" w:themeColor="text1"/>
          <w:kern w:val="0"/>
          <w:szCs w:val="21"/>
        </w:rPr>
        <w:t>）组织并参加基金财产清算小组，参与基金财产的保管、清理、估价、变现和分配；</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19</w:t>
      </w:r>
      <w:r w:rsidRPr="00FD5C9F">
        <w:rPr>
          <w:rFonts w:asciiTheme="minorEastAsia" w:eastAsiaTheme="minorEastAsia" w:hAnsiTheme="minorEastAsia" w:cs="宋体" w:hint="eastAsia"/>
          <w:color w:val="000000" w:themeColor="text1"/>
          <w:kern w:val="0"/>
          <w:szCs w:val="21"/>
        </w:rPr>
        <w:t>）面临解散、依法被撤销或者被依法宣告破产时，及时报告中国证监会并通知基金托管人；</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20</w:t>
      </w:r>
      <w:r w:rsidRPr="00FD5C9F">
        <w:rPr>
          <w:rFonts w:asciiTheme="minorEastAsia" w:eastAsiaTheme="minorEastAsia" w:hAnsiTheme="minorEastAsia" w:cs="宋体" w:hint="eastAsia"/>
          <w:color w:val="000000" w:themeColor="text1"/>
          <w:kern w:val="0"/>
          <w:szCs w:val="21"/>
        </w:rPr>
        <w:t>）因违反《基金合同》导致基金财产的损失或损害基金份额持有人合法权益时，应当承担赔偿责任，其赔偿责任不因其退任而免除；</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21</w:t>
      </w:r>
      <w:r w:rsidRPr="00FD5C9F">
        <w:rPr>
          <w:rFonts w:asciiTheme="minorEastAsia" w:eastAsiaTheme="minorEastAsia" w:hAnsiTheme="minorEastAsia" w:cs="宋体" w:hint="eastAsia"/>
          <w:color w:val="000000" w:themeColor="text1"/>
          <w:kern w:val="0"/>
          <w:szCs w:val="21"/>
        </w:rPr>
        <w:t>）监督基金托管人按法律法规和《基金合同》规定履行自己的义务，基金托管人违反《基金合同》造成基金财产损失时，基金管理人应为基金份额持有人利益向基金托管人追偿；</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22</w:t>
      </w:r>
      <w:r w:rsidRPr="00FD5C9F">
        <w:rPr>
          <w:rFonts w:asciiTheme="minorEastAsia" w:eastAsiaTheme="minorEastAsia" w:hAnsiTheme="minorEastAsia" w:cs="宋体" w:hint="eastAsia"/>
          <w:color w:val="000000" w:themeColor="text1"/>
          <w:kern w:val="0"/>
          <w:szCs w:val="21"/>
        </w:rPr>
        <w:t>）当基金管理人将其义务委托第三方处理时，应当对第三方处理有关基金事务的行为承担责任；</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23</w:t>
      </w:r>
      <w:r w:rsidRPr="00FD5C9F">
        <w:rPr>
          <w:rFonts w:asciiTheme="minorEastAsia" w:eastAsiaTheme="minorEastAsia" w:hAnsiTheme="minorEastAsia" w:cs="宋体" w:hint="eastAsia"/>
          <w:color w:val="000000" w:themeColor="text1"/>
          <w:kern w:val="0"/>
          <w:szCs w:val="21"/>
        </w:rPr>
        <w:t>）以基金管理人名义，代表基金份额持有人利益行使诉讼权利或实施其他法律行为；</w:t>
      </w:r>
      <w:r w:rsidRPr="00FD5C9F">
        <w:rPr>
          <w:rFonts w:asciiTheme="minorEastAsia" w:eastAsiaTheme="minorEastAsia" w:hAnsiTheme="minorEastAsia" w:cs="宋体"/>
          <w:color w:val="000000" w:themeColor="text1"/>
          <w:kern w:val="0"/>
          <w:szCs w:val="21"/>
        </w:rPr>
        <w:tab/>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24</w:t>
      </w:r>
      <w:r w:rsidRPr="00FD5C9F">
        <w:rPr>
          <w:rFonts w:asciiTheme="minorEastAsia" w:eastAsiaTheme="minorEastAsia" w:hAnsiTheme="minorEastAsia" w:cs="宋体" w:hint="eastAsia"/>
          <w:color w:val="000000" w:themeColor="text1"/>
          <w:kern w:val="0"/>
          <w:szCs w:val="21"/>
        </w:rPr>
        <w:t>）基金管理人在募集期间未能达到基金</w:t>
      </w:r>
      <w:bookmarkStart w:id="106" w:name="_Hlt88823209"/>
      <w:bookmarkEnd w:id="106"/>
      <w:r w:rsidRPr="00FD5C9F">
        <w:rPr>
          <w:rFonts w:asciiTheme="minorEastAsia" w:eastAsiaTheme="minorEastAsia" w:hAnsiTheme="minorEastAsia" w:cs="宋体" w:hint="eastAsia"/>
          <w:color w:val="000000" w:themeColor="text1"/>
          <w:kern w:val="0"/>
          <w:szCs w:val="21"/>
        </w:rPr>
        <w:t>的备案条件，《基金合同》不能生效，基金管理人承担全部募集费用，将已募集资金并加计银行同期活期存款利息在基金募集期结束后</w:t>
      </w:r>
      <w:r w:rsidRPr="00FD5C9F">
        <w:rPr>
          <w:rFonts w:asciiTheme="minorEastAsia" w:eastAsiaTheme="minorEastAsia" w:hAnsiTheme="minorEastAsia" w:cs="宋体"/>
          <w:color w:val="000000" w:themeColor="text1"/>
          <w:kern w:val="0"/>
          <w:szCs w:val="21"/>
        </w:rPr>
        <w:t>30</w:t>
      </w:r>
      <w:r w:rsidRPr="00FD5C9F">
        <w:rPr>
          <w:rFonts w:asciiTheme="minorEastAsia" w:eastAsiaTheme="minorEastAsia" w:hAnsiTheme="minorEastAsia" w:cs="宋体" w:hint="eastAsia"/>
          <w:color w:val="000000" w:themeColor="text1"/>
          <w:kern w:val="0"/>
          <w:szCs w:val="21"/>
        </w:rPr>
        <w:t>日内退还基金认购人；</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25</w:t>
      </w:r>
      <w:r w:rsidRPr="00FD5C9F">
        <w:rPr>
          <w:rFonts w:asciiTheme="minorEastAsia" w:eastAsiaTheme="minorEastAsia" w:hAnsiTheme="minorEastAsia" w:cs="宋体" w:hint="eastAsia"/>
          <w:color w:val="000000" w:themeColor="text1"/>
          <w:kern w:val="0"/>
          <w:szCs w:val="21"/>
        </w:rPr>
        <w:t>）执行生效的基金份额持有人大会的决议；</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26</w:t>
      </w:r>
      <w:r w:rsidRPr="00FD5C9F">
        <w:rPr>
          <w:rFonts w:asciiTheme="minorEastAsia" w:eastAsiaTheme="minorEastAsia" w:hAnsiTheme="minorEastAsia" w:cs="宋体" w:hint="eastAsia"/>
          <w:color w:val="000000" w:themeColor="text1"/>
          <w:kern w:val="0"/>
          <w:szCs w:val="21"/>
        </w:rPr>
        <w:t>）建立并保存基金份额持有人名册；</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（27）法律法规及中国证监会规定的和《基金合同》约定的其他义务。</w:t>
      </w:r>
    </w:p>
    <w:p w:rsidR="001E17D8"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（三）基金托管人的权利与义务</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、根据《基金法》、《运作办法》及其他有关规定，基金托管人的权利包括但不限于：</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）自《基金合同》生效之日起，依法律法规和《基金合同》的规定安全保管基金财产；</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）依《基金合同》约定获得基金托管费以及法律法规规定或监管部门批准的其他费用；</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根据相关市场规则，为基金开设</w:t>
      </w:r>
      <w:r w:rsidRPr="00FD5C9F">
        <w:rPr>
          <w:rFonts w:asciiTheme="minorEastAsia" w:eastAsiaTheme="minorEastAsia" w:hAnsiTheme="minorEastAsia" w:cs="宋体" w:hint="eastAsia"/>
          <w:color w:val="000000" w:themeColor="text1"/>
          <w:kern w:val="0"/>
          <w:szCs w:val="21"/>
        </w:rPr>
        <w:t>资金账户、</w:t>
      </w:r>
      <w:r w:rsidRPr="00FD5C9F">
        <w:rPr>
          <w:rFonts w:asciiTheme="minorEastAsia" w:eastAsiaTheme="minorEastAsia" w:hAnsiTheme="minorEastAsia" w:cs="宋体"/>
          <w:color w:val="000000" w:themeColor="text1"/>
          <w:kern w:val="0"/>
          <w:szCs w:val="21"/>
        </w:rPr>
        <w:t>证券</w:t>
      </w:r>
      <w:r w:rsidRPr="00FD5C9F">
        <w:rPr>
          <w:rFonts w:asciiTheme="minorEastAsia" w:eastAsiaTheme="minorEastAsia" w:hAnsiTheme="minorEastAsia" w:cs="宋体" w:hint="eastAsia"/>
          <w:color w:val="000000" w:themeColor="text1"/>
          <w:kern w:val="0"/>
          <w:szCs w:val="21"/>
        </w:rPr>
        <w:t>账户等投资所需账户</w:t>
      </w:r>
      <w:r w:rsidRPr="00FD5C9F">
        <w:rPr>
          <w:rFonts w:asciiTheme="minorEastAsia" w:eastAsiaTheme="minorEastAsia" w:hAnsiTheme="minorEastAsia" w:cs="宋体"/>
          <w:color w:val="000000" w:themeColor="text1"/>
          <w:kern w:val="0"/>
          <w:szCs w:val="21"/>
        </w:rPr>
        <w:t>、为基金办理证券交易资金清算</w:t>
      </w:r>
      <w:r w:rsidRPr="00FD5C9F">
        <w:rPr>
          <w:rFonts w:asciiTheme="minorEastAsia" w:eastAsiaTheme="minorEastAsia" w:hAnsiTheme="minorEastAsia" w:cs="宋体" w:hint="eastAsia"/>
          <w:color w:val="000000" w:themeColor="text1"/>
          <w:kern w:val="0"/>
          <w:szCs w:val="21"/>
        </w:rPr>
        <w:t>；</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）提议召开或召集基金份额持有人大会；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（6）在基金管理人更换时，提名新的基金管理人；</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）法律法规及中国证监会规定的和《基金合同》约定的其他权利。</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、根据《基金法》、《运作办法》及其他有关规定，基金托管人的义务包括但不限于：</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）以诚实信用、勤勉尽责的原则持有并安全保管基金财产；</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）设立专门的基金托管部门，具有符合要求的营业场所，配备足够的、合格的熟悉基金托管业务的专职人员，负责基金财产托管事宜；</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）除依据《基金法》、《基金合同》及其他有关规定外，不得利用基金财产为自己及任何第三人谋取利益，不得委托第三人托管基金财产；</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）保管由基金管理人代表基金签订的与基金有关的重大合同及有关凭证；</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）按规定开设基金财产的资金账户和证券账户等投资所需账户，按照《基金合同》的约定，根据基金管理人的投资指令，及时办理清算、交割事宜；</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）保守基金商业秘密，除《基金法》、《基金合同》及其他有关规定另有规定外，在基金信息公开披露前予以保密，不得向他人泄露；</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8</w:t>
      </w:r>
      <w:r w:rsidRPr="00FD5C9F">
        <w:rPr>
          <w:rFonts w:asciiTheme="minorEastAsia" w:eastAsiaTheme="minorEastAsia" w:hAnsiTheme="minorEastAsia" w:cs="宋体" w:hint="eastAsia"/>
          <w:color w:val="000000" w:themeColor="text1"/>
          <w:kern w:val="0"/>
          <w:szCs w:val="21"/>
        </w:rPr>
        <w:t>）复核、审查基金管理人计算的基金资产净值、基金份额净值、基金份额申购、赎回价格；</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9</w:t>
      </w:r>
      <w:r w:rsidRPr="00FD5C9F">
        <w:rPr>
          <w:rFonts w:asciiTheme="minorEastAsia" w:eastAsiaTheme="minorEastAsia" w:hAnsiTheme="minorEastAsia" w:cs="宋体" w:hint="eastAsia"/>
          <w:color w:val="000000" w:themeColor="text1"/>
          <w:kern w:val="0"/>
          <w:szCs w:val="21"/>
        </w:rPr>
        <w:t>）办理与基金托管业务活动有关的信息披露事项；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11</w:t>
      </w:r>
      <w:r w:rsidRPr="00FD5C9F">
        <w:rPr>
          <w:rFonts w:asciiTheme="minorEastAsia" w:eastAsiaTheme="minorEastAsia" w:hAnsiTheme="minorEastAsia" w:cs="宋体" w:hint="eastAsia"/>
          <w:color w:val="000000" w:themeColor="text1"/>
          <w:kern w:val="0"/>
          <w:szCs w:val="21"/>
        </w:rPr>
        <w:t>）保存基金托管业务活动的记录、账册、报表和其他相关资料</w:t>
      </w:r>
      <w:r w:rsidRPr="00FD5C9F">
        <w:rPr>
          <w:rFonts w:asciiTheme="minorEastAsia" w:eastAsiaTheme="minorEastAsia" w:hAnsiTheme="minorEastAsia" w:cs="宋体"/>
          <w:color w:val="000000" w:themeColor="text1"/>
          <w:kern w:val="0"/>
          <w:szCs w:val="21"/>
        </w:rPr>
        <w:t>15</w:t>
      </w:r>
      <w:r w:rsidRPr="00FD5C9F">
        <w:rPr>
          <w:rFonts w:asciiTheme="minorEastAsia" w:eastAsiaTheme="minorEastAsia" w:hAnsiTheme="minorEastAsia" w:cs="宋体" w:hint="eastAsia"/>
          <w:color w:val="000000" w:themeColor="text1"/>
          <w:kern w:val="0"/>
          <w:szCs w:val="21"/>
        </w:rPr>
        <w:t>年以上；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12</w:t>
      </w: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保存基金份额持有人名册</w:t>
      </w:r>
      <w:r w:rsidRPr="00FD5C9F">
        <w:rPr>
          <w:rFonts w:asciiTheme="minorEastAsia" w:eastAsiaTheme="minorEastAsia" w:hAnsiTheme="minorEastAsia" w:cs="宋体" w:hint="eastAsia"/>
          <w:color w:val="000000" w:themeColor="text1"/>
          <w:kern w:val="0"/>
          <w:szCs w:val="21"/>
        </w:rPr>
        <w:t>；</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13</w:t>
      </w:r>
      <w:r w:rsidRPr="00FD5C9F">
        <w:rPr>
          <w:rFonts w:asciiTheme="minorEastAsia" w:eastAsiaTheme="minorEastAsia" w:hAnsiTheme="minorEastAsia" w:cs="宋体" w:hint="eastAsia"/>
          <w:color w:val="000000" w:themeColor="text1"/>
          <w:kern w:val="0"/>
          <w:szCs w:val="21"/>
        </w:rPr>
        <w:t>）按规定制作相关账册并与基金管理人核对；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14</w:t>
      </w:r>
      <w:r w:rsidRPr="00FD5C9F">
        <w:rPr>
          <w:rFonts w:asciiTheme="minorEastAsia" w:eastAsiaTheme="minorEastAsia" w:hAnsiTheme="minorEastAsia" w:cs="宋体" w:hint="eastAsia"/>
          <w:color w:val="000000" w:themeColor="text1"/>
          <w:kern w:val="0"/>
          <w:szCs w:val="21"/>
        </w:rPr>
        <w:t>）依据基金管理人的指令或有关规定向基金份额持有人支付基金收益和赎回款项；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15</w:t>
      </w:r>
      <w:r w:rsidRPr="00FD5C9F">
        <w:rPr>
          <w:rFonts w:asciiTheme="minorEastAsia" w:eastAsiaTheme="minorEastAsia" w:hAnsiTheme="minorEastAsia" w:cs="宋体" w:hint="eastAsia"/>
          <w:color w:val="000000" w:themeColor="text1"/>
          <w:kern w:val="0"/>
          <w:szCs w:val="21"/>
        </w:rPr>
        <w:t>）依据《基金法》、《基金合同》及其他有关规定，召集基金份额持有人大会或配合基金管理人、基金份额持有人依法召集基金份额持有人大会；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16</w:t>
      </w:r>
      <w:r w:rsidRPr="00FD5C9F">
        <w:rPr>
          <w:rFonts w:asciiTheme="minorEastAsia" w:eastAsiaTheme="minorEastAsia" w:hAnsiTheme="minorEastAsia" w:cs="宋体" w:hint="eastAsia"/>
          <w:color w:val="000000" w:themeColor="text1"/>
          <w:kern w:val="0"/>
          <w:szCs w:val="21"/>
        </w:rPr>
        <w:t>）按照法律法规和《基金合同》的规定监督基金管理人的投资运作；</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17</w:t>
      </w:r>
      <w:r w:rsidRPr="00FD5C9F">
        <w:rPr>
          <w:rFonts w:asciiTheme="minorEastAsia" w:eastAsiaTheme="minorEastAsia" w:hAnsiTheme="minorEastAsia" w:cs="宋体" w:hint="eastAsia"/>
          <w:color w:val="000000" w:themeColor="text1"/>
          <w:kern w:val="0"/>
          <w:szCs w:val="21"/>
        </w:rPr>
        <w:t>）参加基金财产清算小组，参与基金财产的保管、清理、估价、变现和分配；</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18</w:t>
      </w:r>
      <w:r w:rsidRPr="00FD5C9F">
        <w:rPr>
          <w:rFonts w:asciiTheme="minorEastAsia" w:eastAsiaTheme="minorEastAsia" w:hAnsiTheme="minorEastAsia" w:cs="宋体" w:hint="eastAsia"/>
          <w:color w:val="000000" w:themeColor="text1"/>
          <w:kern w:val="0"/>
          <w:szCs w:val="21"/>
        </w:rPr>
        <w:t>）面临解散、依法被撤销或者被依法宣告破产时，及时报告中国证监会和银行监管机构，并通知基金管理人；</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19</w:t>
      </w:r>
      <w:r w:rsidRPr="00FD5C9F">
        <w:rPr>
          <w:rFonts w:asciiTheme="minorEastAsia" w:eastAsiaTheme="minorEastAsia" w:hAnsiTheme="minorEastAsia" w:cs="宋体" w:hint="eastAsia"/>
          <w:color w:val="000000" w:themeColor="text1"/>
          <w:kern w:val="0"/>
          <w:szCs w:val="21"/>
        </w:rPr>
        <w:t>）因违反《基金合同》导致基金财产损失时，</w:t>
      </w:r>
      <w:r w:rsidRPr="00FD5C9F">
        <w:rPr>
          <w:rFonts w:asciiTheme="minorEastAsia" w:eastAsiaTheme="minorEastAsia" w:hAnsiTheme="minorEastAsia" w:cs="宋体"/>
          <w:color w:val="000000" w:themeColor="text1"/>
          <w:kern w:val="0"/>
          <w:szCs w:val="21"/>
        </w:rPr>
        <w:t>应承担赔偿责任</w:t>
      </w:r>
      <w:r w:rsidRPr="00FD5C9F">
        <w:rPr>
          <w:rFonts w:asciiTheme="minorEastAsia" w:eastAsiaTheme="minorEastAsia" w:hAnsiTheme="minorEastAsia" w:cs="宋体" w:hint="eastAsia"/>
          <w:color w:val="000000" w:themeColor="text1"/>
          <w:kern w:val="0"/>
          <w:szCs w:val="21"/>
        </w:rPr>
        <w:t>，其赔偿责任不因其退任而免除；</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20</w:t>
      </w:r>
      <w:r w:rsidRPr="00FD5C9F">
        <w:rPr>
          <w:rFonts w:asciiTheme="minorEastAsia" w:eastAsiaTheme="minorEastAsia" w:hAnsiTheme="minorEastAsia" w:cs="宋体" w:hint="eastAsia"/>
          <w:color w:val="000000" w:themeColor="text1"/>
          <w:kern w:val="0"/>
          <w:szCs w:val="21"/>
        </w:rPr>
        <w:t>）按规定监督基金管理人按法律法规和《基金合同》规定履行自己的义务，基金管理人因违反《基金合同》造成基金财产损失时，应为基金份额持有人利益向基金管理人追偿</w:t>
      </w:r>
      <w:bookmarkStart w:id="107" w:name="_Hlt88825668"/>
      <w:bookmarkEnd w:id="107"/>
      <w:r w:rsidRPr="00FD5C9F">
        <w:rPr>
          <w:rFonts w:asciiTheme="minorEastAsia" w:eastAsiaTheme="minorEastAsia" w:hAnsiTheme="minorEastAsia" w:cs="宋体" w:hint="eastAsia"/>
          <w:color w:val="000000" w:themeColor="text1"/>
          <w:kern w:val="0"/>
          <w:szCs w:val="21"/>
        </w:rPr>
        <w:t>；</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21</w:t>
      </w:r>
      <w:r w:rsidRPr="00FD5C9F">
        <w:rPr>
          <w:rFonts w:asciiTheme="minorEastAsia" w:eastAsiaTheme="minorEastAsia" w:hAnsiTheme="minorEastAsia" w:cs="宋体" w:hint="eastAsia"/>
          <w:color w:val="000000" w:themeColor="text1"/>
          <w:kern w:val="0"/>
          <w:szCs w:val="21"/>
        </w:rPr>
        <w:t>）执行生效的基金份额持有人大会的决定；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2</w:t>
      </w:r>
      <w:r w:rsidRPr="00FD5C9F">
        <w:rPr>
          <w:rFonts w:asciiTheme="minorEastAsia" w:eastAsiaTheme="minorEastAsia" w:hAnsiTheme="minorEastAsia" w:cs="宋体"/>
          <w:color w:val="000000" w:themeColor="text1"/>
          <w:kern w:val="0"/>
          <w:szCs w:val="21"/>
        </w:rPr>
        <w:t>）</w:t>
      </w:r>
      <w:bookmarkStart w:id="108" w:name="_Toc523711670"/>
      <w:r w:rsidRPr="00FD5C9F">
        <w:rPr>
          <w:rFonts w:asciiTheme="minorEastAsia" w:eastAsiaTheme="minorEastAsia" w:hAnsiTheme="minorEastAsia" w:cs="宋体"/>
          <w:color w:val="000000" w:themeColor="text1"/>
          <w:kern w:val="0"/>
          <w:szCs w:val="21"/>
        </w:rPr>
        <w:t>法律法规及中国证监会规定的和《基金合同》约定的其他义务。</w:t>
      </w:r>
    </w:p>
    <w:bookmarkEnd w:id="108"/>
    <w:p w:rsidR="002E3CE7"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p>
    <w:p w:rsidR="001E17D8"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bookmarkStart w:id="109" w:name="_Toc516750718"/>
      <w:r w:rsidRPr="00FD5C9F">
        <w:rPr>
          <w:rFonts w:asciiTheme="minorEastAsia" w:eastAsiaTheme="minorEastAsia" w:hAnsiTheme="minorEastAsia" w:cs="宋体" w:hint="eastAsia"/>
          <w:color w:val="000000" w:themeColor="text1"/>
          <w:kern w:val="0"/>
          <w:szCs w:val="21"/>
        </w:rPr>
        <w:t>二、基金份额持有人大会召集、议事及表决的程序和规则</w:t>
      </w:r>
      <w:bookmarkEnd w:id="109"/>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基金份额持有人大会由基金份额持有人组成，基金份额持有人的合法授权代表有权代表基金份额持有人出席会议并表决。基金份额持有人持有的每一基金份额拥有平等的投票权。</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本基金份额持有人大会不设日常机构。</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10" w:name="_Toc15641220"/>
      <w:bookmarkStart w:id="111" w:name="_Toc57530243"/>
      <w:bookmarkStart w:id="112" w:name="_Toc79392584"/>
      <w:r w:rsidRPr="00FD5C9F">
        <w:rPr>
          <w:rFonts w:asciiTheme="minorEastAsia" w:eastAsiaTheme="minorEastAsia" w:hAnsiTheme="minorEastAsia" w:cs="宋体" w:hint="eastAsia"/>
          <w:color w:val="000000" w:themeColor="text1"/>
          <w:kern w:val="0"/>
          <w:szCs w:val="21"/>
        </w:rPr>
        <w:t>（一）召开事由</w:t>
      </w:r>
      <w:bookmarkEnd w:id="110"/>
      <w:bookmarkEnd w:id="111"/>
      <w:bookmarkEnd w:id="112"/>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、除法律法规、中国证监会和</w:t>
      </w:r>
      <w:r w:rsidRPr="00FD5C9F">
        <w:rPr>
          <w:rFonts w:asciiTheme="minorEastAsia" w:eastAsiaTheme="minorEastAsia" w:hAnsiTheme="minorEastAsia" w:cs="宋体"/>
          <w:color w:val="000000" w:themeColor="text1"/>
          <w:kern w:val="0"/>
          <w:szCs w:val="21"/>
        </w:rPr>
        <w:t>基金合同</w:t>
      </w:r>
      <w:r w:rsidRPr="00FD5C9F">
        <w:rPr>
          <w:rFonts w:asciiTheme="minorEastAsia" w:eastAsiaTheme="minorEastAsia" w:hAnsiTheme="minorEastAsia" w:cs="宋体" w:hint="eastAsia"/>
          <w:color w:val="000000" w:themeColor="text1"/>
          <w:kern w:val="0"/>
          <w:szCs w:val="21"/>
        </w:rPr>
        <w:t>另有规定外，当出现或需要决定下列事由之一的，应当召开基金份额持有人大会：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）终止《基金合同》；</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）更换基金管理人；</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）更换基金托管人；</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）转换基金运作方式；</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）调整基金管理人、基金托管人的报酬标准；</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）变更基金类别；</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）本基金与其他基金的合并；</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8</w:t>
      </w:r>
      <w:r w:rsidRPr="00FD5C9F">
        <w:rPr>
          <w:rFonts w:asciiTheme="minorEastAsia" w:eastAsiaTheme="minorEastAsia" w:hAnsiTheme="minorEastAsia" w:cs="宋体" w:hint="eastAsia"/>
          <w:color w:val="000000" w:themeColor="text1"/>
          <w:kern w:val="0"/>
          <w:szCs w:val="21"/>
        </w:rPr>
        <w:t>）变更基金投资目标、范围或策略；</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9</w:t>
      </w:r>
      <w:r w:rsidRPr="00FD5C9F">
        <w:rPr>
          <w:rFonts w:asciiTheme="minorEastAsia" w:eastAsiaTheme="minorEastAsia" w:hAnsiTheme="minorEastAsia" w:cs="宋体" w:hint="eastAsia"/>
          <w:color w:val="000000" w:themeColor="text1"/>
          <w:kern w:val="0"/>
          <w:szCs w:val="21"/>
        </w:rPr>
        <w:t>）变更基金份额持有人大会程序；</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）基金管理人或基金托管人要求召开基金份额持有人大会；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11</w:t>
      </w:r>
      <w:r w:rsidRPr="00FD5C9F">
        <w:rPr>
          <w:rFonts w:asciiTheme="minorEastAsia" w:eastAsiaTheme="minorEastAsia" w:hAnsiTheme="minorEastAsia" w:cs="宋体" w:hint="eastAsia"/>
          <w:color w:val="000000" w:themeColor="text1"/>
          <w:kern w:val="0"/>
          <w:szCs w:val="21"/>
        </w:rPr>
        <w:t>）单独或合计持有本基金总份额</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以上（含</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）基金份额的基金份额持有人（以基金管理人收到提议当日的基金份额计算，下同）就同一事项书面要求召开基金份额持有人大会；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12</w:t>
      </w:r>
      <w:r w:rsidRPr="00FD5C9F">
        <w:rPr>
          <w:rFonts w:asciiTheme="minorEastAsia" w:eastAsiaTheme="minorEastAsia" w:hAnsiTheme="minorEastAsia" w:cs="宋体" w:hint="eastAsia"/>
          <w:color w:val="000000" w:themeColor="text1"/>
          <w:kern w:val="0"/>
          <w:szCs w:val="21"/>
        </w:rPr>
        <w:t>）对基金当事人权利和义务产生重大影响的其他事项；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13</w:t>
      </w:r>
      <w:r w:rsidRPr="00FD5C9F">
        <w:rPr>
          <w:rFonts w:asciiTheme="minorEastAsia" w:eastAsiaTheme="minorEastAsia" w:hAnsiTheme="minorEastAsia" w:cs="宋体" w:hint="eastAsia"/>
          <w:color w:val="000000" w:themeColor="text1"/>
          <w:kern w:val="0"/>
          <w:szCs w:val="21"/>
        </w:rPr>
        <w:t>）法律法规、《基金合同》或中国证监会规定的其他应当召开基金份额持有人大会的事项。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、在法律法规规定和《基金合同》约定的范围内且对基金份额持有人利益无实质性不利影响的前提下，以下情况可由基金管理人和基金托管人协商后修改，不需召开基金份额持有人大会：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）法律法规要求增加的基金费用的收取；</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）在法律法规和《基金合同》规定的范围内，调整本基金的申购费率、调低赎回费率或调整收费方式、调整基金份额类别设置；</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）因相应的法律法规发生变动而应当对《基金合同》进行修改；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）对《基金合同》的修改</w:t>
      </w:r>
      <w:r w:rsidRPr="00FD5C9F">
        <w:rPr>
          <w:rFonts w:asciiTheme="minorEastAsia" w:eastAsiaTheme="minorEastAsia" w:hAnsiTheme="minorEastAsia" w:cs="宋体"/>
          <w:color w:val="000000" w:themeColor="text1"/>
          <w:kern w:val="0"/>
          <w:szCs w:val="21"/>
        </w:rPr>
        <w:t>对基金份额持有人利益无实质性不利影响或修改</w:t>
      </w:r>
      <w:r w:rsidRPr="00FD5C9F">
        <w:rPr>
          <w:rFonts w:asciiTheme="minorEastAsia" w:eastAsiaTheme="minorEastAsia" w:hAnsiTheme="minorEastAsia" w:cs="宋体" w:hint="eastAsia"/>
          <w:color w:val="000000" w:themeColor="text1"/>
          <w:kern w:val="0"/>
          <w:szCs w:val="21"/>
        </w:rPr>
        <w:t>不涉及《基金合同》当事人权利义务关系发生重大变化；</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）基金管理人、销售机构、登记机构在法律法规规定的范围内调整有关基金认购、申购、赎回、转换、基金交易、非交易过户、转托管、转让、质押等业务的规则；</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）在法律法规或中国证监会允许的范围内推出新业务或服务；</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）按照法律法规和《基金合同》规定不需召开基金份额持有人大会的其他情形。</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13" w:name="_Toc79392585"/>
      <w:bookmarkStart w:id="114" w:name="_Toc57530244"/>
      <w:bookmarkStart w:id="115" w:name="_Toc15641221"/>
      <w:r w:rsidRPr="00FD5C9F">
        <w:rPr>
          <w:rFonts w:asciiTheme="minorEastAsia" w:eastAsiaTheme="minorEastAsia" w:hAnsiTheme="minorEastAsia" w:cs="宋体" w:hint="eastAsia"/>
          <w:color w:val="000000" w:themeColor="text1"/>
          <w:kern w:val="0"/>
          <w:szCs w:val="21"/>
        </w:rPr>
        <w:t>（二）会议召集人及召集方式</w:t>
      </w:r>
      <w:bookmarkEnd w:id="113"/>
      <w:bookmarkEnd w:id="114"/>
      <w:bookmarkEnd w:id="115"/>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16" w:name="_Toc15641222"/>
      <w:bookmarkStart w:id="117" w:name="_Toc57530245"/>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、除法律法规规定或《基金合同》另有约定外，基金份额持有人大会由基金管理人召集；</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、基金管理人未按规定召集或不能召开时，由基金托管人召集；</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、基金托管人认为有必要召开基金份额持有人大会的，应当向基金管理人提出书面提议。基金管理人应当自收到书面提议之日起</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日内决定是否召集，并书面告知基金托管人。基金管理人决定召集的，应当自出具书面决定之日起</w:t>
      </w:r>
      <w:r w:rsidRPr="00FD5C9F">
        <w:rPr>
          <w:rFonts w:asciiTheme="minorEastAsia" w:eastAsiaTheme="minorEastAsia" w:hAnsiTheme="minorEastAsia" w:cs="宋体"/>
          <w:color w:val="000000" w:themeColor="text1"/>
          <w:kern w:val="0"/>
          <w:szCs w:val="21"/>
        </w:rPr>
        <w:t>60</w:t>
      </w:r>
      <w:r w:rsidRPr="00FD5C9F">
        <w:rPr>
          <w:rFonts w:asciiTheme="minorEastAsia" w:eastAsiaTheme="minorEastAsia" w:hAnsiTheme="minorEastAsia" w:cs="宋体" w:hint="eastAsia"/>
          <w:color w:val="000000" w:themeColor="text1"/>
          <w:kern w:val="0"/>
          <w:szCs w:val="21"/>
        </w:rPr>
        <w:t>日内召开；基金管理人决定不召集，基金托管人仍认为有必要召开的，应当由基金托管人自行召集，并自出具书面决定之日起</w:t>
      </w:r>
      <w:r w:rsidRPr="00FD5C9F">
        <w:rPr>
          <w:rFonts w:asciiTheme="minorEastAsia" w:eastAsiaTheme="minorEastAsia" w:hAnsiTheme="minorEastAsia" w:cs="宋体"/>
          <w:color w:val="000000" w:themeColor="text1"/>
          <w:kern w:val="0"/>
          <w:szCs w:val="21"/>
        </w:rPr>
        <w:t>60</w:t>
      </w:r>
      <w:r w:rsidRPr="00FD5C9F">
        <w:rPr>
          <w:rFonts w:asciiTheme="minorEastAsia" w:eastAsiaTheme="minorEastAsia" w:hAnsiTheme="minorEastAsia" w:cs="宋体" w:hint="eastAsia"/>
          <w:color w:val="000000" w:themeColor="text1"/>
          <w:kern w:val="0"/>
          <w:szCs w:val="21"/>
        </w:rPr>
        <w:t>日内召开并告知基金管理人，基金管理人应当配合。</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代表基金份额10%</w:t>
      </w:r>
      <w:r w:rsidRPr="00FD5C9F">
        <w:rPr>
          <w:rFonts w:asciiTheme="minorEastAsia" w:eastAsiaTheme="minorEastAsia" w:hAnsiTheme="minorEastAsia" w:cs="宋体" w:hint="eastAsia"/>
          <w:color w:val="000000" w:themeColor="text1"/>
          <w:kern w:val="0"/>
          <w:szCs w:val="21"/>
        </w:rPr>
        <w:t>以上（含</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）的基金份额持有人就同一事项书面要求召开基金份额持有人大会，应当向基金管理人提出书面提议。基金管理人应当自收到书面提议之日起</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日内决定是否召集，并书面告知提出提议的基金份额持有人代表和基金托管人。基金管理人决定召集的，应当自出具书面决定之日起</w:t>
      </w:r>
      <w:r w:rsidRPr="00FD5C9F">
        <w:rPr>
          <w:rFonts w:asciiTheme="minorEastAsia" w:eastAsiaTheme="minorEastAsia" w:hAnsiTheme="minorEastAsia" w:cs="宋体"/>
          <w:color w:val="000000" w:themeColor="text1"/>
          <w:kern w:val="0"/>
          <w:szCs w:val="21"/>
        </w:rPr>
        <w:t>60</w:t>
      </w:r>
      <w:r w:rsidRPr="00FD5C9F">
        <w:rPr>
          <w:rFonts w:asciiTheme="minorEastAsia" w:eastAsiaTheme="minorEastAsia" w:hAnsiTheme="minorEastAsia" w:cs="宋体" w:hint="eastAsia"/>
          <w:color w:val="000000" w:themeColor="text1"/>
          <w:kern w:val="0"/>
          <w:szCs w:val="21"/>
        </w:rPr>
        <w:t>日内召开；基金管理人决定不召集，代表基金份额</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以上（含</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）的基金份额持有人仍认为有必要召开的，应当向基金托管人提出书面提议。基金托管人应当自收到书面提议之日起</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日内决定是否召集，并书面告知提出提议的基金份额持有人代表和基金管理人；基金托管人决定召集的，应当自出具书面决定之日起</w:t>
      </w:r>
      <w:r w:rsidRPr="00FD5C9F">
        <w:rPr>
          <w:rFonts w:asciiTheme="minorEastAsia" w:eastAsiaTheme="minorEastAsia" w:hAnsiTheme="minorEastAsia" w:cs="宋体"/>
          <w:color w:val="000000" w:themeColor="text1"/>
          <w:kern w:val="0"/>
          <w:szCs w:val="21"/>
        </w:rPr>
        <w:t>60</w:t>
      </w:r>
      <w:r w:rsidRPr="00FD5C9F">
        <w:rPr>
          <w:rFonts w:asciiTheme="minorEastAsia" w:eastAsiaTheme="minorEastAsia" w:hAnsiTheme="minorEastAsia" w:cs="宋体" w:hint="eastAsia"/>
          <w:color w:val="000000" w:themeColor="text1"/>
          <w:kern w:val="0"/>
          <w:szCs w:val="21"/>
        </w:rPr>
        <w:t>日内召开并告知基金管理人，基金管理人应当配合。</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代表基金</w:t>
      </w:r>
      <w:r w:rsidRPr="00FD5C9F">
        <w:rPr>
          <w:rFonts w:asciiTheme="minorEastAsia" w:eastAsiaTheme="minorEastAsia" w:hAnsiTheme="minorEastAsia" w:cs="宋体" w:hint="eastAsia"/>
          <w:color w:val="000000" w:themeColor="text1"/>
          <w:kern w:val="0"/>
          <w:szCs w:val="21"/>
        </w:rPr>
        <w:t>份额</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以上（含</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）的基金份额持有人就同一事项要求召开基金份额持有人大会，而基金管理人、基金托管人都不召集的，单独或合计代表基金份额</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以上（含</w:t>
      </w:r>
      <w:r w:rsidRPr="00FD5C9F">
        <w:rPr>
          <w:rFonts w:asciiTheme="minorEastAsia" w:eastAsiaTheme="minorEastAsia" w:hAnsiTheme="minorEastAsia" w:cs="宋体"/>
          <w:color w:val="000000" w:themeColor="text1"/>
          <w:kern w:val="0"/>
          <w:szCs w:val="21"/>
        </w:rPr>
        <w:t>10%</w:t>
      </w:r>
      <w:r w:rsidRPr="00FD5C9F">
        <w:rPr>
          <w:rFonts w:asciiTheme="minorEastAsia" w:eastAsiaTheme="minorEastAsia" w:hAnsiTheme="minorEastAsia" w:cs="宋体" w:hint="eastAsia"/>
          <w:color w:val="000000" w:themeColor="text1"/>
          <w:kern w:val="0"/>
          <w:szCs w:val="21"/>
        </w:rPr>
        <w:t>）的基金份额持有人有权自行召集，并至少提前</w:t>
      </w:r>
      <w:r w:rsidRPr="00FD5C9F">
        <w:rPr>
          <w:rFonts w:asciiTheme="minorEastAsia" w:eastAsiaTheme="minorEastAsia" w:hAnsiTheme="minorEastAsia" w:cs="宋体"/>
          <w:color w:val="000000" w:themeColor="text1"/>
          <w:kern w:val="0"/>
          <w:szCs w:val="21"/>
        </w:rPr>
        <w:t>30</w:t>
      </w:r>
      <w:r w:rsidRPr="00FD5C9F">
        <w:rPr>
          <w:rFonts w:asciiTheme="minorEastAsia" w:eastAsiaTheme="minorEastAsia" w:hAnsiTheme="minorEastAsia" w:cs="宋体" w:hint="eastAsia"/>
          <w:color w:val="000000" w:themeColor="text1"/>
          <w:kern w:val="0"/>
          <w:szCs w:val="21"/>
        </w:rPr>
        <w:t>日报中国证监会备案。基金份额持有人依法自行召集基金份额持有人大会的，基金管理人、基金托管人应当配合，不得阻碍、干扰。</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、基金份额持有人会议的召集人负责选择确定开会时间、地点、方式和权益登记日。</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18" w:name="_Toc79392586"/>
      <w:r w:rsidRPr="00FD5C9F">
        <w:rPr>
          <w:rFonts w:asciiTheme="minorEastAsia" w:eastAsiaTheme="minorEastAsia" w:hAnsiTheme="minorEastAsia" w:cs="宋体" w:hint="eastAsia"/>
          <w:color w:val="000000" w:themeColor="text1"/>
          <w:kern w:val="0"/>
          <w:szCs w:val="21"/>
        </w:rPr>
        <w:t>（三）召开基金份额持有人大会的通知时间、通知内容、通知方式</w:t>
      </w:r>
      <w:bookmarkEnd w:id="116"/>
      <w:bookmarkEnd w:id="117"/>
      <w:bookmarkEnd w:id="118"/>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、召开基金份额持有人大会，召集人应于会议召开前</w:t>
      </w:r>
      <w:r w:rsidRPr="00FD5C9F">
        <w:rPr>
          <w:rFonts w:asciiTheme="minorEastAsia" w:eastAsiaTheme="minorEastAsia" w:hAnsiTheme="minorEastAsia" w:cs="宋体"/>
          <w:color w:val="000000" w:themeColor="text1"/>
          <w:kern w:val="0"/>
          <w:szCs w:val="21"/>
        </w:rPr>
        <w:t>30</w:t>
      </w:r>
      <w:r w:rsidRPr="00FD5C9F">
        <w:rPr>
          <w:rFonts w:asciiTheme="minorEastAsia" w:eastAsiaTheme="minorEastAsia" w:hAnsiTheme="minorEastAsia" w:cs="宋体" w:hint="eastAsia"/>
          <w:color w:val="000000" w:themeColor="text1"/>
          <w:kern w:val="0"/>
          <w:szCs w:val="21"/>
        </w:rPr>
        <w:t>日，在规定媒介公告。基金份额持有人大会通知应至少载明以下内容：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）会议召开的时间、地点和会议形式；</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）会议拟审议的事项、议事程序和表决方式；</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）有权出席基金份额持有人大会的基金份额持有人的权益登记日；</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）授权委托证明的内容要求（包括但不限于代理人身份，代理权限和代理有效期限等）、送达时间和地点；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）会务常设联系人姓名及联系电话；</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）出席会议者必须准备的文件和必须履行的手续；</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）召集人需要通知的其他事项。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19" w:name="_Toc57530246"/>
      <w:bookmarkStart w:id="120" w:name="_Toc79392587"/>
      <w:bookmarkStart w:id="121" w:name="_Toc15641223"/>
      <w:r w:rsidRPr="00FD5C9F">
        <w:rPr>
          <w:rFonts w:asciiTheme="minorEastAsia" w:eastAsiaTheme="minorEastAsia" w:hAnsiTheme="minorEastAsia" w:cs="宋体" w:hint="eastAsia"/>
          <w:color w:val="000000" w:themeColor="text1"/>
          <w:kern w:val="0"/>
          <w:szCs w:val="21"/>
        </w:rPr>
        <w:t>（四）基金份额持有人出席会议的方式</w:t>
      </w:r>
      <w:bookmarkEnd w:id="119"/>
      <w:bookmarkEnd w:id="120"/>
      <w:bookmarkEnd w:id="121"/>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基金份额持有人大会可通过现场开会方式、通讯开会方式或法律法规、监管</w:t>
      </w:r>
      <w:r w:rsidRPr="00FD5C9F">
        <w:rPr>
          <w:rFonts w:asciiTheme="minorEastAsia" w:eastAsiaTheme="minorEastAsia" w:hAnsiTheme="minorEastAsia" w:cs="宋体"/>
          <w:color w:val="000000" w:themeColor="text1"/>
          <w:kern w:val="0"/>
          <w:szCs w:val="21"/>
        </w:rPr>
        <w:t>机构</w:t>
      </w:r>
      <w:r w:rsidRPr="00FD5C9F">
        <w:rPr>
          <w:rFonts w:asciiTheme="minorEastAsia" w:eastAsiaTheme="minorEastAsia" w:hAnsiTheme="minorEastAsia" w:cs="宋体" w:hint="eastAsia"/>
          <w:color w:val="000000" w:themeColor="text1"/>
          <w:kern w:val="0"/>
          <w:szCs w:val="21"/>
        </w:rPr>
        <w:t>允许的其他方式召开，会议的召开方式由会议召集人确定。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）亲自出席会议者持有的有关证明文件、受托出席会议者出示的委托人的代理投票授权委托证明及有关证明文件符合法律法规、《基金合同》和会议通知的规定；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）经核对，到会者在权益登记日代表的有效的基金份额不少于本基金在权益登记日基金总份额的</w:t>
      </w:r>
      <w:r w:rsidRPr="00FD5C9F">
        <w:rPr>
          <w:rFonts w:asciiTheme="minorEastAsia" w:eastAsiaTheme="minorEastAsia" w:hAnsiTheme="minorEastAsia" w:cs="宋体"/>
          <w:color w:val="000000" w:themeColor="text1"/>
          <w:kern w:val="0"/>
          <w:szCs w:val="21"/>
        </w:rPr>
        <w:t>二分之一（含二分之一）</w:t>
      </w: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在同时符合以下条件时，通讯开会的方式视为有效：</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）会议召集人按《基金合同》约定公布会议通知后，在</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个工作日内连续公布相关提示性公告；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r w:rsidRPr="00FD5C9F">
        <w:rPr>
          <w:rFonts w:asciiTheme="minorEastAsia" w:eastAsiaTheme="minorEastAsia" w:hAnsiTheme="minorEastAsia" w:cs="宋体"/>
          <w:color w:val="000000" w:themeColor="text1"/>
          <w:kern w:val="0"/>
          <w:szCs w:val="21"/>
        </w:rPr>
        <w:t>；</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）上述第（</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、基金份额持有人授权他人代为出席会议并表决的，授权方式可以采用书面、网络、电话、短信或其他方式，具体方式由会议召集人确定并在会议通知中列明。</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22" w:name="_Toc79392588"/>
      <w:bookmarkStart w:id="123" w:name="_Toc57530247"/>
      <w:bookmarkStart w:id="124" w:name="_Toc15641224"/>
      <w:r w:rsidRPr="00FD5C9F">
        <w:rPr>
          <w:rFonts w:asciiTheme="minorEastAsia" w:eastAsiaTheme="minorEastAsia" w:hAnsiTheme="minorEastAsia" w:cs="宋体" w:hint="eastAsia"/>
          <w:color w:val="000000" w:themeColor="text1"/>
          <w:kern w:val="0"/>
          <w:szCs w:val="21"/>
        </w:rPr>
        <w:t>（五）议事内容与程序</w:t>
      </w:r>
      <w:bookmarkEnd w:id="122"/>
      <w:bookmarkEnd w:id="123"/>
      <w:bookmarkEnd w:id="124"/>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、议事内容及提案权</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基金份额持有人大会的召集人发出召集会议的通知后，对原有提案的修改应当在基金份额持有人大会召开前及时公告。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基金份额持有人大会不得对未事先公告的议事内容进行表决。</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、议事程序</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）现场开会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FD5C9F">
        <w:rPr>
          <w:rFonts w:asciiTheme="minorEastAsia" w:eastAsiaTheme="minorEastAsia" w:hAnsiTheme="minorEastAsia" w:cs="宋体"/>
          <w:color w:val="000000" w:themeColor="text1"/>
          <w:kern w:val="0"/>
          <w:szCs w:val="21"/>
        </w:rPr>
        <w:t>50%</w:t>
      </w:r>
      <w:r w:rsidRPr="00FD5C9F">
        <w:rPr>
          <w:rFonts w:asciiTheme="minorEastAsia" w:eastAsiaTheme="minorEastAsia" w:hAnsiTheme="minorEastAsia" w:cs="宋体" w:hint="eastAsia"/>
          <w:color w:val="000000" w:themeColor="text1"/>
          <w:kern w:val="0"/>
          <w:szCs w:val="21"/>
        </w:rPr>
        <w:t>以上（含</w:t>
      </w:r>
      <w:r w:rsidRPr="00FD5C9F">
        <w:rPr>
          <w:rFonts w:asciiTheme="minorEastAsia" w:eastAsiaTheme="minorEastAsia" w:hAnsiTheme="minorEastAsia" w:cs="宋体"/>
          <w:color w:val="000000" w:themeColor="text1"/>
          <w:kern w:val="0"/>
          <w:szCs w:val="21"/>
        </w:rPr>
        <w:t>50%</w:t>
      </w:r>
      <w:r w:rsidRPr="00FD5C9F">
        <w:rPr>
          <w:rFonts w:asciiTheme="minorEastAsia" w:eastAsiaTheme="minorEastAsia" w:hAnsiTheme="minorEastAsia" w:cs="宋体" w:hint="eastAsia"/>
          <w:color w:val="000000" w:themeColor="text1"/>
          <w:kern w:val="0"/>
          <w:szCs w:val="21"/>
        </w:rPr>
        <w:t>）选举产生一名基金份额持有人作为该次基金份额持有人大会的主持人。基金管理人和基金托管人拒不出席或主持基金份额持有人大会，不影响基金份额持有人大会作出的决议的效力。</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会议召集人应当制作出席会议人员的签名册。签名册载明参加会议人员姓名（或单位名称）、身份证明文件号码、持有或代表有表决权的基金份额、委托人姓名（或单位名称）和联系方式等事项。</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）通讯开会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在通讯开会的情况下，首先由召集人提前</w:t>
      </w:r>
      <w:r w:rsidRPr="00FD5C9F">
        <w:rPr>
          <w:rFonts w:asciiTheme="minorEastAsia" w:eastAsiaTheme="minorEastAsia" w:hAnsiTheme="minorEastAsia" w:cs="宋体"/>
          <w:color w:val="000000" w:themeColor="text1"/>
          <w:kern w:val="0"/>
          <w:szCs w:val="21"/>
        </w:rPr>
        <w:t>30</w:t>
      </w:r>
      <w:r w:rsidRPr="00FD5C9F">
        <w:rPr>
          <w:rFonts w:asciiTheme="minorEastAsia" w:eastAsiaTheme="minorEastAsia" w:hAnsiTheme="minorEastAsia" w:cs="宋体" w:hint="eastAsia"/>
          <w:color w:val="000000" w:themeColor="text1"/>
          <w:kern w:val="0"/>
          <w:szCs w:val="21"/>
        </w:rPr>
        <w:t>日公布提案，在所通知的表决截止日期后</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个工作日内在公证机关监督下由召集人统计全部有效表决，在公证机关监督下形成决议。</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25" w:name="_Toc15641225"/>
      <w:bookmarkStart w:id="126" w:name="_Toc79392589"/>
      <w:bookmarkStart w:id="127" w:name="_Toc57530248"/>
      <w:r w:rsidRPr="00FD5C9F">
        <w:rPr>
          <w:rFonts w:asciiTheme="minorEastAsia" w:eastAsiaTheme="minorEastAsia" w:hAnsiTheme="minorEastAsia" w:cs="宋体" w:hint="eastAsia"/>
          <w:color w:val="000000" w:themeColor="text1"/>
          <w:kern w:val="0"/>
          <w:szCs w:val="21"/>
        </w:rPr>
        <w:t>（六）表决</w:t>
      </w:r>
      <w:bookmarkEnd w:id="125"/>
      <w:bookmarkEnd w:id="126"/>
      <w:bookmarkEnd w:id="127"/>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基金份额持有人所持每份基金份额有一票表决权。</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基金份额持有人大会决议分为一般决议和特别决议：</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、一般决议，一般决议须经参加大会的基金份额持有人或其代理人所持表决权的二分之一以上（含二分之一）通过方为有效；除下列第</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项所规定的须以特别决议通过事项以外的其他事项均以一般决议的方式通过。</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w:t>
      </w:r>
      <w:r w:rsidRPr="00FD5C9F">
        <w:rPr>
          <w:rFonts w:asciiTheme="minorEastAsia" w:eastAsiaTheme="minorEastAsia" w:hAnsiTheme="minorEastAsia" w:cs="宋体"/>
          <w:color w:val="000000" w:themeColor="text1"/>
          <w:kern w:val="0"/>
          <w:szCs w:val="21"/>
        </w:rPr>
        <w:t>基金</w:t>
      </w:r>
      <w:r w:rsidRPr="00FD5C9F">
        <w:rPr>
          <w:rFonts w:asciiTheme="minorEastAsia" w:eastAsiaTheme="minorEastAsia" w:hAnsiTheme="minorEastAsia" w:cs="宋体" w:hint="eastAsia"/>
          <w:color w:val="000000" w:themeColor="text1"/>
          <w:kern w:val="0"/>
          <w:szCs w:val="21"/>
        </w:rPr>
        <w:t>与其他基金合并以特别决议通过方为有效。</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基金份额持有人大会采取记名方式进行投票表决。</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基金份额持有人大会的各项提案或同一项提案内并列的各项议题应当分开审议、逐项表决。</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bookmarkStart w:id="128" w:name="_Toc15641226"/>
      <w:bookmarkStart w:id="129" w:name="_Toc57530249"/>
      <w:bookmarkStart w:id="130" w:name="_Toc79392590"/>
      <w:r w:rsidRPr="00FD5C9F">
        <w:rPr>
          <w:rFonts w:asciiTheme="minorEastAsia" w:eastAsiaTheme="minorEastAsia" w:hAnsiTheme="minorEastAsia" w:cs="宋体" w:hint="eastAsia"/>
          <w:color w:val="000000" w:themeColor="text1"/>
          <w:kern w:val="0"/>
          <w:szCs w:val="21"/>
        </w:rPr>
        <w:t>（七）计票</w:t>
      </w:r>
      <w:bookmarkEnd w:id="128"/>
      <w:bookmarkEnd w:id="129"/>
      <w:bookmarkEnd w:id="130"/>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、现场开会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）监票人应当在基金份额持有人表决后立即进行清点并由大会主持人当场公布计票结果。</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）计票过程应由公证机关予以公证，基金管理人或基金托管人拒不出席大会的，不影响计票的效力。</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、通讯开会</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31" w:name="_Toc79392591"/>
      <w:bookmarkStart w:id="132" w:name="_Toc57530250"/>
      <w:bookmarkStart w:id="133" w:name="_Toc15641227"/>
      <w:r w:rsidRPr="00FD5C9F">
        <w:rPr>
          <w:rFonts w:asciiTheme="minorEastAsia" w:eastAsiaTheme="minorEastAsia" w:hAnsiTheme="minorEastAsia" w:cs="宋体" w:hint="eastAsia"/>
          <w:color w:val="000000" w:themeColor="text1"/>
          <w:kern w:val="0"/>
          <w:szCs w:val="21"/>
        </w:rPr>
        <w:t>。基金管理人或基金托管人拒派代表对书面表决意见的计票进行监督的，不影响计票和表决结果。</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（八）生效与公告</w:t>
      </w:r>
      <w:bookmarkEnd w:id="131"/>
      <w:bookmarkEnd w:id="132"/>
      <w:bookmarkEnd w:id="133"/>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基金份额持有人大会的决议，召集人应当自通过之日起</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日内报中国证监会备案。</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基金份额持有人大会的决议自表决通过之日起生效。</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基金份额持有人大会决议自生效之日起</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日内在规定媒介上公告。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基金管理人、基金托管人和基金份额持有人应当执行生效的基金份额持有人大会的决议。生效的基金份额持有人大会决议对全体基金份额持有人、基金管理人、基金托管人均有约束力。</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九）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rsidR="002E3CE7"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p>
    <w:p w:rsidR="002E3CE7"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bookmarkStart w:id="134" w:name="_Hlt88820702"/>
      <w:bookmarkEnd w:id="134"/>
      <w:r w:rsidRPr="00FD5C9F">
        <w:rPr>
          <w:rFonts w:asciiTheme="minorEastAsia" w:eastAsiaTheme="minorEastAsia" w:hAnsiTheme="minorEastAsia" w:cs="宋体" w:hint="eastAsia"/>
          <w:color w:val="000000" w:themeColor="text1"/>
          <w:kern w:val="0"/>
          <w:szCs w:val="21"/>
        </w:rPr>
        <w:t>三</w:t>
      </w:r>
      <w:r w:rsidRPr="00FD5C9F" w:rsidR="001E17D8">
        <w:rPr>
          <w:rFonts w:asciiTheme="minorEastAsia" w:eastAsiaTheme="minorEastAsia" w:hAnsiTheme="minorEastAsia" w:cs="宋体" w:hint="eastAsia"/>
          <w:color w:val="000000" w:themeColor="text1"/>
          <w:kern w:val="0"/>
          <w:szCs w:val="21"/>
        </w:rPr>
        <w:t>、基金合同解除和终止的事由、程序</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（一）《基金合同》的终止事由</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有下列情形之一的，经履行相关程序后，《基金合同》应当终止：</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1</w:t>
      </w:r>
      <w:r w:rsidRPr="00FD5C9F">
        <w:rPr>
          <w:rFonts w:asciiTheme="minorEastAsia" w:eastAsiaTheme="minorEastAsia" w:hAnsiTheme="minorEastAsia" w:cs="宋体"/>
          <w:color w:val="000000" w:themeColor="text1"/>
          <w:kern w:val="0"/>
          <w:szCs w:val="21"/>
        </w:rPr>
        <w:t>、</w:t>
      </w:r>
      <w:r w:rsidRPr="00FD5C9F">
        <w:rPr>
          <w:rFonts w:asciiTheme="minorEastAsia" w:eastAsiaTheme="minorEastAsia" w:hAnsiTheme="minorEastAsia" w:cs="宋体" w:hint="eastAsia"/>
          <w:color w:val="000000" w:themeColor="text1"/>
          <w:kern w:val="0"/>
          <w:szCs w:val="21"/>
        </w:rPr>
        <w:t>基金份额持有人大会决定终止的；</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2、基金管理人、基金托管人职责终止，在</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个月内没有新基金管理人、新基金托管人承接的；</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3、《基金合同》约定的其他情形；</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4、相关法律法规和中国证监会规定的其他情况。</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（二）基金财产的清算</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、基金财产清算小组：自出现《基金合同》终止事由之日起</w:t>
      </w:r>
      <w:r w:rsidRPr="00FD5C9F">
        <w:rPr>
          <w:rFonts w:asciiTheme="minorEastAsia" w:eastAsiaTheme="minorEastAsia" w:hAnsiTheme="minorEastAsia" w:cs="宋体"/>
          <w:color w:val="000000" w:themeColor="text1"/>
          <w:kern w:val="0"/>
          <w:szCs w:val="21"/>
        </w:rPr>
        <w:t>30</w:t>
      </w:r>
      <w:r w:rsidRPr="00FD5C9F">
        <w:rPr>
          <w:rFonts w:asciiTheme="minorEastAsia" w:eastAsiaTheme="minorEastAsia" w:hAnsiTheme="minorEastAsia" w:cs="宋体" w:hint="eastAsia"/>
          <w:color w:val="000000" w:themeColor="text1"/>
          <w:kern w:val="0"/>
          <w:szCs w:val="21"/>
        </w:rPr>
        <w:t>个工作日内成立清算小组，基金管理人组织基金财产清算小组并在中国证监会的监督下进行基金清算。</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、基金财产清算小组组成：基金财产清算小组成员由基金管理人、基金托管人、符合《证券法》规定的注册会计师、律师以及中国证监会指定的人员组成。基金财产清算小组可以聘用必要的工作人员。</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、基金财产清算小组职责：基金财产清算小组负责基金财产的保管、清理、估价、变现和分配。基金财产清算小组可以依法进行必要的民事活动。</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、基金财产清算程序：</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1</w:t>
      </w:r>
      <w:r w:rsidRPr="00FD5C9F">
        <w:rPr>
          <w:rFonts w:asciiTheme="minorEastAsia" w:eastAsiaTheme="minorEastAsia" w:hAnsiTheme="minorEastAsia" w:cs="宋体" w:hint="eastAsia"/>
          <w:color w:val="000000" w:themeColor="text1"/>
          <w:kern w:val="0"/>
          <w:szCs w:val="21"/>
        </w:rPr>
        <w:t>）《基金合同》终止情形出现时，由基金财产清算小组统一接管基金；</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2</w:t>
      </w:r>
      <w:r w:rsidRPr="00FD5C9F">
        <w:rPr>
          <w:rFonts w:asciiTheme="minorEastAsia" w:eastAsiaTheme="minorEastAsia" w:hAnsiTheme="minorEastAsia" w:cs="宋体" w:hint="eastAsia"/>
          <w:color w:val="000000" w:themeColor="text1"/>
          <w:kern w:val="0"/>
          <w:szCs w:val="21"/>
        </w:rPr>
        <w:t>）对基金财产和债权债务进行清理和确认；</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3</w:t>
      </w:r>
      <w:r w:rsidRPr="00FD5C9F">
        <w:rPr>
          <w:rFonts w:asciiTheme="minorEastAsia" w:eastAsiaTheme="minorEastAsia" w:hAnsiTheme="minorEastAsia" w:cs="宋体" w:hint="eastAsia"/>
          <w:color w:val="000000" w:themeColor="text1"/>
          <w:kern w:val="0"/>
          <w:szCs w:val="21"/>
        </w:rPr>
        <w:t>）对基金财产进行估值和变现；</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4</w:t>
      </w:r>
      <w:r w:rsidRPr="00FD5C9F">
        <w:rPr>
          <w:rFonts w:asciiTheme="minorEastAsia" w:eastAsiaTheme="minorEastAsia" w:hAnsiTheme="minorEastAsia" w:cs="宋体" w:hint="eastAsia"/>
          <w:color w:val="000000" w:themeColor="text1"/>
          <w:kern w:val="0"/>
          <w:szCs w:val="21"/>
        </w:rPr>
        <w:t>）制作清算报告；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）聘请会计师事务所对清算报告进行外部审计，聘请律师事务所对清算报告出具法律意见书；</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6</w:t>
      </w:r>
      <w:r w:rsidRPr="00FD5C9F">
        <w:rPr>
          <w:rFonts w:asciiTheme="minorEastAsia" w:eastAsiaTheme="minorEastAsia" w:hAnsiTheme="minorEastAsia" w:cs="宋体" w:hint="eastAsia"/>
          <w:color w:val="000000" w:themeColor="text1"/>
          <w:kern w:val="0"/>
          <w:szCs w:val="21"/>
        </w:rPr>
        <w:t>）将清算报告报中国证监会备案并公告；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w:t>
      </w:r>
      <w:r w:rsidRPr="00FD5C9F">
        <w:rPr>
          <w:rFonts w:asciiTheme="minorEastAsia" w:eastAsiaTheme="minorEastAsia" w:hAnsiTheme="minorEastAsia" w:cs="宋体"/>
          <w:color w:val="000000" w:themeColor="text1"/>
          <w:kern w:val="0"/>
          <w:szCs w:val="21"/>
        </w:rPr>
        <w:t>7</w:t>
      </w:r>
      <w:r w:rsidRPr="00FD5C9F">
        <w:rPr>
          <w:rFonts w:asciiTheme="minorEastAsia" w:eastAsiaTheme="minorEastAsia" w:hAnsiTheme="minorEastAsia" w:cs="宋体" w:hint="eastAsia"/>
          <w:color w:val="000000" w:themeColor="text1"/>
          <w:kern w:val="0"/>
          <w:szCs w:val="21"/>
        </w:rPr>
        <w:t>）对基金剩余财产进行分配。</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、基金财产清算的期限为6个月，但因本基金所持证券的流动性受到限制而不能及时变现的，清算期限相应顺延。</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（三）清算费用</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清算费用是指基金财产清算小组在进行基金清算过程中发生的所有合理费用，清算费用由基金财产清算小组优先从基金财产中支付。</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（四）基金财产清算剩余资产的分配</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（五）基金财产清算的公告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FD5C9F">
        <w:rPr>
          <w:rFonts w:asciiTheme="minorEastAsia" w:eastAsiaTheme="minorEastAsia" w:hAnsiTheme="minorEastAsia" w:cs="宋体"/>
          <w:color w:val="000000" w:themeColor="text1"/>
          <w:kern w:val="0"/>
          <w:szCs w:val="21"/>
        </w:rPr>
        <w:t>5</w:t>
      </w:r>
      <w:r w:rsidRPr="00FD5C9F">
        <w:rPr>
          <w:rFonts w:asciiTheme="minorEastAsia" w:eastAsiaTheme="minorEastAsia" w:hAnsiTheme="minorEastAsia" w:cs="宋体" w:hint="eastAsia"/>
          <w:color w:val="000000" w:themeColor="text1"/>
          <w:kern w:val="0"/>
          <w:szCs w:val="21"/>
        </w:rPr>
        <w:t>个工作日内由基金财产清算小组进行公告。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（六）基金财产清算账册及文件的保存</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基金财产清算账册及有关文件由基金托管人保存</w:t>
      </w:r>
      <w:r w:rsidRPr="00FD5C9F">
        <w:rPr>
          <w:rFonts w:asciiTheme="minorEastAsia" w:eastAsiaTheme="minorEastAsia" w:hAnsiTheme="minorEastAsia" w:cs="宋体"/>
          <w:color w:val="000000" w:themeColor="text1"/>
          <w:kern w:val="0"/>
          <w:szCs w:val="21"/>
        </w:rPr>
        <w:t>15</w:t>
      </w:r>
      <w:r w:rsidRPr="00FD5C9F">
        <w:rPr>
          <w:rFonts w:asciiTheme="minorEastAsia" w:eastAsiaTheme="minorEastAsia" w:hAnsiTheme="minorEastAsia" w:cs="宋体" w:hint="eastAsia"/>
          <w:color w:val="000000" w:themeColor="text1"/>
          <w:kern w:val="0"/>
          <w:szCs w:val="21"/>
        </w:rPr>
        <w:t>年以上。</w:t>
      </w:r>
    </w:p>
    <w:p w:rsidR="001E17D8" w:rsidRPr="00FD5C9F" w:rsidP="002E3CE7">
      <w:pPr>
        <w:spacing w:line="360" w:lineRule="auto"/>
        <w:ind w:firstLine="496" w:firstLineChars="236"/>
        <w:rPr>
          <w:rFonts w:asciiTheme="minorEastAsia" w:eastAsiaTheme="minorEastAsia" w:hAnsiTheme="minorEastAsia" w:cs="宋体"/>
          <w:color w:val="000000" w:themeColor="text1"/>
          <w:kern w:val="0"/>
          <w:szCs w:val="21"/>
        </w:rPr>
      </w:pPr>
    </w:p>
    <w:p w:rsidR="001E17D8"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bookmarkStart w:id="135" w:name="_Toc516750735"/>
      <w:r w:rsidRPr="00FD5C9F">
        <w:rPr>
          <w:rFonts w:asciiTheme="minorEastAsia" w:eastAsiaTheme="minorEastAsia" w:hAnsiTheme="minorEastAsia" w:cs="宋体" w:hint="eastAsia"/>
          <w:color w:val="000000" w:themeColor="text1"/>
          <w:kern w:val="0"/>
          <w:szCs w:val="21"/>
        </w:rPr>
        <w:t>四、争议解决方式</w:t>
      </w:r>
      <w:bookmarkEnd w:id="135"/>
    </w:p>
    <w:p w:rsidR="00F56DC0" w:rsidRPr="00FD5C9F" w:rsidP="006060D9">
      <w:pPr>
        <w:spacing w:line="360" w:lineRule="auto"/>
        <w:ind w:firstLine="496" w:firstLineChars="236"/>
        <w:rPr>
          <w:rFonts w:asciiTheme="minorEastAsia" w:eastAsiaTheme="minorEastAsia" w:hAnsiTheme="minorEastAsia" w:cs="宋体"/>
          <w:b/>
          <w:color w:val="000000" w:themeColor="text1"/>
          <w:kern w:val="0"/>
          <w:szCs w:val="21"/>
        </w:rPr>
      </w:pPr>
      <w:r w:rsidRPr="00FD5C9F">
        <w:rPr>
          <w:rFonts w:asciiTheme="minorEastAsia" w:eastAsiaTheme="minorEastAsia" w:hAnsiTheme="minorEastAsia" w:cs="宋体"/>
          <w:b/>
          <w:color w:val="000000" w:themeColor="text1"/>
          <w:kern w:val="0"/>
          <w:szCs w:val="21"/>
        </w:rPr>
        <w:t>各方当事人同意，因《基金合同》而产生的或与《基金合同》有关的一切争议，</w:t>
      </w:r>
      <w:r w:rsidRPr="00FD5C9F">
        <w:rPr>
          <w:rFonts w:asciiTheme="minorEastAsia" w:eastAsiaTheme="minorEastAsia" w:hAnsiTheme="minorEastAsia" w:cs="宋体" w:hint="eastAsia"/>
          <w:b/>
          <w:color w:val="000000" w:themeColor="text1"/>
          <w:kern w:val="0"/>
          <w:szCs w:val="21"/>
        </w:rPr>
        <w:t>基金合同当事人应尽量通过协商、调解途径解决。</w:t>
      </w:r>
      <w:r w:rsidRPr="00FD5C9F">
        <w:rPr>
          <w:rFonts w:asciiTheme="minorEastAsia" w:eastAsiaTheme="minorEastAsia" w:hAnsiTheme="minorEastAsia" w:cs="宋体"/>
          <w:b/>
          <w:color w:val="000000" w:themeColor="text1"/>
          <w:kern w:val="0"/>
          <w:szCs w:val="21"/>
        </w:rPr>
        <w:t>如经友好协商未能解决的，</w:t>
      </w:r>
      <w:r w:rsidRPr="00FD5C9F">
        <w:rPr>
          <w:rFonts w:asciiTheme="minorEastAsia" w:eastAsiaTheme="minorEastAsia" w:hAnsiTheme="minorEastAsia" w:cs="宋体" w:hint="eastAsia"/>
          <w:b/>
          <w:color w:val="000000" w:themeColor="text1"/>
          <w:kern w:val="0"/>
          <w:szCs w:val="21"/>
        </w:rPr>
        <w:t>任何一方均有权将争议提交深圳国际仲裁院，按照深圳国际仲裁院届时有效的仲裁规则进行仲裁。仲裁地点为深圳市。仲裁裁决是终局的，对当事人均有约束力。除非仲裁裁决另有决定，仲裁费用由败诉方承担。</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争议处理期间，基金合同当事人应恪守各自的职责，继续忠实、勤勉、尽责地履行基金合同规定的义务，维护基金份额持有人的合法权益。</w:t>
      </w:r>
    </w:p>
    <w:p w:rsidR="00F56DC0"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《基金合同》受中国法律管辖。</w:t>
      </w:r>
    </w:p>
    <w:p w:rsidR="002E3CE7" w:rsidRPr="00FD5C9F" w:rsidP="005046B2">
      <w:pPr>
        <w:spacing w:line="360" w:lineRule="auto"/>
        <w:ind w:firstLine="496" w:firstLineChars="236"/>
        <w:rPr>
          <w:rFonts w:asciiTheme="minorEastAsia" w:eastAsiaTheme="minorEastAsia" w:hAnsiTheme="minorEastAsia" w:cs="宋体"/>
          <w:color w:val="000000" w:themeColor="text1"/>
          <w:kern w:val="0"/>
          <w:szCs w:val="21"/>
        </w:rPr>
      </w:pPr>
    </w:p>
    <w:p w:rsidR="001E17D8" w:rsidRPr="00FD5C9F" w:rsidP="001E17D8">
      <w:pPr>
        <w:spacing w:line="360" w:lineRule="auto"/>
        <w:ind w:firstLine="496" w:firstLineChars="236"/>
        <w:rPr>
          <w:rFonts w:asciiTheme="minorEastAsia" w:eastAsiaTheme="minorEastAsia" w:hAnsiTheme="minorEastAsia" w:cs="宋体"/>
          <w:color w:val="000000" w:themeColor="text1"/>
          <w:kern w:val="0"/>
          <w:szCs w:val="21"/>
        </w:rPr>
      </w:pPr>
      <w:bookmarkStart w:id="136" w:name="_Toc516750736"/>
      <w:r w:rsidRPr="00FD5C9F">
        <w:rPr>
          <w:rFonts w:asciiTheme="minorEastAsia" w:eastAsiaTheme="minorEastAsia" w:hAnsiTheme="minorEastAsia" w:cs="宋体" w:hint="eastAsia"/>
          <w:color w:val="000000" w:themeColor="text1"/>
          <w:kern w:val="0"/>
          <w:szCs w:val="21"/>
        </w:rPr>
        <w:t>五、基金合同存放地和投资者取得基金合同的方式</w:t>
      </w:r>
      <w:bookmarkEnd w:id="136"/>
    </w:p>
    <w:p w:rsidR="00426EBC" w:rsidRPr="00FD5C9F" w:rsidP="006060D9">
      <w:pPr>
        <w:spacing w:line="360" w:lineRule="auto"/>
        <w:ind w:firstLine="496" w:firstLineChars="236"/>
        <w:rPr>
          <w:rFonts w:asciiTheme="minorEastAsia" w:eastAsiaTheme="minorEastAsia" w:hAnsiTheme="minorEastAsia" w:cs="宋体"/>
          <w:color w:val="000000" w:themeColor="text1"/>
          <w:kern w:val="0"/>
          <w:szCs w:val="21"/>
        </w:rPr>
      </w:pPr>
      <w:r w:rsidRPr="00FD5C9F">
        <w:rPr>
          <w:rFonts w:asciiTheme="minorEastAsia" w:eastAsiaTheme="minorEastAsia" w:hAnsiTheme="minorEastAsia" w:cs="宋体" w:hint="eastAsia"/>
          <w:color w:val="000000" w:themeColor="text1"/>
          <w:kern w:val="0"/>
          <w:szCs w:val="21"/>
        </w:rPr>
        <w:t>《基金合同》可印制成册，供投资者在基金管理人、基金托管人、销售机构的办公场所和营业场所查阅。</w:t>
      </w:r>
    </w:p>
    <w:p w:rsidR="003C2593" w:rsidRPr="00FD5C9F" w:rsidP="003C2593">
      <w:pPr>
        <w:spacing w:line="360" w:lineRule="auto"/>
        <w:ind w:firstLine="420" w:firstLineChars="200"/>
        <w:rPr>
          <w:rFonts w:asciiTheme="minorEastAsia" w:eastAsiaTheme="minorEastAsia" w:hAnsiTheme="minorEastAsia"/>
          <w:bCs/>
          <w:color w:val="000000" w:themeColor="text1"/>
          <w:szCs w:val="21"/>
        </w:rPr>
      </w:pPr>
    </w:p>
    <w:p w:rsidR="004810C7" w:rsidRPr="00FD5C9F" w:rsidP="003F0109">
      <w:pPr>
        <w:spacing w:line="360" w:lineRule="auto"/>
        <w:ind w:firstLine="420" w:firstLineChars="200"/>
        <w:rPr>
          <w:rFonts w:asciiTheme="minorEastAsia" w:eastAsiaTheme="minorEastAsia" w:hAnsiTheme="minorEastAsia"/>
          <w:bCs/>
          <w:color w:val="000000" w:themeColor="text1"/>
          <w:szCs w:val="21"/>
        </w:rPr>
      </w:pPr>
    </w:p>
    <w:p w:rsidR="00BA4B87" w:rsidRPr="00FD5C9F" w:rsidP="008727F1">
      <w:pPr>
        <w:pStyle w:val="Heading1"/>
        <w:spacing w:before="317" w:after="317" w:line="360" w:lineRule="auto"/>
        <w:ind w:firstLine="420"/>
        <w:rPr>
          <w:rFonts w:asciiTheme="minorEastAsia" w:eastAsiaTheme="minorEastAsia" w:hAnsiTheme="minorEastAsia"/>
          <w:color w:val="000000" w:themeColor="text1"/>
          <w:sz w:val="30"/>
        </w:rPr>
      </w:pPr>
      <w:bookmarkStart w:id="137" w:name="_Toc332373589"/>
      <w:r w:rsidRPr="00FD5C9F">
        <w:rPr>
          <w:rFonts w:asciiTheme="minorEastAsia" w:eastAsiaTheme="minorEastAsia" w:hAnsiTheme="minorEastAsia" w:hint="eastAsia"/>
          <w:bCs/>
          <w:color w:val="000000" w:themeColor="text1"/>
          <w:sz w:val="21"/>
          <w:szCs w:val="21"/>
        </w:rPr>
        <w:br w:type="page"/>
      </w:r>
      <w:bookmarkStart w:id="138" w:name="_Toc134547860"/>
      <w:bookmarkEnd w:id="137"/>
      <w:r w:rsidRPr="00FD5C9F">
        <w:rPr>
          <w:rFonts w:asciiTheme="minorEastAsia" w:eastAsiaTheme="minorEastAsia" w:hAnsiTheme="minorEastAsia" w:hint="eastAsia"/>
          <w:color w:val="000000" w:themeColor="text1"/>
          <w:sz w:val="30"/>
        </w:rPr>
        <w:t>二</w:t>
      </w:r>
      <w:bookmarkStart w:id="139" w:name="_Toc332373590"/>
      <w:bookmarkStart w:id="140" w:name="_Toc332374170"/>
      <w:r w:rsidRPr="00FD5C9F">
        <w:rPr>
          <w:rFonts w:asciiTheme="minorEastAsia" w:eastAsiaTheme="minorEastAsia" w:hAnsiTheme="minorEastAsia" w:hint="eastAsia"/>
          <w:color w:val="000000" w:themeColor="text1"/>
          <w:sz w:val="30"/>
        </w:rPr>
        <w:t>十</w:t>
      </w:r>
      <w:r w:rsidRPr="00FD5C9F" w:rsidR="00DD2F77">
        <w:rPr>
          <w:rFonts w:asciiTheme="minorEastAsia" w:eastAsiaTheme="minorEastAsia" w:hAnsiTheme="minorEastAsia" w:hint="eastAsia"/>
          <w:color w:val="000000" w:themeColor="text1"/>
          <w:sz w:val="30"/>
        </w:rPr>
        <w:t>二</w:t>
      </w:r>
      <w:r w:rsidRPr="00FD5C9F">
        <w:rPr>
          <w:rFonts w:asciiTheme="minorEastAsia" w:eastAsiaTheme="minorEastAsia" w:hAnsiTheme="minorEastAsia" w:hint="eastAsia"/>
          <w:color w:val="000000" w:themeColor="text1"/>
          <w:sz w:val="30"/>
        </w:rPr>
        <w:t>、基金托管协议的内容摘要</w:t>
      </w:r>
      <w:bookmarkEnd w:id="138"/>
    </w:p>
    <w:bookmarkEnd w:id="139"/>
    <w:bookmarkEnd w:id="140"/>
    <w:p w:rsidR="00C46C6D" w:rsidRPr="00FD5C9F" w:rsidP="005046B2">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一</w:t>
      </w:r>
      <w:r w:rsidRPr="00FD5C9F">
        <w:rPr>
          <w:rFonts w:asciiTheme="minorEastAsia" w:eastAsiaTheme="minorEastAsia" w:hAnsiTheme="minorEastAsia"/>
          <w:bCs/>
          <w:color w:val="000000" w:themeColor="text1"/>
          <w:szCs w:val="21"/>
        </w:rPr>
        <w:t>、</w:t>
      </w:r>
      <w:r w:rsidRPr="00FD5C9F">
        <w:rPr>
          <w:rFonts w:asciiTheme="minorEastAsia" w:eastAsiaTheme="minorEastAsia" w:hAnsiTheme="minorEastAsia" w:hint="eastAsia"/>
          <w:bCs/>
          <w:color w:val="000000" w:themeColor="text1"/>
          <w:szCs w:val="21"/>
        </w:rPr>
        <w:t>托管协议当事人</w:t>
      </w:r>
    </w:p>
    <w:p w:rsidR="007F5A46" w:rsidRPr="00FD5C9F" w:rsidP="006060D9">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（一）基金管理人（也可称资产管理人）</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名称：</w:t>
      </w:r>
      <w:r w:rsidRPr="00FD5C9F">
        <w:rPr>
          <w:rFonts w:asciiTheme="minorEastAsia" w:eastAsiaTheme="minorEastAsia" w:hAnsiTheme="minorEastAsia" w:hint="eastAsia"/>
          <w:color w:val="000000" w:themeColor="text1"/>
          <w:szCs w:val="21"/>
        </w:rPr>
        <w:t>易方达基金</w:t>
      </w:r>
      <w:r w:rsidRPr="00FD5C9F">
        <w:rPr>
          <w:rFonts w:asciiTheme="minorEastAsia" w:eastAsiaTheme="minorEastAsia" w:hAnsiTheme="minorEastAsia" w:hint="eastAsia"/>
          <w:color w:val="000000" w:themeColor="text1"/>
        </w:rPr>
        <w:t>管理有限公司</w:t>
      </w:r>
    </w:p>
    <w:p w:rsidR="007F5A46" w:rsidRPr="00FD5C9F" w:rsidP="007F5A46">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rPr>
        <w:t>住所：广东省珠海市横琴新区荣粤道188号6层</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办公地址：</w:t>
      </w:r>
      <w:r w:rsidRPr="00FD5C9F">
        <w:rPr>
          <w:rFonts w:asciiTheme="minorEastAsia" w:eastAsiaTheme="minorEastAsia" w:hAnsiTheme="minorEastAsia" w:hint="eastAsia"/>
          <w:color w:val="000000" w:themeColor="text1"/>
          <w:szCs w:val="21"/>
        </w:rPr>
        <w:t>广东省广州市珠江新城珠江东路 30 号广州银行大厦 40-43 楼</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邮政编码：</w:t>
      </w:r>
      <w:r w:rsidRPr="00FD5C9F">
        <w:rPr>
          <w:rFonts w:asciiTheme="minorEastAsia" w:eastAsiaTheme="minorEastAsia" w:hAnsiTheme="minorEastAsia"/>
          <w:color w:val="000000" w:themeColor="text1"/>
          <w:szCs w:val="21"/>
        </w:rPr>
        <w:t>510620</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法定代表人：</w:t>
      </w:r>
      <w:r w:rsidRPr="00FD5C9F">
        <w:rPr>
          <w:rFonts w:asciiTheme="minorEastAsia" w:eastAsiaTheme="minorEastAsia" w:hAnsiTheme="minorEastAsia" w:hint="eastAsia"/>
          <w:color w:val="000000" w:themeColor="text1"/>
          <w:szCs w:val="21"/>
        </w:rPr>
        <w:t>刘晓艳</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成立时间：</w:t>
      </w:r>
      <w:r w:rsidRPr="00FD5C9F">
        <w:rPr>
          <w:rFonts w:asciiTheme="minorEastAsia" w:eastAsiaTheme="minorEastAsia" w:hAnsiTheme="minorEastAsia" w:hint="eastAsia"/>
          <w:color w:val="000000" w:themeColor="text1"/>
          <w:szCs w:val="21"/>
        </w:rPr>
        <w:t>2001年4月17日</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批准设立机关：中国证券监督管理委员会</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批准设立文号：</w:t>
      </w:r>
      <w:r w:rsidRPr="00FD5C9F">
        <w:rPr>
          <w:rFonts w:asciiTheme="minorEastAsia" w:eastAsiaTheme="minorEastAsia" w:hAnsiTheme="minorEastAsia" w:hint="eastAsia"/>
          <w:color w:val="000000" w:themeColor="text1"/>
          <w:szCs w:val="21"/>
        </w:rPr>
        <w:t>证监基金字［2001］4 号</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组织形式：</w:t>
      </w:r>
      <w:r w:rsidRPr="00FD5C9F">
        <w:rPr>
          <w:rFonts w:asciiTheme="minorEastAsia" w:eastAsiaTheme="minorEastAsia" w:hAnsiTheme="minorEastAsia" w:hint="eastAsia"/>
          <w:color w:val="000000" w:themeColor="text1"/>
          <w:szCs w:val="21"/>
        </w:rPr>
        <w:t>有限责任公司</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注册资本：</w:t>
      </w:r>
      <w:r w:rsidRPr="00FD5C9F">
        <w:rPr>
          <w:rFonts w:asciiTheme="minorEastAsia" w:eastAsiaTheme="minorEastAsia" w:hAnsiTheme="minorEastAsia"/>
          <w:color w:val="000000" w:themeColor="text1"/>
          <w:szCs w:val="21"/>
        </w:rPr>
        <w:t>13</w:t>
      </w:r>
      <w:r w:rsidRPr="00FD5C9F">
        <w:rPr>
          <w:rFonts w:asciiTheme="minorEastAsia" w:eastAsiaTheme="minorEastAsia" w:hAnsiTheme="minorEastAsia" w:hint="eastAsia"/>
          <w:color w:val="000000" w:themeColor="text1"/>
          <w:szCs w:val="21"/>
        </w:rPr>
        <w:t>,2</w:t>
      </w:r>
      <w:r w:rsidRPr="00FD5C9F">
        <w:rPr>
          <w:rFonts w:asciiTheme="minorEastAsia" w:eastAsiaTheme="minorEastAsia" w:hAnsiTheme="minorEastAsia"/>
          <w:color w:val="000000" w:themeColor="text1"/>
          <w:szCs w:val="21"/>
        </w:rPr>
        <w:t>44.2</w:t>
      </w:r>
      <w:r w:rsidRPr="00FD5C9F">
        <w:rPr>
          <w:rFonts w:asciiTheme="minorEastAsia" w:eastAsiaTheme="minorEastAsia" w:hAnsiTheme="minorEastAsia" w:hint="eastAsia"/>
          <w:color w:val="000000" w:themeColor="text1"/>
          <w:szCs w:val="21"/>
        </w:rPr>
        <w:t>万元人民币</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存续期间：持续经营</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hint="eastAsia"/>
          <w:color w:val="000000" w:themeColor="text1"/>
        </w:rPr>
        <w:t>经营范围：</w:t>
      </w:r>
      <w:r w:rsidRPr="00FD5C9F">
        <w:rPr>
          <w:rFonts w:asciiTheme="minorEastAsia" w:eastAsiaTheme="minorEastAsia" w:hAnsiTheme="minorEastAsia" w:hint="eastAsia"/>
          <w:color w:val="000000" w:themeColor="text1"/>
          <w:szCs w:val="21"/>
        </w:rPr>
        <w:t>公开募集证券投资</w:t>
      </w:r>
      <w:r w:rsidRPr="00FD5C9F">
        <w:rPr>
          <w:rFonts w:asciiTheme="minorEastAsia" w:eastAsiaTheme="minorEastAsia" w:hAnsiTheme="minorEastAsia" w:hint="eastAsia"/>
          <w:color w:val="000000" w:themeColor="text1"/>
        </w:rPr>
        <w:t>基金</w:t>
      </w:r>
      <w:r w:rsidRPr="00FD5C9F">
        <w:rPr>
          <w:rFonts w:asciiTheme="minorEastAsia" w:eastAsiaTheme="minorEastAsia" w:hAnsiTheme="minorEastAsia" w:hint="eastAsia"/>
          <w:color w:val="000000" w:themeColor="text1"/>
          <w:szCs w:val="21"/>
        </w:rPr>
        <w:t>管理、</w:t>
      </w:r>
      <w:r w:rsidRPr="00FD5C9F">
        <w:rPr>
          <w:rFonts w:asciiTheme="minorEastAsia" w:eastAsiaTheme="minorEastAsia" w:hAnsiTheme="minorEastAsia" w:hint="eastAsia"/>
          <w:color w:val="000000" w:themeColor="text1"/>
        </w:rPr>
        <w:t>基金销售</w:t>
      </w:r>
      <w:r w:rsidRPr="00FD5C9F">
        <w:rPr>
          <w:rFonts w:asciiTheme="minorEastAsia" w:eastAsiaTheme="minorEastAsia" w:hAnsiTheme="minorEastAsia" w:hint="eastAsia"/>
          <w:color w:val="000000" w:themeColor="text1"/>
          <w:szCs w:val="21"/>
        </w:rPr>
        <w:t>、特定客户</w:t>
      </w:r>
      <w:r w:rsidRPr="00FD5C9F">
        <w:rPr>
          <w:rFonts w:asciiTheme="minorEastAsia" w:eastAsiaTheme="minorEastAsia" w:hAnsiTheme="minorEastAsia" w:hint="eastAsia"/>
          <w:color w:val="000000" w:themeColor="text1"/>
        </w:rPr>
        <w:t>资产管理</w:t>
      </w:r>
    </w:p>
    <w:p w:rsidR="007F5A46" w:rsidRPr="00FD5C9F" w:rsidP="006060D9">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（二）基金托管人（也可称资产托管人）</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名称：招商银行股份有限公司(简称：招商银行)</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住所：深圳市深南大道7088号招商银行大厦</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办公地址：深圳市深南大道7088号招商银行大厦</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邮政编码：518040</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法定代表人：</w:t>
      </w:r>
      <w:r w:rsidRPr="00FD5C9F" w:rsidR="008740C4">
        <w:rPr>
          <w:rFonts w:asciiTheme="minorEastAsia" w:eastAsiaTheme="minorEastAsia" w:hAnsiTheme="minorEastAsia" w:cs="Arial" w:hint="eastAsia"/>
          <w:color w:val="000000" w:themeColor="text1"/>
          <w:szCs w:val="21"/>
        </w:rPr>
        <w:t>缪建民</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成立时间：</w:t>
      </w:r>
      <w:smartTag w:uri="urn:schemas-microsoft-com:office:smarttags" w:element="chsdate">
        <w:smartTagPr>
          <w:attr w:name="Day" w:val="8"/>
          <w:attr w:name="IsLunarDate" w:val="False"/>
          <w:attr w:name="IsROCDate" w:val="False"/>
          <w:attr w:name="Month" w:val="4"/>
          <w:attr w:name="Year" w:val="1987"/>
        </w:smartTagPr>
        <w:r w:rsidRPr="00FD5C9F">
          <w:rPr>
            <w:rFonts w:asciiTheme="minorEastAsia" w:eastAsiaTheme="minorEastAsia" w:hAnsiTheme="minorEastAsia" w:cs="Arial" w:hint="eastAsia"/>
            <w:color w:val="000000" w:themeColor="text1"/>
            <w:szCs w:val="21"/>
          </w:rPr>
          <w:t>1987年4月8日</w:t>
        </w:r>
      </w:smartTag>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基金托管业务批准文号：证监基金字[2002]83号</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组织形式：股份有限公司</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注册资本：人民币252.20亿元</w:t>
      </w:r>
    </w:p>
    <w:p w:rsidR="007F5A46" w:rsidRPr="00FD5C9F" w:rsidP="007F5A46">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s="Arial" w:hint="eastAsia"/>
          <w:color w:val="000000" w:themeColor="text1"/>
          <w:szCs w:val="21"/>
        </w:rPr>
        <w:t>存续期间：持续经营</w:t>
      </w:r>
    </w:p>
    <w:p w:rsidR="00007B3B" w:rsidRPr="00FD5C9F" w:rsidP="007F5A46">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color w:val="000000" w:themeColor="text1"/>
          <w:szCs w:val="21"/>
        </w:rPr>
        <w:br w:type="page"/>
      </w:r>
    </w:p>
    <w:p w:rsidR="00C46C6D" w:rsidRPr="00FD5C9F" w:rsidP="005046B2">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二、基金托管人对基金管理人的业务监督和核查</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1.本基金的投资范围为：</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本基金的投资范围包括内地依法发行上市的股票（含中小板、创业板及其他依法发行、上市的股票</w:t>
      </w:r>
      <w:r w:rsidRPr="00FD5C9F" w:rsidR="002D6B21">
        <w:rPr>
          <w:rFonts w:asciiTheme="minorEastAsia" w:eastAsiaTheme="minorEastAsia" w:hAnsiTheme="minorEastAsia" w:cs="Arial" w:hint="eastAsia"/>
          <w:color w:val="000000" w:themeColor="text1"/>
          <w:szCs w:val="21"/>
        </w:rPr>
        <w:t>、存托凭证</w:t>
      </w:r>
      <w:r w:rsidRPr="00FD5C9F">
        <w:rPr>
          <w:rFonts w:asciiTheme="minorEastAsia" w:eastAsiaTheme="minorEastAsia" w:hAnsiTheme="minorEastAsia" w:cs="Arial" w:hint="eastAsia"/>
          <w:color w:val="000000" w:themeColor="text1"/>
          <w:szCs w:val="21"/>
        </w:rPr>
        <w:t>）、内地与香港股票市场交易互联互通机制允许买卖的香港证券市场股票（以下简称</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s="Arial" w:hint="eastAsia"/>
          <w:color w:val="000000" w:themeColor="text1"/>
          <w:szCs w:val="21"/>
        </w:rPr>
        <w:t>港股通股票</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s="Arial" w:hint="eastAsia"/>
          <w:color w:val="000000" w:themeColor="text1"/>
          <w:szCs w:val="21"/>
        </w:rPr>
        <w:t>）、内地依法发行、上市的债券（包括国债、央行票据、地方政府债、金融债、企业债、公司债、公开发行的次级债、中期票据、短期融资券、可转换债券、可交换债券等）、资产支持证券、债券回购、银行存款、同业存单、货币市场工具、股指期货、国债期货、股票期权及法律法规或中国证监会允许基金投资的其他金融工具。</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如法律法规或监管机构以后允许基金投资其他品种，基金管理人在履行适当程序后，本基金可以将其纳入投资范围。</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2.本基金各类品种的投资比例、投资限制为：</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color w:val="000000" w:themeColor="text1"/>
          <w:szCs w:val="21"/>
        </w:rPr>
        <w:t>基金的投资组合应遵循以下限制：</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w:t>
      </w:r>
      <w:r w:rsidRPr="00FD5C9F">
        <w:rPr>
          <w:rFonts w:asciiTheme="minorEastAsia" w:eastAsiaTheme="minorEastAsia" w:hAnsiTheme="minorEastAsia" w:cs="Arial" w:hint="eastAsia"/>
          <w:bCs/>
          <w:color w:val="000000" w:themeColor="text1"/>
          <w:szCs w:val="21"/>
        </w:rPr>
        <w:t>）本基金股票资产占基金资产的比例为</w:t>
      </w:r>
      <w:r w:rsidRPr="00FD5C9F">
        <w:rPr>
          <w:rFonts w:asciiTheme="minorEastAsia" w:eastAsiaTheme="minorEastAsia" w:hAnsiTheme="minorEastAsia" w:cs="Arial"/>
          <w:bCs/>
          <w:color w:val="000000" w:themeColor="text1"/>
          <w:szCs w:val="21"/>
        </w:rPr>
        <w:t>60%-95%</w:t>
      </w:r>
      <w:r w:rsidRPr="00FD5C9F">
        <w:rPr>
          <w:rFonts w:asciiTheme="minorEastAsia" w:eastAsiaTheme="minorEastAsia" w:hAnsiTheme="minorEastAsia" w:cs="Arial" w:hint="eastAsia"/>
          <w:bCs/>
          <w:color w:val="000000" w:themeColor="text1"/>
          <w:szCs w:val="21"/>
        </w:rPr>
        <w:t>（其中港股通股票不超过股票资产的</w:t>
      </w:r>
      <w:r w:rsidRPr="00FD5C9F">
        <w:rPr>
          <w:rFonts w:asciiTheme="minorEastAsia" w:eastAsiaTheme="minorEastAsia" w:hAnsiTheme="minorEastAsia" w:cs="Arial"/>
          <w:bCs/>
          <w:color w:val="000000" w:themeColor="text1"/>
          <w:szCs w:val="21"/>
        </w:rPr>
        <w:t>50%</w:t>
      </w:r>
      <w:r w:rsidRPr="00FD5C9F">
        <w:rPr>
          <w:rFonts w:asciiTheme="minorEastAsia" w:eastAsiaTheme="minorEastAsia" w:hAnsiTheme="minorEastAsia" w:cs="Arial" w:hint="eastAsia"/>
          <w:bCs/>
          <w:color w:val="000000" w:themeColor="text1"/>
          <w:szCs w:val="21"/>
        </w:rPr>
        <w:t>）；本基金非现金资产中不低于</w:t>
      </w:r>
      <w:r w:rsidRPr="00FD5C9F">
        <w:rPr>
          <w:rFonts w:asciiTheme="minorEastAsia" w:eastAsiaTheme="minorEastAsia" w:hAnsiTheme="minorEastAsia" w:cs="Arial"/>
          <w:bCs/>
          <w:color w:val="000000" w:themeColor="text1"/>
          <w:szCs w:val="21"/>
        </w:rPr>
        <w:t>80%</w:t>
      </w:r>
      <w:r w:rsidRPr="00FD5C9F">
        <w:rPr>
          <w:rFonts w:asciiTheme="minorEastAsia" w:eastAsiaTheme="minorEastAsia" w:hAnsiTheme="minorEastAsia" w:cs="Arial" w:hint="eastAsia"/>
          <w:bCs/>
          <w:color w:val="000000" w:themeColor="text1"/>
          <w:szCs w:val="21"/>
        </w:rPr>
        <w:t>的资产将投资于</w:t>
      </w:r>
      <w:r w:rsidRPr="00FD5C9F" w:rsidR="00395C8C">
        <w:rPr>
          <w:rFonts w:asciiTheme="minorEastAsia" w:eastAsiaTheme="minorEastAsia" w:hAnsiTheme="minorEastAsia" w:cs="Arial" w:hint="eastAsia"/>
          <w:bCs/>
          <w:color w:val="000000" w:themeColor="text1"/>
          <w:szCs w:val="21"/>
        </w:rPr>
        <w:t>创新成长主题相关</w:t>
      </w:r>
      <w:r w:rsidRPr="00FD5C9F" w:rsidR="00395C8C">
        <w:rPr>
          <w:rFonts w:asciiTheme="minorEastAsia" w:eastAsiaTheme="minorEastAsia" w:hAnsiTheme="minorEastAsia" w:cs="Arial"/>
          <w:bCs/>
          <w:color w:val="000000" w:themeColor="text1"/>
          <w:szCs w:val="21"/>
        </w:rPr>
        <w:t>公司</w:t>
      </w:r>
      <w:r w:rsidRPr="00FD5C9F">
        <w:rPr>
          <w:rFonts w:asciiTheme="minorEastAsia" w:eastAsiaTheme="minorEastAsia" w:hAnsiTheme="minorEastAsia" w:cs="Arial" w:hint="eastAsia"/>
          <w:bCs/>
          <w:color w:val="000000" w:themeColor="text1"/>
          <w:szCs w:val="21"/>
        </w:rPr>
        <w:t>。</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2</w:t>
      </w:r>
      <w:r w:rsidRPr="00FD5C9F">
        <w:rPr>
          <w:rFonts w:asciiTheme="minorEastAsia" w:eastAsiaTheme="minorEastAsia" w:hAnsiTheme="minorEastAsia" w:cs="Arial" w:hint="eastAsia"/>
          <w:bCs/>
          <w:color w:val="000000" w:themeColor="text1"/>
          <w:szCs w:val="21"/>
        </w:rPr>
        <w:t>）每个交易日日终，扣除股指期货、国债期货、股票期权合约需缴纳的交易保证金后，保持不低于基金资产净值</w:t>
      </w:r>
      <w:r w:rsidRPr="00FD5C9F">
        <w:rPr>
          <w:rFonts w:asciiTheme="minorEastAsia" w:eastAsiaTheme="minorEastAsia" w:hAnsiTheme="minorEastAsia" w:cs="Arial"/>
          <w:bCs/>
          <w:color w:val="000000" w:themeColor="text1"/>
          <w:szCs w:val="21"/>
        </w:rPr>
        <w:t>5</w:t>
      </w:r>
      <w:r w:rsidRPr="00FD5C9F">
        <w:rPr>
          <w:rFonts w:asciiTheme="minorEastAsia" w:eastAsiaTheme="minorEastAsia" w:hAnsiTheme="minorEastAsia" w:cs="Arial" w:hint="eastAsia"/>
          <w:bCs/>
          <w:color w:val="000000" w:themeColor="text1"/>
          <w:szCs w:val="21"/>
        </w:rPr>
        <w:t>％的现金或者到期日在一年以内的政府债券，其中现金不包括结算备付金、存出保证金和应收申购款等；</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3</w:t>
      </w:r>
      <w:r w:rsidRPr="00FD5C9F">
        <w:rPr>
          <w:rFonts w:asciiTheme="minorEastAsia" w:eastAsiaTheme="minorEastAsia" w:hAnsiTheme="minorEastAsia" w:cs="Arial" w:hint="eastAsia"/>
          <w:bCs/>
          <w:color w:val="000000" w:themeColor="text1"/>
          <w:szCs w:val="21"/>
        </w:rPr>
        <w:t>）本基金持有一家公司发行的证券（同一家公司在境内和香港同时上市的</w:t>
      </w:r>
      <w:r w:rsidRPr="00FD5C9F">
        <w:rPr>
          <w:rFonts w:asciiTheme="minorEastAsia" w:eastAsiaTheme="minorEastAsia" w:hAnsiTheme="minorEastAsia" w:cs="Arial"/>
          <w:bCs/>
          <w:color w:val="000000" w:themeColor="text1"/>
          <w:szCs w:val="21"/>
        </w:rPr>
        <w:t>A+H</w:t>
      </w:r>
      <w:r w:rsidRPr="00FD5C9F">
        <w:rPr>
          <w:rFonts w:asciiTheme="minorEastAsia" w:eastAsiaTheme="minorEastAsia" w:hAnsiTheme="minorEastAsia" w:cs="Arial" w:hint="eastAsia"/>
          <w:bCs/>
          <w:color w:val="000000" w:themeColor="text1"/>
          <w:szCs w:val="21"/>
        </w:rPr>
        <w:t>股合计计算），其市值不超过基金资产净值的</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4</w:t>
      </w:r>
      <w:r w:rsidRPr="00FD5C9F">
        <w:rPr>
          <w:rFonts w:asciiTheme="minorEastAsia" w:eastAsiaTheme="minorEastAsia" w:hAnsiTheme="minorEastAsia" w:cs="Arial" w:hint="eastAsia"/>
          <w:bCs/>
          <w:color w:val="000000" w:themeColor="text1"/>
          <w:szCs w:val="21"/>
        </w:rPr>
        <w:t>）本基金管理人管理的全部基金持有一家公司发行的证券（同一家公司在境内和香港同时上市的</w:t>
      </w:r>
      <w:r w:rsidRPr="00FD5C9F">
        <w:rPr>
          <w:rFonts w:asciiTheme="minorEastAsia" w:eastAsiaTheme="minorEastAsia" w:hAnsiTheme="minorEastAsia" w:cs="Arial"/>
          <w:bCs/>
          <w:color w:val="000000" w:themeColor="text1"/>
          <w:szCs w:val="21"/>
        </w:rPr>
        <w:t>A+H</w:t>
      </w:r>
      <w:r w:rsidRPr="00FD5C9F">
        <w:rPr>
          <w:rFonts w:asciiTheme="minorEastAsia" w:eastAsiaTheme="minorEastAsia" w:hAnsiTheme="minorEastAsia" w:cs="Arial" w:hint="eastAsia"/>
          <w:bCs/>
          <w:color w:val="000000" w:themeColor="text1"/>
          <w:szCs w:val="21"/>
        </w:rPr>
        <w:t>股合计计算），不超过该证券的</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％，完全按照有关指数的构成比例进行证券投资的基金品种可以不受此条款规定的比例限制；</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5</w:t>
      </w:r>
      <w:r w:rsidRPr="00FD5C9F">
        <w:rPr>
          <w:rFonts w:asciiTheme="minorEastAsia" w:eastAsiaTheme="minorEastAsia" w:hAnsiTheme="minorEastAsia" w:cs="Arial" w:hint="eastAsia"/>
          <w:bCs/>
          <w:color w:val="000000" w:themeColor="text1"/>
          <w:szCs w:val="21"/>
        </w:rPr>
        <w:t>）本基金投资于同一原始权益人的各类资产支持证券的比例，不得超过基金资产净值的</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6</w:t>
      </w:r>
      <w:r w:rsidRPr="00FD5C9F">
        <w:rPr>
          <w:rFonts w:asciiTheme="minorEastAsia" w:eastAsiaTheme="minorEastAsia" w:hAnsiTheme="minorEastAsia" w:cs="Arial" w:hint="eastAsia"/>
          <w:bCs/>
          <w:color w:val="000000" w:themeColor="text1"/>
          <w:szCs w:val="21"/>
        </w:rPr>
        <w:t>）本基金持有的全部资产支持证券，其市值不得超过基金资产净值的</w:t>
      </w:r>
      <w:r w:rsidRPr="00FD5C9F">
        <w:rPr>
          <w:rFonts w:asciiTheme="minorEastAsia" w:eastAsiaTheme="minorEastAsia" w:hAnsiTheme="minorEastAsia" w:cs="Arial"/>
          <w:bCs/>
          <w:color w:val="000000" w:themeColor="text1"/>
          <w:szCs w:val="21"/>
        </w:rPr>
        <w:t>20</w:t>
      </w:r>
      <w:r w:rsidRPr="00FD5C9F">
        <w:rPr>
          <w:rFonts w:asciiTheme="minorEastAsia" w:eastAsiaTheme="minorEastAsia" w:hAnsiTheme="minorEastAsia" w:cs="Arial" w:hint="eastAsia"/>
          <w:bCs/>
          <w:color w:val="000000" w:themeColor="text1"/>
          <w:szCs w:val="21"/>
        </w:rPr>
        <w:t>％；</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7</w:t>
      </w:r>
      <w:r w:rsidRPr="00FD5C9F">
        <w:rPr>
          <w:rFonts w:asciiTheme="minorEastAsia" w:eastAsiaTheme="minorEastAsia" w:hAnsiTheme="minorEastAsia" w:cs="Arial" w:hint="eastAsia"/>
          <w:bCs/>
          <w:color w:val="000000" w:themeColor="text1"/>
          <w:szCs w:val="21"/>
        </w:rPr>
        <w:t>）本基金持有的同一</w:t>
      </w:r>
      <w:r w:rsidRPr="00FD5C9F">
        <w:rPr>
          <w:rFonts w:asciiTheme="minorEastAsia" w:eastAsiaTheme="minorEastAsia" w:hAnsiTheme="minorEastAsia" w:cs="Arial"/>
          <w:bCs/>
          <w:color w:val="000000" w:themeColor="text1"/>
          <w:szCs w:val="21"/>
        </w:rPr>
        <w:t>(</w:t>
      </w:r>
      <w:r w:rsidRPr="00FD5C9F">
        <w:rPr>
          <w:rFonts w:asciiTheme="minorEastAsia" w:eastAsiaTheme="minorEastAsia" w:hAnsiTheme="minorEastAsia" w:cs="Arial" w:hint="eastAsia"/>
          <w:bCs/>
          <w:color w:val="000000" w:themeColor="text1"/>
          <w:szCs w:val="21"/>
        </w:rPr>
        <w:t>指同一信用级别</w:t>
      </w:r>
      <w:r w:rsidRPr="00FD5C9F">
        <w:rPr>
          <w:rFonts w:asciiTheme="minorEastAsia" w:eastAsiaTheme="minorEastAsia" w:hAnsiTheme="minorEastAsia" w:cs="Arial"/>
          <w:bCs/>
          <w:color w:val="000000" w:themeColor="text1"/>
          <w:szCs w:val="21"/>
        </w:rPr>
        <w:t>)</w:t>
      </w:r>
      <w:r w:rsidRPr="00FD5C9F">
        <w:rPr>
          <w:rFonts w:asciiTheme="minorEastAsia" w:eastAsiaTheme="minorEastAsia" w:hAnsiTheme="minorEastAsia" w:cs="Arial" w:hint="eastAsia"/>
          <w:bCs/>
          <w:color w:val="000000" w:themeColor="text1"/>
          <w:szCs w:val="21"/>
        </w:rPr>
        <w:t>资产支持证券的比例，不得超过该资产支持证券规模的</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8</w:t>
      </w:r>
      <w:r w:rsidRPr="00FD5C9F">
        <w:rPr>
          <w:rFonts w:asciiTheme="minorEastAsia" w:eastAsiaTheme="minorEastAsia" w:hAnsiTheme="minorEastAsia" w:cs="Arial" w:hint="eastAsia"/>
          <w:bCs/>
          <w:color w:val="000000" w:themeColor="text1"/>
          <w:szCs w:val="21"/>
        </w:rPr>
        <w:t>）本基金管理人管理的全部基金投资于同一原始权益人的各类资产支持证券，不得超过其各类资产支持证券合计规模的</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9</w:t>
      </w:r>
      <w:r w:rsidRPr="00FD5C9F">
        <w:rPr>
          <w:rFonts w:asciiTheme="minorEastAsia" w:eastAsiaTheme="minorEastAsia" w:hAnsiTheme="minorEastAsia" w:cs="Arial" w:hint="eastAsia"/>
          <w:bCs/>
          <w:color w:val="000000" w:themeColor="text1"/>
          <w:szCs w:val="21"/>
        </w:rPr>
        <w:t>）本基金应投资于信用级别评级为</w:t>
      </w:r>
      <w:r w:rsidRPr="00FD5C9F">
        <w:rPr>
          <w:rFonts w:asciiTheme="minorEastAsia" w:eastAsiaTheme="minorEastAsia" w:hAnsiTheme="minorEastAsia" w:cs="Arial"/>
          <w:bCs/>
          <w:color w:val="000000" w:themeColor="text1"/>
          <w:szCs w:val="21"/>
        </w:rPr>
        <w:t>BBB</w:t>
      </w:r>
      <w:r w:rsidRPr="00FD5C9F">
        <w:rPr>
          <w:rFonts w:asciiTheme="minorEastAsia" w:eastAsiaTheme="minorEastAsia" w:hAnsiTheme="minorEastAsia" w:cs="Arial" w:hint="eastAsia"/>
          <w:bCs/>
          <w:color w:val="000000" w:themeColor="text1"/>
          <w:szCs w:val="21"/>
        </w:rPr>
        <w:t>以上</w:t>
      </w:r>
      <w:r w:rsidRPr="00FD5C9F">
        <w:rPr>
          <w:rFonts w:asciiTheme="minorEastAsia" w:eastAsiaTheme="minorEastAsia" w:hAnsiTheme="minorEastAsia" w:cs="Arial"/>
          <w:bCs/>
          <w:color w:val="000000" w:themeColor="text1"/>
          <w:szCs w:val="21"/>
        </w:rPr>
        <w:t>(</w:t>
      </w:r>
      <w:r w:rsidRPr="00FD5C9F">
        <w:rPr>
          <w:rFonts w:asciiTheme="minorEastAsia" w:eastAsiaTheme="minorEastAsia" w:hAnsiTheme="minorEastAsia" w:cs="Arial" w:hint="eastAsia"/>
          <w:bCs/>
          <w:color w:val="000000" w:themeColor="text1"/>
          <w:szCs w:val="21"/>
        </w:rPr>
        <w:t>含</w:t>
      </w:r>
      <w:r w:rsidRPr="00FD5C9F">
        <w:rPr>
          <w:rFonts w:asciiTheme="minorEastAsia" w:eastAsiaTheme="minorEastAsia" w:hAnsiTheme="minorEastAsia" w:cs="Arial"/>
          <w:bCs/>
          <w:color w:val="000000" w:themeColor="text1"/>
          <w:szCs w:val="21"/>
        </w:rPr>
        <w:t>BBB)</w:t>
      </w:r>
      <w:r w:rsidRPr="00FD5C9F">
        <w:rPr>
          <w:rFonts w:asciiTheme="minorEastAsia" w:eastAsiaTheme="minorEastAsia" w:hAnsiTheme="minorEastAsia" w:cs="Arial" w:hint="eastAsia"/>
          <w:bCs/>
          <w:color w:val="000000" w:themeColor="text1"/>
          <w:szCs w:val="21"/>
        </w:rPr>
        <w:t>的资产支持证券。基金持有资产支持证券期间，如果其信用等级下降、不再符合投资标准，应在评级报告发布之日起</w:t>
      </w:r>
      <w:r w:rsidRPr="00FD5C9F">
        <w:rPr>
          <w:rFonts w:asciiTheme="minorEastAsia" w:eastAsiaTheme="minorEastAsia" w:hAnsiTheme="minorEastAsia" w:cs="Arial"/>
          <w:bCs/>
          <w:color w:val="000000" w:themeColor="text1"/>
          <w:szCs w:val="21"/>
        </w:rPr>
        <w:t>3</w:t>
      </w:r>
      <w:r w:rsidRPr="00FD5C9F">
        <w:rPr>
          <w:rFonts w:asciiTheme="minorEastAsia" w:eastAsiaTheme="minorEastAsia" w:hAnsiTheme="minorEastAsia" w:cs="Arial" w:hint="eastAsia"/>
          <w:bCs/>
          <w:color w:val="000000" w:themeColor="text1"/>
          <w:szCs w:val="21"/>
        </w:rPr>
        <w:t>个月内予以全部卖出；</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）基金财产参与股票发行申购，本基金所申报的金额不超过本基金的总资产，本基金所申报的股票数量不超过拟发行股票公司本次发行股票的总量；</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11</w:t>
      </w:r>
      <w:r w:rsidRPr="00FD5C9F">
        <w:rPr>
          <w:rFonts w:asciiTheme="minorEastAsia" w:eastAsiaTheme="minorEastAsia" w:hAnsiTheme="minorEastAsia" w:cs="Arial" w:hint="eastAsia"/>
          <w:bCs/>
          <w:color w:val="000000" w:themeColor="text1"/>
          <w:szCs w:val="21"/>
        </w:rPr>
        <w:t>）本基金进入全国银行间同业市场进行债券回购的资金余额不得超过基金资产净值的</w:t>
      </w:r>
      <w:r w:rsidRPr="00FD5C9F">
        <w:rPr>
          <w:rFonts w:asciiTheme="minorEastAsia" w:eastAsiaTheme="minorEastAsia" w:hAnsiTheme="minorEastAsia" w:cs="Arial"/>
          <w:bCs/>
          <w:color w:val="000000" w:themeColor="text1"/>
          <w:szCs w:val="21"/>
        </w:rPr>
        <w:t>40%</w:t>
      </w:r>
      <w:r w:rsidRPr="00FD5C9F">
        <w:rPr>
          <w:rFonts w:asciiTheme="minorEastAsia" w:eastAsiaTheme="minorEastAsia" w:hAnsiTheme="minorEastAsia" w:cs="Arial" w:hint="eastAsia"/>
          <w:bCs/>
          <w:color w:val="000000" w:themeColor="text1"/>
          <w:szCs w:val="21"/>
        </w:rPr>
        <w:t>，进入全国银行间同业市场进行债券回购的最长期限为</w:t>
      </w:r>
      <w:r w:rsidRPr="00FD5C9F">
        <w:rPr>
          <w:rFonts w:asciiTheme="minorEastAsia" w:eastAsiaTheme="minorEastAsia" w:hAnsiTheme="minorEastAsia" w:cs="Arial"/>
          <w:bCs/>
          <w:color w:val="000000" w:themeColor="text1"/>
          <w:szCs w:val="21"/>
        </w:rPr>
        <w:t>1</w:t>
      </w:r>
      <w:r w:rsidRPr="00FD5C9F">
        <w:rPr>
          <w:rFonts w:asciiTheme="minorEastAsia" w:eastAsiaTheme="minorEastAsia" w:hAnsiTheme="minorEastAsia" w:cs="Arial" w:hint="eastAsia"/>
          <w:bCs/>
          <w:color w:val="000000" w:themeColor="text1"/>
          <w:szCs w:val="21"/>
        </w:rPr>
        <w:t>年，债券回购到期后不得展期；</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12</w:t>
      </w:r>
      <w:r w:rsidRPr="00FD5C9F">
        <w:rPr>
          <w:rFonts w:asciiTheme="minorEastAsia" w:eastAsiaTheme="minorEastAsia" w:hAnsiTheme="minorEastAsia" w:cs="Arial" w:hint="eastAsia"/>
          <w:bCs/>
          <w:color w:val="000000" w:themeColor="text1"/>
          <w:szCs w:val="21"/>
        </w:rPr>
        <w:t>）本基金管理人管理的全部开放式基金持有一家上市公司发行的可流通股票，不得超过该上市公司可流通股票的</w:t>
      </w:r>
      <w:r w:rsidRPr="00FD5C9F">
        <w:rPr>
          <w:rFonts w:asciiTheme="minorEastAsia" w:eastAsiaTheme="minorEastAsia" w:hAnsiTheme="minorEastAsia" w:cs="Arial"/>
          <w:bCs/>
          <w:color w:val="000000" w:themeColor="text1"/>
          <w:szCs w:val="21"/>
        </w:rPr>
        <w:t>15%</w:t>
      </w:r>
      <w:r w:rsidRPr="00FD5C9F">
        <w:rPr>
          <w:rFonts w:asciiTheme="minorEastAsia" w:eastAsiaTheme="minorEastAsia" w:hAnsiTheme="minorEastAsia" w:cs="Arial" w:hint="eastAsia"/>
          <w:bCs/>
          <w:color w:val="000000" w:themeColor="text1"/>
          <w:szCs w:val="21"/>
        </w:rPr>
        <w:t>；本基金管理人管理的全部投资组合持有一家上市公司发行的可流通股票，不得超过该上市公司可流通股票的</w:t>
      </w:r>
      <w:r w:rsidRPr="00FD5C9F">
        <w:rPr>
          <w:rFonts w:asciiTheme="minorEastAsia" w:eastAsiaTheme="minorEastAsia" w:hAnsiTheme="minorEastAsia" w:cs="Arial"/>
          <w:bCs/>
          <w:color w:val="000000" w:themeColor="text1"/>
          <w:szCs w:val="21"/>
        </w:rPr>
        <w:t>30%</w:t>
      </w:r>
      <w:r w:rsidRPr="00FD5C9F">
        <w:rPr>
          <w:rFonts w:asciiTheme="minorEastAsia" w:eastAsiaTheme="minorEastAsia" w:hAnsiTheme="minorEastAsia" w:cs="Arial" w:hint="eastAsia"/>
          <w:bCs/>
          <w:color w:val="000000" w:themeColor="text1"/>
          <w:szCs w:val="21"/>
        </w:rPr>
        <w:t>，完全按照有关指数的构成比例进行证券投资的开放式基金以及中国证监会认定的特殊投资组合可不受前述比例限制；</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13</w:t>
      </w:r>
      <w:r w:rsidRPr="00FD5C9F">
        <w:rPr>
          <w:rFonts w:asciiTheme="minorEastAsia" w:eastAsiaTheme="minorEastAsia" w:hAnsiTheme="minorEastAsia" w:cs="Arial" w:hint="eastAsia"/>
          <w:bCs/>
          <w:color w:val="000000" w:themeColor="text1"/>
          <w:szCs w:val="21"/>
        </w:rPr>
        <w:t>）本基金主动投资于流动性受限资产的市值合计不得超过该基金资产净值的</w:t>
      </w:r>
      <w:r w:rsidRPr="00FD5C9F">
        <w:rPr>
          <w:rFonts w:asciiTheme="minorEastAsia" w:eastAsiaTheme="minorEastAsia" w:hAnsiTheme="minorEastAsia" w:cs="Arial"/>
          <w:bCs/>
          <w:color w:val="000000" w:themeColor="text1"/>
          <w:szCs w:val="21"/>
        </w:rPr>
        <w:t>15%</w:t>
      </w:r>
      <w:r w:rsidRPr="00FD5C9F">
        <w:rPr>
          <w:rFonts w:asciiTheme="minorEastAsia" w:eastAsiaTheme="minorEastAsia" w:hAnsiTheme="minorEastAsia" w:cs="Arial" w:hint="eastAsia"/>
          <w:bCs/>
          <w:color w:val="000000" w:themeColor="text1"/>
          <w:szCs w:val="21"/>
        </w:rPr>
        <w:t>；因证券市场波动、上市公司股票停牌、基金规模变动等基金管理人之外的因素致使基金不符合该比例限制的，基金管理人不得主动新增流动性受限资产的投资；</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14</w:t>
      </w:r>
      <w:r w:rsidRPr="00FD5C9F">
        <w:rPr>
          <w:rFonts w:asciiTheme="minorEastAsia" w:eastAsiaTheme="minorEastAsia" w:hAnsiTheme="minorEastAsia" w:cs="Arial" w:hint="eastAsia"/>
          <w:bCs/>
          <w:color w:val="000000" w:themeColor="text1"/>
          <w:szCs w:val="21"/>
        </w:rPr>
        <w:t>）本基金与私募类证券资管产品及中国证监会认定的其</w:t>
      </w:r>
      <w:r w:rsidRPr="00FD5C9F">
        <w:rPr>
          <w:rFonts w:asciiTheme="minorEastAsia" w:eastAsiaTheme="minorEastAsia" w:hAnsiTheme="minorEastAsia" w:cs="Arial"/>
          <w:bCs/>
          <w:color w:val="000000" w:themeColor="text1"/>
          <w:szCs w:val="21"/>
        </w:rPr>
        <w:t>他主体为交易对手开展逆回购交易的，可接受质押品的资质要求应当与</w:t>
      </w:r>
      <w:r w:rsidRPr="00FD5C9F">
        <w:rPr>
          <w:rFonts w:asciiTheme="minorEastAsia" w:eastAsiaTheme="minorEastAsia" w:hAnsiTheme="minorEastAsia" w:cs="Arial" w:hint="eastAsia"/>
          <w:bCs/>
          <w:color w:val="000000" w:themeColor="text1"/>
          <w:szCs w:val="21"/>
        </w:rPr>
        <w:t>基金合同约定的投资范围保持一致；</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15</w:t>
      </w:r>
      <w:r w:rsidRPr="00FD5C9F">
        <w:rPr>
          <w:rFonts w:asciiTheme="minorEastAsia" w:eastAsiaTheme="minorEastAsia" w:hAnsiTheme="minorEastAsia" w:cs="Arial" w:hint="eastAsia"/>
          <w:bCs/>
          <w:color w:val="000000" w:themeColor="text1"/>
          <w:szCs w:val="21"/>
        </w:rPr>
        <w:t>）本基金资产总值不超过基金资产净值的</w:t>
      </w:r>
      <w:r w:rsidRPr="00FD5C9F">
        <w:rPr>
          <w:rFonts w:asciiTheme="minorEastAsia" w:eastAsiaTheme="minorEastAsia" w:hAnsiTheme="minorEastAsia" w:cs="Arial"/>
          <w:bCs/>
          <w:color w:val="000000" w:themeColor="text1"/>
          <w:szCs w:val="21"/>
        </w:rPr>
        <w:t>140%</w:t>
      </w:r>
      <w:r w:rsidRPr="00FD5C9F">
        <w:rPr>
          <w:rFonts w:asciiTheme="minorEastAsia" w:eastAsiaTheme="minorEastAsia" w:hAnsiTheme="minorEastAsia" w:cs="Arial" w:hint="eastAsia"/>
          <w:bCs/>
          <w:color w:val="000000" w:themeColor="text1"/>
          <w:szCs w:val="21"/>
        </w:rPr>
        <w:t>；</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16</w:t>
      </w:r>
      <w:r w:rsidRPr="00FD5C9F">
        <w:rPr>
          <w:rFonts w:asciiTheme="minorEastAsia" w:eastAsiaTheme="minorEastAsia" w:hAnsiTheme="minorEastAsia" w:cs="Arial" w:hint="eastAsia"/>
          <w:bCs/>
          <w:color w:val="000000" w:themeColor="text1"/>
          <w:szCs w:val="21"/>
        </w:rPr>
        <w:t>）本基金参与股指期货交易，应当遵守下列要求：本基金在任何交易日日终，持有的买入股指期货合约价值不得超过基金资产净值的</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；在任何交易日日终，持有的买入国债期货和股指期货合约价值与有价证券市值之和，不得超过基金资产净值的</w:t>
      </w:r>
      <w:r w:rsidRPr="00FD5C9F">
        <w:rPr>
          <w:rFonts w:asciiTheme="minorEastAsia" w:eastAsiaTheme="minorEastAsia" w:hAnsiTheme="minorEastAsia" w:cs="Arial"/>
          <w:bCs/>
          <w:color w:val="000000" w:themeColor="text1"/>
          <w:szCs w:val="21"/>
        </w:rPr>
        <w:t>95%</w:t>
      </w:r>
      <w:r w:rsidRPr="00FD5C9F">
        <w:rPr>
          <w:rFonts w:asciiTheme="minorEastAsia" w:eastAsiaTheme="minorEastAsia" w:hAnsiTheme="minorEastAsia" w:cs="Arial" w:hint="eastAsia"/>
          <w:bCs/>
          <w:color w:val="000000" w:themeColor="text1"/>
          <w:szCs w:val="21"/>
        </w:rPr>
        <w:t>，其中，有价证券指股票、债券（不含到期日在一年以内的政府债券）、资产支持证券、买入返售金融资产（不含质押式回购）等；在任何交易日终，持有的卖出股指期货合约价值不得超过基金持有的股票总市值的</w:t>
      </w:r>
      <w:r w:rsidRPr="00FD5C9F">
        <w:rPr>
          <w:rFonts w:asciiTheme="minorEastAsia" w:eastAsiaTheme="minorEastAsia" w:hAnsiTheme="minorEastAsia" w:cs="Arial"/>
          <w:bCs/>
          <w:color w:val="000000" w:themeColor="text1"/>
          <w:szCs w:val="21"/>
        </w:rPr>
        <w:t>20%</w:t>
      </w:r>
      <w:r w:rsidRPr="00FD5C9F">
        <w:rPr>
          <w:rFonts w:asciiTheme="minorEastAsia" w:eastAsiaTheme="minorEastAsia" w:hAnsiTheme="minorEastAsia" w:cs="Arial" w:hint="eastAsia"/>
          <w:bCs/>
          <w:color w:val="000000" w:themeColor="text1"/>
          <w:szCs w:val="21"/>
        </w:rPr>
        <w:t>；本基金所持有的股票市值和买入、卖出股指期货合约价值，合计（轧差计算）应当符合基金合同关于股票投资比例的有关约定；在任何交易日内交易</w:t>
      </w:r>
      <w:r w:rsidRPr="00FD5C9F">
        <w:rPr>
          <w:rFonts w:asciiTheme="minorEastAsia" w:eastAsiaTheme="minorEastAsia" w:hAnsiTheme="minorEastAsia" w:cs="Arial"/>
          <w:bCs/>
          <w:color w:val="000000" w:themeColor="text1"/>
          <w:szCs w:val="21"/>
        </w:rPr>
        <w:t>(</w:t>
      </w:r>
      <w:r w:rsidRPr="00FD5C9F">
        <w:rPr>
          <w:rFonts w:asciiTheme="minorEastAsia" w:eastAsiaTheme="minorEastAsia" w:hAnsiTheme="minorEastAsia" w:cs="Arial" w:hint="eastAsia"/>
          <w:bCs/>
          <w:color w:val="000000" w:themeColor="text1"/>
          <w:szCs w:val="21"/>
        </w:rPr>
        <w:t>不包括平仓</w:t>
      </w:r>
      <w:r w:rsidRPr="00FD5C9F">
        <w:rPr>
          <w:rFonts w:asciiTheme="minorEastAsia" w:eastAsiaTheme="minorEastAsia" w:hAnsiTheme="minorEastAsia" w:cs="Arial"/>
          <w:bCs/>
          <w:color w:val="000000" w:themeColor="text1"/>
          <w:szCs w:val="21"/>
        </w:rPr>
        <w:t>)</w:t>
      </w:r>
      <w:r w:rsidRPr="00FD5C9F">
        <w:rPr>
          <w:rFonts w:asciiTheme="minorEastAsia" w:eastAsiaTheme="minorEastAsia" w:hAnsiTheme="minorEastAsia" w:cs="Arial" w:hint="eastAsia"/>
          <w:bCs/>
          <w:color w:val="000000" w:themeColor="text1"/>
          <w:szCs w:val="21"/>
        </w:rPr>
        <w:t>的股指期货合约的成交金额不得超过上一交易日基金资产净值的</w:t>
      </w:r>
      <w:r w:rsidRPr="00FD5C9F">
        <w:rPr>
          <w:rFonts w:asciiTheme="minorEastAsia" w:eastAsiaTheme="minorEastAsia" w:hAnsiTheme="minorEastAsia" w:cs="Arial"/>
          <w:bCs/>
          <w:color w:val="000000" w:themeColor="text1"/>
          <w:szCs w:val="21"/>
        </w:rPr>
        <w:t>20%</w:t>
      </w:r>
      <w:r w:rsidRPr="00FD5C9F">
        <w:rPr>
          <w:rFonts w:asciiTheme="minorEastAsia" w:eastAsiaTheme="minorEastAsia" w:hAnsiTheme="minorEastAsia" w:cs="Arial" w:hint="eastAsia"/>
          <w:bCs/>
          <w:color w:val="000000" w:themeColor="text1"/>
          <w:szCs w:val="21"/>
        </w:rPr>
        <w:t>；</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17</w:t>
      </w:r>
      <w:r w:rsidRPr="00FD5C9F">
        <w:rPr>
          <w:rFonts w:asciiTheme="minorEastAsia" w:eastAsiaTheme="minorEastAsia" w:hAnsiTheme="minorEastAsia" w:cs="Arial" w:hint="eastAsia"/>
          <w:bCs/>
          <w:color w:val="000000" w:themeColor="text1"/>
          <w:szCs w:val="21"/>
        </w:rPr>
        <w:t>）本基金参与国债期货交易，应当遵守下列要求：在任何交易日日终，本基金持有的买入国债期货合约价值，不得超过基金资产净值的</w:t>
      </w:r>
      <w:r w:rsidRPr="00FD5C9F">
        <w:rPr>
          <w:rFonts w:asciiTheme="minorEastAsia" w:eastAsiaTheme="minorEastAsia" w:hAnsiTheme="minorEastAsia" w:cs="Arial"/>
          <w:bCs/>
          <w:color w:val="000000" w:themeColor="text1"/>
          <w:szCs w:val="21"/>
        </w:rPr>
        <w:t>15%</w:t>
      </w:r>
      <w:r w:rsidRPr="00FD5C9F">
        <w:rPr>
          <w:rFonts w:asciiTheme="minorEastAsia" w:eastAsiaTheme="minorEastAsia" w:hAnsiTheme="minorEastAsia" w:cs="Arial" w:hint="eastAsia"/>
          <w:bCs/>
          <w:color w:val="000000" w:themeColor="text1"/>
          <w:szCs w:val="21"/>
        </w:rPr>
        <w:t>；本基金在任何交易日日终，持有的卖出国债期货合约价值不得超过基金持有的债券总市值的</w:t>
      </w:r>
      <w:r w:rsidRPr="00FD5C9F">
        <w:rPr>
          <w:rFonts w:asciiTheme="minorEastAsia" w:eastAsiaTheme="minorEastAsia" w:hAnsiTheme="minorEastAsia" w:cs="Arial"/>
          <w:bCs/>
          <w:color w:val="000000" w:themeColor="text1"/>
          <w:szCs w:val="21"/>
        </w:rPr>
        <w:t>30%</w:t>
      </w:r>
      <w:r w:rsidRPr="00FD5C9F">
        <w:rPr>
          <w:rFonts w:asciiTheme="minorEastAsia" w:eastAsiaTheme="minorEastAsia" w:hAnsiTheme="minorEastAsia" w:cs="Arial" w:hint="eastAsia"/>
          <w:bCs/>
          <w:color w:val="000000" w:themeColor="text1"/>
          <w:szCs w:val="21"/>
        </w:rPr>
        <w:t>；本基金在任何交易日内交易（不包括平仓）的国债期货合约的成交金额不得超过上一交易日基金资产净值的</w:t>
      </w:r>
      <w:r w:rsidRPr="00FD5C9F">
        <w:rPr>
          <w:rFonts w:asciiTheme="minorEastAsia" w:eastAsiaTheme="minorEastAsia" w:hAnsiTheme="minorEastAsia" w:cs="Arial"/>
          <w:bCs/>
          <w:color w:val="000000" w:themeColor="text1"/>
          <w:szCs w:val="21"/>
        </w:rPr>
        <w:t>30%</w:t>
      </w:r>
      <w:r w:rsidRPr="00FD5C9F">
        <w:rPr>
          <w:rFonts w:asciiTheme="minorEastAsia" w:eastAsiaTheme="minorEastAsia" w:hAnsiTheme="minorEastAsia" w:cs="Arial" w:hint="eastAsia"/>
          <w:bCs/>
          <w:color w:val="000000" w:themeColor="text1"/>
          <w:szCs w:val="21"/>
        </w:rPr>
        <w:t>；本基金所持有的债券（不含到期日在一年以内的政府债券）市值和买入、卖出国债期货合约价值，合计（轧差计算）应当符合基金合同关于债券投资比例的有关约定；</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18</w:t>
      </w:r>
      <w:r w:rsidRPr="00FD5C9F">
        <w:rPr>
          <w:rFonts w:asciiTheme="minorEastAsia" w:eastAsiaTheme="minorEastAsia" w:hAnsiTheme="minorEastAsia" w:cs="Arial" w:hint="eastAsia"/>
          <w:bCs/>
          <w:color w:val="000000" w:themeColor="text1"/>
          <w:szCs w:val="21"/>
        </w:rPr>
        <w:t>）本基金参与股票期权交易的，应当符合下列要求：基金因未平仓的期权合约支付和收取的权利金总额不得超过基金资产净值的</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FD5C9F">
        <w:rPr>
          <w:rFonts w:asciiTheme="minorEastAsia" w:eastAsiaTheme="minorEastAsia" w:hAnsiTheme="minorEastAsia" w:cs="Arial"/>
          <w:bCs/>
          <w:color w:val="000000" w:themeColor="text1"/>
          <w:szCs w:val="21"/>
        </w:rPr>
        <w:t>20%</w:t>
      </w:r>
      <w:r w:rsidRPr="00FD5C9F">
        <w:rPr>
          <w:rFonts w:asciiTheme="minorEastAsia" w:eastAsiaTheme="minorEastAsia" w:hAnsiTheme="minorEastAsia" w:cs="Arial" w:hint="eastAsia"/>
          <w:bCs/>
          <w:color w:val="000000" w:themeColor="text1"/>
          <w:szCs w:val="21"/>
        </w:rPr>
        <w:t>。其中，合约面值按照行权价乘以合约乘数计算；</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19</w:t>
      </w:r>
      <w:r w:rsidRPr="00FD5C9F">
        <w:rPr>
          <w:rFonts w:asciiTheme="minorEastAsia" w:eastAsiaTheme="minorEastAsia" w:hAnsiTheme="minorEastAsia" w:cs="Arial" w:hint="eastAsia"/>
          <w:bCs/>
          <w:color w:val="000000" w:themeColor="text1"/>
          <w:szCs w:val="21"/>
        </w:rPr>
        <w:t>）基金参与融资业务后，在任何交易日日终，持有的融资买入股票与其他有价证券市值之和，不得超过基金资产净值的</w:t>
      </w:r>
      <w:r w:rsidRPr="00FD5C9F">
        <w:rPr>
          <w:rFonts w:asciiTheme="minorEastAsia" w:eastAsiaTheme="minorEastAsia" w:hAnsiTheme="minorEastAsia" w:cs="Arial"/>
          <w:bCs/>
          <w:color w:val="000000" w:themeColor="text1"/>
          <w:szCs w:val="21"/>
        </w:rPr>
        <w:t>95%</w:t>
      </w:r>
      <w:r w:rsidRPr="00FD5C9F">
        <w:rPr>
          <w:rFonts w:asciiTheme="minorEastAsia" w:eastAsiaTheme="minorEastAsia" w:hAnsiTheme="minorEastAsia" w:cs="Arial" w:hint="eastAsia"/>
          <w:bCs/>
          <w:color w:val="000000" w:themeColor="text1"/>
          <w:szCs w:val="21"/>
        </w:rPr>
        <w:t>；</w:t>
      </w:r>
    </w:p>
    <w:p w:rsidR="002D6B21" w:rsidRPr="00FD5C9F" w:rsidP="002D6B21">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20</w:t>
      </w:r>
      <w:r w:rsidRPr="00FD5C9F">
        <w:rPr>
          <w:rFonts w:asciiTheme="minorEastAsia" w:eastAsiaTheme="minorEastAsia" w:hAnsiTheme="minorEastAsia" w:cs="Arial" w:hint="eastAsia"/>
          <w:bCs/>
          <w:color w:val="000000" w:themeColor="text1"/>
          <w:szCs w:val="21"/>
        </w:rPr>
        <w:t>）本基金投资存托凭证的比例限制依照境内上市交易的股票执行，与境内上市交易的股票合并计算；</w:t>
      </w:r>
    </w:p>
    <w:p w:rsidR="007F5A46" w:rsidRPr="00FD5C9F" w:rsidP="002D6B21">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（21）法律法规及中国证监会规定的和《基金合同》约定的其他投资限制。</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bCs/>
          <w:color w:val="000000" w:themeColor="text1"/>
          <w:szCs w:val="21"/>
        </w:rPr>
        <w:t>除上述（2）、（9）、</w:t>
      </w: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10</w:t>
      </w: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（13）、（14）情形之外，因证券市场波动、上市公司合并、基金规模变动等基金管理人之外的因素致使基金投资比例不符合上述规定投资比例的，基金管理人应当在10个交易日内进行调整</w:t>
      </w: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但中国证监会规定的特殊情形除外。</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基金管理人应当自基金合同生效之日起</w:t>
      </w:r>
      <w:r w:rsidRPr="00FD5C9F">
        <w:rPr>
          <w:rFonts w:asciiTheme="minorEastAsia" w:eastAsiaTheme="minorEastAsia" w:hAnsiTheme="minorEastAsia" w:cs="Arial"/>
          <w:bCs/>
          <w:color w:val="000000" w:themeColor="text1"/>
          <w:szCs w:val="21"/>
        </w:rPr>
        <w:t>6</w:t>
      </w:r>
      <w:r w:rsidRPr="00FD5C9F">
        <w:rPr>
          <w:rFonts w:asciiTheme="minorEastAsia" w:eastAsiaTheme="minorEastAsia" w:hAnsiTheme="minorEastAsia" w:cs="Arial" w:hint="eastAsia"/>
          <w:bCs/>
          <w:color w:val="000000" w:themeColor="text1"/>
          <w:szCs w:val="21"/>
        </w:rPr>
        <w:t>个月内使基金的投资组合比例符合基金合同的有关约定。</w:t>
      </w:r>
      <w:r w:rsidRPr="00FD5C9F">
        <w:rPr>
          <w:rFonts w:asciiTheme="minorEastAsia" w:eastAsiaTheme="minorEastAsia" w:hAnsiTheme="minorEastAsia" w:cs="Arial"/>
          <w:bCs/>
          <w:color w:val="000000" w:themeColor="text1"/>
          <w:szCs w:val="21"/>
        </w:rPr>
        <w:t>在上述期间内，本基金的投资范围</w:t>
      </w:r>
      <w:r w:rsidRPr="00FD5C9F">
        <w:rPr>
          <w:rFonts w:asciiTheme="minorEastAsia" w:eastAsiaTheme="minorEastAsia" w:hAnsiTheme="minorEastAsia" w:cs="Arial" w:hint="eastAsia"/>
          <w:bCs/>
          <w:color w:val="000000" w:themeColor="text1"/>
          <w:szCs w:val="21"/>
        </w:rPr>
        <w:t>、投资策略应当符合基金合同的约定。基金托管人对基金的投资的监督与检查自基金合同生效之日起开始。</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法律法规或监管部门取消或调整上述限制，则本基金投资不再受相关限制或按调整后的规定执行。</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3.本基金财产不得用于以下投资或者活动：</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1</w:t>
      </w:r>
      <w:r w:rsidRPr="00FD5C9F">
        <w:rPr>
          <w:rFonts w:asciiTheme="minorEastAsia" w:eastAsiaTheme="minorEastAsia" w:hAnsiTheme="minorEastAsia" w:cs="Arial" w:hint="eastAsia"/>
          <w:bCs/>
          <w:color w:val="000000" w:themeColor="text1"/>
          <w:szCs w:val="21"/>
        </w:rPr>
        <w:t>）承销证券；</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2</w:t>
      </w:r>
      <w:r w:rsidRPr="00FD5C9F">
        <w:rPr>
          <w:rFonts w:asciiTheme="minorEastAsia" w:eastAsiaTheme="minorEastAsia" w:hAnsiTheme="minorEastAsia" w:cs="Arial" w:hint="eastAsia"/>
          <w:bCs/>
          <w:color w:val="000000" w:themeColor="text1"/>
          <w:szCs w:val="21"/>
        </w:rPr>
        <w:t>）违反规定向他人贷款或者提供担保；</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3</w:t>
      </w:r>
      <w:r w:rsidRPr="00FD5C9F">
        <w:rPr>
          <w:rFonts w:asciiTheme="minorEastAsia" w:eastAsiaTheme="minorEastAsia" w:hAnsiTheme="minorEastAsia" w:cs="Arial" w:hint="eastAsia"/>
          <w:bCs/>
          <w:color w:val="000000" w:themeColor="text1"/>
          <w:szCs w:val="21"/>
        </w:rPr>
        <w:t>）从事承担无限责任的投资；</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4</w:t>
      </w:r>
      <w:r w:rsidRPr="00FD5C9F">
        <w:rPr>
          <w:rFonts w:asciiTheme="minorEastAsia" w:eastAsiaTheme="minorEastAsia" w:hAnsiTheme="minorEastAsia" w:cs="Arial" w:hint="eastAsia"/>
          <w:bCs/>
          <w:color w:val="000000" w:themeColor="text1"/>
          <w:szCs w:val="21"/>
        </w:rPr>
        <w:t>）向其基金管理人、基金托管人出资；</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5</w:t>
      </w:r>
      <w:r w:rsidRPr="00FD5C9F">
        <w:rPr>
          <w:rFonts w:asciiTheme="minorEastAsia" w:eastAsiaTheme="minorEastAsia" w:hAnsiTheme="minorEastAsia" w:cs="Arial" w:hint="eastAsia"/>
          <w:bCs/>
          <w:color w:val="000000" w:themeColor="text1"/>
          <w:szCs w:val="21"/>
        </w:rPr>
        <w:t>）从事内幕交易、操纵证券交易价格及其他不正当的证券交易活动；</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bCs/>
          <w:color w:val="000000" w:themeColor="text1"/>
          <w:szCs w:val="21"/>
        </w:rPr>
        <w:t>（</w:t>
      </w:r>
      <w:r w:rsidRPr="00FD5C9F">
        <w:rPr>
          <w:rFonts w:asciiTheme="minorEastAsia" w:eastAsiaTheme="minorEastAsia" w:hAnsiTheme="minorEastAsia" w:cs="Arial"/>
          <w:bCs/>
          <w:color w:val="000000" w:themeColor="text1"/>
          <w:szCs w:val="21"/>
        </w:rPr>
        <w:t>6</w:t>
      </w:r>
      <w:r w:rsidRPr="00FD5C9F">
        <w:rPr>
          <w:rFonts w:asciiTheme="minorEastAsia" w:eastAsiaTheme="minorEastAsia" w:hAnsiTheme="minorEastAsia" w:cs="Arial" w:hint="eastAsia"/>
          <w:bCs/>
          <w:color w:val="000000" w:themeColor="text1"/>
          <w:szCs w:val="21"/>
        </w:rPr>
        <w:t>）法律、行政法规和中国证监会规定禁止的其他活动。</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F5A46" w:rsidRPr="00FD5C9F" w:rsidP="007F5A46">
      <w:pPr>
        <w:spacing w:line="360" w:lineRule="auto"/>
        <w:ind w:firstLine="420" w:firstLineChars="200"/>
        <w:rPr>
          <w:rFonts w:asciiTheme="minorEastAsia" w:eastAsiaTheme="minorEastAsia" w:hAnsiTheme="minorEastAsia" w:cs="Arial"/>
          <w:bCs/>
          <w:color w:val="000000" w:themeColor="text1"/>
          <w:szCs w:val="21"/>
        </w:rPr>
      </w:pPr>
      <w:r w:rsidRPr="00FD5C9F">
        <w:rPr>
          <w:rFonts w:asciiTheme="minorEastAsia" w:eastAsiaTheme="minorEastAsia" w:hAnsiTheme="minorEastAsia" w:cs="Arial" w:hint="eastAsia"/>
          <w:color w:val="000000" w:themeColor="text1"/>
          <w:szCs w:val="21"/>
        </w:rPr>
        <w:t>5.</w:t>
      </w:r>
      <w:r w:rsidRPr="00FD5C9F">
        <w:rPr>
          <w:rFonts w:asciiTheme="minorEastAsia" w:eastAsiaTheme="minorEastAsia" w:hAnsiTheme="minorEastAsia" w:cs="Arial" w:hint="eastAsia"/>
          <w:bCs/>
          <w:color w:val="000000" w:themeColor="text1"/>
          <w:szCs w:val="21"/>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本基金投资银行存款应符合如下规定：</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hint="eastAsia"/>
          <w:color w:val="000000" w:themeColor="text1"/>
        </w:rPr>
        <w:t>本</w:t>
      </w:r>
      <w:r w:rsidRPr="00FD5C9F">
        <w:rPr>
          <w:rFonts w:asciiTheme="minorEastAsia" w:eastAsiaTheme="minorEastAsia" w:hAnsiTheme="minorEastAsia"/>
          <w:color w:val="000000" w:themeColor="text1"/>
        </w:rPr>
        <w:t>基金投资于有固定期限银行存款的比例</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olor w:val="000000" w:themeColor="text1"/>
        </w:rPr>
        <w:t>不得超过基金资产净值的</w:t>
      </w:r>
      <w:r w:rsidRPr="00FD5C9F">
        <w:rPr>
          <w:rFonts w:asciiTheme="minorEastAsia" w:eastAsiaTheme="minorEastAsia" w:hAnsiTheme="minorEastAsia" w:cs="Arial"/>
          <w:color w:val="000000" w:themeColor="text1"/>
          <w:szCs w:val="21"/>
        </w:rPr>
        <w:t xml:space="preserve"> </w:t>
      </w:r>
      <w:r w:rsidRPr="00FD5C9F">
        <w:rPr>
          <w:rFonts w:asciiTheme="minorEastAsia" w:eastAsiaTheme="minorEastAsia" w:hAnsiTheme="minorEastAsia"/>
          <w:color w:val="000000" w:themeColor="text1"/>
        </w:rPr>
        <w:t>30%</w:t>
      </w:r>
      <w:r w:rsidRPr="00FD5C9F">
        <w:rPr>
          <w:rFonts w:asciiTheme="minorEastAsia" w:eastAsiaTheme="minorEastAsia" w:hAnsiTheme="minorEastAsia" w:hint="eastAsia"/>
          <w:color w:val="000000" w:themeColor="text1"/>
        </w:rPr>
        <w:t>，但投资于有存款期限，根据协议可提前支取的银行存款</w:t>
      </w:r>
      <w:r w:rsidRPr="00FD5C9F">
        <w:rPr>
          <w:rFonts w:asciiTheme="minorEastAsia" w:eastAsiaTheme="minorEastAsia" w:hAnsiTheme="minorEastAsia"/>
          <w:color w:val="000000" w:themeColor="text1"/>
        </w:rPr>
        <w:t>不受上述比例限制</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s="Arial" w:hint="eastAsia"/>
          <w:color w:val="000000" w:themeColor="text1"/>
          <w:szCs w:val="21"/>
        </w:rPr>
        <w:t>本</w:t>
      </w:r>
      <w:r w:rsidRPr="00FD5C9F">
        <w:rPr>
          <w:rFonts w:asciiTheme="minorEastAsia" w:eastAsiaTheme="minorEastAsia" w:hAnsiTheme="minorEastAsia" w:cs="Arial"/>
          <w:color w:val="000000" w:themeColor="text1"/>
          <w:szCs w:val="21"/>
        </w:rPr>
        <w:t>基金</w:t>
      </w:r>
      <w:r w:rsidRPr="00FD5C9F">
        <w:rPr>
          <w:rFonts w:asciiTheme="minorEastAsia" w:eastAsiaTheme="minorEastAsia" w:hAnsiTheme="minorEastAsia"/>
          <w:color w:val="000000" w:themeColor="text1"/>
        </w:rPr>
        <w:t>投资于具有基金托管人资格的同一商业银行的银行存款、同业存单占基金资产净值的比例合计不得超过</w:t>
      </w:r>
      <w:r w:rsidRPr="00FD5C9F">
        <w:rPr>
          <w:rFonts w:asciiTheme="minorEastAsia" w:eastAsiaTheme="minorEastAsia" w:hAnsiTheme="minorEastAsia" w:cs="Arial"/>
          <w:color w:val="000000" w:themeColor="text1"/>
          <w:szCs w:val="21"/>
        </w:rPr>
        <w:t xml:space="preserve"> </w:t>
      </w:r>
      <w:r w:rsidRPr="00FD5C9F">
        <w:rPr>
          <w:rFonts w:asciiTheme="minorEastAsia" w:eastAsiaTheme="minorEastAsia" w:hAnsiTheme="minorEastAsia"/>
          <w:color w:val="000000" w:themeColor="text1"/>
        </w:rPr>
        <w:t>20%</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olor w:val="000000" w:themeColor="text1"/>
        </w:rPr>
        <w:t>投资于不具有基金托管人资格的同一商业银行的银行存款、同业存单占基金资产净值的比例合计不得超过</w:t>
      </w:r>
      <w:r w:rsidRPr="00FD5C9F">
        <w:rPr>
          <w:rFonts w:asciiTheme="minorEastAsia" w:eastAsiaTheme="minorEastAsia" w:hAnsiTheme="minorEastAsia" w:cs="Arial"/>
          <w:color w:val="000000" w:themeColor="text1"/>
          <w:szCs w:val="21"/>
        </w:rPr>
        <w:t xml:space="preserve"> </w:t>
      </w:r>
      <w:r w:rsidRPr="00FD5C9F">
        <w:rPr>
          <w:rFonts w:asciiTheme="minorEastAsia" w:eastAsiaTheme="minorEastAsia" w:hAnsiTheme="minorEastAsia"/>
          <w:color w:val="000000" w:themeColor="text1"/>
        </w:rPr>
        <w:t>5%</w:t>
      </w:r>
      <w:r w:rsidRPr="00FD5C9F">
        <w:rPr>
          <w:rFonts w:asciiTheme="minorEastAsia" w:eastAsiaTheme="minorEastAsia" w:hAnsiTheme="minorEastAsia" w:hint="eastAsia"/>
          <w:color w:val="000000" w:themeColor="text1"/>
        </w:rPr>
        <w:t>。</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有关法律法规或监管部门制定或修改新的定期存款投资政策，基金管理人履行适当程序后，可相应调整投资组合限制的规定。</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s="Arial" w:hint="eastAsia"/>
          <w:color w:val="000000" w:themeColor="text1"/>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w:t>
      </w:r>
      <w:r w:rsidRPr="00FD5C9F">
        <w:rPr>
          <w:rFonts w:asciiTheme="minorEastAsia" w:eastAsiaTheme="minorEastAsia" w:hAnsiTheme="minorEastAsia" w:cs="Arial"/>
          <w:color w:val="000000" w:themeColor="text1"/>
          <w:szCs w:val="21"/>
        </w:rPr>
        <w:t>1</w:t>
      </w:r>
      <w:r w:rsidRPr="00FD5C9F">
        <w:rPr>
          <w:rFonts w:asciiTheme="minorEastAsia" w:eastAsiaTheme="minorEastAsia" w:hAnsiTheme="minorEastAsia" w:cs="Arial" w:hint="eastAsia"/>
          <w:color w:val="000000" w:themeColor="text1"/>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w:t>
      </w:r>
      <w:r w:rsidRPr="00FD5C9F">
        <w:rPr>
          <w:rFonts w:asciiTheme="minorEastAsia" w:eastAsiaTheme="minorEastAsia" w:hAnsiTheme="minorEastAsia" w:cs="Arial"/>
          <w:color w:val="000000" w:themeColor="text1"/>
          <w:szCs w:val="21"/>
        </w:rPr>
        <w:t>2</w:t>
      </w:r>
      <w:r w:rsidRPr="00FD5C9F">
        <w:rPr>
          <w:rFonts w:asciiTheme="minorEastAsia" w:eastAsiaTheme="minorEastAsia" w:hAnsiTheme="minorEastAsia" w:cs="Arial" w:hint="eastAsia"/>
          <w:color w:val="000000" w:themeColor="text1"/>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w:t>
      </w:r>
      <w:r w:rsidRPr="00FD5C9F">
        <w:rPr>
          <w:rFonts w:asciiTheme="minorEastAsia" w:eastAsiaTheme="minorEastAsia" w:hAnsiTheme="minorEastAsia" w:cs="Arial"/>
          <w:color w:val="000000" w:themeColor="text1"/>
          <w:szCs w:val="21"/>
        </w:rPr>
        <w:t>3</w:t>
      </w:r>
      <w:r w:rsidRPr="00FD5C9F">
        <w:rPr>
          <w:rFonts w:asciiTheme="minorEastAsia" w:eastAsiaTheme="minorEastAsia" w:hAnsiTheme="minorEastAsia" w:cs="Arial" w:hint="eastAsia"/>
          <w:color w:val="000000" w:themeColor="text1"/>
          <w:szCs w:val="21"/>
        </w:rPr>
        <w:t>）基金管理人须加强内部风险控制制度的建设。如因基金管理人员工职务行为导致基金财产受到损失的，需由基金管理人承担由此造成的损失。</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（4）基金管理人与基金托管人在开展基金存款业务时，应严格遵守《基金法》、《运作办法》等有关法律法规，以及国家有关账户管理、利率管理、支付结算等的各项规定。</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（三）基金投资银行存款协议的签订、账户开设与管理、投资指令与资金划付、账目核对、到期兑付、提前支取</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1.基金投资银行存款协议的签订</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（2）基金托管人依据相关法规对《总体合作协议》和《存款协议书》的内容进行复核，审查存款银行资格等。</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（3）基金管理人应在《存款协议书》中明确存款证实书或其他有效存款凭证的办理方式、邮寄地址、联系人和联系电话，以及存款证实书或其他有效凭证在邮寄过程中遗失后，存款余额的确认及兑付办法等。</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（4）由存款银行指定的存放存款的分支机构（以下简称“存款分支机构</w:t>
      </w:r>
      <w:r w:rsidRPr="00FD5C9F">
        <w:rPr>
          <w:rFonts w:asciiTheme="minorEastAsia" w:eastAsiaTheme="minorEastAsia" w:hAnsiTheme="minorEastAsia" w:cs="Arial"/>
          <w:color w:val="000000" w:themeColor="text1"/>
          <w:szCs w:val="21"/>
        </w:rPr>
        <w:t>”</w:t>
      </w:r>
      <w:r w:rsidRPr="00FD5C9F">
        <w:rPr>
          <w:rFonts w:asciiTheme="minorEastAsia" w:eastAsiaTheme="minorEastAsia" w:hAnsiTheme="minorEastAsia" w:cs="Arial" w:hint="eastAsia"/>
          <w:color w:val="000000" w:themeColor="text1"/>
          <w:szCs w:val="21"/>
        </w:rPr>
        <w:t>）寄送或上门交付存款证实书或其他有效存款凭证的，基金托管人可向存款分支机构的上级行发出存款余额询证函，存款分支机构及其上级行应予配合。</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（5）基金管理人应在《存款协议书》中规定，基金存放到期或提前兑付的资金应全部划转到指定的基金托管账户，并在《存款协议书》写明账户名称和账号，未划入指定账户的，由存款银行承担一切责任。</w:t>
      </w:r>
    </w:p>
    <w:p w:rsidR="007F5A46" w:rsidRPr="00FD5C9F" w:rsidP="007F5A46">
      <w:pPr>
        <w:spacing w:line="480" w:lineRule="exact"/>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（7）基金管理人应在《存款协议书》中规定，因定期存款产生的存单不得被质押或以任何方式被抵押，不得用于转让和背书。</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2.基金投资银行存款时的账户开设与管理</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（1）基金投资于银行存款时，基金管理人应当依据基金管理人与存款银行签订的《总体合作协议》、《存款协议书》等，以基金的名义在存款银行总行或授权分行指定的分支机构开立银行账户。</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（2）基金投资于银行存款时的预留印鉴由基金托管人保管和使用。</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3.存款凭证传递、账目核对及到期兑付</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（1）存款证实书等存款凭证传递</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（2）存款凭证的遗失补办</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存款凭证在邮寄过程中遗失的，由基金管理人向存款银行提出补办申请，基金管理人应督促存款银行尽快补办存款凭证，并按以上（1）的方式快递或上门交付至托管人，原存款凭证自动作废。</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（3）账目核对</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每个工作日，基金管理人应与基金托管人核对各项银行存款投资余额及应计利息。</w:t>
      </w:r>
    </w:p>
    <w:p w:rsidR="007F5A46" w:rsidRPr="00FD5C9F" w:rsidP="007F5A46">
      <w:pPr>
        <w:spacing w:line="480" w:lineRule="exact"/>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rsidR="007F5A46" w:rsidRPr="00FD5C9F" w:rsidP="007F5A46">
      <w:pPr>
        <w:spacing w:line="480" w:lineRule="exact"/>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存款银行应配合基金托管人对存款凭证的询证，并在询证函上加盖存款银行公章寄送至基金托管人指定联系人。</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（4）到期兑付</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4.提前支取</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如果在存款期限内，由于基金规模发生缩减的原因或者出于流动性管理的需要等原因，基金管理人可以提前支取全部或部分资金。</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提前支取的具体事项按照基金管理人与存款银行签订的《存款协议书》执行。</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5.基金投资银行存款的监督</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基金托管人发现基金管理人在进行存款投资时有违反有关法律法规的规定及《基金合同》的约定的行为，应及时以书面形式通知基金管理人在</w:t>
      </w:r>
      <w:r w:rsidRPr="00FD5C9F">
        <w:rPr>
          <w:rFonts w:asciiTheme="minorEastAsia" w:eastAsiaTheme="minorEastAsia" w:hAnsiTheme="minorEastAsia" w:cs="Arial"/>
          <w:color w:val="000000" w:themeColor="text1"/>
          <w:szCs w:val="21"/>
        </w:rPr>
        <w:t xml:space="preserve">10 </w:t>
      </w:r>
      <w:r w:rsidRPr="00FD5C9F">
        <w:rPr>
          <w:rFonts w:asciiTheme="minorEastAsia" w:eastAsiaTheme="minorEastAsia" w:hAnsiTheme="minorEastAsia" w:cs="Arial" w:hint="eastAsia"/>
          <w:color w:val="000000" w:themeColor="text1"/>
          <w:szCs w:val="21"/>
        </w:rPr>
        <w:t>个工作日内纠正。基金管理人对基金托管人通知的违规事项未能在</w:t>
      </w:r>
      <w:r w:rsidRPr="00FD5C9F">
        <w:rPr>
          <w:rFonts w:asciiTheme="minorEastAsia" w:eastAsiaTheme="minorEastAsia" w:hAnsiTheme="minorEastAsia" w:cs="Arial"/>
          <w:color w:val="000000" w:themeColor="text1"/>
          <w:szCs w:val="21"/>
        </w:rPr>
        <w:t xml:space="preserve">10 </w:t>
      </w:r>
      <w:r w:rsidRPr="00FD5C9F">
        <w:rPr>
          <w:rFonts w:asciiTheme="minorEastAsia" w:eastAsiaTheme="minorEastAsia" w:hAnsiTheme="minorEastAsia" w:cs="Arial" w:hint="eastAsia"/>
          <w:color w:val="000000" w:themeColor="text1"/>
          <w:szCs w:val="21"/>
        </w:rPr>
        <w:t>个工作日内纠正的，基金托管人应报告中国证监会。基金托管人发现基金管理人有重大违规行为，应立即报告中国证监会，同时通知基金管理人在</w:t>
      </w:r>
      <w:r w:rsidRPr="00FD5C9F">
        <w:rPr>
          <w:rFonts w:asciiTheme="minorEastAsia" w:eastAsiaTheme="minorEastAsia" w:hAnsiTheme="minorEastAsia" w:cs="Arial"/>
          <w:color w:val="000000" w:themeColor="text1"/>
          <w:szCs w:val="21"/>
        </w:rPr>
        <w:t xml:space="preserve">10 </w:t>
      </w:r>
      <w:r w:rsidRPr="00FD5C9F">
        <w:rPr>
          <w:rFonts w:asciiTheme="minorEastAsia" w:eastAsiaTheme="minorEastAsia" w:hAnsiTheme="minorEastAsia" w:cs="Arial" w:hint="eastAsia"/>
          <w:color w:val="000000" w:themeColor="text1"/>
          <w:szCs w:val="21"/>
        </w:rPr>
        <w:t>个工作日内纠正或拒绝结算，若因基金管理人拒不执行造成基金财产损失的，相关损失由基金管理人承担，基金托管人不承担任何责任。</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FD5C9F">
        <w:rPr>
          <w:rFonts w:asciiTheme="minorEastAsia" w:eastAsiaTheme="minorEastAsia" w:hAnsiTheme="minorEastAsia" w:cs="Arial"/>
          <w:color w:val="000000" w:themeColor="text1"/>
          <w:szCs w:val="21"/>
        </w:rPr>
        <w:t>3个交易日内与基金托管人协商解决。</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hint="eastAsia"/>
          <w:color w:val="000000" w:themeColor="text1"/>
        </w:rPr>
        <w:t>基金管理人负责对交易对手的资信控制，按银行间债券市场的交易规则进行交易，并负责</w:t>
      </w:r>
      <w:r w:rsidRPr="00FD5C9F">
        <w:rPr>
          <w:rFonts w:asciiTheme="minorEastAsia" w:eastAsiaTheme="minorEastAsia" w:hAnsiTheme="minorEastAsia" w:cs="Arial" w:hint="eastAsia"/>
          <w:color w:val="000000" w:themeColor="text1"/>
          <w:szCs w:val="21"/>
        </w:rPr>
        <w:t>处理</w:t>
      </w:r>
      <w:r w:rsidRPr="00FD5C9F">
        <w:rPr>
          <w:rFonts w:asciiTheme="minorEastAsia" w:eastAsiaTheme="minorEastAsia" w:hAnsiTheme="minorEastAsia" w:hint="eastAsia"/>
          <w:color w:val="000000" w:themeColor="text1"/>
        </w:rPr>
        <w:t>因交易对手不履行合同而造成的纠纷及损失。</w:t>
      </w:r>
      <w:r w:rsidRPr="00FD5C9F">
        <w:rPr>
          <w:rFonts w:asciiTheme="minorEastAsia" w:eastAsiaTheme="minorEastAsia" w:hAnsiTheme="minorEastAsia" w:cs="Arial" w:hint="eastAsia"/>
          <w:color w:val="000000" w:themeColor="text1"/>
          <w:szCs w:val="21"/>
        </w:rPr>
        <w:t>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（五）本基金投资流通受限证券，应遵守《</w:t>
      </w:r>
      <w:r w:rsidRPr="00FD5C9F">
        <w:rPr>
          <w:rFonts w:asciiTheme="minorEastAsia" w:eastAsiaTheme="minorEastAsia" w:hAnsiTheme="minorEastAsia" w:hint="eastAsia"/>
          <w:color w:val="000000" w:themeColor="text1"/>
        </w:rPr>
        <w:t>关于基金投资非公开发行股票等流通受限证券有关问题的通知》</w:t>
      </w:r>
      <w:r w:rsidRPr="00FD5C9F">
        <w:rPr>
          <w:rFonts w:asciiTheme="minorEastAsia" w:eastAsiaTheme="minorEastAsia" w:hAnsiTheme="minorEastAsia" w:cs="Arial" w:hint="eastAsia"/>
          <w:color w:val="000000" w:themeColor="text1"/>
          <w:szCs w:val="21"/>
        </w:rPr>
        <w:t>等有关监管规定。</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本基金不得投资未经中国证监会批准的非公开发行证券。</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本基金不得投资有锁定期但锁定期不明确的证券。</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由于基金管理人未及时提供有关证券的具体的必要的信息，致使托管人无法审核认购指令而影响认购款项划拨的，基金托管人免于承担责任。</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5.</w:t>
      </w:r>
      <w:r w:rsidRPr="00FD5C9F">
        <w:rPr>
          <w:rFonts w:asciiTheme="minorEastAsia" w:eastAsiaTheme="minorEastAsia" w:hAnsiTheme="minorEastAsia" w:cs="Arial"/>
          <w:color w:val="000000" w:themeColor="text1"/>
          <w:szCs w:val="21"/>
        </w:rPr>
        <w:t xml:space="preserve"> 基金管理</w:t>
      </w:r>
      <w:r w:rsidRPr="00FD5C9F">
        <w:rPr>
          <w:rFonts w:asciiTheme="minorEastAsia" w:eastAsiaTheme="minorEastAsia" w:hAnsiTheme="minorEastAsia" w:cs="Arial" w:hint="eastAsia"/>
          <w:color w:val="000000" w:themeColor="text1"/>
          <w:szCs w:val="21"/>
        </w:rPr>
        <w:t>人</w:t>
      </w:r>
      <w:r w:rsidRPr="00FD5C9F">
        <w:rPr>
          <w:rFonts w:asciiTheme="minorEastAsia" w:eastAsiaTheme="minorEastAsia" w:hAnsiTheme="minorEastAsia" w:cs="Arial"/>
          <w:color w:val="000000" w:themeColor="text1"/>
          <w:szCs w:val="21"/>
        </w:rPr>
        <w:t>应在基金投资非公开发行股票后两个交易日内,在中国证监会规定媒介披露所投资非公开发行股票的名称、数量、总成本、账面价值,以及总成本和账面价值占基金资产净值的比例、锁定期等信息。</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（六）基金管理人应当对投资中期票据业务进行研究，认真评估中期票据投资业务的风险，本着审慎、勤勉尽责的原则进行中期票据的投资业务，并应符合法律法规及监管机构的相关规定。</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（八）基金托管人发现基金管理人的上述事项及投资指令或实际投资运作违反法律法规、《基金合同》和本托管协议的规定，应及时以电话、邮件或书面提示等方式通知基金管理人限期纠正。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7F5A46" w:rsidRPr="00FD5C9F" w:rsidP="007F5A46">
      <w:pPr>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7F5A46" w:rsidRPr="00FD5C9F" w:rsidP="007F5A46">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cs="Arial" w:hint="eastAsia"/>
          <w:color w:val="000000" w:themeColor="text1"/>
          <w:szCs w:val="21"/>
        </w:rPr>
        <w:t>（十一）基金托管人发现基金管理人有重大违规行为，应及时报告中国证监会，同时通知基金管理人限期纠正。</w:t>
      </w:r>
      <w:bookmarkStart w:id="141" w:name="_Hlt73429199"/>
      <w:bookmarkEnd w:id="141"/>
    </w:p>
    <w:p w:rsidR="009F43D4" w:rsidRPr="00FD5C9F" w:rsidP="005046B2">
      <w:pPr>
        <w:spacing w:line="360" w:lineRule="auto"/>
        <w:ind w:firstLine="496" w:firstLineChars="236"/>
        <w:rPr>
          <w:rFonts w:asciiTheme="minorEastAsia" w:eastAsiaTheme="minorEastAsia" w:hAnsiTheme="minorEastAsia"/>
          <w:bCs/>
          <w:color w:val="000000" w:themeColor="text1"/>
          <w:szCs w:val="21"/>
        </w:rPr>
      </w:pPr>
    </w:p>
    <w:p w:rsidR="00C46C6D" w:rsidRPr="00FD5C9F" w:rsidP="005046B2">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三、基金管理人对基金托管人的业务核查</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的基金份额净值、根据基金管理人指令办理清算交收、相关信息披露和监督基金投资运作等行为。</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因基金托管人原因造成基金财产损失的，基金托管人应承担相应的责任。</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（四）基金管理人发现基金托管人有重大违规行为，应及时报告中国证监会，同时通知基金托管人限期纠正，并将纠正结果报告中国证监会。</w:t>
      </w:r>
    </w:p>
    <w:p w:rsidR="008C7EFE" w:rsidRPr="00FD5C9F" w:rsidP="005046B2">
      <w:pPr>
        <w:spacing w:line="360" w:lineRule="auto"/>
        <w:ind w:firstLine="496" w:firstLineChars="236"/>
        <w:rPr>
          <w:rFonts w:asciiTheme="minorEastAsia" w:eastAsiaTheme="minorEastAsia" w:hAnsiTheme="minorEastAsia"/>
          <w:bCs/>
          <w:color w:val="000000" w:themeColor="text1"/>
          <w:szCs w:val="21"/>
        </w:rPr>
      </w:pPr>
    </w:p>
    <w:p w:rsidR="00C46C6D" w:rsidRPr="00FD5C9F" w:rsidP="005046B2">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四、基金财产</w:t>
      </w:r>
      <w:r w:rsidRPr="00FD5C9F" w:rsidR="004A7A03">
        <w:rPr>
          <w:rFonts w:asciiTheme="minorEastAsia" w:eastAsiaTheme="minorEastAsia" w:hAnsiTheme="minorEastAsia" w:hint="eastAsia"/>
          <w:bCs/>
          <w:color w:val="000000" w:themeColor="text1"/>
          <w:szCs w:val="21"/>
        </w:rPr>
        <w:t>的</w:t>
      </w:r>
      <w:r w:rsidRPr="00FD5C9F">
        <w:rPr>
          <w:rFonts w:asciiTheme="minorEastAsia" w:eastAsiaTheme="minorEastAsia" w:hAnsiTheme="minorEastAsia" w:hint="eastAsia"/>
          <w:bCs/>
          <w:color w:val="000000" w:themeColor="text1"/>
          <w:szCs w:val="21"/>
        </w:rPr>
        <w:t>保管</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（一）基金财产保管的原则</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1.基金财产应独立于基金管理人、基金托管人的固有财产。</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2.基金托管人应安全保管基金财产。</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3.基金托管人按照规定开设基金财产投资所需的相关账户。</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4.基金托管人对所托管的不同基金财产分别设置账户，确保基金财产的完整与独立。</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7.基金</w:t>
      </w:r>
      <w:r w:rsidRPr="00FD5C9F">
        <w:rPr>
          <w:rFonts w:asciiTheme="minorEastAsia" w:eastAsiaTheme="minorEastAsia" w:hAnsiTheme="minorEastAsia" w:hint="eastAsia"/>
          <w:color w:val="000000" w:themeColor="text1"/>
          <w:szCs w:val="21"/>
        </w:rPr>
        <w:t>托管人对因为</w:t>
      </w:r>
      <w:r w:rsidRPr="00FD5C9F">
        <w:rPr>
          <w:rFonts w:asciiTheme="minorEastAsia" w:eastAsiaTheme="minorEastAsia" w:hAnsiTheme="minorEastAsia" w:cs="Arial" w:hint="eastAsia"/>
          <w:color w:val="000000" w:themeColor="text1"/>
          <w:szCs w:val="21"/>
        </w:rPr>
        <w:t>基金</w:t>
      </w:r>
      <w:r w:rsidRPr="00FD5C9F">
        <w:rPr>
          <w:rFonts w:asciiTheme="minorEastAsia" w:eastAsiaTheme="minorEastAsia" w:hAnsiTheme="minorEastAsia" w:hint="eastAsia"/>
          <w:color w:val="000000" w:themeColor="text1"/>
          <w:szCs w:val="21"/>
        </w:rPr>
        <w:t>管理人投资产生的存放或存管在</w:t>
      </w:r>
      <w:r w:rsidRPr="00FD5C9F">
        <w:rPr>
          <w:rFonts w:asciiTheme="minorEastAsia" w:eastAsiaTheme="minorEastAsia" w:hAnsiTheme="minorEastAsia" w:cs="Arial" w:hint="eastAsia"/>
          <w:color w:val="000000" w:themeColor="text1"/>
          <w:szCs w:val="21"/>
        </w:rPr>
        <w:t>基金</w:t>
      </w:r>
      <w:r w:rsidRPr="00FD5C9F">
        <w:rPr>
          <w:rFonts w:asciiTheme="minorEastAsia" w:eastAsiaTheme="minorEastAsia" w:hAnsiTheme="minorEastAsia" w:hint="eastAsia"/>
          <w:color w:val="000000" w:themeColor="text1"/>
          <w:szCs w:val="21"/>
        </w:rPr>
        <w:t>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8.除依据法律法规和基金合同的规定外，基金托管人不得委托第三人托管基金财产。</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（二）基金募集期间及募集资金的验资</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1.基金募集期间募集的资金应开立“基金募集专户”。该账户由基金管理人开立并管理。</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符合《证券法》规定的会计师事务所进行验资，出具验资报告。出具的验资报告由参加验资的2名或2名以上中国注册会计师签字方为有效。</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3.若基金募集期限届满，未能达到基金合同生效的条件，由基金管理人按规定办理退款等事宜。</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（三）基金资金账户的开立和管理</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1.基金托管人以本基金的名义在其营业机构开立基金的资金账户（也可称为“托管账户”），保管基金的银行存款，并根据基金管理人的指令办理资金收付。托管账户名称应为“</w:t>
      </w:r>
      <w:r w:rsidRPr="00FD5C9F" w:rsidR="00E3093C">
        <w:rPr>
          <w:rFonts w:asciiTheme="minorEastAsia" w:eastAsiaTheme="minorEastAsia" w:hAnsiTheme="minorEastAsia" w:cs="Arial" w:hint="eastAsia"/>
          <w:color w:val="000000" w:themeColor="text1"/>
          <w:szCs w:val="21"/>
        </w:rPr>
        <w:t>易方达创新成长混合型证券投资基金</w:t>
      </w:r>
      <w:r w:rsidRPr="00FD5C9F">
        <w:rPr>
          <w:rFonts w:asciiTheme="minorEastAsia" w:eastAsiaTheme="minorEastAsia" w:hAnsiTheme="minorEastAsia" w:cs="Arial" w:hint="eastAsia"/>
          <w:color w:val="000000" w:themeColor="text1"/>
          <w:szCs w:val="21"/>
        </w:rPr>
        <w:t>”，预留印鉴为基金托管人印章。</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2.基金资金账户的开立和使用，限于满足开展本基金业务的需要。基金托管人和基金管理人不得假借本基金的名义开立任何其他银行账户；亦不得使用基金的任何账户进行本基金业务以外的活动。</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3.基金资金账户的开立和管理应符合法律法规及银行业监督管理机构的有关规定。</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（四）基金证券账户和结算备付金账户的开立和管理</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1.基金托管人在中国证券登记结算有限责任公司上海分公司、深圳分公司为基金开立基金托管人与基金联名的证券账户。</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3.基金证券账户的开立和证券账户卡的保管由基金托管人负责，账户资产的管理和运用由基金管理人负责。</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5.若中国证监会或其他监管机构在本托管协议订立日之后允许基金从事其他投资品种的投资业务，涉及相关账户的开立、使用的，</w:t>
      </w:r>
      <w:r w:rsidRPr="00FD5C9F">
        <w:rPr>
          <w:rFonts w:asciiTheme="minorEastAsia" w:eastAsiaTheme="minorEastAsia" w:hAnsiTheme="minorEastAsia" w:hint="eastAsia"/>
          <w:color w:val="000000" w:themeColor="text1"/>
        </w:rPr>
        <w:t>按有关规定开立、使用并管理；</w:t>
      </w:r>
      <w:r w:rsidRPr="00FD5C9F">
        <w:rPr>
          <w:rFonts w:asciiTheme="minorEastAsia" w:eastAsiaTheme="minorEastAsia" w:hAnsiTheme="minorEastAsia" w:cs="Arial" w:hint="eastAsia"/>
          <w:color w:val="000000" w:themeColor="text1"/>
          <w:szCs w:val="21"/>
        </w:rPr>
        <w:t>若无相关规定，则基金托管人比照上述关于账户开立、使用的规定执行。</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（五）债券托管账户的开设和管理</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基金合同生效后，基金托管人根据中国人民银行、中央国债登记结算有限责任公司和银行间市场清算所股份有限公司的有关规定，以基金的名义在</w:t>
      </w:r>
      <w:r w:rsidRPr="00FD5C9F">
        <w:rPr>
          <w:rFonts w:asciiTheme="minorEastAsia" w:eastAsiaTheme="minorEastAsia" w:hAnsiTheme="minorEastAsia" w:hint="eastAsia"/>
          <w:color w:val="000000" w:themeColor="text1"/>
        </w:rPr>
        <w:t>银行间市场登记结算机构</w:t>
      </w:r>
      <w:r w:rsidRPr="00FD5C9F">
        <w:rPr>
          <w:rFonts w:asciiTheme="minorEastAsia" w:eastAsiaTheme="minorEastAsia" w:hAnsiTheme="minorEastAsia" w:cs="Arial" w:hint="eastAsia"/>
          <w:color w:val="000000" w:themeColor="text1"/>
          <w:szCs w:val="21"/>
        </w:rPr>
        <w:t>开立债券托管账户，并代表基金进行银行间市场债券的结算。</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（六）其他账户的开立和管理</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1.基金管理人根据投资需要按照规定开立期货保证金账户及期货交易编码等，</w:t>
      </w:r>
      <w:r w:rsidRPr="00FD5C9F">
        <w:rPr>
          <w:rFonts w:asciiTheme="minorEastAsia" w:eastAsiaTheme="minorEastAsia" w:hAnsiTheme="minorEastAsia" w:hint="eastAsia"/>
          <w:color w:val="000000" w:themeColor="text1"/>
          <w:szCs w:val="21"/>
        </w:rPr>
        <w:t>基金托管人按照规定开立期货结算账户等投资所需账户。</w:t>
      </w:r>
      <w:r w:rsidRPr="00FD5C9F">
        <w:rPr>
          <w:rFonts w:asciiTheme="minorEastAsia" w:eastAsiaTheme="minorEastAsia" w:hAnsiTheme="minorEastAsia" w:cs="Arial" w:hint="eastAsia"/>
          <w:color w:val="000000" w:themeColor="text1"/>
          <w:szCs w:val="21"/>
        </w:rPr>
        <w:t>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基金托管人和基金管理人应当在开户过程中相互配合，并提供所需资料。基金管理人保证所提供的账户开户材料的真实性和有效性，且在相关资料变更后及时将变更的资料提供给基金托管人。</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2.因业务发展需要而开立的其他账户，可以根据法律法规和基金合同的规定，由基金管理人协助基金托管人按照有关法律法规和本协议的约定协商后开立。新账户按有关规定使用并管理。</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3.法律法规等有关规定对相关账户的开立和管理另有规定的，从其规定办理。</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（七）基金财产投资的有关有价凭证等的保管</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（八）与基金财产有关的重大合同的保管</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Pr="00FD5C9F">
        <w:rPr>
          <w:rFonts w:asciiTheme="minorEastAsia" w:eastAsiaTheme="minorEastAsia" w:hAnsiTheme="minorEastAsia" w:hint="eastAsia"/>
          <w:color w:val="000000" w:themeColor="text1"/>
          <w:szCs w:val="21"/>
        </w:rPr>
        <w:t>因基金管理人发送的合同传真件与事后送达的合同原件不一致所造成的后果，由基金管理人负责。</w:t>
      </w:r>
      <w:r w:rsidRPr="00FD5C9F">
        <w:rPr>
          <w:rFonts w:asciiTheme="minorEastAsia" w:eastAsiaTheme="minorEastAsia" w:hAnsiTheme="minorEastAsia" w:cs="Arial" w:hint="eastAsia"/>
          <w:color w:val="000000" w:themeColor="text1"/>
          <w:szCs w:val="21"/>
        </w:rPr>
        <w:t>重大合同的保管期限为基金合同终止后不少于15年。</w:t>
      </w:r>
    </w:p>
    <w:p w:rsidR="007F5A46" w:rsidRPr="00FD5C9F" w:rsidP="007F5A46">
      <w:pPr>
        <w:adjustRightInd w:val="0"/>
        <w:snapToGrid w:val="0"/>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9F43D4" w:rsidRPr="00FD5C9F" w:rsidP="005046B2">
      <w:pPr>
        <w:spacing w:line="360" w:lineRule="auto"/>
        <w:ind w:firstLine="496" w:firstLineChars="236"/>
        <w:rPr>
          <w:rFonts w:asciiTheme="minorEastAsia" w:eastAsiaTheme="minorEastAsia" w:hAnsiTheme="minorEastAsia"/>
          <w:bCs/>
          <w:color w:val="000000" w:themeColor="text1"/>
          <w:szCs w:val="21"/>
        </w:rPr>
      </w:pPr>
    </w:p>
    <w:p w:rsidR="009F43D4" w:rsidRPr="00FD5C9F" w:rsidP="005046B2">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五、</w:t>
      </w:r>
      <w:r w:rsidRPr="00FD5C9F" w:rsidR="004A7A03">
        <w:rPr>
          <w:rFonts w:asciiTheme="minorEastAsia" w:eastAsiaTheme="minorEastAsia" w:hAnsiTheme="minorEastAsia" w:hint="eastAsia"/>
          <w:bCs/>
          <w:color w:val="000000" w:themeColor="text1"/>
          <w:szCs w:val="21"/>
        </w:rPr>
        <w:t>基金资产净值计算与复核</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（一）基金资产净值的计算、复核与完成的时间及程序</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1.基金资产净值</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基金资产净值是指基金资产总值减去基金负债后的价值。</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基金份额净值是指估值日基金资产净值除以估值日基金份额余额数量，基金份额净值的计算，精确到0.</w:t>
      </w:r>
      <w:r w:rsidRPr="00FD5C9F">
        <w:rPr>
          <w:rFonts w:asciiTheme="minorEastAsia" w:eastAsiaTheme="minorEastAsia" w:hAnsiTheme="minorEastAsia" w:cs="Arial"/>
          <w:color w:val="000000" w:themeColor="text1"/>
          <w:szCs w:val="21"/>
        </w:rPr>
        <w:t>0</w:t>
      </w:r>
      <w:r w:rsidRPr="00FD5C9F">
        <w:rPr>
          <w:rFonts w:asciiTheme="minorEastAsia" w:eastAsiaTheme="minorEastAsia" w:hAnsiTheme="minorEastAsia" w:cs="Arial" w:hint="eastAsia"/>
          <w:color w:val="000000" w:themeColor="text1"/>
          <w:szCs w:val="21"/>
        </w:rPr>
        <w:t>001元，小数点后第</w:t>
      </w:r>
      <w:r w:rsidRPr="00FD5C9F">
        <w:rPr>
          <w:rFonts w:asciiTheme="minorEastAsia" w:eastAsiaTheme="minorEastAsia" w:hAnsiTheme="minorEastAsia" w:cs="Arial"/>
          <w:color w:val="000000" w:themeColor="text1"/>
          <w:szCs w:val="21"/>
        </w:rPr>
        <w:t>五</w:t>
      </w:r>
      <w:r w:rsidRPr="00FD5C9F">
        <w:rPr>
          <w:rFonts w:asciiTheme="minorEastAsia" w:eastAsiaTheme="minorEastAsia" w:hAnsiTheme="minorEastAsia" w:cs="Arial" w:hint="eastAsia"/>
          <w:color w:val="000000" w:themeColor="text1"/>
          <w:szCs w:val="21"/>
        </w:rPr>
        <w:t>位四舍五入，国家另有规定的，从其规定。</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基金管理人每个</w:t>
      </w:r>
      <w:r w:rsidRPr="00FD5C9F">
        <w:rPr>
          <w:rFonts w:asciiTheme="minorEastAsia" w:eastAsiaTheme="minorEastAsia" w:hAnsiTheme="minorEastAsia" w:cs="Arial"/>
          <w:color w:val="000000" w:themeColor="text1"/>
          <w:szCs w:val="21"/>
        </w:rPr>
        <w:t>估值</w:t>
      </w:r>
      <w:r w:rsidRPr="00FD5C9F">
        <w:rPr>
          <w:rFonts w:asciiTheme="minorEastAsia" w:eastAsiaTheme="minorEastAsia" w:hAnsiTheme="minorEastAsia" w:cs="Arial" w:hint="eastAsia"/>
          <w:color w:val="000000" w:themeColor="text1"/>
          <w:szCs w:val="21"/>
        </w:rPr>
        <w:t>日计算基金资产净值、基金份额净值，经基金托管人复核，按规定公告。</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2.复核程序</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基金管理人每个</w:t>
      </w:r>
      <w:r w:rsidRPr="00FD5C9F">
        <w:rPr>
          <w:rFonts w:asciiTheme="minorEastAsia" w:eastAsiaTheme="minorEastAsia" w:hAnsiTheme="minorEastAsia" w:cs="Arial"/>
          <w:color w:val="000000" w:themeColor="text1"/>
          <w:szCs w:val="21"/>
        </w:rPr>
        <w:t>估值</w:t>
      </w:r>
      <w:r w:rsidRPr="00FD5C9F">
        <w:rPr>
          <w:rFonts w:asciiTheme="minorEastAsia" w:eastAsiaTheme="minorEastAsia" w:hAnsiTheme="minorEastAsia" w:cs="Arial" w:hint="eastAsia"/>
          <w:color w:val="000000" w:themeColor="text1"/>
          <w:szCs w:val="21"/>
        </w:rPr>
        <w:t>日对基金资产进行估值后，将基金资产净值、基金份额净值发送基金托管人，经基金托管人复核无误后，由基金管理人对外公布。</w:t>
      </w:r>
    </w:p>
    <w:p w:rsidR="007F5A46" w:rsidRPr="00FD5C9F" w:rsidP="007F5A46">
      <w:pPr>
        <w:adjustRightInd w:val="0"/>
        <w:snapToGrid w:val="0"/>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s="Arial" w:hint="eastAsia"/>
          <w:color w:val="000000" w:themeColor="text1"/>
          <w:szCs w:val="21"/>
        </w:rPr>
        <w:t>3.</w:t>
      </w:r>
      <w:r w:rsidRPr="00FD5C9F">
        <w:rPr>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（二）基金资产的估值</w:t>
      </w:r>
    </w:p>
    <w:p w:rsidR="007F5A46" w:rsidRPr="00FD5C9F" w:rsidP="007F5A46">
      <w:pPr>
        <w:adjustRightInd w:val="0"/>
        <w:snapToGrid w:val="0"/>
        <w:spacing w:line="360" w:lineRule="auto"/>
        <w:ind w:firstLine="420" w:firstLineChars="200"/>
        <w:rPr>
          <w:rStyle w:val="read"/>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基金管理人及基金托管人应当按照《基金合同》的约定进行估值。</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（三）基金份额净值错误的处理方式</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hint="eastAsia"/>
          <w:color w:val="000000" w:themeColor="text1"/>
          <w:szCs w:val="21"/>
        </w:rPr>
        <w:t>基金管理人及基金托管人应当按照《基金合同》的约定处理份额净值错误。</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（四）基金会计制度</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按国家有关部门规定的会计制度执行。</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（五）基金账册的建立</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（六）基金财务报表与报告的编制和复核</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1.财务报表的编制</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基金财务报表由基金管理人编制，基金托管人复核。</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2.报表复核</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基金托管人在收到基金管理人编制的基金财务报表后，进行独立的复核。核对不符时，应及时通知基金管理人共同查出原因，进行调整，直至双方数据完全一致。</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3.财务报表的编制与复核时间安排</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基金管理人、基金托管人应当在每月结束后</w:t>
      </w:r>
      <w:r w:rsidRPr="00FD5C9F">
        <w:rPr>
          <w:rFonts w:asciiTheme="minorEastAsia" w:eastAsiaTheme="minorEastAsia" w:hAnsiTheme="minorEastAsia" w:cs="Arial"/>
          <w:color w:val="000000" w:themeColor="text1"/>
          <w:szCs w:val="21"/>
        </w:rPr>
        <w:t>5个工作日内完成月度报表的编制及复核；在每个季度结束之日起15个工作日内完成基金季度报告的编制及复核；在上半年结束之日起两个月内完成基金中期</w:t>
      </w:r>
      <w:r w:rsidRPr="00FD5C9F">
        <w:rPr>
          <w:rFonts w:asciiTheme="minorEastAsia" w:eastAsiaTheme="minorEastAsia" w:hAnsiTheme="minorEastAsia" w:cs="Arial" w:hint="eastAsia"/>
          <w:color w:val="000000" w:themeColor="text1"/>
          <w:szCs w:val="21"/>
        </w:rPr>
        <w:t>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（七）在有需要时，基金管理人应每季度向基金托管人提供基金业绩比较基准的基础数据和编制结果。</w:t>
      </w:r>
    </w:p>
    <w:p w:rsidR="008B010C" w:rsidRPr="00FD5C9F" w:rsidP="005046B2">
      <w:pPr>
        <w:spacing w:line="360" w:lineRule="auto"/>
        <w:ind w:firstLine="496" w:firstLineChars="236"/>
        <w:rPr>
          <w:rFonts w:asciiTheme="minorEastAsia" w:eastAsiaTheme="minorEastAsia" w:hAnsiTheme="minorEastAsia"/>
          <w:bCs/>
          <w:color w:val="000000" w:themeColor="text1"/>
          <w:szCs w:val="21"/>
        </w:rPr>
      </w:pPr>
    </w:p>
    <w:p w:rsidR="00C46C6D" w:rsidRPr="00FD5C9F" w:rsidP="005046B2">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六、基金份额持有人名册的保管</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rsidR="009F43D4" w:rsidRPr="00FD5C9F" w:rsidP="005046B2">
      <w:pPr>
        <w:spacing w:line="360" w:lineRule="auto"/>
        <w:ind w:firstLine="496" w:firstLineChars="236"/>
        <w:rPr>
          <w:rFonts w:asciiTheme="minorEastAsia" w:eastAsiaTheme="minorEastAsia" w:hAnsiTheme="minorEastAsia"/>
          <w:bCs/>
          <w:color w:val="000000" w:themeColor="text1"/>
          <w:szCs w:val="21"/>
        </w:rPr>
      </w:pPr>
    </w:p>
    <w:p w:rsidR="004A7A03" w:rsidRPr="00FD5C9F" w:rsidP="005046B2">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七、争议解决方式</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各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各方当事人均有约束力，</w:t>
      </w:r>
      <w:r w:rsidRPr="00FD5C9F" w:rsidR="004B10E0">
        <w:rPr>
          <w:rFonts w:asciiTheme="minorEastAsia" w:eastAsiaTheme="minorEastAsia" w:hAnsiTheme="minorEastAsia" w:cs="Arial" w:hint="eastAsia"/>
          <w:color w:val="000000" w:themeColor="text1"/>
          <w:szCs w:val="21"/>
        </w:rPr>
        <w:t>除非仲裁裁决另有决定，</w:t>
      </w:r>
      <w:r w:rsidRPr="00FD5C9F">
        <w:rPr>
          <w:rFonts w:asciiTheme="minorEastAsia" w:eastAsiaTheme="minorEastAsia" w:hAnsiTheme="minorEastAsia" w:cs="Arial" w:hint="eastAsia"/>
          <w:color w:val="000000" w:themeColor="text1"/>
          <w:szCs w:val="21"/>
        </w:rPr>
        <w:t>仲裁费用由败诉方承担。</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争议处理期间，双方当事人应恪守基金管理人和基金托管人职责，各自继续忠实、勤勉、尽责地履行基金合同和本托管协议规定的义务，维护基金份额持有人的合法权益。</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本协议受中华人民共和国法律（不含港澳台立法）管辖。</w:t>
      </w:r>
    </w:p>
    <w:p w:rsidR="009F43D4" w:rsidRPr="00FD5C9F" w:rsidP="005046B2">
      <w:pPr>
        <w:spacing w:line="360" w:lineRule="auto"/>
        <w:ind w:firstLine="496" w:firstLineChars="236"/>
        <w:rPr>
          <w:rFonts w:asciiTheme="minorEastAsia" w:eastAsiaTheme="minorEastAsia" w:hAnsiTheme="minorEastAsia"/>
          <w:bCs/>
          <w:color w:val="000000" w:themeColor="text1"/>
          <w:szCs w:val="21"/>
        </w:rPr>
      </w:pPr>
    </w:p>
    <w:p w:rsidR="00C46C6D" w:rsidRPr="00FD5C9F" w:rsidP="005046B2">
      <w:pPr>
        <w:spacing w:line="360" w:lineRule="auto"/>
        <w:ind w:firstLine="496" w:firstLineChars="236"/>
        <w:rPr>
          <w:rFonts w:asciiTheme="minorEastAsia" w:eastAsiaTheme="minorEastAsia" w:hAnsiTheme="minorEastAsia"/>
          <w:bCs/>
          <w:color w:val="000000" w:themeColor="text1"/>
          <w:szCs w:val="21"/>
        </w:rPr>
      </w:pPr>
      <w:r w:rsidRPr="00FD5C9F">
        <w:rPr>
          <w:rFonts w:asciiTheme="minorEastAsia" w:eastAsiaTheme="minorEastAsia" w:hAnsiTheme="minorEastAsia" w:hint="eastAsia"/>
          <w:bCs/>
          <w:color w:val="000000" w:themeColor="text1"/>
          <w:szCs w:val="21"/>
        </w:rPr>
        <w:t>八、</w:t>
      </w:r>
      <w:r w:rsidRPr="00FD5C9F" w:rsidR="004A7A03">
        <w:rPr>
          <w:rFonts w:asciiTheme="minorEastAsia" w:eastAsiaTheme="minorEastAsia" w:hAnsiTheme="minorEastAsia" w:hint="eastAsia"/>
          <w:bCs/>
          <w:color w:val="000000" w:themeColor="text1"/>
          <w:szCs w:val="21"/>
        </w:rPr>
        <w:t>托管协议的修改与终止</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（一）托管协议的变更程序</w:t>
      </w:r>
    </w:p>
    <w:p w:rsidR="007F5A46" w:rsidRPr="00FD5C9F" w:rsidP="007F5A46">
      <w:pPr>
        <w:adjustRightInd w:val="0"/>
        <w:snapToGrid w:val="0"/>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cs="Arial" w:hint="eastAsia"/>
          <w:color w:val="000000" w:themeColor="text1"/>
          <w:szCs w:val="21"/>
        </w:rPr>
        <w:t>本协议双方当事人经协商一致，可以对协议进行修改。修改后的新协议，其内容不得与基金合同的规定有任何冲突。基金托管协议的变更应报中国证监会备案。</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（二）基金托管协议终止的情形</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1、《基金合同》终止；</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2、基金托管人因解散、破产、撤销等事由，不能继续担任基金托管人的职务，而在6个月内无其他适当的托管机构承接其原有权利义务；</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3、基金管理人因解散、破产、撤销等事由，不能继续担任基金管理人的职务，而在6个月内无其他适当的基金管理公司承接其原有权利义务；</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4、发生法律法规或《基金合同》规定的其他终止事项。</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cs="Arial" w:hint="eastAsia"/>
          <w:color w:val="000000" w:themeColor="text1"/>
          <w:szCs w:val="21"/>
        </w:rPr>
        <w:t>（三）基金财产的清算</w:t>
      </w:r>
    </w:p>
    <w:p w:rsidR="007F5A46" w:rsidRPr="00FD5C9F" w:rsidP="007F5A46">
      <w:pPr>
        <w:adjustRightInd w:val="0"/>
        <w:snapToGrid w:val="0"/>
        <w:spacing w:line="360" w:lineRule="auto"/>
        <w:ind w:firstLine="420" w:firstLineChars="200"/>
        <w:rPr>
          <w:rFonts w:asciiTheme="minorEastAsia" w:eastAsiaTheme="minorEastAsia" w:hAnsiTheme="minorEastAsia" w:cs="Arial"/>
          <w:color w:val="000000" w:themeColor="text1"/>
          <w:szCs w:val="21"/>
        </w:rPr>
      </w:pPr>
      <w:r w:rsidRPr="00FD5C9F">
        <w:rPr>
          <w:rFonts w:asciiTheme="minorEastAsia" w:eastAsiaTheme="minorEastAsia" w:hAnsiTheme="minorEastAsia" w:hint="eastAsia"/>
          <w:color w:val="000000" w:themeColor="text1"/>
          <w:szCs w:val="21"/>
        </w:rPr>
        <w:t>基金管理人与基金托管人按照《基金合同》的约定处理基金财产的清算。</w:t>
      </w:r>
    </w:p>
    <w:p w:rsidR="00481F40" w:rsidRPr="00FD5C9F" w:rsidP="00C73BEA">
      <w:pPr>
        <w:spacing w:line="360" w:lineRule="auto"/>
        <w:ind w:firstLine="480" w:firstLineChars="200"/>
        <w:rPr>
          <w:rFonts w:asciiTheme="minorEastAsia" w:eastAsiaTheme="minorEastAsia" w:hAnsiTheme="minorEastAsia"/>
          <w:bCs/>
          <w:color w:val="000000" w:themeColor="text1"/>
          <w:sz w:val="24"/>
        </w:rPr>
      </w:pPr>
    </w:p>
    <w:p w:rsidR="00BA4B87" w:rsidRPr="00FD5C9F" w:rsidP="009A5A64">
      <w:pPr>
        <w:pStyle w:val="Heading1"/>
        <w:pageBreakBefore/>
        <w:spacing w:before="317" w:after="317" w:line="360" w:lineRule="auto"/>
        <w:ind w:firstLine="600"/>
        <w:rPr>
          <w:rFonts w:asciiTheme="minorEastAsia" w:eastAsiaTheme="minorEastAsia" w:hAnsiTheme="minorEastAsia"/>
          <w:bCs/>
          <w:color w:val="000000" w:themeColor="text1"/>
        </w:rPr>
      </w:pPr>
      <w:bookmarkStart w:id="142" w:name="_Toc134547861"/>
      <w:r w:rsidRPr="00FD5C9F">
        <w:rPr>
          <w:rFonts w:asciiTheme="minorEastAsia" w:eastAsiaTheme="minorEastAsia" w:hAnsiTheme="minorEastAsia" w:hint="eastAsia"/>
          <w:color w:val="000000" w:themeColor="text1"/>
          <w:sz w:val="30"/>
        </w:rPr>
        <w:t>二</w:t>
      </w:r>
      <w:bookmarkStart w:id="143" w:name="_Toc332373591"/>
      <w:r w:rsidRPr="00FD5C9F">
        <w:rPr>
          <w:rFonts w:asciiTheme="minorEastAsia" w:eastAsiaTheme="minorEastAsia" w:hAnsiTheme="minorEastAsia" w:hint="eastAsia"/>
          <w:color w:val="000000" w:themeColor="text1"/>
          <w:sz w:val="30"/>
        </w:rPr>
        <w:t>十</w:t>
      </w:r>
      <w:r w:rsidRPr="00FD5C9F" w:rsidR="00DD2F77">
        <w:rPr>
          <w:rFonts w:asciiTheme="minorEastAsia" w:eastAsiaTheme="minorEastAsia" w:hAnsiTheme="minorEastAsia" w:hint="eastAsia"/>
          <w:color w:val="000000" w:themeColor="text1"/>
          <w:sz w:val="30"/>
        </w:rPr>
        <w:t>三</w:t>
      </w:r>
      <w:r w:rsidRPr="00FD5C9F">
        <w:rPr>
          <w:rFonts w:asciiTheme="minorEastAsia" w:eastAsiaTheme="minorEastAsia" w:hAnsiTheme="minorEastAsia" w:hint="eastAsia"/>
          <w:color w:val="000000" w:themeColor="text1"/>
          <w:sz w:val="30"/>
        </w:rPr>
        <w:t>、对基金份额持有人的服务</w:t>
      </w:r>
      <w:bookmarkEnd w:id="142"/>
    </w:p>
    <w:bookmarkEnd w:id="143"/>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（一）基金份额持有人投资交易确认服务</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注册登记机构保留基金份额持有人名册上列明的所有基金份额持有人的基金交易记录。我公司根据在直销网点进行交易的投资人的要求提供成交确认单。非直销销售机构基金份额持有人投资交易确认服务请参照各销售机构实际业务流程及规定。</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（二）基金份额持有人交易记录查询服务</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本基金份额持有人可通过基金管理人的客户服务中心查询历史交易记录。</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（三）基金份额持有人的对账单服务</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1、基金份额持有人可登录本公司网站</w:t>
      </w:r>
      <w:r w:rsidRPr="00FD5C9F">
        <w:rPr>
          <w:rFonts w:asciiTheme="minorEastAsia" w:eastAsiaTheme="minorEastAsia" w:hAnsiTheme="minorEastAsia" w:hint="eastAsia"/>
          <w:color w:val="000000" w:themeColor="text1"/>
          <w:kern w:val="0"/>
          <w:szCs w:val="21"/>
        </w:rPr>
        <w:t>（http://www.efunds.com.cn）</w:t>
      </w:r>
      <w:r w:rsidRPr="00FD5C9F">
        <w:rPr>
          <w:rFonts w:asciiTheme="minorEastAsia" w:eastAsiaTheme="minorEastAsia" w:hAnsiTheme="minorEastAsia" w:hint="eastAsia"/>
          <w:color w:val="000000" w:themeColor="text1"/>
        </w:rPr>
        <w:t>查阅对账单。</w:t>
      </w:r>
    </w:p>
    <w:p w:rsidR="00984A5F" w:rsidRPr="00FD5C9F" w:rsidP="00984A5F">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2、本公司至少每年度以电子邮件、短信或其他形式向通过易方达直销系统持有本公司基金份额的基金份额持有人提供基金保有情况信息，基金份额持有人也可以向本公司定制电子邮件形式的月度对账单。</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具体查阅和定制账单的方法可参见本公司网站或拨打客服热线咨询。</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（四）定期定额投资计划</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kern w:val="0"/>
        </w:rPr>
        <w:t>基金管理人可利用非直销销售机构网点和本公司</w:t>
      </w:r>
      <w:r w:rsidRPr="00FD5C9F" w:rsidR="00B16DB9">
        <w:rPr>
          <w:rFonts w:asciiTheme="minorEastAsia" w:eastAsiaTheme="minorEastAsia" w:hAnsiTheme="minorEastAsia" w:hint="eastAsia"/>
          <w:color w:val="000000" w:themeColor="text1"/>
          <w:szCs w:val="21"/>
        </w:rPr>
        <w:t>网上直销系统</w:t>
      </w:r>
      <w:r w:rsidRPr="00FD5C9F">
        <w:rPr>
          <w:rFonts w:asciiTheme="minorEastAsia" w:eastAsiaTheme="minorEastAsia" w:hAnsiTheme="minorEastAsia" w:hint="eastAsia"/>
          <w:color w:val="000000" w:themeColor="text1"/>
          <w:kern w:val="0"/>
        </w:rPr>
        <w:t>为投资者提供定期定额投资的</w:t>
      </w:r>
      <w:r w:rsidRPr="00FD5C9F">
        <w:rPr>
          <w:rFonts w:asciiTheme="minorEastAsia" w:eastAsiaTheme="minorEastAsia" w:hAnsiTheme="minorEastAsia" w:hint="eastAsia"/>
          <w:color w:val="000000" w:themeColor="text1"/>
          <w:kern w:val="0"/>
          <w:szCs w:val="21"/>
        </w:rPr>
        <w:t>服务（本公司</w:t>
      </w:r>
      <w:r w:rsidRPr="00FD5C9F" w:rsidR="00B16DB9">
        <w:rPr>
          <w:rFonts w:asciiTheme="minorEastAsia" w:eastAsiaTheme="minorEastAsia" w:hAnsiTheme="minorEastAsia" w:hint="eastAsia"/>
          <w:color w:val="000000" w:themeColor="text1"/>
          <w:szCs w:val="21"/>
        </w:rPr>
        <w:t>网上直销系统</w:t>
      </w:r>
      <w:r w:rsidRPr="00FD5C9F">
        <w:rPr>
          <w:rFonts w:asciiTheme="minorEastAsia" w:eastAsiaTheme="minorEastAsia" w:hAnsiTheme="minorEastAsia" w:hint="eastAsia"/>
          <w:color w:val="000000" w:themeColor="text1"/>
          <w:kern w:val="0"/>
          <w:szCs w:val="21"/>
        </w:rPr>
        <w:t>的定期定额投资服务目前仅对个人投资者开通）。</w:t>
      </w:r>
      <w:r w:rsidRPr="00FD5C9F">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（五）资讯服务</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1、客户服务电话</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投资者如果想了解基金产品、服务等信息</w:t>
      </w:r>
      <w:r w:rsidRPr="00FD5C9F">
        <w:rPr>
          <w:rFonts w:asciiTheme="minorEastAsia" w:eastAsiaTheme="minorEastAsia" w:hAnsiTheme="minorEastAsia" w:hint="eastAsia"/>
          <w:color w:val="000000" w:themeColor="text1"/>
          <w:kern w:val="0"/>
          <w:szCs w:val="21"/>
        </w:rPr>
        <w:t>，</w:t>
      </w:r>
      <w:r w:rsidRPr="00FD5C9F">
        <w:rPr>
          <w:rFonts w:asciiTheme="minorEastAsia" w:eastAsiaTheme="minorEastAsia" w:hAnsiTheme="minorEastAsia" w:hint="eastAsia"/>
          <w:color w:val="000000" w:themeColor="text1"/>
          <w:kern w:val="0"/>
        </w:rPr>
        <w:t>或反馈投资过程中需要投诉与建议的情况</w:t>
      </w:r>
      <w:r w:rsidRPr="00FD5C9F">
        <w:rPr>
          <w:rFonts w:asciiTheme="minorEastAsia" w:eastAsiaTheme="minorEastAsia" w:hAnsiTheme="minorEastAsia" w:hint="eastAsia"/>
          <w:color w:val="000000" w:themeColor="text1"/>
        </w:rPr>
        <w:t>，可拨打如下电话：4008818088。</w:t>
      </w:r>
      <w:r w:rsidRPr="00FD5C9F">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2、互联网站及电子信箱</w:t>
      </w:r>
    </w:p>
    <w:p w:rsidR="00AE2909" w:rsidRPr="00FD5C9F" w:rsidP="00AE2909">
      <w:pPr>
        <w:spacing w:line="360" w:lineRule="auto"/>
        <w:ind w:firstLine="420" w:firstLineChars="200"/>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网址：http://www.efunds.com.cn</w:t>
      </w:r>
    </w:p>
    <w:p w:rsidR="00AE2909" w:rsidRPr="00FD5C9F" w:rsidP="00AE2909">
      <w:pPr>
        <w:pStyle w:val="BodyTextFirstIndent"/>
        <w:autoSpaceDE w:val="0"/>
        <w:autoSpaceDN w:val="0"/>
        <w:adjustRightInd w:val="0"/>
        <w:spacing w:after="0"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szCs w:val="21"/>
        </w:rPr>
        <w:t>电子信箱：service@efunds.com.cn</w:t>
      </w:r>
      <w:r w:rsidRPr="00FD5C9F">
        <w:rPr>
          <w:rFonts w:asciiTheme="minorEastAsia" w:eastAsiaTheme="minorEastAsia" w:hAnsiTheme="minorEastAsia" w:hint="eastAsia"/>
          <w:color w:val="000000" w:themeColor="text1"/>
        </w:rPr>
        <w:t xml:space="preserve"> </w:t>
      </w:r>
    </w:p>
    <w:p w:rsidR="00BA4B87" w:rsidRPr="00FD5C9F" w:rsidP="009A5A64">
      <w:pPr>
        <w:pStyle w:val="Heading1"/>
        <w:pageBreakBefore/>
        <w:spacing w:before="317" w:after="317" w:line="360" w:lineRule="auto"/>
        <w:ind w:firstLine="2550" w:firstLineChars="850"/>
        <w:jc w:val="both"/>
        <w:rPr>
          <w:rFonts w:asciiTheme="minorEastAsia" w:eastAsiaTheme="minorEastAsia" w:hAnsiTheme="minorEastAsia"/>
          <w:color w:val="000000" w:themeColor="text1"/>
        </w:rPr>
      </w:pPr>
      <w:bookmarkStart w:id="144" w:name="_Toc134547862"/>
      <w:r w:rsidRPr="00FD5C9F">
        <w:rPr>
          <w:rFonts w:asciiTheme="minorEastAsia" w:eastAsiaTheme="minorEastAsia" w:hAnsiTheme="minorEastAsia" w:hint="eastAsia"/>
          <w:color w:val="000000" w:themeColor="text1"/>
          <w:sz w:val="30"/>
        </w:rPr>
        <w:t>二</w:t>
      </w:r>
      <w:bookmarkStart w:id="145" w:name="_Toc332373592"/>
      <w:r w:rsidRPr="00FD5C9F">
        <w:rPr>
          <w:rFonts w:asciiTheme="minorEastAsia" w:eastAsiaTheme="minorEastAsia" w:hAnsiTheme="minorEastAsia" w:hint="eastAsia"/>
          <w:color w:val="000000" w:themeColor="text1"/>
          <w:sz w:val="30"/>
        </w:rPr>
        <w:t>十</w:t>
      </w:r>
      <w:r w:rsidRPr="00FD5C9F" w:rsidR="00DD2F77">
        <w:rPr>
          <w:rFonts w:asciiTheme="minorEastAsia" w:eastAsiaTheme="minorEastAsia" w:hAnsiTheme="minorEastAsia" w:hint="eastAsia"/>
          <w:color w:val="000000" w:themeColor="text1"/>
          <w:sz w:val="30"/>
        </w:rPr>
        <w:t>四</w:t>
      </w:r>
      <w:r w:rsidRPr="00FD5C9F">
        <w:rPr>
          <w:rFonts w:asciiTheme="minorEastAsia" w:eastAsiaTheme="minorEastAsia" w:hAnsiTheme="minorEastAsia" w:hint="eastAsia"/>
          <w:color w:val="000000" w:themeColor="text1"/>
          <w:sz w:val="30"/>
        </w:rPr>
        <w:t>、其他应披露事项</w:t>
      </w:r>
      <w:bookmarkEnd w:id="144"/>
    </w:p>
    <w:tbl>
      <w:tblPr>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8"/>
        <w:gridCol w:w="1465"/>
      </w:tblGrid>
      <w:tr w:rsidTr="00EF30D3">
        <w:tblPrEx>
          <w:tblW w:w="84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8"/>
        </w:trPr>
        <w:tc>
          <w:tcPr>
            <w:tcW w:w="6958" w:type="dxa"/>
            <w:tcBorders>
              <w:top w:val="single" w:sz="4" w:space="0" w:color="auto"/>
              <w:left w:val="single" w:sz="4" w:space="0" w:color="auto"/>
              <w:bottom w:val="single" w:sz="4" w:space="0" w:color="auto"/>
              <w:right w:val="single" w:sz="4" w:space="0" w:color="auto"/>
            </w:tcBorders>
            <w:vAlign w:val="center"/>
            <w:hideMark/>
          </w:tcPr>
          <w:bookmarkEnd w:id="145"/>
          <w:p w:rsidR="00DD2F77" w:rsidRPr="00FD5C9F">
            <w:pPr>
              <w:spacing w:line="360" w:lineRule="auto"/>
              <w:ind w:firstLine="420" w:firstLineChars="200"/>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公告事项</w:t>
            </w:r>
          </w:p>
        </w:tc>
        <w:tc>
          <w:tcPr>
            <w:tcW w:w="1465" w:type="dxa"/>
            <w:tcBorders>
              <w:top w:val="single" w:sz="4" w:space="0" w:color="auto"/>
              <w:left w:val="single" w:sz="4" w:space="0" w:color="auto"/>
              <w:bottom w:val="single" w:sz="4" w:space="0" w:color="auto"/>
              <w:right w:val="single" w:sz="4" w:space="0" w:color="auto"/>
            </w:tcBorders>
            <w:vAlign w:val="center"/>
            <w:hideMark/>
          </w:tcPr>
          <w:p w:rsidR="00DD2F77" w:rsidRPr="00FD5C9F" w:rsidP="00EF30D3">
            <w:pPr>
              <w:spacing w:line="360" w:lineRule="auto"/>
              <w:jc w:val="center"/>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披露日期</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易方达基金管理有限公司高级管理人员变更公告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2022-04-21</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易方达基金管理有限公司旗下基金2022年第1季度报告提示性公告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2022-04-22</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易方达创新成长混合型证券投资基金2022年4月28日至2022年4月29日暂停申购、赎回、转换及定期定额投资业务的公告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2022-04-25</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易方达创新成长混合型证券投资基金2022年5月9日暂停申购、赎回、转换及定期定额投资业务的公告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2022-04-29</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易方达基金管理有限公司高级管理人员变更公告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2022-05-13</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易方达基金管理有限公司关于子公司住所变更的公告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2022-05-14</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易方达基金管理有限公司关于旗下基金申购昆山亚香香料股份有限公司首次公开发行股票的公告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2022-06-16</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关于易方达创新成长混合型证券投资基金2022年下半年港股通非交易日暂停申购、赎回、转换、定期定额投资业务的公告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2022-06-27</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关于旗下部分基金2022年7月1日因港股通非交易日及境外主要市场节假日暂停申购、赎回、转换、定期定额投资业务的提示性公告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2022-06-28</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关于警惕冒用易方达基金管理有限公司名义进行诈骗活动的特别提示公告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2022-07-07</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易方达基金管理有限公司关于暂停喜鹊财富基金销售有限公司办理旗下基金相关销售业务的公告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2022-07-08</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易方达基金管理有限公司旗下基金2022年第2季度报告提示性公告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2022-07-20</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易方达基金管理有限公司旗下基金2022年中期报告提示性公告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2022-08-30</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易方达基金管理有限公司关于旗下基金关联交易事项的公告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2022-09-21</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关于旗下部分基金2022年9月29日至2022年9月30日因港股通非交易日暂停申购、赎回、转换、定期定额投资业务的提示性公告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2022-09-26</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易方达基金管理有限公司旗下基金2022年第3季度报告提示性公告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2022-10-26</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易方达创新成长混合型证券投资基金2022年11月2日暂停申购、赎回、转换及定期定额投资业务的公告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2022-11-02</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关于旗下部分基金2022年12月26日至2022年12月27日因港股通非交易日及境外主要投资市场节假日暂停申购、赎回、转换、定期定额投资业务的提示性公告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2022-12-21</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易方达基金管理有限公司关于旗下基金关联交易事项的公告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2022-12-23</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关于易方达创新成长混合型证券投资基金2023年港股通非交易日暂停申购、赎回、转换、定期定额投资业务的公告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2023-01-10</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关于旗下部分基金2023年1月19日至2023年1月20日因港股通非交易日暂停申购、赎回、转换、定期定额投资业务的提示性公告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2023-01-16</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易方达基金管理有限公司旗下基金2022年第4季度报告提示性公告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2023-01-20</w:t>
            </w:r>
          </w:p>
        </w:tc>
      </w:tr>
      <w:tr w:rsidTr="00BE23F6">
        <w:tblPrEx>
          <w:tblW w:w="8423" w:type="dxa"/>
          <w:tblInd w:w="93" w:type="dxa"/>
          <w:tblLook w:val="04A0"/>
        </w:tblPrEx>
        <w:tc>
          <w:tcPr>
            <w:tcW w:w="6958" w:type="dxa"/>
          </w:tcPr>
          <w:p w:rsidR="003F4E9F" w:rsidRPr="00FD5C9F">
            <w:pPr>
              <w:jc w:val="left"/>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关于旗下部分基金在2023年度新增港股通交易日照常开放申购、赎回、转换、定期定额投资业务的公告</w:t>
            </w:r>
          </w:p>
        </w:tc>
        <w:tc>
          <w:tcPr>
            <w:tcW w:w="1465" w:type="dxa"/>
            <w:vAlign w:val="center"/>
          </w:tcPr>
          <w:p w:rsidR="003F4E9F" w:rsidRPr="00FD5C9F" w:rsidP="00BE23F6">
            <w:pPr>
              <w:jc w:val="center"/>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2023-03-03</w:t>
            </w:r>
          </w:p>
        </w:tc>
      </w:tr>
    </w:tbl>
    <w:p w:rsidR="00BA4B87" w:rsidRPr="00FD5C9F" w:rsidP="00BE23F6">
      <w:pPr>
        <w:snapToGrid w:val="0"/>
        <w:spacing w:line="360" w:lineRule="auto"/>
        <w:rPr>
          <w:rFonts w:asciiTheme="minorEastAsia" w:eastAsiaTheme="minorEastAsia" w:hAnsiTheme="minorEastAsia"/>
          <w:color w:val="000000" w:themeColor="text1"/>
        </w:rPr>
      </w:pPr>
      <w:r w:rsidRPr="00FD5C9F">
        <w:rPr>
          <w:rFonts w:asciiTheme="minorEastAsia" w:eastAsiaTheme="minorEastAsia" w:hAnsiTheme="minorEastAsia"/>
          <w:color w:val="000000" w:themeColor="text1"/>
        </w:rPr>
        <w:t>注：以上公告事项披露在规定媒介及基金管理人网站上。</w:t>
      </w:r>
    </w:p>
    <w:p w:rsidR="00DD2F77" w:rsidRPr="00FD5C9F" w:rsidP="00BA4B87">
      <w:pPr>
        <w:pStyle w:val="NormalIndent"/>
        <w:rPr>
          <w:rFonts w:asciiTheme="minorEastAsia" w:eastAsiaTheme="minorEastAsia" w:hAnsiTheme="minorEastAsia"/>
          <w:color w:val="000000" w:themeColor="text1"/>
        </w:rPr>
        <w:sectPr w:rsidSect="00EF30D3">
          <w:footerReference w:type="default" r:id="rId16"/>
          <w:pgSz w:w="11906" w:h="16838" w:code="9"/>
          <w:pgMar w:top="1440" w:right="1800" w:bottom="1440" w:left="1800" w:header="851" w:footer="992" w:gutter="0"/>
          <w:pgNumType w:start="1"/>
          <w:cols w:space="720"/>
          <w:docGrid w:type="lines" w:linePitch="317"/>
        </w:sectPr>
      </w:pPr>
    </w:p>
    <w:p w:rsidR="00BA4B87" w:rsidRPr="00FD5C9F" w:rsidP="009A5A64">
      <w:pPr>
        <w:pStyle w:val="Heading1"/>
        <w:spacing w:before="317" w:after="317" w:line="360" w:lineRule="auto"/>
        <w:ind w:firstLine="600"/>
        <w:rPr>
          <w:rFonts w:asciiTheme="minorEastAsia" w:eastAsiaTheme="minorEastAsia" w:hAnsiTheme="minorEastAsia"/>
          <w:bCs/>
          <w:color w:val="000000" w:themeColor="text1"/>
          <w:szCs w:val="20"/>
        </w:rPr>
      </w:pPr>
      <w:bookmarkStart w:id="146" w:name="_Toc134547863"/>
      <w:r w:rsidRPr="00FD5C9F">
        <w:rPr>
          <w:rFonts w:asciiTheme="minorEastAsia" w:eastAsiaTheme="minorEastAsia" w:hAnsiTheme="minorEastAsia" w:hint="eastAsia"/>
          <w:color w:val="000000" w:themeColor="text1"/>
          <w:sz w:val="30"/>
        </w:rPr>
        <w:t>二</w:t>
      </w:r>
      <w:bookmarkStart w:id="147" w:name="_Toc332373593"/>
      <w:r w:rsidRPr="00FD5C9F">
        <w:rPr>
          <w:rFonts w:asciiTheme="minorEastAsia" w:eastAsiaTheme="minorEastAsia" w:hAnsiTheme="minorEastAsia" w:hint="eastAsia"/>
          <w:color w:val="000000" w:themeColor="text1"/>
          <w:sz w:val="30"/>
        </w:rPr>
        <w:t>十</w:t>
      </w:r>
      <w:r w:rsidRPr="00FD5C9F" w:rsidR="00DD2F77">
        <w:rPr>
          <w:rFonts w:asciiTheme="minorEastAsia" w:eastAsiaTheme="minorEastAsia" w:hAnsiTheme="minorEastAsia" w:hint="eastAsia"/>
          <w:color w:val="000000" w:themeColor="text1"/>
          <w:sz w:val="30"/>
        </w:rPr>
        <w:t>五</w:t>
      </w:r>
      <w:r w:rsidRPr="00FD5C9F">
        <w:rPr>
          <w:rFonts w:asciiTheme="minorEastAsia" w:eastAsiaTheme="minorEastAsia" w:hAnsiTheme="minorEastAsia" w:hint="eastAsia"/>
          <w:color w:val="000000" w:themeColor="text1"/>
          <w:sz w:val="30"/>
        </w:rPr>
        <w:t>、招募说明书的存放及查阅方式</w:t>
      </w:r>
      <w:bookmarkEnd w:id="146"/>
    </w:p>
    <w:bookmarkEnd w:id="147"/>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本招募说明书存放在基金管理人、基金托管人及</w:t>
      </w:r>
      <w:r w:rsidRPr="00FD5C9F" w:rsidR="00FF5DDA">
        <w:rPr>
          <w:rFonts w:asciiTheme="minorEastAsia" w:eastAsiaTheme="minorEastAsia" w:hAnsiTheme="minorEastAsia" w:hint="eastAsia"/>
          <w:color w:val="000000" w:themeColor="text1"/>
        </w:rPr>
        <w:t>其他</w:t>
      </w:r>
      <w:r w:rsidRPr="00FD5C9F">
        <w:rPr>
          <w:rFonts w:asciiTheme="minorEastAsia" w:eastAsiaTheme="minorEastAsia" w:hAnsiTheme="minorEastAsia" w:hint="eastAsia"/>
          <w:color w:val="000000" w:themeColor="text1"/>
        </w:rPr>
        <w:t>基金</w:t>
      </w:r>
      <w:r w:rsidRPr="00FD5C9F" w:rsidR="00FF5DDA">
        <w:rPr>
          <w:rFonts w:asciiTheme="minorEastAsia" w:eastAsiaTheme="minorEastAsia" w:hAnsiTheme="minorEastAsia" w:hint="eastAsia"/>
          <w:color w:val="000000" w:themeColor="text1"/>
        </w:rPr>
        <w:t>销售</w:t>
      </w:r>
      <w:r w:rsidRPr="00FD5C9F">
        <w:rPr>
          <w:rFonts w:asciiTheme="minorEastAsia" w:eastAsiaTheme="minorEastAsia" w:hAnsiTheme="minorEastAsia" w:hint="eastAsia"/>
          <w:color w:val="000000" w:themeColor="text1"/>
        </w:rPr>
        <w:t>机构处，投资者可在营业时间免费查阅，也可按工本费购买复印件。</w:t>
      </w:r>
    </w:p>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基金管理人和基金托管人保证文本的内容与公告的内容完全一致。</w:t>
      </w:r>
    </w:p>
    <w:p w:rsidR="00BA4B87" w:rsidRPr="00FD5C9F" w:rsidP="009A5A64">
      <w:pPr>
        <w:pStyle w:val="Heading1"/>
        <w:spacing w:before="317" w:after="317" w:line="360" w:lineRule="auto"/>
        <w:ind w:firstLine="600"/>
        <w:rPr>
          <w:rFonts w:asciiTheme="minorEastAsia" w:eastAsiaTheme="minorEastAsia" w:hAnsiTheme="minorEastAsia"/>
          <w:bCs/>
          <w:color w:val="000000" w:themeColor="text1"/>
          <w:szCs w:val="20"/>
        </w:rPr>
      </w:pPr>
      <w:r w:rsidRPr="00FD5C9F">
        <w:rPr>
          <w:rFonts w:asciiTheme="minorEastAsia" w:eastAsiaTheme="minorEastAsia" w:hAnsiTheme="minorEastAsia"/>
          <w:color w:val="000000" w:themeColor="text1"/>
          <w:sz w:val="30"/>
        </w:rPr>
        <w:br w:type="column"/>
      </w:r>
      <w:bookmarkStart w:id="148" w:name="_Toc134547864"/>
      <w:r w:rsidRPr="00FD5C9F">
        <w:rPr>
          <w:rFonts w:asciiTheme="minorEastAsia" w:eastAsiaTheme="minorEastAsia" w:hAnsiTheme="minorEastAsia" w:hint="eastAsia"/>
          <w:color w:val="000000" w:themeColor="text1"/>
          <w:sz w:val="30"/>
        </w:rPr>
        <w:t>二</w:t>
      </w:r>
      <w:bookmarkStart w:id="149" w:name="_Toc332373594"/>
      <w:r w:rsidRPr="00FD5C9F">
        <w:rPr>
          <w:rFonts w:asciiTheme="minorEastAsia" w:eastAsiaTheme="minorEastAsia" w:hAnsiTheme="minorEastAsia" w:hint="eastAsia"/>
          <w:color w:val="000000" w:themeColor="text1"/>
          <w:sz w:val="30"/>
        </w:rPr>
        <w:t>十</w:t>
      </w:r>
      <w:r w:rsidRPr="00FD5C9F" w:rsidR="00DD2F77">
        <w:rPr>
          <w:rFonts w:asciiTheme="minorEastAsia" w:eastAsiaTheme="minorEastAsia" w:hAnsiTheme="minorEastAsia" w:hint="eastAsia"/>
          <w:color w:val="000000" w:themeColor="text1"/>
          <w:sz w:val="30"/>
        </w:rPr>
        <w:t>六</w:t>
      </w:r>
      <w:r w:rsidRPr="00FD5C9F">
        <w:rPr>
          <w:rFonts w:asciiTheme="minorEastAsia" w:eastAsiaTheme="minorEastAsia" w:hAnsiTheme="minorEastAsia" w:hint="eastAsia"/>
          <w:color w:val="000000" w:themeColor="text1"/>
          <w:sz w:val="30"/>
        </w:rPr>
        <w:t>、备查文件</w:t>
      </w:r>
      <w:bookmarkEnd w:id="148"/>
    </w:p>
    <w:bookmarkEnd w:id="149"/>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1、中国证监会</w:t>
      </w:r>
      <w:r w:rsidRPr="00FD5C9F" w:rsidR="00434E81">
        <w:rPr>
          <w:rFonts w:asciiTheme="minorEastAsia" w:eastAsiaTheme="minorEastAsia" w:hAnsiTheme="minorEastAsia" w:hint="eastAsia"/>
          <w:color w:val="000000" w:themeColor="text1"/>
        </w:rPr>
        <w:t>准予</w:t>
      </w:r>
      <w:r w:rsidRPr="00FD5C9F" w:rsidR="00E3093C">
        <w:rPr>
          <w:rFonts w:asciiTheme="minorEastAsia" w:eastAsiaTheme="minorEastAsia" w:hAnsiTheme="minorEastAsia" w:hint="eastAsia"/>
          <w:color w:val="000000" w:themeColor="text1"/>
        </w:rPr>
        <w:t>易方达创新成长混合型证券投资基金</w:t>
      </w:r>
      <w:r w:rsidRPr="00FD5C9F" w:rsidR="00434E81">
        <w:rPr>
          <w:rFonts w:asciiTheme="minorEastAsia" w:eastAsiaTheme="minorEastAsia" w:hAnsiTheme="minorEastAsia" w:hint="eastAsia"/>
          <w:color w:val="000000" w:themeColor="text1"/>
        </w:rPr>
        <w:t>注册</w:t>
      </w:r>
      <w:r w:rsidRPr="00FD5C9F">
        <w:rPr>
          <w:rFonts w:asciiTheme="minorEastAsia" w:eastAsiaTheme="minorEastAsia" w:hAnsiTheme="minorEastAsia" w:hint="eastAsia"/>
          <w:color w:val="000000" w:themeColor="text1"/>
        </w:rPr>
        <w:t>的文件；</w:t>
      </w:r>
    </w:p>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2、《</w:t>
      </w:r>
      <w:r w:rsidRPr="00FD5C9F" w:rsidR="00E3093C">
        <w:rPr>
          <w:rFonts w:asciiTheme="minorEastAsia" w:eastAsiaTheme="minorEastAsia" w:hAnsiTheme="minorEastAsia" w:hint="eastAsia"/>
          <w:color w:val="000000" w:themeColor="text1"/>
        </w:rPr>
        <w:t>易方达创新成长混合型证券投资基金</w:t>
      </w:r>
      <w:r w:rsidRPr="00FD5C9F">
        <w:rPr>
          <w:rFonts w:asciiTheme="minorEastAsia" w:eastAsiaTheme="minorEastAsia" w:hAnsiTheme="minorEastAsia" w:hint="eastAsia"/>
          <w:color w:val="000000" w:themeColor="text1"/>
        </w:rPr>
        <w:t>基金合同》；</w:t>
      </w:r>
    </w:p>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3、《</w:t>
      </w:r>
      <w:r w:rsidRPr="00FD5C9F" w:rsidR="00E3093C">
        <w:rPr>
          <w:rFonts w:asciiTheme="minorEastAsia" w:eastAsiaTheme="minorEastAsia" w:hAnsiTheme="minorEastAsia" w:hint="eastAsia"/>
          <w:color w:val="000000" w:themeColor="text1"/>
        </w:rPr>
        <w:t>易方达创新成长混合型证券投资基金</w:t>
      </w:r>
      <w:r w:rsidRPr="00FD5C9F">
        <w:rPr>
          <w:rFonts w:asciiTheme="minorEastAsia" w:eastAsiaTheme="minorEastAsia" w:hAnsiTheme="minorEastAsia" w:hint="eastAsia"/>
          <w:color w:val="000000" w:themeColor="text1"/>
        </w:rPr>
        <w:t>托管协议》；</w:t>
      </w:r>
    </w:p>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4、《易方达基金管理有限公司开放式基金业务规则》；</w:t>
      </w:r>
    </w:p>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5、法律意见书；</w:t>
      </w:r>
    </w:p>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6、基金管理人业务资格批件、营业执照；</w:t>
      </w:r>
    </w:p>
    <w:p w:rsidR="00BA4B87" w:rsidRPr="00FD5C9F" w:rsidP="00F924D4">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7、基金托管人业务资格批件、营业执照。</w:t>
      </w:r>
    </w:p>
    <w:p w:rsidR="00BA4B87" w:rsidRPr="00FD5C9F" w:rsidP="00192A21">
      <w:pPr>
        <w:spacing w:line="360" w:lineRule="auto"/>
        <w:ind w:firstLine="420" w:firstLineChars="200"/>
        <w:rPr>
          <w:rFonts w:asciiTheme="minorEastAsia" w:eastAsiaTheme="minorEastAsia" w:hAnsiTheme="minorEastAsia"/>
          <w:color w:val="000000" w:themeColor="text1"/>
        </w:rPr>
      </w:pPr>
      <w:r w:rsidRPr="00FD5C9F">
        <w:rPr>
          <w:rFonts w:asciiTheme="minorEastAsia" w:eastAsiaTheme="minorEastAsia" w:hAnsiTheme="minorEastAsia" w:hint="eastAsia"/>
          <w:color w:val="000000" w:themeColor="text1"/>
        </w:rPr>
        <w:t>存放地点：基金管理人、基金托管人处</w:t>
      </w:r>
    </w:p>
    <w:p w:rsidR="00BA4B87" w:rsidRPr="00FD5C9F" w:rsidP="00F924D4">
      <w:pPr>
        <w:pStyle w:val="PlainText"/>
        <w:spacing w:line="360" w:lineRule="auto"/>
        <w:ind w:firstLine="420"/>
        <w:rPr>
          <w:rFonts w:asciiTheme="minorEastAsia" w:eastAsiaTheme="minorEastAsia" w:hAnsiTheme="minorEastAsia"/>
          <w:color w:val="000000" w:themeColor="text1"/>
          <w:sz w:val="21"/>
        </w:rPr>
      </w:pPr>
      <w:r w:rsidRPr="00FD5C9F">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FD5C9F" w:rsidP="00BA4B87">
      <w:pPr>
        <w:pStyle w:val="PlainText"/>
        <w:spacing w:line="400" w:lineRule="exact"/>
        <w:ind w:firstLine="420"/>
        <w:rPr>
          <w:rFonts w:asciiTheme="minorEastAsia" w:eastAsiaTheme="minorEastAsia" w:hAnsiTheme="minorEastAsia"/>
          <w:color w:val="000000" w:themeColor="text1"/>
          <w:sz w:val="21"/>
        </w:rPr>
      </w:pPr>
    </w:p>
    <w:p w:rsidR="00BA4B87" w:rsidRPr="00FD5C9F" w:rsidP="00BA4B87">
      <w:pPr>
        <w:pStyle w:val="PlainText"/>
        <w:spacing w:line="400" w:lineRule="exact"/>
        <w:ind w:firstLine="420"/>
        <w:rPr>
          <w:rFonts w:asciiTheme="minorEastAsia" w:eastAsiaTheme="minorEastAsia" w:hAnsiTheme="minorEastAsia"/>
          <w:color w:val="000000" w:themeColor="text1"/>
          <w:sz w:val="21"/>
        </w:rPr>
      </w:pPr>
    </w:p>
    <w:p w:rsidR="00CF3FF6" w:rsidRPr="00FD5C9F" w:rsidP="00CF3FF6">
      <w:pPr>
        <w:snapToGrid w:val="0"/>
        <w:spacing w:line="360" w:lineRule="auto"/>
        <w:ind w:firstLine="420" w:firstLineChars="200"/>
        <w:jc w:val="right"/>
        <w:rPr>
          <w:rFonts w:asciiTheme="minorEastAsia" w:eastAsiaTheme="minorEastAsia" w:hAnsiTheme="minorEastAsia"/>
          <w:color w:val="000000" w:themeColor="text1"/>
          <w:szCs w:val="21"/>
        </w:rPr>
      </w:pPr>
      <w:r w:rsidRPr="00FD5C9F">
        <w:rPr>
          <w:rFonts w:asciiTheme="minorEastAsia" w:eastAsiaTheme="minorEastAsia" w:hAnsiTheme="minorEastAsia" w:hint="eastAsia"/>
          <w:color w:val="000000" w:themeColor="text1"/>
          <w:szCs w:val="21"/>
        </w:rPr>
        <w:t>易方达基金管理有限公司</w:t>
      </w:r>
    </w:p>
    <w:p w:rsidR="00CF3FF6" w:rsidRPr="00FD5C9F" w:rsidP="00CF3FF6">
      <w:pPr>
        <w:snapToGrid w:val="0"/>
        <w:spacing w:line="360" w:lineRule="auto"/>
        <w:ind w:right="210" w:firstLine="420" w:firstLineChars="200"/>
        <w:jc w:val="right"/>
        <w:rPr>
          <w:rFonts w:asciiTheme="minorEastAsia" w:eastAsiaTheme="minorEastAsia" w:hAnsiTheme="minorEastAsia"/>
          <w:color w:val="000000" w:themeColor="text1"/>
          <w:szCs w:val="21"/>
        </w:rPr>
      </w:pPr>
      <w:r w:rsidRPr="00FD5C9F">
        <w:rPr>
          <w:rFonts w:asciiTheme="minorEastAsia" w:eastAsiaTheme="minorEastAsia" w:hAnsiTheme="minorEastAsia"/>
          <w:color w:val="000000" w:themeColor="text1"/>
        </w:rPr>
        <w:t>2023年</w:t>
      </w:r>
      <w:r w:rsidRPr="00FD5C9F" w:rsidR="00DF2404">
        <w:rPr>
          <w:rFonts w:asciiTheme="minorEastAsia" w:eastAsiaTheme="minorEastAsia" w:hAnsiTheme="minorEastAsia"/>
          <w:color w:val="000000" w:themeColor="text1"/>
        </w:rPr>
        <w:t>5</w:t>
      </w:r>
      <w:r w:rsidRPr="00FD5C9F">
        <w:rPr>
          <w:rFonts w:asciiTheme="minorEastAsia" w:eastAsiaTheme="minorEastAsia" w:hAnsiTheme="minorEastAsia"/>
          <w:color w:val="000000" w:themeColor="text1"/>
        </w:rPr>
        <w:t>月</w:t>
      </w:r>
      <w:r w:rsidRPr="00FD5C9F" w:rsidR="00DF2404">
        <w:rPr>
          <w:rFonts w:asciiTheme="minorEastAsia" w:eastAsiaTheme="minorEastAsia" w:hAnsiTheme="minorEastAsia"/>
          <w:color w:val="000000" w:themeColor="text1"/>
        </w:rPr>
        <w:t>10</w:t>
      </w:r>
      <w:r w:rsidRPr="00FD5C9F">
        <w:rPr>
          <w:rFonts w:asciiTheme="minorEastAsia" w:eastAsiaTheme="minorEastAsia" w:hAnsiTheme="minorEastAsia"/>
          <w:color w:val="000000" w:themeColor="text1"/>
        </w:rPr>
        <w:t>日</w:t>
      </w:r>
    </w:p>
    <w:p w:rsidR="00BA4B87" w:rsidRPr="00FD5C9F" w:rsidP="00BA4B87">
      <w:pPr>
        <w:pStyle w:val="PlainText"/>
        <w:spacing w:line="400" w:lineRule="exact"/>
        <w:ind w:firstLine="480"/>
        <w:rPr>
          <w:rFonts w:asciiTheme="minorEastAsia" w:eastAsiaTheme="minorEastAsia" w:hAnsiTheme="minorEastAsia"/>
          <w:bCs/>
          <w:color w:val="000000" w:themeColor="text1"/>
          <w:szCs w:val="20"/>
        </w:rPr>
      </w:pPr>
    </w:p>
    <w:p w:rsidR="00BA4B87" w:rsidRPr="00FD5C9F" w:rsidP="00A70EB7">
      <w:pPr>
        <w:pStyle w:val="PlainText"/>
        <w:spacing w:line="400" w:lineRule="exact"/>
        <w:ind w:firstLine="420"/>
        <w:jc w:val="right"/>
        <w:rPr>
          <w:rFonts w:asciiTheme="minorEastAsia" w:eastAsiaTheme="minorEastAsia" w:hAnsiTheme="minorEastAsia"/>
          <w:color w:val="000000" w:themeColor="text1"/>
          <w:sz w:val="21"/>
        </w:rPr>
      </w:pPr>
    </w:p>
    <w:p w:rsidR="00BA4B87" w:rsidRPr="00FD5C9F">
      <w:pPr>
        <w:rPr>
          <w:rFonts w:asciiTheme="minorEastAsia" w:eastAsiaTheme="minorEastAsia" w:hAnsiTheme="minorEastAsia"/>
          <w:color w:val="000000" w:themeColor="text1"/>
        </w:rPr>
      </w:pPr>
      <w:bookmarkStart w:id="150" w:name="_Toc38438350"/>
      <w:bookmarkStart w:id="151" w:name="_Toc38438687"/>
      <w:bookmarkStart w:id="152" w:name="_Toc38439024"/>
      <w:bookmarkStart w:id="153" w:name="_Toc38439361"/>
      <w:bookmarkStart w:id="154" w:name="_Toc38439698"/>
      <w:bookmarkStart w:id="155" w:name="_Toc38440035"/>
      <w:bookmarkStart w:id="156" w:name="_Toc38440372"/>
      <w:bookmarkStart w:id="157" w:name="_Toc38440904"/>
      <w:bookmarkStart w:id="158" w:name="_Toc38441236"/>
      <w:bookmarkStart w:id="159" w:name="_Toc38441568"/>
      <w:bookmarkStart w:id="160" w:name="_Toc38441896"/>
      <w:bookmarkStart w:id="161" w:name="_Toc38442228"/>
      <w:bookmarkStart w:id="162" w:name="_Toc38442560"/>
      <w:bookmarkStart w:id="163" w:name="_Toc38442891"/>
      <w:bookmarkStart w:id="164" w:name="_Toc38443222"/>
      <w:bookmarkStart w:id="165" w:name="_Toc38443553"/>
      <w:bookmarkStart w:id="166" w:name="_Toc38443883"/>
      <w:bookmarkStart w:id="167" w:name="_Toc38438351"/>
      <w:bookmarkStart w:id="168" w:name="_Toc38438688"/>
      <w:bookmarkStart w:id="169" w:name="_Toc38439025"/>
      <w:bookmarkStart w:id="170" w:name="_Toc38439362"/>
      <w:bookmarkStart w:id="171" w:name="_Toc38439699"/>
      <w:bookmarkStart w:id="172" w:name="_Toc38440036"/>
      <w:bookmarkStart w:id="173" w:name="_Toc38440373"/>
      <w:bookmarkStart w:id="174" w:name="_Toc38440905"/>
      <w:bookmarkStart w:id="175" w:name="_Toc38441237"/>
      <w:bookmarkStart w:id="176" w:name="_Toc38441569"/>
      <w:bookmarkStart w:id="177" w:name="_Toc38441897"/>
      <w:bookmarkStart w:id="178" w:name="_Toc38442229"/>
      <w:bookmarkStart w:id="179" w:name="_Toc38442561"/>
      <w:bookmarkStart w:id="180" w:name="_Toc38442892"/>
      <w:bookmarkStart w:id="181" w:name="_Toc38443223"/>
      <w:bookmarkStart w:id="182" w:name="_Toc38443554"/>
      <w:bookmarkStart w:id="183" w:name="_Toc38443884"/>
      <w:bookmarkStart w:id="184" w:name="_Toc38438352"/>
      <w:bookmarkStart w:id="185" w:name="_Toc38438689"/>
      <w:bookmarkStart w:id="186" w:name="_Toc38439026"/>
      <w:bookmarkStart w:id="187" w:name="_Toc38439363"/>
      <w:bookmarkStart w:id="188" w:name="_Toc38439700"/>
      <w:bookmarkStart w:id="189" w:name="_Toc38440037"/>
      <w:bookmarkStart w:id="190" w:name="_Toc38440374"/>
      <w:bookmarkStart w:id="191" w:name="_Toc38440906"/>
      <w:bookmarkStart w:id="192" w:name="_Toc38441238"/>
      <w:bookmarkStart w:id="193" w:name="_Toc38441570"/>
      <w:bookmarkStart w:id="194" w:name="_Toc38441898"/>
      <w:bookmarkStart w:id="195" w:name="_Toc38442230"/>
      <w:bookmarkStart w:id="196" w:name="_Toc38442562"/>
      <w:bookmarkStart w:id="197" w:name="_Toc38442893"/>
      <w:bookmarkStart w:id="198" w:name="_Toc38443224"/>
      <w:bookmarkStart w:id="199" w:name="_Toc38443555"/>
      <w:bookmarkStart w:id="200" w:name="_Toc38443885"/>
      <w:bookmarkStart w:id="201" w:name="_Toc38438353"/>
      <w:bookmarkStart w:id="202" w:name="_Toc38438690"/>
      <w:bookmarkStart w:id="203" w:name="_Toc38439027"/>
      <w:bookmarkStart w:id="204" w:name="_Toc38439364"/>
      <w:bookmarkStart w:id="205" w:name="_Toc38439701"/>
      <w:bookmarkStart w:id="206" w:name="_Toc38440038"/>
      <w:bookmarkStart w:id="207" w:name="_Toc38440375"/>
      <w:bookmarkStart w:id="208" w:name="_Toc38440907"/>
      <w:bookmarkStart w:id="209" w:name="_Toc38441239"/>
      <w:bookmarkStart w:id="210" w:name="_Toc38441571"/>
      <w:bookmarkStart w:id="211" w:name="_Toc38441899"/>
      <w:bookmarkStart w:id="212" w:name="_Toc38442231"/>
      <w:bookmarkStart w:id="213" w:name="_Toc38442563"/>
      <w:bookmarkStart w:id="214" w:name="_Toc38442894"/>
      <w:bookmarkStart w:id="215" w:name="_Toc38443225"/>
      <w:bookmarkStart w:id="216" w:name="_Toc38443556"/>
      <w:bookmarkStart w:id="217" w:name="_Toc38443886"/>
      <w:bookmarkStart w:id="218" w:name="_Toc38438354"/>
      <w:bookmarkStart w:id="219" w:name="_Toc38438691"/>
      <w:bookmarkStart w:id="220" w:name="_Toc38439028"/>
      <w:bookmarkStart w:id="221" w:name="_Toc38439365"/>
      <w:bookmarkStart w:id="222" w:name="_Toc38439702"/>
      <w:bookmarkStart w:id="223" w:name="_Toc38440039"/>
      <w:bookmarkStart w:id="224" w:name="_Toc38440376"/>
      <w:bookmarkStart w:id="225" w:name="_Toc38440908"/>
      <w:bookmarkStart w:id="226" w:name="_Toc38441240"/>
      <w:bookmarkStart w:id="227" w:name="_Toc38441572"/>
      <w:bookmarkStart w:id="228" w:name="_Toc38441900"/>
      <w:bookmarkStart w:id="229" w:name="_Toc38442232"/>
      <w:bookmarkStart w:id="230" w:name="_Toc38442564"/>
      <w:bookmarkStart w:id="231" w:name="_Toc38442895"/>
      <w:bookmarkStart w:id="232" w:name="_Toc38443226"/>
      <w:bookmarkStart w:id="233" w:name="_Toc38443557"/>
      <w:bookmarkStart w:id="234" w:name="_Toc38443887"/>
      <w:bookmarkStart w:id="235" w:name="_Toc38438355"/>
      <w:bookmarkStart w:id="236" w:name="_Toc38438692"/>
      <w:bookmarkStart w:id="237" w:name="_Toc38439029"/>
      <w:bookmarkStart w:id="238" w:name="_Toc38439366"/>
      <w:bookmarkStart w:id="239" w:name="_Toc38439703"/>
      <w:bookmarkStart w:id="240" w:name="_Toc38440040"/>
      <w:bookmarkStart w:id="241" w:name="_Toc38440377"/>
      <w:bookmarkStart w:id="242" w:name="_Toc38440909"/>
      <w:bookmarkStart w:id="243" w:name="_Toc38441241"/>
      <w:bookmarkStart w:id="244" w:name="_Toc38441573"/>
      <w:bookmarkStart w:id="245" w:name="_Toc38441901"/>
      <w:bookmarkStart w:id="246" w:name="_Toc38442233"/>
      <w:bookmarkStart w:id="247" w:name="_Toc38442565"/>
      <w:bookmarkStart w:id="248" w:name="_Toc38442896"/>
      <w:bookmarkStart w:id="249" w:name="_Toc38443227"/>
      <w:bookmarkStart w:id="250" w:name="_Toc38443558"/>
      <w:bookmarkStart w:id="251" w:name="_Toc38443888"/>
      <w:bookmarkStart w:id="252" w:name="_Toc38438356"/>
      <w:bookmarkStart w:id="253" w:name="_Toc38438693"/>
      <w:bookmarkStart w:id="254" w:name="_Toc38439030"/>
      <w:bookmarkStart w:id="255" w:name="_Toc38439367"/>
      <w:bookmarkStart w:id="256" w:name="_Toc38439704"/>
      <w:bookmarkStart w:id="257" w:name="_Toc38440041"/>
      <w:bookmarkStart w:id="258" w:name="_Toc38440378"/>
      <w:bookmarkStart w:id="259" w:name="_Toc38440910"/>
      <w:bookmarkStart w:id="260" w:name="_Toc38441242"/>
      <w:bookmarkStart w:id="261" w:name="_Toc38441574"/>
      <w:bookmarkStart w:id="262" w:name="_Toc38441902"/>
      <w:bookmarkStart w:id="263" w:name="_Toc38442234"/>
      <w:bookmarkStart w:id="264" w:name="_Toc38442566"/>
      <w:bookmarkStart w:id="265" w:name="_Toc38442897"/>
      <w:bookmarkStart w:id="266" w:name="_Toc38443228"/>
      <w:bookmarkStart w:id="267" w:name="_Toc38443559"/>
      <w:bookmarkStart w:id="268" w:name="_Toc38443889"/>
      <w:bookmarkStart w:id="269" w:name="_Toc38438357"/>
      <w:bookmarkStart w:id="270" w:name="_Toc38438694"/>
      <w:bookmarkStart w:id="271" w:name="_Toc38439031"/>
      <w:bookmarkStart w:id="272" w:name="_Toc38439368"/>
      <w:bookmarkStart w:id="273" w:name="_Toc38439705"/>
      <w:bookmarkStart w:id="274" w:name="_Toc38440042"/>
      <w:bookmarkStart w:id="275" w:name="_Toc38440379"/>
      <w:bookmarkStart w:id="276" w:name="_Toc38440911"/>
      <w:bookmarkStart w:id="277" w:name="_Toc38441243"/>
      <w:bookmarkStart w:id="278" w:name="_Toc38441575"/>
      <w:bookmarkStart w:id="279" w:name="_Toc38441903"/>
      <w:bookmarkStart w:id="280" w:name="_Toc38442235"/>
      <w:bookmarkStart w:id="281" w:name="_Toc38442567"/>
      <w:bookmarkStart w:id="282" w:name="_Toc38442898"/>
      <w:bookmarkStart w:id="283" w:name="_Toc38443229"/>
      <w:bookmarkStart w:id="284" w:name="_Toc38443560"/>
      <w:bookmarkStart w:id="285" w:name="_Toc38443890"/>
      <w:bookmarkStart w:id="286" w:name="_Toc38438358"/>
      <w:bookmarkStart w:id="287" w:name="_Toc38438695"/>
      <w:bookmarkStart w:id="288" w:name="_Toc38439032"/>
      <w:bookmarkStart w:id="289" w:name="_Toc38439369"/>
      <w:bookmarkStart w:id="290" w:name="_Toc38439706"/>
      <w:bookmarkStart w:id="291" w:name="_Toc38440043"/>
      <w:bookmarkStart w:id="292" w:name="_Toc38440380"/>
      <w:bookmarkStart w:id="293" w:name="_Toc38440912"/>
      <w:bookmarkStart w:id="294" w:name="_Toc38441244"/>
      <w:bookmarkStart w:id="295" w:name="_Toc38441576"/>
      <w:bookmarkStart w:id="296" w:name="_Toc38441904"/>
      <w:bookmarkStart w:id="297" w:name="_Toc38442236"/>
      <w:bookmarkStart w:id="298" w:name="_Toc38442568"/>
      <w:bookmarkStart w:id="299" w:name="_Toc38442899"/>
      <w:bookmarkStart w:id="300" w:name="_Toc38443230"/>
      <w:bookmarkStart w:id="301" w:name="_Toc38443561"/>
      <w:bookmarkStart w:id="302" w:name="_Toc38443891"/>
      <w:bookmarkStart w:id="303" w:name="_Toc38438359"/>
      <w:bookmarkStart w:id="304" w:name="_Toc38438696"/>
      <w:bookmarkStart w:id="305" w:name="_Toc38439033"/>
      <w:bookmarkStart w:id="306" w:name="_Toc38439370"/>
      <w:bookmarkStart w:id="307" w:name="_Toc38439707"/>
      <w:bookmarkStart w:id="308" w:name="_Toc38440044"/>
      <w:bookmarkStart w:id="309" w:name="_Toc38440381"/>
      <w:bookmarkStart w:id="310" w:name="_Toc38440913"/>
      <w:bookmarkStart w:id="311" w:name="_Toc38441245"/>
      <w:bookmarkStart w:id="312" w:name="_Toc38441577"/>
      <w:bookmarkStart w:id="313" w:name="_Toc38441905"/>
      <w:bookmarkStart w:id="314" w:name="_Toc38442237"/>
      <w:bookmarkStart w:id="315" w:name="_Toc38442569"/>
      <w:bookmarkStart w:id="316" w:name="_Toc38442900"/>
      <w:bookmarkStart w:id="317" w:name="_Toc38443231"/>
      <w:bookmarkStart w:id="318" w:name="_Toc38443562"/>
      <w:bookmarkStart w:id="319" w:name="_Toc38443892"/>
      <w:bookmarkStart w:id="320" w:name="_Toc38438360"/>
      <w:bookmarkStart w:id="321" w:name="_Toc38438697"/>
      <w:bookmarkStart w:id="322" w:name="_Toc38439034"/>
      <w:bookmarkStart w:id="323" w:name="_Toc38439371"/>
      <w:bookmarkStart w:id="324" w:name="_Toc38439708"/>
      <w:bookmarkStart w:id="325" w:name="_Toc38440045"/>
      <w:bookmarkStart w:id="326" w:name="_Toc38440382"/>
      <w:bookmarkStart w:id="327" w:name="_Toc38440914"/>
      <w:bookmarkStart w:id="328" w:name="_Toc38441246"/>
      <w:bookmarkStart w:id="329" w:name="_Toc38441578"/>
      <w:bookmarkStart w:id="330" w:name="_Toc38441906"/>
      <w:bookmarkStart w:id="331" w:name="_Toc38442238"/>
      <w:bookmarkStart w:id="332" w:name="_Toc38442570"/>
      <w:bookmarkStart w:id="333" w:name="_Toc38442901"/>
      <w:bookmarkStart w:id="334" w:name="_Toc38443232"/>
      <w:bookmarkStart w:id="335" w:name="_Toc38443563"/>
      <w:bookmarkStart w:id="336" w:name="_Toc38443893"/>
      <w:bookmarkStart w:id="337" w:name="_Toc38438361"/>
      <w:bookmarkStart w:id="338" w:name="_Toc38438698"/>
      <w:bookmarkStart w:id="339" w:name="_Toc38439035"/>
      <w:bookmarkStart w:id="340" w:name="_Toc38439372"/>
      <w:bookmarkStart w:id="341" w:name="_Toc38439709"/>
      <w:bookmarkStart w:id="342" w:name="_Toc38440046"/>
      <w:bookmarkStart w:id="343" w:name="_Toc38440383"/>
      <w:bookmarkStart w:id="344" w:name="_Toc38440915"/>
      <w:bookmarkStart w:id="345" w:name="_Toc38441247"/>
      <w:bookmarkStart w:id="346" w:name="_Toc38441579"/>
      <w:bookmarkStart w:id="347" w:name="_Toc38441907"/>
      <w:bookmarkStart w:id="348" w:name="_Toc38442239"/>
      <w:bookmarkStart w:id="349" w:name="_Toc38442571"/>
      <w:bookmarkStart w:id="350" w:name="_Toc38442902"/>
      <w:bookmarkStart w:id="351" w:name="_Toc38443233"/>
      <w:bookmarkStart w:id="352" w:name="_Toc38443564"/>
      <w:bookmarkStart w:id="353" w:name="_Toc38443894"/>
      <w:bookmarkStart w:id="354" w:name="_Toc38438362"/>
      <w:bookmarkStart w:id="355" w:name="_Toc38438699"/>
      <w:bookmarkStart w:id="356" w:name="_Toc38439036"/>
      <w:bookmarkStart w:id="357" w:name="_Toc38439373"/>
      <w:bookmarkStart w:id="358" w:name="_Toc38439710"/>
      <w:bookmarkStart w:id="359" w:name="_Toc38440047"/>
      <w:bookmarkStart w:id="360" w:name="_Toc38440384"/>
      <w:bookmarkStart w:id="361" w:name="_Toc38440916"/>
      <w:bookmarkStart w:id="362" w:name="_Toc38441248"/>
      <w:bookmarkStart w:id="363" w:name="_Toc38441580"/>
      <w:bookmarkStart w:id="364" w:name="_Toc38441908"/>
      <w:bookmarkStart w:id="365" w:name="_Toc38442240"/>
      <w:bookmarkStart w:id="366" w:name="_Toc38442572"/>
      <w:bookmarkStart w:id="367" w:name="_Toc38442903"/>
      <w:bookmarkStart w:id="368" w:name="_Toc38443234"/>
      <w:bookmarkStart w:id="369" w:name="_Toc38443565"/>
      <w:bookmarkStart w:id="370" w:name="_Toc38443895"/>
      <w:bookmarkStart w:id="371" w:name="_Toc38438363"/>
      <w:bookmarkStart w:id="372" w:name="_Toc38438700"/>
      <w:bookmarkStart w:id="373" w:name="_Toc38439037"/>
      <w:bookmarkStart w:id="374" w:name="_Toc38439374"/>
      <w:bookmarkStart w:id="375" w:name="_Toc38439711"/>
      <w:bookmarkStart w:id="376" w:name="_Toc38440048"/>
      <w:bookmarkStart w:id="377" w:name="_Toc38440385"/>
      <w:bookmarkStart w:id="378" w:name="_Toc38440917"/>
      <w:bookmarkStart w:id="379" w:name="_Toc38441249"/>
      <w:bookmarkStart w:id="380" w:name="_Toc38441581"/>
      <w:bookmarkStart w:id="381" w:name="_Toc38441909"/>
      <w:bookmarkStart w:id="382" w:name="_Toc38442241"/>
      <w:bookmarkStart w:id="383" w:name="_Toc38442573"/>
      <w:bookmarkStart w:id="384" w:name="_Toc38442904"/>
      <w:bookmarkStart w:id="385" w:name="_Toc38443235"/>
      <w:bookmarkStart w:id="386" w:name="_Toc38443566"/>
      <w:bookmarkStart w:id="387" w:name="_Toc38443896"/>
      <w:bookmarkStart w:id="388" w:name="_Toc38438364"/>
      <w:bookmarkStart w:id="389" w:name="_Toc38438701"/>
      <w:bookmarkStart w:id="390" w:name="_Toc38439038"/>
      <w:bookmarkStart w:id="391" w:name="_Toc38439375"/>
      <w:bookmarkStart w:id="392" w:name="_Toc38439712"/>
      <w:bookmarkStart w:id="393" w:name="_Toc38440049"/>
      <w:bookmarkStart w:id="394" w:name="_Toc38440386"/>
      <w:bookmarkStart w:id="395" w:name="_Toc38440918"/>
      <w:bookmarkStart w:id="396" w:name="_Toc38441250"/>
      <w:bookmarkStart w:id="397" w:name="_Toc38441582"/>
      <w:bookmarkStart w:id="398" w:name="_Toc38441910"/>
      <w:bookmarkStart w:id="399" w:name="_Toc38442242"/>
      <w:bookmarkStart w:id="400" w:name="_Toc38442574"/>
      <w:bookmarkStart w:id="401" w:name="_Toc38442905"/>
      <w:bookmarkStart w:id="402" w:name="_Toc38443236"/>
      <w:bookmarkStart w:id="403" w:name="_Toc38443567"/>
      <w:bookmarkStart w:id="404" w:name="_Toc38443897"/>
      <w:bookmarkStart w:id="405" w:name="_Toc38438365"/>
      <w:bookmarkStart w:id="406" w:name="_Toc38438702"/>
      <w:bookmarkStart w:id="407" w:name="_Toc38439039"/>
      <w:bookmarkStart w:id="408" w:name="_Toc38439376"/>
      <w:bookmarkStart w:id="409" w:name="_Toc38439713"/>
      <w:bookmarkStart w:id="410" w:name="_Toc38440050"/>
      <w:bookmarkStart w:id="411" w:name="_Toc38440387"/>
      <w:bookmarkStart w:id="412" w:name="_Toc38440919"/>
      <w:bookmarkStart w:id="413" w:name="_Toc38441251"/>
      <w:bookmarkStart w:id="414" w:name="_Toc38441583"/>
      <w:bookmarkStart w:id="415" w:name="_Toc38441911"/>
      <w:bookmarkStart w:id="416" w:name="_Toc38442243"/>
      <w:bookmarkStart w:id="417" w:name="_Toc38442575"/>
      <w:bookmarkStart w:id="418" w:name="_Toc38442906"/>
      <w:bookmarkStart w:id="419" w:name="_Toc38443237"/>
      <w:bookmarkStart w:id="420" w:name="_Toc38443568"/>
      <w:bookmarkStart w:id="421" w:name="_Toc38443898"/>
      <w:bookmarkStart w:id="422" w:name="_Toc38438366"/>
      <w:bookmarkStart w:id="423" w:name="_Toc38438703"/>
      <w:bookmarkStart w:id="424" w:name="_Toc38439040"/>
      <w:bookmarkStart w:id="425" w:name="_Toc38439377"/>
      <w:bookmarkStart w:id="426" w:name="_Toc38439714"/>
      <w:bookmarkStart w:id="427" w:name="_Toc38440051"/>
      <w:bookmarkStart w:id="428" w:name="_Toc38440388"/>
      <w:bookmarkStart w:id="429" w:name="_Toc38440920"/>
      <w:bookmarkStart w:id="430" w:name="_Toc38441252"/>
      <w:bookmarkStart w:id="431" w:name="_Toc38441584"/>
      <w:bookmarkStart w:id="432" w:name="_Toc38441912"/>
      <w:bookmarkStart w:id="433" w:name="_Toc38442244"/>
      <w:bookmarkStart w:id="434" w:name="_Toc38442576"/>
      <w:bookmarkStart w:id="435" w:name="_Toc38442907"/>
      <w:bookmarkStart w:id="436" w:name="_Toc38443238"/>
      <w:bookmarkStart w:id="437" w:name="_Toc38443569"/>
      <w:bookmarkStart w:id="438" w:name="_Toc38443899"/>
      <w:bookmarkStart w:id="439" w:name="_Toc38438367"/>
      <w:bookmarkStart w:id="440" w:name="_Toc38438704"/>
      <w:bookmarkStart w:id="441" w:name="_Toc38439041"/>
      <w:bookmarkStart w:id="442" w:name="_Toc38439378"/>
      <w:bookmarkStart w:id="443" w:name="_Toc38439715"/>
      <w:bookmarkStart w:id="444" w:name="_Toc38440052"/>
      <w:bookmarkStart w:id="445" w:name="_Toc38440389"/>
      <w:bookmarkStart w:id="446" w:name="_Toc38440921"/>
      <w:bookmarkStart w:id="447" w:name="_Toc38441253"/>
      <w:bookmarkStart w:id="448" w:name="_Toc38441585"/>
      <w:bookmarkStart w:id="449" w:name="_Toc38441913"/>
      <w:bookmarkStart w:id="450" w:name="_Toc38442245"/>
      <w:bookmarkStart w:id="451" w:name="_Toc38442577"/>
      <w:bookmarkStart w:id="452" w:name="_Toc38442908"/>
      <w:bookmarkStart w:id="453" w:name="_Toc38443239"/>
      <w:bookmarkStart w:id="454" w:name="_Toc38443570"/>
      <w:bookmarkStart w:id="455" w:name="_Toc38443900"/>
      <w:bookmarkStart w:id="456" w:name="_Toc38438368"/>
      <w:bookmarkStart w:id="457" w:name="_Toc38438705"/>
      <w:bookmarkStart w:id="458" w:name="_Toc38439042"/>
      <w:bookmarkStart w:id="459" w:name="_Toc38439379"/>
      <w:bookmarkStart w:id="460" w:name="_Toc38439716"/>
      <w:bookmarkStart w:id="461" w:name="_Toc38440053"/>
      <w:bookmarkStart w:id="462" w:name="_Toc38440390"/>
      <w:bookmarkStart w:id="463" w:name="_Toc38440922"/>
      <w:bookmarkStart w:id="464" w:name="_Toc38441254"/>
      <w:bookmarkStart w:id="465" w:name="_Toc38441586"/>
      <w:bookmarkStart w:id="466" w:name="_Toc38441914"/>
      <w:bookmarkStart w:id="467" w:name="_Toc38442246"/>
      <w:bookmarkStart w:id="468" w:name="_Toc38442578"/>
      <w:bookmarkStart w:id="469" w:name="_Toc38442909"/>
      <w:bookmarkStart w:id="470" w:name="_Toc38443240"/>
      <w:bookmarkStart w:id="471" w:name="_Toc38443571"/>
      <w:bookmarkStart w:id="472" w:name="_Toc38443901"/>
      <w:bookmarkStart w:id="473" w:name="_Toc38438369"/>
      <w:bookmarkStart w:id="474" w:name="_Toc38438706"/>
      <w:bookmarkStart w:id="475" w:name="_Toc38439043"/>
      <w:bookmarkStart w:id="476" w:name="_Toc38439380"/>
      <w:bookmarkStart w:id="477" w:name="_Toc38439717"/>
      <w:bookmarkStart w:id="478" w:name="_Toc38440054"/>
      <w:bookmarkStart w:id="479" w:name="_Toc38440391"/>
      <w:bookmarkStart w:id="480" w:name="_Toc38440923"/>
      <w:bookmarkStart w:id="481" w:name="_Toc38441255"/>
      <w:bookmarkStart w:id="482" w:name="_Toc38441587"/>
      <w:bookmarkStart w:id="483" w:name="_Toc38441915"/>
      <w:bookmarkStart w:id="484" w:name="_Toc38442247"/>
      <w:bookmarkStart w:id="485" w:name="_Toc38442579"/>
      <w:bookmarkStart w:id="486" w:name="_Toc38442910"/>
      <w:bookmarkStart w:id="487" w:name="_Toc38443241"/>
      <w:bookmarkStart w:id="488" w:name="_Toc38443572"/>
      <w:bookmarkStart w:id="489" w:name="_Toc38443902"/>
      <w:bookmarkStart w:id="490" w:name="_Toc38438371"/>
      <w:bookmarkStart w:id="491" w:name="_Toc38438708"/>
      <w:bookmarkStart w:id="492" w:name="_Toc38439045"/>
      <w:bookmarkStart w:id="493" w:name="_Toc38439382"/>
      <w:bookmarkStart w:id="494" w:name="_Toc38439719"/>
      <w:bookmarkStart w:id="495" w:name="_Toc38440056"/>
      <w:bookmarkStart w:id="496" w:name="_Toc38440393"/>
      <w:bookmarkStart w:id="497" w:name="_Toc38440925"/>
      <w:bookmarkStart w:id="498" w:name="_Toc38441257"/>
      <w:bookmarkStart w:id="499" w:name="_Toc38441589"/>
      <w:bookmarkStart w:id="500" w:name="_Toc38441917"/>
      <w:bookmarkStart w:id="501" w:name="_Toc38442249"/>
      <w:bookmarkStart w:id="502" w:name="_Toc38442581"/>
      <w:bookmarkStart w:id="503" w:name="_Toc38442912"/>
      <w:bookmarkStart w:id="504" w:name="_Toc38443243"/>
      <w:bookmarkStart w:id="505" w:name="_Toc38443574"/>
      <w:bookmarkStart w:id="506" w:name="_Toc38443904"/>
      <w:bookmarkStart w:id="507" w:name="_Toc38438372"/>
      <w:bookmarkStart w:id="508" w:name="_Toc38438709"/>
      <w:bookmarkStart w:id="509" w:name="_Toc38439046"/>
      <w:bookmarkStart w:id="510" w:name="_Toc38439383"/>
      <w:bookmarkStart w:id="511" w:name="_Toc38439720"/>
      <w:bookmarkStart w:id="512" w:name="_Toc38440057"/>
      <w:bookmarkStart w:id="513" w:name="_Toc38440394"/>
      <w:bookmarkStart w:id="514" w:name="_Toc38440926"/>
      <w:bookmarkStart w:id="515" w:name="_Toc38441258"/>
      <w:bookmarkStart w:id="516" w:name="_Toc38441590"/>
      <w:bookmarkStart w:id="517" w:name="_Toc38441918"/>
      <w:bookmarkStart w:id="518" w:name="_Toc38442250"/>
      <w:bookmarkStart w:id="519" w:name="_Toc38442582"/>
      <w:bookmarkStart w:id="520" w:name="_Toc38442913"/>
      <w:bookmarkStart w:id="521" w:name="_Toc38443244"/>
      <w:bookmarkStart w:id="522" w:name="_Toc38443575"/>
      <w:bookmarkStart w:id="523" w:name="_Toc38443905"/>
      <w:bookmarkStart w:id="524" w:name="_Toc38438373"/>
      <w:bookmarkStart w:id="525" w:name="_Toc38438710"/>
      <w:bookmarkStart w:id="526" w:name="_Toc38439047"/>
      <w:bookmarkStart w:id="527" w:name="_Toc38439384"/>
      <w:bookmarkStart w:id="528" w:name="_Toc38439721"/>
      <w:bookmarkStart w:id="529" w:name="_Toc38440058"/>
      <w:bookmarkStart w:id="530" w:name="_Toc38440395"/>
      <w:bookmarkStart w:id="531" w:name="_Toc38440927"/>
      <w:bookmarkStart w:id="532" w:name="_Toc38441259"/>
      <w:bookmarkStart w:id="533" w:name="_Toc38441591"/>
      <w:bookmarkStart w:id="534" w:name="_Toc38441919"/>
      <w:bookmarkStart w:id="535" w:name="_Toc38442251"/>
      <w:bookmarkStart w:id="536" w:name="_Toc38442583"/>
      <w:bookmarkStart w:id="537" w:name="_Toc38442914"/>
      <w:bookmarkStart w:id="538" w:name="_Toc38443245"/>
      <w:bookmarkStart w:id="539" w:name="_Toc38443576"/>
      <w:bookmarkStart w:id="540" w:name="_Toc38443906"/>
      <w:bookmarkStart w:id="541" w:name="_Toc38438374"/>
      <w:bookmarkStart w:id="542" w:name="_Toc38438711"/>
      <w:bookmarkStart w:id="543" w:name="_Toc38439048"/>
      <w:bookmarkStart w:id="544" w:name="_Toc38439385"/>
      <w:bookmarkStart w:id="545" w:name="_Toc38439722"/>
      <w:bookmarkStart w:id="546" w:name="_Toc38440059"/>
      <w:bookmarkStart w:id="547" w:name="_Toc38440396"/>
      <w:bookmarkStart w:id="548" w:name="_Toc38440928"/>
      <w:bookmarkStart w:id="549" w:name="_Toc38441260"/>
      <w:bookmarkStart w:id="550" w:name="_Toc38441592"/>
      <w:bookmarkStart w:id="551" w:name="_Toc38441920"/>
      <w:bookmarkStart w:id="552" w:name="_Toc38442252"/>
      <w:bookmarkStart w:id="553" w:name="_Toc38442584"/>
      <w:bookmarkStart w:id="554" w:name="_Toc38442915"/>
      <w:bookmarkStart w:id="555" w:name="_Toc38443246"/>
      <w:bookmarkStart w:id="556" w:name="_Toc38443577"/>
      <w:bookmarkStart w:id="557" w:name="_Toc38443907"/>
      <w:bookmarkStart w:id="558" w:name="_Toc38438375"/>
      <w:bookmarkStart w:id="559" w:name="_Toc38438712"/>
      <w:bookmarkStart w:id="560" w:name="_Toc38439049"/>
      <w:bookmarkStart w:id="561" w:name="_Toc38439386"/>
      <w:bookmarkStart w:id="562" w:name="_Toc38439723"/>
      <w:bookmarkStart w:id="563" w:name="_Toc38440060"/>
      <w:bookmarkStart w:id="564" w:name="_Toc38440397"/>
      <w:bookmarkStart w:id="565" w:name="_Toc38440929"/>
      <w:bookmarkStart w:id="566" w:name="_Toc38441261"/>
      <w:bookmarkStart w:id="567" w:name="_Toc38441593"/>
      <w:bookmarkStart w:id="568" w:name="_Toc38441921"/>
      <w:bookmarkStart w:id="569" w:name="_Toc38442253"/>
      <w:bookmarkStart w:id="570" w:name="_Toc38442585"/>
      <w:bookmarkStart w:id="571" w:name="_Toc38442916"/>
      <w:bookmarkStart w:id="572" w:name="_Toc38443247"/>
      <w:bookmarkStart w:id="573" w:name="_Toc38443578"/>
      <w:bookmarkStart w:id="574" w:name="_Toc38443908"/>
      <w:bookmarkStart w:id="575" w:name="_Toc38438376"/>
      <w:bookmarkStart w:id="576" w:name="_Toc38438713"/>
      <w:bookmarkStart w:id="577" w:name="_Toc38439050"/>
      <w:bookmarkStart w:id="578" w:name="_Toc38439387"/>
      <w:bookmarkStart w:id="579" w:name="_Toc38439724"/>
      <w:bookmarkStart w:id="580" w:name="_Toc38440061"/>
      <w:bookmarkStart w:id="581" w:name="_Toc38440398"/>
      <w:bookmarkStart w:id="582" w:name="_Toc38440930"/>
      <w:bookmarkStart w:id="583" w:name="_Toc38441262"/>
      <w:bookmarkStart w:id="584" w:name="_Toc38441594"/>
      <w:bookmarkStart w:id="585" w:name="_Toc38441922"/>
      <w:bookmarkStart w:id="586" w:name="_Toc38442254"/>
      <w:bookmarkStart w:id="587" w:name="_Toc38442586"/>
      <w:bookmarkStart w:id="588" w:name="_Toc38442917"/>
      <w:bookmarkStart w:id="589" w:name="_Toc38443248"/>
      <w:bookmarkStart w:id="590" w:name="_Toc38443579"/>
      <w:bookmarkStart w:id="591" w:name="_Toc38443909"/>
      <w:bookmarkStart w:id="592" w:name="_Toc38438377"/>
      <w:bookmarkStart w:id="593" w:name="_Toc38438714"/>
      <w:bookmarkStart w:id="594" w:name="_Toc38439051"/>
      <w:bookmarkStart w:id="595" w:name="_Toc38439388"/>
      <w:bookmarkStart w:id="596" w:name="_Toc38439725"/>
      <w:bookmarkStart w:id="597" w:name="_Toc38440062"/>
      <w:bookmarkStart w:id="598" w:name="_Toc38440399"/>
      <w:bookmarkStart w:id="599" w:name="_Toc38440931"/>
      <w:bookmarkStart w:id="600" w:name="_Toc38441263"/>
      <w:bookmarkStart w:id="601" w:name="_Toc38441595"/>
      <w:bookmarkStart w:id="602" w:name="_Toc38441923"/>
      <w:bookmarkStart w:id="603" w:name="_Toc38442255"/>
      <w:bookmarkStart w:id="604" w:name="_Toc38442587"/>
      <w:bookmarkStart w:id="605" w:name="_Toc38442918"/>
      <w:bookmarkStart w:id="606" w:name="_Toc38443249"/>
      <w:bookmarkStart w:id="607" w:name="_Toc38443580"/>
      <w:bookmarkStart w:id="608" w:name="_Toc38443910"/>
      <w:bookmarkStart w:id="609" w:name="_Toc38438378"/>
      <w:bookmarkStart w:id="610" w:name="_Toc38438715"/>
      <w:bookmarkStart w:id="611" w:name="_Toc38439052"/>
      <w:bookmarkStart w:id="612" w:name="_Toc38439389"/>
      <w:bookmarkStart w:id="613" w:name="_Toc38439726"/>
      <w:bookmarkStart w:id="614" w:name="_Toc38440063"/>
      <w:bookmarkStart w:id="615" w:name="_Toc38440400"/>
      <w:bookmarkStart w:id="616" w:name="_Toc38440932"/>
      <w:bookmarkStart w:id="617" w:name="_Toc38441264"/>
      <w:bookmarkStart w:id="618" w:name="_Toc38441596"/>
      <w:bookmarkStart w:id="619" w:name="_Toc38441924"/>
      <w:bookmarkStart w:id="620" w:name="_Toc38442256"/>
      <w:bookmarkStart w:id="621" w:name="_Toc38442588"/>
      <w:bookmarkStart w:id="622" w:name="_Toc38442919"/>
      <w:bookmarkStart w:id="623" w:name="_Toc38443250"/>
      <w:bookmarkStart w:id="624" w:name="_Toc38443581"/>
      <w:bookmarkStart w:id="625" w:name="_Toc38443911"/>
      <w:bookmarkStart w:id="626" w:name="_Toc38438379"/>
      <w:bookmarkStart w:id="627" w:name="_Toc38438716"/>
      <w:bookmarkStart w:id="628" w:name="_Toc38439053"/>
      <w:bookmarkStart w:id="629" w:name="_Toc38439390"/>
      <w:bookmarkStart w:id="630" w:name="_Toc38439727"/>
      <w:bookmarkStart w:id="631" w:name="_Toc38440064"/>
      <w:bookmarkStart w:id="632" w:name="_Toc38440401"/>
      <w:bookmarkStart w:id="633" w:name="_Toc38440933"/>
      <w:bookmarkStart w:id="634" w:name="_Toc38441265"/>
      <w:bookmarkStart w:id="635" w:name="_Toc38441597"/>
      <w:bookmarkStart w:id="636" w:name="_Toc38441925"/>
      <w:bookmarkStart w:id="637" w:name="_Toc38442257"/>
      <w:bookmarkStart w:id="638" w:name="_Toc38442589"/>
      <w:bookmarkStart w:id="639" w:name="_Toc38442920"/>
      <w:bookmarkStart w:id="640" w:name="_Toc38443251"/>
      <w:bookmarkStart w:id="641" w:name="_Toc38443582"/>
      <w:bookmarkStart w:id="642" w:name="_Toc38443912"/>
      <w:bookmarkStart w:id="643" w:name="_Toc38438380"/>
      <w:bookmarkStart w:id="644" w:name="_Toc38438717"/>
      <w:bookmarkStart w:id="645" w:name="_Toc38439054"/>
      <w:bookmarkStart w:id="646" w:name="_Toc38439391"/>
      <w:bookmarkStart w:id="647" w:name="_Toc38439728"/>
      <w:bookmarkStart w:id="648" w:name="_Toc38440065"/>
      <w:bookmarkStart w:id="649" w:name="_Toc38440402"/>
      <w:bookmarkStart w:id="650" w:name="_Toc38440934"/>
      <w:bookmarkStart w:id="651" w:name="_Toc38441266"/>
      <w:bookmarkStart w:id="652" w:name="_Toc38441598"/>
      <w:bookmarkStart w:id="653" w:name="_Toc38441926"/>
      <w:bookmarkStart w:id="654" w:name="_Toc38442258"/>
      <w:bookmarkStart w:id="655" w:name="_Toc38442590"/>
      <w:bookmarkStart w:id="656" w:name="_Toc38442921"/>
      <w:bookmarkStart w:id="657" w:name="_Toc38443252"/>
      <w:bookmarkStart w:id="658" w:name="_Toc38443583"/>
      <w:bookmarkStart w:id="659" w:name="_Toc38443913"/>
      <w:bookmarkStart w:id="660" w:name="_Toc38438381"/>
      <w:bookmarkStart w:id="661" w:name="_Toc38438718"/>
      <w:bookmarkStart w:id="662" w:name="_Toc38439055"/>
      <w:bookmarkStart w:id="663" w:name="_Toc38439392"/>
      <w:bookmarkStart w:id="664" w:name="_Toc38439729"/>
      <w:bookmarkStart w:id="665" w:name="_Toc38440066"/>
      <w:bookmarkStart w:id="666" w:name="_Toc38440403"/>
      <w:bookmarkStart w:id="667" w:name="_Toc38440935"/>
      <w:bookmarkStart w:id="668" w:name="_Toc38441267"/>
      <w:bookmarkStart w:id="669" w:name="_Toc38441599"/>
      <w:bookmarkStart w:id="670" w:name="_Toc38441927"/>
      <w:bookmarkStart w:id="671" w:name="_Toc38442259"/>
      <w:bookmarkStart w:id="672" w:name="_Toc38442591"/>
      <w:bookmarkStart w:id="673" w:name="_Toc38442922"/>
      <w:bookmarkStart w:id="674" w:name="_Toc38443253"/>
      <w:bookmarkStart w:id="675" w:name="_Toc38443584"/>
      <w:bookmarkStart w:id="676" w:name="_Toc38443914"/>
      <w:bookmarkStart w:id="677" w:name="_Toc38438382"/>
      <w:bookmarkStart w:id="678" w:name="_Toc38438719"/>
      <w:bookmarkStart w:id="679" w:name="_Toc38439056"/>
      <w:bookmarkStart w:id="680" w:name="_Toc38439393"/>
      <w:bookmarkStart w:id="681" w:name="_Toc38439730"/>
      <w:bookmarkStart w:id="682" w:name="_Toc38440067"/>
      <w:bookmarkStart w:id="683" w:name="_Toc38440404"/>
      <w:bookmarkStart w:id="684" w:name="_Toc38440936"/>
      <w:bookmarkStart w:id="685" w:name="_Toc38441268"/>
      <w:bookmarkStart w:id="686" w:name="_Toc38441600"/>
      <w:bookmarkStart w:id="687" w:name="_Toc38441928"/>
      <w:bookmarkStart w:id="688" w:name="_Toc38442260"/>
      <w:bookmarkStart w:id="689" w:name="_Toc38442592"/>
      <w:bookmarkStart w:id="690" w:name="_Toc38442923"/>
      <w:bookmarkStart w:id="691" w:name="_Toc38443254"/>
      <w:bookmarkStart w:id="692" w:name="_Toc38443585"/>
      <w:bookmarkStart w:id="693" w:name="_Toc38443915"/>
      <w:bookmarkStart w:id="694" w:name="_Toc38438383"/>
      <w:bookmarkStart w:id="695" w:name="_Toc38438720"/>
      <w:bookmarkStart w:id="696" w:name="_Toc38439057"/>
      <w:bookmarkStart w:id="697" w:name="_Toc38439394"/>
      <w:bookmarkStart w:id="698" w:name="_Toc38439731"/>
      <w:bookmarkStart w:id="699" w:name="_Toc38440068"/>
      <w:bookmarkStart w:id="700" w:name="_Toc38440405"/>
      <w:bookmarkStart w:id="701" w:name="_Toc38440937"/>
      <w:bookmarkStart w:id="702" w:name="_Toc38441269"/>
      <w:bookmarkStart w:id="703" w:name="_Toc38441601"/>
      <w:bookmarkStart w:id="704" w:name="_Toc38441929"/>
      <w:bookmarkStart w:id="705" w:name="_Toc38442261"/>
      <w:bookmarkStart w:id="706" w:name="_Toc38442593"/>
      <w:bookmarkStart w:id="707" w:name="_Toc38442924"/>
      <w:bookmarkStart w:id="708" w:name="_Toc38443255"/>
      <w:bookmarkStart w:id="709" w:name="_Toc38443586"/>
      <w:bookmarkStart w:id="710" w:name="_Toc38443916"/>
      <w:bookmarkStart w:id="711" w:name="_Toc38438384"/>
      <w:bookmarkStart w:id="712" w:name="_Toc38438721"/>
      <w:bookmarkStart w:id="713" w:name="_Toc38439058"/>
      <w:bookmarkStart w:id="714" w:name="_Toc38439395"/>
      <w:bookmarkStart w:id="715" w:name="_Toc38439732"/>
      <w:bookmarkStart w:id="716" w:name="_Toc38440069"/>
      <w:bookmarkStart w:id="717" w:name="_Toc38440406"/>
      <w:bookmarkStart w:id="718" w:name="_Toc38440938"/>
      <w:bookmarkStart w:id="719" w:name="_Toc38441270"/>
      <w:bookmarkStart w:id="720" w:name="_Toc38441602"/>
      <w:bookmarkStart w:id="721" w:name="_Toc38441930"/>
      <w:bookmarkStart w:id="722" w:name="_Toc38442262"/>
      <w:bookmarkStart w:id="723" w:name="_Toc38442594"/>
      <w:bookmarkStart w:id="724" w:name="_Toc38442925"/>
      <w:bookmarkStart w:id="725" w:name="_Toc38443256"/>
      <w:bookmarkStart w:id="726" w:name="_Toc38443587"/>
      <w:bookmarkStart w:id="727" w:name="_Toc38443917"/>
      <w:bookmarkStart w:id="728" w:name="_Toc38438385"/>
      <w:bookmarkStart w:id="729" w:name="_Toc38438722"/>
      <w:bookmarkStart w:id="730" w:name="_Toc38439059"/>
      <w:bookmarkStart w:id="731" w:name="_Toc38439396"/>
      <w:bookmarkStart w:id="732" w:name="_Toc38439733"/>
      <w:bookmarkStart w:id="733" w:name="_Toc38440070"/>
      <w:bookmarkStart w:id="734" w:name="_Toc38440407"/>
      <w:bookmarkStart w:id="735" w:name="_Toc38440939"/>
      <w:bookmarkStart w:id="736" w:name="_Toc38441271"/>
      <w:bookmarkStart w:id="737" w:name="_Toc38441603"/>
      <w:bookmarkStart w:id="738" w:name="_Toc38441931"/>
      <w:bookmarkStart w:id="739" w:name="_Toc38442263"/>
      <w:bookmarkStart w:id="740" w:name="_Toc38442595"/>
      <w:bookmarkStart w:id="741" w:name="_Toc38442926"/>
      <w:bookmarkStart w:id="742" w:name="_Toc38443257"/>
      <w:bookmarkStart w:id="743" w:name="_Toc38443588"/>
      <w:bookmarkStart w:id="744" w:name="_Toc38443918"/>
      <w:bookmarkStart w:id="745" w:name="_Toc38438386"/>
      <w:bookmarkStart w:id="746" w:name="_Toc38438723"/>
      <w:bookmarkStart w:id="747" w:name="_Toc38439060"/>
      <w:bookmarkStart w:id="748" w:name="_Toc38439397"/>
      <w:bookmarkStart w:id="749" w:name="_Toc38439734"/>
      <w:bookmarkStart w:id="750" w:name="_Toc38440071"/>
      <w:bookmarkStart w:id="751" w:name="_Toc38440408"/>
      <w:bookmarkStart w:id="752" w:name="_Toc38440940"/>
      <w:bookmarkStart w:id="753" w:name="_Toc38441272"/>
      <w:bookmarkStart w:id="754" w:name="_Toc38441604"/>
      <w:bookmarkStart w:id="755" w:name="_Toc38441932"/>
      <w:bookmarkStart w:id="756" w:name="_Toc38442264"/>
      <w:bookmarkStart w:id="757" w:name="_Toc38442596"/>
      <w:bookmarkStart w:id="758" w:name="_Toc38442927"/>
      <w:bookmarkStart w:id="759" w:name="_Toc38443258"/>
      <w:bookmarkStart w:id="760" w:name="_Toc38443589"/>
      <w:bookmarkStart w:id="761" w:name="_Toc38443919"/>
      <w:bookmarkStart w:id="762" w:name="_Toc38438387"/>
      <w:bookmarkStart w:id="763" w:name="_Toc38438724"/>
      <w:bookmarkStart w:id="764" w:name="_Toc38439061"/>
      <w:bookmarkStart w:id="765" w:name="_Toc38439398"/>
      <w:bookmarkStart w:id="766" w:name="_Toc38439735"/>
      <w:bookmarkStart w:id="767" w:name="_Toc38440072"/>
      <w:bookmarkStart w:id="768" w:name="_Toc38440409"/>
      <w:bookmarkStart w:id="769" w:name="_Toc38440941"/>
      <w:bookmarkStart w:id="770" w:name="_Toc38441273"/>
      <w:bookmarkStart w:id="771" w:name="_Toc38441605"/>
      <w:bookmarkStart w:id="772" w:name="_Toc38441933"/>
      <w:bookmarkStart w:id="773" w:name="_Toc38442265"/>
      <w:bookmarkStart w:id="774" w:name="_Toc38442597"/>
      <w:bookmarkStart w:id="775" w:name="_Toc38442928"/>
      <w:bookmarkStart w:id="776" w:name="_Toc38443259"/>
      <w:bookmarkStart w:id="777" w:name="_Toc38443590"/>
      <w:bookmarkStart w:id="778" w:name="_Toc38443920"/>
      <w:bookmarkStart w:id="779" w:name="_Toc38438388"/>
      <w:bookmarkStart w:id="780" w:name="_Toc38438725"/>
      <w:bookmarkStart w:id="781" w:name="_Toc38439062"/>
      <w:bookmarkStart w:id="782" w:name="_Toc38439399"/>
      <w:bookmarkStart w:id="783" w:name="_Toc38439736"/>
      <w:bookmarkStart w:id="784" w:name="_Toc38440073"/>
      <w:bookmarkStart w:id="785" w:name="_Toc38440410"/>
      <w:bookmarkStart w:id="786" w:name="_Toc38440942"/>
      <w:bookmarkStart w:id="787" w:name="_Toc38441274"/>
      <w:bookmarkStart w:id="788" w:name="_Toc38441606"/>
      <w:bookmarkStart w:id="789" w:name="_Toc38441934"/>
      <w:bookmarkStart w:id="790" w:name="_Toc38442266"/>
      <w:bookmarkStart w:id="791" w:name="_Toc38442598"/>
      <w:bookmarkStart w:id="792" w:name="_Toc38442929"/>
      <w:bookmarkStart w:id="793" w:name="_Toc38443260"/>
      <w:bookmarkStart w:id="794" w:name="_Toc38443591"/>
      <w:bookmarkStart w:id="795" w:name="_Toc38443921"/>
      <w:bookmarkStart w:id="796" w:name="_Toc38438389"/>
      <w:bookmarkStart w:id="797" w:name="_Toc38438726"/>
      <w:bookmarkStart w:id="798" w:name="_Toc38439063"/>
      <w:bookmarkStart w:id="799" w:name="_Toc38439400"/>
      <w:bookmarkStart w:id="800" w:name="_Toc38439737"/>
      <w:bookmarkStart w:id="801" w:name="_Toc38440074"/>
      <w:bookmarkStart w:id="802" w:name="_Toc38440411"/>
      <w:bookmarkStart w:id="803" w:name="_Toc38440943"/>
      <w:bookmarkStart w:id="804" w:name="_Toc38441275"/>
      <w:bookmarkStart w:id="805" w:name="_Toc38441607"/>
      <w:bookmarkStart w:id="806" w:name="_Toc38441935"/>
      <w:bookmarkStart w:id="807" w:name="_Toc38442267"/>
      <w:bookmarkStart w:id="808" w:name="_Toc38442599"/>
      <w:bookmarkStart w:id="809" w:name="_Toc38442930"/>
      <w:bookmarkStart w:id="810" w:name="_Toc38443261"/>
      <w:bookmarkStart w:id="811" w:name="_Toc38443592"/>
      <w:bookmarkStart w:id="812" w:name="_Toc38443922"/>
      <w:bookmarkStart w:id="813" w:name="_Toc38438390"/>
      <w:bookmarkStart w:id="814" w:name="_Toc38438727"/>
      <w:bookmarkStart w:id="815" w:name="_Toc38439064"/>
      <w:bookmarkStart w:id="816" w:name="_Toc38439401"/>
      <w:bookmarkStart w:id="817" w:name="_Toc38439738"/>
      <w:bookmarkStart w:id="818" w:name="_Toc38440075"/>
      <w:bookmarkStart w:id="819" w:name="_Toc38440412"/>
      <w:bookmarkStart w:id="820" w:name="_Toc38440944"/>
      <w:bookmarkStart w:id="821" w:name="_Toc38441276"/>
      <w:bookmarkStart w:id="822" w:name="_Toc38441608"/>
      <w:bookmarkStart w:id="823" w:name="_Toc38441936"/>
      <w:bookmarkStart w:id="824" w:name="_Toc38442268"/>
      <w:bookmarkStart w:id="825" w:name="_Toc38442600"/>
      <w:bookmarkStart w:id="826" w:name="_Toc38442931"/>
      <w:bookmarkStart w:id="827" w:name="_Toc38443262"/>
      <w:bookmarkStart w:id="828" w:name="_Toc38443593"/>
      <w:bookmarkStart w:id="829" w:name="_Toc38443923"/>
      <w:bookmarkStart w:id="830" w:name="_Toc38438391"/>
      <w:bookmarkStart w:id="831" w:name="_Toc38438728"/>
      <w:bookmarkStart w:id="832" w:name="_Toc38439065"/>
      <w:bookmarkStart w:id="833" w:name="_Toc38439402"/>
      <w:bookmarkStart w:id="834" w:name="_Toc38439739"/>
      <w:bookmarkStart w:id="835" w:name="_Toc38440076"/>
      <w:bookmarkStart w:id="836" w:name="_Toc38440413"/>
      <w:bookmarkStart w:id="837" w:name="_Toc38440945"/>
      <w:bookmarkStart w:id="838" w:name="_Toc38441277"/>
      <w:bookmarkStart w:id="839" w:name="_Toc38441609"/>
      <w:bookmarkStart w:id="840" w:name="_Toc38441937"/>
      <w:bookmarkStart w:id="841" w:name="_Toc38442269"/>
      <w:bookmarkStart w:id="842" w:name="_Toc38442601"/>
      <w:bookmarkStart w:id="843" w:name="_Toc38442932"/>
      <w:bookmarkStart w:id="844" w:name="_Toc38443263"/>
      <w:bookmarkStart w:id="845" w:name="_Toc38443594"/>
      <w:bookmarkStart w:id="846" w:name="_Toc38443924"/>
      <w:bookmarkStart w:id="847" w:name="_Toc38438392"/>
      <w:bookmarkStart w:id="848" w:name="_Toc38438729"/>
      <w:bookmarkStart w:id="849" w:name="_Toc38439066"/>
      <w:bookmarkStart w:id="850" w:name="_Toc38439403"/>
      <w:bookmarkStart w:id="851" w:name="_Toc38439740"/>
      <w:bookmarkStart w:id="852" w:name="_Toc38440077"/>
      <w:bookmarkStart w:id="853" w:name="_Toc38440414"/>
      <w:bookmarkStart w:id="854" w:name="_Toc38440946"/>
      <w:bookmarkStart w:id="855" w:name="_Toc38441278"/>
      <w:bookmarkStart w:id="856" w:name="_Toc38441610"/>
      <w:bookmarkStart w:id="857" w:name="_Toc38441938"/>
      <w:bookmarkStart w:id="858" w:name="_Toc38442270"/>
      <w:bookmarkStart w:id="859" w:name="_Toc38442602"/>
      <w:bookmarkStart w:id="860" w:name="_Toc38442933"/>
      <w:bookmarkStart w:id="861" w:name="_Toc38443264"/>
      <w:bookmarkStart w:id="862" w:name="_Toc38443595"/>
      <w:bookmarkStart w:id="863" w:name="_Toc38443925"/>
      <w:bookmarkStart w:id="864" w:name="_Toc38438393"/>
      <w:bookmarkStart w:id="865" w:name="_Toc38438730"/>
      <w:bookmarkStart w:id="866" w:name="_Toc38439067"/>
      <w:bookmarkStart w:id="867" w:name="_Toc38439404"/>
      <w:bookmarkStart w:id="868" w:name="_Toc38439741"/>
      <w:bookmarkStart w:id="869" w:name="_Toc38440078"/>
      <w:bookmarkStart w:id="870" w:name="_Toc38440415"/>
      <w:bookmarkStart w:id="871" w:name="_Toc38440947"/>
      <w:bookmarkStart w:id="872" w:name="_Toc38441279"/>
      <w:bookmarkStart w:id="873" w:name="_Toc38441611"/>
      <w:bookmarkStart w:id="874" w:name="_Toc38441939"/>
      <w:bookmarkStart w:id="875" w:name="_Toc38442271"/>
      <w:bookmarkStart w:id="876" w:name="_Toc38442603"/>
      <w:bookmarkStart w:id="877" w:name="_Toc38442934"/>
      <w:bookmarkStart w:id="878" w:name="_Toc38443265"/>
      <w:bookmarkStart w:id="879" w:name="_Toc38443596"/>
      <w:bookmarkStart w:id="880" w:name="_Toc38443926"/>
      <w:bookmarkStart w:id="881" w:name="_Toc38438394"/>
      <w:bookmarkStart w:id="882" w:name="_Toc38438731"/>
      <w:bookmarkStart w:id="883" w:name="_Toc38439068"/>
      <w:bookmarkStart w:id="884" w:name="_Toc38439405"/>
      <w:bookmarkStart w:id="885" w:name="_Toc38439742"/>
      <w:bookmarkStart w:id="886" w:name="_Toc38440079"/>
      <w:bookmarkStart w:id="887" w:name="_Toc38440416"/>
      <w:bookmarkStart w:id="888" w:name="_Toc38440948"/>
      <w:bookmarkStart w:id="889" w:name="_Toc38441280"/>
      <w:bookmarkStart w:id="890" w:name="_Toc38441612"/>
      <w:bookmarkStart w:id="891" w:name="_Toc38441940"/>
      <w:bookmarkStart w:id="892" w:name="_Toc38442272"/>
      <w:bookmarkStart w:id="893" w:name="_Toc38442604"/>
      <w:bookmarkStart w:id="894" w:name="_Toc38442935"/>
      <w:bookmarkStart w:id="895" w:name="_Toc38443266"/>
      <w:bookmarkStart w:id="896" w:name="_Toc38443597"/>
      <w:bookmarkStart w:id="897" w:name="_Toc38443927"/>
      <w:bookmarkStart w:id="898" w:name="_Toc38438395"/>
      <w:bookmarkStart w:id="899" w:name="_Toc38438732"/>
      <w:bookmarkStart w:id="900" w:name="_Toc38439069"/>
      <w:bookmarkStart w:id="901" w:name="_Toc38439406"/>
      <w:bookmarkStart w:id="902" w:name="_Toc38439743"/>
      <w:bookmarkStart w:id="903" w:name="_Toc38440080"/>
      <w:bookmarkStart w:id="904" w:name="_Toc38440417"/>
      <w:bookmarkStart w:id="905" w:name="_Toc38440949"/>
      <w:bookmarkStart w:id="906" w:name="_Toc38441281"/>
      <w:bookmarkStart w:id="907" w:name="_Toc38441613"/>
      <w:bookmarkStart w:id="908" w:name="_Toc38441941"/>
      <w:bookmarkStart w:id="909" w:name="_Toc38442273"/>
      <w:bookmarkStart w:id="910" w:name="_Toc38442605"/>
      <w:bookmarkStart w:id="911" w:name="_Toc38442936"/>
      <w:bookmarkStart w:id="912" w:name="_Toc38443267"/>
      <w:bookmarkStart w:id="913" w:name="_Toc38443598"/>
      <w:bookmarkStart w:id="914" w:name="_Toc38443928"/>
      <w:bookmarkStart w:id="915" w:name="_Toc38438396"/>
      <w:bookmarkStart w:id="916" w:name="_Toc38438733"/>
      <w:bookmarkStart w:id="917" w:name="_Toc38439070"/>
      <w:bookmarkStart w:id="918" w:name="_Toc38439407"/>
      <w:bookmarkStart w:id="919" w:name="_Toc38439744"/>
      <w:bookmarkStart w:id="920" w:name="_Toc38440081"/>
      <w:bookmarkStart w:id="921" w:name="_Toc38440418"/>
      <w:bookmarkStart w:id="922" w:name="_Toc38440950"/>
      <w:bookmarkStart w:id="923" w:name="_Toc38441282"/>
      <w:bookmarkStart w:id="924" w:name="_Toc38441614"/>
      <w:bookmarkStart w:id="925" w:name="_Toc38441942"/>
      <w:bookmarkStart w:id="926" w:name="_Toc38442274"/>
      <w:bookmarkStart w:id="927" w:name="_Toc38442606"/>
      <w:bookmarkStart w:id="928" w:name="_Toc38442937"/>
      <w:bookmarkStart w:id="929" w:name="_Toc38443268"/>
      <w:bookmarkStart w:id="930" w:name="_Toc38443599"/>
      <w:bookmarkStart w:id="931" w:name="_Toc38443929"/>
      <w:bookmarkStart w:id="932" w:name="_Toc38438397"/>
      <w:bookmarkStart w:id="933" w:name="_Toc38438734"/>
      <w:bookmarkStart w:id="934" w:name="_Toc38439071"/>
      <w:bookmarkStart w:id="935" w:name="_Toc38439408"/>
      <w:bookmarkStart w:id="936" w:name="_Toc38439745"/>
      <w:bookmarkStart w:id="937" w:name="_Toc38440082"/>
      <w:bookmarkStart w:id="938" w:name="_Toc38440419"/>
      <w:bookmarkStart w:id="939" w:name="_Toc38440951"/>
      <w:bookmarkStart w:id="940" w:name="_Toc38441283"/>
      <w:bookmarkStart w:id="941" w:name="_Toc38441615"/>
      <w:bookmarkStart w:id="942" w:name="_Toc38441943"/>
      <w:bookmarkStart w:id="943" w:name="_Toc38442275"/>
      <w:bookmarkStart w:id="944" w:name="_Toc38442607"/>
      <w:bookmarkStart w:id="945" w:name="_Toc38442938"/>
      <w:bookmarkStart w:id="946" w:name="_Toc38443269"/>
      <w:bookmarkStart w:id="947" w:name="_Toc38443600"/>
      <w:bookmarkStart w:id="948" w:name="_Toc38443930"/>
      <w:bookmarkStart w:id="949" w:name="_Toc38438398"/>
      <w:bookmarkStart w:id="950" w:name="_Toc38438735"/>
      <w:bookmarkStart w:id="951" w:name="_Toc38439072"/>
      <w:bookmarkStart w:id="952" w:name="_Toc38439409"/>
      <w:bookmarkStart w:id="953" w:name="_Toc38439746"/>
      <w:bookmarkStart w:id="954" w:name="_Toc38440083"/>
      <w:bookmarkStart w:id="955" w:name="_Toc38440420"/>
      <w:bookmarkStart w:id="956" w:name="_Toc38440952"/>
      <w:bookmarkStart w:id="957" w:name="_Toc38441284"/>
      <w:bookmarkStart w:id="958" w:name="_Toc38441616"/>
      <w:bookmarkStart w:id="959" w:name="_Toc38441944"/>
      <w:bookmarkStart w:id="960" w:name="_Toc38442276"/>
      <w:bookmarkStart w:id="961" w:name="_Toc38442608"/>
      <w:bookmarkStart w:id="962" w:name="_Toc38442939"/>
      <w:bookmarkStart w:id="963" w:name="_Toc38443270"/>
      <w:bookmarkStart w:id="964" w:name="_Toc38443601"/>
      <w:bookmarkStart w:id="965" w:name="_Toc38443931"/>
      <w:bookmarkStart w:id="966" w:name="_Toc38438400"/>
      <w:bookmarkStart w:id="967" w:name="_Toc38438737"/>
      <w:bookmarkStart w:id="968" w:name="_Toc38439074"/>
      <w:bookmarkStart w:id="969" w:name="_Toc38439411"/>
      <w:bookmarkStart w:id="970" w:name="_Toc38439748"/>
      <w:bookmarkStart w:id="971" w:name="_Toc38440085"/>
      <w:bookmarkStart w:id="972" w:name="_Toc38440422"/>
      <w:bookmarkStart w:id="973" w:name="_Toc38440954"/>
      <w:bookmarkStart w:id="974" w:name="_Toc38441286"/>
      <w:bookmarkStart w:id="975" w:name="_Toc38441618"/>
      <w:bookmarkStart w:id="976" w:name="_Toc38441946"/>
      <w:bookmarkStart w:id="977" w:name="_Toc38442278"/>
      <w:bookmarkStart w:id="978" w:name="_Toc38442610"/>
      <w:bookmarkStart w:id="979" w:name="_Toc38442941"/>
      <w:bookmarkStart w:id="980" w:name="_Toc38443272"/>
      <w:bookmarkStart w:id="981" w:name="_Toc38443603"/>
      <w:bookmarkStart w:id="982" w:name="_Toc38443933"/>
      <w:bookmarkStart w:id="983" w:name="_Toc38438401"/>
      <w:bookmarkStart w:id="984" w:name="_Toc38438738"/>
      <w:bookmarkStart w:id="985" w:name="_Toc38439075"/>
      <w:bookmarkStart w:id="986" w:name="_Toc38439412"/>
      <w:bookmarkStart w:id="987" w:name="_Toc38439749"/>
      <w:bookmarkStart w:id="988" w:name="_Toc38440086"/>
      <w:bookmarkStart w:id="989" w:name="_Toc38440423"/>
      <w:bookmarkStart w:id="990" w:name="_Toc38440955"/>
      <w:bookmarkStart w:id="991" w:name="_Toc38441287"/>
      <w:bookmarkStart w:id="992" w:name="_Toc38441619"/>
      <w:bookmarkStart w:id="993" w:name="_Toc38441947"/>
      <w:bookmarkStart w:id="994" w:name="_Toc38442279"/>
      <w:bookmarkStart w:id="995" w:name="_Toc38442611"/>
      <w:bookmarkStart w:id="996" w:name="_Toc38442942"/>
      <w:bookmarkStart w:id="997" w:name="_Toc38443273"/>
      <w:bookmarkStart w:id="998" w:name="_Toc38443604"/>
      <w:bookmarkStart w:id="999" w:name="_Toc38443934"/>
      <w:bookmarkStart w:id="1000" w:name="_Toc38438402"/>
      <w:bookmarkStart w:id="1001" w:name="_Toc38438739"/>
      <w:bookmarkStart w:id="1002" w:name="_Toc38439076"/>
      <w:bookmarkStart w:id="1003" w:name="_Toc38439413"/>
      <w:bookmarkStart w:id="1004" w:name="_Toc38439750"/>
      <w:bookmarkStart w:id="1005" w:name="_Toc38440087"/>
      <w:bookmarkStart w:id="1006" w:name="_Toc38440424"/>
      <w:bookmarkStart w:id="1007" w:name="_Toc38440956"/>
      <w:bookmarkStart w:id="1008" w:name="_Toc38441288"/>
      <w:bookmarkStart w:id="1009" w:name="_Toc38441620"/>
      <w:bookmarkStart w:id="1010" w:name="_Toc38441948"/>
      <w:bookmarkStart w:id="1011" w:name="_Toc38442280"/>
      <w:bookmarkStart w:id="1012" w:name="_Toc38442612"/>
      <w:bookmarkStart w:id="1013" w:name="_Toc38442943"/>
      <w:bookmarkStart w:id="1014" w:name="_Toc38443274"/>
      <w:bookmarkStart w:id="1015" w:name="_Toc38443605"/>
      <w:bookmarkStart w:id="1016" w:name="_Toc38443935"/>
      <w:bookmarkStart w:id="1017" w:name="_Toc38438404"/>
      <w:bookmarkStart w:id="1018" w:name="_Toc38438741"/>
      <w:bookmarkStart w:id="1019" w:name="_Toc38439078"/>
      <w:bookmarkStart w:id="1020" w:name="_Toc38439415"/>
      <w:bookmarkStart w:id="1021" w:name="_Toc38439752"/>
      <w:bookmarkStart w:id="1022" w:name="_Toc38440089"/>
      <w:bookmarkStart w:id="1023" w:name="_Toc38440426"/>
      <w:bookmarkStart w:id="1024" w:name="_Toc38440958"/>
      <w:bookmarkStart w:id="1025" w:name="_Toc38441290"/>
      <w:bookmarkStart w:id="1026" w:name="_Toc38441622"/>
      <w:bookmarkStart w:id="1027" w:name="_Toc38441950"/>
      <w:bookmarkStart w:id="1028" w:name="_Toc38442282"/>
      <w:bookmarkStart w:id="1029" w:name="_Toc38442614"/>
      <w:bookmarkStart w:id="1030" w:name="_Toc38442945"/>
      <w:bookmarkStart w:id="1031" w:name="_Toc38443276"/>
      <w:bookmarkStart w:id="1032" w:name="_Toc38443607"/>
      <w:bookmarkStart w:id="1033" w:name="_Toc38443937"/>
      <w:bookmarkStart w:id="1034" w:name="_Toc38438405"/>
      <w:bookmarkStart w:id="1035" w:name="_Toc38438742"/>
      <w:bookmarkStart w:id="1036" w:name="_Toc38439079"/>
      <w:bookmarkStart w:id="1037" w:name="_Toc38439416"/>
      <w:bookmarkStart w:id="1038" w:name="_Toc38439753"/>
      <w:bookmarkStart w:id="1039" w:name="_Toc38440090"/>
      <w:bookmarkStart w:id="1040" w:name="_Toc38440427"/>
      <w:bookmarkStart w:id="1041" w:name="_Toc38440959"/>
      <w:bookmarkStart w:id="1042" w:name="_Toc38441291"/>
      <w:bookmarkStart w:id="1043" w:name="_Toc38441623"/>
      <w:bookmarkStart w:id="1044" w:name="_Toc38441951"/>
      <w:bookmarkStart w:id="1045" w:name="_Toc38442283"/>
      <w:bookmarkStart w:id="1046" w:name="_Toc38442615"/>
      <w:bookmarkStart w:id="1047" w:name="_Toc38442946"/>
      <w:bookmarkStart w:id="1048" w:name="_Toc38443277"/>
      <w:bookmarkStart w:id="1049" w:name="_Toc38443608"/>
      <w:bookmarkStart w:id="1050" w:name="_Toc38443938"/>
      <w:bookmarkStart w:id="1051" w:name="_Toc38438406"/>
      <w:bookmarkStart w:id="1052" w:name="_Toc38438743"/>
      <w:bookmarkStart w:id="1053" w:name="_Toc38439080"/>
      <w:bookmarkStart w:id="1054" w:name="_Toc38439417"/>
      <w:bookmarkStart w:id="1055" w:name="_Toc38439754"/>
      <w:bookmarkStart w:id="1056" w:name="_Toc38440091"/>
      <w:bookmarkStart w:id="1057" w:name="_Toc38440428"/>
      <w:bookmarkStart w:id="1058" w:name="_Toc38440960"/>
      <w:bookmarkStart w:id="1059" w:name="_Toc38441292"/>
      <w:bookmarkStart w:id="1060" w:name="_Toc38441624"/>
      <w:bookmarkStart w:id="1061" w:name="_Toc38441952"/>
      <w:bookmarkStart w:id="1062" w:name="_Toc38442284"/>
      <w:bookmarkStart w:id="1063" w:name="_Toc38442616"/>
      <w:bookmarkStart w:id="1064" w:name="_Toc38442947"/>
      <w:bookmarkStart w:id="1065" w:name="_Toc38443278"/>
      <w:bookmarkStart w:id="1066" w:name="_Toc38443609"/>
      <w:bookmarkStart w:id="1067" w:name="_Toc38443939"/>
      <w:bookmarkStart w:id="1068" w:name="_Toc38438407"/>
      <w:bookmarkStart w:id="1069" w:name="_Toc38438744"/>
      <w:bookmarkStart w:id="1070" w:name="_Toc38439081"/>
      <w:bookmarkStart w:id="1071" w:name="_Toc38439418"/>
      <w:bookmarkStart w:id="1072" w:name="_Toc38439755"/>
      <w:bookmarkStart w:id="1073" w:name="_Toc38440092"/>
      <w:bookmarkStart w:id="1074" w:name="_Toc38440429"/>
      <w:bookmarkStart w:id="1075" w:name="_Toc38440961"/>
      <w:bookmarkStart w:id="1076" w:name="_Toc38441293"/>
      <w:bookmarkStart w:id="1077" w:name="_Toc38441625"/>
      <w:bookmarkStart w:id="1078" w:name="_Toc38441953"/>
      <w:bookmarkStart w:id="1079" w:name="_Toc38442285"/>
      <w:bookmarkStart w:id="1080" w:name="_Toc38442617"/>
      <w:bookmarkStart w:id="1081" w:name="_Toc38442948"/>
      <w:bookmarkStart w:id="1082" w:name="_Toc38443279"/>
      <w:bookmarkStart w:id="1083" w:name="_Toc38443610"/>
      <w:bookmarkStart w:id="1084" w:name="_Toc38443940"/>
      <w:bookmarkStart w:id="1085" w:name="_Toc38438408"/>
      <w:bookmarkStart w:id="1086" w:name="_Toc38438745"/>
      <w:bookmarkStart w:id="1087" w:name="_Toc38439082"/>
      <w:bookmarkStart w:id="1088" w:name="_Toc38439419"/>
      <w:bookmarkStart w:id="1089" w:name="_Toc38439756"/>
      <w:bookmarkStart w:id="1090" w:name="_Toc38440093"/>
      <w:bookmarkStart w:id="1091" w:name="_Toc38440430"/>
      <w:bookmarkStart w:id="1092" w:name="_Toc38440962"/>
      <w:bookmarkStart w:id="1093" w:name="_Toc38441294"/>
      <w:bookmarkStart w:id="1094" w:name="_Toc38441626"/>
      <w:bookmarkStart w:id="1095" w:name="_Toc38441954"/>
      <w:bookmarkStart w:id="1096" w:name="_Toc38442286"/>
      <w:bookmarkStart w:id="1097" w:name="_Toc38442618"/>
      <w:bookmarkStart w:id="1098" w:name="_Toc38442949"/>
      <w:bookmarkStart w:id="1099" w:name="_Toc38443280"/>
      <w:bookmarkStart w:id="1100" w:name="_Toc38443611"/>
      <w:bookmarkStart w:id="1101" w:name="_Toc38443941"/>
      <w:bookmarkStart w:id="1102" w:name="_Toc38438409"/>
      <w:bookmarkStart w:id="1103" w:name="_Toc38438746"/>
      <w:bookmarkStart w:id="1104" w:name="_Toc38439083"/>
      <w:bookmarkStart w:id="1105" w:name="_Toc38439420"/>
      <w:bookmarkStart w:id="1106" w:name="_Toc38439757"/>
      <w:bookmarkStart w:id="1107" w:name="_Toc38440094"/>
      <w:bookmarkStart w:id="1108" w:name="_Toc38440431"/>
      <w:bookmarkStart w:id="1109" w:name="_Toc38440963"/>
      <w:bookmarkStart w:id="1110" w:name="_Toc38441295"/>
      <w:bookmarkStart w:id="1111" w:name="_Toc38441627"/>
      <w:bookmarkStart w:id="1112" w:name="_Toc38441955"/>
      <w:bookmarkStart w:id="1113" w:name="_Toc38442287"/>
      <w:bookmarkStart w:id="1114" w:name="_Toc38442619"/>
      <w:bookmarkStart w:id="1115" w:name="_Toc38442950"/>
      <w:bookmarkStart w:id="1116" w:name="_Toc38443281"/>
      <w:bookmarkStart w:id="1117" w:name="_Toc38443612"/>
      <w:bookmarkStart w:id="1118" w:name="_Toc38443942"/>
      <w:bookmarkStart w:id="1119" w:name="_Toc38438410"/>
      <w:bookmarkStart w:id="1120" w:name="_Toc38438747"/>
      <w:bookmarkStart w:id="1121" w:name="_Toc38439084"/>
      <w:bookmarkStart w:id="1122" w:name="_Toc38439421"/>
      <w:bookmarkStart w:id="1123" w:name="_Toc38439758"/>
      <w:bookmarkStart w:id="1124" w:name="_Toc38440095"/>
      <w:bookmarkStart w:id="1125" w:name="_Toc38440432"/>
      <w:bookmarkStart w:id="1126" w:name="_Toc38440964"/>
      <w:bookmarkStart w:id="1127" w:name="_Toc38441296"/>
      <w:bookmarkStart w:id="1128" w:name="_Toc38441628"/>
      <w:bookmarkStart w:id="1129" w:name="_Toc38441956"/>
      <w:bookmarkStart w:id="1130" w:name="_Toc38442288"/>
      <w:bookmarkStart w:id="1131" w:name="_Toc38442620"/>
      <w:bookmarkStart w:id="1132" w:name="_Toc38442951"/>
      <w:bookmarkStart w:id="1133" w:name="_Toc38443282"/>
      <w:bookmarkStart w:id="1134" w:name="_Toc38443613"/>
      <w:bookmarkStart w:id="1135" w:name="_Toc38443943"/>
      <w:bookmarkStart w:id="1136" w:name="_Toc38438411"/>
      <w:bookmarkStart w:id="1137" w:name="_Toc38438748"/>
      <w:bookmarkStart w:id="1138" w:name="_Toc38439085"/>
      <w:bookmarkStart w:id="1139" w:name="_Toc38439422"/>
      <w:bookmarkStart w:id="1140" w:name="_Toc38439759"/>
      <w:bookmarkStart w:id="1141" w:name="_Toc38440096"/>
      <w:bookmarkStart w:id="1142" w:name="_Toc38440433"/>
      <w:bookmarkStart w:id="1143" w:name="_Toc38440965"/>
      <w:bookmarkStart w:id="1144" w:name="_Toc38441297"/>
      <w:bookmarkStart w:id="1145" w:name="_Toc38441629"/>
      <w:bookmarkStart w:id="1146" w:name="_Toc38441957"/>
      <w:bookmarkStart w:id="1147" w:name="_Toc38442289"/>
      <w:bookmarkStart w:id="1148" w:name="_Toc38442621"/>
      <w:bookmarkStart w:id="1149" w:name="_Toc38442952"/>
      <w:bookmarkStart w:id="1150" w:name="_Toc38443283"/>
      <w:bookmarkStart w:id="1151" w:name="_Toc38443614"/>
      <w:bookmarkStart w:id="1152" w:name="_Toc38443944"/>
      <w:bookmarkStart w:id="1153" w:name="_Toc38438412"/>
      <w:bookmarkStart w:id="1154" w:name="_Toc38438749"/>
      <w:bookmarkStart w:id="1155" w:name="_Toc38439086"/>
      <w:bookmarkStart w:id="1156" w:name="_Toc38439423"/>
      <w:bookmarkStart w:id="1157" w:name="_Toc38439760"/>
      <w:bookmarkStart w:id="1158" w:name="_Toc38440097"/>
      <w:bookmarkStart w:id="1159" w:name="_Toc38440434"/>
      <w:bookmarkStart w:id="1160" w:name="_Toc38440966"/>
      <w:bookmarkStart w:id="1161" w:name="_Toc38441298"/>
      <w:bookmarkStart w:id="1162" w:name="_Toc38441630"/>
      <w:bookmarkStart w:id="1163" w:name="_Toc38441958"/>
      <w:bookmarkStart w:id="1164" w:name="_Toc38442290"/>
      <w:bookmarkStart w:id="1165" w:name="_Toc38442622"/>
      <w:bookmarkStart w:id="1166" w:name="_Toc38442953"/>
      <w:bookmarkStart w:id="1167" w:name="_Toc38443284"/>
      <w:bookmarkStart w:id="1168" w:name="_Toc38443615"/>
      <w:bookmarkStart w:id="1169" w:name="_Toc38443945"/>
      <w:bookmarkStart w:id="1170" w:name="_Toc38438413"/>
      <w:bookmarkStart w:id="1171" w:name="_Toc38438750"/>
      <w:bookmarkStart w:id="1172" w:name="_Toc38439087"/>
      <w:bookmarkStart w:id="1173" w:name="_Toc38439424"/>
      <w:bookmarkStart w:id="1174" w:name="_Toc38439761"/>
      <w:bookmarkStart w:id="1175" w:name="_Toc38440098"/>
      <w:bookmarkStart w:id="1176" w:name="_Toc38440435"/>
      <w:bookmarkStart w:id="1177" w:name="_Toc38440967"/>
      <w:bookmarkStart w:id="1178" w:name="_Toc38441299"/>
      <w:bookmarkStart w:id="1179" w:name="_Toc38441631"/>
      <w:bookmarkStart w:id="1180" w:name="_Toc38441959"/>
      <w:bookmarkStart w:id="1181" w:name="_Toc38442291"/>
      <w:bookmarkStart w:id="1182" w:name="_Toc38442623"/>
      <w:bookmarkStart w:id="1183" w:name="_Toc38442954"/>
      <w:bookmarkStart w:id="1184" w:name="_Toc38443285"/>
      <w:bookmarkStart w:id="1185" w:name="_Toc38443616"/>
      <w:bookmarkStart w:id="1186" w:name="_Toc38443946"/>
      <w:bookmarkStart w:id="1187" w:name="_Toc38438414"/>
      <w:bookmarkStart w:id="1188" w:name="_Toc38438751"/>
      <w:bookmarkStart w:id="1189" w:name="_Toc38439088"/>
      <w:bookmarkStart w:id="1190" w:name="_Toc38439425"/>
      <w:bookmarkStart w:id="1191" w:name="_Toc38439762"/>
      <w:bookmarkStart w:id="1192" w:name="_Toc38440099"/>
      <w:bookmarkStart w:id="1193" w:name="_Toc38440436"/>
      <w:bookmarkStart w:id="1194" w:name="_Toc38440968"/>
      <w:bookmarkStart w:id="1195" w:name="_Toc38441300"/>
      <w:bookmarkStart w:id="1196" w:name="_Toc38441632"/>
      <w:bookmarkStart w:id="1197" w:name="_Toc38441960"/>
      <w:bookmarkStart w:id="1198" w:name="_Toc38442292"/>
      <w:bookmarkStart w:id="1199" w:name="_Toc38442624"/>
      <w:bookmarkStart w:id="1200" w:name="_Toc38442955"/>
      <w:bookmarkStart w:id="1201" w:name="_Toc38443286"/>
      <w:bookmarkStart w:id="1202" w:name="_Toc38443617"/>
      <w:bookmarkStart w:id="1203" w:name="_Toc38443947"/>
      <w:bookmarkStart w:id="1204" w:name="_Toc38438415"/>
      <w:bookmarkStart w:id="1205" w:name="_Toc38438752"/>
      <w:bookmarkStart w:id="1206" w:name="_Toc38439089"/>
      <w:bookmarkStart w:id="1207" w:name="_Toc38439426"/>
      <w:bookmarkStart w:id="1208" w:name="_Toc38439763"/>
      <w:bookmarkStart w:id="1209" w:name="_Toc38440100"/>
      <w:bookmarkStart w:id="1210" w:name="_Toc38440437"/>
      <w:bookmarkStart w:id="1211" w:name="_Toc38440969"/>
      <w:bookmarkStart w:id="1212" w:name="_Toc38441301"/>
      <w:bookmarkStart w:id="1213" w:name="_Toc38441633"/>
      <w:bookmarkStart w:id="1214" w:name="_Toc38441961"/>
      <w:bookmarkStart w:id="1215" w:name="_Toc38442293"/>
      <w:bookmarkStart w:id="1216" w:name="_Toc38442625"/>
      <w:bookmarkStart w:id="1217" w:name="_Toc38442956"/>
      <w:bookmarkStart w:id="1218" w:name="_Toc38443287"/>
      <w:bookmarkStart w:id="1219" w:name="_Toc38443618"/>
      <w:bookmarkStart w:id="1220" w:name="_Toc38443948"/>
      <w:bookmarkStart w:id="1221" w:name="_Toc38438416"/>
      <w:bookmarkStart w:id="1222" w:name="_Toc38438753"/>
      <w:bookmarkStart w:id="1223" w:name="_Toc38439090"/>
      <w:bookmarkStart w:id="1224" w:name="_Toc38439427"/>
      <w:bookmarkStart w:id="1225" w:name="_Toc38439764"/>
      <w:bookmarkStart w:id="1226" w:name="_Toc38440101"/>
      <w:bookmarkStart w:id="1227" w:name="_Toc38440438"/>
      <w:bookmarkStart w:id="1228" w:name="_Toc38440970"/>
      <w:bookmarkStart w:id="1229" w:name="_Toc38441302"/>
      <w:bookmarkStart w:id="1230" w:name="_Toc38441634"/>
      <w:bookmarkStart w:id="1231" w:name="_Toc38441962"/>
      <w:bookmarkStart w:id="1232" w:name="_Toc38442294"/>
      <w:bookmarkStart w:id="1233" w:name="_Toc38442626"/>
      <w:bookmarkStart w:id="1234" w:name="_Toc38442957"/>
      <w:bookmarkStart w:id="1235" w:name="_Toc38443288"/>
      <w:bookmarkStart w:id="1236" w:name="_Toc38443619"/>
      <w:bookmarkStart w:id="1237" w:name="_Toc38443949"/>
      <w:bookmarkStart w:id="1238" w:name="_Toc38438417"/>
      <w:bookmarkStart w:id="1239" w:name="_Toc38438754"/>
      <w:bookmarkStart w:id="1240" w:name="_Toc38439091"/>
      <w:bookmarkStart w:id="1241" w:name="_Toc38439428"/>
      <w:bookmarkStart w:id="1242" w:name="_Toc38439765"/>
      <w:bookmarkStart w:id="1243" w:name="_Toc38440102"/>
      <w:bookmarkStart w:id="1244" w:name="_Toc38440439"/>
      <w:bookmarkStart w:id="1245" w:name="_Toc38440971"/>
      <w:bookmarkStart w:id="1246" w:name="_Toc38441303"/>
      <w:bookmarkStart w:id="1247" w:name="_Toc38441635"/>
      <w:bookmarkStart w:id="1248" w:name="_Toc38441963"/>
      <w:bookmarkStart w:id="1249" w:name="_Toc38442295"/>
      <w:bookmarkStart w:id="1250" w:name="_Toc38442627"/>
      <w:bookmarkStart w:id="1251" w:name="_Toc38442958"/>
      <w:bookmarkStart w:id="1252" w:name="_Toc38443289"/>
      <w:bookmarkStart w:id="1253" w:name="_Toc38443620"/>
      <w:bookmarkStart w:id="1254" w:name="_Toc38443950"/>
      <w:bookmarkStart w:id="1255" w:name="_Toc38438418"/>
      <w:bookmarkStart w:id="1256" w:name="_Toc38438755"/>
      <w:bookmarkStart w:id="1257" w:name="_Toc38439092"/>
      <w:bookmarkStart w:id="1258" w:name="_Toc38439429"/>
      <w:bookmarkStart w:id="1259" w:name="_Toc38439766"/>
      <w:bookmarkStart w:id="1260" w:name="_Toc38440103"/>
      <w:bookmarkStart w:id="1261" w:name="_Toc38440440"/>
      <w:bookmarkStart w:id="1262" w:name="_Toc38440972"/>
      <w:bookmarkStart w:id="1263" w:name="_Toc38441304"/>
      <w:bookmarkStart w:id="1264" w:name="_Toc38441636"/>
      <w:bookmarkStart w:id="1265" w:name="_Toc38441964"/>
      <w:bookmarkStart w:id="1266" w:name="_Toc38442296"/>
      <w:bookmarkStart w:id="1267" w:name="_Toc38442628"/>
      <w:bookmarkStart w:id="1268" w:name="_Toc38442959"/>
      <w:bookmarkStart w:id="1269" w:name="_Toc38443290"/>
      <w:bookmarkStart w:id="1270" w:name="_Toc38443621"/>
      <w:bookmarkStart w:id="1271" w:name="_Toc38443951"/>
      <w:bookmarkStart w:id="1272" w:name="_Toc38438419"/>
      <w:bookmarkStart w:id="1273" w:name="_Toc38438756"/>
      <w:bookmarkStart w:id="1274" w:name="_Toc38439093"/>
      <w:bookmarkStart w:id="1275" w:name="_Toc38439430"/>
      <w:bookmarkStart w:id="1276" w:name="_Toc38439767"/>
      <w:bookmarkStart w:id="1277" w:name="_Toc38440104"/>
      <w:bookmarkStart w:id="1278" w:name="_Toc38440441"/>
      <w:bookmarkStart w:id="1279" w:name="_Toc38440973"/>
      <w:bookmarkStart w:id="1280" w:name="_Toc38441305"/>
      <w:bookmarkStart w:id="1281" w:name="_Toc38441637"/>
      <w:bookmarkStart w:id="1282" w:name="_Toc38441965"/>
      <w:bookmarkStart w:id="1283" w:name="_Toc38442297"/>
      <w:bookmarkStart w:id="1284" w:name="_Toc38442629"/>
      <w:bookmarkStart w:id="1285" w:name="_Toc38442960"/>
      <w:bookmarkStart w:id="1286" w:name="_Toc38443291"/>
      <w:bookmarkStart w:id="1287" w:name="_Toc38443622"/>
      <w:bookmarkStart w:id="1288" w:name="_Toc38443952"/>
      <w:bookmarkStart w:id="1289" w:name="_Toc38438420"/>
      <w:bookmarkStart w:id="1290" w:name="_Toc38438757"/>
      <w:bookmarkStart w:id="1291" w:name="_Toc38439094"/>
      <w:bookmarkStart w:id="1292" w:name="_Toc38439431"/>
      <w:bookmarkStart w:id="1293" w:name="_Toc38439768"/>
      <w:bookmarkStart w:id="1294" w:name="_Toc38440105"/>
      <w:bookmarkStart w:id="1295" w:name="_Toc38440442"/>
      <w:bookmarkStart w:id="1296" w:name="_Toc38440974"/>
      <w:bookmarkStart w:id="1297" w:name="_Toc38441306"/>
      <w:bookmarkStart w:id="1298" w:name="_Toc38441638"/>
      <w:bookmarkStart w:id="1299" w:name="_Toc38441966"/>
      <w:bookmarkStart w:id="1300" w:name="_Toc38442298"/>
      <w:bookmarkStart w:id="1301" w:name="_Toc38442630"/>
      <w:bookmarkStart w:id="1302" w:name="_Toc38442961"/>
      <w:bookmarkStart w:id="1303" w:name="_Toc38443292"/>
      <w:bookmarkStart w:id="1304" w:name="_Toc38443623"/>
      <w:bookmarkStart w:id="1305" w:name="_Toc38443953"/>
      <w:bookmarkStart w:id="1306" w:name="_Toc38438421"/>
      <w:bookmarkStart w:id="1307" w:name="_Toc38438758"/>
      <w:bookmarkStart w:id="1308" w:name="_Toc38439095"/>
      <w:bookmarkStart w:id="1309" w:name="_Toc38439432"/>
      <w:bookmarkStart w:id="1310" w:name="_Toc38439769"/>
      <w:bookmarkStart w:id="1311" w:name="_Toc38440106"/>
      <w:bookmarkStart w:id="1312" w:name="_Toc38440443"/>
      <w:bookmarkStart w:id="1313" w:name="_Toc38440975"/>
      <w:bookmarkStart w:id="1314" w:name="_Toc38441307"/>
      <w:bookmarkStart w:id="1315" w:name="_Toc38441639"/>
      <w:bookmarkStart w:id="1316" w:name="_Toc38441967"/>
      <w:bookmarkStart w:id="1317" w:name="_Toc38442299"/>
      <w:bookmarkStart w:id="1318" w:name="_Toc38442631"/>
      <w:bookmarkStart w:id="1319" w:name="_Toc38442962"/>
      <w:bookmarkStart w:id="1320" w:name="_Toc38443293"/>
      <w:bookmarkStart w:id="1321" w:name="_Toc38443624"/>
      <w:bookmarkStart w:id="1322" w:name="_Toc38443954"/>
      <w:bookmarkStart w:id="1323" w:name="_Toc38438422"/>
      <w:bookmarkStart w:id="1324" w:name="_Toc38438759"/>
      <w:bookmarkStart w:id="1325" w:name="_Toc38439096"/>
      <w:bookmarkStart w:id="1326" w:name="_Toc38439433"/>
      <w:bookmarkStart w:id="1327" w:name="_Toc38439770"/>
      <w:bookmarkStart w:id="1328" w:name="_Toc38440107"/>
      <w:bookmarkStart w:id="1329" w:name="_Toc38440444"/>
      <w:bookmarkStart w:id="1330" w:name="_Toc38440976"/>
      <w:bookmarkStart w:id="1331" w:name="_Toc38441308"/>
      <w:bookmarkStart w:id="1332" w:name="_Toc38441640"/>
      <w:bookmarkStart w:id="1333" w:name="_Toc38441968"/>
      <w:bookmarkStart w:id="1334" w:name="_Toc38442300"/>
      <w:bookmarkStart w:id="1335" w:name="_Toc38442632"/>
      <w:bookmarkStart w:id="1336" w:name="_Toc38442963"/>
      <w:bookmarkStart w:id="1337" w:name="_Toc38443294"/>
      <w:bookmarkStart w:id="1338" w:name="_Toc38443625"/>
      <w:bookmarkStart w:id="1339" w:name="_Toc38443955"/>
      <w:bookmarkStart w:id="1340" w:name="_Toc38438423"/>
      <w:bookmarkStart w:id="1341" w:name="_Toc38438760"/>
      <w:bookmarkStart w:id="1342" w:name="_Toc38439097"/>
      <w:bookmarkStart w:id="1343" w:name="_Toc38439434"/>
      <w:bookmarkStart w:id="1344" w:name="_Toc38439771"/>
      <w:bookmarkStart w:id="1345" w:name="_Toc38440108"/>
      <w:bookmarkStart w:id="1346" w:name="_Toc38440445"/>
      <w:bookmarkStart w:id="1347" w:name="_Toc38440977"/>
      <w:bookmarkStart w:id="1348" w:name="_Toc38441309"/>
      <w:bookmarkStart w:id="1349" w:name="_Toc38441641"/>
      <w:bookmarkStart w:id="1350" w:name="_Toc38441969"/>
      <w:bookmarkStart w:id="1351" w:name="_Toc38442301"/>
      <w:bookmarkStart w:id="1352" w:name="_Toc38442633"/>
      <w:bookmarkStart w:id="1353" w:name="_Toc38442964"/>
      <w:bookmarkStart w:id="1354" w:name="_Toc38443295"/>
      <w:bookmarkStart w:id="1355" w:name="_Toc38443626"/>
      <w:bookmarkStart w:id="1356" w:name="_Toc38443956"/>
      <w:bookmarkStart w:id="1357" w:name="_Toc38438424"/>
      <w:bookmarkStart w:id="1358" w:name="_Toc38438761"/>
      <w:bookmarkStart w:id="1359" w:name="_Toc38439098"/>
      <w:bookmarkStart w:id="1360" w:name="_Toc38439435"/>
      <w:bookmarkStart w:id="1361" w:name="_Toc38439772"/>
      <w:bookmarkStart w:id="1362" w:name="_Toc38440109"/>
      <w:bookmarkStart w:id="1363" w:name="_Toc38440446"/>
      <w:bookmarkStart w:id="1364" w:name="_Toc38440978"/>
      <w:bookmarkStart w:id="1365" w:name="_Toc38441310"/>
      <w:bookmarkStart w:id="1366" w:name="_Toc38441642"/>
      <w:bookmarkStart w:id="1367" w:name="_Toc38441970"/>
      <w:bookmarkStart w:id="1368" w:name="_Toc38442302"/>
      <w:bookmarkStart w:id="1369" w:name="_Toc38442634"/>
      <w:bookmarkStart w:id="1370" w:name="_Toc38442965"/>
      <w:bookmarkStart w:id="1371" w:name="_Toc38443296"/>
      <w:bookmarkStart w:id="1372" w:name="_Toc38443627"/>
      <w:bookmarkStart w:id="1373" w:name="_Toc38443957"/>
      <w:bookmarkStart w:id="1374" w:name="_Toc38438425"/>
      <w:bookmarkStart w:id="1375" w:name="_Toc38438762"/>
      <w:bookmarkStart w:id="1376" w:name="_Toc38439099"/>
      <w:bookmarkStart w:id="1377" w:name="_Toc38439436"/>
      <w:bookmarkStart w:id="1378" w:name="_Toc38439773"/>
      <w:bookmarkStart w:id="1379" w:name="_Toc38440110"/>
      <w:bookmarkStart w:id="1380" w:name="_Toc38440447"/>
      <w:bookmarkStart w:id="1381" w:name="_Toc38440979"/>
      <w:bookmarkStart w:id="1382" w:name="_Toc38441311"/>
      <w:bookmarkStart w:id="1383" w:name="_Toc38441643"/>
      <w:bookmarkStart w:id="1384" w:name="_Toc38441971"/>
      <w:bookmarkStart w:id="1385" w:name="_Toc38442303"/>
      <w:bookmarkStart w:id="1386" w:name="_Toc38442635"/>
      <w:bookmarkStart w:id="1387" w:name="_Toc38442966"/>
      <w:bookmarkStart w:id="1388" w:name="_Toc38443297"/>
      <w:bookmarkStart w:id="1389" w:name="_Toc38443628"/>
      <w:bookmarkStart w:id="1390" w:name="_Toc38443958"/>
      <w:bookmarkStart w:id="1391" w:name="_Toc38438426"/>
      <w:bookmarkStart w:id="1392" w:name="_Toc38438763"/>
      <w:bookmarkStart w:id="1393" w:name="_Toc38439100"/>
      <w:bookmarkStart w:id="1394" w:name="_Toc38439437"/>
      <w:bookmarkStart w:id="1395" w:name="_Toc38439774"/>
      <w:bookmarkStart w:id="1396" w:name="_Toc38440111"/>
      <w:bookmarkStart w:id="1397" w:name="_Toc38440448"/>
      <w:bookmarkStart w:id="1398" w:name="_Toc38440980"/>
      <w:bookmarkStart w:id="1399" w:name="_Toc38441312"/>
      <w:bookmarkStart w:id="1400" w:name="_Toc38441644"/>
      <w:bookmarkStart w:id="1401" w:name="_Toc38441972"/>
      <w:bookmarkStart w:id="1402" w:name="_Toc38442304"/>
      <w:bookmarkStart w:id="1403" w:name="_Toc38442636"/>
      <w:bookmarkStart w:id="1404" w:name="_Toc38442967"/>
      <w:bookmarkStart w:id="1405" w:name="_Toc38443298"/>
      <w:bookmarkStart w:id="1406" w:name="_Toc38443629"/>
      <w:bookmarkStart w:id="1407" w:name="_Toc38443959"/>
      <w:bookmarkStart w:id="1408" w:name="_Toc38438427"/>
      <w:bookmarkStart w:id="1409" w:name="_Toc38438764"/>
      <w:bookmarkStart w:id="1410" w:name="_Toc38439101"/>
      <w:bookmarkStart w:id="1411" w:name="_Toc38439438"/>
      <w:bookmarkStart w:id="1412" w:name="_Toc38439775"/>
      <w:bookmarkStart w:id="1413" w:name="_Toc38440112"/>
      <w:bookmarkStart w:id="1414" w:name="_Toc38440449"/>
      <w:bookmarkStart w:id="1415" w:name="_Toc38440981"/>
      <w:bookmarkStart w:id="1416" w:name="_Toc38441313"/>
      <w:bookmarkStart w:id="1417" w:name="_Toc38441645"/>
      <w:bookmarkStart w:id="1418" w:name="_Toc38441973"/>
      <w:bookmarkStart w:id="1419" w:name="_Toc38442305"/>
      <w:bookmarkStart w:id="1420" w:name="_Toc38442637"/>
      <w:bookmarkStart w:id="1421" w:name="_Toc38442968"/>
      <w:bookmarkStart w:id="1422" w:name="_Toc38443299"/>
      <w:bookmarkStart w:id="1423" w:name="_Toc38443630"/>
      <w:bookmarkStart w:id="1424" w:name="_Toc38443960"/>
      <w:bookmarkStart w:id="1425" w:name="_Toc38438428"/>
      <w:bookmarkStart w:id="1426" w:name="_Toc38438765"/>
      <w:bookmarkStart w:id="1427" w:name="_Toc38439102"/>
      <w:bookmarkStart w:id="1428" w:name="_Toc38439439"/>
      <w:bookmarkStart w:id="1429" w:name="_Toc38439776"/>
      <w:bookmarkStart w:id="1430" w:name="_Toc38440113"/>
      <w:bookmarkStart w:id="1431" w:name="_Toc38440450"/>
      <w:bookmarkStart w:id="1432" w:name="_Toc38440982"/>
      <w:bookmarkStart w:id="1433" w:name="_Toc38441314"/>
      <w:bookmarkStart w:id="1434" w:name="_Toc38441646"/>
      <w:bookmarkStart w:id="1435" w:name="_Toc38441974"/>
      <w:bookmarkStart w:id="1436" w:name="_Toc38442306"/>
      <w:bookmarkStart w:id="1437" w:name="_Toc38442638"/>
      <w:bookmarkStart w:id="1438" w:name="_Toc38442969"/>
      <w:bookmarkStart w:id="1439" w:name="_Toc38443300"/>
      <w:bookmarkStart w:id="1440" w:name="_Toc38443631"/>
      <w:bookmarkStart w:id="1441" w:name="_Toc38443961"/>
      <w:bookmarkStart w:id="1442" w:name="_Toc38438429"/>
      <w:bookmarkStart w:id="1443" w:name="_Toc38438766"/>
      <w:bookmarkStart w:id="1444" w:name="_Toc38439103"/>
      <w:bookmarkStart w:id="1445" w:name="_Toc38439440"/>
      <w:bookmarkStart w:id="1446" w:name="_Toc38439777"/>
      <w:bookmarkStart w:id="1447" w:name="_Toc38440114"/>
      <w:bookmarkStart w:id="1448" w:name="_Toc38440451"/>
      <w:bookmarkStart w:id="1449" w:name="_Toc38440983"/>
      <w:bookmarkStart w:id="1450" w:name="_Toc38441315"/>
      <w:bookmarkStart w:id="1451" w:name="_Toc38441647"/>
      <w:bookmarkStart w:id="1452" w:name="_Toc38441975"/>
      <w:bookmarkStart w:id="1453" w:name="_Toc38442307"/>
      <w:bookmarkStart w:id="1454" w:name="_Toc38442639"/>
      <w:bookmarkStart w:id="1455" w:name="_Toc38442970"/>
      <w:bookmarkStart w:id="1456" w:name="_Toc38443301"/>
      <w:bookmarkStart w:id="1457" w:name="_Toc38443632"/>
      <w:bookmarkStart w:id="1458" w:name="_Toc38443962"/>
      <w:bookmarkStart w:id="1459" w:name="_Toc38438430"/>
      <w:bookmarkStart w:id="1460" w:name="_Toc38438767"/>
      <w:bookmarkStart w:id="1461" w:name="_Toc38439104"/>
      <w:bookmarkStart w:id="1462" w:name="_Toc38439441"/>
      <w:bookmarkStart w:id="1463" w:name="_Toc38439778"/>
      <w:bookmarkStart w:id="1464" w:name="_Toc38440115"/>
      <w:bookmarkStart w:id="1465" w:name="_Toc38440452"/>
      <w:bookmarkStart w:id="1466" w:name="_Toc38440984"/>
      <w:bookmarkStart w:id="1467" w:name="_Toc38441316"/>
      <w:bookmarkStart w:id="1468" w:name="_Toc38441648"/>
      <w:bookmarkStart w:id="1469" w:name="_Toc38441976"/>
      <w:bookmarkStart w:id="1470" w:name="_Toc38442308"/>
      <w:bookmarkStart w:id="1471" w:name="_Toc38442640"/>
      <w:bookmarkStart w:id="1472" w:name="_Toc38442971"/>
      <w:bookmarkStart w:id="1473" w:name="_Toc38443302"/>
      <w:bookmarkStart w:id="1474" w:name="_Toc38443633"/>
      <w:bookmarkStart w:id="1475" w:name="_Toc38443963"/>
      <w:bookmarkStart w:id="1476" w:name="_Toc38438431"/>
      <w:bookmarkStart w:id="1477" w:name="_Toc38438768"/>
      <w:bookmarkStart w:id="1478" w:name="_Toc38439105"/>
      <w:bookmarkStart w:id="1479" w:name="_Toc38439442"/>
      <w:bookmarkStart w:id="1480" w:name="_Toc38439779"/>
      <w:bookmarkStart w:id="1481" w:name="_Toc38440116"/>
      <w:bookmarkStart w:id="1482" w:name="_Toc38440453"/>
      <w:bookmarkStart w:id="1483" w:name="_Toc38440985"/>
      <w:bookmarkStart w:id="1484" w:name="_Toc38441317"/>
      <w:bookmarkStart w:id="1485" w:name="_Toc38441649"/>
      <w:bookmarkStart w:id="1486" w:name="_Toc38441977"/>
      <w:bookmarkStart w:id="1487" w:name="_Toc38442309"/>
      <w:bookmarkStart w:id="1488" w:name="_Toc38442641"/>
      <w:bookmarkStart w:id="1489" w:name="_Toc38442972"/>
      <w:bookmarkStart w:id="1490" w:name="_Toc38443303"/>
      <w:bookmarkStart w:id="1491" w:name="_Toc38443634"/>
      <w:bookmarkStart w:id="1492" w:name="_Toc38443964"/>
      <w:bookmarkStart w:id="1493" w:name="_Toc38438432"/>
      <w:bookmarkStart w:id="1494" w:name="_Toc38438769"/>
      <w:bookmarkStart w:id="1495" w:name="_Toc38439106"/>
      <w:bookmarkStart w:id="1496" w:name="_Toc38439443"/>
      <w:bookmarkStart w:id="1497" w:name="_Toc38439780"/>
      <w:bookmarkStart w:id="1498" w:name="_Toc38440117"/>
      <w:bookmarkStart w:id="1499" w:name="_Toc38440454"/>
      <w:bookmarkStart w:id="1500" w:name="_Toc38440986"/>
      <w:bookmarkStart w:id="1501" w:name="_Toc38441318"/>
      <w:bookmarkStart w:id="1502" w:name="_Toc38441650"/>
      <w:bookmarkStart w:id="1503" w:name="_Toc38441978"/>
      <w:bookmarkStart w:id="1504" w:name="_Toc38442310"/>
      <w:bookmarkStart w:id="1505" w:name="_Toc38442642"/>
      <w:bookmarkStart w:id="1506" w:name="_Toc38442973"/>
      <w:bookmarkStart w:id="1507" w:name="_Toc38443304"/>
      <w:bookmarkStart w:id="1508" w:name="_Toc38443635"/>
      <w:bookmarkStart w:id="1509" w:name="_Toc38443965"/>
      <w:bookmarkStart w:id="1510" w:name="_Toc38438433"/>
      <w:bookmarkStart w:id="1511" w:name="_Toc38438770"/>
      <w:bookmarkStart w:id="1512" w:name="_Toc38439107"/>
      <w:bookmarkStart w:id="1513" w:name="_Toc38439444"/>
      <w:bookmarkStart w:id="1514" w:name="_Toc38439781"/>
      <w:bookmarkStart w:id="1515" w:name="_Toc38440118"/>
      <w:bookmarkStart w:id="1516" w:name="_Toc38440455"/>
      <w:bookmarkStart w:id="1517" w:name="_Toc38440987"/>
      <w:bookmarkStart w:id="1518" w:name="_Toc38441319"/>
      <w:bookmarkStart w:id="1519" w:name="_Toc38441651"/>
      <w:bookmarkStart w:id="1520" w:name="_Toc38441979"/>
      <w:bookmarkStart w:id="1521" w:name="_Toc38442311"/>
      <w:bookmarkStart w:id="1522" w:name="_Toc38442643"/>
      <w:bookmarkStart w:id="1523" w:name="_Toc38442974"/>
      <w:bookmarkStart w:id="1524" w:name="_Toc38443305"/>
      <w:bookmarkStart w:id="1525" w:name="_Toc38443636"/>
      <w:bookmarkStart w:id="1526" w:name="_Toc38443966"/>
      <w:bookmarkStart w:id="1527" w:name="_Toc38438434"/>
      <w:bookmarkStart w:id="1528" w:name="_Toc38438771"/>
      <w:bookmarkStart w:id="1529" w:name="_Toc38439108"/>
      <w:bookmarkStart w:id="1530" w:name="_Toc38439445"/>
      <w:bookmarkStart w:id="1531" w:name="_Toc38439782"/>
      <w:bookmarkStart w:id="1532" w:name="_Toc38440119"/>
      <w:bookmarkStart w:id="1533" w:name="_Toc38440456"/>
      <w:bookmarkStart w:id="1534" w:name="_Toc38440988"/>
      <w:bookmarkStart w:id="1535" w:name="_Toc38441320"/>
      <w:bookmarkStart w:id="1536" w:name="_Toc38441652"/>
      <w:bookmarkStart w:id="1537" w:name="_Toc38441980"/>
      <w:bookmarkStart w:id="1538" w:name="_Toc38442312"/>
      <w:bookmarkStart w:id="1539" w:name="_Toc38442644"/>
      <w:bookmarkStart w:id="1540" w:name="_Toc38442975"/>
      <w:bookmarkStart w:id="1541" w:name="_Toc38443306"/>
      <w:bookmarkStart w:id="1542" w:name="_Toc38443637"/>
      <w:bookmarkStart w:id="1543" w:name="_Toc38443967"/>
      <w:bookmarkStart w:id="1544" w:name="_Toc38438435"/>
      <w:bookmarkStart w:id="1545" w:name="_Toc38438772"/>
      <w:bookmarkStart w:id="1546" w:name="_Toc38439109"/>
      <w:bookmarkStart w:id="1547" w:name="_Toc38439446"/>
      <w:bookmarkStart w:id="1548" w:name="_Toc38439783"/>
      <w:bookmarkStart w:id="1549" w:name="_Toc38440120"/>
      <w:bookmarkStart w:id="1550" w:name="_Toc38440457"/>
      <w:bookmarkStart w:id="1551" w:name="_Toc38440989"/>
      <w:bookmarkStart w:id="1552" w:name="_Toc38441321"/>
      <w:bookmarkStart w:id="1553" w:name="_Toc38441653"/>
      <w:bookmarkStart w:id="1554" w:name="_Toc38441981"/>
      <w:bookmarkStart w:id="1555" w:name="_Toc38442313"/>
      <w:bookmarkStart w:id="1556" w:name="_Toc38442645"/>
      <w:bookmarkStart w:id="1557" w:name="_Toc38442976"/>
      <w:bookmarkStart w:id="1558" w:name="_Toc38443307"/>
      <w:bookmarkStart w:id="1559" w:name="_Toc38443638"/>
      <w:bookmarkStart w:id="1560" w:name="_Toc38443968"/>
      <w:bookmarkStart w:id="1561" w:name="_Toc38438436"/>
      <w:bookmarkStart w:id="1562" w:name="_Toc38438773"/>
      <w:bookmarkStart w:id="1563" w:name="_Toc38439110"/>
      <w:bookmarkStart w:id="1564" w:name="_Toc38439447"/>
      <w:bookmarkStart w:id="1565" w:name="_Toc38439784"/>
      <w:bookmarkStart w:id="1566" w:name="_Toc38440121"/>
      <w:bookmarkStart w:id="1567" w:name="_Toc38440458"/>
      <w:bookmarkStart w:id="1568" w:name="_Toc38440990"/>
      <w:bookmarkStart w:id="1569" w:name="_Toc38441322"/>
      <w:bookmarkStart w:id="1570" w:name="_Toc38441654"/>
      <w:bookmarkStart w:id="1571" w:name="_Toc38441982"/>
      <w:bookmarkStart w:id="1572" w:name="_Toc38442314"/>
      <w:bookmarkStart w:id="1573" w:name="_Toc38442646"/>
      <w:bookmarkStart w:id="1574" w:name="_Toc38442977"/>
      <w:bookmarkStart w:id="1575" w:name="_Toc38443308"/>
      <w:bookmarkStart w:id="1576" w:name="_Toc38443639"/>
      <w:bookmarkStart w:id="1577" w:name="_Toc38443969"/>
      <w:bookmarkStart w:id="1578" w:name="_Toc38438437"/>
      <w:bookmarkStart w:id="1579" w:name="_Toc38438774"/>
      <w:bookmarkStart w:id="1580" w:name="_Toc38439111"/>
      <w:bookmarkStart w:id="1581" w:name="_Toc38439448"/>
      <w:bookmarkStart w:id="1582" w:name="_Toc38439785"/>
      <w:bookmarkStart w:id="1583" w:name="_Toc38440122"/>
      <w:bookmarkStart w:id="1584" w:name="_Toc38440459"/>
      <w:bookmarkStart w:id="1585" w:name="_Toc38440991"/>
      <w:bookmarkStart w:id="1586" w:name="_Toc38441323"/>
      <w:bookmarkStart w:id="1587" w:name="_Toc38441655"/>
      <w:bookmarkStart w:id="1588" w:name="_Toc38441983"/>
      <w:bookmarkStart w:id="1589" w:name="_Toc38442315"/>
      <w:bookmarkStart w:id="1590" w:name="_Toc38442647"/>
      <w:bookmarkStart w:id="1591" w:name="_Toc38442978"/>
      <w:bookmarkStart w:id="1592" w:name="_Toc38443309"/>
      <w:bookmarkStart w:id="1593" w:name="_Toc38443640"/>
      <w:bookmarkStart w:id="1594" w:name="_Toc38443970"/>
      <w:bookmarkStart w:id="1595" w:name="_Toc38438438"/>
      <w:bookmarkStart w:id="1596" w:name="_Toc38438775"/>
      <w:bookmarkStart w:id="1597" w:name="_Toc38439112"/>
      <w:bookmarkStart w:id="1598" w:name="_Toc38439449"/>
      <w:bookmarkStart w:id="1599" w:name="_Toc38439786"/>
      <w:bookmarkStart w:id="1600" w:name="_Toc38440123"/>
      <w:bookmarkStart w:id="1601" w:name="_Toc38440460"/>
      <w:bookmarkStart w:id="1602" w:name="_Toc38440992"/>
      <w:bookmarkStart w:id="1603" w:name="_Toc38441324"/>
      <w:bookmarkStart w:id="1604" w:name="_Toc38441656"/>
      <w:bookmarkStart w:id="1605" w:name="_Toc38441984"/>
      <w:bookmarkStart w:id="1606" w:name="_Toc38442316"/>
      <w:bookmarkStart w:id="1607" w:name="_Toc38442648"/>
      <w:bookmarkStart w:id="1608" w:name="_Toc38442979"/>
      <w:bookmarkStart w:id="1609" w:name="_Toc38443310"/>
      <w:bookmarkStart w:id="1610" w:name="_Toc38443641"/>
      <w:bookmarkStart w:id="1611" w:name="_Toc38443971"/>
      <w:bookmarkStart w:id="1612" w:name="_Toc38438439"/>
      <w:bookmarkStart w:id="1613" w:name="_Toc38438776"/>
      <w:bookmarkStart w:id="1614" w:name="_Toc38439113"/>
      <w:bookmarkStart w:id="1615" w:name="_Toc38439450"/>
      <w:bookmarkStart w:id="1616" w:name="_Toc38439787"/>
      <w:bookmarkStart w:id="1617" w:name="_Toc38440124"/>
      <w:bookmarkStart w:id="1618" w:name="_Toc38440461"/>
      <w:bookmarkStart w:id="1619" w:name="_Toc38440993"/>
      <w:bookmarkStart w:id="1620" w:name="_Toc38441325"/>
      <w:bookmarkStart w:id="1621" w:name="_Toc38441657"/>
      <w:bookmarkStart w:id="1622" w:name="_Toc38441985"/>
      <w:bookmarkStart w:id="1623" w:name="_Toc38442317"/>
      <w:bookmarkStart w:id="1624" w:name="_Toc38442649"/>
      <w:bookmarkStart w:id="1625" w:name="_Toc38442980"/>
      <w:bookmarkStart w:id="1626" w:name="_Toc38443311"/>
      <w:bookmarkStart w:id="1627" w:name="_Toc38443642"/>
      <w:bookmarkStart w:id="1628" w:name="_Toc38443972"/>
      <w:bookmarkStart w:id="1629" w:name="_Toc38438440"/>
      <w:bookmarkStart w:id="1630" w:name="_Toc38438777"/>
      <w:bookmarkStart w:id="1631" w:name="_Toc38439114"/>
      <w:bookmarkStart w:id="1632" w:name="_Toc38439451"/>
      <w:bookmarkStart w:id="1633" w:name="_Toc38439788"/>
      <w:bookmarkStart w:id="1634" w:name="_Toc38440125"/>
      <w:bookmarkStart w:id="1635" w:name="_Toc38440462"/>
      <w:bookmarkStart w:id="1636" w:name="_Toc38440994"/>
      <w:bookmarkStart w:id="1637" w:name="_Toc38441326"/>
      <w:bookmarkStart w:id="1638" w:name="_Toc38441658"/>
      <w:bookmarkStart w:id="1639" w:name="_Toc38441986"/>
      <w:bookmarkStart w:id="1640" w:name="_Toc38442318"/>
      <w:bookmarkStart w:id="1641" w:name="_Toc38442650"/>
      <w:bookmarkStart w:id="1642" w:name="_Toc38442981"/>
      <w:bookmarkStart w:id="1643" w:name="_Toc38443312"/>
      <w:bookmarkStart w:id="1644" w:name="_Toc38443643"/>
      <w:bookmarkStart w:id="1645" w:name="_Toc38443973"/>
      <w:bookmarkStart w:id="1646" w:name="_Toc38438441"/>
      <w:bookmarkStart w:id="1647" w:name="_Toc38438778"/>
      <w:bookmarkStart w:id="1648" w:name="_Toc38439115"/>
      <w:bookmarkStart w:id="1649" w:name="_Toc38439452"/>
      <w:bookmarkStart w:id="1650" w:name="_Toc38439789"/>
      <w:bookmarkStart w:id="1651" w:name="_Toc38440126"/>
      <w:bookmarkStart w:id="1652" w:name="_Toc38440463"/>
      <w:bookmarkStart w:id="1653" w:name="_Toc38440995"/>
      <w:bookmarkStart w:id="1654" w:name="_Toc38441327"/>
      <w:bookmarkStart w:id="1655" w:name="_Toc38441659"/>
      <w:bookmarkStart w:id="1656" w:name="_Toc38441987"/>
      <w:bookmarkStart w:id="1657" w:name="_Toc38442319"/>
      <w:bookmarkStart w:id="1658" w:name="_Toc38442651"/>
      <w:bookmarkStart w:id="1659" w:name="_Toc38442982"/>
      <w:bookmarkStart w:id="1660" w:name="_Toc38443313"/>
      <w:bookmarkStart w:id="1661" w:name="_Toc38443644"/>
      <w:bookmarkStart w:id="1662" w:name="_Toc38443974"/>
      <w:bookmarkStart w:id="1663" w:name="_Toc38438442"/>
      <w:bookmarkStart w:id="1664" w:name="_Toc38438779"/>
      <w:bookmarkStart w:id="1665" w:name="_Toc38439116"/>
      <w:bookmarkStart w:id="1666" w:name="_Toc38439453"/>
      <w:bookmarkStart w:id="1667" w:name="_Toc38439790"/>
      <w:bookmarkStart w:id="1668" w:name="_Toc38440127"/>
      <w:bookmarkStart w:id="1669" w:name="_Toc38440464"/>
      <w:bookmarkStart w:id="1670" w:name="_Toc38440996"/>
      <w:bookmarkStart w:id="1671" w:name="_Toc38441328"/>
      <w:bookmarkStart w:id="1672" w:name="_Toc38441660"/>
      <w:bookmarkStart w:id="1673" w:name="_Toc38441988"/>
      <w:bookmarkStart w:id="1674" w:name="_Toc38442320"/>
      <w:bookmarkStart w:id="1675" w:name="_Toc38442652"/>
      <w:bookmarkStart w:id="1676" w:name="_Toc38442983"/>
      <w:bookmarkStart w:id="1677" w:name="_Toc38443314"/>
      <w:bookmarkStart w:id="1678" w:name="_Toc38443645"/>
      <w:bookmarkStart w:id="1679" w:name="_Toc38443975"/>
      <w:bookmarkStart w:id="1680" w:name="_Toc38438443"/>
      <w:bookmarkStart w:id="1681" w:name="_Toc38438780"/>
      <w:bookmarkStart w:id="1682" w:name="_Toc38439117"/>
      <w:bookmarkStart w:id="1683" w:name="_Toc38439454"/>
      <w:bookmarkStart w:id="1684" w:name="_Toc38439791"/>
      <w:bookmarkStart w:id="1685" w:name="_Toc38440128"/>
      <w:bookmarkStart w:id="1686" w:name="_Toc38440465"/>
      <w:bookmarkStart w:id="1687" w:name="_Toc38440997"/>
      <w:bookmarkStart w:id="1688" w:name="_Toc38441329"/>
      <w:bookmarkStart w:id="1689" w:name="_Toc38441661"/>
      <w:bookmarkStart w:id="1690" w:name="_Toc38441989"/>
      <w:bookmarkStart w:id="1691" w:name="_Toc38442321"/>
      <w:bookmarkStart w:id="1692" w:name="_Toc38442653"/>
      <w:bookmarkStart w:id="1693" w:name="_Toc38442984"/>
      <w:bookmarkStart w:id="1694" w:name="_Toc38443315"/>
      <w:bookmarkStart w:id="1695" w:name="_Toc38443646"/>
      <w:bookmarkStart w:id="1696" w:name="_Toc38443976"/>
      <w:bookmarkStart w:id="1697" w:name="_Toc38438444"/>
      <w:bookmarkStart w:id="1698" w:name="_Toc38438781"/>
      <w:bookmarkStart w:id="1699" w:name="_Toc38439118"/>
      <w:bookmarkStart w:id="1700" w:name="_Toc38439455"/>
      <w:bookmarkStart w:id="1701" w:name="_Toc38439792"/>
      <w:bookmarkStart w:id="1702" w:name="_Toc38440129"/>
      <w:bookmarkStart w:id="1703" w:name="_Toc38440466"/>
      <w:bookmarkStart w:id="1704" w:name="_Toc38440998"/>
      <w:bookmarkStart w:id="1705" w:name="_Toc38441330"/>
      <w:bookmarkStart w:id="1706" w:name="_Toc38441662"/>
      <w:bookmarkStart w:id="1707" w:name="_Toc38441990"/>
      <w:bookmarkStart w:id="1708" w:name="_Toc38442322"/>
      <w:bookmarkStart w:id="1709" w:name="_Toc38442654"/>
      <w:bookmarkStart w:id="1710" w:name="_Toc38442985"/>
      <w:bookmarkStart w:id="1711" w:name="_Toc38443316"/>
      <w:bookmarkStart w:id="1712" w:name="_Toc38443647"/>
      <w:bookmarkStart w:id="1713" w:name="_Toc38443977"/>
      <w:bookmarkStart w:id="1714" w:name="_Toc38438445"/>
      <w:bookmarkStart w:id="1715" w:name="_Toc38438782"/>
      <w:bookmarkStart w:id="1716" w:name="_Toc38439119"/>
      <w:bookmarkStart w:id="1717" w:name="_Toc38439456"/>
      <w:bookmarkStart w:id="1718" w:name="_Toc38439793"/>
      <w:bookmarkStart w:id="1719" w:name="_Toc38440130"/>
      <w:bookmarkStart w:id="1720" w:name="_Toc38440467"/>
      <w:bookmarkStart w:id="1721" w:name="_Toc38440999"/>
      <w:bookmarkStart w:id="1722" w:name="_Toc38441331"/>
      <w:bookmarkStart w:id="1723" w:name="_Toc38441663"/>
      <w:bookmarkStart w:id="1724" w:name="_Toc38441991"/>
      <w:bookmarkStart w:id="1725" w:name="_Toc38442323"/>
      <w:bookmarkStart w:id="1726" w:name="_Toc38442655"/>
      <w:bookmarkStart w:id="1727" w:name="_Toc38442986"/>
      <w:bookmarkStart w:id="1728" w:name="_Toc38443317"/>
      <w:bookmarkStart w:id="1729" w:name="_Toc38443648"/>
      <w:bookmarkStart w:id="1730" w:name="_Toc38443978"/>
      <w:bookmarkStart w:id="1731" w:name="_Toc38438446"/>
      <w:bookmarkStart w:id="1732" w:name="_Toc38438783"/>
      <w:bookmarkStart w:id="1733" w:name="_Toc38439120"/>
      <w:bookmarkStart w:id="1734" w:name="_Toc38439457"/>
      <w:bookmarkStart w:id="1735" w:name="_Toc38439794"/>
      <w:bookmarkStart w:id="1736" w:name="_Toc38440131"/>
      <w:bookmarkStart w:id="1737" w:name="_Toc38440468"/>
      <w:bookmarkStart w:id="1738" w:name="_Toc38441000"/>
      <w:bookmarkStart w:id="1739" w:name="_Toc38441332"/>
      <w:bookmarkStart w:id="1740" w:name="_Toc38441664"/>
      <w:bookmarkStart w:id="1741" w:name="_Toc38441992"/>
      <w:bookmarkStart w:id="1742" w:name="_Toc38442324"/>
      <w:bookmarkStart w:id="1743" w:name="_Toc38442656"/>
      <w:bookmarkStart w:id="1744" w:name="_Toc38442987"/>
      <w:bookmarkStart w:id="1745" w:name="_Toc38443318"/>
      <w:bookmarkStart w:id="1746" w:name="_Toc38443649"/>
      <w:bookmarkStart w:id="1747" w:name="_Toc38443979"/>
      <w:bookmarkStart w:id="1748" w:name="_Toc38438447"/>
      <w:bookmarkStart w:id="1749" w:name="_Toc38438784"/>
      <w:bookmarkStart w:id="1750" w:name="_Toc38439121"/>
      <w:bookmarkStart w:id="1751" w:name="_Toc38439458"/>
      <w:bookmarkStart w:id="1752" w:name="_Toc38439795"/>
      <w:bookmarkStart w:id="1753" w:name="_Toc38440132"/>
      <w:bookmarkStart w:id="1754" w:name="_Toc38440469"/>
      <w:bookmarkStart w:id="1755" w:name="_Toc38441001"/>
      <w:bookmarkStart w:id="1756" w:name="_Toc38441333"/>
      <w:bookmarkStart w:id="1757" w:name="_Toc38441665"/>
      <w:bookmarkStart w:id="1758" w:name="_Toc38441993"/>
      <w:bookmarkStart w:id="1759" w:name="_Toc38442325"/>
      <w:bookmarkStart w:id="1760" w:name="_Toc38442657"/>
      <w:bookmarkStart w:id="1761" w:name="_Toc38442988"/>
      <w:bookmarkStart w:id="1762" w:name="_Toc38443319"/>
      <w:bookmarkStart w:id="1763" w:name="_Toc38443650"/>
      <w:bookmarkStart w:id="1764" w:name="_Toc38443980"/>
      <w:bookmarkStart w:id="1765" w:name="_Toc38438448"/>
      <w:bookmarkStart w:id="1766" w:name="_Toc38438785"/>
      <w:bookmarkStart w:id="1767" w:name="_Toc38439122"/>
      <w:bookmarkStart w:id="1768" w:name="_Toc38439459"/>
      <w:bookmarkStart w:id="1769" w:name="_Toc38439796"/>
      <w:bookmarkStart w:id="1770" w:name="_Toc38440133"/>
      <w:bookmarkStart w:id="1771" w:name="_Toc38440470"/>
      <w:bookmarkStart w:id="1772" w:name="_Toc38441002"/>
      <w:bookmarkStart w:id="1773" w:name="_Toc38441334"/>
      <w:bookmarkStart w:id="1774" w:name="_Toc38441666"/>
      <w:bookmarkStart w:id="1775" w:name="_Toc38441994"/>
      <w:bookmarkStart w:id="1776" w:name="_Toc38442326"/>
      <w:bookmarkStart w:id="1777" w:name="_Toc38442658"/>
      <w:bookmarkStart w:id="1778" w:name="_Toc38442989"/>
      <w:bookmarkStart w:id="1779" w:name="_Toc38443320"/>
      <w:bookmarkStart w:id="1780" w:name="_Toc38443651"/>
      <w:bookmarkStart w:id="1781" w:name="_Toc38443981"/>
      <w:bookmarkStart w:id="1782" w:name="_Toc38438449"/>
      <w:bookmarkStart w:id="1783" w:name="_Toc38438786"/>
      <w:bookmarkStart w:id="1784" w:name="_Toc38439123"/>
      <w:bookmarkStart w:id="1785" w:name="_Toc38439460"/>
      <w:bookmarkStart w:id="1786" w:name="_Toc38439797"/>
      <w:bookmarkStart w:id="1787" w:name="_Toc38440134"/>
      <w:bookmarkStart w:id="1788" w:name="_Toc38440471"/>
      <w:bookmarkStart w:id="1789" w:name="_Toc38441003"/>
      <w:bookmarkStart w:id="1790" w:name="_Toc38441335"/>
      <w:bookmarkStart w:id="1791" w:name="_Toc38441667"/>
      <w:bookmarkStart w:id="1792" w:name="_Toc38441995"/>
      <w:bookmarkStart w:id="1793" w:name="_Toc38442327"/>
      <w:bookmarkStart w:id="1794" w:name="_Toc38442659"/>
      <w:bookmarkStart w:id="1795" w:name="_Toc38442990"/>
      <w:bookmarkStart w:id="1796" w:name="_Toc38443321"/>
      <w:bookmarkStart w:id="1797" w:name="_Toc38443652"/>
      <w:bookmarkStart w:id="1798" w:name="_Toc38443982"/>
      <w:bookmarkStart w:id="1799" w:name="_Toc38438450"/>
      <w:bookmarkStart w:id="1800" w:name="_Toc38438787"/>
      <w:bookmarkStart w:id="1801" w:name="_Toc38439124"/>
      <w:bookmarkStart w:id="1802" w:name="_Toc38439461"/>
      <w:bookmarkStart w:id="1803" w:name="_Toc38439798"/>
      <w:bookmarkStart w:id="1804" w:name="_Toc38440135"/>
      <w:bookmarkStart w:id="1805" w:name="_Toc38440472"/>
      <w:bookmarkStart w:id="1806" w:name="_Toc38441004"/>
      <w:bookmarkStart w:id="1807" w:name="_Toc38441336"/>
      <w:bookmarkStart w:id="1808" w:name="_Toc38441668"/>
      <w:bookmarkStart w:id="1809" w:name="_Toc38441996"/>
      <w:bookmarkStart w:id="1810" w:name="_Toc38442328"/>
      <w:bookmarkStart w:id="1811" w:name="_Toc38442660"/>
      <w:bookmarkStart w:id="1812" w:name="_Toc38442991"/>
      <w:bookmarkStart w:id="1813" w:name="_Toc38443322"/>
      <w:bookmarkStart w:id="1814" w:name="_Toc38443653"/>
      <w:bookmarkStart w:id="1815" w:name="_Toc38443983"/>
      <w:bookmarkStart w:id="1816" w:name="_Toc38438451"/>
      <w:bookmarkStart w:id="1817" w:name="_Toc38438788"/>
      <w:bookmarkStart w:id="1818" w:name="_Toc38439125"/>
      <w:bookmarkStart w:id="1819" w:name="_Toc38439462"/>
      <w:bookmarkStart w:id="1820" w:name="_Toc38439799"/>
      <w:bookmarkStart w:id="1821" w:name="_Toc38440136"/>
      <w:bookmarkStart w:id="1822" w:name="_Toc38440473"/>
      <w:bookmarkStart w:id="1823" w:name="_Toc38441005"/>
      <w:bookmarkStart w:id="1824" w:name="_Toc38441337"/>
      <w:bookmarkStart w:id="1825" w:name="_Toc38441669"/>
      <w:bookmarkStart w:id="1826" w:name="_Toc38441997"/>
      <w:bookmarkStart w:id="1827" w:name="_Toc38442329"/>
      <w:bookmarkStart w:id="1828" w:name="_Toc38442661"/>
      <w:bookmarkStart w:id="1829" w:name="_Toc38442992"/>
      <w:bookmarkStart w:id="1830" w:name="_Toc38443323"/>
      <w:bookmarkStart w:id="1831" w:name="_Toc38443654"/>
      <w:bookmarkStart w:id="1832" w:name="_Toc38443984"/>
      <w:bookmarkStart w:id="1833" w:name="_Toc38438452"/>
      <w:bookmarkStart w:id="1834" w:name="_Toc38438789"/>
      <w:bookmarkStart w:id="1835" w:name="_Toc38439126"/>
      <w:bookmarkStart w:id="1836" w:name="_Toc38439463"/>
      <w:bookmarkStart w:id="1837" w:name="_Toc38439800"/>
      <w:bookmarkStart w:id="1838" w:name="_Toc38440137"/>
      <w:bookmarkStart w:id="1839" w:name="_Toc38440474"/>
      <w:bookmarkStart w:id="1840" w:name="_Toc38441006"/>
      <w:bookmarkStart w:id="1841" w:name="_Toc38441338"/>
      <w:bookmarkStart w:id="1842" w:name="_Toc38441670"/>
      <w:bookmarkStart w:id="1843" w:name="_Toc38441998"/>
      <w:bookmarkStart w:id="1844" w:name="_Toc38442330"/>
      <w:bookmarkStart w:id="1845" w:name="_Toc38442662"/>
      <w:bookmarkStart w:id="1846" w:name="_Toc38442993"/>
      <w:bookmarkStart w:id="1847" w:name="_Toc38443324"/>
      <w:bookmarkStart w:id="1848" w:name="_Toc38443655"/>
      <w:bookmarkStart w:id="1849" w:name="_Toc38443985"/>
      <w:bookmarkStart w:id="1850" w:name="_Toc38438453"/>
      <w:bookmarkStart w:id="1851" w:name="_Toc38438790"/>
      <w:bookmarkStart w:id="1852" w:name="_Toc38439127"/>
      <w:bookmarkStart w:id="1853" w:name="_Toc38439464"/>
      <w:bookmarkStart w:id="1854" w:name="_Toc38439801"/>
      <w:bookmarkStart w:id="1855" w:name="_Toc38440138"/>
      <w:bookmarkStart w:id="1856" w:name="_Toc38440475"/>
      <w:bookmarkStart w:id="1857" w:name="_Toc38441007"/>
      <w:bookmarkStart w:id="1858" w:name="_Toc38441339"/>
      <w:bookmarkStart w:id="1859" w:name="_Toc38441671"/>
      <w:bookmarkStart w:id="1860" w:name="_Toc38441999"/>
      <w:bookmarkStart w:id="1861" w:name="_Toc38442331"/>
      <w:bookmarkStart w:id="1862" w:name="_Toc38442663"/>
      <w:bookmarkStart w:id="1863" w:name="_Toc38442994"/>
      <w:bookmarkStart w:id="1864" w:name="_Toc38443325"/>
      <w:bookmarkStart w:id="1865" w:name="_Toc38443656"/>
      <w:bookmarkStart w:id="1866" w:name="_Toc38443986"/>
      <w:bookmarkStart w:id="1867" w:name="_Toc38438454"/>
      <w:bookmarkStart w:id="1868" w:name="_Toc38438791"/>
      <w:bookmarkStart w:id="1869" w:name="_Toc38439128"/>
      <w:bookmarkStart w:id="1870" w:name="_Toc38439465"/>
      <w:bookmarkStart w:id="1871" w:name="_Toc38439802"/>
      <w:bookmarkStart w:id="1872" w:name="_Toc38440139"/>
      <w:bookmarkStart w:id="1873" w:name="_Toc38440476"/>
      <w:bookmarkStart w:id="1874" w:name="_Toc38441008"/>
      <w:bookmarkStart w:id="1875" w:name="_Toc38441340"/>
      <w:bookmarkStart w:id="1876" w:name="_Toc38441672"/>
      <w:bookmarkStart w:id="1877" w:name="_Toc38442000"/>
      <w:bookmarkStart w:id="1878" w:name="_Toc38442332"/>
      <w:bookmarkStart w:id="1879" w:name="_Toc38442664"/>
      <w:bookmarkStart w:id="1880" w:name="_Toc38442995"/>
      <w:bookmarkStart w:id="1881" w:name="_Toc38443326"/>
      <w:bookmarkStart w:id="1882" w:name="_Toc38443657"/>
      <w:bookmarkStart w:id="1883" w:name="_Toc38443987"/>
      <w:bookmarkStart w:id="1884" w:name="_Toc38438455"/>
      <w:bookmarkStart w:id="1885" w:name="_Toc38438792"/>
      <w:bookmarkStart w:id="1886" w:name="_Toc38439129"/>
      <w:bookmarkStart w:id="1887" w:name="_Toc38439466"/>
      <w:bookmarkStart w:id="1888" w:name="_Toc38439803"/>
      <w:bookmarkStart w:id="1889" w:name="_Toc38440140"/>
      <w:bookmarkStart w:id="1890" w:name="_Toc38440477"/>
      <w:bookmarkStart w:id="1891" w:name="_Toc38441009"/>
      <w:bookmarkStart w:id="1892" w:name="_Toc38441341"/>
      <w:bookmarkStart w:id="1893" w:name="_Toc38441673"/>
      <w:bookmarkStart w:id="1894" w:name="_Toc38442001"/>
      <w:bookmarkStart w:id="1895" w:name="_Toc38442333"/>
      <w:bookmarkStart w:id="1896" w:name="_Toc38442665"/>
      <w:bookmarkStart w:id="1897" w:name="_Toc38442996"/>
      <w:bookmarkStart w:id="1898" w:name="_Toc38443327"/>
      <w:bookmarkStart w:id="1899" w:name="_Toc38443658"/>
      <w:bookmarkStart w:id="1900" w:name="_Toc38443988"/>
      <w:bookmarkStart w:id="1901" w:name="_Toc38438456"/>
      <w:bookmarkStart w:id="1902" w:name="_Toc38438793"/>
      <w:bookmarkStart w:id="1903" w:name="_Toc38439130"/>
      <w:bookmarkStart w:id="1904" w:name="_Toc38439467"/>
      <w:bookmarkStart w:id="1905" w:name="_Toc38439804"/>
      <w:bookmarkStart w:id="1906" w:name="_Toc38440141"/>
      <w:bookmarkStart w:id="1907" w:name="_Toc38440478"/>
      <w:bookmarkStart w:id="1908" w:name="_Toc38441010"/>
      <w:bookmarkStart w:id="1909" w:name="_Toc38441342"/>
      <w:bookmarkStart w:id="1910" w:name="_Toc38441674"/>
      <w:bookmarkStart w:id="1911" w:name="_Toc38442002"/>
      <w:bookmarkStart w:id="1912" w:name="_Toc38442334"/>
      <w:bookmarkStart w:id="1913" w:name="_Toc38442666"/>
      <w:bookmarkStart w:id="1914" w:name="_Toc38442997"/>
      <w:bookmarkStart w:id="1915" w:name="_Toc38443328"/>
      <w:bookmarkStart w:id="1916" w:name="_Toc38443659"/>
      <w:bookmarkStart w:id="1917" w:name="_Toc38443989"/>
      <w:bookmarkStart w:id="1918" w:name="_Toc38438457"/>
      <w:bookmarkStart w:id="1919" w:name="_Toc38438794"/>
      <w:bookmarkStart w:id="1920" w:name="_Toc38439131"/>
      <w:bookmarkStart w:id="1921" w:name="_Toc38439468"/>
      <w:bookmarkStart w:id="1922" w:name="_Toc38439805"/>
      <w:bookmarkStart w:id="1923" w:name="_Toc38440142"/>
      <w:bookmarkStart w:id="1924" w:name="_Toc38440479"/>
      <w:bookmarkStart w:id="1925" w:name="_Toc38441011"/>
      <w:bookmarkStart w:id="1926" w:name="_Toc38441343"/>
      <w:bookmarkStart w:id="1927" w:name="_Toc38441675"/>
      <w:bookmarkStart w:id="1928" w:name="_Toc38442003"/>
      <w:bookmarkStart w:id="1929" w:name="_Toc38442335"/>
      <w:bookmarkStart w:id="1930" w:name="_Toc38442667"/>
      <w:bookmarkStart w:id="1931" w:name="_Toc38442998"/>
      <w:bookmarkStart w:id="1932" w:name="_Toc38443329"/>
      <w:bookmarkStart w:id="1933" w:name="_Toc38443660"/>
      <w:bookmarkStart w:id="1934" w:name="_Toc38443990"/>
      <w:bookmarkStart w:id="1935" w:name="_Toc38438458"/>
      <w:bookmarkStart w:id="1936" w:name="_Toc38438795"/>
      <w:bookmarkStart w:id="1937" w:name="_Toc38439132"/>
      <w:bookmarkStart w:id="1938" w:name="_Toc38439469"/>
      <w:bookmarkStart w:id="1939" w:name="_Toc38439806"/>
      <w:bookmarkStart w:id="1940" w:name="_Toc38440143"/>
      <w:bookmarkStart w:id="1941" w:name="_Toc38440480"/>
      <w:bookmarkStart w:id="1942" w:name="_Toc38441012"/>
      <w:bookmarkStart w:id="1943" w:name="_Toc38441344"/>
      <w:bookmarkStart w:id="1944" w:name="_Toc38441676"/>
      <w:bookmarkStart w:id="1945" w:name="_Toc38442004"/>
      <w:bookmarkStart w:id="1946" w:name="_Toc38442336"/>
      <w:bookmarkStart w:id="1947" w:name="_Toc38442668"/>
      <w:bookmarkStart w:id="1948" w:name="_Toc38442999"/>
      <w:bookmarkStart w:id="1949" w:name="_Toc38443330"/>
      <w:bookmarkStart w:id="1950" w:name="_Toc38443661"/>
      <w:bookmarkStart w:id="1951" w:name="_Toc3844399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sectPr w:rsidSect="00EF30D3">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T64E9BFA0tCID-WinCharSetFFFF-H">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922378">
    <w:pPr>
      <w:pStyle w:val="Footer"/>
      <w:ind w:right="360" w:firstLine="360"/>
    </w:pPr>
  </w:p>
  <w:p w:rsidR="00922378">
    <w:pPr>
      <w:ind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pPr>
      <w:ind w:firstLine="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pPr>
      <w:ind w:firstLine="48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rsidP="00AE70B8">
    <w:pPr>
      <w:pStyle w:val="Footer"/>
      <w:ind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rsidP="00AE70B8">
    <w:pPr>
      <w:pStyle w:val="Footer"/>
      <w:ind w:firstLine="360"/>
      <w:jc w:val="center"/>
    </w:pPr>
    <w:r>
      <w:fldChar w:fldCharType="begin"/>
    </w:r>
    <w:r>
      <w:instrText xml:space="preserve"> PAGE   \* MERGEFORMAT </w:instrText>
    </w:r>
    <w:r>
      <w:fldChar w:fldCharType="separate"/>
    </w:r>
    <w:r w:rsidRPr="00E514B3" w:rsidR="00E514B3">
      <w:rPr>
        <w:noProof/>
        <w:lang w:val="zh-CN"/>
      </w:rPr>
      <w:t>I</w:t>
    </w:r>
    <w:r>
      <w:rPr>
        <w:noProof/>
        <w:lang w:val="zh-C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rsidP="00AE70B8">
    <w:pPr>
      <w:pStyle w:val="Footer"/>
      <w:ind w:firstLine="360"/>
      <w:jc w:val="center"/>
    </w:pPr>
    <w:r>
      <w:fldChar w:fldCharType="begin"/>
    </w:r>
    <w:r>
      <w:instrText xml:space="preserve"> PAGE   \* MERGEFORMAT </w:instrText>
    </w:r>
    <w:r>
      <w:fldChar w:fldCharType="separate"/>
    </w:r>
    <w:r w:rsidRPr="00E514B3" w:rsidR="00E514B3">
      <w:rPr>
        <w:noProof/>
        <w:lang w:val="zh-CN"/>
      </w:rPr>
      <w:t>119</w:t>
    </w:r>
    <w:r>
      <w:rPr>
        <w:noProof/>
        <w:lang w:val="zh-CN"/>
      </w:rPr>
      <w:fldChar w:fldCharType="end"/>
    </w:r>
  </w:p>
  <w:p w:rsidR="00922378"/>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2378" w:rsidRPr="006E7038" w:rsidP="005046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num w:numId="1">
    <w:abstractNumId w:val="0"/>
  </w:num>
  <w:num w:numId="2">
    <w:abstractNumId w:val="2"/>
  </w:num>
  <w:num w:numId="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A4B87"/>
    <w:rsid w:val="000001DF"/>
    <w:rsid w:val="00000393"/>
    <w:rsid w:val="00000829"/>
    <w:rsid w:val="000008BD"/>
    <w:rsid w:val="000009F5"/>
    <w:rsid w:val="00000C38"/>
    <w:rsid w:val="00000F4B"/>
    <w:rsid w:val="00001038"/>
    <w:rsid w:val="00001134"/>
    <w:rsid w:val="00001E10"/>
    <w:rsid w:val="000025C9"/>
    <w:rsid w:val="00002696"/>
    <w:rsid w:val="00002865"/>
    <w:rsid w:val="00003C24"/>
    <w:rsid w:val="00004A38"/>
    <w:rsid w:val="00005763"/>
    <w:rsid w:val="000059BE"/>
    <w:rsid w:val="00005BC4"/>
    <w:rsid w:val="000064C6"/>
    <w:rsid w:val="00006C96"/>
    <w:rsid w:val="00007129"/>
    <w:rsid w:val="0000730D"/>
    <w:rsid w:val="00007B3B"/>
    <w:rsid w:val="00010950"/>
    <w:rsid w:val="00010BE3"/>
    <w:rsid w:val="00010C8A"/>
    <w:rsid w:val="00011172"/>
    <w:rsid w:val="000123D9"/>
    <w:rsid w:val="0001369C"/>
    <w:rsid w:val="00013AE0"/>
    <w:rsid w:val="00013E97"/>
    <w:rsid w:val="0001419E"/>
    <w:rsid w:val="000150AA"/>
    <w:rsid w:val="000157D1"/>
    <w:rsid w:val="00016EE0"/>
    <w:rsid w:val="0001716B"/>
    <w:rsid w:val="000174AA"/>
    <w:rsid w:val="00020907"/>
    <w:rsid w:val="000209E4"/>
    <w:rsid w:val="00021D40"/>
    <w:rsid w:val="000220B4"/>
    <w:rsid w:val="0002222D"/>
    <w:rsid w:val="000223A2"/>
    <w:rsid w:val="00022523"/>
    <w:rsid w:val="00022877"/>
    <w:rsid w:val="00022961"/>
    <w:rsid w:val="00023038"/>
    <w:rsid w:val="0002346D"/>
    <w:rsid w:val="00023CB3"/>
    <w:rsid w:val="00023E0D"/>
    <w:rsid w:val="000242DF"/>
    <w:rsid w:val="000259B2"/>
    <w:rsid w:val="00025C20"/>
    <w:rsid w:val="00025D8B"/>
    <w:rsid w:val="00026705"/>
    <w:rsid w:val="00026A18"/>
    <w:rsid w:val="00027449"/>
    <w:rsid w:val="00027992"/>
    <w:rsid w:val="00027D2A"/>
    <w:rsid w:val="00027D3C"/>
    <w:rsid w:val="00030AA1"/>
    <w:rsid w:val="00030EFE"/>
    <w:rsid w:val="00031D27"/>
    <w:rsid w:val="00032032"/>
    <w:rsid w:val="000335F6"/>
    <w:rsid w:val="0003493A"/>
    <w:rsid w:val="00034C47"/>
    <w:rsid w:val="0003536B"/>
    <w:rsid w:val="00035F63"/>
    <w:rsid w:val="00036284"/>
    <w:rsid w:val="00036C46"/>
    <w:rsid w:val="000373AF"/>
    <w:rsid w:val="000375DA"/>
    <w:rsid w:val="00037A8D"/>
    <w:rsid w:val="000406EF"/>
    <w:rsid w:val="00040946"/>
    <w:rsid w:val="00040D81"/>
    <w:rsid w:val="000411A0"/>
    <w:rsid w:val="00041F65"/>
    <w:rsid w:val="00042C9F"/>
    <w:rsid w:val="000432F2"/>
    <w:rsid w:val="00043C5D"/>
    <w:rsid w:val="00043D81"/>
    <w:rsid w:val="00046319"/>
    <w:rsid w:val="00046561"/>
    <w:rsid w:val="000465BC"/>
    <w:rsid w:val="000467C2"/>
    <w:rsid w:val="00046A2F"/>
    <w:rsid w:val="00046AE8"/>
    <w:rsid w:val="00046B2F"/>
    <w:rsid w:val="00046D6E"/>
    <w:rsid w:val="0004705F"/>
    <w:rsid w:val="00047342"/>
    <w:rsid w:val="00047CE2"/>
    <w:rsid w:val="00047D63"/>
    <w:rsid w:val="00050EAC"/>
    <w:rsid w:val="000512C9"/>
    <w:rsid w:val="00051E69"/>
    <w:rsid w:val="00052320"/>
    <w:rsid w:val="00052971"/>
    <w:rsid w:val="00052C9F"/>
    <w:rsid w:val="00053030"/>
    <w:rsid w:val="00053141"/>
    <w:rsid w:val="00053A55"/>
    <w:rsid w:val="00053DBD"/>
    <w:rsid w:val="00053E4C"/>
    <w:rsid w:val="0005478E"/>
    <w:rsid w:val="00055032"/>
    <w:rsid w:val="000553C5"/>
    <w:rsid w:val="0005646C"/>
    <w:rsid w:val="0005759B"/>
    <w:rsid w:val="000579E2"/>
    <w:rsid w:val="000602D3"/>
    <w:rsid w:val="000603E7"/>
    <w:rsid w:val="00060771"/>
    <w:rsid w:val="00061A4B"/>
    <w:rsid w:val="00061C0D"/>
    <w:rsid w:val="00061CE2"/>
    <w:rsid w:val="00061D27"/>
    <w:rsid w:val="00062004"/>
    <w:rsid w:val="0006260C"/>
    <w:rsid w:val="00062629"/>
    <w:rsid w:val="000631CF"/>
    <w:rsid w:val="000645E3"/>
    <w:rsid w:val="00064A17"/>
    <w:rsid w:val="0006533D"/>
    <w:rsid w:val="000658E9"/>
    <w:rsid w:val="00065DDB"/>
    <w:rsid w:val="0006600C"/>
    <w:rsid w:val="000668D0"/>
    <w:rsid w:val="00066D91"/>
    <w:rsid w:val="00067E66"/>
    <w:rsid w:val="00067E86"/>
    <w:rsid w:val="00070309"/>
    <w:rsid w:val="000715CF"/>
    <w:rsid w:val="000731D2"/>
    <w:rsid w:val="00073BB4"/>
    <w:rsid w:val="000743BB"/>
    <w:rsid w:val="0007451B"/>
    <w:rsid w:val="000745DE"/>
    <w:rsid w:val="000751D7"/>
    <w:rsid w:val="000754B6"/>
    <w:rsid w:val="00076E39"/>
    <w:rsid w:val="000778D9"/>
    <w:rsid w:val="00077BD0"/>
    <w:rsid w:val="00080A4A"/>
    <w:rsid w:val="00080B43"/>
    <w:rsid w:val="00080FD0"/>
    <w:rsid w:val="0008120E"/>
    <w:rsid w:val="00081A2C"/>
    <w:rsid w:val="00081DCB"/>
    <w:rsid w:val="000826EB"/>
    <w:rsid w:val="00082A5F"/>
    <w:rsid w:val="000840A2"/>
    <w:rsid w:val="0008426E"/>
    <w:rsid w:val="00084A0F"/>
    <w:rsid w:val="00085404"/>
    <w:rsid w:val="00085634"/>
    <w:rsid w:val="00087815"/>
    <w:rsid w:val="000878D9"/>
    <w:rsid w:val="00087C08"/>
    <w:rsid w:val="000900B4"/>
    <w:rsid w:val="00090469"/>
    <w:rsid w:val="00090BF0"/>
    <w:rsid w:val="00091635"/>
    <w:rsid w:val="000932D6"/>
    <w:rsid w:val="00093518"/>
    <w:rsid w:val="0009363C"/>
    <w:rsid w:val="0009405B"/>
    <w:rsid w:val="00096048"/>
    <w:rsid w:val="000A159F"/>
    <w:rsid w:val="000A1967"/>
    <w:rsid w:val="000A20AD"/>
    <w:rsid w:val="000A26DC"/>
    <w:rsid w:val="000A2E03"/>
    <w:rsid w:val="000A34E2"/>
    <w:rsid w:val="000A3631"/>
    <w:rsid w:val="000A425C"/>
    <w:rsid w:val="000A4278"/>
    <w:rsid w:val="000A4424"/>
    <w:rsid w:val="000A46DE"/>
    <w:rsid w:val="000A4D34"/>
    <w:rsid w:val="000A53A4"/>
    <w:rsid w:val="000A55CC"/>
    <w:rsid w:val="000A579A"/>
    <w:rsid w:val="000A63A1"/>
    <w:rsid w:val="000A6C68"/>
    <w:rsid w:val="000A7C2A"/>
    <w:rsid w:val="000B0B17"/>
    <w:rsid w:val="000B1599"/>
    <w:rsid w:val="000B2DD6"/>
    <w:rsid w:val="000B2F74"/>
    <w:rsid w:val="000B3DD5"/>
    <w:rsid w:val="000B416B"/>
    <w:rsid w:val="000B448D"/>
    <w:rsid w:val="000B46DC"/>
    <w:rsid w:val="000B5344"/>
    <w:rsid w:val="000B75CF"/>
    <w:rsid w:val="000B77CE"/>
    <w:rsid w:val="000C0098"/>
    <w:rsid w:val="000C0309"/>
    <w:rsid w:val="000C121F"/>
    <w:rsid w:val="000C2650"/>
    <w:rsid w:val="000C28A3"/>
    <w:rsid w:val="000C2D98"/>
    <w:rsid w:val="000C32FA"/>
    <w:rsid w:val="000C3945"/>
    <w:rsid w:val="000C4225"/>
    <w:rsid w:val="000C4BE9"/>
    <w:rsid w:val="000C5050"/>
    <w:rsid w:val="000C5752"/>
    <w:rsid w:val="000C7C75"/>
    <w:rsid w:val="000D0040"/>
    <w:rsid w:val="000D0875"/>
    <w:rsid w:val="000D0BD6"/>
    <w:rsid w:val="000D1888"/>
    <w:rsid w:val="000D1E99"/>
    <w:rsid w:val="000D29B0"/>
    <w:rsid w:val="000D3ADE"/>
    <w:rsid w:val="000D3BB1"/>
    <w:rsid w:val="000D3DAB"/>
    <w:rsid w:val="000D40BF"/>
    <w:rsid w:val="000D4DF8"/>
    <w:rsid w:val="000D6056"/>
    <w:rsid w:val="000D6139"/>
    <w:rsid w:val="000D6686"/>
    <w:rsid w:val="000D743D"/>
    <w:rsid w:val="000D760D"/>
    <w:rsid w:val="000E06C8"/>
    <w:rsid w:val="000E0C20"/>
    <w:rsid w:val="000E10D3"/>
    <w:rsid w:val="000E1148"/>
    <w:rsid w:val="000E1757"/>
    <w:rsid w:val="000E197D"/>
    <w:rsid w:val="000E204E"/>
    <w:rsid w:val="000E2A0C"/>
    <w:rsid w:val="000E2BA4"/>
    <w:rsid w:val="000E2F9E"/>
    <w:rsid w:val="000E39F0"/>
    <w:rsid w:val="000E46D7"/>
    <w:rsid w:val="000E575C"/>
    <w:rsid w:val="000E5997"/>
    <w:rsid w:val="000E5998"/>
    <w:rsid w:val="000E64CC"/>
    <w:rsid w:val="000E6D1C"/>
    <w:rsid w:val="000E6F51"/>
    <w:rsid w:val="000E709C"/>
    <w:rsid w:val="000E7413"/>
    <w:rsid w:val="000E77BB"/>
    <w:rsid w:val="000E7EC3"/>
    <w:rsid w:val="000E7F0B"/>
    <w:rsid w:val="000F04F5"/>
    <w:rsid w:val="000F0BE3"/>
    <w:rsid w:val="000F1803"/>
    <w:rsid w:val="000F20C9"/>
    <w:rsid w:val="000F217C"/>
    <w:rsid w:val="000F2807"/>
    <w:rsid w:val="000F2A7C"/>
    <w:rsid w:val="000F329E"/>
    <w:rsid w:val="000F33E1"/>
    <w:rsid w:val="000F3530"/>
    <w:rsid w:val="000F3820"/>
    <w:rsid w:val="000F3DCD"/>
    <w:rsid w:val="000F3ED0"/>
    <w:rsid w:val="000F3F4D"/>
    <w:rsid w:val="000F40A6"/>
    <w:rsid w:val="000F4218"/>
    <w:rsid w:val="000F47E1"/>
    <w:rsid w:val="000F5558"/>
    <w:rsid w:val="000F595F"/>
    <w:rsid w:val="000F6247"/>
    <w:rsid w:val="000F6E00"/>
    <w:rsid w:val="000F6E21"/>
    <w:rsid w:val="000F71D6"/>
    <w:rsid w:val="000F74E9"/>
    <w:rsid w:val="000F76B4"/>
    <w:rsid w:val="000F79C6"/>
    <w:rsid w:val="00100694"/>
    <w:rsid w:val="001008B4"/>
    <w:rsid w:val="00101ABE"/>
    <w:rsid w:val="001029BF"/>
    <w:rsid w:val="00102AC7"/>
    <w:rsid w:val="00103010"/>
    <w:rsid w:val="00103317"/>
    <w:rsid w:val="00103BE6"/>
    <w:rsid w:val="00103C99"/>
    <w:rsid w:val="00104072"/>
    <w:rsid w:val="00104621"/>
    <w:rsid w:val="001046B7"/>
    <w:rsid w:val="0010481B"/>
    <w:rsid w:val="001048D0"/>
    <w:rsid w:val="0010533E"/>
    <w:rsid w:val="00105592"/>
    <w:rsid w:val="0010565E"/>
    <w:rsid w:val="00105DA3"/>
    <w:rsid w:val="0010655B"/>
    <w:rsid w:val="0010689F"/>
    <w:rsid w:val="00107E28"/>
    <w:rsid w:val="001102E8"/>
    <w:rsid w:val="0011071E"/>
    <w:rsid w:val="00110D8E"/>
    <w:rsid w:val="0011115D"/>
    <w:rsid w:val="001111DA"/>
    <w:rsid w:val="0011137D"/>
    <w:rsid w:val="00111483"/>
    <w:rsid w:val="00111550"/>
    <w:rsid w:val="001129BA"/>
    <w:rsid w:val="001138AD"/>
    <w:rsid w:val="00113E7A"/>
    <w:rsid w:val="0011412E"/>
    <w:rsid w:val="00114CB9"/>
    <w:rsid w:val="00114F53"/>
    <w:rsid w:val="001156B1"/>
    <w:rsid w:val="0011704A"/>
    <w:rsid w:val="0011727B"/>
    <w:rsid w:val="001175C0"/>
    <w:rsid w:val="001176C5"/>
    <w:rsid w:val="00117AF6"/>
    <w:rsid w:val="0012005A"/>
    <w:rsid w:val="00120226"/>
    <w:rsid w:val="0012132D"/>
    <w:rsid w:val="00121AB8"/>
    <w:rsid w:val="001220B8"/>
    <w:rsid w:val="00123668"/>
    <w:rsid w:val="00124FFC"/>
    <w:rsid w:val="00125E40"/>
    <w:rsid w:val="001260F5"/>
    <w:rsid w:val="00126A36"/>
    <w:rsid w:val="00127074"/>
    <w:rsid w:val="0012764F"/>
    <w:rsid w:val="001308D7"/>
    <w:rsid w:val="00130A00"/>
    <w:rsid w:val="00130E9A"/>
    <w:rsid w:val="001318DA"/>
    <w:rsid w:val="001325AB"/>
    <w:rsid w:val="00132C86"/>
    <w:rsid w:val="00132CC4"/>
    <w:rsid w:val="00133009"/>
    <w:rsid w:val="00133EE5"/>
    <w:rsid w:val="0013422A"/>
    <w:rsid w:val="00134348"/>
    <w:rsid w:val="001347A6"/>
    <w:rsid w:val="00135985"/>
    <w:rsid w:val="00135DAB"/>
    <w:rsid w:val="00135DE6"/>
    <w:rsid w:val="00135E76"/>
    <w:rsid w:val="00135EF2"/>
    <w:rsid w:val="00135F3C"/>
    <w:rsid w:val="0013600C"/>
    <w:rsid w:val="001369FA"/>
    <w:rsid w:val="00136C3D"/>
    <w:rsid w:val="00137C27"/>
    <w:rsid w:val="00137DAD"/>
    <w:rsid w:val="00140387"/>
    <w:rsid w:val="001404C8"/>
    <w:rsid w:val="00140E0A"/>
    <w:rsid w:val="0014103F"/>
    <w:rsid w:val="00141DBD"/>
    <w:rsid w:val="00142DCB"/>
    <w:rsid w:val="00143612"/>
    <w:rsid w:val="001456B3"/>
    <w:rsid w:val="00145799"/>
    <w:rsid w:val="001461B1"/>
    <w:rsid w:val="001467CA"/>
    <w:rsid w:val="00146B1B"/>
    <w:rsid w:val="00146C0A"/>
    <w:rsid w:val="00147319"/>
    <w:rsid w:val="001474BD"/>
    <w:rsid w:val="0014780A"/>
    <w:rsid w:val="001479AE"/>
    <w:rsid w:val="00147A68"/>
    <w:rsid w:val="00147F4B"/>
    <w:rsid w:val="00150050"/>
    <w:rsid w:val="0015009D"/>
    <w:rsid w:val="001511C3"/>
    <w:rsid w:val="0015192A"/>
    <w:rsid w:val="00152FD0"/>
    <w:rsid w:val="00153874"/>
    <w:rsid w:val="00153ADA"/>
    <w:rsid w:val="00154BCB"/>
    <w:rsid w:val="00154C9F"/>
    <w:rsid w:val="001552AF"/>
    <w:rsid w:val="0015546C"/>
    <w:rsid w:val="001568CE"/>
    <w:rsid w:val="00157AAD"/>
    <w:rsid w:val="00157CB4"/>
    <w:rsid w:val="00157F9D"/>
    <w:rsid w:val="001611D1"/>
    <w:rsid w:val="001617AE"/>
    <w:rsid w:val="00161887"/>
    <w:rsid w:val="001618F9"/>
    <w:rsid w:val="00161CFC"/>
    <w:rsid w:val="0016274E"/>
    <w:rsid w:val="001629CA"/>
    <w:rsid w:val="00162EEB"/>
    <w:rsid w:val="00163296"/>
    <w:rsid w:val="0016337F"/>
    <w:rsid w:val="001634D6"/>
    <w:rsid w:val="00163592"/>
    <w:rsid w:val="0016381A"/>
    <w:rsid w:val="0016395D"/>
    <w:rsid w:val="00163C31"/>
    <w:rsid w:val="00163D49"/>
    <w:rsid w:val="00163DF1"/>
    <w:rsid w:val="00164C1E"/>
    <w:rsid w:val="00164DEB"/>
    <w:rsid w:val="00164EE8"/>
    <w:rsid w:val="00166E0C"/>
    <w:rsid w:val="00167173"/>
    <w:rsid w:val="001678FB"/>
    <w:rsid w:val="00167C8D"/>
    <w:rsid w:val="00170097"/>
    <w:rsid w:val="0017025E"/>
    <w:rsid w:val="001711A1"/>
    <w:rsid w:val="001720E6"/>
    <w:rsid w:val="0017273A"/>
    <w:rsid w:val="00173567"/>
    <w:rsid w:val="001735E3"/>
    <w:rsid w:val="00174E97"/>
    <w:rsid w:val="00175112"/>
    <w:rsid w:val="00175137"/>
    <w:rsid w:val="001754AD"/>
    <w:rsid w:val="0017569B"/>
    <w:rsid w:val="001769C4"/>
    <w:rsid w:val="00176F27"/>
    <w:rsid w:val="00177446"/>
    <w:rsid w:val="00177EF8"/>
    <w:rsid w:val="001811D5"/>
    <w:rsid w:val="001812A6"/>
    <w:rsid w:val="00181D5A"/>
    <w:rsid w:val="00182338"/>
    <w:rsid w:val="00183580"/>
    <w:rsid w:val="00184282"/>
    <w:rsid w:val="00184B16"/>
    <w:rsid w:val="00184F77"/>
    <w:rsid w:val="001856A1"/>
    <w:rsid w:val="001870F4"/>
    <w:rsid w:val="00187448"/>
    <w:rsid w:val="001876F6"/>
    <w:rsid w:val="00187C2E"/>
    <w:rsid w:val="001904C8"/>
    <w:rsid w:val="00190DD0"/>
    <w:rsid w:val="00191609"/>
    <w:rsid w:val="00192461"/>
    <w:rsid w:val="00192A21"/>
    <w:rsid w:val="00192FAC"/>
    <w:rsid w:val="001930AD"/>
    <w:rsid w:val="00193187"/>
    <w:rsid w:val="0019321E"/>
    <w:rsid w:val="0019364D"/>
    <w:rsid w:val="00194301"/>
    <w:rsid w:val="00194665"/>
    <w:rsid w:val="001947A3"/>
    <w:rsid w:val="0019491D"/>
    <w:rsid w:val="00194A61"/>
    <w:rsid w:val="00194C12"/>
    <w:rsid w:val="001953F1"/>
    <w:rsid w:val="0019543C"/>
    <w:rsid w:val="00197273"/>
    <w:rsid w:val="001977D2"/>
    <w:rsid w:val="0019799A"/>
    <w:rsid w:val="001979DE"/>
    <w:rsid w:val="001A0A2A"/>
    <w:rsid w:val="001A0C3A"/>
    <w:rsid w:val="001A1688"/>
    <w:rsid w:val="001A3E74"/>
    <w:rsid w:val="001A53DE"/>
    <w:rsid w:val="001A5992"/>
    <w:rsid w:val="001A599B"/>
    <w:rsid w:val="001A59D1"/>
    <w:rsid w:val="001A5CF4"/>
    <w:rsid w:val="001A5D66"/>
    <w:rsid w:val="001A62B9"/>
    <w:rsid w:val="001A6348"/>
    <w:rsid w:val="001A6C00"/>
    <w:rsid w:val="001A7C28"/>
    <w:rsid w:val="001B048E"/>
    <w:rsid w:val="001B06C5"/>
    <w:rsid w:val="001B18A8"/>
    <w:rsid w:val="001B18F3"/>
    <w:rsid w:val="001B1C0C"/>
    <w:rsid w:val="001B1FC9"/>
    <w:rsid w:val="001B22BD"/>
    <w:rsid w:val="001B2B71"/>
    <w:rsid w:val="001B39DD"/>
    <w:rsid w:val="001B448F"/>
    <w:rsid w:val="001B50FC"/>
    <w:rsid w:val="001B52A6"/>
    <w:rsid w:val="001B5D97"/>
    <w:rsid w:val="001B62B0"/>
    <w:rsid w:val="001B7072"/>
    <w:rsid w:val="001B71AC"/>
    <w:rsid w:val="001B7A7F"/>
    <w:rsid w:val="001B7BC2"/>
    <w:rsid w:val="001C049E"/>
    <w:rsid w:val="001C1088"/>
    <w:rsid w:val="001C175C"/>
    <w:rsid w:val="001C17BE"/>
    <w:rsid w:val="001C1940"/>
    <w:rsid w:val="001C1AF5"/>
    <w:rsid w:val="001C1E74"/>
    <w:rsid w:val="001C1F8B"/>
    <w:rsid w:val="001C3816"/>
    <w:rsid w:val="001C3ABD"/>
    <w:rsid w:val="001C46C7"/>
    <w:rsid w:val="001C54CA"/>
    <w:rsid w:val="001C555F"/>
    <w:rsid w:val="001C55AE"/>
    <w:rsid w:val="001C56D2"/>
    <w:rsid w:val="001C5A87"/>
    <w:rsid w:val="001C5F3E"/>
    <w:rsid w:val="001C626A"/>
    <w:rsid w:val="001C6610"/>
    <w:rsid w:val="001C6999"/>
    <w:rsid w:val="001C73D0"/>
    <w:rsid w:val="001C7704"/>
    <w:rsid w:val="001D03BD"/>
    <w:rsid w:val="001D047F"/>
    <w:rsid w:val="001D066C"/>
    <w:rsid w:val="001D10FC"/>
    <w:rsid w:val="001D2766"/>
    <w:rsid w:val="001D2A4F"/>
    <w:rsid w:val="001D2AE6"/>
    <w:rsid w:val="001D2DD7"/>
    <w:rsid w:val="001D3124"/>
    <w:rsid w:val="001D340C"/>
    <w:rsid w:val="001D4386"/>
    <w:rsid w:val="001D4770"/>
    <w:rsid w:val="001D4B9C"/>
    <w:rsid w:val="001D4F12"/>
    <w:rsid w:val="001D5928"/>
    <w:rsid w:val="001D6852"/>
    <w:rsid w:val="001D71FB"/>
    <w:rsid w:val="001D7201"/>
    <w:rsid w:val="001D7542"/>
    <w:rsid w:val="001D7DC7"/>
    <w:rsid w:val="001E17D8"/>
    <w:rsid w:val="001E29D2"/>
    <w:rsid w:val="001E2A35"/>
    <w:rsid w:val="001E2C67"/>
    <w:rsid w:val="001E33BF"/>
    <w:rsid w:val="001E36E7"/>
    <w:rsid w:val="001E3849"/>
    <w:rsid w:val="001E44C9"/>
    <w:rsid w:val="001E463E"/>
    <w:rsid w:val="001E49F5"/>
    <w:rsid w:val="001E4C2E"/>
    <w:rsid w:val="001E5296"/>
    <w:rsid w:val="001E5522"/>
    <w:rsid w:val="001E5840"/>
    <w:rsid w:val="001E5FFC"/>
    <w:rsid w:val="001E6198"/>
    <w:rsid w:val="001E6AB4"/>
    <w:rsid w:val="001E6B30"/>
    <w:rsid w:val="001E7958"/>
    <w:rsid w:val="001E7E40"/>
    <w:rsid w:val="001F07D0"/>
    <w:rsid w:val="001F12B2"/>
    <w:rsid w:val="001F20CF"/>
    <w:rsid w:val="001F303B"/>
    <w:rsid w:val="001F37BC"/>
    <w:rsid w:val="001F39F3"/>
    <w:rsid w:val="001F3C78"/>
    <w:rsid w:val="001F3CB0"/>
    <w:rsid w:val="001F3F96"/>
    <w:rsid w:val="001F4406"/>
    <w:rsid w:val="001F51BD"/>
    <w:rsid w:val="001F597C"/>
    <w:rsid w:val="001F59B1"/>
    <w:rsid w:val="001F7AE0"/>
    <w:rsid w:val="0020032D"/>
    <w:rsid w:val="002004ED"/>
    <w:rsid w:val="002010A5"/>
    <w:rsid w:val="00201274"/>
    <w:rsid w:val="00201627"/>
    <w:rsid w:val="00202299"/>
    <w:rsid w:val="00202358"/>
    <w:rsid w:val="00202CA0"/>
    <w:rsid w:val="002030F5"/>
    <w:rsid w:val="00203113"/>
    <w:rsid w:val="002034E4"/>
    <w:rsid w:val="0020350B"/>
    <w:rsid w:val="002039C9"/>
    <w:rsid w:val="00204E01"/>
    <w:rsid w:val="00204E42"/>
    <w:rsid w:val="002055FF"/>
    <w:rsid w:val="00205733"/>
    <w:rsid w:val="002057BD"/>
    <w:rsid w:val="00205C87"/>
    <w:rsid w:val="00205D5E"/>
    <w:rsid w:val="00205D7C"/>
    <w:rsid w:val="00205EE9"/>
    <w:rsid w:val="00206F26"/>
    <w:rsid w:val="0020799D"/>
    <w:rsid w:val="00207A8F"/>
    <w:rsid w:val="00207C1E"/>
    <w:rsid w:val="0021025A"/>
    <w:rsid w:val="00210543"/>
    <w:rsid w:val="00210A35"/>
    <w:rsid w:val="00210FCD"/>
    <w:rsid w:val="0021126A"/>
    <w:rsid w:val="00211542"/>
    <w:rsid w:val="0021171D"/>
    <w:rsid w:val="0021184E"/>
    <w:rsid w:val="0021228B"/>
    <w:rsid w:val="0021302E"/>
    <w:rsid w:val="0021342D"/>
    <w:rsid w:val="00213CE3"/>
    <w:rsid w:val="00213E03"/>
    <w:rsid w:val="00213E4B"/>
    <w:rsid w:val="00214437"/>
    <w:rsid w:val="0021491A"/>
    <w:rsid w:val="00214A68"/>
    <w:rsid w:val="00215035"/>
    <w:rsid w:val="002156FF"/>
    <w:rsid w:val="00215990"/>
    <w:rsid w:val="00215CC3"/>
    <w:rsid w:val="00215D2A"/>
    <w:rsid w:val="00216C41"/>
    <w:rsid w:val="00217D8D"/>
    <w:rsid w:val="00220813"/>
    <w:rsid w:val="00220D0C"/>
    <w:rsid w:val="00220FA0"/>
    <w:rsid w:val="0022118F"/>
    <w:rsid w:val="002213EA"/>
    <w:rsid w:val="002214F8"/>
    <w:rsid w:val="00221813"/>
    <w:rsid w:val="002218B8"/>
    <w:rsid w:val="00221A71"/>
    <w:rsid w:val="002221D9"/>
    <w:rsid w:val="002221EE"/>
    <w:rsid w:val="00222573"/>
    <w:rsid w:val="00222A41"/>
    <w:rsid w:val="00222BE6"/>
    <w:rsid w:val="00223237"/>
    <w:rsid w:val="002233ED"/>
    <w:rsid w:val="002236B3"/>
    <w:rsid w:val="00223789"/>
    <w:rsid w:val="00224477"/>
    <w:rsid w:val="002245AB"/>
    <w:rsid w:val="0022545D"/>
    <w:rsid w:val="002256D2"/>
    <w:rsid w:val="00225B09"/>
    <w:rsid w:val="00225DC8"/>
    <w:rsid w:val="00226968"/>
    <w:rsid w:val="00226D90"/>
    <w:rsid w:val="00227F6F"/>
    <w:rsid w:val="002303C7"/>
    <w:rsid w:val="002304E2"/>
    <w:rsid w:val="00230E10"/>
    <w:rsid w:val="00231008"/>
    <w:rsid w:val="00231EAE"/>
    <w:rsid w:val="00232498"/>
    <w:rsid w:val="00232814"/>
    <w:rsid w:val="00232BE8"/>
    <w:rsid w:val="00233E34"/>
    <w:rsid w:val="00234326"/>
    <w:rsid w:val="00235958"/>
    <w:rsid w:val="00236C12"/>
    <w:rsid w:val="0024077D"/>
    <w:rsid w:val="002414D7"/>
    <w:rsid w:val="00241E45"/>
    <w:rsid w:val="002429D0"/>
    <w:rsid w:val="00243202"/>
    <w:rsid w:val="00243476"/>
    <w:rsid w:val="0024354F"/>
    <w:rsid w:val="00243579"/>
    <w:rsid w:val="00243C97"/>
    <w:rsid w:val="00244A6E"/>
    <w:rsid w:val="00244BC7"/>
    <w:rsid w:val="00244C77"/>
    <w:rsid w:val="00244FEE"/>
    <w:rsid w:val="002458C3"/>
    <w:rsid w:val="00246735"/>
    <w:rsid w:val="002467B0"/>
    <w:rsid w:val="002469BC"/>
    <w:rsid w:val="00246BCA"/>
    <w:rsid w:val="00247BF7"/>
    <w:rsid w:val="002522C1"/>
    <w:rsid w:val="00252E9D"/>
    <w:rsid w:val="002535AB"/>
    <w:rsid w:val="002535E7"/>
    <w:rsid w:val="002536D4"/>
    <w:rsid w:val="00253E22"/>
    <w:rsid w:val="0025451A"/>
    <w:rsid w:val="00254F5B"/>
    <w:rsid w:val="002551F0"/>
    <w:rsid w:val="00255427"/>
    <w:rsid w:val="00255D82"/>
    <w:rsid w:val="0025618A"/>
    <w:rsid w:val="002567AE"/>
    <w:rsid w:val="00257225"/>
    <w:rsid w:val="00257494"/>
    <w:rsid w:val="00257F37"/>
    <w:rsid w:val="00260491"/>
    <w:rsid w:val="00260637"/>
    <w:rsid w:val="0026173F"/>
    <w:rsid w:val="0026239A"/>
    <w:rsid w:val="00262BE8"/>
    <w:rsid w:val="00262C89"/>
    <w:rsid w:val="0026340B"/>
    <w:rsid w:val="00263C50"/>
    <w:rsid w:val="002646E5"/>
    <w:rsid w:val="00264D7C"/>
    <w:rsid w:val="00264E69"/>
    <w:rsid w:val="0026526E"/>
    <w:rsid w:val="00265506"/>
    <w:rsid w:val="00266197"/>
    <w:rsid w:val="00266AD7"/>
    <w:rsid w:val="00266EA9"/>
    <w:rsid w:val="00267554"/>
    <w:rsid w:val="0026755F"/>
    <w:rsid w:val="002677F1"/>
    <w:rsid w:val="0027097D"/>
    <w:rsid w:val="00271129"/>
    <w:rsid w:val="00271609"/>
    <w:rsid w:val="00271D34"/>
    <w:rsid w:val="00272111"/>
    <w:rsid w:val="0027278D"/>
    <w:rsid w:val="00272C98"/>
    <w:rsid w:val="0027302F"/>
    <w:rsid w:val="00273139"/>
    <w:rsid w:val="002733F1"/>
    <w:rsid w:val="002735B2"/>
    <w:rsid w:val="00273DB7"/>
    <w:rsid w:val="00274590"/>
    <w:rsid w:val="0027574F"/>
    <w:rsid w:val="00276417"/>
    <w:rsid w:val="00276939"/>
    <w:rsid w:val="002776E5"/>
    <w:rsid w:val="0027774D"/>
    <w:rsid w:val="00280053"/>
    <w:rsid w:val="00280419"/>
    <w:rsid w:val="00281777"/>
    <w:rsid w:val="00282461"/>
    <w:rsid w:val="00283786"/>
    <w:rsid w:val="002839AA"/>
    <w:rsid w:val="00283D42"/>
    <w:rsid w:val="00284145"/>
    <w:rsid w:val="00284534"/>
    <w:rsid w:val="00284C03"/>
    <w:rsid w:val="0028530B"/>
    <w:rsid w:val="002856B9"/>
    <w:rsid w:val="00285C23"/>
    <w:rsid w:val="00285F90"/>
    <w:rsid w:val="00286732"/>
    <w:rsid w:val="002872BE"/>
    <w:rsid w:val="00287884"/>
    <w:rsid w:val="00287D95"/>
    <w:rsid w:val="002905F8"/>
    <w:rsid w:val="00290847"/>
    <w:rsid w:val="002915E9"/>
    <w:rsid w:val="0029195F"/>
    <w:rsid w:val="002920D8"/>
    <w:rsid w:val="00292ADE"/>
    <w:rsid w:val="0029348C"/>
    <w:rsid w:val="00293D0F"/>
    <w:rsid w:val="00294408"/>
    <w:rsid w:val="00294DE8"/>
    <w:rsid w:val="002957A2"/>
    <w:rsid w:val="00295AAF"/>
    <w:rsid w:val="00295BF8"/>
    <w:rsid w:val="00295BFB"/>
    <w:rsid w:val="00295EFB"/>
    <w:rsid w:val="00296231"/>
    <w:rsid w:val="0029658E"/>
    <w:rsid w:val="002967FD"/>
    <w:rsid w:val="002967FE"/>
    <w:rsid w:val="00296B7B"/>
    <w:rsid w:val="00296BBB"/>
    <w:rsid w:val="00297DE6"/>
    <w:rsid w:val="00297FCF"/>
    <w:rsid w:val="002A002C"/>
    <w:rsid w:val="002A00AC"/>
    <w:rsid w:val="002A0164"/>
    <w:rsid w:val="002A01E3"/>
    <w:rsid w:val="002A1A17"/>
    <w:rsid w:val="002A1D23"/>
    <w:rsid w:val="002A28EF"/>
    <w:rsid w:val="002A2D0D"/>
    <w:rsid w:val="002A31EB"/>
    <w:rsid w:val="002A42BE"/>
    <w:rsid w:val="002A4882"/>
    <w:rsid w:val="002A4D62"/>
    <w:rsid w:val="002A5537"/>
    <w:rsid w:val="002A5895"/>
    <w:rsid w:val="002A6A89"/>
    <w:rsid w:val="002A6C6A"/>
    <w:rsid w:val="002A7144"/>
    <w:rsid w:val="002A79B0"/>
    <w:rsid w:val="002B0B76"/>
    <w:rsid w:val="002B0CE9"/>
    <w:rsid w:val="002B115A"/>
    <w:rsid w:val="002B19B1"/>
    <w:rsid w:val="002B19DF"/>
    <w:rsid w:val="002B1EBC"/>
    <w:rsid w:val="002B2650"/>
    <w:rsid w:val="002B4F56"/>
    <w:rsid w:val="002B4FD2"/>
    <w:rsid w:val="002B58B8"/>
    <w:rsid w:val="002B59D7"/>
    <w:rsid w:val="002B6490"/>
    <w:rsid w:val="002B6825"/>
    <w:rsid w:val="002B6ABF"/>
    <w:rsid w:val="002B7567"/>
    <w:rsid w:val="002C09AE"/>
    <w:rsid w:val="002C1966"/>
    <w:rsid w:val="002C2A96"/>
    <w:rsid w:val="002C406A"/>
    <w:rsid w:val="002C4A51"/>
    <w:rsid w:val="002C5753"/>
    <w:rsid w:val="002C654E"/>
    <w:rsid w:val="002C6AE9"/>
    <w:rsid w:val="002C736E"/>
    <w:rsid w:val="002D0B9F"/>
    <w:rsid w:val="002D0C0F"/>
    <w:rsid w:val="002D21A6"/>
    <w:rsid w:val="002D25A2"/>
    <w:rsid w:val="002D32E8"/>
    <w:rsid w:val="002D3E0D"/>
    <w:rsid w:val="002D3E6B"/>
    <w:rsid w:val="002D497A"/>
    <w:rsid w:val="002D498E"/>
    <w:rsid w:val="002D4D63"/>
    <w:rsid w:val="002D4D6B"/>
    <w:rsid w:val="002D6724"/>
    <w:rsid w:val="002D67CE"/>
    <w:rsid w:val="002D6B21"/>
    <w:rsid w:val="002D6E74"/>
    <w:rsid w:val="002D760F"/>
    <w:rsid w:val="002D7751"/>
    <w:rsid w:val="002D7B92"/>
    <w:rsid w:val="002D7FD8"/>
    <w:rsid w:val="002E03D2"/>
    <w:rsid w:val="002E0541"/>
    <w:rsid w:val="002E057B"/>
    <w:rsid w:val="002E0E3F"/>
    <w:rsid w:val="002E1C38"/>
    <w:rsid w:val="002E2804"/>
    <w:rsid w:val="002E2EEC"/>
    <w:rsid w:val="002E3266"/>
    <w:rsid w:val="002E37B0"/>
    <w:rsid w:val="002E3CE7"/>
    <w:rsid w:val="002E3EFD"/>
    <w:rsid w:val="002E4090"/>
    <w:rsid w:val="002E4490"/>
    <w:rsid w:val="002E44B0"/>
    <w:rsid w:val="002E483A"/>
    <w:rsid w:val="002E4B64"/>
    <w:rsid w:val="002E4E2C"/>
    <w:rsid w:val="002E55B7"/>
    <w:rsid w:val="002E5906"/>
    <w:rsid w:val="002E6085"/>
    <w:rsid w:val="002E6775"/>
    <w:rsid w:val="002E681B"/>
    <w:rsid w:val="002F0DAC"/>
    <w:rsid w:val="002F21BA"/>
    <w:rsid w:val="002F2C91"/>
    <w:rsid w:val="002F34C1"/>
    <w:rsid w:val="002F3CB2"/>
    <w:rsid w:val="002F3E13"/>
    <w:rsid w:val="002F4153"/>
    <w:rsid w:val="002F4363"/>
    <w:rsid w:val="002F47A8"/>
    <w:rsid w:val="002F4B3F"/>
    <w:rsid w:val="002F4D82"/>
    <w:rsid w:val="002F5291"/>
    <w:rsid w:val="002F54D4"/>
    <w:rsid w:val="002F62DA"/>
    <w:rsid w:val="002F6500"/>
    <w:rsid w:val="002F6B43"/>
    <w:rsid w:val="002F6D8C"/>
    <w:rsid w:val="002F7388"/>
    <w:rsid w:val="002F7481"/>
    <w:rsid w:val="002F7547"/>
    <w:rsid w:val="002F760E"/>
    <w:rsid w:val="002F7D6C"/>
    <w:rsid w:val="003008BB"/>
    <w:rsid w:val="00300A25"/>
    <w:rsid w:val="003011EE"/>
    <w:rsid w:val="003015CC"/>
    <w:rsid w:val="00301930"/>
    <w:rsid w:val="00301A2D"/>
    <w:rsid w:val="00301FF8"/>
    <w:rsid w:val="00302428"/>
    <w:rsid w:val="003028F5"/>
    <w:rsid w:val="00302B9D"/>
    <w:rsid w:val="00303B48"/>
    <w:rsid w:val="0030404A"/>
    <w:rsid w:val="0030467C"/>
    <w:rsid w:val="00305674"/>
    <w:rsid w:val="003059D7"/>
    <w:rsid w:val="00306553"/>
    <w:rsid w:val="00306891"/>
    <w:rsid w:val="00306D4A"/>
    <w:rsid w:val="00306F4A"/>
    <w:rsid w:val="003076F4"/>
    <w:rsid w:val="00307B30"/>
    <w:rsid w:val="00307CF3"/>
    <w:rsid w:val="00310E26"/>
    <w:rsid w:val="00310F35"/>
    <w:rsid w:val="003112AE"/>
    <w:rsid w:val="00311340"/>
    <w:rsid w:val="00311E99"/>
    <w:rsid w:val="003128C2"/>
    <w:rsid w:val="00312DEC"/>
    <w:rsid w:val="003134A5"/>
    <w:rsid w:val="00313A33"/>
    <w:rsid w:val="00314621"/>
    <w:rsid w:val="0031467F"/>
    <w:rsid w:val="0031496B"/>
    <w:rsid w:val="00314989"/>
    <w:rsid w:val="0031498B"/>
    <w:rsid w:val="00315521"/>
    <w:rsid w:val="003155E9"/>
    <w:rsid w:val="00315BC5"/>
    <w:rsid w:val="00316967"/>
    <w:rsid w:val="003169D1"/>
    <w:rsid w:val="00317022"/>
    <w:rsid w:val="003173D1"/>
    <w:rsid w:val="00317FD7"/>
    <w:rsid w:val="00320277"/>
    <w:rsid w:val="00320FDC"/>
    <w:rsid w:val="003219B8"/>
    <w:rsid w:val="00321A06"/>
    <w:rsid w:val="00321DC2"/>
    <w:rsid w:val="00322051"/>
    <w:rsid w:val="00322429"/>
    <w:rsid w:val="003239A8"/>
    <w:rsid w:val="00323D16"/>
    <w:rsid w:val="0032409E"/>
    <w:rsid w:val="00324518"/>
    <w:rsid w:val="0032452F"/>
    <w:rsid w:val="00324612"/>
    <w:rsid w:val="0032466A"/>
    <w:rsid w:val="0032513B"/>
    <w:rsid w:val="00325D29"/>
    <w:rsid w:val="00325E94"/>
    <w:rsid w:val="003261CF"/>
    <w:rsid w:val="00326CD2"/>
    <w:rsid w:val="003273AD"/>
    <w:rsid w:val="00327806"/>
    <w:rsid w:val="00327979"/>
    <w:rsid w:val="00327B53"/>
    <w:rsid w:val="00330B86"/>
    <w:rsid w:val="00330CCD"/>
    <w:rsid w:val="003310DA"/>
    <w:rsid w:val="00331720"/>
    <w:rsid w:val="00331853"/>
    <w:rsid w:val="00331CEE"/>
    <w:rsid w:val="00332445"/>
    <w:rsid w:val="00332BDA"/>
    <w:rsid w:val="00333B02"/>
    <w:rsid w:val="00333C2E"/>
    <w:rsid w:val="00333DB1"/>
    <w:rsid w:val="0033433F"/>
    <w:rsid w:val="00335663"/>
    <w:rsid w:val="00335929"/>
    <w:rsid w:val="00335B18"/>
    <w:rsid w:val="00336403"/>
    <w:rsid w:val="00336EAE"/>
    <w:rsid w:val="00336FF7"/>
    <w:rsid w:val="00337CDE"/>
    <w:rsid w:val="00340785"/>
    <w:rsid w:val="00340C0E"/>
    <w:rsid w:val="00341586"/>
    <w:rsid w:val="003416A9"/>
    <w:rsid w:val="00341D50"/>
    <w:rsid w:val="00341F1D"/>
    <w:rsid w:val="003438A8"/>
    <w:rsid w:val="00346008"/>
    <w:rsid w:val="00347116"/>
    <w:rsid w:val="003478B3"/>
    <w:rsid w:val="00350065"/>
    <w:rsid w:val="00350C09"/>
    <w:rsid w:val="003513E8"/>
    <w:rsid w:val="0035287B"/>
    <w:rsid w:val="0035289B"/>
    <w:rsid w:val="00353734"/>
    <w:rsid w:val="0035382B"/>
    <w:rsid w:val="00353F19"/>
    <w:rsid w:val="003541F9"/>
    <w:rsid w:val="003542DE"/>
    <w:rsid w:val="0035483B"/>
    <w:rsid w:val="00354C85"/>
    <w:rsid w:val="0035575C"/>
    <w:rsid w:val="003557A1"/>
    <w:rsid w:val="00355F70"/>
    <w:rsid w:val="003563D6"/>
    <w:rsid w:val="0035667C"/>
    <w:rsid w:val="003566EB"/>
    <w:rsid w:val="003568BA"/>
    <w:rsid w:val="00356DC1"/>
    <w:rsid w:val="00357524"/>
    <w:rsid w:val="00357E23"/>
    <w:rsid w:val="00360A83"/>
    <w:rsid w:val="00360FAD"/>
    <w:rsid w:val="00361462"/>
    <w:rsid w:val="003615CA"/>
    <w:rsid w:val="00361ABE"/>
    <w:rsid w:val="00362AD7"/>
    <w:rsid w:val="00362EB6"/>
    <w:rsid w:val="00363746"/>
    <w:rsid w:val="003641B1"/>
    <w:rsid w:val="00364B7A"/>
    <w:rsid w:val="00364C92"/>
    <w:rsid w:val="00364D6F"/>
    <w:rsid w:val="0036563D"/>
    <w:rsid w:val="003656D0"/>
    <w:rsid w:val="003657E9"/>
    <w:rsid w:val="00365918"/>
    <w:rsid w:val="00365EEA"/>
    <w:rsid w:val="00366117"/>
    <w:rsid w:val="0036656D"/>
    <w:rsid w:val="00366CF1"/>
    <w:rsid w:val="0036720D"/>
    <w:rsid w:val="0036727D"/>
    <w:rsid w:val="003673DB"/>
    <w:rsid w:val="00367E73"/>
    <w:rsid w:val="003713F0"/>
    <w:rsid w:val="00371919"/>
    <w:rsid w:val="00372583"/>
    <w:rsid w:val="00373CD1"/>
    <w:rsid w:val="00374B25"/>
    <w:rsid w:val="00374B3C"/>
    <w:rsid w:val="0037563B"/>
    <w:rsid w:val="003758D9"/>
    <w:rsid w:val="003770E8"/>
    <w:rsid w:val="00377E71"/>
    <w:rsid w:val="0038042C"/>
    <w:rsid w:val="00381D1E"/>
    <w:rsid w:val="00381E28"/>
    <w:rsid w:val="003829BD"/>
    <w:rsid w:val="00382E9B"/>
    <w:rsid w:val="00382EF8"/>
    <w:rsid w:val="00383CF0"/>
    <w:rsid w:val="0038433E"/>
    <w:rsid w:val="00384865"/>
    <w:rsid w:val="00384BF7"/>
    <w:rsid w:val="00384CCA"/>
    <w:rsid w:val="00384E7B"/>
    <w:rsid w:val="00385274"/>
    <w:rsid w:val="003856F5"/>
    <w:rsid w:val="003857FC"/>
    <w:rsid w:val="00385D52"/>
    <w:rsid w:val="00385D84"/>
    <w:rsid w:val="003866C1"/>
    <w:rsid w:val="003878C4"/>
    <w:rsid w:val="0039062F"/>
    <w:rsid w:val="00390F73"/>
    <w:rsid w:val="003912AE"/>
    <w:rsid w:val="00391A41"/>
    <w:rsid w:val="00391B65"/>
    <w:rsid w:val="00391B71"/>
    <w:rsid w:val="00391BD5"/>
    <w:rsid w:val="00392376"/>
    <w:rsid w:val="0039284A"/>
    <w:rsid w:val="0039465D"/>
    <w:rsid w:val="0039579C"/>
    <w:rsid w:val="003957A6"/>
    <w:rsid w:val="00395C8C"/>
    <w:rsid w:val="00395D5E"/>
    <w:rsid w:val="0039671B"/>
    <w:rsid w:val="00396B19"/>
    <w:rsid w:val="00397242"/>
    <w:rsid w:val="00397D93"/>
    <w:rsid w:val="003A0590"/>
    <w:rsid w:val="003A0850"/>
    <w:rsid w:val="003A0E09"/>
    <w:rsid w:val="003A0FDE"/>
    <w:rsid w:val="003A185A"/>
    <w:rsid w:val="003A1C1D"/>
    <w:rsid w:val="003A28A8"/>
    <w:rsid w:val="003A28F4"/>
    <w:rsid w:val="003A33BB"/>
    <w:rsid w:val="003A368A"/>
    <w:rsid w:val="003A38EE"/>
    <w:rsid w:val="003A469E"/>
    <w:rsid w:val="003A5159"/>
    <w:rsid w:val="003A5BD2"/>
    <w:rsid w:val="003A5F2C"/>
    <w:rsid w:val="003A64F4"/>
    <w:rsid w:val="003A65B7"/>
    <w:rsid w:val="003A6899"/>
    <w:rsid w:val="003A6E49"/>
    <w:rsid w:val="003A729D"/>
    <w:rsid w:val="003A7670"/>
    <w:rsid w:val="003B1A5D"/>
    <w:rsid w:val="003B2031"/>
    <w:rsid w:val="003B22E3"/>
    <w:rsid w:val="003B25BA"/>
    <w:rsid w:val="003B2791"/>
    <w:rsid w:val="003B2BFC"/>
    <w:rsid w:val="003B31D8"/>
    <w:rsid w:val="003B34F3"/>
    <w:rsid w:val="003B4556"/>
    <w:rsid w:val="003B477C"/>
    <w:rsid w:val="003B48EE"/>
    <w:rsid w:val="003B4F01"/>
    <w:rsid w:val="003B529B"/>
    <w:rsid w:val="003B592E"/>
    <w:rsid w:val="003B5A87"/>
    <w:rsid w:val="003B63BF"/>
    <w:rsid w:val="003B645F"/>
    <w:rsid w:val="003B6713"/>
    <w:rsid w:val="003B6A34"/>
    <w:rsid w:val="003B77DA"/>
    <w:rsid w:val="003B7AAE"/>
    <w:rsid w:val="003B7ACA"/>
    <w:rsid w:val="003B7D5C"/>
    <w:rsid w:val="003B7DEA"/>
    <w:rsid w:val="003C0E10"/>
    <w:rsid w:val="003C0FDA"/>
    <w:rsid w:val="003C1243"/>
    <w:rsid w:val="003C1F97"/>
    <w:rsid w:val="003C209E"/>
    <w:rsid w:val="003C2577"/>
    <w:rsid w:val="003C2593"/>
    <w:rsid w:val="003C312A"/>
    <w:rsid w:val="003C3898"/>
    <w:rsid w:val="003C4870"/>
    <w:rsid w:val="003C4B3F"/>
    <w:rsid w:val="003C4B69"/>
    <w:rsid w:val="003C4F08"/>
    <w:rsid w:val="003C61E2"/>
    <w:rsid w:val="003C62B1"/>
    <w:rsid w:val="003C62C3"/>
    <w:rsid w:val="003C692A"/>
    <w:rsid w:val="003C6965"/>
    <w:rsid w:val="003C6C48"/>
    <w:rsid w:val="003C752E"/>
    <w:rsid w:val="003C7A2D"/>
    <w:rsid w:val="003D087F"/>
    <w:rsid w:val="003D0A81"/>
    <w:rsid w:val="003D0D0C"/>
    <w:rsid w:val="003D107C"/>
    <w:rsid w:val="003D1B85"/>
    <w:rsid w:val="003D2121"/>
    <w:rsid w:val="003D219C"/>
    <w:rsid w:val="003D2868"/>
    <w:rsid w:val="003D2B8D"/>
    <w:rsid w:val="003D2EE8"/>
    <w:rsid w:val="003D35FC"/>
    <w:rsid w:val="003D3BF3"/>
    <w:rsid w:val="003D3C64"/>
    <w:rsid w:val="003D3FB5"/>
    <w:rsid w:val="003D5551"/>
    <w:rsid w:val="003D710C"/>
    <w:rsid w:val="003E0331"/>
    <w:rsid w:val="003E0E9A"/>
    <w:rsid w:val="003E1279"/>
    <w:rsid w:val="003E134B"/>
    <w:rsid w:val="003E1EE2"/>
    <w:rsid w:val="003E41BD"/>
    <w:rsid w:val="003E4BD9"/>
    <w:rsid w:val="003E4C12"/>
    <w:rsid w:val="003E682C"/>
    <w:rsid w:val="003E6991"/>
    <w:rsid w:val="003E6FE4"/>
    <w:rsid w:val="003E727E"/>
    <w:rsid w:val="003E7500"/>
    <w:rsid w:val="003E7BC7"/>
    <w:rsid w:val="003E7E8D"/>
    <w:rsid w:val="003F0109"/>
    <w:rsid w:val="003F08A3"/>
    <w:rsid w:val="003F09BA"/>
    <w:rsid w:val="003F0C97"/>
    <w:rsid w:val="003F18BD"/>
    <w:rsid w:val="003F18F8"/>
    <w:rsid w:val="003F1E3F"/>
    <w:rsid w:val="003F2317"/>
    <w:rsid w:val="003F2A95"/>
    <w:rsid w:val="003F312A"/>
    <w:rsid w:val="003F4E9F"/>
    <w:rsid w:val="003F616F"/>
    <w:rsid w:val="003F64F1"/>
    <w:rsid w:val="003F6B42"/>
    <w:rsid w:val="003F7011"/>
    <w:rsid w:val="003F7293"/>
    <w:rsid w:val="003F7477"/>
    <w:rsid w:val="003F752C"/>
    <w:rsid w:val="003F7666"/>
    <w:rsid w:val="004007A5"/>
    <w:rsid w:val="00401BBA"/>
    <w:rsid w:val="00401F67"/>
    <w:rsid w:val="00402DAE"/>
    <w:rsid w:val="00402FA2"/>
    <w:rsid w:val="0040391D"/>
    <w:rsid w:val="004044D9"/>
    <w:rsid w:val="00405225"/>
    <w:rsid w:val="00405361"/>
    <w:rsid w:val="004055A7"/>
    <w:rsid w:val="0040645F"/>
    <w:rsid w:val="00406782"/>
    <w:rsid w:val="00406A88"/>
    <w:rsid w:val="00406C29"/>
    <w:rsid w:val="004075DA"/>
    <w:rsid w:val="00407B32"/>
    <w:rsid w:val="004108DC"/>
    <w:rsid w:val="00411812"/>
    <w:rsid w:val="00411815"/>
    <w:rsid w:val="00412F49"/>
    <w:rsid w:val="00413050"/>
    <w:rsid w:val="004136DC"/>
    <w:rsid w:val="004136DF"/>
    <w:rsid w:val="00413B15"/>
    <w:rsid w:val="00414C5C"/>
    <w:rsid w:val="00415B0C"/>
    <w:rsid w:val="00416060"/>
    <w:rsid w:val="004164CA"/>
    <w:rsid w:val="004168C6"/>
    <w:rsid w:val="00416F4B"/>
    <w:rsid w:val="004175EE"/>
    <w:rsid w:val="004177C8"/>
    <w:rsid w:val="004177D6"/>
    <w:rsid w:val="00417A74"/>
    <w:rsid w:val="00417E55"/>
    <w:rsid w:val="00420CDC"/>
    <w:rsid w:val="00421AA6"/>
    <w:rsid w:val="00421D65"/>
    <w:rsid w:val="004229EF"/>
    <w:rsid w:val="00423B17"/>
    <w:rsid w:val="00424097"/>
    <w:rsid w:val="004242AF"/>
    <w:rsid w:val="00424860"/>
    <w:rsid w:val="00424CA9"/>
    <w:rsid w:val="00425194"/>
    <w:rsid w:val="004253D9"/>
    <w:rsid w:val="00425DE7"/>
    <w:rsid w:val="00425FB9"/>
    <w:rsid w:val="00426A18"/>
    <w:rsid w:val="00426B5F"/>
    <w:rsid w:val="00426EBC"/>
    <w:rsid w:val="00430310"/>
    <w:rsid w:val="004305BD"/>
    <w:rsid w:val="004314F0"/>
    <w:rsid w:val="00432067"/>
    <w:rsid w:val="004324EC"/>
    <w:rsid w:val="004327CF"/>
    <w:rsid w:val="00432ACF"/>
    <w:rsid w:val="00432D6D"/>
    <w:rsid w:val="00433080"/>
    <w:rsid w:val="004332F9"/>
    <w:rsid w:val="0043388E"/>
    <w:rsid w:val="004342AC"/>
    <w:rsid w:val="004345D9"/>
    <w:rsid w:val="00434E81"/>
    <w:rsid w:val="00435B19"/>
    <w:rsid w:val="00435B47"/>
    <w:rsid w:val="00435BB7"/>
    <w:rsid w:val="004362AE"/>
    <w:rsid w:val="00436516"/>
    <w:rsid w:val="004369D6"/>
    <w:rsid w:val="004376BF"/>
    <w:rsid w:val="00437972"/>
    <w:rsid w:val="004379B8"/>
    <w:rsid w:val="00437B7D"/>
    <w:rsid w:val="0044087D"/>
    <w:rsid w:val="00440CFF"/>
    <w:rsid w:val="004411E7"/>
    <w:rsid w:val="004417A8"/>
    <w:rsid w:val="00441AD4"/>
    <w:rsid w:val="004420E1"/>
    <w:rsid w:val="0044276E"/>
    <w:rsid w:val="004428C2"/>
    <w:rsid w:val="00442BEC"/>
    <w:rsid w:val="00442CEC"/>
    <w:rsid w:val="00442D62"/>
    <w:rsid w:val="004436F3"/>
    <w:rsid w:val="00443B88"/>
    <w:rsid w:val="00443C7C"/>
    <w:rsid w:val="004447C9"/>
    <w:rsid w:val="00444CB3"/>
    <w:rsid w:val="004453E3"/>
    <w:rsid w:val="00445D91"/>
    <w:rsid w:val="00446B05"/>
    <w:rsid w:val="00450463"/>
    <w:rsid w:val="00451C03"/>
    <w:rsid w:val="00451FE9"/>
    <w:rsid w:val="004522DB"/>
    <w:rsid w:val="004525EF"/>
    <w:rsid w:val="004528A0"/>
    <w:rsid w:val="00453476"/>
    <w:rsid w:val="00455F69"/>
    <w:rsid w:val="004565E5"/>
    <w:rsid w:val="00456845"/>
    <w:rsid w:val="00456CED"/>
    <w:rsid w:val="00457737"/>
    <w:rsid w:val="00457A80"/>
    <w:rsid w:val="00457F31"/>
    <w:rsid w:val="00460056"/>
    <w:rsid w:val="00460D6A"/>
    <w:rsid w:val="00460FC3"/>
    <w:rsid w:val="00460FE2"/>
    <w:rsid w:val="004610E5"/>
    <w:rsid w:val="00461201"/>
    <w:rsid w:val="0046188F"/>
    <w:rsid w:val="00461A51"/>
    <w:rsid w:val="00461ADF"/>
    <w:rsid w:val="00462FB4"/>
    <w:rsid w:val="004648B1"/>
    <w:rsid w:val="004655C2"/>
    <w:rsid w:val="00465843"/>
    <w:rsid w:val="004658A8"/>
    <w:rsid w:val="00465B7B"/>
    <w:rsid w:val="0046640D"/>
    <w:rsid w:val="00466456"/>
    <w:rsid w:val="0046740E"/>
    <w:rsid w:val="0047093B"/>
    <w:rsid w:val="00471464"/>
    <w:rsid w:val="00473E1C"/>
    <w:rsid w:val="004748A3"/>
    <w:rsid w:val="00474A63"/>
    <w:rsid w:val="00474D56"/>
    <w:rsid w:val="004751C1"/>
    <w:rsid w:val="00475860"/>
    <w:rsid w:val="0047601B"/>
    <w:rsid w:val="00476562"/>
    <w:rsid w:val="00476CC0"/>
    <w:rsid w:val="00477419"/>
    <w:rsid w:val="00477E2A"/>
    <w:rsid w:val="00480B80"/>
    <w:rsid w:val="004810C7"/>
    <w:rsid w:val="00481511"/>
    <w:rsid w:val="004815F1"/>
    <w:rsid w:val="00481F40"/>
    <w:rsid w:val="0048240B"/>
    <w:rsid w:val="0048242D"/>
    <w:rsid w:val="00483B72"/>
    <w:rsid w:val="00483E19"/>
    <w:rsid w:val="00483F3A"/>
    <w:rsid w:val="004845BE"/>
    <w:rsid w:val="004847CC"/>
    <w:rsid w:val="0048502F"/>
    <w:rsid w:val="004859D1"/>
    <w:rsid w:val="004860FB"/>
    <w:rsid w:val="00486586"/>
    <w:rsid w:val="00486679"/>
    <w:rsid w:val="004869C7"/>
    <w:rsid w:val="0048712B"/>
    <w:rsid w:val="004872AA"/>
    <w:rsid w:val="004872CB"/>
    <w:rsid w:val="00487833"/>
    <w:rsid w:val="00487A14"/>
    <w:rsid w:val="00487CCF"/>
    <w:rsid w:val="0049014C"/>
    <w:rsid w:val="00490577"/>
    <w:rsid w:val="00490691"/>
    <w:rsid w:val="00490906"/>
    <w:rsid w:val="0049094C"/>
    <w:rsid w:val="00491050"/>
    <w:rsid w:val="004918F3"/>
    <w:rsid w:val="00491A3B"/>
    <w:rsid w:val="004928DA"/>
    <w:rsid w:val="0049443E"/>
    <w:rsid w:val="0049496D"/>
    <w:rsid w:val="00494F1A"/>
    <w:rsid w:val="0049568A"/>
    <w:rsid w:val="00495BA7"/>
    <w:rsid w:val="004961CE"/>
    <w:rsid w:val="0049627A"/>
    <w:rsid w:val="0049633F"/>
    <w:rsid w:val="00496367"/>
    <w:rsid w:val="00497E53"/>
    <w:rsid w:val="004A08B7"/>
    <w:rsid w:val="004A0CFA"/>
    <w:rsid w:val="004A0F81"/>
    <w:rsid w:val="004A1234"/>
    <w:rsid w:val="004A1381"/>
    <w:rsid w:val="004A193D"/>
    <w:rsid w:val="004A220C"/>
    <w:rsid w:val="004A22ED"/>
    <w:rsid w:val="004A240F"/>
    <w:rsid w:val="004A2685"/>
    <w:rsid w:val="004A2B98"/>
    <w:rsid w:val="004A355E"/>
    <w:rsid w:val="004A36EA"/>
    <w:rsid w:val="004A37C6"/>
    <w:rsid w:val="004A3E71"/>
    <w:rsid w:val="004A4166"/>
    <w:rsid w:val="004A4299"/>
    <w:rsid w:val="004A429E"/>
    <w:rsid w:val="004A45B3"/>
    <w:rsid w:val="004A4B70"/>
    <w:rsid w:val="004A4BB1"/>
    <w:rsid w:val="004A4E13"/>
    <w:rsid w:val="004A55BB"/>
    <w:rsid w:val="004A67C8"/>
    <w:rsid w:val="004A6FA0"/>
    <w:rsid w:val="004A7A03"/>
    <w:rsid w:val="004B10E0"/>
    <w:rsid w:val="004B2078"/>
    <w:rsid w:val="004B2FBE"/>
    <w:rsid w:val="004B32B5"/>
    <w:rsid w:val="004B3B54"/>
    <w:rsid w:val="004B3D54"/>
    <w:rsid w:val="004B3D9B"/>
    <w:rsid w:val="004B3F2B"/>
    <w:rsid w:val="004B4C25"/>
    <w:rsid w:val="004B4DB5"/>
    <w:rsid w:val="004B535A"/>
    <w:rsid w:val="004B5A70"/>
    <w:rsid w:val="004B5AC2"/>
    <w:rsid w:val="004B5E6E"/>
    <w:rsid w:val="004B618C"/>
    <w:rsid w:val="004B6BF8"/>
    <w:rsid w:val="004B6D1F"/>
    <w:rsid w:val="004B6FDB"/>
    <w:rsid w:val="004B79E5"/>
    <w:rsid w:val="004B7BF0"/>
    <w:rsid w:val="004B7FD7"/>
    <w:rsid w:val="004C052A"/>
    <w:rsid w:val="004C0F6D"/>
    <w:rsid w:val="004C1EE7"/>
    <w:rsid w:val="004C2117"/>
    <w:rsid w:val="004C2ED4"/>
    <w:rsid w:val="004C2EDE"/>
    <w:rsid w:val="004C392E"/>
    <w:rsid w:val="004C3BA4"/>
    <w:rsid w:val="004C3F19"/>
    <w:rsid w:val="004C3FE5"/>
    <w:rsid w:val="004C5604"/>
    <w:rsid w:val="004C5E64"/>
    <w:rsid w:val="004C5ED1"/>
    <w:rsid w:val="004C69B7"/>
    <w:rsid w:val="004C6B7E"/>
    <w:rsid w:val="004C7279"/>
    <w:rsid w:val="004D07EB"/>
    <w:rsid w:val="004D0B7C"/>
    <w:rsid w:val="004D0BD7"/>
    <w:rsid w:val="004D1CDE"/>
    <w:rsid w:val="004D2232"/>
    <w:rsid w:val="004D2984"/>
    <w:rsid w:val="004D2EBF"/>
    <w:rsid w:val="004D37E3"/>
    <w:rsid w:val="004D3D98"/>
    <w:rsid w:val="004D3DE9"/>
    <w:rsid w:val="004D4C3B"/>
    <w:rsid w:val="004D4E4B"/>
    <w:rsid w:val="004D5608"/>
    <w:rsid w:val="004D5638"/>
    <w:rsid w:val="004D5B6E"/>
    <w:rsid w:val="004D5D9B"/>
    <w:rsid w:val="004D778E"/>
    <w:rsid w:val="004D7CE5"/>
    <w:rsid w:val="004D7FB2"/>
    <w:rsid w:val="004E01A1"/>
    <w:rsid w:val="004E0625"/>
    <w:rsid w:val="004E1A32"/>
    <w:rsid w:val="004E1CF6"/>
    <w:rsid w:val="004E1EB4"/>
    <w:rsid w:val="004E1FD5"/>
    <w:rsid w:val="004E2254"/>
    <w:rsid w:val="004E2AD4"/>
    <w:rsid w:val="004E3CA7"/>
    <w:rsid w:val="004E5108"/>
    <w:rsid w:val="004E5DA9"/>
    <w:rsid w:val="004E6353"/>
    <w:rsid w:val="004E63C8"/>
    <w:rsid w:val="004E67B3"/>
    <w:rsid w:val="004E6C1D"/>
    <w:rsid w:val="004E6C88"/>
    <w:rsid w:val="004E6FFE"/>
    <w:rsid w:val="004E7576"/>
    <w:rsid w:val="004F0610"/>
    <w:rsid w:val="004F103B"/>
    <w:rsid w:val="004F10EA"/>
    <w:rsid w:val="004F1233"/>
    <w:rsid w:val="004F1606"/>
    <w:rsid w:val="004F1CBC"/>
    <w:rsid w:val="004F2A90"/>
    <w:rsid w:val="004F36EF"/>
    <w:rsid w:val="004F5B5E"/>
    <w:rsid w:val="004F5D53"/>
    <w:rsid w:val="004F5FFE"/>
    <w:rsid w:val="004F7BB1"/>
    <w:rsid w:val="00500795"/>
    <w:rsid w:val="00500A0A"/>
    <w:rsid w:val="00500A16"/>
    <w:rsid w:val="00501BC7"/>
    <w:rsid w:val="00502751"/>
    <w:rsid w:val="0050371E"/>
    <w:rsid w:val="0050397E"/>
    <w:rsid w:val="0050455E"/>
    <w:rsid w:val="005045E2"/>
    <w:rsid w:val="005046B2"/>
    <w:rsid w:val="005047AC"/>
    <w:rsid w:val="00504BD5"/>
    <w:rsid w:val="00505139"/>
    <w:rsid w:val="00505D34"/>
    <w:rsid w:val="005060A4"/>
    <w:rsid w:val="00506BC5"/>
    <w:rsid w:val="00510390"/>
    <w:rsid w:val="00510653"/>
    <w:rsid w:val="005111F0"/>
    <w:rsid w:val="005124FF"/>
    <w:rsid w:val="005125A2"/>
    <w:rsid w:val="00512F9F"/>
    <w:rsid w:val="00513C74"/>
    <w:rsid w:val="00514188"/>
    <w:rsid w:val="00515405"/>
    <w:rsid w:val="00515BB2"/>
    <w:rsid w:val="00516432"/>
    <w:rsid w:val="00517233"/>
    <w:rsid w:val="0052063E"/>
    <w:rsid w:val="005206B8"/>
    <w:rsid w:val="00521972"/>
    <w:rsid w:val="00521E66"/>
    <w:rsid w:val="00523557"/>
    <w:rsid w:val="00524616"/>
    <w:rsid w:val="00524718"/>
    <w:rsid w:val="00524AA8"/>
    <w:rsid w:val="00524EB0"/>
    <w:rsid w:val="00525219"/>
    <w:rsid w:val="0052677C"/>
    <w:rsid w:val="00526AAE"/>
    <w:rsid w:val="005278A8"/>
    <w:rsid w:val="00527EF9"/>
    <w:rsid w:val="00530B61"/>
    <w:rsid w:val="00530BDE"/>
    <w:rsid w:val="00531253"/>
    <w:rsid w:val="00531A4C"/>
    <w:rsid w:val="005324A9"/>
    <w:rsid w:val="0053284F"/>
    <w:rsid w:val="00532AAD"/>
    <w:rsid w:val="00532E43"/>
    <w:rsid w:val="00532F60"/>
    <w:rsid w:val="00533272"/>
    <w:rsid w:val="005332AB"/>
    <w:rsid w:val="00533D5A"/>
    <w:rsid w:val="00534206"/>
    <w:rsid w:val="0053445B"/>
    <w:rsid w:val="00534A8E"/>
    <w:rsid w:val="00534E7C"/>
    <w:rsid w:val="00535622"/>
    <w:rsid w:val="005363F6"/>
    <w:rsid w:val="0053644E"/>
    <w:rsid w:val="0053666E"/>
    <w:rsid w:val="0053676A"/>
    <w:rsid w:val="00536D8F"/>
    <w:rsid w:val="00536E86"/>
    <w:rsid w:val="00537805"/>
    <w:rsid w:val="00540ACB"/>
    <w:rsid w:val="00540CB8"/>
    <w:rsid w:val="00541082"/>
    <w:rsid w:val="00541194"/>
    <w:rsid w:val="005411F2"/>
    <w:rsid w:val="00541437"/>
    <w:rsid w:val="005415A9"/>
    <w:rsid w:val="005416C7"/>
    <w:rsid w:val="00541D63"/>
    <w:rsid w:val="0054222B"/>
    <w:rsid w:val="005422F3"/>
    <w:rsid w:val="00542AA8"/>
    <w:rsid w:val="0054366A"/>
    <w:rsid w:val="005437CF"/>
    <w:rsid w:val="00544125"/>
    <w:rsid w:val="0054430C"/>
    <w:rsid w:val="0054562C"/>
    <w:rsid w:val="00545CAE"/>
    <w:rsid w:val="0054622C"/>
    <w:rsid w:val="005468E8"/>
    <w:rsid w:val="00546B7B"/>
    <w:rsid w:val="00547620"/>
    <w:rsid w:val="005479F1"/>
    <w:rsid w:val="00547CB9"/>
    <w:rsid w:val="00550741"/>
    <w:rsid w:val="00550924"/>
    <w:rsid w:val="0055183F"/>
    <w:rsid w:val="00552B58"/>
    <w:rsid w:val="00552DFA"/>
    <w:rsid w:val="00552E5D"/>
    <w:rsid w:val="0055340E"/>
    <w:rsid w:val="0055344C"/>
    <w:rsid w:val="005535E2"/>
    <w:rsid w:val="00553EB9"/>
    <w:rsid w:val="00554096"/>
    <w:rsid w:val="00554189"/>
    <w:rsid w:val="00554E26"/>
    <w:rsid w:val="00555603"/>
    <w:rsid w:val="00555A3A"/>
    <w:rsid w:val="00556B9A"/>
    <w:rsid w:val="00556C5C"/>
    <w:rsid w:val="00557089"/>
    <w:rsid w:val="005570CB"/>
    <w:rsid w:val="005571A6"/>
    <w:rsid w:val="00557590"/>
    <w:rsid w:val="005579B7"/>
    <w:rsid w:val="00560B2D"/>
    <w:rsid w:val="00560EC7"/>
    <w:rsid w:val="005613F3"/>
    <w:rsid w:val="0056148D"/>
    <w:rsid w:val="00561A27"/>
    <w:rsid w:val="005626EC"/>
    <w:rsid w:val="005627CF"/>
    <w:rsid w:val="00562EF3"/>
    <w:rsid w:val="0056349F"/>
    <w:rsid w:val="0056427E"/>
    <w:rsid w:val="00564776"/>
    <w:rsid w:val="005648B6"/>
    <w:rsid w:val="00564CC1"/>
    <w:rsid w:val="00565195"/>
    <w:rsid w:val="005652ED"/>
    <w:rsid w:val="00565469"/>
    <w:rsid w:val="00565841"/>
    <w:rsid w:val="00565A3C"/>
    <w:rsid w:val="00566352"/>
    <w:rsid w:val="00566670"/>
    <w:rsid w:val="00566AB1"/>
    <w:rsid w:val="0056736B"/>
    <w:rsid w:val="0056739B"/>
    <w:rsid w:val="0057051C"/>
    <w:rsid w:val="005706C9"/>
    <w:rsid w:val="00570A23"/>
    <w:rsid w:val="00570D29"/>
    <w:rsid w:val="00570F0F"/>
    <w:rsid w:val="00571371"/>
    <w:rsid w:val="00571968"/>
    <w:rsid w:val="00571C59"/>
    <w:rsid w:val="00571EFE"/>
    <w:rsid w:val="005724D4"/>
    <w:rsid w:val="00572E89"/>
    <w:rsid w:val="005733CD"/>
    <w:rsid w:val="00573BA4"/>
    <w:rsid w:val="00574744"/>
    <w:rsid w:val="00574F3B"/>
    <w:rsid w:val="00575354"/>
    <w:rsid w:val="00575EDB"/>
    <w:rsid w:val="005768FB"/>
    <w:rsid w:val="00576A2C"/>
    <w:rsid w:val="00576A72"/>
    <w:rsid w:val="00576D50"/>
    <w:rsid w:val="00577AF4"/>
    <w:rsid w:val="00577D12"/>
    <w:rsid w:val="005806A9"/>
    <w:rsid w:val="00580FBB"/>
    <w:rsid w:val="005811D7"/>
    <w:rsid w:val="00582137"/>
    <w:rsid w:val="005824F2"/>
    <w:rsid w:val="00582E90"/>
    <w:rsid w:val="0058421C"/>
    <w:rsid w:val="005843A8"/>
    <w:rsid w:val="00585C06"/>
    <w:rsid w:val="00585D1E"/>
    <w:rsid w:val="005867B3"/>
    <w:rsid w:val="00586E1B"/>
    <w:rsid w:val="00586F08"/>
    <w:rsid w:val="00587B83"/>
    <w:rsid w:val="00587D7B"/>
    <w:rsid w:val="005910E2"/>
    <w:rsid w:val="0059174B"/>
    <w:rsid w:val="00591DB0"/>
    <w:rsid w:val="005921F6"/>
    <w:rsid w:val="005933AA"/>
    <w:rsid w:val="005940DF"/>
    <w:rsid w:val="00594392"/>
    <w:rsid w:val="00594972"/>
    <w:rsid w:val="00595297"/>
    <w:rsid w:val="0059529A"/>
    <w:rsid w:val="00595E46"/>
    <w:rsid w:val="005961C6"/>
    <w:rsid w:val="00596BEE"/>
    <w:rsid w:val="00597627"/>
    <w:rsid w:val="00597FA7"/>
    <w:rsid w:val="005A019A"/>
    <w:rsid w:val="005A03A6"/>
    <w:rsid w:val="005A0526"/>
    <w:rsid w:val="005A129F"/>
    <w:rsid w:val="005A1373"/>
    <w:rsid w:val="005A256C"/>
    <w:rsid w:val="005A28B7"/>
    <w:rsid w:val="005A3FE2"/>
    <w:rsid w:val="005A4356"/>
    <w:rsid w:val="005A4E18"/>
    <w:rsid w:val="005A4E2A"/>
    <w:rsid w:val="005A5033"/>
    <w:rsid w:val="005A5111"/>
    <w:rsid w:val="005A58F3"/>
    <w:rsid w:val="005A7E4F"/>
    <w:rsid w:val="005B1A5B"/>
    <w:rsid w:val="005B205C"/>
    <w:rsid w:val="005B2618"/>
    <w:rsid w:val="005B2A19"/>
    <w:rsid w:val="005B38CC"/>
    <w:rsid w:val="005B42EA"/>
    <w:rsid w:val="005B59DF"/>
    <w:rsid w:val="005B5CBD"/>
    <w:rsid w:val="005B5CEB"/>
    <w:rsid w:val="005B658C"/>
    <w:rsid w:val="005B6C6B"/>
    <w:rsid w:val="005B71B7"/>
    <w:rsid w:val="005B74AF"/>
    <w:rsid w:val="005B77E1"/>
    <w:rsid w:val="005C015B"/>
    <w:rsid w:val="005C06C9"/>
    <w:rsid w:val="005C12AF"/>
    <w:rsid w:val="005C23A3"/>
    <w:rsid w:val="005C2DBE"/>
    <w:rsid w:val="005C64F5"/>
    <w:rsid w:val="005C666E"/>
    <w:rsid w:val="005C7405"/>
    <w:rsid w:val="005C7508"/>
    <w:rsid w:val="005C7A00"/>
    <w:rsid w:val="005C7FED"/>
    <w:rsid w:val="005D0083"/>
    <w:rsid w:val="005D01C8"/>
    <w:rsid w:val="005D028A"/>
    <w:rsid w:val="005D09A6"/>
    <w:rsid w:val="005D1722"/>
    <w:rsid w:val="005D18BE"/>
    <w:rsid w:val="005D1A6B"/>
    <w:rsid w:val="005D1D10"/>
    <w:rsid w:val="005D1FC5"/>
    <w:rsid w:val="005D286E"/>
    <w:rsid w:val="005D3980"/>
    <w:rsid w:val="005D3E64"/>
    <w:rsid w:val="005D40AF"/>
    <w:rsid w:val="005D4205"/>
    <w:rsid w:val="005D444A"/>
    <w:rsid w:val="005D4D23"/>
    <w:rsid w:val="005D4E95"/>
    <w:rsid w:val="005D5358"/>
    <w:rsid w:val="005D539E"/>
    <w:rsid w:val="005D5AB3"/>
    <w:rsid w:val="005D65CC"/>
    <w:rsid w:val="005D66CE"/>
    <w:rsid w:val="005D761E"/>
    <w:rsid w:val="005D7C27"/>
    <w:rsid w:val="005D7F94"/>
    <w:rsid w:val="005E00F2"/>
    <w:rsid w:val="005E0253"/>
    <w:rsid w:val="005E0537"/>
    <w:rsid w:val="005E08BC"/>
    <w:rsid w:val="005E0D81"/>
    <w:rsid w:val="005E1158"/>
    <w:rsid w:val="005E1255"/>
    <w:rsid w:val="005E138A"/>
    <w:rsid w:val="005E1880"/>
    <w:rsid w:val="005E23D2"/>
    <w:rsid w:val="005E2DE2"/>
    <w:rsid w:val="005E2EB3"/>
    <w:rsid w:val="005E3769"/>
    <w:rsid w:val="005E3E3F"/>
    <w:rsid w:val="005E424D"/>
    <w:rsid w:val="005E4704"/>
    <w:rsid w:val="005E48B8"/>
    <w:rsid w:val="005E53E9"/>
    <w:rsid w:val="005E5F80"/>
    <w:rsid w:val="005E6059"/>
    <w:rsid w:val="005E6884"/>
    <w:rsid w:val="005E6F6B"/>
    <w:rsid w:val="005E72C9"/>
    <w:rsid w:val="005E77F8"/>
    <w:rsid w:val="005E78CE"/>
    <w:rsid w:val="005E7A25"/>
    <w:rsid w:val="005F030C"/>
    <w:rsid w:val="005F08FF"/>
    <w:rsid w:val="005F1331"/>
    <w:rsid w:val="005F1645"/>
    <w:rsid w:val="005F229F"/>
    <w:rsid w:val="005F2545"/>
    <w:rsid w:val="005F254F"/>
    <w:rsid w:val="005F2D63"/>
    <w:rsid w:val="005F33C0"/>
    <w:rsid w:val="005F3D83"/>
    <w:rsid w:val="005F4344"/>
    <w:rsid w:val="005F45F1"/>
    <w:rsid w:val="005F4CF9"/>
    <w:rsid w:val="005F4D13"/>
    <w:rsid w:val="005F5190"/>
    <w:rsid w:val="005F5DE4"/>
    <w:rsid w:val="005F63F1"/>
    <w:rsid w:val="005F6404"/>
    <w:rsid w:val="005F77B9"/>
    <w:rsid w:val="0060014E"/>
    <w:rsid w:val="00600197"/>
    <w:rsid w:val="00600DCD"/>
    <w:rsid w:val="00601D9E"/>
    <w:rsid w:val="00605D0A"/>
    <w:rsid w:val="006060D9"/>
    <w:rsid w:val="006069F9"/>
    <w:rsid w:val="00607C5A"/>
    <w:rsid w:val="006108B3"/>
    <w:rsid w:val="00610EEC"/>
    <w:rsid w:val="006113FB"/>
    <w:rsid w:val="00611FE2"/>
    <w:rsid w:val="006129FB"/>
    <w:rsid w:val="00612A6F"/>
    <w:rsid w:val="00612CF4"/>
    <w:rsid w:val="00612D5E"/>
    <w:rsid w:val="00613A29"/>
    <w:rsid w:val="00615F71"/>
    <w:rsid w:val="00616AFE"/>
    <w:rsid w:val="006201B4"/>
    <w:rsid w:val="006206AD"/>
    <w:rsid w:val="006218DA"/>
    <w:rsid w:val="006228DB"/>
    <w:rsid w:val="00622BFE"/>
    <w:rsid w:val="006232BD"/>
    <w:rsid w:val="006233D0"/>
    <w:rsid w:val="00623CDD"/>
    <w:rsid w:val="00623EBF"/>
    <w:rsid w:val="00625096"/>
    <w:rsid w:val="00625528"/>
    <w:rsid w:val="00625CD7"/>
    <w:rsid w:val="00626061"/>
    <w:rsid w:val="0062696C"/>
    <w:rsid w:val="00626A0B"/>
    <w:rsid w:val="00626D44"/>
    <w:rsid w:val="006272FE"/>
    <w:rsid w:val="0062746E"/>
    <w:rsid w:val="00627602"/>
    <w:rsid w:val="006277B4"/>
    <w:rsid w:val="00627AC6"/>
    <w:rsid w:val="00627F01"/>
    <w:rsid w:val="00630D82"/>
    <w:rsid w:val="006311AA"/>
    <w:rsid w:val="00631684"/>
    <w:rsid w:val="006319B4"/>
    <w:rsid w:val="006329B6"/>
    <w:rsid w:val="00633572"/>
    <w:rsid w:val="006335C7"/>
    <w:rsid w:val="00634C92"/>
    <w:rsid w:val="00634EDD"/>
    <w:rsid w:val="00635229"/>
    <w:rsid w:val="00635DC9"/>
    <w:rsid w:val="0063658B"/>
    <w:rsid w:val="006368EA"/>
    <w:rsid w:val="00636CD3"/>
    <w:rsid w:val="00636CEE"/>
    <w:rsid w:val="00640825"/>
    <w:rsid w:val="006408FD"/>
    <w:rsid w:val="00640A55"/>
    <w:rsid w:val="00640B64"/>
    <w:rsid w:val="0064104A"/>
    <w:rsid w:val="00641249"/>
    <w:rsid w:val="006414D7"/>
    <w:rsid w:val="00642059"/>
    <w:rsid w:val="00642A0B"/>
    <w:rsid w:val="00643C1B"/>
    <w:rsid w:val="0064404C"/>
    <w:rsid w:val="0064427B"/>
    <w:rsid w:val="006444A0"/>
    <w:rsid w:val="00644A1D"/>
    <w:rsid w:val="00644F84"/>
    <w:rsid w:val="0064545C"/>
    <w:rsid w:val="00645B02"/>
    <w:rsid w:val="00645E34"/>
    <w:rsid w:val="00646375"/>
    <w:rsid w:val="00646674"/>
    <w:rsid w:val="00646FDD"/>
    <w:rsid w:val="006471C1"/>
    <w:rsid w:val="00647BC7"/>
    <w:rsid w:val="006513B0"/>
    <w:rsid w:val="00651762"/>
    <w:rsid w:val="00651B5F"/>
    <w:rsid w:val="00651B7A"/>
    <w:rsid w:val="00651B97"/>
    <w:rsid w:val="00652CC5"/>
    <w:rsid w:val="00652FA6"/>
    <w:rsid w:val="00653292"/>
    <w:rsid w:val="006536CB"/>
    <w:rsid w:val="006541EA"/>
    <w:rsid w:val="00654AA2"/>
    <w:rsid w:val="00654FA3"/>
    <w:rsid w:val="006553BF"/>
    <w:rsid w:val="006562C3"/>
    <w:rsid w:val="00657F9A"/>
    <w:rsid w:val="0066115D"/>
    <w:rsid w:val="00661F1D"/>
    <w:rsid w:val="00662199"/>
    <w:rsid w:val="006623CA"/>
    <w:rsid w:val="00662450"/>
    <w:rsid w:val="00662750"/>
    <w:rsid w:val="00662882"/>
    <w:rsid w:val="00662E08"/>
    <w:rsid w:val="0066394B"/>
    <w:rsid w:val="00663F1F"/>
    <w:rsid w:val="00664BD6"/>
    <w:rsid w:val="006656B1"/>
    <w:rsid w:val="0066631B"/>
    <w:rsid w:val="00666363"/>
    <w:rsid w:val="006666DD"/>
    <w:rsid w:val="0066730D"/>
    <w:rsid w:val="006674AA"/>
    <w:rsid w:val="006708E2"/>
    <w:rsid w:val="0067128D"/>
    <w:rsid w:val="0067160A"/>
    <w:rsid w:val="00671654"/>
    <w:rsid w:val="00671F7E"/>
    <w:rsid w:val="0067311F"/>
    <w:rsid w:val="006734EE"/>
    <w:rsid w:val="0067406F"/>
    <w:rsid w:val="00674565"/>
    <w:rsid w:val="006745CE"/>
    <w:rsid w:val="00674931"/>
    <w:rsid w:val="00674A1C"/>
    <w:rsid w:val="00674B78"/>
    <w:rsid w:val="00674C09"/>
    <w:rsid w:val="00674E7B"/>
    <w:rsid w:val="00676559"/>
    <w:rsid w:val="00677980"/>
    <w:rsid w:val="00680F42"/>
    <w:rsid w:val="00681B57"/>
    <w:rsid w:val="00681DCE"/>
    <w:rsid w:val="00681E9C"/>
    <w:rsid w:val="00683327"/>
    <w:rsid w:val="00683802"/>
    <w:rsid w:val="00683B47"/>
    <w:rsid w:val="00684A83"/>
    <w:rsid w:val="00684B44"/>
    <w:rsid w:val="00685D02"/>
    <w:rsid w:val="0068672C"/>
    <w:rsid w:val="00686A4D"/>
    <w:rsid w:val="00686B83"/>
    <w:rsid w:val="006872D3"/>
    <w:rsid w:val="006872D9"/>
    <w:rsid w:val="0068731F"/>
    <w:rsid w:val="00687F2A"/>
    <w:rsid w:val="00690EC0"/>
    <w:rsid w:val="006914B9"/>
    <w:rsid w:val="0069280D"/>
    <w:rsid w:val="0069354A"/>
    <w:rsid w:val="00693A95"/>
    <w:rsid w:val="00693D9A"/>
    <w:rsid w:val="00693FE8"/>
    <w:rsid w:val="006941E2"/>
    <w:rsid w:val="0069527F"/>
    <w:rsid w:val="00695781"/>
    <w:rsid w:val="00695ADE"/>
    <w:rsid w:val="00696867"/>
    <w:rsid w:val="00696877"/>
    <w:rsid w:val="00696973"/>
    <w:rsid w:val="0069783F"/>
    <w:rsid w:val="00697A05"/>
    <w:rsid w:val="006A0A57"/>
    <w:rsid w:val="006A19EA"/>
    <w:rsid w:val="006A1A16"/>
    <w:rsid w:val="006A299E"/>
    <w:rsid w:val="006A3039"/>
    <w:rsid w:val="006A35D0"/>
    <w:rsid w:val="006A3A72"/>
    <w:rsid w:val="006A3CC4"/>
    <w:rsid w:val="006A4A3E"/>
    <w:rsid w:val="006A5510"/>
    <w:rsid w:val="006A5CE1"/>
    <w:rsid w:val="006A6085"/>
    <w:rsid w:val="006A6316"/>
    <w:rsid w:val="006A665D"/>
    <w:rsid w:val="006A6D35"/>
    <w:rsid w:val="006A728B"/>
    <w:rsid w:val="006A746D"/>
    <w:rsid w:val="006B03BC"/>
    <w:rsid w:val="006B0442"/>
    <w:rsid w:val="006B064A"/>
    <w:rsid w:val="006B0789"/>
    <w:rsid w:val="006B0B79"/>
    <w:rsid w:val="006B0BDA"/>
    <w:rsid w:val="006B0D17"/>
    <w:rsid w:val="006B1B86"/>
    <w:rsid w:val="006B1EFF"/>
    <w:rsid w:val="006B255D"/>
    <w:rsid w:val="006B3241"/>
    <w:rsid w:val="006B3658"/>
    <w:rsid w:val="006B3F92"/>
    <w:rsid w:val="006B5143"/>
    <w:rsid w:val="006B5663"/>
    <w:rsid w:val="006B5890"/>
    <w:rsid w:val="006B62BA"/>
    <w:rsid w:val="006B6B4D"/>
    <w:rsid w:val="006B6CC4"/>
    <w:rsid w:val="006C00B5"/>
    <w:rsid w:val="006C0BB1"/>
    <w:rsid w:val="006C0F8B"/>
    <w:rsid w:val="006C0FCD"/>
    <w:rsid w:val="006C325B"/>
    <w:rsid w:val="006C3A40"/>
    <w:rsid w:val="006C406E"/>
    <w:rsid w:val="006C40E4"/>
    <w:rsid w:val="006C480E"/>
    <w:rsid w:val="006C5411"/>
    <w:rsid w:val="006C5429"/>
    <w:rsid w:val="006C6086"/>
    <w:rsid w:val="006C66DB"/>
    <w:rsid w:val="006C686E"/>
    <w:rsid w:val="006C68A2"/>
    <w:rsid w:val="006C7C82"/>
    <w:rsid w:val="006C7CB2"/>
    <w:rsid w:val="006D03AE"/>
    <w:rsid w:val="006D04C3"/>
    <w:rsid w:val="006D070E"/>
    <w:rsid w:val="006D1EBC"/>
    <w:rsid w:val="006D2178"/>
    <w:rsid w:val="006D25E6"/>
    <w:rsid w:val="006D31B4"/>
    <w:rsid w:val="006D3DCF"/>
    <w:rsid w:val="006D4355"/>
    <w:rsid w:val="006D4526"/>
    <w:rsid w:val="006D478D"/>
    <w:rsid w:val="006D5284"/>
    <w:rsid w:val="006D5375"/>
    <w:rsid w:val="006D65A2"/>
    <w:rsid w:val="006D67B3"/>
    <w:rsid w:val="006D698D"/>
    <w:rsid w:val="006D6B72"/>
    <w:rsid w:val="006D6FC9"/>
    <w:rsid w:val="006D70C3"/>
    <w:rsid w:val="006E02FF"/>
    <w:rsid w:val="006E0D8B"/>
    <w:rsid w:val="006E0E60"/>
    <w:rsid w:val="006E0F39"/>
    <w:rsid w:val="006E114C"/>
    <w:rsid w:val="006E16B3"/>
    <w:rsid w:val="006E1765"/>
    <w:rsid w:val="006E1B0A"/>
    <w:rsid w:val="006E2188"/>
    <w:rsid w:val="006E21A4"/>
    <w:rsid w:val="006E2E46"/>
    <w:rsid w:val="006E39BC"/>
    <w:rsid w:val="006E3FDD"/>
    <w:rsid w:val="006E4283"/>
    <w:rsid w:val="006E42E5"/>
    <w:rsid w:val="006E698A"/>
    <w:rsid w:val="006E6E06"/>
    <w:rsid w:val="006E7038"/>
    <w:rsid w:val="006E7111"/>
    <w:rsid w:val="006E7B3A"/>
    <w:rsid w:val="006E7BFE"/>
    <w:rsid w:val="006F2DCE"/>
    <w:rsid w:val="006F335D"/>
    <w:rsid w:val="006F3684"/>
    <w:rsid w:val="006F3727"/>
    <w:rsid w:val="006F39D3"/>
    <w:rsid w:val="006F3AEF"/>
    <w:rsid w:val="006F3D9F"/>
    <w:rsid w:val="006F40B5"/>
    <w:rsid w:val="006F483F"/>
    <w:rsid w:val="006F5A2F"/>
    <w:rsid w:val="006F6802"/>
    <w:rsid w:val="006F7276"/>
    <w:rsid w:val="006F7634"/>
    <w:rsid w:val="006F7979"/>
    <w:rsid w:val="006F7BE4"/>
    <w:rsid w:val="006F7DE4"/>
    <w:rsid w:val="006F7FCA"/>
    <w:rsid w:val="00700200"/>
    <w:rsid w:val="0070095A"/>
    <w:rsid w:val="00700CCD"/>
    <w:rsid w:val="007013FE"/>
    <w:rsid w:val="00701811"/>
    <w:rsid w:val="00702141"/>
    <w:rsid w:val="007036A5"/>
    <w:rsid w:val="0070412A"/>
    <w:rsid w:val="007048E2"/>
    <w:rsid w:val="00704EB8"/>
    <w:rsid w:val="00705012"/>
    <w:rsid w:val="007067C7"/>
    <w:rsid w:val="0070695F"/>
    <w:rsid w:val="00706C4C"/>
    <w:rsid w:val="00706FF6"/>
    <w:rsid w:val="00707EB0"/>
    <w:rsid w:val="00707EC7"/>
    <w:rsid w:val="00710551"/>
    <w:rsid w:val="00711447"/>
    <w:rsid w:val="007117A0"/>
    <w:rsid w:val="0071199C"/>
    <w:rsid w:val="007119C8"/>
    <w:rsid w:val="00711D14"/>
    <w:rsid w:val="007124AE"/>
    <w:rsid w:val="00712A27"/>
    <w:rsid w:val="00712DB7"/>
    <w:rsid w:val="00712F2A"/>
    <w:rsid w:val="0071332F"/>
    <w:rsid w:val="00713C73"/>
    <w:rsid w:val="00714168"/>
    <w:rsid w:val="00714307"/>
    <w:rsid w:val="007154D1"/>
    <w:rsid w:val="00715ACB"/>
    <w:rsid w:val="007161CD"/>
    <w:rsid w:val="007200F3"/>
    <w:rsid w:val="007203D0"/>
    <w:rsid w:val="0072046D"/>
    <w:rsid w:val="00720A44"/>
    <w:rsid w:val="00721260"/>
    <w:rsid w:val="00721A72"/>
    <w:rsid w:val="007227D8"/>
    <w:rsid w:val="00722FC3"/>
    <w:rsid w:val="0072346E"/>
    <w:rsid w:val="00723965"/>
    <w:rsid w:val="007245F6"/>
    <w:rsid w:val="0072492F"/>
    <w:rsid w:val="00724EB8"/>
    <w:rsid w:val="007256EE"/>
    <w:rsid w:val="00725B4A"/>
    <w:rsid w:val="00726179"/>
    <w:rsid w:val="00727D4D"/>
    <w:rsid w:val="00730008"/>
    <w:rsid w:val="00730253"/>
    <w:rsid w:val="00730AB8"/>
    <w:rsid w:val="0073152F"/>
    <w:rsid w:val="00731D4B"/>
    <w:rsid w:val="00732029"/>
    <w:rsid w:val="0073228E"/>
    <w:rsid w:val="007327BE"/>
    <w:rsid w:val="0073390E"/>
    <w:rsid w:val="00733912"/>
    <w:rsid w:val="00733C3E"/>
    <w:rsid w:val="00733D88"/>
    <w:rsid w:val="0073407F"/>
    <w:rsid w:val="00734095"/>
    <w:rsid w:val="007344DF"/>
    <w:rsid w:val="007345B8"/>
    <w:rsid w:val="00734B47"/>
    <w:rsid w:val="00734DC3"/>
    <w:rsid w:val="00735B2A"/>
    <w:rsid w:val="00736476"/>
    <w:rsid w:val="007365BB"/>
    <w:rsid w:val="00736A94"/>
    <w:rsid w:val="00740125"/>
    <w:rsid w:val="00740534"/>
    <w:rsid w:val="00740AA6"/>
    <w:rsid w:val="0074241E"/>
    <w:rsid w:val="00742672"/>
    <w:rsid w:val="007433CA"/>
    <w:rsid w:val="00743693"/>
    <w:rsid w:val="007445A2"/>
    <w:rsid w:val="00744ADA"/>
    <w:rsid w:val="00745A7C"/>
    <w:rsid w:val="00745E83"/>
    <w:rsid w:val="00746624"/>
    <w:rsid w:val="00746820"/>
    <w:rsid w:val="007468C0"/>
    <w:rsid w:val="00746A7E"/>
    <w:rsid w:val="00747083"/>
    <w:rsid w:val="007471B3"/>
    <w:rsid w:val="00747586"/>
    <w:rsid w:val="0074795F"/>
    <w:rsid w:val="00747B4C"/>
    <w:rsid w:val="00750579"/>
    <w:rsid w:val="007511B4"/>
    <w:rsid w:val="0075134B"/>
    <w:rsid w:val="007518BA"/>
    <w:rsid w:val="00751B61"/>
    <w:rsid w:val="007520A0"/>
    <w:rsid w:val="0075257C"/>
    <w:rsid w:val="007531AF"/>
    <w:rsid w:val="00753453"/>
    <w:rsid w:val="007537E6"/>
    <w:rsid w:val="00753A5D"/>
    <w:rsid w:val="00753AB4"/>
    <w:rsid w:val="00753E98"/>
    <w:rsid w:val="007543E0"/>
    <w:rsid w:val="00754CCD"/>
    <w:rsid w:val="00755A83"/>
    <w:rsid w:val="00755FE3"/>
    <w:rsid w:val="007564FA"/>
    <w:rsid w:val="00756686"/>
    <w:rsid w:val="007569A0"/>
    <w:rsid w:val="00757252"/>
    <w:rsid w:val="007601A2"/>
    <w:rsid w:val="0076074D"/>
    <w:rsid w:val="0076096C"/>
    <w:rsid w:val="0076119F"/>
    <w:rsid w:val="00762961"/>
    <w:rsid w:val="00762A95"/>
    <w:rsid w:val="00762CA9"/>
    <w:rsid w:val="00762E69"/>
    <w:rsid w:val="0076351E"/>
    <w:rsid w:val="0076392B"/>
    <w:rsid w:val="00763984"/>
    <w:rsid w:val="00764385"/>
    <w:rsid w:val="00764634"/>
    <w:rsid w:val="00764B8B"/>
    <w:rsid w:val="0076511A"/>
    <w:rsid w:val="007656EE"/>
    <w:rsid w:val="00765978"/>
    <w:rsid w:val="00765AC9"/>
    <w:rsid w:val="00766320"/>
    <w:rsid w:val="00766705"/>
    <w:rsid w:val="00766C1B"/>
    <w:rsid w:val="007674C5"/>
    <w:rsid w:val="00770225"/>
    <w:rsid w:val="007704D7"/>
    <w:rsid w:val="00771213"/>
    <w:rsid w:val="00771BFD"/>
    <w:rsid w:val="007736E6"/>
    <w:rsid w:val="0077426F"/>
    <w:rsid w:val="00774C1B"/>
    <w:rsid w:val="007754B1"/>
    <w:rsid w:val="007764EC"/>
    <w:rsid w:val="007767E3"/>
    <w:rsid w:val="0077690A"/>
    <w:rsid w:val="00777D79"/>
    <w:rsid w:val="00780802"/>
    <w:rsid w:val="00780E51"/>
    <w:rsid w:val="00780F3F"/>
    <w:rsid w:val="00781758"/>
    <w:rsid w:val="007822C3"/>
    <w:rsid w:val="007822CF"/>
    <w:rsid w:val="00782310"/>
    <w:rsid w:val="007825F1"/>
    <w:rsid w:val="00782C87"/>
    <w:rsid w:val="00783366"/>
    <w:rsid w:val="00783F25"/>
    <w:rsid w:val="00784A8C"/>
    <w:rsid w:val="00785065"/>
    <w:rsid w:val="00785A20"/>
    <w:rsid w:val="00785DF9"/>
    <w:rsid w:val="0078674A"/>
    <w:rsid w:val="00786BE7"/>
    <w:rsid w:val="007875FD"/>
    <w:rsid w:val="00787A37"/>
    <w:rsid w:val="00787F21"/>
    <w:rsid w:val="007905BD"/>
    <w:rsid w:val="00790A31"/>
    <w:rsid w:val="00791691"/>
    <w:rsid w:val="007926C5"/>
    <w:rsid w:val="007931CF"/>
    <w:rsid w:val="00794601"/>
    <w:rsid w:val="00795422"/>
    <w:rsid w:val="007955DA"/>
    <w:rsid w:val="00795719"/>
    <w:rsid w:val="00795965"/>
    <w:rsid w:val="007959A0"/>
    <w:rsid w:val="00795EDB"/>
    <w:rsid w:val="00796726"/>
    <w:rsid w:val="00797241"/>
    <w:rsid w:val="00797957"/>
    <w:rsid w:val="0079797C"/>
    <w:rsid w:val="007A03C7"/>
    <w:rsid w:val="007A12FF"/>
    <w:rsid w:val="007A1B55"/>
    <w:rsid w:val="007A1C05"/>
    <w:rsid w:val="007A1DA7"/>
    <w:rsid w:val="007A204A"/>
    <w:rsid w:val="007A29B2"/>
    <w:rsid w:val="007A2BA9"/>
    <w:rsid w:val="007A3110"/>
    <w:rsid w:val="007A3D5B"/>
    <w:rsid w:val="007A40C3"/>
    <w:rsid w:val="007A48BA"/>
    <w:rsid w:val="007A4A40"/>
    <w:rsid w:val="007A4AA0"/>
    <w:rsid w:val="007A573E"/>
    <w:rsid w:val="007A770C"/>
    <w:rsid w:val="007A7EF7"/>
    <w:rsid w:val="007B0127"/>
    <w:rsid w:val="007B0EF3"/>
    <w:rsid w:val="007B0F50"/>
    <w:rsid w:val="007B1361"/>
    <w:rsid w:val="007B1537"/>
    <w:rsid w:val="007B1746"/>
    <w:rsid w:val="007B1CC7"/>
    <w:rsid w:val="007B3539"/>
    <w:rsid w:val="007B3643"/>
    <w:rsid w:val="007B3AB2"/>
    <w:rsid w:val="007B3E78"/>
    <w:rsid w:val="007B4770"/>
    <w:rsid w:val="007B7630"/>
    <w:rsid w:val="007B7923"/>
    <w:rsid w:val="007B7E25"/>
    <w:rsid w:val="007C0033"/>
    <w:rsid w:val="007C13D3"/>
    <w:rsid w:val="007C27BB"/>
    <w:rsid w:val="007C2F0B"/>
    <w:rsid w:val="007C44E0"/>
    <w:rsid w:val="007C471D"/>
    <w:rsid w:val="007C499C"/>
    <w:rsid w:val="007C5100"/>
    <w:rsid w:val="007C5FFE"/>
    <w:rsid w:val="007C607D"/>
    <w:rsid w:val="007C6DF2"/>
    <w:rsid w:val="007C6E23"/>
    <w:rsid w:val="007C6ECA"/>
    <w:rsid w:val="007C74B3"/>
    <w:rsid w:val="007C7825"/>
    <w:rsid w:val="007C7969"/>
    <w:rsid w:val="007D005C"/>
    <w:rsid w:val="007D0294"/>
    <w:rsid w:val="007D0765"/>
    <w:rsid w:val="007D0994"/>
    <w:rsid w:val="007D09A5"/>
    <w:rsid w:val="007D0A43"/>
    <w:rsid w:val="007D0A97"/>
    <w:rsid w:val="007D0E22"/>
    <w:rsid w:val="007D1044"/>
    <w:rsid w:val="007D1D4D"/>
    <w:rsid w:val="007D1EC0"/>
    <w:rsid w:val="007D2537"/>
    <w:rsid w:val="007D2B40"/>
    <w:rsid w:val="007D3A86"/>
    <w:rsid w:val="007D486B"/>
    <w:rsid w:val="007D56D4"/>
    <w:rsid w:val="007D5B64"/>
    <w:rsid w:val="007D5E15"/>
    <w:rsid w:val="007D6164"/>
    <w:rsid w:val="007D69AC"/>
    <w:rsid w:val="007D75D0"/>
    <w:rsid w:val="007D7841"/>
    <w:rsid w:val="007E01D0"/>
    <w:rsid w:val="007E03AA"/>
    <w:rsid w:val="007E10B6"/>
    <w:rsid w:val="007E10FA"/>
    <w:rsid w:val="007E116D"/>
    <w:rsid w:val="007E1ACF"/>
    <w:rsid w:val="007E219B"/>
    <w:rsid w:val="007E226F"/>
    <w:rsid w:val="007E2943"/>
    <w:rsid w:val="007E29AD"/>
    <w:rsid w:val="007E2F0D"/>
    <w:rsid w:val="007E3BF8"/>
    <w:rsid w:val="007E3D47"/>
    <w:rsid w:val="007E4B2B"/>
    <w:rsid w:val="007E60E1"/>
    <w:rsid w:val="007E6E35"/>
    <w:rsid w:val="007E71BF"/>
    <w:rsid w:val="007E72DE"/>
    <w:rsid w:val="007F03D8"/>
    <w:rsid w:val="007F06A5"/>
    <w:rsid w:val="007F0B0E"/>
    <w:rsid w:val="007F115F"/>
    <w:rsid w:val="007F2278"/>
    <w:rsid w:val="007F22C6"/>
    <w:rsid w:val="007F2DAC"/>
    <w:rsid w:val="007F449F"/>
    <w:rsid w:val="007F5262"/>
    <w:rsid w:val="007F5996"/>
    <w:rsid w:val="007F5A46"/>
    <w:rsid w:val="007F63A3"/>
    <w:rsid w:val="007F680E"/>
    <w:rsid w:val="007F6BBC"/>
    <w:rsid w:val="007F7470"/>
    <w:rsid w:val="007F7DF5"/>
    <w:rsid w:val="0080170C"/>
    <w:rsid w:val="00802646"/>
    <w:rsid w:val="00802D21"/>
    <w:rsid w:val="00802E3F"/>
    <w:rsid w:val="00802FD0"/>
    <w:rsid w:val="00803CC2"/>
    <w:rsid w:val="00804486"/>
    <w:rsid w:val="0080480A"/>
    <w:rsid w:val="0080512D"/>
    <w:rsid w:val="00805336"/>
    <w:rsid w:val="00805454"/>
    <w:rsid w:val="00805774"/>
    <w:rsid w:val="00805CBA"/>
    <w:rsid w:val="00806205"/>
    <w:rsid w:val="00807441"/>
    <w:rsid w:val="008078F4"/>
    <w:rsid w:val="00807F20"/>
    <w:rsid w:val="00811122"/>
    <w:rsid w:val="00811A93"/>
    <w:rsid w:val="00811C8A"/>
    <w:rsid w:val="008123E5"/>
    <w:rsid w:val="00812C9A"/>
    <w:rsid w:val="00813C06"/>
    <w:rsid w:val="0081410F"/>
    <w:rsid w:val="0081455A"/>
    <w:rsid w:val="00815F6A"/>
    <w:rsid w:val="0081643E"/>
    <w:rsid w:val="00816B44"/>
    <w:rsid w:val="00817430"/>
    <w:rsid w:val="008176B3"/>
    <w:rsid w:val="0081772E"/>
    <w:rsid w:val="00820E73"/>
    <w:rsid w:val="0082263F"/>
    <w:rsid w:val="00822ADC"/>
    <w:rsid w:val="008235D6"/>
    <w:rsid w:val="008236FB"/>
    <w:rsid w:val="00823CE7"/>
    <w:rsid w:val="00824679"/>
    <w:rsid w:val="00824F71"/>
    <w:rsid w:val="008250BA"/>
    <w:rsid w:val="0082595C"/>
    <w:rsid w:val="008259B1"/>
    <w:rsid w:val="0082656C"/>
    <w:rsid w:val="00826970"/>
    <w:rsid w:val="00826EF4"/>
    <w:rsid w:val="00827064"/>
    <w:rsid w:val="00827F37"/>
    <w:rsid w:val="00830104"/>
    <w:rsid w:val="008311D0"/>
    <w:rsid w:val="00831D26"/>
    <w:rsid w:val="0083206B"/>
    <w:rsid w:val="008326D9"/>
    <w:rsid w:val="00832A0A"/>
    <w:rsid w:val="00833042"/>
    <w:rsid w:val="0083309A"/>
    <w:rsid w:val="00834F11"/>
    <w:rsid w:val="0083556E"/>
    <w:rsid w:val="008365D3"/>
    <w:rsid w:val="008367FE"/>
    <w:rsid w:val="00836D29"/>
    <w:rsid w:val="00836E4C"/>
    <w:rsid w:val="008375E9"/>
    <w:rsid w:val="00837B6B"/>
    <w:rsid w:val="00837D06"/>
    <w:rsid w:val="0084107E"/>
    <w:rsid w:val="008411BF"/>
    <w:rsid w:val="00841346"/>
    <w:rsid w:val="008419AE"/>
    <w:rsid w:val="008430FA"/>
    <w:rsid w:val="008432A1"/>
    <w:rsid w:val="00843601"/>
    <w:rsid w:val="00843959"/>
    <w:rsid w:val="00843B55"/>
    <w:rsid w:val="00843FC8"/>
    <w:rsid w:val="00844867"/>
    <w:rsid w:val="00847283"/>
    <w:rsid w:val="00847FCA"/>
    <w:rsid w:val="0085001D"/>
    <w:rsid w:val="008501B1"/>
    <w:rsid w:val="00850264"/>
    <w:rsid w:val="008513AE"/>
    <w:rsid w:val="00851558"/>
    <w:rsid w:val="00851721"/>
    <w:rsid w:val="008527CB"/>
    <w:rsid w:val="008534EA"/>
    <w:rsid w:val="00853799"/>
    <w:rsid w:val="00854558"/>
    <w:rsid w:val="00855255"/>
    <w:rsid w:val="00856686"/>
    <w:rsid w:val="00856726"/>
    <w:rsid w:val="00856C27"/>
    <w:rsid w:val="00856C31"/>
    <w:rsid w:val="00856E35"/>
    <w:rsid w:val="00857751"/>
    <w:rsid w:val="00857C6D"/>
    <w:rsid w:val="008600D9"/>
    <w:rsid w:val="008613C7"/>
    <w:rsid w:val="00862436"/>
    <w:rsid w:val="008626D4"/>
    <w:rsid w:val="00862E67"/>
    <w:rsid w:val="008631D8"/>
    <w:rsid w:val="008658BF"/>
    <w:rsid w:val="00865C27"/>
    <w:rsid w:val="00865E2B"/>
    <w:rsid w:val="00866269"/>
    <w:rsid w:val="00866987"/>
    <w:rsid w:val="00866A0C"/>
    <w:rsid w:val="008677B3"/>
    <w:rsid w:val="0087005A"/>
    <w:rsid w:val="008702B1"/>
    <w:rsid w:val="00871022"/>
    <w:rsid w:val="00871B11"/>
    <w:rsid w:val="008727F1"/>
    <w:rsid w:val="00873913"/>
    <w:rsid w:val="008740C4"/>
    <w:rsid w:val="008748AC"/>
    <w:rsid w:val="0087511C"/>
    <w:rsid w:val="00875470"/>
    <w:rsid w:val="0087683E"/>
    <w:rsid w:val="008777E7"/>
    <w:rsid w:val="00880A01"/>
    <w:rsid w:val="00880F98"/>
    <w:rsid w:val="00881A1B"/>
    <w:rsid w:val="00881BA2"/>
    <w:rsid w:val="008828E4"/>
    <w:rsid w:val="00882DE8"/>
    <w:rsid w:val="00884171"/>
    <w:rsid w:val="00884427"/>
    <w:rsid w:val="008846C2"/>
    <w:rsid w:val="008849A6"/>
    <w:rsid w:val="00884C64"/>
    <w:rsid w:val="00885743"/>
    <w:rsid w:val="00886D9A"/>
    <w:rsid w:val="00886EE5"/>
    <w:rsid w:val="00886F34"/>
    <w:rsid w:val="00890673"/>
    <w:rsid w:val="00890A8B"/>
    <w:rsid w:val="00890F47"/>
    <w:rsid w:val="00891E93"/>
    <w:rsid w:val="0089217A"/>
    <w:rsid w:val="00892562"/>
    <w:rsid w:val="008931AE"/>
    <w:rsid w:val="00893AA8"/>
    <w:rsid w:val="00894D4F"/>
    <w:rsid w:val="0089595F"/>
    <w:rsid w:val="008962C3"/>
    <w:rsid w:val="00896814"/>
    <w:rsid w:val="00897003"/>
    <w:rsid w:val="008971F8"/>
    <w:rsid w:val="00897B2D"/>
    <w:rsid w:val="008A01A2"/>
    <w:rsid w:val="008A0A8E"/>
    <w:rsid w:val="008A1372"/>
    <w:rsid w:val="008A14B4"/>
    <w:rsid w:val="008A168E"/>
    <w:rsid w:val="008A34E7"/>
    <w:rsid w:val="008A3633"/>
    <w:rsid w:val="008A3B3D"/>
    <w:rsid w:val="008A3EC9"/>
    <w:rsid w:val="008A4020"/>
    <w:rsid w:val="008A4258"/>
    <w:rsid w:val="008A4E68"/>
    <w:rsid w:val="008A526E"/>
    <w:rsid w:val="008A5715"/>
    <w:rsid w:val="008A585A"/>
    <w:rsid w:val="008A5AF1"/>
    <w:rsid w:val="008A5C04"/>
    <w:rsid w:val="008A62C6"/>
    <w:rsid w:val="008A7325"/>
    <w:rsid w:val="008A78DD"/>
    <w:rsid w:val="008A7AC4"/>
    <w:rsid w:val="008A7B58"/>
    <w:rsid w:val="008B010C"/>
    <w:rsid w:val="008B01E5"/>
    <w:rsid w:val="008B14E7"/>
    <w:rsid w:val="008B15B0"/>
    <w:rsid w:val="008B1EE1"/>
    <w:rsid w:val="008B29DE"/>
    <w:rsid w:val="008B30E3"/>
    <w:rsid w:val="008B324D"/>
    <w:rsid w:val="008B4EF8"/>
    <w:rsid w:val="008B5311"/>
    <w:rsid w:val="008B579B"/>
    <w:rsid w:val="008B57EF"/>
    <w:rsid w:val="008B654C"/>
    <w:rsid w:val="008B6BE6"/>
    <w:rsid w:val="008B79CA"/>
    <w:rsid w:val="008B7D43"/>
    <w:rsid w:val="008C0919"/>
    <w:rsid w:val="008C1942"/>
    <w:rsid w:val="008C2297"/>
    <w:rsid w:val="008C31C4"/>
    <w:rsid w:val="008C422C"/>
    <w:rsid w:val="008C440B"/>
    <w:rsid w:val="008C4DA6"/>
    <w:rsid w:val="008C5360"/>
    <w:rsid w:val="008C567D"/>
    <w:rsid w:val="008C5D59"/>
    <w:rsid w:val="008C7114"/>
    <w:rsid w:val="008C787B"/>
    <w:rsid w:val="008C7B97"/>
    <w:rsid w:val="008C7CA9"/>
    <w:rsid w:val="008C7EFE"/>
    <w:rsid w:val="008D0FF3"/>
    <w:rsid w:val="008D159F"/>
    <w:rsid w:val="008D29A6"/>
    <w:rsid w:val="008D2FC3"/>
    <w:rsid w:val="008D39D5"/>
    <w:rsid w:val="008D4032"/>
    <w:rsid w:val="008D4238"/>
    <w:rsid w:val="008D43FF"/>
    <w:rsid w:val="008D45B0"/>
    <w:rsid w:val="008D4BAE"/>
    <w:rsid w:val="008D4DB5"/>
    <w:rsid w:val="008D515A"/>
    <w:rsid w:val="008D6529"/>
    <w:rsid w:val="008E0324"/>
    <w:rsid w:val="008E0B06"/>
    <w:rsid w:val="008E0DB9"/>
    <w:rsid w:val="008E14CD"/>
    <w:rsid w:val="008E1C58"/>
    <w:rsid w:val="008E1D78"/>
    <w:rsid w:val="008E1DE9"/>
    <w:rsid w:val="008E2299"/>
    <w:rsid w:val="008E2D92"/>
    <w:rsid w:val="008E3B17"/>
    <w:rsid w:val="008E3B6F"/>
    <w:rsid w:val="008E3C56"/>
    <w:rsid w:val="008E4A08"/>
    <w:rsid w:val="008E5DF4"/>
    <w:rsid w:val="008E625B"/>
    <w:rsid w:val="008E6704"/>
    <w:rsid w:val="008E6B54"/>
    <w:rsid w:val="008E76E9"/>
    <w:rsid w:val="008F013A"/>
    <w:rsid w:val="008F05B4"/>
    <w:rsid w:val="008F0B7D"/>
    <w:rsid w:val="008F0C22"/>
    <w:rsid w:val="008F1965"/>
    <w:rsid w:val="008F1C03"/>
    <w:rsid w:val="008F2098"/>
    <w:rsid w:val="008F2639"/>
    <w:rsid w:val="008F289D"/>
    <w:rsid w:val="008F2942"/>
    <w:rsid w:val="008F3219"/>
    <w:rsid w:val="008F3622"/>
    <w:rsid w:val="008F3AF3"/>
    <w:rsid w:val="008F4F19"/>
    <w:rsid w:val="008F54F0"/>
    <w:rsid w:val="008F5BB7"/>
    <w:rsid w:val="008F5E25"/>
    <w:rsid w:val="008F717F"/>
    <w:rsid w:val="008F72CB"/>
    <w:rsid w:val="008F760E"/>
    <w:rsid w:val="0090027D"/>
    <w:rsid w:val="009009C3"/>
    <w:rsid w:val="00900C00"/>
    <w:rsid w:val="00900FAB"/>
    <w:rsid w:val="009012CD"/>
    <w:rsid w:val="0090139E"/>
    <w:rsid w:val="009014F7"/>
    <w:rsid w:val="00901B1D"/>
    <w:rsid w:val="00901BA4"/>
    <w:rsid w:val="00901EEE"/>
    <w:rsid w:val="00902A00"/>
    <w:rsid w:val="00902C3A"/>
    <w:rsid w:val="00903553"/>
    <w:rsid w:val="00903833"/>
    <w:rsid w:val="00903C6A"/>
    <w:rsid w:val="00904C01"/>
    <w:rsid w:val="00904F8C"/>
    <w:rsid w:val="00905172"/>
    <w:rsid w:val="00905A9E"/>
    <w:rsid w:val="00906037"/>
    <w:rsid w:val="00906345"/>
    <w:rsid w:val="009063FE"/>
    <w:rsid w:val="00906FB3"/>
    <w:rsid w:val="009077DB"/>
    <w:rsid w:val="00907F5F"/>
    <w:rsid w:val="0091062B"/>
    <w:rsid w:val="0091106C"/>
    <w:rsid w:val="0091135C"/>
    <w:rsid w:val="00911D61"/>
    <w:rsid w:val="0091210F"/>
    <w:rsid w:val="00912177"/>
    <w:rsid w:val="00912904"/>
    <w:rsid w:val="00912CCA"/>
    <w:rsid w:val="0091351D"/>
    <w:rsid w:val="00913638"/>
    <w:rsid w:val="009138C8"/>
    <w:rsid w:val="0091488E"/>
    <w:rsid w:val="009148C8"/>
    <w:rsid w:val="00914B5B"/>
    <w:rsid w:val="00915892"/>
    <w:rsid w:val="00916F13"/>
    <w:rsid w:val="00917AAA"/>
    <w:rsid w:val="00917ED7"/>
    <w:rsid w:val="0092087D"/>
    <w:rsid w:val="00920D80"/>
    <w:rsid w:val="00922378"/>
    <w:rsid w:val="00922A96"/>
    <w:rsid w:val="00922E62"/>
    <w:rsid w:val="00923C2E"/>
    <w:rsid w:val="009242B7"/>
    <w:rsid w:val="009245A6"/>
    <w:rsid w:val="00924A17"/>
    <w:rsid w:val="009255BD"/>
    <w:rsid w:val="00925CB6"/>
    <w:rsid w:val="009264D8"/>
    <w:rsid w:val="00926549"/>
    <w:rsid w:val="00927051"/>
    <w:rsid w:val="00927671"/>
    <w:rsid w:val="00927D6A"/>
    <w:rsid w:val="009317FF"/>
    <w:rsid w:val="00931EA9"/>
    <w:rsid w:val="00932056"/>
    <w:rsid w:val="009336AB"/>
    <w:rsid w:val="0093374D"/>
    <w:rsid w:val="00933804"/>
    <w:rsid w:val="00933C93"/>
    <w:rsid w:val="00933CDC"/>
    <w:rsid w:val="00933DF0"/>
    <w:rsid w:val="00933FF7"/>
    <w:rsid w:val="00934159"/>
    <w:rsid w:val="009347D0"/>
    <w:rsid w:val="009348B4"/>
    <w:rsid w:val="00934CF7"/>
    <w:rsid w:val="00935489"/>
    <w:rsid w:val="0093574A"/>
    <w:rsid w:val="00935A3C"/>
    <w:rsid w:val="00935CA4"/>
    <w:rsid w:val="00935CE5"/>
    <w:rsid w:val="00935E25"/>
    <w:rsid w:val="0093626E"/>
    <w:rsid w:val="00936374"/>
    <w:rsid w:val="00940887"/>
    <w:rsid w:val="00940D34"/>
    <w:rsid w:val="009417BA"/>
    <w:rsid w:val="00941906"/>
    <w:rsid w:val="00941D58"/>
    <w:rsid w:val="00942CE5"/>
    <w:rsid w:val="00942F07"/>
    <w:rsid w:val="0094432B"/>
    <w:rsid w:val="00944D56"/>
    <w:rsid w:val="009453CE"/>
    <w:rsid w:val="00945FBD"/>
    <w:rsid w:val="00945FDA"/>
    <w:rsid w:val="009462B4"/>
    <w:rsid w:val="009462D9"/>
    <w:rsid w:val="009462FE"/>
    <w:rsid w:val="0094768A"/>
    <w:rsid w:val="00950261"/>
    <w:rsid w:val="009506EB"/>
    <w:rsid w:val="00950C2E"/>
    <w:rsid w:val="009511F3"/>
    <w:rsid w:val="0095157E"/>
    <w:rsid w:val="00952DB5"/>
    <w:rsid w:val="00952F8E"/>
    <w:rsid w:val="00953083"/>
    <w:rsid w:val="0095481F"/>
    <w:rsid w:val="009552C1"/>
    <w:rsid w:val="00955CEE"/>
    <w:rsid w:val="00955E3A"/>
    <w:rsid w:val="00956950"/>
    <w:rsid w:val="00957E4B"/>
    <w:rsid w:val="00960B57"/>
    <w:rsid w:val="00960BC9"/>
    <w:rsid w:val="00960C3F"/>
    <w:rsid w:val="00961271"/>
    <w:rsid w:val="0096135E"/>
    <w:rsid w:val="009622BB"/>
    <w:rsid w:val="009628E9"/>
    <w:rsid w:val="00962F86"/>
    <w:rsid w:val="00963E0F"/>
    <w:rsid w:val="009648A2"/>
    <w:rsid w:val="009648D4"/>
    <w:rsid w:val="00965086"/>
    <w:rsid w:val="00966D63"/>
    <w:rsid w:val="009678B8"/>
    <w:rsid w:val="00970D86"/>
    <w:rsid w:val="00970FDC"/>
    <w:rsid w:val="0097106B"/>
    <w:rsid w:val="00971B97"/>
    <w:rsid w:val="00971D83"/>
    <w:rsid w:val="00971ED8"/>
    <w:rsid w:val="00972780"/>
    <w:rsid w:val="00973C76"/>
    <w:rsid w:val="0097450E"/>
    <w:rsid w:val="00974A27"/>
    <w:rsid w:val="00974D07"/>
    <w:rsid w:val="00975478"/>
    <w:rsid w:val="00975C95"/>
    <w:rsid w:val="00976340"/>
    <w:rsid w:val="00976821"/>
    <w:rsid w:val="00977123"/>
    <w:rsid w:val="0097719C"/>
    <w:rsid w:val="00977433"/>
    <w:rsid w:val="0097753F"/>
    <w:rsid w:val="00977A3B"/>
    <w:rsid w:val="009814A8"/>
    <w:rsid w:val="00982B67"/>
    <w:rsid w:val="0098318A"/>
    <w:rsid w:val="0098338A"/>
    <w:rsid w:val="00984250"/>
    <w:rsid w:val="00984A5F"/>
    <w:rsid w:val="00985296"/>
    <w:rsid w:val="00985E6B"/>
    <w:rsid w:val="009862EE"/>
    <w:rsid w:val="00986F01"/>
    <w:rsid w:val="009900DB"/>
    <w:rsid w:val="009909E8"/>
    <w:rsid w:val="00990B2F"/>
    <w:rsid w:val="00991258"/>
    <w:rsid w:val="00991366"/>
    <w:rsid w:val="00991385"/>
    <w:rsid w:val="009917CC"/>
    <w:rsid w:val="0099181D"/>
    <w:rsid w:val="00992FE4"/>
    <w:rsid w:val="00993180"/>
    <w:rsid w:val="00994FCC"/>
    <w:rsid w:val="0099583F"/>
    <w:rsid w:val="0099591E"/>
    <w:rsid w:val="00996542"/>
    <w:rsid w:val="00996839"/>
    <w:rsid w:val="00996880"/>
    <w:rsid w:val="00996950"/>
    <w:rsid w:val="00996AB2"/>
    <w:rsid w:val="00996BF2"/>
    <w:rsid w:val="00996C5E"/>
    <w:rsid w:val="00997BAD"/>
    <w:rsid w:val="00997C44"/>
    <w:rsid w:val="00997D63"/>
    <w:rsid w:val="009A168D"/>
    <w:rsid w:val="009A1C3A"/>
    <w:rsid w:val="009A2218"/>
    <w:rsid w:val="009A318F"/>
    <w:rsid w:val="009A3902"/>
    <w:rsid w:val="009A418C"/>
    <w:rsid w:val="009A59F8"/>
    <w:rsid w:val="009A5A64"/>
    <w:rsid w:val="009A5D43"/>
    <w:rsid w:val="009A69C8"/>
    <w:rsid w:val="009A6A4E"/>
    <w:rsid w:val="009A6B12"/>
    <w:rsid w:val="009B05BA"/>
    <w:rsid w:val="009B0B4E"/>
    <w:rsid w:val="009B0F9A"/>
    <w:rsid w:val="009B122B"/>
    <w:rsid w:val="009B2950"/>
    <w:rsid w:val="009B2B84"/>
    <w:rsid w:val="009B2D5B"/>
    <w:rsid w:val="009B2E01"/>
    <w:rsid w:val="009B310C"/>
    <w:rsid w:val="009B3951"/>
    <w:rsid w:val="009B3DF0"/>
    <w:rsid w:val="009B46AD"/>
    <w:rsid w:val="009B46ED"/>
    <w:rsid w:val="009B50CA"/>
    <w:rsid w:val="009B6C7E"/>
    <w:rsid w:val="009B7AFD"/>
    <w:rsid w:val="009B7EEF"/>
    <w:rsid w:val="009C0BDD"/>
    <w:rsid w:val="009C2710"/>
    <w:rsid w:val="009C28F0"/>
    <w:rsid w:val="009C2B63"/>
    <w:rsid w:val="009C2CEC"/>
    <w:rsid w:val="009C3879"/>
    <w:rsid w:val="009C396E"/>
    <w:rsid w:val="009C43C0"/>
    <w:rsid w:val="009C54A0"/>
    <w:rsid w:val="009C56F4"/>
    <w:rsid w:val="009C58F0"/>
    <w:rsid w:val="009C5E01"/>
    <w:rsid w:val="009C5E8B"/>
    <w:rsid w:val="009C6BF0"/>
    <w:rsid w:val="009D1B54"/>
    <w:rsid w:val="009D1FBD"/>
    <w:rsid w:val="009D2E93"/>
    <w:rsid w:val="009D378B"/>
    <w:rsid w:val="009D38E0"/>
    <w:rsid w:val="009D555A"/>
    <w:rsid w:val="009D5924"/>
    <w:rsid w:val="009D5B03"/>
    <w:rsid w:val="009D5E4B"/>
    <w:rsid w:val="009D6820"/>
    <w:rsid w:val="009D737B"/>
    <w:rsid w:val="009D7CC1"/>
    <w:rsid w:val="009E04F7"/>
    <w:rsid w:val="009E08C1"/>
    <w:rsid w:val="009E13FC"/>
    <w:rsid w:val="009E1D3D"/>
    <w:rsid w:val="009E2804"/>
    <w:rsid w:val="009E36AF"/>
    <w:rsid w:val="009E3C36"/>
    <w:rsid w:val="009E3C65"/>
    <w:rsid w:val="009E3F98"/>
    <w:rsid w:val="009E53FB"/>
    <w:rsid w:val="009E6141"/>
    <w:rsid w:val="009E653A"/>
    <w:rsid w:val="009E6BEF"/>
    <w:rsid w:val="009E7116"/>
    <w:rsid w:val="009E7813"/>
    <w:rsid w:val="009E7B3F"/>
    <w:rsid w:val="009F0998"/>
    <w:rsid w:val="009F14A0"/>
    <w:rsid w:val="009F1894"/>
    <w:rsid w:val="009F1CDD"/>
    <w:rsid w:val="009F1DB8"/>
    <w:rsid w:val="009F226E"/>
    <w:rsid w:val="009F24D2"/>
    <w:rsid w:val="009F25B8"/>
    <w:rsid w:val="009F273D"/>
    <w:rsid w:val="009F3CAB"/>
    <w:rsid w:val="009F3F37"/>
    <w:rsid w:val="009F43D4"/>
    <w:rsid w:val="009F4411"/>
    <w:rsid w:val="009F5195"/>
    <w:rsid w:val="009F54CE"/>
    <w:rsid w:val="009F5D28"/>
    <w:rsid w:val="009F5DD0"/>
    <w:rsid w:val="009F626E"/>
    <w:rsid w:val="009F66A5"/>
    <w:rsid w:val="009F6A37"/>
    <w:rsid w:val="009F705C"/>
    <w:rsid w:val="009F71EF"/>
    <w:rsid w:val="009F763A"/>
    <w:rsid w:val="009F7E57"/>
    <w:rsid w:val="00A01461"/>
    <w:rsid w:val="00A01641"/>
    <w:rsid w:val="00A01C11"/>
    <w:rsid w:val="00A01CDA"/>
    <w:rsid w:val="00A0246E"/>
    <w:rsid w:val="00A042CE"/>
    <w:rsid w:val="00A04905"/>
    <w:rsid w:val="00A04FAB"/>
    <w:rsid w:val="00A0532A"/>
    <w:rsid w:val="00A05E07"/>
    <w:rsid w:val="00A064CD"/>
    <w:rsid w:val="00A06666"/>
    <w:rsid w:val="00A06E77"/>
    <w:rsid w:val="00A0750D"/>
    <w:rsid w:val="00A07D92"/>
    <w:rsid w:val="00A10D2B"/>
    <w:rsid w:val="00A117D4"/>
    <w:rsid w:val="00A11F04"/>
    <w:rsid w:val="00A12052"/>
    <w:rsid w:val="00A122CB"/>
    <w:rsid w:val="00A123B2"/>
    <w:rsid w:val="00A12B7E"/>
    <w:rsid w:val="00A12C35"/>
    <w:rsid w:val="00A13477"/>
    <w:rsid w:val="00A143EE"/>
    <w:rsid w:val="00A150CF"/>
    <w:rsid w:val="00A1635B"/>
    <w:rsid w:val="00A16CE7"/>
    <w:rsid w:val="00A173D2"/>
    <w:rsid w:val="00A178DC"/>
    <w:rsid w:val="00A17930"/>
    <w:rsid w:val="00A17FFD"/>
    <w:rsid w:val="00A202DD"/>
    <w:rsid w:val="00A206ED"/>
    <w:rsid w:val="00A20909"/>
    <w:rsid w:val="00A21D42"/>
    <w:rsid w:val="00A224F0"/>
    <w:rsid w:val="00A22D7A"/>
    <w:rsid w:val="00A23361"/>
    <w:rsid w:val="00A2370A"/>
    <w:rsid w:val="00A23CF2"/>
    <w:rsid w:val="00A2413D"/>
    <w:rsid w:val="00A2433C"/>
    <w:rsid w:val="00A24A87"/>
    <w:rsid w:val="00A24B6D"/>
    <w:rsid w:val="00A24C4E"/>
    <w:rsid w:val="00A24D49"/>
    <w:rsid w:val="00A24D76"/>
    <w:rsid w:val="00A25013"/>
    <w:rsid w:val="00A251DA"/>
    <w:rsid w:val="00A254BB"/>
    <w:rsid w:val="00A2578B"/>
    <w:rsid w:val="00A25AC9"/>
    <w:rsid w:val="00A25F49"/>
    <w:rsid w:val="00A26107"/>
    <w:rsid w:val="00A26885"/>
    <w:rsid w:val="00A26BF2"/>
    <w:rsid w:val="00A277EA"/>
    <w:rsid w:val="00A27C89"/>
    <w:rsid w:val="00A3053B"/>
    <w:rsid w:val="00A30592"/>
    <w:rsid w:val="00A30FD1"/>
    <w:rsid w:val="00A31478"/>
    <w:rsid w:val="00A32ED6"/>
    <w:rsid w:val="00A33A43"/>
    <w:rsid w:val="00A33E8E"/>
    <w:rsid w:val="00A346A1"/>
    <w:rsid w:val="00A34CE8"/>
    <w:rsid w:val="00A35672"/>
    <w:rsid w:val="00A35EDE"/>
    <w:rsid w:val="00A37151"/>
    <w:rsid w:val="00A3721A"/>
    <w:rsid w:val="00A37337"/>
    <w:rsid w:val="00A37814"/>
    <w:rsid w:val="00A431CF"/>
    <w:rsid w:val="00A436BA"/>
    <w:rsid w:val="00A43A6D"/>
    <w:rsid w:val="00A454C0"/>
    <w:rsid w:val="00A45909"/>
    <w:rsid w:val="00A45B1D"/>
    <w:rsid w:val="00A45EF6"/>
    <w:rsid w:val="00A46181"/>
    <w:rsid w:val="00A4696B"/>
    <w:rsid w:val="00A4697B"/>
    <w:rsid w:val="00A46A45"/>
    <w:rsid w:val="00A47568"/>
    <w:rsid w:val="00A47E3F"/>
    <w:rsid w:val="00A509AA"/>
    <w:rsid w:val="00A51134"/>
    <w:rsid w:val="00A5150F"/>
    <w:rsid w:val="00A516E7"/>
    <w:rsid w:val="00A51948"/>
    <w:rsid w:val="00A52ADB"/>
    <w:rsid w:val="00A52BC1"/>
    <w:rsid w:val="00A52CA8"/>
    <w:rsid w:val="00A52F82"/>
    <w:rsid w:val="00A531BF"/>
    <w:rsid w:val="00A535CB"/>
    <w:rsid w:val="00A53AAA"/>
    <w:rsid w:val="00A53D67"/>
    <w:rsid w:val="00A53E84"/>
    <w:rsid w:val="00A53E9E"/>
    <w:rsid w:val="00A5439D"/>
    <w:rsid w:val="00A54CA5"/>
    <w:rsid w:val="00A55BF8"/>
    <w:rsid w:val="00A55F52"/>
    <w:rsid w:val="00A560E9"/>
    <w:rsid w:val="00A56A37"/>
    <w:rsid w:val="00A56E6C"/>
    <w:rsid w:val="00A57470"/>
    <w:rsid w:val="00A574B0"/>
    <w:rsid w:val="00A57745"/>
    <w:rsid w:val="00A57F03"/>
    <w:rsid w:val="00A604E9"/>
    <w:rsid w:val="00A60800"/>
    <w:rsid w:val="00A61E61"/>
    <w:rsid w:val="00A63B97"/>
    <w:rsid w:val="00A63CC1"/>
    <w:rsid w:val="00A64477"/>
    <w:rsid w:val="00A64673"/>
    <w:rsid w:val="00A64800"/>
    <w:rsid w:val="00A65C02"/>
    <w:rsid w:val="00A65CB8"/>
    <w:rsid w:val="00A65DAA"/>
    <w:rsid w:val="00A66C64"/>
    <w:rsid w:val="00A67128"/>
    <w:rsid w:val="00A6727C"/>
    <w:rsid w:val="00A67953"/>
    <w:rsid w:val="00A6799D"/>
    <w:rsid w:val="00A67E93"/>
    <w:rsid w:val="00A70574"/>
    <w:rsid w:val="00A70BE1"/>
    <w:rsid w:val="00A70EB7"/>
    <w:rsid w:val="00A70F91"/>
    <w:rsid w:val="00A7118B"/>
    <w:rsid w:val="00A71295"/>
    <w:rsid w:val="00A713AC"/>
    <w:rsid w:val="00A71911"/>
    <w:rsid w:val="00A71DC7"/>
    <w:rsid w:val="00A730F9"/>
    <w:rsid w:val="00A73435"/>
    <w:rsid w:val="00A73655"/>
    <w:rsid w:val="00A736B3"/>
    <w:rsid w:val="00A739FD"/>
    <w:rsid w:val="00A73F32"/>
    <w:rsid w:val="00A74943"/>
    <w:rsid w:val="00A74C44"/>
    <w:rsid w:val="00A751DB"/>
    <w:rsid w:val="00A755AB"/>
    <w:rsid w:val="00A76236"/>
    <w:rsid w:val="00A76269"/>
    <w:rsid w:val="00A763A1"/>
    <w:rsid w:val="00A7659E"/>
    <w:rsid w:val="00A76DE0"/>
    <w:rsid w:val="00A81452"/>
    <w:rsid w:val="00A832B1"/>
    <w:rsid w:val="00A8334C"/>
    <w:rsid w:val="00A83904"/>
    <w:rsid w:val="00A83CCE"/>
    <w:rsid w:val="00A84CCF"/>
    <w:rsid w:val="00A84E2C"/>
    <w:rsid w:val="00A85194"/>
    <w:rsid w:val="00A85E15"/>
    <w:rsid w:val="00A8639F"/>
    <w:rsid w:val="00A87030"/>
    <w:rsid w:val="00A872F9"/>
    <w:rsid w:val="00A90956"/>
    <w:rsid w:val="00A90C18"/>
    <w:rsid w:val="00A918FC"/>
    <w:rsid w:val="00A9291A"/>
    <w:rsid w:val="00A92A48"/>
    <w:rsid w:val="00A93324"/>
    <w:rsid w:val="00A93A43"/>
    <w:rsid w:val="00A946B9"/>
    <w:rsid w:val="00A94C92"/>
    <w:rsid w:val="00A951DC"/>
    <w:rsid w:val="00A957F4"/>
    <w:rsid w:val="00A95E4A"/>
    <w:rsid w:val="00A960BE"/>
    <w:rsid w:val="00A96733"/>
    <w:rsid w:val="00A9680F"/>
    <w:rsid w:val="00A96833"/>
    <w:rsid w:val="00A96E6E"/>
    <w:rsid w:val="00A97748"/>
    <w:rsid w:val="00AA025C"/>
    <w:rsid w:val="00AA0835"/>
    <w:rsid w:val="00AA2EB6"/>
    <w:rsid w:val="00AA3AB4"/>
    <w:rsid w:val="00AA40F0"/>
    <w:rsid w:val="00AA4640"/>
    <w:rsid w:val="00AA4CAF"/>
    <w:rsid w:val="00AA50D3"/>
    <w:rsid w:val="00AA5411"/>
    <w:rsid w:val="00AA5AE8"/>
    <w:rsid w:val="00AA5B22"/>
    <w:rsid w:val="00AA6261"/>
    <w:rsid w:val="00AA64D6"/>
    <w:rsid w:val="00AA650C"/>
    <w:rsid w:val="00AA65A2"/>
    <w:rsid w:val="00AA696E"/>
    <w:rsid w:val="00AA7543"/>
    <w:rsid w:val="00AB012C"/>
    <w:rsid w:val="00AB04EB"/>
    <w:rsid w:val="00AB0D35"/>
    <w:rsid w:val="00AB1499"/>
    <w:rsid w:val="00AB19A5"/>
    <w:rsid w:val="00AB21F7"/>
    <w:rsid w:val="00AB2225"/>
    <w:rsid w:val="00AB279C"/>
    <w:rsid w:val="00AB29B6"/>
    <w:rsid w:val="00AB2C24"/>
    <w:rsid w:val="00AB357F"/>
    <w:rsid w:val="00AB478E"/>
    <w:rsid w:val="00AB4C62"/>
    <w:rsid w:val="00AB5032"/>
    <w:rsid w:val="00AB5B52"/>
    <w:rsid w:val="00AB6AA9"/>
    <w:rsid w:val="00AB6B8F"/>
    <w:rsid w:val="00AB70EA"/>
    <w:rsid w:val="00AB71A5"/>
    <w:rsid w:val="00AB7CBB"/>
    <w:rsid w:val="00AC0A07"/>
    <w:rsid w:val="00AC1047"/>
    <w:rsid w:val="00AC122C"/>
    <w:rsid w:val="00AC1A64"/>
    <w:rsid w:val="00AC2189"/>
    <w:rsid w:val="00AC29E7"/>
    <w:rsid w:val="00AC43C1"/>
    <w:rsid w:val="00AC4837"/>
    <w:rsid w:val="00AC5A31"/>
    <w:rsid w:val="00AC604F"/>
    <w:rsid w:val="00AC6736"/>
    <w:rsid w:val="00AC6A84"/>
    <w:rsid w:val="00AC70C3"/>
    <w:rsid w:val="00AC7E71"/>
    <w:rsid w:val="00AD05CB"/>
    <w:rsid w:val="00AD1245"/>
    <w:rsid w:val="00AD1728"/>
    <w:rsid w:val="00AD22DC"/>
    <w:rsid w:val="00AD2372"/>
    <w:rsid w:val="00AD2CA7"/>
    <w:rsid w:val="00AD31AE"/>
    <w:rsid w:val="00AD32D9"/>
    <w:rsid w:val="00AD368C"/>
    <w:rsid w:val="00AD3774"/>
    <w:rsid w:val="00AD4001"/>
    <w:rsid w:val="00AD666A"/>
    <w:rsid w:val="00AD6920"/>
    <w:rsid w:val="00AD71EF"/>
    <w:rsid w:val="00AD74A9"/>
    <w:rsid w:val="00AD7BB9"/>
    <w:rsid w:val="00AE04A8"/>
    <w:rsid w:val="00AE0640"/>
    <w:rsid w:val="00AE23DE"/>
    <w:rsid w:val="00AE2772"/>
    <w:rsid w:val="00AE2909"/>
    <w:rsid w:val="00AE299E"/>
    <w:rsid w:val="00AE3058"/>
    <w:rsid w:val="00AE40DB"/>
    <w:rsid w:val="00AE4146"/>
    <w:rsid w:val="00AE490A"/>
    <w:rsid w:val="00AE4923"/>
    <w:rsid w:val="00AE4EC2"/>
    <w:rsid w:val="00AE536E"/>
    <w:rsid w:val="00AE56F4"/>
    <w:rsid w:val="00AE6407"/>
    <w:rsid w:val="00AE66F0"/>
    <w:rsid w:val="00AE6872"/>
    <w:rsid w:val="00AE70B8"/>
    <w:rsid w:val="00AE73E7"/>
    <w:rsid w:val="00AE7B10"/>
    <w:rsid w:val="00AE7E9D"/>
    <w:rsid w:val="00AF0EE6"/>
    <w:rsid w:val="00AF1062"/>
    <w:rsid w:val="00AF1D2C"/>
    <w:rsid w:val="00AF2606"/>
    <w:rsid w:val="00AF272C"/>
    <w:rsid w:val="00AF2751"/>
    <w:rsid w:val="00AF28D5"/>
    <w:rsid w:val="00AF3585"/>
    <w:rsid w:val="00AF3E9E"/>
    <w:rsid w:val="00AF3F67"/>
    <w:rsid w:val="00AF4220"/>
    <w:rsid w:val="00AF47E6"/>
    <w:rsid w:val="00AF578F"/>
    <w:rsid w:val="00B002D3"/>
    <w:rsid w:val="00B00D23"/>
    <w:rsid w:val="00B01939"/>
    <w:rsid w:val="00B04180"/>
    <w:rsid w:val="00B04C71"/>
    <w:rsid w:val="00B060DF"/>
    <w:rsid w:val="00B06391"/>
    <w:rsid w:val="00B06E93"/>
    <w:rsid w:val="00B076E7"/>
    <w:rsid w:val="00B1039B"/>
    <w:rsid w:val="00B107A9"/>
    <w:rsid w:val="00B11121"/>
    <w:rsid w:val="00B11F78"/>
    <w:rsid w:val="00B11FFB"/>
    <w:rsid w:val="00B12243"/>
    <w:rsid w:val="00B12400"/>
    <w:rsid w:val="00B1279E"/>
    <w:rsid w:val="00B13146"/>
    <w:rsid w:val="00B13A36"/>
    <w:rsid w:val="00B13A7A"/>
    <w:rsid w:val="00B13ADC"/>
    <w:rsid w:val="00B145E7"/>
    <w:rsid w:val="00B14900"/>
    <w:rsid w:val="00B1570B"/>
    <w:rsid w:val="00B161C4"/>
    <w:rsid w:val="00B16DB9"/>
    <w:rsid w:val="00B17503"/>
    <w:rsid w:val="00B17D5C"/>
    <w:rsid w:val="00B20423"/>
    <w:rsid w:val="00B2073A"/>
    <w:rsid w:val="00B20935"/>
    <w:rsid w:val="00B20C5E"/>
    <w:rsid w:val="00B21AE8"/>
    <w:rsid w:val="00B21C17"/>
    <w:rsid w:val="00B221B4"/>
    <w:rsid w:val="00B2266C"/>
    <w:rsid w:val="00B2351F"/>
    <w:rsid w:val="00B2398D"/>
    <w:rsid w:val="00B2446B"/>
    <w:rsid w:val="00B248C4"/>
    <w:rsid w:val="00B2500D"/>
    <w:rsid w:val="00B252DA"/>
    <w:rsid w:val="00B259B1"/>
    <w:rsid w:val="00B2624E"/>
    <w:rsid w:val="00B26641"/>
    <w:rsid w:val="00B26963"/>
    <w:rsid w:val="00B27DEE"/>
    <w:rsid w:val="00B27FCF"/>
    <w:rsid w:val="00B3042A"/>
    <w:rsid w:val="00B31CB0"/>
    <w:rsid w:val="00B31DB0"/>
    <w:rsid w:val="00B32835"/>
    <w:rsid w:val="00B32AE1"/>
    <w:rsid w:val="00B33D7D"/>
    <w:rsid w:val="00B34632"/>
    <w:rsid w:val="00B3491B"/>
    <w:rsid w:val="00B34AF5"/>
    <w:rsid w:val="00B35D93"/>
    <w:rsid w:val="00B361B2"/>
    <w:rsid w:val="00B362E8"/>
    <w:rsid w:val="00B368D8"/>
    <w:rsid w:val="00B36FDE"/>
    <w:rsid w:val="00B370D4"/>
    <w:rsid w:val="00B3739A"/>
    <w:rsid w:val="00B37406"/>
    <w:rsid w:val="00B375E1"/>
    <w:rsid w:val="00B37B27"/>
    <w:rsid w:val="00B37CAD"/>
    <w:rsid w:val="00B37DF2"/>
    <w:rsid w:val="00B40811"/>
    <w:rsid w:val="00B409CB"/>
    <w:rsid w:val="00B429EF"/>
    <w:rsid w:val="00B4352B"/>
    <w:rsid w:val="00B43DA4"/>
    <w:rsid w:val="00B43F71"/>
    <w:rsid w:val="00B44338"/>
    <w:rsid w:val="00B44918"/>
    <w:rsid w:val="00B4510A"/>
    <w:rsid w:val="00B45667"/>
    <w:rsid w:val="00B458AA"/>
    <w:rsid w:val="00B45E8E"/>
    <w:rsid w:val="00B46070"/>
    <w:rsid w:val="00B461E2"/>
    <w:rsid w:val="00B46B1F"/>
    <w:rsid w:val="00B46B8E"/>
    <w:rsid w:val="00B46C51"/>
    <w:rsid w:val="00B46C79"/>
    <w:rsid w:val="00B5028E"/>
    <w:rsid w:val="00B505BA"/>
    <w:rsid w:val="00B50E4E"/>
    <w:rsid w:val="00B515F2"/>
    <w:rsid w:val="00B5215E"/>
    <w:rsid w:val="00B52BF5"/>
    <w:rsid w:val="00B533D6"/>
    <w:rsid w:val="00B536D4"/>
    <w:rsid w:val="00B54349"/>
    <w:rsid w:val="00B54A25"/>
    <w:rsid w:val="00B54B96"/>
    <w:rsid w:val="00B54E31"/>
    <w:rsid w:val="00B5508E"/>
    <w:rsid w:val="00B55474"/>
    <w:rsid w:val="00B559FF"/>
    <w:rsid w:val="00B55B70"/>
    <w:rsid w:val="00B55E4E"/>
    <w:rsid w:val="00B56BC9"/>
    <w:rsid w:val="00B57119"/>
    <w:rsid w:val="00B5716F"/>
    <w:rsid w:val="00B57307"/>
    <w:rsid w:val="00B57968"/>
    <w:rsid w:val="00B57992"/>
    <w:rsid w:val="00B57999"/>
    <w:rsid w:val="00B57A8A"/>
    <w:rsid w:val="00B57E2F"/>
    <w:rsid w:val="00B600B6"/>
    <w:rsid w:val="00B6099E"/>
    <w:rsid w:val="00B60D6A"/>
    <w:rsid w:val="00B61DC5"/>
    <w:rsid w:val="00B620CC"/>
    <w:rsid w:val="00B62238"/>
    <w:rsid w:val="00B62413"/>
    <w:rsid w:val="00B62D7D"/>
    <w:rsid w:val="00B63ADB"/>
    <w:rsid w:val="00B63FF2"/>
    <w:rsid w:val="00B64274"/>
    <w:rsid w:val="00B650CD"/>
    <w:rsid w:val="00B655C4"/>
    <w:rsid w:val="00B65A32"/>
    <w:rsid w:val="00B65C8E"/>
    <w:rsid w:val="00B7020D"/>
    <w:rsid w:val="00B70B95"/>
    <w:rsid w:val="00B70E34"/>
    <w:rsid w:val="00B70EF8"/>
    <w:rsid w:val="00B71282"/>
    <w:rsid w:val="00B723BA"/>
    <w:rsid w:val="00B72F5A"/>
    <w:rsid w:val="00B73111"/>
    <w:rsid w:val="00B733FC"/>
    <w:rsid w:val="00B73CA4"/>
    <w:rsid w:val="00B73D93"/>
    <w:rsid w:val="00B74927"/>
    <w:rsid w:val="00B74F93"/>
    <w:rsid w:val="00B752B9"/>
    <w:rsid w:val="00B754E1"/>
    <w:rsid w:val="00B75BC9"/>
    <w:rsid w:val="00B7632D"/>
    <w:rsid w:val="00B76CD9"/>
    <w:rsid w:val="00B76DA4"/>
    <w:rsid w:val="00B774E0"/>
    <w:rsid w:val="00B77D00"/>
    <w:rsid w:val="00B80496"/>
    <w:rsid w:val="00B806CA"/>
    <w:rsid w:val="00B80D0F"/>
    <w:rsid w:val="00B81C2E"/>
    <w:rsid w:val="00B81D74"/>
    <w:rsid w:val="00B822A7"/>
    <w:rsid w:val="00B828E6"/>
    <w:rsid w:val="00B82B57"/>
    <w:rsid w:val="00B841C7"/>
    <w:rsid w:val="00B847A7"/>
    <w:rsid w:val="00B849F2"/>
    <w:rsid w:val="00B858EF"/>
    <w:rsid w:val="00B8709E"/>
    <w:rsid w:val="00B874C3"/>
    <w:rsid w:val="00B87656"/>
    <w:rsid w:val="00B878FE"/>
    <w:rsid w:val="00B902A1"/>
    <w:rsid w:val="00B918DA"/>
    <w:rsid w:val="00B91AD4"/>
    <w:rsid w:val="00B91B8D"/>
    <w:rsid w:val="00B91F68"/>
    <w:rsid w:val="00B924CD"/>
    <w:rsid w:val="00B92FB4"/>
    <w:rsid w:val="00B9318C"/>
    <w:rsid w:val="00B933DC"/>
    <w:rsid w:val="00B93880"/>
    <w:rsid w:val="00B93C7F"/>
    <w:rsid w:val="00B94751"/>
    <w:rsid w:val="00B94B3A"/>
    <w:rsid w:val="00B95706"/>
    <w:rsid w:val="00B96087"/>
    <w:rsid w:val="00B96BF8"/>
    <w:rsid w:val="00B975B7"/>
    <w:rsid w:val="00BA1E8F"/>
    <w:rsid w:val="00BA1F77"/>
    <w:rsid w:val="00BA235D"/>
    <w:rsid w:val="00BA2455"/>
    <w:rsid w:val="00BA2738"/>
    <w:rsid w:val="00BA2C39"/>
    <w:rsid w:val="00BA2D98"/>
    <w:rsid w:val="00BA36F5"/>
    <w:rsid w:val="00BA4030"/>
    <w:rsid w:val="00BA42C9"/>
    <w:rsid w:val="00BA430C"/>
    <w:rsid w:val="00BA4726"/>
    <w:rsid w:val="00BA4B00"/>
    <w:rsid w:val="00BA4B87"/>
    <w:rsid w:val="00BA4E55"/>
    <w:rsid w:val="00BA50C2"/>
    <w:rsid w:val="00BA5754"/>
    <w:rsid w:val="00BA62D7"/>
    <w:rsid w:val="00BA7D18"/>
    <w:rsid w:val="00BB00D1"/>
    <w:rsid w:val="00BB3DC7"/>
    <w:rsid w:val="00BB44E7"/>
    <w:rsid w:val="00BB4871"/>
    <w:rsid w:val="00BB4F88"/>
    <w:rsid w:val="00BB57B9"/>
    <w:rsid w:val="00BB703D"/>
    <w:rsid w:val="00BB7632"/>
    <w:rsid w:val="00BC021E"/>
    <w:rsid w:val="00BC0288"/>
    <w:rsid w:val="00BC0856"/>
    <w:rsid w:val="00BC0901"/>
    <w:rsid w:val="00BC0B83"/>
    <w:rsid w:val="00BC0CD4"/>
    <w:rsid w:val="00BC115F"/>
    <w:rsid w:val="00BC1BD4"/>
    <w:rsid w:val="00BC2183"/>
    <w:rsid w:val="00BC246F"/>
    <w:rsid w:val="00BC24C9"/>
    <w:rsid w:val="00BC25B3"/>
    <w:rsid w:val="00BC2FA2"/>
    <w:rsid w:val="00BC31EF"/>
    <w:rsid w:val="00BC33F6"/>
    <w:rsid w:val="00BC46BC"/>
    <w:rsid w:val="00BC6DF5"/>
    <w:rsid w:val="00BC7132"/>
    <w:rsid w:val="00BD0BDC"/>
    <w:rsid w:val="00BD0C5E"/>
    <w:rsid w:val="00BD12B3"/>
    <w:rsid w:val="00BD15D5"/>
    <w:rsid w:val="00BD1ABD"/>
    <w:rsid w:val="00BD20D6"/>
    <w:rsid w:val="00BD20E4"/>
    <w:rsid w:val="00BD2E6E"/>
    <w:rsid w:val="00BD3066"/>
    <w:rsid w:val="00BD4CC1"/>
    <w:rsid w:val="00BD4DD3"/>
    <w:rsid w:val="00BD53A3"/>
    <w:rsid w:val="00BD5995"/>
    <w:rsid w:val="00BD5ACD"/>
    <w:rsid w:val="00BD6090"/>
    <w:rsid w:val="00BD6496"/>
    <w:rsid w:val="00BD6AB5"/>
    <w:rsid w:val="00BD6C72"/>
    <w:rsid w:val="00BD737A"/>
    <w:rsid w:val="00BD7B9D"/>
    <w:rsid w:val="00BE0248"/>
    <w:rsid w:val="00BE048A"/>
    <w:rsid w:val="00BE05C3"/>
    <w:rsid w:val="00BE0C61"/>
    <w:rsid w:val="00BE141C"/>
    <w:rsid w:val="00BE1A09"/>
    <w:rsid w:val="00BE23F6"/>
    <w:rsid w:val="00BE29D8"/>
    <w:rsid w:val="00BE31B8"/>
    <w:rsid w:val="00BE3602"/>
    <w:rsid w:val="00BE49EF"/>
    <w:rsid w:val="00BE6A00"/>
    <w:rsid w:val="00BE6E2B"/>
    <w:rsid w:val="00BF0A17"/>
    <w:rsid w:val="00BF0AFC"/>
    <w:rsid w:val="00BF0B72"/>
    <w:rsid w:val="00BF14FF"/>
    <w:rsid w:val="00BF1567"/>
    <w:rsid w:val="00BF1C40"/>
    <w:rsid w:val="00BF1F01"/>
    <w:rsid w:val="00BF2AA6"/>
    <w:rsid w:val="00BF3A49"/>
    <w:rsid w:val="00BF3B09"/>
    <w:rsid w:val="00BF412C"/>
    <w:rsid w:val="00BF4A86"/>
    <w:rsid w:val="00BF50A2"/>
    <w:rsid w:val="00BF54DE"/>
    <w:rsid w:val="00BF556C"/>
    <w:rsid w:val="00BF72CD"/>
    <w:rsid w:val="00BF73E5"/>
    <w:rsid w:val="00C0063A"/>
    <w:rsid w:val="00C00C4C"/>
    <w:rsid w:val="00C014AA"/>
    <w:rsid w:val="00C01F3D"/>
    <w:rsid w:val="00C01FD7"/>
    <w:rsid w:val="00C027D1"/>
    <w:rsid w:val="00C03079"/>
    <w:rsid w:val="00C03287"/>
    <w:rsid w:val="00C03496"/>
    <w:rsid w:val="00C04BA3"/>
    <w:rsid w:val="00C04C6B"/>
    <w:rsid w:val="00C04FFD"/>
    <w:rsid w:val="00C0536B"/>
    <w:rsid w:val="00C05517"/>
    <w:rsid w:val="00C05D9D"/>
    <w:rsid w:val="00C05DC4"/>
    <w:rsid w:val="00C065D3"/>
    <w:rsid w:val="00C06DCB"/>
    <w:rsid w:val="00C106CB"/>
    <w:rsid w:val="00C1098E"/>
    <w:rsid w:val="00C112C9"/>
    <w:rsid w:val="00C11B88"/>
    <w:rsid w:val="00C120DF"/>
    <w:rsid w:val="00C121CE"/>
    <w:rsid w:val="00C1295F"/>
    <w:rsid w:val="00C12A9A"/>
    <w:rsid w:val="00C12AEE"/>
    <w:rsid w:val="00C1303E"/>
    <w:rsid w:val="00C13548"/>
    <w:rsid w:val="00C13F5F"/>
    <w:rsid w:val="00C15153"/>
    <w:rsid w:val="00C15988"/>
    <w:rsid w:val="00C16984"/>
    <w:rsid w:val="00C17547"/>
    <w:rsid w:val="00C176AE"/>
    <w:rsid w:val="00C17EA7"/>
    <w:rsid w:val="00C2039A"/>
    <w:rsid w:val="00C20C63"/>
    <w:rsid w:val="00C20EFB"/>
    <w:rsid w:val="00C21398"/>
    <w:rsid w:val="00C21E12"/>
    <w:rsid w:val="00C2218E"/>
    <w:rsid w:val="00C2268F"/>
    <w:rsid w:val="00C226DB"/>
    <w:rsid w:val="00C229FD"/>
    <w:rsid w:val="00C22BFE"/>
    <w:rsid w:val="00C24661"/>
    <w:rsid w:val="00C24BF5"/>
    <w:rsid w:val="00C25ABD"/>
    <w:rsid w:val="00C25D92"/>
    <w:rsid w:val="00C26743"/>
    <w:rsid w:val="00C26B9D"/>
    <w:rsid w:val="00C26FD7"/>
    <w:rsid w:val="00C27776"/>
    <w:rsid w:val="00C279E6"/>
    <w:rsid w:val="00C27F92"/>
    <w:rsid w:val="00C302D2"/>
    <w:rsid w:val="00C308F3"/>
    <w:rsid w:val="00C30BCD"/>
    <w:rsid w:val="00C31BB8"/>
    <w:rsid w:val="00C31D82"/>
    <w:rsid w:val="00C3209B"/>
    <w:rsid w:val="00C33C03"/>
    <w:rsid w:val="00C33F2F"/>
    <w:rsid w:val="00C3444D"/>
    <w:rsid w:val="00C35176"/>
    <w:rsid w:val="00C354D6"/>
    <w:rsid w:val="00C355C1"/>
    <w:rsid w:val="00C3622F"/>
    <w:rsid w:val="00C36378"/>
    <w:rsid w:val="00C3743C"/>
    <w:rsid w:val="00C378C5"/>
    <w:rsid w:val="00C37BE8"/>
    <w:rsid w:val="00C41102"/>
    <w:rsid w:val="00C4141F"/>
    <w:rsid w:val="00C418F6"/>
    <w:rsid w:val="00C4205E"/>
    <w:rsid w:val="00C42CDE"/>
    <w:rsid w:val="00C43963"/>
    <w:rsid w:val="00C45142"/>
    <w:rsid w:val="00C4584F"/>
    <w:rsid w:val="00C45935"/>
    <w:rsid w:val="00C46639"/>
    <w:rsid w:val="00C4672B"/>
    <w:rsid w:val="00C468D4"/>
    <w:rsid w:val="00C46AFD"/>
    <w:rsid w:val="00C46B41"/>
    <w:rsid w:val="00C46C6D"/>
    <w:rsid w:val="00C46E40"/>
    <w:rsid w:val="00C4750D"/>
    <w:rsid w:val="00C47BA6"/>
    <w:rsid w:val="00C50751"/>
    <w:rsid w:val="00C509BF"/>
    <w:rsid w:val="00C50BE9"/>
    <w:rsid w:val="00C514D3"/>
    <w:rsid w:val="00C5279E"/>
    <w:rsid w:val="00C52DC8"/>
    <w:rsid w:val="00C54676"/>
    <w:rsid w:val="00C548AE"/>
    <w:rsid w:val="00C55D92"/>
    <w:rsid w:val="00C575D4"/>
    <w:rsid w:val="00C57BD0"/>
    <w:rsid w:val="00C604AF"/>
    <w:rsid w:val="00C62350"/>
    <w:rsid w:val="00C638AF"/>
    <w:rsid w:val="00C63C46"/>
    <w:rsid w:val="00C6456D"/>
    <w:rsid w:val="00C64F9C"/>
    <w:rsid w:val="00C6510B"/>
    <w:rsid w:val="00C65462"/>
    <w:rsid w:val="00C6558D"/>
    <w:rsid w:val="00C667F1"/>
    <w:rsid w:val="00C67C6B"/>
    <w:rsid w:val="00C67E10"/>
    <w:rsid w:val="00C707BF"/>
    <w:rsid w:val="00C70B47"/>
    <w:rsid w:val="00C70BE0"/>
    <w:rsid w:val="00C70D3E"/>
    <w:rsid w:val="00C7157E"/>
    <w:rsid w:val="00C71BE7"/>
    <w:rsid w:val="00C71EA8"/>
    <w:rsid w:val="00C72A72"/>
    <w:rsid w:val="00C72C88"/>
    <w:rsid w:val="00C72D54"/>
    <w:rsid w:val="00C737F7"/>
    <w:rsid w:val="00C73BEA"/>
    <w:rsid w:val="00C73DF3"/>
    <w:rsid w:val="00C7440A"/>
    <w:rsid w:val="00C74F9C"/>
    <w:rsid w:val="00C75215"/>
    <w:rsid w:val="00C75523"/>
    <w:rsid w:val="00C75765"/>
    <w:rsid w:val="00C75DEB"/>
    <w:rsid w:val="00C75E77"/>
    <w:rsid w:val="00C75F7B"/>
    <w:rsid w:val="00C768C8"/>
    <w:rsid w:val="00C7691B"/>
    <w:rsid w:val="00C77096"/>
    <w:rsid w:val="00C7752D"/>
    <w:rsid w:val="00C775F5"/>
    <w:rsid w:val="00C77E8D"/>
    <w:rsid w:val="00C80ECB"/>
    <w:rsid w:val="00C81B0A"/>
    <w:rsid w:val="00C82DF0"/>
    <w:rsid w:val="00C8314B"/>
    <w:rsid w:val="00C84047"/>
    <w:rsid w:val="00C84F37"/>
    <w:rsid w:val="00C8515F"/>
    <w:rsid w:val="00C864E6"/>
    <w:rsid w:val="00C8680A"/>
    <w:rsid w:val="00C86CE4"/>
    <w:rsid w:val="00C903CB"/>
    <w:rsid w:val="00C917C7"/>
    <w:rsid w:val="00C91925"/>
    <w:rsid w:val="00C92474"/>
    <w:rsid w:val="00C932D7"/>
    <w:rsid w:val="00C93756"/>
    <w:rsid w:val="00C9385B"/>
    <w:rsid w:val="00C93F41"/>
    <w:rsid w:val="00C93FFF"/>
    <w:rsid w:val="00C9420F"/>
    <w:rsid w:val="00C94765"/>
    <w:rsid w:val="00C94AA3"/>
    <w:rsid w:val="00C94F0E"/>
    <w:rsid w:val="00C95284"/>
    <w:rsid w:val="00C95B3A"/>
    <w:rsid w:val="00C961FC"/>
    <w:rsid w:val="00C9636E"/>
    <w:rsid w:val="00C970FA"/>
    <w:rsid w:val="00C97913"/>
    <w:rsid w:val="00C97B26"/>
    <w:rsid w:val="00C97E1C"/>
    <w:rsid w:val="00CA03A9"/>
    <w:rsid w:val="00CA0423"/>
    <w:rsid w:val="00CA04C7"/>
    <w:rsid w:val="00CA069E"/>
    <w:rsid w:val="00CA0E9B"/>
    <w:rsid w:val="00CA152E"/>
    <w:rsid w:val="00CA1B41"/>
    <w:rsid w:val="00CA28DB"/>
    <w:rsid w:val="00CA3B2C"/>
    <w:rsid w:val="00CA4856"/>
    <w:rsid w:val="00CA4FAF"/>
    <w:rsid w:val="00CA57BD"/>
    <w:rsid w:val="00CA602F"/>
    <w:rsid w:val="00CA6A3C"/>
    <w:rsid w:val="00CA6DC5"/>
    <w:rsid w:val="00CA798B"/>
    <w:rsid w:val="00CA7B13"/>
    <w:rsid w:val="00CB013C"/>
    <w:rsid w:val="00CB08FF"/>
    <w:rsid w:val="00CB09E3"/>
    <w:rsid w:val="00CB0DEF"/>
    <w:rsid w:val="00CB118B"/>
    <w:rsid w:val="00CB158E"/>
    <w:rsid w:val="00CB1C47"/>
    <w:rsid w:val="00CB24C7"/>
    <w:rsid w:val="00CB260A"/>
    <w:rsid w:val="00CB2696"/>
    <w:rsid w:val="00CB3603"/>
    <w:rsid w:val="00CB38DD"/>
    <w:rsid w:val="00CB3B61"/>
    <w:rsid w:val="00CB3D06"/>
    <w:rsid w:val="00CB40C9"/>
    <w:rsid w:val="00CB50D7"/>
    <w:rsid w:val="00CB57F0"/>
    <w:rsid w:val="00CB5A82"/>
    <w:rsid w:val="00CB6439"/>
    <w:rsid w:val="00CB6528"/>
    <w:rsid w:val="00CC089F"/>
    <w:rsid w:val="00CC0EAD"/>
    <w:rsid w:val="00CC1021"/>
    <w:rsid w:val="00CC1600"/>
    <w:rsid w:val="00CC213E"/>
    <w:rsid w:val="00CC4EC3"/>
    <w:rsid w:val="00CC5159"/>
    <w:rsid w:val="00CC52E3"/>
    <w:rsid w:val="00CC5330"/>
    <w:rsid w:val="00CC6187"/>
    <w:rsid w:val="00CC63EF"/>
    <w:rsid w:val="00CC647B"/>
    <w:rsid w:val="00CC675C"/>
    <w:rsid w:val="00CC6EE6"/>
    <w:rsid w:val="00CC6F54"/>
    <w:rsid w:val="00CC7E72"/>
    <w:rsid w:val="00CD08F4"/>
    <w:rsid w:val="00CD08F6"/>
    <w:rsid w:val="00CD16F4"/>
    <w:rsid w:val="00CD1AE0"/>
    <w:rsid w:val="00CD25A3"/>
    <w:rsid w:val="00CD2E5F"/>
    <w:rsid w:val="00CD3C15"/>
    <w:rsid w:val="00CD3D0F"/>
    <w:rsid w:val="00CD3E03"/>
    <w:rsid w:val="00CD4E18"/>
    <w:rsid w:val="00CD4FE9"/>
    <w:rsid w:val="00CD5098"/>
    <w:rsid w:val="00CD6A7D"/>
    <w:rsid w:val="00CD7448"/>
    <w:rsid w:val="00CD7876"/>
    <w:rsid w:val="00CD795D"/>
    <w:rsid w:val="00CE05A6"/>
    <w:rsid w:val="00CE0E5C"/>
    <w:rsid w:val="00CE163F"/>
    <w:rsid w:val="00CE17B7"/>
    <w:rsid w:val="00CE17F7"/>
    <w:rsid w:val="00CE1A8B"/>
    <w:rsid w:val="00CE1C3C"/>
    <w:rsid w:val="00CE23EB"/>
    <w:rsid w:val="00CE240E"/>
    <w:rsid w:val="00CE3EF0"/>
    <w:rsid w:val="00CE51D2"/>
    <w:rsid w:val="00CE59E5"/>
    <w:rsid w:val="00CE5E17"/>
    <w:rsid w:val="00CE612A"/>
    <w:rsid w:val="00CE6A06"/>
    <w:rsid w:val="00CF0114"/>
    <w:rsid w:val="00CF0372"/>
    <w:rsid w:val="00CF055C"/>
    <w:rsid w:val="00CF06F7"/>
    <w:rsid w:val="00CF1063"/>
    <w:rsid w:val="00CF1997"/>
    <w:rsid w:val="00CF2865"/>
    <w:rsid w:val="00CF2E74"/>
    <w:rsid w:val="00CF322D"/>
    <w:rsid w:val="00CF386D"/>
    <w:rsid w:val="00CF3C25"/>
    <w:rsid w:val="00CF3FF6"/>
    <w:rsid w:val="00CF41AB"/>
    <w:rsid w:val="00CF4857"/>
    <w:rsid w:val="00CF535A"/>
    <w:rsid w:val="00CF54E6"/>
    <w:rsid w:val="00CF690C"/>
    <w:rsid w:val="00CF6A46"/>
    <w:rsid w:val="00CF751B"/>
    <w:rsid w:val="00CF76BF"/>
    <w:rsid w:val="00CF7E2C"/>
    <w:rsid w:val="00D00300"/>
    <w:rsid w:val="00D003A6"/>
    <w:rsid w:val="00D007A5"/>
    <w:rsid w:val="00D00CB9"/>
    <w:rsid w:val="00D00EC9"/>
    <w:rsid w:val="00D01132"/>
    <w:rsid w:val="00D019DA"/>
    <w:rsid w:val="00D01CE7"/>
    <w:rsid w:val="00D02814"/>
    <w:rsid w:val="00D03623"/>
    <w:rsid w:val="00D038CA"/>
    <w:rsid w:val="00D03DB5"/>
    <w:rsid w:val="00D04DC2"/>
    <w:rsid w:val="00D050C9"/>
    <w:rsid w:val="00D05706"/>
    <w:rsid w:val="00D06106"/>
    <w:rsid w:val="00D06310"/>
    <w:rsid w:val="00D07E22"/>
    <w:rsid w:val="00D10907"/>
    <w:rsid w:val="00D10EA8"/>
    <w:rsid w:val="00D1133B"/>
    <w:rsid w:val="00D113E2"/>
    <w:rsid w:val="00D119CF"/>
    <w:rsid w:val="00D11D0C"/>
    <w:rsid w:val="00D127C2"/>
    <w:rsid w:val="00D12E67"/>
    <w:rsid w:val="00D136C3"/>
    <w:rsid w:val="00D13B51"/>
    <w:rsid w:val="00D14269"/>
    <w:rsid w:val="00D1481E"/>
    <w:rsid w:val="00D15841"/>
    <w:rsid w:val="00D15C50"/>
    <w:rsid w:val="00D1676E"/>
    <w:rsid w:val="00D172F4"/>
    <w:rsid w:val="00D178CD"/>
    <w:rsid w:val="00D178E0"/>
    <w:rsid w:val="00D17EED"/>
    <w:rsid w:val="00D20616"/>
    <w:rsid w:val="00D2142B"/>
    <w:rsid w:val="00D21D3E"/>
    <w:rsid w:val="00D22384"/>
    <w:rsid w:val="00D22667"/>
    <w:rsid w:val="00D22DBE"/>
    <w:rsid w:val="00D23073"/>
    <w:rsid w:val="00D231C6"/>
    <w:rsid w:val="00D24943"/>
    <w:rsid w:val="00D2500D"/>
    <w:rsid w:val="00D25347"/>
    <w:rsid w:val="00D25773"/>
    <w:rsid w:val="00D25979"/>
    <w:rsid w:val="00D267F3"/>
    <w:rsid w:val="00D272ED"/>
    <w:rsid w:val="00D27BC3"/>
    <w:rsid w:val="00D3011D"/>
    <w:rsid w:val="00D30B5C"/>
    <w:rsid w:val="00D30C88"/>
    <w:rsid w:val="00D31CAA"/>
    <w:rsid w:val="00D32882"/>
    <w:rsid w:val="00D32C59"/>
    <w:rsid w:val="00D33D21"/>
    <w:rsid w:val="00D347A8"/>
    <w:rsid w:val="00D34A0E"/>
    <w:rsid w:val="00D3560F"/>
    <w:rsid w:val="00D358B7"/>
    <w:rsid w:val="00D358E5"/>
    <w:rsid w:val="00D35A4A"/>
    <w:rsid w:val="00D3634B"/>
    <w:rsid w:val="00D36C7B"/>
    <w:rsid w:val="00D37FB2"/>
    <w:rsid w:val="00D4000E"/>
    <w:rsid w:val="00D4072D"/>
    <w:rsid w:val="00D42F10"/>
    <w:rsid w:val="00D435CC"/>
    <w:rsid w:val="00D43820"/>
    <w:rsid w:val="00D43C30"/>
    <w:rsid w:val="00D43D17"/>
    <w:rsid w:val="00D4504F"/>
    <w:rsid w:val="00D46D01"/>
    <w:rsid w:val="00D50332"/>
    <w:rsid w:val="00D50F18"/>
    <w:rsid w:val="00D51034"/>
    <w:rsid w:val="00D52837"/>
    <w:rsid w:val="00D52B7B"/>
    <w:rsid w:val="00D52FD5"/>
    <w:rsid w:val="00D53F70"/>
    <w:rsid w:val="00D54B66"/>
    <w:rsid w:val="00D5578C"/>
    <w:rsid w:val="00D558FF"/>
    <w:rsid w:val="00D55D80"/>
    <w:rsid w:val="00D55E50"/>
    <w:rsid w:val="00D5647F"/>
    <w:rsid w:val="00D56A74"/>
    <w:rsid w:val="00D57165"/>
    <w:rsid w:val="00D574B7"/>
    <w:rsid w:val="00D57615"/>
    <w:rsid w:val="00D57FF1"/>
    <w:rsid w:val="00D60016"/>
    <w:rsid w:val="00D60ADB"/>
    <w:rsid w:val="00D61B65"/>
    <w:rsid w:val="00D62225"/>
    <w:rsid w:val="00D62443"/>
    <w:rsid w:val="00D624E2"/>
    <w:rsid w:val="00D626AB"/>
    <w:rsid w:val="00D62B6D"/>
    <w:rsid w:val="00D62EE5"/>
    <w:rsid w:val="00D63A88"/>
    <w:rsid w:val="00D64530"/>
    <w:rsid w:val="00D653AD"/>
    <w:rsid w:val="00D660C9"/>
    <w:rsid w:val="00D66118"/>
    <w:rsid w:val="00D66892"/>
    <w:rsid w:val="00D6724E"/>
    <w:rsid w:val="00D6728F"/>
    <w:rsid w:val="00D6764A"/>
    <w:rsid w:val="00D6797F"/>
    <w:rsid w:val="00D67A6A"/>
    <w:rsid w:val="00D67DDB"/>
    <w:rsid w:val="00D67EF8"/>
    <w:rsid w:val="00D7153F"/>
    <w:rsid w:val="00D72FBD"/>
    <w:rsid w:val="00D738C7"/>
    <w:rsid w:val="00D74258"/>
    <w:rsid w:val="00D74D95"/>
    <w:rsid w:val="00D75797"/>
    <w:rsid w:val="00D757B2"/>
    <w:rsid w:val="00D75AC1"/>
    <w:rsid w:val="00D75FB9"/>
    <w:rsid w:val="00D762D7"/>
    <w:rsid w:val="00D768E5"/>
    <w:rsid w:val="00D76B86"/>
    <w:rsid w:val="00D76CE2"/>
    <w:rsid w:val="00D776E6"/>
    <w:rsid w:val="00D80B32"/>
    <w:rsid w:val="00D80E50"/>
    <w:rsid w:val="00D81322"/>
    <w:rsid w:val="00D81EE7"/>
    <w:rsid w:val="00D822B0"/>
    <w:rsid w:val="00D839A6"/>
    <w:rsid w:val="00D83A1D"/>
    <w:rsid w:val="00D841A1"/>
    <w:rsid w:val="00D844CF"/>
    <w:rsid w:val="00D846DE"/>
    <w:rsid w:val="00D8629F"/>
    <w:rsid w:val="00D866B4"/>
    <w:rsid w:val="00D869D0"/>
    <w:rsid w:val="00D86BB0"/>
    <w:rsid w:val="00D87027"/>
    <w:rsid w:val="00D8720E"/>
    <w:rsid w:val="00D87D1A"/>
    <w:rsid w:val="00D914EA"/>
    <w:rsid w:val="00D91612"/>
    <w:rsid w:val="00D91EBA"/>
    <w:rsid w:val="00D9253E"/>
    <w:rsid w:val="00D93859"/>
    <w:rsid w:val="00D93F20"/>
    <w:rsid w:val="00D94556"/>
    <w:rsid w:val="00D955F6"/>
    <w:rsid w:val="00D96FF1"/>
    <w:rsid w:val="00D97103"/>
    <w:rsid w:val="00D97EB9"/>
    <w:rsid w:val="00D97F4D"/>
    <w:rsid w:val="00DA1356"/>
    <w:rsid w:val="00DA1594"/>
    <w:rsid w:val="00DA1F41"/>
    <w:rsid w:val="00DA2087"/>
    <w:rsid w:val="00DA2E7B"/>
    <w:rsid w:val="00DA2FD2"/>
    <w:rsid w:val="00DA3272"/>
    <w:rsid w:val="00DA38A7"/>
    <w:rsid w:val="00DA3CFA"/>
    <w:rsid w:val="00DA43CF"/>
    <w:rsid w:val="00DA458C"/>
    <w:rsid w:val="00DA4A50"/>
    <w:rsid w:val="00DA5E26"/>
    <w:rsid w:val="00DA7BB6"/>
    <w:rsid w:val="00DA7D76"/>
    <w:rsid w:val="00DB29A2"/>
    <w:rsid w:val="00DB34CF"/>
    <w:rsid w:val="00DB3E32"/>
    <w:rsid w:val="00DB4390"/>
    <w:rsid w:val="00DB4AF7"/>
    <w:rsid w:val="00DB4CC3"/>
    <w:rsid w:val="00DB553A"/>
    <w:rsid w:val="00DB6D30"/>
    <w:rsid w:val="00DB7515"/>
    <w:rsid w:val="00DC001E"/>
    <w:rsid w:val="00DC0400"/>
    <w:rsid w:val="00DC0B3B"/>
    <w:rsid w:val="00DC0F32"/>
    <w:rsid w:val="00DC1D1F"/>
    <w:rsid w:val="00DC2C77"/>
    <w:rsid w:val="00DC4075"/>
    <w:rsid w:val="00DC4153"/>
    <w:rsid w:val="00DC4340"/>
    <w:rsid w:val="00DC4812"/>
    <w:rsid w:val="00DC4E0F"/>
    <w:rsid w:val="00DC5441"/>
    <w:rsid w:val="00DC5478"/>
    <w:rsid w:val="00DC57B1"/>
    <w:rsid w:val="00DC6B08"/>
    <w:rsid w:val="00DC73C8"/>
    <w:rsid w:val="00DC7D6E"/>
    <w:rsid w:val="00DD0646"/>
    <w:rsid w:val="00DD0764"/>
    <w:rsid w:val="00DD0F36"/>
    <w:rsid w:val="00DD16D7"/>
    <w:rsid w:val="00DD1BC8"/>
    <w:rsid w:val="00DD20A1"/>
    <w:rsid w:val="00DD2F77"/>
    <w:rsid w:val="00DD34D1"/>
    <w:rsid w:val="00DD38B7"/>
    <w:rsid w:val="00DD3CB7"/>
    <w:rsid w:val="00DD4317"/>
    <w:rsid w:val="00DD48AB"/>
    <w:rsid w:val="00DD51F1"/>
    <w:rsid w:val="00DD581B"/>
    <w:rsid w:val="00DD5874"/>
    <w:rsid w:val="00DD639C"/>
    <w:rsid w:val="00DD6813"/>
    <w:rsid w:val="00DD6CAD"/>
    <w:rsid w:val="00DE064F"/>
    <w:rsid w:val="00DE1356"/>
    <w:rsid w:val="00DE1367"/>
    <w:rsid w:val="00DE1B1C"/>
    <w:rsid w:val="00DE1D45"/>
    <w:rsid w:val="00DE2849"/>
    <w:rsid w:val="00DE34F3"/>
    <w:rsid w:val="00DE3D58"/>
    <w:rsid w:val="00DE43C9"/>
    <w:rsid w:val="00DE4F6E"/>
    <w:rsid w:val="00DE4FD3"/>
    <w:rsid w:val="00DE52BC"/>
    <w:rsid w:val="00DE68A5"/>
    <w:rsid w:val="00DE6E6D"/>
    <w:rsid w:val="00DE6E70"/>
    <w:rsid w:val="00DE6E81"/>
    <w:rsid w:val="00DE7C34"/>
    <w:rsid w:val="00DF02B8"/>
    <w:rsid w:val="00DF0353"/>
    <w:rsid w:val="00DF0932"/>
    <w:rsid w:val="00DF2404"/>
    <w:rsid w:val="00DF277C"/>
    <w:rsid w:val="00DF366B"/>
    <w:rsid w:val="00DF3D4F"/>
    <w:rsid w:val="00DF4A2F"/>
    <w:rsid w:val="00DF50BF"/>
    <w:rsid w:val="00DF5850"/>
    <w:rsid w:val="00DF695F"/>
    <w:rsid w:val="00DF6A08"/>
    <w:rsid w:val="00DF74DF"/>
    <w:rsid w:val="00E00085"/>
    <w:rsid w:val="00E00713"/>
    <w:rsid w:val="00E00815"/>
    <w:rsid w:val="00E00D4C"/>
    <w:rsid w:val="00E00F5A"/>
    <w:rsid w:val="00E01058"/>
    <w:rsid w:val="00E01556"/>
    <w:rsid w:val="00E02407"/>
    <w:rsid w:val="00E02C93"/>
    <w:rsid w:val="00E02DFF"/>
    <w:rsid w:val="00E02E9B"/>
    <w:rsid w:val="00E04477"/>
    <w:rsid w:val="00E04F0B"/>
    <w:rsid w:val="00E05173"/>
    <w:rsid w:val="00E053E3"/>
    <w:rsid w:val="00E0585D"/>
    <w:rsid w:val="00E05B6E"/>
    <w:rsid w:val="00E05EEE"/>
    <w:rsid w:val="00E06596"/>
    <w:rsid w:val="00E06D62"/>
    <w:rsid w:val="00E075EF"/>
    <w:rsid w:val="00E07A2F"/>
    <w:rsid w:val="00E102A0"/>
    <w:rsid w:val="00E1037C"/>
    <w:rsid w:val="00E10FA3"/>
    <w:rsid w:val="00E1298E"/>
    <w:rsid w:val="00E12A1C"/>
    <w:rsid w:val="00E12C22"/>
    <w:rsid w:val="00E132EC"/>
    <w:rsid w:val="00E13AAD"/>
    <w:rsid w:val="00E13F7E"/>
    <w:rsid w:val="00E13FFE"/>
    <w:rsid w:val="00E145B0"/>
    <w:rsid w:val="00E149B1"/>
    <w:rsid w:val="00E14F42"/>
    <w:rsid w:val="00E1528F"/>
    <w:rsid w:val="00E15800"/>
    <w:rsid w:val="00E1659A"/>
    <w:rsid w:val="00E166E5"/>
    <w:rsid w:val="00E16BFD"/>
    <w:rsid w:val="00E175FB"/>
    <w:rsid w:val="00E208D9"/>
    <w:rsid w:val="00E21057"/>
    <w:rsid w:val="00E21518"/>
    <w:rsid w:val="00E21768"/>
    <w:rsid w:val="00E2196A"/>
    <w:rsid w:val="00E222C3"/>
    <w:rsid w:val="00E22335"/>
    <w:rsid w:val="00E235B5"/>
    <w:rsid w:val="00E23D99"/>
    <w:rsid w:val="00E23F4B"/>
    <w:rsid w:val="00E244F9"/>
    <w:rsid w:val="00E24E32"/>
    <w:rsid w:val="00E2584F"/>
    <w:rsid w:val="00E25B8C"/>
    <w:rsid w:val="00E25CC2"/>
    <w:rsid w:val="00E25D51"/>
    <w:rsid w:val="00E2614A"/>
    <w:rsid w:val="00E2675F"/>
    <w:rsid w:val="00E2681E"/>
    <w:rsid w:val="00E2684E"/>
    <w:rsid w:val="00E26A5A"/>
    <w:rsid w:val="00E27F26"/>
    <w:rsid w:val="00E30552"/>
    <w:rsid w:val="00E30588"/>
    <w:rsid w:val="00E3093C"/>
    <w:rsid w:val="00E321AF"/>
    <w:rsid w:val="00E342F2"/>
    <w:rsid w:val="00E34592"/>
    <w:rsid w:val="00E349B3"/>
    <w:rsid w:val="00E34F5A"/>
    <w:rsid w:val="00E354C5"/>
    <w:rsid w:val="00E35705"/>
    <w:rsid w:val="00E36453"/>
    <w:rsid w:val="00E36A9D"/>
    <w:rsid w:val="00E37822"/>
    <w:rsid w:val="00E37B73"/>
    <w:rsid w:val="00E37BF9"/>
    <w:rsid w:val="00E37D54"/>
    <w:rsid w:val="00E37E60"/>
    <w:rsid w:val="00E40637"/>
    <w:rsid w:val="00E40964"/>
    <w:rsid w:val="00E41603"/>
    <w:rsid w:val="00E41611"/>
    <w:rsid w:val="00E4194A"/>
    <w:rsid w:val="00E41AE6"/>
    <w:rsid w:val="00E41B40"/>
    <w:rsid w:val="00E41EA0"/>
    <w:rsid w:val="00E426BC"/>
    <w:rsid w:val="00E4382D"/>
    <w:rsid w:val="00E438A9"/>
    <w:rsid w:val="00E43C46"/>
    <w:rsid w:val="00E446D1"/>
    <w:rsid w:val="00E447B3"/>
    <w:rsid w:val="00E448A3"/>
    <w:rsid w:val="00E456D4"/>
    <w:rsid w:val="00E46826"/>
    <w:rsid w:val="00E468A1"/>
    <w:rsid w:val="00E5041F"/>
    <w:rsid w:val="00E5061F"/>
    <w:rsid w:val="00E512B1"/>
    <w:rsid w:val="00E514B3"/>
    <w:rsid w:val="00E5170D"/>
    <w:rsid w:val="00E51843"/>
    <w:rsid w:val="00E51D51"/>
    <w:rsid w:val="00E52122"/>
    <w:rsid w:val="00E522D0"/>
    <w:rsid w:val="00E531E6"/>
    <w:rsid w:val="00E532BE"/>
    <w:rsid w:val="00E537DB"/>
    <w:rsid w:val="00E53A3B"/>
    <w:rsid w:val="00E5436B"/>
    <w:rsid w:val="00E547DE"/>
    <w:rsid w:val="00E553A0"/>
    <w:rsid w:val="00E554D9"/>
    <w:rsid w:val="00E60B99"/>
    <w:rsid w:val="00E61288"/>
    <w:rsid w:val="00E6148C"/>
    <w:rsid w:val="00E615AB"/>
    <w:rsid w:val="00E62BDE"/>
    <w:rsid w:val="00E62E4E"/>
    <w:rsid w:val="00E631EF"/>
    <w:rsid w:val="00E63669"/>
    <w:rsid w:val="00E655F9"/>
    <w:rsid w:val="00E6575E"/>
    <w:rsid w:val="00E66370"/>
    <w:rsid w:val="00E66FCB"/>
    <w:rsid w:val="00E67156"/>
    <w:rsid w:val="00E67247"/>
    <w:rsid w:val="00E67D55"/>
    <w:rsid w:val="00E702AC"/>
    <w:rsid w:val="00E7039D"/>
    <w:rsid w:val="00E7055A"/>
    <w:rsid w:val="00E70E0F"/>
    <w:rsid w:val="00E71573"/>
    <w:rsid w:val="00E717CD"/>
    <w:rsid w:val="00E71D2F"/>
    <w:rsid w:val="00E72E25"/>
    <w:rsid w:val="00E736AE"/>
    <w:rsid w:val="00E73991"/>
    <w:rsid w:val="00E73DEA"/>
    <w:rsid w:val="00E74706"/>
    <w:rsid w:val="00E75F45"/>
    <w:rsid w:val="00E76D64"/>
    <w:rsid w:val="00E77221"/>
    <w:rsid w:val="00E7734E"/>
    <w:rsid w:val="00E774A1"/>
    <w:rsid w:val="00E777A1"/>
    <w:rsid w:val="00E777D0"/>
    <w:rsid w:val="00E804E2"/>
    <w:rsid w:val="00E81627"/>
    <w:rsid w:val="00E81C49"/>
    <w:rsid w:val="00E81E97"/>
    <w:rsid w:val="00E8231D"/>
    <w:rsid w:val="00E843A9"/>
    <w:rsid w:val="00E8515E"/>
    <w:rsid w:val="00E85196"/>
    <w:rsid w:val="00E85B5D"/>
    <w:rsid w:val="00E865B8"/>
    <w:rsid w:val="00E86A4A"/>
    <w:rsid w:val="00E87612"/>
    <w:rsid w:val="00E87D92"/>
    <w:rsid w:val="00E87DFD"/>
    <w:rsid w:val="00E907A3"/>
    <w:rsid w:val="00E90B74"/>
    <w:rsid w:val="00E90E97"/>
    <w:rsid w:val="00E911FA"/>
    <w:rsid w:val="00E914B5"/>
    <w:rsid w:val="00E9221B"/>
    <w:rsid w:val="00E92A99"/>
    <w:rsid w:val="00E92CA7"/>
    <w:rsid w:val="00E92D49"/>
    <w:rsid w:val="00E92F0A"/>
    <w:rsid w:val="00E93231"/>
    <w:rsid w:val="00E93863"/>
    <w:rsid w:val="00E95119"/>
    <w:rsid w:val="00E95125"/>
    <w:rsid w:val="00E95B25"/>
    <w:rsid w:val="00E96895"/>
    <w:rsid w:val="00E968DD"/>
    <w:rsid w:val="00E96BD6"/>
    <w:rsid w:val="00E96DFD"/>
    <w:rsid w:val="00E97742"/>
    <w:rsid w:val="00EA00AA"/>
    <w:rsid w:val="00EA030A"/>
    <w:rsid w:val="00EA0E8C"/>
    <w:rsid w:val="00EA1298"/>
    <w:rsid w:val="00EA17C4"/>
    <w:rsid w:val="00EA23BF"/>
    <w:rsid w:val="00EA23F2"/>
    <w:rsid w:val="00EA2F8A"/>
    <w:rsid w:val="00EA34F6"/>
    <w:rsid w:val="00EA39F9"/>
    <w:rsid w:val="00EA3BA3"/>
    <w:rsid w:val="00EA3FD8"/>
    <w:rsid w:val="00EA44D5"/>
    <w:rsid w:val="00EA66D0"/>
    <w:rsid w:val="00EA6ED3"/>
    <w:rsid w:val="00EA7349"/>
    <w:rsid w:val="00EA7A22"/>
    <w:rsid w:val="00EA7DAE"/>
    <w:rsid w:val="00EB04EE"/>
    <w:rsid w:val="00EB07BB"/>
    <w:rsid w:val="00EB1978"/>
    <w:rsid w:val="00EB1AC2"/>
    <w:rsid w:val="00EB1B58"/>
    <w:rsid w:val="00EB2DEA"/>
    <w:rsid w:val="00EB3137"/>
    <w:rsid w:val="00EB325B"/>
    <w:rsid w:val="00EB3487"/>
    <w:rsid w:val="00EB45C3"/>
    <w:rsid w:val="00EB4945"/>
    <w:rsid w:val="00EB5341"/>
    <w:rsid w:val="00EB5DB8"/>
    <w:rsid w:val="00EB6A26"/>
    <w:rsid w:val="00EB6EFA"/>
    <w:rsid w:val="00EB77B1"/>
    <w:rsid w:val="00EB7EDB"/>
    <w:rsid w:val="00EC1208"/>
    <w:rsid w:val="00EC12D3"/>
    <w:rsid w:val="00EC22E0"/>
    <w:rsid w:val="00EC2E13"/>
    <w:rsid w:val="00EC3964"/>
    <w:rsid w:val="00EC44DC"/>
    <w:rsid w:val="00EC45F4"/>
    <w:rsid w:val="00EC4A39"/>
    <w:rsid w:val="00EC4BB0"/>
    <w:rsid w:val="00EC4D14"/>
    <w:rsid w:val="00EC51BC"/>
    <w:rsid w:val="00EC5B35"/>
    <w:rsid w:val="00EC6CC6"/>
    <w:rsid w:val="00EC6E67"/>
    <w:rsid w:val="00EC7147"/>
    <w:rsid w:val="00EC7888"/>
    <w:rsid w:val="00EC78EA"/>
    <w:rsid w:val="00EC7A7E"/>
    <w:rsid w:val="00EC7ACE"/>
    <w:rsid w:val="00ED0377"/>
    <w:rsid w:val="00ED039F"/>
    <w:rsid w:val="00ED1858"/>
    <w:rsid w:val="00ED18D2"/>
    <w:rsid w:val="00ED24F7"/>
    <w:rsid w:val="00ED26B7"/>
    <w:rsid w:val="00ED289F"/>
    <w:rsid w:val="00ED3374"/>
    <w:rsid w:val="00ED337F"/>
    <w:rsid w:val="00ED36B7"/>
    <w:rsid w:val="00ED5B81"/>
    <w:rsid w:val="00ED5D46"/>
    <w:rsid w:val="00ED613F"/>
    <w:rsid w:val="00ED617E"/>
    <w:rsid w:val="00ED635B"/>
    <w:rsid w:val="00ED7822"/>
    <w:rsid w:val="00ED79A5"/>
    <w:rsid w:val="00EE036B"/>
    <w:rsid w:val="00EE1D26"/>
    <w:rsid w:val="00EE20B8"/>
    <w:rsid w:val="00EE2426"/>
    <w:rsid w:val="00EE2464"/>
    <w:rsid w:val="00EE2880"/>
    <w:rsid w:val="00EE31D8"/>
    <w:rsid w:val="00EE3237"/>
    <w:rsid w:val="00EE38C1"/>
    <w:rsid w:val="00EE3D35"/>
    <w:rsid w:val="00EE3EE1"/>
    <w:rsid w:val="00EE53D6"/>
    <w:rsid w:val="00EE588B"/>
    <w:rsid w:val="00EE5EC8"/>
    <w:rsid w:val="00EE7502"/>
    <w:rsid w:val="00EE7EED"/>
    <w:rsid w:val="00EF024D"/>
    <w:rsid w:val="00EF028F"/>
    <w:rsid w:val="00EF0BCE"/>
    <w:rsid w:val="00EF13DB"/>
    <w:rsid w:val="00EF170B"/>
    <w:rsid w:val="00EF178B"/>
    <w:rsid w:val="00EF1CD4"/>
    <w:rsid w:val="00EF2883"/>
    <w:rsid w:val="00EF2D55"/>
    <w:rsid w:val="00EF30D3"/>
    <w:rsid w:val="00EF335B"/>
    <w:rsid w:val="00EF3495"/>
    <w:rsid w:val="00EF385E"/>
    <w:rsid w:val="00EF3C55"/>
    <w:rsid w:val="00EF45A1"/>
    <w:rsid w:val="00EF5049"/>
    <w:rsid w:val="00EF58D9"/>
    <w:rsid w:val="00EF5BA2"/>
    <w:rsid w:val="00EF6364"/>
    <w:rsid w:val="00EF6E71"/>
    <w:rsid w:val="00EF7110"/>
    <w:rsid w:val="00EF756D"/>
    <w:rsid w:val="00EF7584"/>
    <w:rsid w:val="00EF75F9"/>
    <w:rsid w:val="00F009E6"/>
    <w:rsid w:val="00F0107C"/>
    <w:rsid w:val="00F018FC"/>
    <w:rsid w:val="00F01C51"/>
    <w:rsid w:val="00F01E94"/>
    <w:rsid w:val="00F039EC"/>
    <w:rsid w:val="00F04573"/>
    <w:rsid w:val="00F04E8A"/>
    <w:rsid w:val="00F0508C"/>
    <w:rsid w:val="00F0509F"/>
    <w:rsid w:val="00F053DB"/>
    <w:rsid w:val="00F057C9"/>
    <w:rsid w:val="00F05F45"/>
    <w:rsid w:val="00F061CF"/>
    <w:rsid w:val="00F06AC9"/>
    <w:rsid w:val="00F1017F"/>
    <w:rsid w:val="00F11102"/>
    <w:rsid w:val="00F11137"/>
    <w:rsid w:val="00F1187B"/>
    <w:rsid w:val="00F12A6E"/>
    <w:rsid w:val="00F12F2B"/>
    <w:rsid w:val="00F13EC6"/>
    <w:rsid w:val="00F14066"/>
    <w:rsid w:val="00F1429C"/>
    <w:rsid w:val="00F144BB"/>
    <w:rsid w:val="00F153F3"/>
    <w:rsid w:val="00F159E1"/>
    <w:rsid w:val="00F15C20"/>
    <w:rsid w:val="00F15F04"/>
    <w:rsid w:val="00F1734D"/>
    <w:rsid w:val="00F17377"/>
    <w:rsid w:val="00F177B2"/>
    <w:rsid w:val="00F17A6B"/>
    <w:rsid w:val="00F20EBB"/>
    <w:rsid w:val="00F20F77"/>
    <w:rsid w:val="00F21633"/>
    <w:rsid w:val="00F24265"/>
    <w:rsid w:val="00F24836"/>
    <w:rsid w:val="00F24F85"/>
    <w:rsid w:val="00F251F2"/>
    <w:rsid w:val="00F25294"/>
    <w:rsid w:val="00F257CB"/>
    <w:rsid w:val="00F25DE1"/>
    <w:rsid w:val="00F25E02"/>
    <w:rsid w:val="00F262AF"/>
    <w:rsid w:val="00F26335"/>
    <w:rsid w:val="00F26FB1"/>
    <w:rsid w:val="00F2705F"/>
    <w:rsid w:val="00F272F1"/>
    <w:rsid w:val="00F277AE"/>
    <w:rsid w:val="00F27B18"/>
    <w:rsid w:val="00F301E7"/>
    <w:rsid w:val="00F3062E"/>
    <w:rsid w:val="00F3081B"/>
    <w:rsid w:val="00F31079"/>
    <w:rsid w:val="00F31174"/>
    <w:rsid w:val="00F31660"/>
    <w:rsid w:val="00F3181E"/>
    <w:rsid w:val="00F31AB0"/>
    <w:rsid w:val="00F31E70"/>
    <w:rsid w:val="00F31FA4"/>
    <w:rsid w:val="00F324FF"/>
    <w:rsid w:val="00F326F1"/>
    <w:rsid w:val="00F32A84"/>
    <w:rsid w:val="00F332AB"/>
    <w:rsid w:val="00F33478"/>
    <w:rsid w:val="00F334DF"/>
    <w:rsid w:val="00F334F8"/>
    <w:rsid w:val="00F33779"/>
    <w:rsid w:val="00F33F0F"/>
    <w:rsid w:val="00F3517A"/>
    <w:rsid w:val="00F35829"/>
    <w:rsid w:val="00F36469"/>
    <w:rsid w:val="00F36B04"/>
    <w:rsid w:val="00F36F75"/>
    <w:rsid w:val="00F37340"/>
    <w:rsid w:val="00F37493"/>
    <w:rsid w:val="00F37B1F"/>
    <w:rsid w:val="00F405CA"/>
    <w:rsid w:val="00F41225"/>
    <w:rsid w:val="00F4145F"/>
    <w:rsid w:val="00F41A90"/>
    <w:rsid w:val="00F41E85"/>
    <w:rsid w:val="00F42078"/>
    <w:rsid w:val="00F42B7B"/>
    <w:rsid w:val="00F42D3C"/>
    <w:rsid w:val="00F43707"/>
    <w:rsid w:val="00F43FCF"/>
    <w:rsid w:val="00F444D1"/>
    <w:rsid w:val="00F44E11"/>
    <w:rsid w:val="00F455BE"/>
    <w:rsid w:val="00F45AB7"/>
    <w:rsid w:val="00F46AAC"/>
    <w:rsid w:val="00F4745F"/>
    <w:rsid w:val="00F474A6"/>
    <w:rsid w:val="00F47581"/>
    <w:rsid w:val="00F477A7"/>
    <w:rsid w:val="00F500FC"/>
    <w:rsid w:val="00F506BE"/>
    <w:rsid w:val="00F50BFE"/>
    <w:rsid w:val="00F50C35"/>
    <w:rsid w:val="00F51E66"/>
    <w:rsid w:val="00F526EF"/>
    <w:rsid w:val="00F52AA9"/>
    <w:rsid w:val="00F53F5C"/>
    <w:rsid w:val="00F546CD"/>
    <w:rsid w:val="00F55DE3"/>
    <w:rsid w:val="00F55DFD"/>
    <w:rsid w:val="00F55EBC"/>
    <w:rsid w:val="00F56DC0"/>
    <w:rsid w:val="00F577F9"/>
    <w:rsid w:val="00F62EE4"/>
    <w:rsid w:val="00F62F00"/>
    <w:rsid w:val="00F6362F"/>
    <w:rsid w:val="00F63CAF"/>
    <w:rsid w:val="00F63FE2"/>
    <w:rsid w:val="00F64134"/>
    <w:rsid w:val="00F64319"/>
    <w:rsid w:val="00F648EC"/>
    <w:rsid w:val="00F65EE5"/>
    <w:rsid w:val="00F66475"/>
    <w:rsid w:val="00F67A5A"/>
    <w:rsid w:val="00F67D70"/>
    <w:rsid w:val="00F70B23"/>
    <w:rsid w:val="00F71A49"/>
    <w:rsid w:val="00F724B4"/>
    <w:rsid w:val="00F72CAB"/>
    <w:rsid w:val="00F730DD"/>
    <w:rsid w:val="00F74569"/>
    <w:rsid w:val="00F7464F"/>
    <w:rsid w:val="00F751D8"/>
    <w:rsid w:val="00F7721B"/>
    <w:rsid w:val="00F802EE"/>
    <w:rsid w:val="00F810CF"/>
    <w:rsid w:val="00F81745"/>
    <w:rsid w:val="00F82664"/>
    <w:rsid w:val="00F831E3"/>
    <w:rsid w:val="00F84980"/>
    <w:rsid w:val="00F84FB1"/>
    <w:rsid w:val="00F853B1"/>
    <w:rsid w:val="00F85BE0"/>
    <w:rsid w:val="00F9083C"/>
    <w:rsid w:val="00F91567"/>
    <w:rsid w:val="00F91CEC"/>
    <w:rsid w:val="00F924D4"/>
    <w:rsid w:val="00F92826"/>
    <w:rsid w:val="00F92961"/>
    <w:rsid w:val="00F92E80"/>
    <w:rsid w:val="00F932B3"/>
    <w:rsid w:val="00F933F2"/>
    <w:rsid w:val="00F9441F"/>
    <w:rsid w:val="00F94516"/>
    <w:rsid w:val="00F945E5"/>
    <w:rsid w:val="00F9630F"/>
    <w:rsid w:val="00F9668D"/>
    <w:rsid w:val="00F96697"/>
    <w:rsid w:val="00F969E8"/>
    <w:rsid w:val="00F96F59"/>
    <w:rsid w:val="00F9776D"/>
    <w:rsid w:val="00F97A89"/>
    <w:rsid w:val="00F97F6F"/>
    <w:rsid w:val="00FA06EF"/>
    <w:rsid w:val="00FA0770"/>
    <w:rsid w:val="00FA1BC4"/>
    <w:rsid w:val="00FA351F"/>
    <w:rsid w:val="00FA36CB"/>
    <w:rsid w:val="00FA3A28"/>
    <w:rsid w:val="00FA3BFE"/>
    <w:rsid w:val="00FA4482"/>
    <w:rsid w:val="00FA48E6"/>
    <w:rsid w:val="00FA5333"/>
    <w:rsid w:val="00FA5DFE"/>
    <w:rsid w:val="00FA5F54"/>
    <w:rsid w:val="00FA66A0"/>
    <w:rsid w:val="00FA6D82"/>
    <w:rsid w:val="00FB01E9"/>
    <w:rsid w:val="00FB072F"/>
    <w:rsid w:val="00FB2173"/>
    <w:rsid w:val="00FB253F"/>
    <w:rsid w:val="00FB46FE"/>
    <w:rsid w:val="00FB55CC"/>
    <w:rsid w:val="00FB56C8"/>
    <w:rsid w:val="00FB5F51"/>
    <w:rsid w:val="00FB5FBA"/>
    <w:rsid w:val="00FB653E"/>
    <w:rsid w:val="00FB7332"/>
    <w:rsid w:val="00FB7731"/>
    <w:rsid w:val="00FB7B5D"/>
    <w:rsid w:val="00FC0129"/>
    <w:rsid w:val="00FC2143"/>
    <w:rsid w:val="00FC247A"/>
    <w:rsid w:val="00FC2CD6"/>
    <w:rsid w:val="00FC3193"/>
    <w:rsid w:val="00FC3ED4"/>
    <w:rsid w:val="00FC4545"/>
    <w:rsid w:val="00FC4D7E"/>
    <w:rsid w:val="00FC54A6"/>
    <w:rsid w:val="00FC54DB"/>
    <w:rsid w:val="00FC6366"/>
    <w:rsid w:val="00FC65FE"/>
    <w:rsid w:val="00FC6856"/>
    <w:rsid w:val="00FC782E"/>
    <w:rsid w:val="00FC78B2"/>
    <w:rsid w:val="00FC7F07"/>
    <w:rsid w:val="00FD1447"/>
    <w:rsid w:val="00FD27D0"/>
    <w:rsid w:val="00FD2A8C"/>
    <w:rsid w:val="00FD2B4A"/>
    <w:rsid w:val="00FD32CC"/>
    <w:rsid w:val="00FD3B2B"/>
    <w:rsid w:val="00FD4B16"/>
    <w:rsid w:val="00FD4EA2"/>
    <w:rsid w:val="00FD5931"/>
    <w:rsid w:val="00FD5A2E"/>
    <w:rsid w:val="00FD5C9F"/>
    <w:rsid w:val="00FD64B6"/>
    <w:rsid w:val="00FD7100"/>
    <w:rsid w:val="00FD7598"/>
    <w:rsid w:val="00FD7975"/>
    <w:rsid w:val="00FD7D79"/>
    <w:rsid w:val="00FE0B22"/>
    <w:rsid w:val="00FE11A2"/>
    <w:rsid w:val="00FE1510"/>
    <w:rsid w:val="00FE16D8"/>
    <w:rsid w:val="00FE2345"/>
    <w:rsid w:val="00FE2BB8"/>
    <w:rsid w:val="00FE2FF2"/>
    <w:rsid w:val="00FE386C"/>
    <w:rsid w:val="00FE4C97"/>
    <w:rsid w:val="00FE506E"/>
    <w:rsid w:val="00FE5C66"/>
    <w:rsid w:val="00FE66CB"/>
    <w:rsid w:val="00FE67B0"/>
    <w:rsid w:val="00FE7083"/>
    <w:rsid w:val="00FF0091"/>
    <w:rsid w:val="00FF0903"/>
    <w:rsid w:val="00FF0A78"/>
    <w:rsid w:val="00FF160E"/>
    <w:rsid w:val="00FF20F5"/>
    <w:rsid w:val="00FF25BB"/>
    <w:rsid w:val="00FF25C7"/>
    <w:rsid w:val="00FF3005"/>
    <w:rsid w:val="00FF3C6E"/>
    <w:rsid w:val="00FF3D33"/>
    <w:rsid w:val="00FF3FA9"/>
    <w:rsid w:val="00FF46EC"/>
    <w:rsid w:val="00FF4FBC"/>
    <w:rsid w:val="00FF5DDA"/>
    <w:rsid w:val="00FF5E39"/>
    <w:rsid w:val="00FF5FED"/>
    <w:rsid w:val="00FF631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3517462F-42D1-4A8C-85BF-AA4010C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69"/>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basedOn w:val="DefaultParagraphFont"/>
    <w:uiPriority w:val="99"/>
    <w:rsid w:val="00BA4B87"/>
    <w:rPr>
      <w:color w:val="0000FF"/>
      <w:u w:val="single"/>
    </w:rPr>
  </w:style>
  <w:style w:type="paragraph" w:styleId="TOC1">
    <w:name w:val="toc 1"/>
    <w:basedOn w:val="Normal"/>
    <w:next w:val="Normal"/>
    <w:autoRedefine/>
    <w:uiPriority w:val="39"/>
    <w:rsid w:val="003912AE"/>
    <w:pPr>
      <w:tabs>
        <w:tab w:val="right" w:leader="dot" w:pos="8296"/>
      </w:tabs>
      <w:spacing w:line="360" w:lineRule="exact"/>
      <w:jc w:val="left"/>
    </w:pPr>
    <w:rPr>
      <w:rFonts w:ascii="宋体" w:eastAsia="黑体" w:hAnsi="宋体"/>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basedOn w:val="DefaultParagraphFont"/>
    <w:qFormat/>
    <w:rsid w:val="00BA4B87"/>
    <w:rPr>
      <w:sz w:val="21"/>
      <w:szCs w:val="21"/>
    </w:rPr>
  </w:style>
  <w:style w:type="paragraph" w:styleId="CommentText">
    <w:name w:val="annotation text"/>
    <w:basedOn w:val="Normal"/>
    <w:link w:val="Char"/>
    <w:qFormat/>
    <w:rsid w:val="00BA4B87"/>
    <w:pPr>
      <w:jc w:val="left"/>
    </w:pPr>
  </w:style>
  <w:style w:type="character" w:customStyle="1" w:styleId="Char">
    <w:name w:val="批注文字 Char"/>
    <w:basedOn w:val="DefaultParagraphFont"/>
    <w:link w:val="CommentText"/>
    <w:qFormat/>
    <w:rsid w:val="00BA4B87"/>
    <w:rPr>
      <w:rFonts w:eastAsia="宋体"/>
      <w:kern w:val="2"/>
      <w:sz w:val="21"/>
      <w:szCs w:val="24"/>
      <w:lang w:val="en-US" w:eastAsia="zh-CN" w:bidi="ar-SA"/>
    </w:rPr>
  </w:style>
  <w:style w:type="character" w:styleId="Strong">
    <w:name w:val="Strong"/>
    <w:basedOn w:val="DefaultParagraphFont"/>
    <w:qFormat/>
    <w:rsid w:val="00BA4B87"/>
    <w:rPr>
      <w:b/>
      <w:bCs/>
    </w:rPr>
  </w:style>
  <w:style w:type="character" w:customStyle="1" w:styleId="read">
    <w:name w:val="read"/>
    <w:basedOn w:val="DefaultParagraphFont"/>
    <w:rsid w:val="00BA4B87"/>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basedOn w:val="DefaultParagraphFont"/>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basedOn w:val="DefaultParagraphFont"/>
    <w:link w:val="Header"/>
    <w:uiPriority w:val="99"/>
    <w:rsid w:val="00AE70B8"/>
    <w:rPr>
      <w:rFonts w:eastAsia="仿宋_GB2312"/>
      <w:kern w:val="2"/>
      <w:sz w:val="18"/>
    </w:rPr>
  </w:style>
  <w:style w:type="character" w:customStyle="1" w:styleId="Char2">
    <w:name w:val="页脚 Char"/>
    <w:basedOn w:val="DefaultParagraphFont"/>
    <w:link w:val="Footer"/>
    <w:uiPriority w:val="99"/>
    <w:rsid w:val="00AE70B8"/>
    <w:rPr>
      <w:rFonts w:eastAsia="仿宋_GB2312"/>
      <w:kern w:val="2"/>
      <w:sz w:val="18"/>
    </w:rPr>
  </w:style>
  <w:style w:type="character" w:styleId="FootnoteReference">
    <w:name w:val="footnote reference"/>
    <w:basedOn w:val="DefaultParagraphFont"/>
    <w:rsid w:val="00441AD4"/>
    <w:rPr>
      <w:vertAlign w:val="superscript"/>
    </w:rPr>
  </w:style>
  <w:style w:type="character" w:customStyle="1" w:styleId="Char3">
    <w:name w:val="纯文本 Char"/>
    <w:basedOn w:val="DefaultParagraphFont"/>
    <w:link w:val="PlainText"/>
    <w:locked/>
    <w:rsid w:val="00310E26"/>
    <w:rPr>
      <w:rFonts w:ascii="宋体" w:hAnsi="Courier New"/>
      <w:kern w:val="2"/>
      <w:sz w:val="24"/>
      <w:szCs w:val="21"/>
    </w:rPr>
  </w:style>
  <w:style w:type="character" w:customStyle="1" w:styleId="Char4">
    <w:name w:val="正文首行缩进 Char"/>
    <w:basedOn w:val="DefaultParagraphFont"/>
    <w:link w:val="BodyTextFirstIndent"/>
    <w:rsid w:val="00AE2909"/>
    <w:rPr>
      <w:kern w:val="2"/>
      <w:sz w:val="21"/>
      <w:szCs w:val="24"/>
    </w:rPr>
  </w:style>
  <w:style w:type="paragraph" w:styleId="ListParagraph">
    <w:name w:val="List Paragraph"/>
    <w:basedOn w:val="Normal"/>
    <w:uiPriority w:val="34"/>
    <w:qFormat/>
    <w:rsid w:val="00B04180"/>
    <w:pPr>
      <w:widowControl/>
      <w:ind w:left="480" w:leftChars="200"/>
    </w:pPr>
    <w:rPr>
      <w:kern w:val="0"/>
      <w:szCs w:val="21"/>
    </w:rPr>
  </w:style>
  <w:style w:type="paragraph" w:styleId="BodyTextIndent">
    <w:name w:val="Body Text Indent"/>
    <w:basedOn w:val="Normal"/>
    <w:link w:val="Char5"/>
    <w:semiHidden/>
    <w:unhideWhenUsed/>
    <w:rsid w:val="00481F40"/>
    <w:pPr>
      <w:spacing w:after="120"/>
      <w:ind w:left="420" w:leftChars="200"/>
    </w:pPr>
  </w:style>
  <w:style w:type="character" w:customStyle="1" w:styleId="Char5">
    <w:name w:val="正文文本缩进 Char"/>
    <w:basedOn w:val="DefaultParagraphFont"/>
    <w:link w:val="BodyTextIndent"/>
    <w:semiHidden/>
    <w:rsid w:val="00481F40"/>
    <w:rPr>
      <w:kern w:val="2"/>
      <w:sz w:val="21"/>
      <w:szCs w:val="24"/>
    </w:rPr>
  </w:style>
  <w:style w:type="paragraph" w:styleId="BodyTextIndent3">
    <w:name w:val="Body Text Indent 3"/>
    <w:basedOn w:val="Normal"/>
    <w:link w:val="3Char"/>
    <w:semiHidden/>
    <w:unhideWhenUsed/>
    <w:rsid w:val="00481F40"/>
    <w:pPr>
      <w:spacing w:after="120"/>
      <w:ind w:left="420" w:leftChars="200"/>
    </w:pPr>
    <w:rPr>
      <w:sz w:val="16"/>
      <w:szCs w:val="16"/>
    </w:rPr>
  </w:style>
  <w:style w:type="character" w:customStyle="1" w:styleId="3Char">
    <w:name w:val="正文文本缩进 3 Char"/>
    <w:basedOn w:val="DefaultParagraphFont"/>
    <w:link w:val="BodyTextIndent3"/>
    <w:semiHidden/>
    <w:rsid w:val="00481F40"/>
    <w:rPr>
      <w:kern w:val="2"/>
      <w:sz w:val="16"/>
      <w:szCs w:val="16"/>
    </w:rPr>
  </w:style>
  <w:style w:type="paragraph" w:styleId="HTMLPreformatted">
    <w:name w:val="HTML Preformatted"/>
    <w:basedOn w:val="Normal"/>
    <w:link w:val="HTMLChar"/>
    <w:uiPriority w:val="99"/>
    <w:unhideWhenUsed/>
    <w:rsid w:val="007E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7E29AD"/>
    <w:rPr>
      <w:rFonts w:ascii="宋体" w:hAnsi="宋体"/>
      <w:sz w:val="24"/>
      <w:szCs w:val="24"/>
    </w:rPr>
  </w:style>
  <w:style w:type="paragraph" w:styleId="BodyTextIndent2">
    <w:name w:val="Body Text Indent 2"/>
    <w:basedOn w:val="Normal"/>
    <w:link w:val="2Char"/>
    <w:semiHidden/>
    <w:unhideWhenUsed/>
    <w:rsid w:val="00F3181E"/>
    <w:pPr>
      <w:spacing w:after="120" w:line="480" w:lineRule="auto"/>
      <w:ind w:left="420" w:leftChars="200"/>
    </w:pPr>
  </w:style>
  <w:style w:type="character" w:customStyle="1" w:styleId="2Char">
    <w:name w:val="正文文本缩进 2 Char"/>
    <w:basedOn w:val="DefaultParagraphFont"/>
    <w:link w:val="BodyTextIndent2"/>
    <w:semiHidden/>
    <w:rsid w:val="00F3181E"/>
    <w:rPr>
      <w:kern w:val="2"/>
      <w:sz w:val="21"/>
      <w:szCs w:val="24"/>
    </w:rPr>
  </w:style>
  <w:style w:type="character" w:styleId="FollowedHyperlink">
    <w:name w:val="FollowedHyperlink"/>
    <w:basedOn w:val="DefaultParagraphFont"/>
    <w:semiHidden/>
    <w:unhideWhenUsed/>
    <w:rsid w:val="004C69B7"/>
    <w:rPr>
      <w:color w:val="800080" w:themeColor="followedHyperlink"/>
      <w:u w:val="single"/>
    </w:rPr>
  </w:style>
  <w:style w:type="table" w:styleId="TableGrid">
    <w:name w:val="Table Grid"/>
    <w:basedOn w:val="TableNormal"/>
    <w:uiPriority w:val="59"/>
    <w:qFormat/>
    <w:rsid w:val="00DD2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9BDBF-0E61-442D-B4DD-B0E0122E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