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1B2ECA" w:rsidRPr="00CC51EF">
      <w:pPr>
        <w:snapToGrid w:val="0"/>
        <w:spacing w:line="360" w:lineRule="auto"/>
        <w:jc w:val="left"/>
        <w:rPr>
          <w:rFonts w:asciiTheme="minorEastAsia" w:eastAsiaTheme="minorEastAsia" w:hAnsiTheme="minorEastAsia" w:cs="Arial"/>
          <w:color w:val="000000" w:themeColor="text1"/>
          <w:szCs w:val="21"/>
        </w:rPr>
      </w:pPr>
    </w:p>
    <w:p w:rsidR="001B2ECA" w:rsidRPr="00CC51EF">
      <w:pPr>
        <w:tabs>
          <w:tab w:val="left" w:pos="1890"/>
        </w:tabs>
        <w:rPr>
          <w:rFonts w:asciiTheme="minorEastAsia" w:eastAsiaTheme="minorEastAsia" w:hAnsiTheme="minorEastAsia"/>
          <w:i/>
          <w:iCs/>
          <w:color w:val="000000" w:themeColor="text1"/>
          <w:sz w:val="28"/>
          <w:szCs w:val="28"/>
        </w:rPr>
      </w:pPr>
    </w:p>
    <w:p w:rsidR="001B2ECA" w:rsidRPr="00CC51EF">
      <w:pPr>
        <w:spacing w:line="360" w:lineRule="auto"/>
        <w:ind w:firstLine="881"/>
        <w:jc w:val="center"/>
        <w:rPr>
          <w:rFonts w:asciiTheme="minorEastAsia" w:eastAsiaTheme="minorEastAsia" w:hAnsiTheme="minorEastAsia"/>
          <w:b/>
          <w:color w:val="000000" w:themeColor="text1"/>
          <w:sz w:val="44"/>
        </w:rPr>
      </w:pPr>
    </w:p>
    <w:p w:rsidR="001B2ECA" w:rsidRPr="00CC51EF">
      <w:pPr>
        <w:spacing w:line="360" w:lineRule="auto"/>
        <w:ind w:firstLine="881"/>
        <w:jc w:val="center"/>
        <w:rPr>
          <w:rFonts w:asciiTheme="minorEastAsia" w:eastAsiaTheme="minorEastAsia" w:hAnsiTheme="minorEastAsia"/>
          <w:b/>
          <w:color w:val="000000" w:themeColor="text1"/>
          <w:sz w:val="44"/>
        </w:rPr>
      </w:pPr>
    </w:p>
    <w:p w:rsidR="001B2ECA" w:rsidRPr="00CC51EF">
      <w:pPr>
        <w:spacing w:line="360" w:lineRule="auto"/>
        <w:ind w:firstLine="881"/>
        <w:jc w:val="center"/>
        <w:rPr>
          <w:rFonts w:asciiTheme="minorEastAsia" w:eastAsiaTheme="minorEastAsia" w:hAnsiTheme="minorEastAsia"/>
          <w:b/>
          <w:color w:val="000000" w:themeColor="text1"/>
          <w:sz w:val="44"/>
        </w:rPr>
      </w:pPr>
    </w:p>
    <w:p w:rsidR="001B2ECA" w:rsidRPr="00CC51EF">
      <w:pPr>
        <w:spacing w:line="360" w:lineRule="auto"/>
        <w:ind w:firstLine="881"/>
        <w:jc w:val="center"/>
        <w:rPr>
          <w:rFonts w:asciiTheme="minorEastAsia" w:eastAsiaTheme="minorEastAsia" w:hAnsiTheme="minorEastAsia"/>
          <w:b/>
          <w:color w:val="000000" w:themeColor="text1"/>
          <w:sz w:val="44"/>
        </w:rPr>
      </w:pPr>
    </w:p>
    <w:p w:rsidR="001B2ECA" w:rsidRPr="00CC51EF">
      <w:pPr>
        <w:spacing w:line="360" w:lineRule="auto"/>
        <w:ind w:hanging="141"/>
        <w:jc w:val="center"/>
        <w:rPr>
          <w:rFonts w:asciiTheme="minorEastAsia" w:eastAsiaTheme="minorEastAsia" w:hAnsiTheme="minorEastAsia"/>
          <w:b/>
          <w:color w:val="000000" w:themeColor="text1"/>
          <w:sz w:val="44"/>
        </w:rPr>
      </w:pPr>
      <w:r w:rsidRPr="00CC51EF">
        <w:rPr>
          <w:rFonts w:asciiTheme="minorEastAsia" w:eastAsiaTheme="minorEastAsia" w:hAnsiTheme="minorEastAsia" w:hint="eastAsia"/>
          <w:b/>
          <w:color w:val="000000" w:themeColor="text1"/>
          <w:sz w:val="44"/>
        </w:rPr>
        <w:t>易方达战略新兴产业股票型证券投资基金</w:t>
      </w:r>
    </w:p>
    <w:p w:rsidR="001B2ECA" w:rsidRPr="00CC51EF">
      <w:pPr>
        <w:spacing w:line="360" w:lineRule="auto"/>
        <w:ind w:hanging="141"/>
        <w:jc w:val="center"/>
        <w:rPr>
          <w:rFonts w:asciiTheme="minorEastAsia" w:eastAsiaTheme="minorEastAsia" w:hAnsiTheme="minorEastAsia"/>
          <w:b/>
          <w:color w:val="000000" w:themeColor="text1"/>
          <w:sz w:val="44"/>
        </w:rPr>
      </w:pPr>
      <w:r w:rsidRPr="00CC51EF">
        <w:rPr>
          <w:rFonts w:asciiTheme="minorEastAsia" w:eastAsiaTheme="minorEastAsia" w:hAnsiTheme="minorEastAsia" w:hint="eastAsia"/>
          <w:b/>
          <w:color w:val="000000" w:themeColor="text1"/>
          <w:sz w:val="44"/>
        </w:rPr>
        <w:t>更新的招募说明书</w:t>
      </w:r>
    </w:p>
    <w:p w:rsidR="001B2ECA" w:rsidRPr="00CC51EF">
      <w:pPr>
        <w:spacing w:line="360" w:lineRule="auto"/>
        <w:ind w:left="1680" w:firstLine="181"/>
        <w:rPr>
          <w:rFonts w:asciiTheme="minorEastAsia" w:eastAsiaTheme="minorEastAsia" w:hAnsiTheme="minorEastAsia"/>
          <w:color w:val="000000" w:themeColor="text1"/>
          <w:sz w:val="30"/>
          <w:szCs w:val="30"/>
        </w:rPr>
      </w:pPr>
    </w:p>
    <w:p w:rsidR="001B2ECA" w:rsidRPr="00CC51EF">
      <w:pPr>
        <w:spacing w:line="360" w:lineRule="auto"/>
        <w:ind w:left="1680" w:firstLine="181"/>
        <w:rPr>
          <w:rFonts w:asciiTheme="minorEastAsia" w:eastAsiaTheme="minorEastAsia" w:hAnsiTheme="minorEastAsia"/>
          <w:color w:val="000000" w:themeColor="text1"/>
          <w:sz w:val="30"/>
          <w:szCs w:val="30"/>
        </w:rPr>
      </w:pPr>
    </w:p>
    <w:p w:rsidR="001B2ECA" w:rsidRPr="00CC51EF">
      <w:pPr>
        <w:spacing w:line="360" w:lineRule="auto"/>
        <w:ind w:left="1680"/>
        <w:rPr>
          <w:rFonts w:asciiTheme="minorEastAsia" w:eastAsiaTheme="minorEastAsia" w:hAnsiTheme="minorEastAsia"/>
          <w:color w:val="000000" w:themeColor="text1"/>
          <w:sz w:val="30"/>
          <w:szCs w:val="30"/>
        </w:rPr>
      </w:pPr>
    </w:p>
    <w:p w:rsidR="001B2ECA" w:rsidRPr="00CC51EF">
      <w:pPr>
        <w:spacing w:line="360" w:lineRule="auto"/>
        <w:ind w:left="1680"/>
        <w:rPr>
          <w:rFonts w:asciiTheme="minorEastAsia" w:eastAsiaTheme="minorEastAsia" w:hAnsiTheme="minorEastAsia"/>
          <w:color w:val="000000" w:themeColor="text1"/>
          <w:sz w:val="30"/>
          <w:szCs w:val="30"/>
        </w:rPr>
      </w:pPr>
    </w:p>
    <w:p w:rsidR="001B2ECA" w:rsidRPr="00CC51EF">
      <w:pPr>
        <w:spacing w:line="360" w:lineRule="auto"/>
        <w:ind w:left="1680"/>
        <w:rPr>
          <w:rFonts w:asciiTheme="minorEastAsia" w:eastAsiaTheme="minorEastAsia" w:hAnsiTheme="minorEastAsia"/>
          <w:color w:val="000000" w:themeColor="text1"/>
          <w:sz w:val="30"/>
          <w:szCs w:val="30"/>
        </w:rPr>
      </w:pPr>
    </w:p>
    <w:p w:rsidR="001B2ECA" w:rsidRPr="00CC51EF">
      <w:pPr>
        <w:spacing w:line="360" w:lineRule="auto"/>
        <w:ind w:left="1680"/>
        <w:rPr>
          <w:rFonts w:asciiTheme="minorEastAsia" w:eastAsiaTheme="minorEastAsia" w:hAnsiTheme="minorEastAsia"/>
          <w:color w:val="000000" w:themeColor="text1"/>
          <w:sz w:val="30"/>
          <w:szCs w:val="30"/>
        </w:rPr>
      </w:pPr>
    </w:p>
    <w:p w:rsidR="001B2ECA" w:rsidRPr="00CC51EF">
      <w:pPr>
        <w:spacing w:line="360" w:lineRule="auto"/>
        <w:ind w:left="1679" w:hanging="238"/>
        <w:rPr>
          <w:rFonts w:asciiTheme="minorEastAsia" w:eastAsiaTheme="minorEastAsia" w:hAnsiTheme="minorEastAsia"/>
          <w:b/>
          <w:color w:val="000000" w:themeColor="text1"/>
          <w:sz w:val="32"/>
          <w:szCs w:val="32"/>
        </w:rPr>
      </w:pPr>
      <w:r w:rsidRPr="00CC51EF">
        <w:rPr>
          <w:rFonts w:asciiTheme="minorEastAsia" w:eastAsiaTheme="minorEastAsia" w:hAnsiTheme="minorEastAsia" w:hint="eastAsia"/>
          <w:b/>
          <w:color w:val="000000" w:themeColor="text1"/>
          <w:sz w:val="32"/>
          <w:szCs w:val="32"/>
        </w:rPr>
        <w:t>基金管理人：易方达基金管理有限公司</w:t>
      </w:r>
    </w:p>
    <w:p w:rsidR="001B2ECA" w:rsidRPr="00CC51EF">
      <w:pPr>
        <w:spacing w:line="360" w:lineRule="auto"/>
        <w:ind w:left="1438"/>
        <w:rPr>
          <w:rFonts w:asciiTheme="minorEastAsia" w:eastAsiaTheme="minorEastAsia" w:hAnsiTheme="minorEastAsia"/>
          <w:b/>
          <w:color w:val="000000" w:themeColor="text1"/>
          <w:sz w:val="32"/>
          <w:szCs w:val="32"/>
        </w:rPr>
      </w:pPr>
      <w:r w:rsidRPr="00CC51EF">
        <w:rPr>
          <w:rFonts w:asciiTheme="minorEastAsia" w:eastAsiaTheme="minorEastAsia" w:hAnsiTheme="minorEastAsia" w:hint="eastAsia"/>
          <w:b/>
          <w:color w:val="000000" w:themeColor="text1"/>
          <w:sz w:val="32"/>
          <w:szCs w:val="32"/>
        </w:rPr>
        <w:t>基金托管人：中国银行股份有限公司</w:t>
      </w:r>
    </w:p>
    <w:p w:rsidR="001B2ECA" w:rsidRPr="00CC51EF" w:rsidP="00AF379A">
      <w:pPr>
        <w:spacing w:line="360" w:lineRule="auto"/>
        <w:jc w:val="center"/>
        <w:rPr>
          <w:rFonts w:asciiTheme="minorEastAsia" w:eastAsiaTheme="minorEastAsia" w:hAnsiTheme="minorEastAsia"/>
          <w:b/>
          <w:color w:val="000000" w:themeColor="text1"/>
          <w:sz w:val="32"/>
          <w:szCs w:val="32"/>
        </w:rPr>
        <w:sectPr w:rsidSect="00BB2E97">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1134" w:footer="1247" w:gutter="0"/>
          <w:pgNumType w:start="1"/>
          <w:cols w:space="720"/>
          <w:docGrid w:type="lines" w:linePitch="447"/>
        </w:sectPr>
      </w:pPr>
      <w:r w:rsidRPr="00CC51EF">
        <w:rPr>
          <w:rFonts w:asciiTheme="minorEastAsia" w:eastAsiaTheme="minorEastAsia" w:hAnsiTheme="minorEastAsia"/>
          <w:b/>
          <w:color w:val="000000" w:themeColor="text1"/>
          <w:sz w:val="32"/>
        </w:rPr>
        <w:t>二〇二</w:t>
      </w:r>
      <w:r w:rsidRPr="00CC51EF" w:rsidR="00066993">
        <w:rPr>
          <w:rFonts w:asciiTheme="minorEastAsia" w:eastAsiaTheme="minorEastAsia" w:hAnsiTheme="minorEastAsia"/>
          <w:b/>
          <w:color w:val="000000" w:themeColor="text1"/>
          <w:sz w:val="32"/>
        </w:rPr>
        <w:t>三</w:t>
      </w:r>
      <w:r w:rsidRPr="00CC51EF">
        <w:rPr>
          <w:rFonts w:asciiTheme="minorEastAsia" w:eastAsiaTheme="minorEastAsia" w:hAnsiTheme="minorEastAsia"/>
          <w:b/>
          <w:color w:val="000000" w:themeColor="text1"/>
          <w:sz w:val="32"/>
        </w:rPr>
        <w:t>年</w:t>
      </w:r>
      <w:r w:rsidRPr="00CC51EF" w:rsidR="00066993">
        <w:rPr>
          <w:rFonts w:asciiTheme="minorEastAsia" w:eastAsiaTheme="minorEastAsia" w:hAnsiTheme="minorEastAsia"/>
          <w:b/>
          <w:color w:val="000000" w:themeColor="text1"/>
          <w:sz w:val="32"/>
        </w:rPr>
        <w:t>五</w:t>
      </w:r>
      <w:r w:rsidRPr="00CC51EF">
        <w:rPr>
          <w:rFonts w:asciiTheme="minorEastAsia" w:eastAsiaTheme="minorEastAsia" w:hAnsiTheme="minorEastAsia"/>
          <w:b/>
          <w:color w:val="000000" w:themeColor="text1"/>
          <w:sz w:val="32"/>
        </w:rPr>
        <w:t>月</w:t>
      </w:r>
    </w:p>
    <w:p w:rsidR="001B2ECA" w:rsidRPr="00CC51EF">
      <w:pPr>
        <w:spacing w:line="288" w:lineRule="auto"/>
        <w:jc w:val="center"/>
        <w:rPr>
          <w:rFonts w:asciiTheme="minorEastAsia" w:eastAsiaTheme="minorEastAsia" w:hAnsiTheme="minorEastAsia"/>
          <w:b/>
          <w:color w:val="000000" w:themeColor="text1"/>
          <w:sz w:val="28"/>
          <w:szCs w:val="28"/>
        </w:rPr>
      </w:pPr>
      <w:r w:rsidRPr="00CC51EF">
        <w:rPr>
          <w:rFonts w:asciiTheme="minorEastAsia" w:eastAsiaTheme="minorEastAsia" w:hAnsiTheme="minorEastAsia" w:hint="eastAsia"/>
          <w:b/>
          <w:color w:val="000000" w:themeColor="text1"/>
          <w:sz w:val="28"/>
          <w:szCs w:val="28"/>
        </w:rPr>
        <w:t>重要提示</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1、本基金根据20</w:t>
      </w:r>
      <w:r w:rsidRPr="00CC51EF">
        <w:rPr>
          <w:rFonts w:asciiTheme="minorEastAsia" w:eastAsiaTheme="minorEastAsia" w:hAnsiTheme="minorEastAsia"/>
          <w:b/>
          <w:color w:val="000000" w:themeColor="text1"/>
        </w:rPr>
        <w:t>20</w:t>
      </w:r>
      <w:r w:rsidRPr="00CC51EF">
        <w:rPr>
          <w:rFonts w:asciiTheme="minorEastAsia" w:eastAsiaTheme="minorEastAsia" w:hAnsiTheme="minorEastAsia" w:hint="eastAsia"/>
          <w:b/>
          <w:color w:val="000000" w:themeColor="text1"/>
        </w:rPr>
        <w:t>年9月30日中国证券监督管理委员会《关于准予易方达战略新兴产业股票型证券投资基金注册的批复》（证监许可[20</w:t>
      </w:r>
      <w:r w:rsidRPr="00CC51EF">
        <w:rPr>
          <w:rFonts w:asciiTheme="minorEastAsia" w:eastAsiaTheme="minorEastAsia" w:hAnsiTheme="minorEastAsia"/>
          <w:b/>
          <w:color w:val="000000" w:themeColor="text1"/>
        </w:rPr>
        <w:t>20</w:t>
      </w:r>
      <w:r w:rsidRPr="00CC51EF">
        <w:rPr>
          <w:rFonts w:asciiTheme="minorEastAsia" w:eastAsiaTheme="minorEastAsia" w:hAnsiTheme="minorEastAsia" w:hint="eastAsia"/>
          <w:b/>
          <w:color w:val="000000" w:themeColor="text1"/>
        </w:rPr>
        <w:t>]2459号）进行募集。本基金基金合同于2021年1月13日正式生效。</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2、基金管理人保证《招募说明书》的内容真实、准确、完整。本基金经中国证监会注册，但中国证监会对本基金募集的注册，并不表明其对本基金的投资价值、市场前景和收益作出实质性判断或保证，也不表明投资于本基金没有风险。</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b/>
          <w:color w:val="000000" w:themeColor="text1"/>
        </w:rPr>
        <w:t>3</w:t>
      </w:r>
      <w:r w:rsidRPr="00CC51EF">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基金的招募说明书、基金合同、基金产品资料概要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特有风险包括：（</w:t>
      </w:r>
      <w:r w:rsidRPr="00CC51EF">
        <w:rPr>
          <w:rFonts w:asciiTheme="minorEastAsia" w:eastAsiaTheme="minorEastAsia" w:hAnsiTheme="minorEastAsia"/>
          <w:b/>
          <w:color w:val="000000" w:themeColor="text1"/>
        </w:rPr>
        <w:t>1）</w:t>
      </w:r>
      <w:r w:rsidRPr="00CC51EF">
        <w:rPr>
          <w:rFonts w:asciiTheme="minorEastAsia" w:eastAsiaTheme="minorEastAsia" w:hAnsiTheme="minorEastAsia" w:hint="eastAsia"/>
          <w:b/>
          <w:color w:val="000000" w:themeColor="text1"/>
        </w:rPr>
        <w:t>股票市场波动风险</w:t>
      </w:r>
      <w:r w:rsidRPr="00CC51EF">
        <w:rPr>
          <w:rFonts w:asciiTheme="minorEastAsia" w:eastAsiaTheme="minorEastAsia" w:hAnsiTheme="minorEastAsia"/>
          <w:b/>
          <w:color w:val="000000" w:themeColor="text1"/>
        </w:rPr>
        <w:t>；</w:t>
      </w:r>
      <w:r w:rsidRPr="00CC51EF">
        <w:rPr>
          <w:rFonts w:asciiTheme="minorEastAsia" w:eastAsiaTheme="minorEastAsia" w:hAnsiTheme="minorEastAsia" w:hint="eastAsia"/>
          <w:b/>
          <w:color w:val="000000" w:themeColor="text1"/>
        </w:rPr>
        <w:t>（</w:t>
      </w:r>
      <w:r w:rsidRPr="00CC51EF">
        <w:rPr>
          <w:rFonts w:asciiTheme="minorEastAsia" w:eastAsiaTheme="minorEastAsia" w:hAnsiTheme="minorEastAsia"/>
          <w:b/>
          <w:color w:val="000000" w:themeColor="text1"/>
        </w:rPr>
        <w:t>2）</w:t>
      </w:r>
      <w:r w:rsidRPr="00CC51EF">
        <w:rPr>
          <w:rFonts w:asciiTheme="minorEastAsia" w:eastAsiaTheme="minorEastAsia" w:hAnsiTheme="minorEastAsia" w:hint="eastAsia"/>
          <w:b/>
          <w:color w:val="000000" w:themeColor="text1"/>
        </w:rPr>
        <w:t>战略新兴产业相关证券集中度较高的风险</w:t>
      </w:r>
      <w:r w:rsidRPr="00CC51EF">
        <w:rPr>
          <w:rFonts w:asciiTheme="minorEastAsia" w:eastAsiaTheme="minorEastAsia" w:hAnsiTheme="minorEastAsia"/>
          <w:b/>
          <w:color w:val="000000" w:themeColor="text1"/>
        </w:rPr>
        <w:t>；（3）</w:t>
      </w:r>
      <w:r w:rsidRPr="00CC51EF">
        <w:rPr>
          <w:rFonts w:asciiTheme="minorEastAsia" w:eastAsiaTheme="minorEastAsia" w:hAnsiTheme="minorEastAsia" w:hint="eastAsia"/>
          <w:b/>
          <w:color w:val="000000" w:themeColor="text1"/>
        </w:rPr>
        <w:t>本基金投资范围包括内地与香港股票市场交易互联互通机制允许买卖的香港证券市场股票而</w:t>
      </w:r>
      <w:r w:rsidRPr="00CC51EF">
        <w:rPr>
          <w:rFonts w:asciiTheme="minorEastAsia" w:eastAsiaTheme="minorEastAsia" w:hAnsiTheme="minorEastAsia"/>
          <w:b/>
          <w:color w:val="000000" w:themeColor="text1"/>
        </w:rPr>
        <w:t>面临</w:t>
      </w:r>
      <w:r w:rsidRPr="00CC51EF">
        <w:rPr>
          <w:rFonts w:asciiTheme="minorEastAsia" w:eastAsiaTheme="minorEastAsia" w:hAnsiTheme="minorEastAsia" w:hint="eastAsia"/>
          <w:b/>
          <w:color w:val="000000" w:themeColor="text1"/>
        </w:rPr>
        <w:t>的</w:t>
      </w:r>
      <w:r w:rsidRPr="00CC51EF">
        <w:rPr>
          <w:rFonts w:asciiTheme="minorEastAsia" w:eastAsiaTheme="minorEastAsia" w:hAnsiTheme="minorEastAsia"/>
          <w:b/>
          <w:color w:val="000000" w:themeColor="text1"/>
        </w:rPr>
        <w:t>香港股票市场及港股通机制带来的风险</w:t>
      </w:r>
      <w:r w:rsidRPr="00CC51EF">
        <w:rPr>
          <w:rFonts w:asciiTheme="minorEastAsia" w:eastAsiaTheme="minorEastAsia" w:hAnsiTheme="minorEastAsia" w:hint="eastAsia"/>
          <w:b/>
          <w:color w:val="000000" w:themeColor="text1"/>
        </w:rPr>
        <w:t>；</w:t>
      </w:r>
      <w:r w:rsidRPr="00CC51EF">
        <w:rPr>
          <w:rFonts w:asciiTheme="minorEastAsia" w:eastAsiaTheme="minorEastAsia" w:hAnsiTheme="minorEastAsia"/>
          <w:b/>
          <w:color w:val="000000" w:themeColor="text1"/>
        </w:rPr>
        <w:t>（4）</w:t>
      </w:r>
      <w:r w:rsidRPr="00CC51EF">
        <w:rPr>
          <w:rFonts w:asciiTheme="minorEastAsia" w:eastAsiaTheme="minorEastAsia" w:hAnsiTheme="minorEastAsia" w:hint="eastAsia"/>
          <w:b/>
          <w:color w:val="000000" w:themeColor="text1"/>
        </w:rPr>
        <w:t>本</w:t>
      </w:r>
      <w:r w:rsidRPr="00CC51EF">
        <w:rPr>
          <w:rFonts w:asciiTheme="minorEastAsia" w:eastAsiaTheme="minorEastAsia" w:hAnsiTheme="minorEastAsia"/>
          <w:b/>
          <w:color w:val="000000" w:themeColor="text1"/>
        </w:rPr>
        <w:t>基金投资</w:t>
      </w:r>
      <w:r w:rsidRPr="00CC51EF">
        <w:rPr>
          <w:rFonts w:asciiTheme="minorEastAsia" w:eastAsiaTheme="minorEastAsia" w:hAnsiTheme="minorEastAsia" w:hint="eastAsia"/>
          <w:b/>
          <w:color w:val="000000" w:themeColor="text1"/>
        </w:rPr>
        <w:t>范围</w:t>
      </w:r>
      <w:r w:rsidRPr="00CC51EF">
        <w:rPr>
          <w:rFonts w:asciiTheme="minorEastAsia" w:eastAsiaTheme="minorEastAsia" w:hAnsiTheme="minorEastAsia"/>
          <w:b/>
          <w:color w:val="000000" w:themeColor="text1"/>
        </w:rPr>
        <w:t>包括</w:t>
      </w:r>
      <w:r w:rsidRPr="00CC51EF">
        <w:rPr>
          <w:rFonts w:asciiTheme="minorEastAsia" w:eastAsiaTheme="minorEastAsia" w:hAnsiTheme="minorEastAsia" w:hint="eastAsia"/>
          <w:b/>
          <w:color w:val="000000" w:themeColor="text1"/>
        </w:rPr>
        <w:t>股指期货、国债期货、股票期权等金融衍生品以及资产支持证券等特殊</w:t>
      </w:r>
      <w:r w:rsidRPr="00CC51EF">
        <w:rPr>
          <w:rFonts w:asciiTheme="minorEastAsia" w:eastAsiaTheme="minorEastAsia" w:hAnsiTheme="minorEastAsia"/>
          <w:b/>
          <w:color w:val="000000" w:themeColor="text1"/>
        </w:rPr>
        <w:t>品种</w:t>
      </w:r>
      <w:r w:rsidRPr="00CC51EF">
        <w:rPr>
          <w:rFonts w:asciiTheme="minorEastAsia" w:eastAsiaTheme="minorEastAsia" w:hAnsiTheme="minorEastAsia" w:hint="eastAsia"/>
          <w:b/>
          <w:color w:val="000000" w:themeColor="text1"/>
        </w:rPr>
        <w:t>而</w:t>
      </w:r>
      <w:r w:rsidRPr="00CC51EF">
        <w:rPr>
          <w:rFonts w:asciiTheme="minorEastAsia" w:eastAsiaTheme="minorEastAsia" w:hAnsiTheme="minorEastAsia"/>
          <w:b/>
          <w:color w:val="000000" w:themeColor="text1"/>
        </w:rPr>
        <w:t>面临的其他额外风险</w:t>
      </w:r>
      <w:r w:rsidRPr="00CC51EF">
        <w:rPr>
          <w:rFonts w:asciiTheme="minorEastAsia" w:eastAsiaTheme="minorEastAsia" w:hAnsiTheme="minorEastAsia" w:hint="eastAsia"/>
          <w:b/>
          <w:color w:val="000000" w:themeColor="text1"/>
        </w:rPr>
        <w:t>。此外，本基金还将面临市场风险、流动性风险（包括但不限于特定投资标的流动性较差风险、巨额赎回风险、启用摆动定价或侧袋机制等流动性风险管理工具带来的风险等）、管理风险、税收风险、本基金法律文件中涉及基金风险特征的表述与销售机构对基金的风险评级可能不一致的风险等其他一般风险。</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本基金的具体运作特点详见基金合同和招募说明书的约定。本基金的一般风险及特有风险详见本招募说明书的“风险揭示”部分。</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b/>
          <w:color w:val="000000" w:themeColor="text1"/>
        </w:rPr>
        <w:t>4</w:t>
      </w:r>
      <w:r w:rsidRPr="00CC51EF">
        <w:rPr>
          <w:rFonts w:asciiTheme="minorEastAsia" w:eastAsiaTheme="minorEastAsia" w:hAnsiTheme="minorEastAsia" w:hint="eastAsia"/>
          <w:b/>
          <w:color w:val="000000" w:themeColor="text1"/>
        </w:rPr>
        <w:t>、本基金为股票基金，理论上其预期风险与预期收益高于混合基金、债券基金和货币市场基金。</w:t>
      </w:r>
    </w:p>
    <w:p w:rsidR="001B2ECA" w:rsidRPr="00CC51EF">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5、基金管理人提醒投资者基金投资的“买者自负”原则，在投资者作出投资决策后，基金运营状况与基金净值变化引致的投资风险，由投资者自行负责。此外，本基金以1元初始面值进行募集，在市场波动等因素的影响下，存在单位份额净值跌破1元初始面值的风险。</w:t>
      </w:r>
    </w:p>
    <w:p w:rsidR="001B2ECA" w:rsidRPr="00CC51EF" w:rsidP="00AF379A">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6、基金不同于银行储蓄，基金投资人投资于基金有可能获得较高的收益，也有可能损失本金。投资有风险，投资人在进行投资决策前，请仔细阅读本基金的《招募说明书》及《基金合同》。</w:t>
      </w:r>
    </w:p>
    <w:p w:rsidR="001B2ECA" w:rsidRPr="00CC51EF" w:rsidP="00AF379A">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7、基金的过往业绩并不预示其未来表现，基金管理人管理的其他基金的业绩并不构成对本基金表现的保证。</w:t>
      </w:r>
    </w:p>
    <w:p w:rsidR="001B2ECA" w:rsidRPr="00CC51EF" w:rsidP="00AF379A">
      <w:pPr>
        <w:snapToGrid w:val="0"/>
        <w:spacing w:line="360" w:lineRule="auto"/>
        <w:ind w:firstLine="422"/>
        <w:rPr>
          <w:rFonts w:asciiTheme="minorEastAsia" w:eastAsiaTheme="minorEastAsia" w:hAnsiTheme="minorEastAsia"/>
          <w:b/>
          <w:color w:val="000000" w:themeColor="text1"/>
        </w:rPr>
      </w:pPr>
      <w:r w:rsidRPr="00CC51EF">
        <w:rPr>
          <w:rFonts w:asciiTheme="minorEastAsia" w:eastAsiaTheme="minorEastAsia" w:hAnsiTheme="minorEastAsia" w:hint="eastAsia"/>
          <w:b/>
          <w:color w:val="000000" w:themeColor="text1"/>
        </w:rPr>
        <w:t>本基金本次更新招募说明书对基金管理人章节进行更新，相关信息更新截止日为</w:t>
      </w:r>
      <w:r w:rsidRPr="00CC51EF">
        <w:rPr>
          <w:rFonts w:asciiTheme="minorEastAsia" w:eastAsiaTheme="minorEastAsia" w:hAnsiTheme="minorEastAsia"/>
          <w:b/>
          <w:color w:val="000000" w:themeColor="text1"/>
        </w:rPr>
        <w:t>2023</w:t>
      </w:r>
      <w:r w:rsidRPr="00CC51EF">
        <w:rPr>
          <w:rFonts w:asciiTheme="minorEastAsia" w:eastAsiaTheme="minorEastAsia" w:hAnsiTheme="minorEastAsia" w:hint="eastAsia"/>
          <w:b/>
          <w:color w:val="000000" w:themeColor="text1"/>
        </w:rPr>
        <w:t>年</w:t>
      </w:r>
      <w:r w:rsidRPr="00CC51EF">
        <w:rPr>
          <w:rFonts w:asciiTheme="minorEastAsia" w:eastAsiaTheme="minorEastAsia" w:hAnsiTheme="minorEastAsia"/>
          <w:b/>
          <w:color w:val="000000" w:themeColor="text1"/>
        </w:rPr>
        <w:t>5</w:t>
      </w:r>
      <w:r w:rsidRPr="00CC51EF">
        <w:rPr>
          <w:rFonts w:asciiTheme="minorEastAsia" w:eastAsiaTheme="minorEastAsia" w:hAnsiTheme="minorEastAsia" w:hint="eastAsia"/>
          <w:b/>
          <w:color w:val="000000" w:themeColor="text1"/>
        </w:rPr>
        <w:t>月</w:t>
      </w:r>
      <w:r w:rsidRPr="00CC51EF">
        <w:rPr>
          <w:rFonts w:asciiTheme="minorEastAsia" w:eastAsiaTheme="minorEastAsia" w:hAnsiTheme="minorEastAsia"/>
          <w:b/>
          <w:color w:val="000000" w:themeColor="text1"/>
        </w:rPr>
        <w:t>6日</w:t>
      </w:r>
      <w:r w:rsidRPr="00CC51EF">
        <w:rPr>
          <w:rFonts w:asciiTheme="minorEastAsia" w:eastAsiaTheme="minorEastAsia" w:hAnsiTheme="minorEastAsia" w:hint="eastAsia"/>
          <w:b/>
          <w:color w:val="000000" w:themeColor="text1"/>
        </w:rPr>
        <w:t>。</w:t>
      </w:r>
      <w:r w:rsidRPr="00CC51EF" w:rsidR="00917C98">
        <w:rPr>
          <w:rFonts w:asciiTheme="minorEastAsia" w:eastAsiaTheme="minorEastAsia" w:hAnsiTheme="minorEastAsia"/>
          <w:b/>
          <w:color w:val="000000" w:themeColor="text1"/>
        </w:rPr>
        <w:t>本基金有关财务数据截止日为2022年6月30日，净值表现截止日为2021年12月31日，除非另有说明，本招募说明书其他所载内容截止日为2022年9月16日。（本报告中财务数据未经审计）</w:t>
      </w:r>
    </w:p>
    <w:p w:rsidR="00F72703" w:rsidRPr="00CC51EF" w:rsidP="00AF379A">
      <w:pPr>
        <w:snapToGrid w:val="0"/>
        <w:spacing w:line="360" w:lineRule="auto"/>
        <w:ind w:firstLine="422"/>
        <w:rPr>
          <w:rFonts w:asciiTheme="minorEastAsia" w:eastAsiaTheme="minorEastAsia" w:hAnsiTheme="minorEastAsia"/>
          <w:b/>
          <w:color w:val="000000" w:themeColor="text1"/>
        </w:rPr>
        <w:sectPr w:rsidSect="00F72703">
          <w:headerReference w:type="even" r:id="rId11"/>
          <w:headerReference w:type="default" r:id="rId12"/>
          <w:footerReference w:type="even" r:id="rId13"/>
          <w:footerReference w:type="default" r:id="rId14"/>
          <w:pgSz w:w="11906" w:h="16838"/>
          <w:pgMar w:top="1440" w:right="1800" w:bottom="1440" w:left="1800" w:header="851" w:footer="992" w:gutter="0"/>
          <w:pgNumType w:fmt="upperRoman" w:start="1"/>
          <w:cols w:space="720"/>
          <w:docGrid w:type="lines" w:linePitch="317"/>
        </w:sectPr>
      </w:pPr>
    </w:p>
    <w:p w:rsidR="001B2ECA" w:rsidRPr="00CC51EF">
      <w:pPr>
        <w:snapToGrid w:val="0"/>
        <w:spacing w:before="100" w:after="100" w:line="360" w:lineRule="auto"/>
        <w:jc w:val="center"/>
        <w:rPr>
          <w:rFonts w:asciiTheme="minorEastAsia" w:eastAsiaTheme="minorEastAsia" w:hAnsiTheme="minorEastAsia"/>
          <w:color w:val="000000" w:themeColor="text1"/>
          <w:sz w:val="30"/>
        </w:rPr>
      </w:pPr>
      <w:r w:rsidRPr="00CC51EF">
        <w:rPr>
          <w:rFonts w:asciiTheme="minorEastAsia" w:eastAsiaTheme="minorEastAsia" w:hAnsiTheme="minorEastAsia" w:hint="eastAsia"/>
          <w:color w:val="000000" w:themeColor="text1"/>
          <w:sz w:val="30"/>
        </w:rPr>
        <w:t>目     录</w:t>
      </w:r>
    </w:p>
    <w:p w:rsidR="001B2ECA" w:rsidRPr="00CC51EF">
      <w:pPr>
        <w:snapToGrid w:val="0"/>
        <w:spacing w:before="100" w:after="100" w:line="320" w:lineRule="exact"/>
        <w:ind w:firstLine="480"/>
        <w:jc w:val="center"/>
        <w:rPr>
          <w:rFonts w:asciiTheme="minorEastAsia" w:eastAsiaTheme="minorEastAsia" w:hAnsiTheme="minorEastAsia"/>
          <w:b/>
          <w:color w:val="000000" w:themeColor="text1"/>
        </w:rPr>
      </w:pPr>
    </w:p>
    <w:p w:rsidR="002C200A">
      <w:pPr>
        <w:pStyle w:val="TOC1"/>
        <w:rPr>
          <w:rFonts w:asciiTheme="minorHAnsi" w:eastAsiaTheme="minorEastAsia" w:hAnsiTheme="minorHAnsi" w:cstheme="minorBidi"/>
          <w:caps w:val="0"/>
          <w:noProof/>
          <w:color w:val="auto"/>
          <w:kern w:val="2"/>
          <w:sz w:val="21"/>
          <w:szCs w:val="22"/>
        </w:rPr>
      </w:pPr>
      <w:r w:rsidRPr="00CC51EF">
        <w:rPr>
          <w:rFonts w:asciiTheme="minorEastAsia" w:eastAsiaTheme="minorEastAsia" w:hAnsiTheme="minorEastAsia"/>
          <w:b/>
          <w:color w:val="000000" w:themeColor="text1"/>
        </w:rPr>
        <w:fldChar w:fldCharType="begin"/>
      </w:r>
      <w:r w:rsidRPr="00CC51EF">
        <w:rPr>
          <w:rFonts w:asciiTheme="minorEastAsia" w:eastAsiaTheme="minorEastAsia" w:hAnsiTheme="minorEastAsia"/>
          <w:b/>
          <w:color w:val="000000" w:themeColor="text1"/>
        </w:rPr>
        <w:instrText xml:space="preserve"> TOC \o "1-1" \h \z \u </w:instrText>
      </w:r>
      <w:r w:rsidRPr="00CC51EF">
        <w:rPr>
          <w:rFonts w:asciiTheme="minorEastAsia" w:eastAsiaTheme="minorEastAsia" w:hAnsiTheme="minorEastAsia"/>
          <w:b/>
          <w:color w:val="000000" w:themeColor="text1"/>
        </w:rPr>
        <w:fldChar w:fldCharType="separate"/>
      </w:r>
      <w:hyperlink w:anchor="_Toc134548068" w:history="1">
        <w:r w:rsidRPr="001018BC">
          <w:rPr>
            <w:rStyle w:val="Hyperlink"/>
            <w:rFonts w:asciiTheme="minorEastAsia" w:hAnsiTheme="minorEastAsia" w:hint="eastAsia"/>
            <w:noProof/>
          </w:rPr>
          <w:t>一、绪</w:t>
        </w:r>
        <w:r w:rsidRPr="001018BC">
          <w:rPr>
            <w:rStyle w:val="Hyperlink"/>
            <w:rFonts w:asciiTheme="minorEastAsia" w:hAnsiTheme="minorEastAsia"/>
            <w:noProof/>
          </w:rPr>
          <w:t xml:space="preserve">  </w:t>
        </w:r>
        <w:r w:rsidRPr="001018BC">
          <w:rPr>
            <w:rStyle w:val="Hyperlink"/>
            <w:rFonts w:asciiTheme="minorEastAsia" w:hAnsiTheme="minorEastAsia" w:hint="eastAsia"/>
            <w:noProof/>
          </w:rPr>
          <w:t>言</w:t>
        </w:r>
        <w:r>
          <w:rPr>
            <w:noProof/>
            <w:webHidden/>
          </w:rPr>
          <w:tab/>
        </w:r>
        <w:r>
          <w:rPr>
            <w:noProof/>
            <w:webHidden/>
          </w:rPr>
          <w:fldChar w:fldCharType="begin"/>
        </w:r>
        <w:r>
          <w:rPr>
            <w:noProof/>
            <w:webHidden/>
          </w:rPr>
          <w:instrText xml:space="preserve"> PAGEREF _Toc134548068 \h </w:instrText>
        </w:r>
        <w:r>
          <w:rPr>
            <w:noProof/>
            <w:webHidden/>
          </w:rPr>
          <w:fldChar w:fldCharType="separate"/>
        </w:r>
        <w:r>
          <w:rPr>
            <w:noProof/>
            <w:webHidden/>
          </w:rPr>
          <w:t>1</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69" w:history="1">
        <w:r w:rsidRPr="001018BC">
          <w:rPr>
            <w:rStyle w:val="Hyperlink"/>
            <w:rFonts w:asciiTheme="minorEastAsia" w:hAnsiTheme="minorEastAsia" w:hint="eastAsia"/>
            <w:noProof/>
          </w:rPr>
          <w:t>二、释</w:t>
        </w:r>
        <w:r w:rsidRPr="001018BC">
          <w:rPr>
            <w:rStyle w:val="Hyperlink"/>
            <w:rFonts w:asciiTheme="minorEastAsia" w:hAnsiTheme="minorEastAsia"/>
            <w:noProof/>
          </w:rPr>
          <w:t xml:space="preserve">  </w:t>
        </w:r>
        <w:r w:rsidRPr="001018BC">
          <w:rPr>
            <w:rStyle w:val="Hyperlink"/>
            <w:rFonts w:asciiTheme="minorEastAsia" w:hAnsiTheme="minorEastAsia" w:hint="eastAsia"/>
            <w:noProof/>
          </w:rPr>
          <w:t>义</w:t>
        </w:r>
        <w:r>
          <w:rPr>
            <w:noProof/>
            <w:webHidden/>
          </w:rPr>
          <w:tab/>
        </w:r>
        <w:r>
          <w:rPr>
            <w:noProof/>
            <w:webHidden/>
          </w:rPr>
          <w:fldChar w:fldCharType="begin"/>
        </w:r>
        <w:r>
          <w:rPr>
            <w:noProof/>
            <w:webHidden/>
          </w:rPr>
          <w:instrText xml:space="preserve"> PAGEREF _Toc134548069 \h </w:instrText>
        </w:r>
        <w:r>
          <w:rPr>
            <w:noProof/>
            <w:webHidden/>
          </w:rPr>
          <w:fldChar w:fldCharType="separate"/>
        </w:r>
        <w:r>
          <w:rPr>
            <w:noProof/>
            <w:webHidden/>
          </w:rPr>
          <w:t>2</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0" w:history="1">
        <w:r w:rsidRPr="001018BC">
          <w:rPr>
            <w:rStyle w:val="Hyperlink"/>
            <w:rFonts w:asciiTheme="minorEastAsia" w:hAnsiTheme="minorEastAsia" w:hint="eastAsia"/>
            <w:noProof/>
          </w:rPr>
          <w:t>三、基金管理人</w:t>
        </w:r>
        <w:r>
          <w:rPr>
            <w:noProof/>
            <w:webHidden/>
          </w:rPr>
          <w:tab/>
        </w:r>
        <w:r>
          <w:rPr>
            <w:noProof/>
            <w:webHidden/>
          </w:rPr>
          <w:fldChar w:fldCharType="begin"/>
        </w:r>
        <w:r>
          <w:rPr>
            <w:noProof/>
            <w:webHidden/>
          </w:rPr>
          <w:instrText xml:space="preserve"> PAGEREF _Toc134548070 \h </w:instrText>
        </w:r>
        <w:r>
          <w:rPr>
            <w:noProof/>
            <w:webHidden/>
          </w:rPr>
          <w:fldChar w:fldCharType="separate"/>
        </w:r>
        <w:r>
          <w:rPr>
            <w:noProof/>
            <w:webHidden/>
          </w:rPr>
          <w:t>7</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1" w:history="1">
        <w:r w:rsidRPr="001018BC">
          <w:rPr>
            <w:rStyle w:val="Hyperlink"/>
            <w:rFonts w:asciiTheme="minorEastAsia" w:hAnsiTheme="minorEastAsia" w:hint="eastAsia"/>
            <w:noProof/>
          </w:rPr>
          <w:t>四、基金托管人</w:t>
        </w:r>
        <w:r>
          <w:rPr>
            <w:noProof/>
            <w:webHidden/>
          </w:rPr>
          <w:tab/>
        </w:r>
        <w:r>
          <w:rPr>
            <w:noProof/>
            <w:webHidden/>
          </w:rPr>
          <w:fldChar w:fldCharType="begin"/>
        </w:r>
        <w:r>
          <w:rPr>
            <w:noProof/>
            <w:webHidden/>
          </w:rPr>
          <w:instrText xml:space="preserve"> PAGEREF _Toc134548071 \h </w:instrText>
        </w:r>
        <w:r>
          <w:rPr>
            <w:noProof/>
            <w:webHidden/>
          </w:rPr>
          <w:fldChar w:fldCharType="separate"/>
        </w:r>
        <w:r>
          <w:rPr>
            <w:noProof/>
            <w:webHidden/>
          </w:rPr>
          <w:t>20</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2" w:history="1">
        <w:r w:rsidRPr="001018BC">
          <w:rPr>
            <w:rStyle w:val="Hyperlink"/>
            <w:rFonts w:asciiTheme="minorEastAsia" w:hAnsiTheme="minorEastAsia" w:hint="eastAsia"/>
            <w:noProof/>
          </w:rPr>
          <w:t>五、相关服务机构</w:t>
        </w:r>
        <w:r>
          <w:rPr>
            <w:noProof/>
            <w:webHidden/>
          </w:rPr>
          <w:tab/>
        </w:r>
        <w:r>
          <w:rPr>
            <w:noProof/>
            <w:webHidden/>
          </w:rPr>
          <w:fldChar w:fldCharType="begin"/>
        </w:r>
        <w:r>
          <w:rPr>
            <w:noProof/>
            <w:webHidden/>
          </w:rPr>
          <w:instrText xml:space="preserve"> PAGEREF _Toc134548072 \h </w:instrText>
        </w:r>
        <w:r>
          <w:rPr>
            <w:noProof/>
            <w:webHidden/>
          </w:rPr>
          <w:fldChar w:fldCharType="separate"/>
        </w:r>
        <w:r>
          <w:rPr>
            <w:noProof/>
            <w:webHidden/>
          </w:rPr>
          <w:t>22</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3" w:history="1">
        <w:r w:rsidRPr="001018BC">
          <w:rPr>
            <w:rStyle w:val="Hyperlink"/>
            <w:rFonts w:asciiTheme="minorEastAsia" w:hAnsiTheme="minorEastAsia" w:hint="eastAsia"/>
            <w:bCs/>
            <w:noProof/>
          </w:rPr>
          <w:t>六、基金的募集</w:t>
        </w:r>
        <w:r>
          <w:rPr>
            <w:noProof/>
            <w:webHidden/>
          </w:rPr>
          <w:tab/>
        </w:r>
        <w:r>
          <w:rPr>
            <w:noProof/>
            <w:webHidden/>
          </w:rPr>
          <w:fldChar w:fldCharType="begin"/>
        </w:r>
        <w:r>
          <w:rPr>
            <w:noProof/>
            <w:webHidden/>
          </w:rPr>
          <w:instrText xml:space="preserve"> PAGEREF _Toc134548073 \h </w:instrText>
        </w:r>
        <w:r>
          <w:rPr>
            <w:noProof/>
            <w:webHidden/>
          </w:rPr>
          <w:fldChar w:fldCharType="separate"/>
        </w:r>
        <w:r>
          <w:rPr>
            <w:noProof/>
            <w:webHidden/>
          </w:rPr>
          <w:t>24</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4" w:history="1">
        <w:r w:rsidRPr="001018BC">
          <w:rPr>
            <w:rStyle w:val="Hyperlink"/>
            <w:rFonts w:asciiTheme="minorEastAsia" w:hAnsiTheme="minorEastAsia" w:hint="eastAsia"/>
            <w:bCs/>
            <w:noProof/>
          </w:rPr>
          <w:t>七、基金合同的生效</w:t>
        </w:r>
        <w:r>
          <w:rPr>
            <w:noProof/>
            <w:webHidden/>
          </w:rPr>
          <w:tab/>
        </w:r>
        <w:r>
          <w:rPr>
            <w:noProof/>
            <w:webHidden/>
          </w:rPr>
          <w:fldChar w:fldCharType="begin"/>
        </w:r>
        <w:r>
          <w:rPr>
            <w:noProof/>
            <w:webHidden/>
          </w:rPr>
          <w:instrText xml:space="preserve"> PAGEREF _Toc134548074 \h </w:instrText>
        </w:r>
        <w:r>
          <w:rPr>
            <w:noProof/>
            <w:webHidden/>
          </w:rPr>
          <w:fldChar w:fldCharType="separate"/>
        </w:r>
        <w:r>
          <w:rPr>
            <w:noProof/>
            <w:webHidden/>
          </w:rPr>
          <w:t>25</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5" w:history="1">
        <w:r w:rsidRPr="001018BC">
          <w:rPr>
            <w:rStyle w:val="Hyperlink"/>
            <w:rFonts w:asciiTheme="minorEastAsia" w:hAnsiTheme="minorEastAsia" w:hint="eastAsia"/>
            <w:bCs/>
            <w:noProof/>
          </w:rPr>
          <w:t>八、基金份额的申购、赎回</w:t>
        </w:r>
        <w:r>
          <w:rPr>
            <w:noProof/>
            <w:webHidden/>
          </w:rPr>
          <w:tab/>
        </w:r>
        <w:r>
          <w:rPr>
            <w:noProof/>
            <w:webHidden/>
          </w:rPr>
          <w:fldChar w:fldCharType="begin"/>
        </w:r>
        <w:r>
          <w:rPr>
            <w:noProof/>
            <w:webHidden/>
          </w:rPr>
          <w:instrText xml:space="preserve"> PAGEREF _Toc134548075 \h </w:instrText>
        </w:r>
        <w:r>
          <w:rPr>
            <w:noProof/>
            <w:webHidden/>
          </w:rPr>
          <w:fldChar w:fldCharType="separate"/>
        </w:r>
        <w:r>
          <w:rPr>
            <w:noProof/>
            <w:webHidden/>
          </w:rPr>
          <w:t>26</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6" w:history="1">
        <w:r w:rsidRPr="001018BC">
          <w:rPr>
            <w:rStyle w:val="Hyperlink"/>
            <w:rFonts w:asciiTheme="minorEastAsia" w:hAnsiTheme="minorEastAsia" w:hint="eastAsia"/>
            <w:noProof/>
          </w:rPr>
          <w:t>九、基金转换和定期定额投资计划</w:t>
        </w:r>
        <w:r>
          <w:rPr>
            <w:noProof/>
            <w:webHidden/>
          </w:rPr>
          <w:tab/>
        </w:r>
        <w:r>
          <w:rPr>
            <w:noProof/>
            <w:webHidden/>
          </w:rPr>
          <w:fldChar w:fldCharType="begin"/>
        </w:r>
        <w:r>
          <w:rPr>
            <w:noProof/>
            <w:webHidden/>
          </w:rPr>
          <w:instrText xml:space="preserve"> PAGEREF _Toc134548076 \h </w:instrText>
        </w:r>
        <w:r>
          <w:rPr>
            <w:noProof/>
            <w:webHidden/>
          </w:rPr>
          <w:fldChar w:fldCharType="separate"/>
        </w:r>
        <w:r>
          <w:rPr>
            <w:noProof/>
            <w:webHidden/>
          </w:rPr>
          <w:t>37</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7" w:history="1">
        <w:r w:rsidRPr="001018BC">
          <w:rPr>
            <w:rStyle w:val="Hyperlink"/>
            <w:rFonts w:asciiTheme="minorEastAsia" w:hAnsiTheme="minorEastAsia" w:hint="eastAsia"/>
            <w:noProof/>
          </w:rPr>
          <w:t>十、基金的转托管、质押、非交易过户、冻结与解冻</w:t>
        </w:r>
        <w:r>
          <w:rPr>
            <w:noProof/>
            <w:webHidden/>
          </w:rPr>
          <w:tab/>
        </w:r>
        <w:r>
          <w:rPr>
            <w:noProof/>
            <w:webHidden/>
          </w:rPr>
          <w:fldChar w:fldCharType="begin"/>
        </w:r>
        <w:r>
          <w:rPr>
            <w:noProof/>
            <w:webHidden/>
          </w:rPr>
          <w:instrText xml:space="preserve"> PAGEREF _Toc134548077 \h </w:instrText>
        </w:r>
        <w:r>
          <w:rPr>
            <w:noProof/>
            <w:webHidden/>
          </w:rPr>
          <w:fldChar w:fldCharType="separate"/>
        </w:r>
        <w:r>
          <w:rPr>
            <w:noProof/>
            <w:webHidden/>
          </w:rPr>
          <w:t>43</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8" w:history="1">
        <w:r w:rsidRPr="001018BC">
          <w:rPr>
            <w:rStyle w:val="Hyperlink"/>
            <w:rFonts w:asciiTheme="minorEastAsia" w:hAnsiTheme="minorEastAsia" w:hint="eastAsia"/>
            <w:noProof/>
          </w:rPr>
          <w:t>十一、基金的投资</w:t>
        </w:r>
        <w:r>
          <w:rPr>
            <w:noProof/>
            <w:webHidden/>
          </w:rPr>
          <w:tab/>
        </w:r>
        <w:r>
          <w:rPr>
            <w:noProof/>
            <w:webHidden/>
          </w:rPr>
          <w:fldChar w:fldCharType="begin"/>
        </w:r>
        <w:r>
          <w:rPr>
            <w:noProof/>
            <w:webHidden/>
          </w:rPr>
          <w:instrText xml:space="preserve"> PAGEREF _Toc134548078 \h </w:instrText>
        </w:r>
        <w:r>
          <w:rPr>
            <w:noProof/>
            <w:webHidden/>
          </w:rPr>
          <w:fldChar w:fldCharType="separate"/>
        </w:r>
        <w:r>
          <w:rPr>
            <w:noProof/>
            <w:webHidden/>
          </w:rPr>
          <w:t>44</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79" w:history="1">
        <w:r w:rsidRPr="001018BC">
          <w:rPr>
            <w:rStyle w:val="Hyperlink"/>
            <w:rFonts w:asciiTheme="minorEastAsia" w:hAnsiTheme="minorEastAsia" w:hint="eastAsia"/>
            <w:noProof/>
          </w:rPr>
          <w:t>十二、基金的业绩</w:t>
        </w:r>
        <w:r>
          <w:rPr>
            <w:noProof/>
            <w:webHidden/>
          </w:rPr>
          <w:tab/>
        </w:r>
        <w:r>
          <w:rPr>
            <w:noProof/>
            <w:webHidden/>
          </w:rPr>
          <w:fldChar w:fldCharType="begin"/>
        </w:r>
        <w:r>
          <w:rPr>
            <w:noProof/>
            <w:webHidden/>
          </w:rPr>
          <w:instrText xml:space="preserve"> PAGEREF _Toc134548079 \h </w:instrText>
        </w:r>
        <w:r>
          <w:rPr>
            <w:noProof/>
            <w:webHidden/>
          </w:rPr>
          <w:fldChar w:fldCharType="separate"/>
        </w:r>
        <w:r>
          <w:rPr>
            <w:noProof/>
            <w:webHidden/>
          </w:rPr>
          <w:t>56</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0" w:history="1">
        <w:r w:rsidRPr="001018BC">
          <w:rPr>
            <w:rStyle w:val="Hyperlink"/>
            <w:rFonts w:asciiTheme="minorEastAsia" w:hAnsiTheme="minorEastAsia" w:hint="eastAsia"/>
            <w:noProof/>
          </w:rPr>
          <w:t>十三、基金的财产</w:t>
        </w:r>
        <w:r>
          <w:rPr>
            <w:noProof/>
            <w:webHidden/>
          </w:rPr>
          <w:tab/>
        </w:r>
        <w:r>
          <w:rPr>
            <w:noProof/>
            <w:webHidden/>
          </w:rPr>
          <w:fldChar w:fldCharType="begin"/>
        </w:r>
        <w:r>
          <w:rPr>
            <w:noProof/>
            <w:webHidden/>
          </w:rPr>
          <w:instrText xml:space="preserve"> PAGEREF _Toc134548080 \h </w:instrText>
        </w:r>
        <w:r>
          <w:rPr>
            <w:noProof/>
            <w:webHidden/>
          </w:rPr>
          <w:fldChar w:fldCharType="separate"/>
        </w:r>
        <w:r>
          <w:rPr>
            <w:noProof/>
            <w:webHidden/>
          </w:rPr>
          <w:t>57</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1" w:history="1">
        <w:r w:rsidRPr="001018BC">
          <w:rPr>
            <w:rStyle w:val="Hyperlink"/>
            <w:rFonts w:asciiTheme="minorEastAsia" w:hAnsiTheme="minorEastAsia" w:hint="eastAsia"/>
            <w:noProof/>
          </w:rPr>
          <w:t>十四、基金资产的估值</w:t>
        </w:r>
        <w:r>
          <w:rPr>
            <w:noProof/>
            <w:webHidden/>
          </w:rPr>
          <w:tab/>
        </w:r>
        <w:r>
          <w:rPr>
            <w:noProof/>
            <w:webHidden/>
          </w:rPr>
          <w:fldChar w:fldCharType="begin"/>
        </w:r>
        <w:r>
          <w:rPr>
            <w:noProof/>
            <w:webHidden/>
          </w:rPr>
          <w:instrText xml:space="preserve"> PAGEREF _Toc134548081 \h </w:instrText>
        </w:r>
        <w:r>
          <w:rPr>
            <w:noProof/>
            <w:webHidden/>
          </w:rPr>
          <w:fldChar w:fldCharType="separate"/>
        </w:r>
        <w:r>
          <w:rPr>
            <w:noProof/>
            <w:webHidden/>
          </w:rPr>
          <w:t>58</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2" w:history="1">
        <w:r w:rsidRPr="001018BC">
          <w:rPr>
            <w:rStyle w:val="Hyperlink"/>
            <w:rFonts w:asciiTheme="minorEastAsia" w:hAnsiTheme="minorEastAsia" w:hint="eastAsia"/>
            <w:noProof/>
          </w:rPr>
          <w:t>十五、基金的收益分配</w:t>
        </w:r>
        <w:r>
          <w:rPr>
            <w:noProof/>
            <w:webHidden/>
          </w:rPr>
          <w:tab/>
        </w:r>
        <w:r>
          <w:rPr>
            <w:noProof/>
            <w:webHidden/>
          </w:rPr>
          <w:fldChar w:fldCharType="begin"/>
        </w:r>
        <w:r>
          <w:rPr>
            <w:noProof/>
            <w:webHidden/>
          </w:rPr>
          <w:instrText xml:space="preserve"> PAGEREF _Toc134548082 \h </w:instrText>
        </w:r>
        <w:r>
          <w:rPr>
            <w:noProof/>
            <w:webHidden/>
          </w:rPr>
          <w:fldChar w:fldCharType="separate"/>
        </w:r>
        <w:r>
          <w:rPr>
            <w:noProof/>
            <w:webHidden/>
          </w:rPr>
          <w:t>64</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3" w:history="1">
        <w:r w:rsidRPr="001018BC">
          <w:rPr>
            <w:rStyle w:val="Hyperlink"/>
            <w:rFonts w:asciiTheme="minorEastAsia" w:hAnsiTheme="minorEastAsia" w:hint="eastAsia"/>
            <w:noProof/>
          </w:rPr>
          <w:t>十六、基金的费用与税收</w:t>
        </w:r>
        <w:r>
          <w:rPr>
            <w:noProof/>
            <w:webHidden/>
          </w:rPr>
          <w:tab/>
        </w:r>
        <w:r>
          <w:rPr>
            <w:noProof/>
            <w:webHidden/>
          </w:rPr>
          <w:fldChar w:fldCharType="begin"/>
        </w:r>
        <w:r>
          <w:rPr>
            <w:noProof/>
            <w:webHidden/>
          </w:rPr>
          <w:instrText xml:space="preserve"> PAGEREF _Toc134548083 \h </w:instrText>
        </w:r>
        <w:r>
          <w:rPr>
            <w:noProof/>
            <w:webHidden/>
          </w:rPr>
          <w:fldChar w:fldCharType="separate"/>
        </w:r>
        <w:r>
          <w:rPr>
            <w:noProof/>
            <w:webHidden/>
          </w:rPr>
          <w:t>66</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4" w:history="1">
        <w:r w:rsidRPr="001018BC">
          <w:rPr>
            <w:rStyle w:val="Hyperlink"/>
            <w:rFonts w:asciiTheme="minorEastAsia" w:hAnsiTheme="minorEastAsia" w:hint="eastAsia"/>
            <w:noProof/>
          </w:rPr>
          <w:t>十七、基金的会计与审计</w:t>
        </w:r>
        <w:r>
          <w:rPr>
            <w:noProof/>
            <w:webHidden/>
          </w:rPr>
          <w:tab/>
        </w:r>
        <w:r>
          <w:rPr>
            <w:noProof/>
            <w:webHidden/>
          </w:rPr>
          <w:fldChar w:fldCharType="begin"/>
        </w:r>
        <w:r>
          <w:rPr>
            <w:noProof/>
            <w:webHidden/>
          </w:rPr>
          <w:instrText xml:space="preserve"> PAGEREF _Toc134548084 \h </w:instrText>
        </w:r>
        <w:r>
          <w:rPr>
            <w:noProof/>
            <w:webHidden/>
          </w:rPr>
          <w:fldChar w:fldCharType="separate"/>
        </w:r>
        <w:r>
          <w:rPr>
            <w:noProof/>
            <w:webHidden/>
          </w:rPr>
          <w:t>69</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5" w:history="1">
        <w:r w:rsidRPr="001018BC">
          <w:rPr>
            <w:rStyle w:val="Hyperlink"/>
            <w:rFonts w:asciiTheme="minorEastAsia" w:hAnsiTheme="minorEastAsia" w:hint="eastAsia"/>
            <w:noProof/>
          </w:rPr>
          <w:t>十八、基金的信息披露</w:t>
        </w:r>
        <w:r>
          <w:rPr>
            <w:noProof/>
            <w:webHidden/>
          </w:rPr>
          <w:tab/>
        </w:r>
        <w:r>
          <w:rPr>
            <w:noProof/>
            <w:webHidden/>
          </w:rPr>
          <w:fldChar w:fldCharType="begin"/>
        </w:r>
        <w:r>
          <w:rPr>
            <w:noProof/>
            <w:webHidden/>
          </w:rPr>
          <w:instrText xml:space="preserve"> PAGEREF _Toc134548085 \h </w:instrText>
        </w:r>
        <w:r>
          <w:rPr>
            <w:noProof/>
            <w:webHidden/>
          </w:rPr>
          <w:fldChar w:fldCharType="separate"/>
        </w:r>
        <w:r>
          <w:rPr>
            <w:noProof/>
            <w:webHidden/>
          </w:rPr>
          <w:t>70</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6" w:history="1">
        <w:r w:rsidRPr="001018BC">
          <w:rPr>
            <w:rStyle w:val="Hyperlink"/>
            <w:rFonts w:asciiTheme="minorEastAsia" w:hAnsiTheme="minorEastAsia" w:hint="eastAsia"/>
            <w:noProof/>
          </w:rPr>
          <w:t>十九、侧袋机制</w:t>
        </w:r>
        <w:r>
          <w:rPr>
            <w:noProof/>
            <w:webHidden/>
          </w:rPr>
          <w:tab/>
        </w:r>
        <w:r>
          <w:rPr>
            <w:noProof/>
            <w:webHidden/>
          </w:rPr>
          <w:fldChar w:fldCharType="begin"/>
        </w:r>
        <w:r>
          <w:rPr>
            <w:noProof/>
            <w:webHidden/>
          </w:rPr>
          <w:instrText xml:space="preserve"> PAGEREF _Toc134548086 \h </w:instrText>
        </w:r>
        <w:r>
          <w:rPr>
            <w:noProof/>
            <w:webHidden/>
          </w:rPr>
          <w:fldChar w:fldCharType="separate"/>
        </w:r>
        <w:r>
          <w:rPr>
            <w:noProof/>
            <w:webHidden/>
          </w:rPr>
          <w:t>76</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7" w:history="1">
        <w:r w:rsidRPr="001018BC">
          <w:rPr>
            <w:rStyle w:val="Hyperlink"/>
            <w:rFonts w:asciiTheme="minorEastAsia" w:hAnsiTheme="minorEastAsia" w:hint="eastAsia"/>
            <w:noProof/>
          </w:rPr>
          <w:t>二十、风险揭示</w:t>
        </w:r>
        <w:r>
          <w:rPr>
            <w:noProof/>
            <w:webHidden/>
          </w:rPr>
          <w:tab/>
        </w:r>
        <w:r>
          <w:rPr>
            <w:noProof/>
            <w:webHidden/>
          </w:rPr>
          <w:fldChar w:fldCharType="begin"/>
        </w:r>
        <w:r>
          <w:rPr>
            <w:noProof/>
            <w:webHidden/>
          </w:rPr>
          <w:instrText xml:space="preserve"> PAGEREF _Toc134548087 \h </w:instrText>
        </w:r>
        <w:r>
          <w:rPr>
            <w:noProof/>
            <w:webHidden/>
          </w:rPr>
          <w:fldChar w:fldCharType="separate"/>
        </w:r>
        <w:r>
          <w:rPr>
            <w:noProof/>
            <w:webHidden/>
          </w:rPr>
          <w:t>78</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8" w:history="1">
        <w:r w:rsidRPr="001018BC">
          <w:rPr>
            <w:rStyle w:val="Hyperlink"/>
            <w:rFonts w:asciiTheme="minorEastAsia" w:hAnsiTheme="minorEastAsia" w:hint="eastAsia"/>
            <w:noProof/>
          </w:rPr>
          <w:t>二十一、基金合同的变更、终止与基金财产的清算</w:t>
        </w:r>
        <w:r>
          <w:rPr>
            <w:noProof/>
            <w:webHidden/>
          </w:rPr>
          <w:tab/>
        </w:r>
        <w:r>
          <w:rPr>
            <w:noProof/>
            <w:webHidden/>
          </w:rPr>
          <w:fldChar w:fldCharType="begin"/>
        </w:r>
        <w:r>
          <w:rPr>
            <w:noProof/>
            <w:webHidden/>
          </w:rPr>
          <w:instrText xml:space="preserve"> PAGEREF _Toc134548088 \h </w:instrText>
        </w:r>
        <w:r>
          <w:rPr>
            <w:noProof/>
            <w:webHidden/>
          </w:rPr>
          <w:fldChar w:fldCharType="separate"/>
        </w:r>
        <w:r>
          <w:rPr>
            <w:noProof/>
            <w:webHidden/>
          </w:rPr>
          <w:t>86</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89" w:history="1">
        <w:r w:rsidRPr="001018BC">
          <w:rPr>
            <w:rStyle w:val="Hyperlink"/>
            <w:rFonts w:asciiTheme="minorEastAsia" w:hAnsiTheme="minorEastAsia" w:hint="eastAsia"/>
            <w:noProof/>
          </w:rPr>
          <w:t>二十二、基金合同的内容摘要</w:t>
        </w:r>
        <w:r>
          <w:rPr>
            <w:noProof/>
            <w:webHidden/>
          </w:rPr>
          <w:tab/>
        </w:r>
        <w:r>
          <w:rPr>
            <w:noProof/>
            <w:webHidden/>
          </w:rPr>
          <w:fldChar w:fldCharType="begin"/>
        </w:r>
        <w:r>
          <w:rPr>
            <w:noProof/>
            <w:webHidden/>
          </w:rPr>
          <w:instrText xml:space="preserve"> PAGEREF _Toc134548089 \h </w:instrText>
        </w:r>
        <w:r>
          <w:rPr>
            <w:noProof/>
            <w:webHidden/>
          </w:rPr>
          <w:fldChar w:fldCharType="separate"/>
        </w:r>
        <w:r>
          <w:rPr>
            <w:noProof/>
            <w:webHidden/>
          </w:rPr>
          <w:t>88</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90" w:history="1">
        <w:r w:rsidRPr="001018BC">
          <w:rPr>
            <w:rStyle w:val="Hyperlink"/>
            <w:rFonts w:asciiTheme="minorEastAsia" w:hAnsiTheme="minorEastAsia" w:hint="eastAsia"/>
            <w:noProof/>
          </w:rPr>
          <w:t>二十三、基金托管协议的内容摘要</w:t>
        </w:r>
        <w:r>
          <w:rPr>
            <w:noProof/>
            <w:webHidden/>
          </w:rPr>
          <w:tab/>
        </w:r>
        <w:r>
          <w:rPr>
            <w:noProof/>
            <w:webHidden/>
          </w:rPr>
          <w:fldChar w:fldCharType="begin"/>
        </w:r>
        <w:r>
          <w:rPr>
            <w:noProof/>
            <w:webHidden/>
          </w:rPr>
          <w:instrText xml:space="preserve"> PAGEREF _Toc134548090 \h </w:instrText>
        </w:r>
        <w:r>
          <w:rPr>
            <w:noProof/>
            <w:webHidden/>
          </w:rPr>
          <w:fldChar w:fldCharType="separate"/>
        </w:r>
        <w:r>
          <w:rPr>
            <w:noProof/>
            <w:webHidden/>
          </w:rPr>
          <w:t>104</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91" w:history="1">
        <w:r w:rsidRPr="001018BC">
          <w:rPr>
            <w:rStyle w:val="Hyperlink"/>
            <w:rFonts w:asciiTheme="minorEastAsia" w:hAnsiTheme="minorEastAsia" w:hint="eastAsia"/>
            <w:noProof/>
          </w:rPr>
          <w:t>二十四、对基金份额持有人的服务</w:t>
        </w:r>
        <w:r>
          <w:rPr>
            <w:noProof/>
            <w:webHidden/>
          </w:rPr>
          <w:tab/>
        </w:r>
        <w:r>
          <w:rPr>
            <w:noProof/>
            <w:webHidden/>
          </w:rPr>
          <w:fldChar w:fldCharType="begin"/>
        </w:r>
        <w:r>
          <w:rPr>
            <w:noProof/>
            <w:webHidden/>
          </w:rPr>
          <w:instrText xml:space="preserve"> PAGEREF _Toc134548091 \h </w:instrText>
        </w:r>
        <w:r>
          <w:rPr>
            <w:noProof/>
            <w:webHidden/>
          </w:rPr>
          <w:fldChar w:fldCharType="separate"/>
        </w:r>
        <w:r>
          <w:rPr>
            <w:noProof/>
            <w:webHidden/>
          </w:rPr>
          <w:t>115</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92" w:history="1">
        <w:r w:rsidRPr="001018BC">
          <w:rPr>
            <w:rStyle w:val="Hyperlink"/>
            <w:rFonts w:asciiTheme="minorEastAsia" w:hAnsiTheme="minorEastAsia" w:hint="eastAsia"/>
            <w:noProof/>
          </w:rPr>
          <w:t>二十五、其他应披露事项</w:t>
        </w:r>
        <w:r>
          <w:rPr>
            <w:noProof/>
            <w:webHidden/>
          </w:rPr>
          <w:tab/>
        </w:r>
        <w:r>
          <w:rPr>
            <w:noProof/>
            <w:webHidden/>
          </w:rPr>
          <w:fldChar w:fldCharType="begin"/>
        </w:r>
        <w:r>
          <w:rPr>
            <w:noProof/>
            <w:webHidden/>
          </w:rPr>
          <w:instrText xml:space="preserve"> PAGEREF _Toc134548092 \h </w:instrText>
        </w:r>
        <w:r>
          <w:rPr>
            <w:noProof/>
            <w:webHidden/>
          </w:rPr>
          <w:fldChar w:fldCharType="separate"/>
        </w:r>
        <w:r>
          <w:rPr>
            <w:noProof/>
            <w:webHidden/>
          </w:rPr>
          <w:t>117</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93" w:history="1">
        <w:r w:rsidRPr="001018BC">
          <w:rPr>
            <w:rStyle w:val="Hyperlink"/>
            <w:rFonts w:asciiTheme="minorEastAsia" w:hAnsiTheme="minorEastAsia" w:hint="eastAsia"/>
            <w:noProof/>
          </w:rPr>
          <w:t>二十六、招募说明书的存放及查阅方式</w:t>
        </w:r>
        <w:r>
          <w:rPr>
            <w:noProof/>
            <w:webHidden/>
          </w:rPr>
          <w:tab/>
        </w:r>
        <w:r>
          <w:rPr>
            <w:noProof/>
            <w:webHidden/>
          </w:rPr>
          <w:fldChar w:fldCharType="begin"/>
        </w:r>
        <w:r>
          <w:rPr>
            <w:noProof/>
            <w:webHidden/>
          </w:rPr>
          <w:instrText xml:space="preserve"> PAGEREF _Toc134548093 \h </w:instrText>
        </w:r>
        <w:r>
          <w:rPr>
            <w:noProof/>
            <w:webHidden/>
          </w:rPr>
          <w:fldChar w:fldCharType="separate"/>
        </w:r>
        <w:r>
          <w:rPr>
            <w:noProof/>
            <w:webHidden/>
          </w:rPr>
          <w:t>119</w:t>
        </w:r>
        <w:r>
          <w:rPr>
            <w:noProof/>
            <w:webHidden/>
          </w:rPr>
          <w:fldChar w:fldCharType="end"/>
        </w:r>
      </w:hyperlink>
    </w:p>
    <w:p w:rsidR="002C200A">
      <w:pPr>
        <w:pStyle w:val="TOC1"/>
        <w:rPr>
          <w:rFonts w:asciiTheme="minorHAnsi" w:eastAsiaTheme="minorEastAsia" w:hAnsiTheme="minorHAnsi" w:cstheme="minorBidi"/>
          <w:caps w:val="0"/>
          <w:noProof/>
          <w:color w:val="auto"/>
          <w:kern w:val="2"/>
          <w:sz w:val="21"/>
          <w:szCs w:val="22"/>
        </w:rPr>
      </w:pPr>
      <w:hyperlink w:anchor="_Toc134548094" w:history="1">
        <w:r w:rsidRPr="001018BC">
          <w:rPr>
            <w:rStyle w:val="Hyperlink"/>
            <w:rFonts w:asciiTheme="minorEastAsia" w:hAnsiTheme="minorEastAsia" w:hint="eastAsia"/>
            <w:noProof/>
          </w:rPr>
          <w:t>二十七、备查文件</w:t>
        </w:r>
        <w:r>
          <w:rPr>
            <w:noProof/>
            <w:webHidden/>
          </w:rPr>
          <w:tab/>
        </w:r>
        <w:r>
          <w:rPr>
            <w:noProof/>
            <w:webHidden/>
          </w:rPr>
          <w:fldChar w:fldCharType="begin"/>
        </w:r>
        <w:r>
          <w:rPr>
            <w:noProof/>
            <w:webHidden/>
          </w:rPr>
          <w:instrText xml:space="preserve"> PAGEREF _Toc134548094 \h </w:instrText>
        </w:r>
        <w:r>
          <w:rPr>
            <w:noProof/>
            <w:webHidden/>
          </w:rPr>
          <w:fldChar w:fldCharType="separate"/>
        </w:r>
        <w:r>
          <w:rPr>
            <w:noProof/>
            <w:webHidden/>
          </w:rPr>
          <w:t>120</w:t>
        </w:r>
        <w:r>
          <w:rPr>
            <w:noProof/>
            <w:webHidden/>
          </w:rPr>
          <w:fldChar w:fldCharType="end"/>
        </w:r>
      </w:hyperlink>
    </w:p>
    <w:p w:rsidR="001B2ECA" w:rsidRPr="00CC51EF">
      <w:pPr>
        <w:ind w:firstLine="560"/>
        <w:jc w:val="center"/>
        <w:rPr>
          <w:rFonts w:asciiTheme="minorEastAsia" w:eastAsiaTheme="minorEastAsia" w:hAnsiTheme="minorEastAsia"/>
          <w:b/>
          <w:caps/>
          <w:color w:val="000000" w:themeColor="text1"/>
          <w:sz w:val="24"/>
          <w:szCs w:val="28"/>
        </w:rPr>
      </w:pPr>
      <w:r w:rsidRPr="00CC51EF">
        <w:rPr>
          <w:rFonts w:asciiTheme="minorEastAsia" w:eastAsiaTheme="minorEastAsia" w:hAnsiTheme="minorEastAsia"/>
          <w:b/>
          <w:caps/>
          <w:color w:val="000000" w:themeColor="text1"/>
          <w:sz w:val="24"/>
          <w:szCs w:val="28"/>
        </w:rPr>
        <w:fldChar w:fldCharType="end"/>
      </w:r>
    </w:p>
    <w:p w:rsidR="001B2ECA" w:rsidRPr="00CC51EF">
      <w:pPr>
        <w:ind w:firstLine="560"/>
        <w:jc w:val="center"/>
        <w:rPr>
          <w:rFonts w:asciiTheme="minorEastAsia" w:eastAsiaTheme="minorEastAsia" w:hAnsiTheme="minorEastAsia"/>
          <w:b/>
          <w:caps/>
          <w:color w:val="000000" w:themeColor="text1"/>
          <w:sz w:val="24"/>
          <w:szCs w:val="28"/>
        </w:rPr>
        <w:sectPr w:rsidSect="00F72703">
          <w:footerReference w:type="default" r:id="rId15"/>
          <w:pgSz w:w="11906" w:h="16838"/>
          <w:pgMar w:top="1440" w:right="1800" w:bottom="1440" w:left="1800" w:header="851" w:footer="992" w:gutter="0"/>
          <w:pgNumType w:fmt="upperRoman" w:start="1"/>
          <w:cols w:space="720"/>
          <w:docGrid w:type="lines" w:linePitch="317"/>
        </w:sectPr>
      </w:pPr>
    </w:p>
    <w:p w:rsidR="001B2ECA" w:rsidRPr="00CC51EF">
      <w:pPr>
        <w:pStyle w:val="1"/>
        <w:spacing w:before="317" w:after="317" w:line="320" w:lineRule="exact"/>
        <w:ind w:firstLine="600"/>
        <w:rPr>
          <w:rFonts w:asciiTheme="minorEastAsia" w:eastAsiaTheme="minorEastAsia" w:hAnsiTheme="minorEastAsia"/>
          <w:b w:val="0"/>
          <w:color w:val="000000" w:themeColor="text1"/>
          <w:sz w:val="30"/>
        </w:rPr>
      </w:pPr>
      <w:bookmarkStart w:id="0" w:name="_Toc332373444"/>
      <w:bookmarkStart w:id="1" w:name="_Toc134548068"/>
      <w:r w:rsidRPr="00CC51EF">
        <w:rPr>
          <w:rFonts w:asciiTheme="minorEastAsia" w:eastAsiaTheme="minorEastAsia" w:hAnsiTheme="minorEastAsia" w:hint="eastAsia"/>
          <w:b w:val="0"/>
          <w:color w:val="000000" w:themeColor="text1"/>
          <w:sz w:val="30"/>
        </w:rPr>
        <w:t>一、</w:t>
      </w:r>
      <w:r w:rsidRPr="00CC51EF">
        <w:rPr>
          <w:rFonts w:asciiTheme="minorEastAsia" w:eastAsiaTheme="minorEastAsia" w:hAnsiTheme="minorEastAsia" w:hint="eastAsia"/>
          <w:b w:val="0"/>
          <w:color w:val="000000" w:themeColor="text1"/>
        </w:rPr>
        <w:t>绪  言</w:t>
      </w:r>
      <w:bookmarkEnd w:id="0"/>
      <w:bookmarkEnd w:id="1"/>
    </w:p>
    <w:p w:rsidR="001B2ECA" w:rsidRPr="00CC51EF">
      <w:pPr>
        <w:spacing w:line="360" w:lineRule="auto"/>
        <w:ind w:firstLine="420"/>
        <w:rPr>
          <w:rFonts w:asciiTheme="minorEastAsia" w:eastAsiaTheme="minorEastAsia" w:hAnsiTheme="minorEastAsia"/>
          <w:color w:val="000000" w:themeColor="text1"/>
        </w:rPr>
      </w:pP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信息披露内容与格式准则第5号&lt;招募说明书的内容与格式&gt;》、《公开募集开放式证券投资基金流动性风险管理规定》（以下简称《</w:t>
      </w:r>
      <w:r w:rsidRPr="00CC51EF">
        <w:rPr>
          <w:rStyle w:val="da"/>
          <w:rFonts w:asciiTheme="minorEastAsia" w:eastAsiaTheme="minorEastAsia" w:hAnsiTheme="minorEastAsia" w:hint="eastAsia"/>
          <w:color w:val="000000" w:themeColor="text1"/>
        </w:rPr>
        <w:t>流动性风险</w:t>
      </w:r>
      <w:r w:rsidRPr="00CC51EF">
        <w:rPr>
          <w:rFonts w:asciiTheme="minorEastAsia" w:eastAsiaTheme="minorEastAsia" w:hAnsiTheme="minorEastAsia" w:hint="eastAsia"/>
          <w:color w:val="000000" w:themeColor="text1"/>
        </w:rPr>
        <w:t>管理规定》）、《易方达战略新兴产业股票型证券投资基金基金合同》（以下简称基金合同）及其它有关规定等编写。</w:t>
      </w:r>
    </w:p>
    <w:p w:rsidR="001B2ECA" w:rsidRPr="00CC51EF">
      <w:pPr>
        <w:spacing w:line="360" w:lineRule="auto"/>
        <w:ind w:firstLine="420"/>
        <w:rPr>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spacing w:line="320" w:lineRule="exact"/>
        <w:ind w:firstLine="482"/>
        <w:rPr>
          <w:rFonts w:asciiTheme="minorEastAsia" w:eastAsiaTheme="minorEastAsia" w:hAnsiTheme="minorEastAsia"/>
          <w:color w:val="000000" w:themeColor="text1"/>
        </w:rPr>
      </w:pPr>
    </w:p>
    <w:p w:rsidR="001B2ECA" w:rsidRPr="00CC51EF">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2" w:name="_Toc332373445"/>
      <w:bookmarkStart w:id="3" w:name="_Toc134548069"/>
      <w:r w:rsidRPr="00CC51EF">
        <w:rPr>
          <w:rFonts w:asciiTheme="minorEastAsia" w:eastAsiaTheme="minorEastAsia" w:hAnsiTheme="minorEastAsia" w:hint="eastAsia"/>
          <w:color w:val="000000" w:themeColor="text1"/>
          <w:sz w:val="30"/>
        </w:rPr>
        <w:t>二、释  义</w:t>
      </w:r>
      <w:bookmarkEnd w:id="2"/>
      <w:bookmarkEnd w:id="3"/>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本招募说明书中除非文意另有所指，下列词语或</w:t>
      </w:r>
      <w:r w:rsidRPr="00CC51EF">
        <w:rPr>
          <w:rStyle w:val="da"/>
          <w:rFonts w:asciiTheme="minorEastAsia" w:eastAsiaTheme="minorEastAsia" w:hAnsiTheme="minorEastAsia"/>
          <w:color w:val="000000" w:themeColor="text1"/>
        </w:rPr>
        <w:t>简称</w:t>
      </w:r>
      <w:r w:rsidRPr="00CC51EF">
        <w:rPr>
          <w:rStyle w:val="da"/>
          <w:rFonts w:asciiTheme="minorEastAsia" w:eastAsiaTheme="minorEastAsia" w:hAnsiTheme="minorEastAsia" w:hint="eastAsia"/>
          <w:color w:val="000000" w:themeColor="text1"/>
        </w:rPr>
        <w:t>具有如下含义：</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、基金或本基金：指易方达战略新兴产业股票型证券投资基金</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、基金管理人：指易方达基金管理有限公司</w:t>
      </w:r>
      <w:r w:rsidRPr="00CC51EF">
        <w:rPr>
          <w:rStyle w:val="da"/>
          <w:rFonts w:asciiTheme="minorEastAsia" w:eastAsiaTheme="minorEastAsia" w:hAnsiTheme="minorEastAsia"/>
          <w:color w:val="000000" w:themeColor="text1"/>
        </w:rPr>
        <w:t xml:space="preserve">          </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、基金托管人：指中国银行股份有限公司</w:t>
      </w:r>
      <w:r w:rsidRPr="00CC51EF">
        <w:rPr>
          <w:rStyle w:val="da"/>
          <w:rFonts w:asciiTheme="minorEastAsia" w:eastAsiaTheme="minorEastAsia" w:hAnsiTheme="minorEastAsia"/>
          <w:color w:val="000000" w:themeColor="text1"/>
        </w:rPr>
        <w:t xml:space="preserve">          </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、基金合同：指《易方达战略新兴产业股票型证券投资基金基金合同》及对基金合同的任何有效修订和补充</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w:t>
      </w:r>
      <w:r w:rsidRPr="00CC51EF">
        <w:rPr>
          <w:rStyle w:val="da"/>
          <w:rFonts w:asciiTheme="minorEastAsia" w:eastAsiaTheme="minorEastAsia" w:hAnsiTheme="minorEastAsia" w:hint="eastAsia"/>
          <w:color w:val="000000" w:themeColor="text1"/>
        </w:rPr>
        <w:t>、托管协议：指基金管理人与基金托管人就本基金签订之《易方达战略新兴产业股票型证券投资基金托管协议》及对该托管协议的任何有效修订和补充</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、招募说明书：指《易方达战略新兴产业股票型证券投资基金招募说明书》及其更新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、基金产品资料概要：指《易方达战略新兴产业股票型证券投资基金基金产品资料概要》及其更新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、基金份额发售公告：指《易方达战略新兴产业股票型证券投资基金基金份额发售公告》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9</w:t>
      </w:r>
      <w:r w:rsidRPr="00CC51EF">
        <w:rPr>
          <w:rStyle w:val="da"/>
          <w:rFonts w:asciiTheme="minorEastAsia" w:eastAsiaTheme="minorEastAsia" w:hAnsiTheme="minorEastAsia" w:hint="eastAsia"/>
          <w:color w:val="000000" w:themeColor="text1"/>
        </w:rPr>
        <w:t>、法律法规：指中国现行有效并公布实施的法律、行政法规、规范性文件、司法解释、行政规章以及其他对基金合同当事人有约束力的决定、决议、通知等</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、《基金法》：指</w:t>
      </w:r>
      <w:r w:rsidRPr="00CC51EF">
        <w:rPr>
          <w:rStyle w:val="da"/>
          <w:rFonts w:asciiTheme="minorEastAsia" w:eastAsiaTheme="minorEastAsia" w:hAnsiTheme="minorEastAsia"/>
          <w:color w:val="000000" w:themeColor="text1"/>
        </w:rPr>
        <w:t>2003</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28</w:t>
      </w:r>
      <w:r w:rsidRPr="00CC51EF">
        <w:rPr>
          <w:rStyle w:val="da"/>
          <w:rFonts w:asciiTheme="minorEastAsia" w:eastAsiaTheme="minorEastAsia" w:hAnsiTheme="minorEastAsia" w:hint="eastAsia"/>
          <w:color w:val="000000" w:themeColor="text1"/>
        </w:rPr>
        <w:t>日经第十届全国人民代表大会常务委员会第五次会议通过，经</w:t>
      </w:r>
      <w:r w:rsidRPr="00CC51EF">
        <w:rPr>
          <w:rStyle w:val="da"/>
          <w:rFonts w:asciiTheme="minorEastAsia" w:eastAsiaTheme="minorEastAsia" w:hAnsiTheme="minorEastAsia"/>
          <w:color w:val="000000" w:themeColor="text1"/>
        </w:rPr>
        <w:t>2012</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12</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28</w:t>
      </w:r>
      <w:r w:rsidRPr="00CC51EF">
        <w:rPr>
          <w:rStyle w:val="da"/>
          <w:rFonts w:asciiTheme="minorEastAsia" w:eastAsiaTheme="minorEastAsia" w:hAnsiTheme="minorEastAsia" w:hint="eastAsia"/>
          <w:color w:val="000000" w:themeColor="text1"/>
        </w:rPr>
        <w:t>日第十一届全国人民代表大会常务委员会第三十次会议修订，自</w:t>
      </w:r>
      <w:r w:rsidRPr="00CC51EF">
        <w:rPr>
          <w:rStyle w:val="da"/>
          <w:rFonts w:asciiTheme="minorEastAsia" w:eastAsiaTheme="minorEastAsia" w:hAnsiTheme="minorEastAsia"/>
          <w:color w:val="000000" w:themeColor="text1"/>
        </w:rPr>
        <w:t>2013</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日起实施，并经</w:t>
      </w:r>
      <w:r w:rsidRPr="00CC51EF">
        <w:rPr>
          <w:rStyle w:val="da"/>
          <w:rFonts w:asciiTheme="minorEastAsia" w:eastAsiaTheme="minorEastAsia" w:hAnsiTheme="minorEastAsia"/>
          <w:color w:val="000000" w:themeColor="text1"/>
        </w:rPr>
        <w:t>2015</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24</w:t>
      </w:r>
      <w:r w:rsidRPr="00CC51EF">
        <w:rPr>
          <w:rStyle w:val="da"/>
          <w:rFonts w:asciiTheme="minorEastAsia" w:eastAsiaTheme="minorEastAsia" w:hAnsiTheme="minorEastAsia" w:hint="eastAsia"/>
          <w:color w:val="000000" w:themeColor="text1"/>
        </w:rPr>
        <w:t>日第十二届全国人民代表大会常务委员会第十四次会议《全国人民代表大会常务委员会关于修改</w:t>
      </w:r>
      <w:r w:rsidRPr="00CC51EF">
        <w:rPr>
          <w:rStyle w:val="da"/>
          <w:rFonts w:asciiTheme="minorEastAsia" w:eastAsiaTheme="minorEastAsia" w:hAnsiTheme="minorEastAsia"/>
          <w:color w:val="000000" w:themeColor="text1"/>
        </w:rPr>
        <w:t>&lt;</w:t>
      </w:r>
      <w:r w:rsidRPr="00CC51EF">
        <w:rPr>
          <w:rStyle w:val="da"/>
          <w:rFonts w:asciiTheme="minorEastAsia" w:eastAsiaTheme="minorEastAsia" w:hAnsiTheme="minorEastAsia" w:hint="eastAsia"/>
          <w:color w:val="000000" w:themeColor="text1"/>
        </w:rPr>
        <w:t>中华人民共和国港口法</w:t>
      </w:r>
      <w:r w:rsidRPr="00CC51EF">
        <w:rPr>
          <w:rStyle w:val="da"/>
          <w:rFonts w:asciiTheme="minorEastAsia" w:eastAsiaTheme="minorEastAsia" w:hAnsiTheme="minorEastAsia"/>
          <w:color w:val="000000" w:themeColor="text1"/>
        </w:rPr>
        <w:t>&gt;</w:t>
      </w:r>
      <w:r w:rsidRPr="00CC51EF">
        <w:rPr>
          <w:rStyle w:val="da"/>
          <w:rFonts w:asciiTheme="minorEastAsia" w:eastAsiaTheme="minorEastAsia" w:hAnsiTheme="minorEastAsia" w:hint="eastAsia"/>
          <w:color w:val="000000" w:themeColor="text1"/>
        </w:rPr>
        <w:t>等七部法律的决定》修正的《中华人民共和国证券投资基金法》及颁布机关对其不时做出的修订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11</w:t>
      </w:r>
      <w:r w:rsidRPr="00CC51EF">
        <w:rPr>
          <w:rStyle w:val="da"/>
          <w:rFonts w:asciiTheme="minorEastAsia" w:eastAsiaTheme="minorEastAsia" w:hAnsiTheme="minorEastAsia" w:hint="eastAsia"/>
          <w:color w:val="000000" w:themeColor="text1"/>
        </w:rPr>
        <w:t>、《销售办法》：指中国证监会</w:t>
      </w:r>
      <w:r w:rsidRPr="00CC51EF">
        <w:rPr>
          <w:rStyle w:val="da"/>
          <w:rFonts w:asciiTheme="minorEastAsia" w:eastAsiaTheme="minorEastAsia" w:hAnsiTheme="minorEastAsia"/>
          <w:color w:val="000000" w:themeColor="text1"/>
        </w:rPr>
        <w:t>2013</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15</w:t>
      </w:r>
      <w:r w:rsidRPr="00CC51EF">
        <w:rPr>
          <w:rStyle w:val="da"/>
          <w:rFonts w:asciiTheme="minorEastAsia" w:eastAsiaTheme="minorEastAsia" w:hAnsiTheme="minorEastAsia" w:hint="eastAsia"/>
          <w:color w:val="000000" w:themeColor="text1"/>
        </w:rPr>
        <w:t>日颁布、同年</w:t>
      </w: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日实施的《证券投资基金销售管理办法》及颁布机关对其不时做出的修订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12</w:t>
      </w:r>
      <w:r w:rsidRPr="00CC51EF">
        <w:rPr>
          <w:rStyle w:val="da"/>
          <w:rFonts w:asciiTheme="minorEastAsia" w:eastAsiaTheme="minorEastAsia" w:hAnsiTheme="minorEastAsia" w:hint="eastAsia"/>
          <w:color w:val="000000" w:themeColor="text1"/>
        </w:rPr>
        <w:t>、《信息披露办法》：指中国证监会</w:t>
      </w:r>
      <w:r w:rsidRPr="00CC51EF">
        <w:rPr>
          <w:rStyle w:val="da"/>
          <w:rFonts w:asciiTheme="minorEastAsia" w:eastAsiaTheme="minorEastAsia" w:hAnsiTheme="minorEastAsia"/>
          <w:color w:val="000000" w:themeColor="text1"/>
        </w:rPr>
        <w:t>2019</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26</w:t>
      </w:r>
      <w:r w:rsidRPr="00CC51EF">
        <w:rPr>
          <w:rStyle w:val="da"/>
          <w:rFonts w:asciiTheme="minorEastAsia" w:eastAsiaTheme="minorEastAsia" w:hAnsiTheme="minorEastAsia" w:hint="eastAsia"/>
          <w:color w:val="000000" w:themeColor="text1"/>
        </w:rPr>
        <w:t>日颁布、同年</w:t>
      </w:r>
      <w:r w:rsidRPr="00CC51EF">
        <w:rPr>
          <w:rStyle w:val="da"/>
          <w:rFonts w:asciiTheme="minorEastAsia" w:eastAsiaTheme="minorEastAsia" w:hAnsiTheme="minorEastAsia"/>
          <w:color w:val="000000" w:themeColor="text1"/>
        </w:rPr>
        <w:t>9</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日实施的《公开募集证券投资基金信息披露管理办法》及颁布机关对其不时做出的修订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13</w:t>
      </w:r>
      <w:r w:rsidRPr="00CC51EF">
        <w:rPr>
          <w:rStyle w:val="da"/>
          <w:rFonts w:asciiTheme="minorEastAsia" w:eastAsiaTheme="minorEastAsia" w:hAnsiTheme="minorEastAsia" w:hint="eastAsia"/>
          <w:color w:val="000000" w:themeColor="text1"/>
        </w:rPr>
        <w:t>、《运作办法》：指中国证监会</w:t>
      </w:r>
      <w:r w:rsidRPr="00CC51EF">
        <w:rPr>
          <w:rStyle w:val="da"/>
          <w:rFonts w:asciiTheme="minorEastAsia" w:eastAsiaTheme="minorEastAsia" w:hAnsiTheme="minorEastAsia"/>
          <w:color w:val="000000" w:themeColor="text1"/>
        </w:rPr>
        <w:t>2014</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日颁布、同年</w:t>
      </w: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日实施的《公开募集证券投资基金运作管理办法》及颁布机关对其不时做出的修订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14</w:t>
      </w:r>
      <w:r w:rsidRPr="00CC51EF">
        <w:rPr>
          <w:rStyle w:val="da"/>
          <w:rFonts w:asciiTheme="minorEastAsia" w:eastAsiaTheme="minorEastAsia" w:hAnsiTheme="minorEastAsia" w:hint="eastAsia"/>
          <w:color w:val="000000" w:themeColor="text1"/>
        </w:rPr>
        <w:t>、《流动性风险管理规定》：指中国证监会</w:t>
      </w:r>
      <w:r w:rsidRPr="00CC51EF">
        <w:rPr>
          <w:rStyle w:val="da"/>
          <w:rFonts w:asciiTheme="minorEastAsia" w:eastAsiaTheme="minorEastAsia" w:hAnsiTheme="minorEastAsia"/>
          <w:color w:val="000000" w:themeColor="text1"/>
        </w:rPr>
        <w:t>2017</w:t>
      </w:r>
      <w:r w:rsidRPr="00CC51EF">
        <w:rPr>
          <w:rStyle w:val="da"/>
          <w:rFonts w:asciiTheme="minorEastAsia" w:eastAsiaTheme="minorEastAsia" w:hAnsiTheme="minorEastAsia" w:hint="eastAsia"/>
          <w:color w:val="000000" w:themeColor="text1"/>
        </w:rPr>
        <w:t>年</w:t>
      </w: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31</w:t>
      </w:r>
      <w:r w:rsidRPr="00CC51EF">
        <w:rPr>
          <w:rStyle w:val="da"/>
          <w:rFonts w:asciiTheme="minorEastAsia" w:eastAsiaTheme="minorEastAsia" w:hAnsiTheme="minorEastAsia" w:hint="eastAsia"/>
          <w:color w:val="000000" w:themeColor="text1"/>
        </w:rPr>
        <w:t>日颁布、同年</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月</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日</w:t>
      </w:r>
      <w:r w:rsidRPr="00CC51EF">
        <w:rPr>
          <w:rStyle w:val="da"/>
          <w:rFonts w:asciiTheme="minorEastAsia" w:eastAsiaTheme="minorEastAsia" w:hAnsiTheme="minorEastAsia" w:hint="eastAsia"/>
          <w:color w:val="000000" w:themeColor="text1"/>
        </w:rPr>
        <w:t>实施的《公开募集开放式证券投资基金流动性风险管理规定》及颁布机关对其不时做出的修订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15</w:t>
      </w:r>
      <w:r w:rsidRPr="00CC51EF">
        <w:rPr>
          <w:rStyle w:val="da"/>
          <w:rFonts w:asciiTheme="minorEastAsia" w:eastAsiaTheme="minorEastAsia" w:hAnsiTheme="minorEastAsia" w:hint="eastAsia"/>
          <w:color w:val="000000" w:themeColor="text1"/>
        </w:rPr>
        <w:t>、中国证监会：指中国证券监督管理委员会</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16</w:t>
      </w:r>
      <w:r w:rsidRPr="00CC51EF">
        <w:rPr>
          <w:rStyle w:val="da"/>
          <w:rFonts w:asciiTheme="minorEastAsia" w:eastAsiaTheme="minorEastAsia" w:hAnsiTheme="minorEastAsia" w:hint="eastAsia"/>
          <w:color w:val="000000" w:themeColor="text1"/>
        </w:rPr>
        <w:t>、银行业监督管理机构：指中国人民银行和</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或中国银行保险监督管理委员会</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17</w:t>
      </w:r>
      <w:r w:rsidRPr="00CC51EF">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18</w:t>
      </w:r>
      <w:r w:rsidRPr="00CC51EF">
        <w:rPr>
          <w:rStyle w:val="da"/>
          <w:rFonts w:asciiTheme="minorEastAsia" w:eastAsiaTheme="minorEastAsia" w:hAnsiTheme="minorEastAsia" w:hint="eastAsia"/>
          <w:color w:val="000000" w:themeColor="text1"/>
        </w:rPr>
        <w:t>、个人投资者：指依据有关法律法规规定可投资于证券投资基金的自然人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19</w:t>
      </w:r>
      <w:r w:rsidRPr="00CC51EF">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20</w:t>
      </w:r>
      <w:r w:rsidRPr="00CC51EF">
        <w:rPr>
          <w:rStyle w:val="da"/>
          <w:rFonts w:asciiTheme="minorEastAsia" w:eastAsiaTheme="minorEastAsia" w:hAnsiTheme="minorEastAsia" w:hint="eastAsia"/>
          <w:color w:val="000000" w:themeColor="text1"/>
        </w:rPr>
        <w:t>、合格境外机构投资者：指符合相关法律法规规定可以投资于在中国境内依法募集的证券投资基金的中国境外的机构投资者</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21</w:t>
      </w:r>
      <w:r w:rsidRPr="00CC51EF">
        <w:rPr>
          <w:rStyle w:val="da"/>
          <w:rFonts w:asciiTheme="minorEastAsia" w:eastAsiaTheme="minorEastAsia" w:hAnsiTheme="minorEastAsia" w:hint="eastAsia"/>
          <w:color w:val="000000" w:themeColor="text1"/>
        </w:rPr>
        <w:t>、人民币合格境外机构投资者：指按照相关法律法规规定，运用来自境外的人民币资金进行境内证券投资的境外法人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22</w:t>
      </w:r>
      <w:r w:rsidRPr="00CC51EF">
        <w:rPr>
          <w:rStyle w:val="da"/>
          <w:rFonts w:asciiTheme="minorEastAsia" w:eastAsiaTheme="minorEastAsia" w:hAnsiTheme="minorEastAsia" w:hint="eastAsia"/>
          <w:color w:val="000000" w:themeColor="text1"/>
        </w:rPr>
        <w:t>、投资人、投资者：指个人投资者、机构投资者、合格境外机构投资者和人民币合格境外机构投资者以及法律法规或中国证监会允许购买证券投资基金的其他投资人的合称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23</w:t>
      </w:r>
      <w:r w:rsidRPr="00CC51EF">
        <w:rPr>
          <w:rStyle w:val="da"/>
          <w:rFonts w:asciiTheme="minorEastAsia" w:eastAsiaTheme="minorEastAsia" w:hAnsiTheme="minorEastAsia" w:hint="eastAsia"/>
          <w:color w:val="000000" w:themeColor="text1"/>
        </w:rPr>
        <w:t>、基金份额持有人：指依基金合同和招募说明书合法取得基金份额的投资人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24</w:t>
      </w:r>
      <w:r w:rsidRPr="00CC51EF">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25</w:t>
      </w:r>
      <w:r w:rsidRPr="00CC51EF">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26</w:t>
      </w:r>
      <w:r w:rsidRPr="00CC51EF">
        <w:rPr>
          <w:rStyle w:val="da"/>
          <w:rFonts w:asciiTheme="minorEastAsia" w:eastAsiaTheme="minorEastAsia" w:hAnsiTheme="minorEastAsia" w:hint="eastAsia"/>
          <w:color w:val="000000" w:themeColor="text1"/>
        </w:rPr>
        <w:t>、直销机构：指易方达基金管理有限公司</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27</w:t>
      </w:r>
      <w:r w:rsidRPr="00CC51EF">
        <w:rPr>
          <w:rStyle w:val="da"/>
          <w:rFonts w:asciiTheme="minorEastAsia" w:eastAsiaTheme="minorEastAsia" w:hAnsiTheme="minorEastAsia" w:hint="eastAsia"/>
          <w:color w:val="000000" w:themeColor="text1"/>
        </w:rPr>
        <w:t>、非直销销售机构：指符合《销售办法》和中国证监会规定的其他条件，取得基金销售业务资格并与基金管理人签订了基金销售服务协议，办理基金销售业务的机构</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29</w:t>
      </w:r>
      <w:r w:rsidRPr="00CC51EF">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30、基金账户：指登记机构为投资人开立的、记录其持有的、基金管理人所管理的基金份额余额及其变动情况的账户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31、基金交易账户：指销售机构为投资人开立的、记录投资人通过该销售机构办理认购、申购、赎回、转换、转托管及定期定额投资等业务而引起的基金份额变动及结余情况的账户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32</w:t>
      </w:r>
      <w:r w:rsidRPr="00CC51EF">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3、基金合同终止日：指基金合同规定的基金合同终止事由出现后，基金财产清算完毕，清算结果报中国证监会备案并予以公告的日期</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4、基金募集期：指自基金份额发售之日起至发售结束之日止的期间，最长不得超过</w:t>
      </w: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个月</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5、存续期：指基金合同生效日至终止日之间的不定期期限</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36</w:t>
      </w:r>
      <w:r w:rsidRPr="00CC51EF">
        <w:rPr>
          <w:rStyle w:val="da"/>
          <w:rFonts w:asciiTheme="minorEastAsia" w:eastAsiaTheme="minorEastAsia" w:hAnsiTheme="minorEastAsia" w:hint="eastAsia"/>
          <w:color w:val="000000" w:themeColor="text1"/>
        </w:rPr>
        <w:t>、工作日：指上海证券交易所、深圳证券交易所的交易日</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37</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T</w:t>
      </w:r>
      <w:r w:rsidRPr="00CC51EF">
        <w:rPr>
          <w:rStyle w:val="da"/>
          <w:rFonts w:asciiTheme="minorEastAsia" w:eastAsiaTheme="minorEastAsia" w:hAnsiTheme="minorEastAsia" w:hint="eastAsia"/>
          <w:color w:val="000000" w:themeColor="text1"/>
        </w:rPr>
        <w:t>日：指销售机构在规定时间受理投资人申购、赎回或其他业务申请的开放日</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38</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T+n</w:t>
      </w:r>
      <w:r w:rsidRPr="00CC51EF">
        <w:rPr>
          <w:rStyle w:val="da"/>
          <w:rFonts w:asciiTheme="minorEastAsia" w:eastAsiaTheme="minorEastAsia" w:hAnsiTheme="minorEastAsia" w:hint="eastAsia"/>
          <w:color w:val="000000" w:themeColor="text1"/>
        </w:rPr>
        <w:t>日：指自</w:t>
      </w:r>
      <w:r w:rsidRPr="00CC51EF">
        <w:rPr>
          <w:rStyle w:val="da"/>
          <w:rFonts w:asciiTheme="minorEastAsia" w:eastAsiaTheme="minorEastAsia" w:hAnsiTheme="minorEastAsia"/>
          <w:color w:val="000000" w:themeColor="text1"/>
        </w:rPr>
        <w:t>T</w:t>
      </w:r>
      <w:r w:rsidRPr="00CC51EF">
        <w:rPr>
          <w:rStyle w:val="da"/>
          <w:rFonts w:asciiTheme="minorEastAsia" w:eastAsiaTheme="minorEastAsia" w:hAnsiTheme="minorEastAsia" w:hint="eastAsia"/>
          <w:color w:val="000000" w:themeColor="text1"/>
        </w:rPr>
        <w:t>日起第</w:t>
      </w:r>
      <w:r w:rsidRPr="00CC51EF">
        <w:rPr>
          <w:rStyle w:val="da"/>
          <w:rFonts w:asciiTheme="minorEastAsia" w:eastAsiaTheme="minorEastAsia" w:hAnsiTheme="minorEastAsia"/>
          <w:color w:val="000000" w:themeColor="text1"/>
        </w:rPr>
        <w:t>n</w:t>
      </w:r>
      <w:r w:rsidRPr="00CC51EF">
        <w:rPr>
          <w:rStyle w:val="da"/>
          <w:rFonts w:asciiTheme="minorEastAsia" w:eastAsiaTheme="minorEastAsia" w:hAnsiTheme="minorEastAsia" w:hint="eastAsia"/>
          <w:color w:val="000000" w:themeColor="text1"/>
        </w:rPr>
        <w:t>个工作日（不包含</w:t>
      </w:r>
      <w:r w:rsidRPr="00CC51EF">
        <w:rPr>
          <w:rStyle w:val="da"/>
          <w:rFonts w:asciiTheme="minorEastAsia" w:eastAsiaTheme="minorEastAsia" w:hAnsiTheme="minorEastAsia"/>
          <w:color w:val="000000" w:themeColor="text1"/>
        </w:rPr>
        <w:t>T</w:t>
      </w:r>
      <w:r w:rsidRPr="00CC51EF">
        <w:rPr>
          <w:rStyle w:val="da"/>
          <w:rFonts w:asciiTheme="minorEastAsia" w:eastAsiaTheme="minorEastAsia" w:hAnsiTheme="minorEastAsia" w:hint="eastAsia"/>
          <w:color w:val="000000" w:themeColor="text1"/>
        </w:rPr>
        <w:t>日），</w:t>
      </w:r>
      <w:r w:rsidRPr="00CC51EF">
        <w:rPr>
          <w:rStyle w:val="da"/>
          <w:rFonts w:asciiTheme="minorEastAsia" w:eastAsiaTheme="minorEastAsia" w:hAnsiTheme="minorEastAsia"/>
          <w:color w:val="000000" w:themeColor="text1"/>
        </w:rPr>
        <w:t>n</w:t>
      </w:r>
      <w:r w:rsidRPr="00CC51EF">
        <w:rPr>
          <w:rStyle w:val="da"/>
          <w:rFonts w:asciiTheme="minorEastAsia" w:eastAsiaTheme="minorEastAsia" w:hAnsiTheme="minorEastAsia" w:hint="eastAsia"/>
          <w:color w:val="000000" w:themeColor="text1"/>
        </w:rPr>
        <w:t>为自然数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39</w:t>
      </w:r>
      <w:r w:rsidRPr="00CC51EF">
        <w:rPr>
          <w:rStyle w:val="da"/>
          <w:rFonts w:asciiTheme="minorEastAsia" w:eastAsiaTheme="minorEastAsia" w:hAnsiTheme="minorEastAsia" w:hint="eastAsia"/>
          <w:color w:val="000000" w:themeColor="text1"/>
        </w:rPr>
        <w:t>、开放日：指为投资人办理基金份额申购、赎回或其他业务的工作日，若该工作日非港股通交易日，则本基金不开放</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40、开放时间：指开放日基金接受申购、赎回或其他交易的时间段</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41、《业务规则》：指《易方达基金管理有限公司开放式基金业务规则》，是规范基金管理人所管理的开放式证券投资基金登记方面的业务规则，由基金管理人和投资人共同遵守</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42</w:t>
      </w:r>
      <w:r w:rsidRPr="00CC51EF">
        <w:rPr>
          <w:rStyle w:val="da"/>
          <w:rFonts w:asciiTheme="minorEastAsia" w:eastAsiaTheme="minorEastAsia" w:hAnsiTheme="minorEastAsia" w:hint="eastAsia"/>
          <w:color w:val="000000" w:themeColor="text1"/>
        </w:rPr>
        <w:t>、认购：指在基金募集期内，投资人根据基金合同和招募说明书的规定申请购买基金份额的行为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43、申购：指基金合同生效后，投资人根据基金合同和招募说明书的规定申请购买基金份额的行为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4、赎回：指基金合同生效后，基金份额持有人按基金合同和招募说明书规定的条件要求将基金份额兑换为现金的行为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45</w:t>
      </w:r>
      <w:r w:rsidRPr="00CC51EF">
        <w:rPr>
          <w:rStyle w:val="da"/>
          <w:rFonts w:asciiTheme="minorEastAsia" w:eastAsiaTheme="minorEastAsia" w:hAnsiTheme="minorEastAsia" w:hint="eastAsia"/>
          <w:color w:val="000000" w:themeColor="text1"/>
        </w:rPr>
        <w:t>、基金转换：指基金份额持有人按照基金合同和基金管理人届时有效公告规定的条件，申请将其持有基金管理人管理的、某一基金的基金份额转换为基金管理人管理的其他</w:t>
      </w:r>
      <w:r w:rsidRPr="00CC51EF">
        <w:rPr>
          <w:rStyle w:val="da"/>
          <w:rFonts w:asciiTheme="minorEastAsia" w:eastAsiaTheme="minorEastAsia" w:hAnsiTheme="minorEastAsia" w:hint="eastAsia"/>
          <w:color w:val="000000" w:themeColor="text1"/>
        </w:rPr>
        <w:t>基金基金份额的行为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46</w:t>
      </w:r>
      <w:r w:rsidRPr="00CC51EF">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47</w:t>
      </w:r>
      <w:r w:rsidRPr="00CC51EF">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48</w:t>
      </w:r>
      <w:r w:rsidRPr="00CC51EF">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CC51EF">
        <w:rPr>
          <w:rStyle w:val="da"/>
          <w:rFonts w:asciiTheme="minorEastAsia" w:eastAsiaTheme="minorEastAsia" w:hAnsiTheme="minorEastAsia"/>
          <w:color w:val="000000" w:themeColor="text1"/>
        </w:rPr>
        <w:t>10%</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49</w:t>
      </w:r>
      <w:r w:rsidRPr="00CC51EF">
        <w:rPr>
          <w:rStyle w:val="da"/>
          <w:rFonts w:asciiTheme="minorEastAsia" w:eastAsiaTheme="minorEastAsia" w:hAnsiTheme="minorEastAsia" w:hint="eastAsia"/>
          <w:color w:val="000000" w:themeColor="text1"/>
        </w:rPr>
        <w:t>、元：指人民币元</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50、基金收益：指基金投资所得红利、股息、债券利息、买卖证券价差、银行存款利息、已实现的其他合法收入及因运用基金财产带来的成本和费用的节约</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51、基金资产总值：指基金拥有的各类有价证券、银行存款本息、基金应收申购款及其他资产的价值总和</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52</w:t>
      </w:r>
      <w:r w:rsidRPr="00CC51EF">
        <w:rPr>
          <w:rStyle w:val="da"/>
          <w:rFonts w:asciiTheme="minorEastAsia" w:eastAsiaTheme="minorEastAsia" w:hAnsiTheme="minorEastAsia" w:hint="eastAsia"/>
          <w:color w:val="000000" w:themeColor="text1"/>
        </w:rPr>
        <w:t>、基金资产净值：指基金资产总值减去基金负债后的价值</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53、基金份额净值：指计算日基金资产净值除以计算日基金份额总数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w:t>
      </w:r>
      <w:r w:rsidRPr="00CC51EF">
        <w:rPr>
          <w:rStyle w:val="da"/>
          <w:rFonts w:asciiTheme="minorEastAsia" w:eastAsiaTheme="minorEastAsia" w:hAnsiTheme="minorEastAsia" w:hint="eastAsia"/>
          <w:color w:val="000000" w:themeColor="text1"/>
        </w:rPr>
        <w:t>4、基金资产估值：指计算评估基金资产和负债的价值，以确定基金资产净值和基金份额净值的过程</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55</w:t>
      </w:r>
      <w:r w:rsidRPr="00CC51EF">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56</w:t>
      </w:r>
      <w:r w:rsidRPr="00CC51EF">
        <w:rPr>
          <w:rStyle w:val="da"/>
          <w:rFonts w:asciiTheme="minorEastAsia" w:eastAsiaTheme="minorEastAsia" w:hAnsiTheme="minorEastAsia" w:hint="eastAsia"/>
          <w:color w:val="000000" w:themeColor="text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57</w:t>
      </w:r>
      <w:r w:rsidRPr="00CC51EF">
        <w:rPr>
          <w:rStyle w:val="da"/>
          <w:rFonts w:asciiTheme="minorEastAsia" w:eastAsiaTheme="minorEastAsia" w:hAnsiTheme="minorEastAsia" w:hint="eastAsia"/>
          <w:color w:val="000000" w:themeColor="text1"/>
        </w:rPr>
        <w:t>、销售服务费：指从基金财产中计提的，用于本基金市场推广、销售以及基金份额持有人服务的费用</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58</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A</w:t>
      </w:r>
      <w:r w:rsidRPr="00CC51EF">
        <w:rPr>
          <w:rStyle w:val="da"/>
          <w:rFonts w:asciiTheme="minorEastAsia" w:eastAsiaTheme="minorEastAsia" w:hAnsiTheme="minorEastAsia" w:hint="eastAsia"/>
          <w:color w:val="000000" w:themeColor="text1"/>
        </w:rPr>
        <w:t>类基金份额：在投资人认购</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申购基金时收取认购</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申购费用，并不再从本类别基金资产中计提销售服务费的基金份额，称为</w:t>
      </w:r>
      <w:r w:rsidRPr="00CC51EF">
        <w:rPr>
          <w:rStyle w:val="da"/>
          <w:rFonts w:asciiTheme="minorEastAsia" w:eastAsiaTheme="minorEastAsia" w:hAnsiTheme="minorEastAsia"/>
          <w:color w:val="000000" w:themeColor="text1"/>
        </w:rPr>
        <w:t>A</w:t>
      </w:r>
      <w:r w:rsidRPr="00CC51EF">
        <w:rPr>
          <w:rStyle w:val="da"/>
          <w:rFonts w:asciiTheme="minorEastAsia" w:eastAsiaTheme="minorEastAsia" w:hAnsiTheme="minorEastAsia" w:hint="eastAsia"/>
          <w:color w:val="000000" w:themeColor="text1"/>
        </w:rPr>
        <w:t>类基金份额</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59</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C</w:t>
      </w:r>
      <w:r w:rsidRPr="00CC51EF">
        <w:rPr>
          <w:rStyle w:val="da"/>
          <w:rFonts w:asciiTheme="minorEastAsia" w:eastAsiaTheme="minorEastAsia" w:hAnsiTheme="minorEastAsia" w:hint="eastAsia"/>
          <w:color w:val="000000" w:themeColor="text1"/>
        </w:rPr>
        <w:t>类基金份额：从本类别基金资产中计提销售服务费，并不收取认购</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申购费用的基金份额，称为</w:t>
      </w:r>
      <w:r w:rsidRPr="00CC51EF">
        <w:rPr>
          <w:rStyle w:val="da"/>
          <w:rFonts w:asciiTheme="minorEastAsia" w:eastAsiaTheme="minorEastAsia" w:hAnsiTheme="minorEastAsia"/>
          <w:color w:val="000000" w:themeColor="text1"/>
        </w:rPr>
        <w:t>C</w:t>
      </w:r>
      <w:r w:rsidRPr="00CC51EF">
        <w:rPr>
          <w:rStyle w:val="da"/>
          <w:rFonts w:asciiTheme="minorEastAsia" w:eastAsiaTheme="minorEastAsia" w:hAnsiTheme="minorEastAsia" w:hint="eastAsia"/>
          <w:color w:val="000000" w:themeColor="text1"/>
        </w:rPr>
        <w:t>类基金份额</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60</w:t>
      </w:r>
      <w:r w:rsidRPr="00CC51EF">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61</w:t>
      </w:r>
      <w:r w:rsidRPr="00CC51EF">
        <w:rPr>
          <w:rStyle w:val="da"/>
          <w:rFonts w:asciiTheme="minorEastAsia" w:eastAsiaTheme="minorEastAsia" w:hAnsiTheme="minorEastAsia" w:hint="eastAsia"/>
          <w:color w:val="000000" w:themeColor="text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62</w:t>
      </w:r>
      <w:r w:rsidRPr="00CC51EF">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63</w:t>
      </w:r>
      <w:r w:rsidRPr="00CC51EF">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64、不可抗力：指基金合同当事人不能预见、不能避免且不能克服的客观事件</w:t>
      </w:r>
    </w:p>
    <w:p w:rsidR="001B2ECA" w:rsidRPr="00CC51EF">
      <w:pPr>
        <w:pStyle w:val="111"/>
        <w:pageBreakBefore w:val="0"/>
        <w:spacing w:before="317" w:after="317" w:line="320" w:lineRule="exact"/>
        <w:ind w:firstLine="640"/>
        <w:rPr>
          <w:rFonts w:asciiTheme="minorEastAsia" w:eastAsiaTheme="minorEastAsia" w:hAnsiTheme="minorEastAsia"/>
          <w:color w:val="000000" w:themeColor="text1"/>
          <w:sz w:val="30"/>
        </w:rPr>
      </w:pPr>
      <w:r w:rsidRPr="00CC51EF">
        <w:rPr>
          <w:rFonts w:asciiTheme="minorEastAsia" w:eastAsiaTheme="minorEastAsia" w:hAnsiTheme="minorEastAsia" w:hint="eastAsia"/>
          <w:color w:val="000000" w:themeColor="text1"/>
        </w:rPr>
        <w:br w:type="column"/>
      </w:r>
      <w:bookmarkStart w:id="4" w:name="_Toc332373446"/>
      <w:bookmarkStart w:id="5" w:name="_Toc134548070"/>
      <w:r w:rsidRPr="00CC51EF">
        <w:rPr>
          <w:rFonts w:asciiTheme="minorEastAsia" w:eastAsiaTheme="minorEastAsia" w:hAnsiTheme="minorEastAsia" w:hint="eastAsia"/>
          <w:color w:val="000000" w:themeColor="text1"/>
          <w:sz w:val="30"/>
        </w:rPr>
        <w:t>三、基金管理人</w:t>
      </w:r>
      <w:bookmarkEnd w:id="4"/>
      <w:bookmarkEnd w:id="5"/>
    </w:p>
    <w:p w:rsidR="001B2ECA" w:rsidRPr="00CC51EF">
      <w:pPr>
        <w:spacing w:line="360" w:lineRule="auto"/>
        <w:ind w:firstLine="420"/>
        <w:rPr>
          <w:rFonts w:asciiTheme="minorEastAsia" w:eastAsiaTheme="minorEastAsia" w:hAnsiTheme="minorEastAsia"/>
          <w:bCs/>
          <w:color w:val="000000" w:themeColor="text1"/>
        </w:rPr>
      </w:pPr>
      <w:bookmarkStart w:id="6" w:name="_Toc332373447"/>
      <w:r w:rsidRPr="00CC51EF">
        <w:rPr>
          <w:rFonts w:asciiTheme="minorEastAsia" w:eastAsiaTheme="minorEastAsia" w:hAnsiTheme="minorEastAsia" w:hint="eastAsia"/>
          <w:bCs/>
          <w:color w:val="000000" w:themeColor="text1"/>
        </w:rPr>
        <w:t>（一）基金管理人基本情况</w:t>
      </w:r>
      <w:bookmarkEnd w:id="6"/>
    </w:p>
    <w:p w:rsidR="001B2ECA" w:rsidRPr="00CC51EF">
      <w:pPr>
        <w:spacing w:line="360" w:lineRule="auto"/>
        <w:ind w:firstLine="420"/>
        <w:rPr>
          <w:rFonts w:asciiTheme="minorEastAsia" w:eastAsiaTheme="minorEastAsia" w:hAnsiTheme="minorEastAsia"/>
          <w:bCs/>
          <w:color w:val="000000" w:themeColor="text1"/>
        </w:rPr>
      </w:pPr>
      <w:bookmarkStart w:id="7" w:name="_Toc332373448"/>
      <w:r w:rsidRPr="00CC51EF">
        <w:rPr>
          <w:rFonts w:asciiTheme="minorEastAsia" w:eastAsiaTheme="minorEastAsia" w:hAnsiTheme="minorEastAsia"/>
          <w:bCs/>
          <w:color w:val="000000" w:themeColor="text1"/>
        </w:rPr>
        <w:t>1</w:t>
      </w:r>
      <w:r w:rsidRPr="00CC51EF">
        <w:rPr>
          <w:rFonts w:asciiTheme="minorEastAsia" w:eastAsiaTheme="minorEastAsia" w:hAnsiTheme="minorEastAsia" w:hint="eastAsia"/>
          <w:bCs/>
          <w:color w:val="000000" w:themeColor="text1"/>
        </w:rPr>
        <w:t>、基金管理人：易方达基金管理有限公司</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color w:val="000000" w:themeColor="text1"/>
        </w:rPr>
        <w:t>注册地址：广东省珠海市横琴新区荣粤道188号6层</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办公地址：广州市天河区珠江新城珠江东路</w:t>
      </w:r>
      <w:r w:rsidRPr="00CC51EF">
        <w:rPr>
          <w:rFonts w:asciiTheme="minorEastAsia" w:eastAsiaTheme="minorEastAsia" w:hAnsiTheme="minorEastAsia"/>
          <w:bCs/>
          <w:color w:val="000000" w:themeColor="text1"/>
        </w:rPr>
        <w:t>30</w:t>
      </w:r>
      <w:r w:rsidRPr="00CC51EF">
        <w:rPr>
          <w:rFonts w:asciiTheme="minorEastAsia" w:eastAsiaTheme="minorEastAsia" w:hAnsiTheme="minorEastAsia" w:hint="eastAsia"/>
          <w:bCs/>
          <w:color w:val="000000" w:themeColor="text1"/>
        </w:rPr>
        <w:t>号广州银行大厦</w:t>
      </w:r>
      <w:r w:rsidRPr="00CC51EF">
        <w:rPr>
          <w:rFonts w:asciiTheme="minorEastAsia" w:eastAsiaTheme="minorEastAsia" w:hAnsiTheme="minorEastAsia"/>
          <w:bCs/>
          <w:color w:val="000000" w:themeColor="text1"/>
        </w:rPr>
        <w:t>40-43</w:t>
      </w:r>
      <w:r w:rsidRPr="00CC51EF">
        <w:rPr>
          <w:rFonts w:asciiTheme="minorEastAsia" w:eastAsiaTheme="minorEastAsia" w:hAnsiTheme="minorEastAsia" w:hint="eastAsia"/>
          <w:bCs/>
          <w:color w:val="000000" w:themeColor="text1"/>
        </w:rPr>
        <w:t>楼</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设立日期：</w:t>
      </w:r>
      <w:r w:rsidRPr="00CC51EF">
        <w:rPr>
          <w:rFonts w:asciiTheme="minorEastAsia" w:eastAsiaTheme="minorEastAsia" w:hAnsiTheme="minorEastAsia"/>
          <w:bCs/>
          <w:color w:val="000000" w:themeColor="text1"/>
        </w:rPr>
        <w:t>2001</w:t>
      </w:r>
      <w:r w:rsidRPr="00CC51EF">
        <w:rPr>
          <w:rFonts w:asciiTheme="minorEastAsia" w:eastAsiaTheme="minorEastAsia" w:hAnsiTheme="minorEastAsia" w:hint="eastAsia"/>
          <w:bCs/>
          <w:color w:val="000000" w:themeColor="text1"/>
        </w:rPr>
        <w:t>年</w:t>
      </w:r>
      <w:r w:rsidRPr="00CC51EF">
        <w:rPr>
          <w:rFonts w:asciiTheme="minorEastAsia" w:eastAsiaTheme="minorEastAsia" w:hAnsiTheme="minorEastAsia"/>
          <w:bCs/>
          <w:color w:val="000000" w:themeColor="text1"/>
        </w:rPr>
        <w:t>4</w:t>
      </w:r>
      <w:r w:rsidRPr="00CC51EF">
        <w:rPr>
          <w:rFonts w:asciiTheme="minorEastAsia" w:eastAsiaTheme="minorEastAsia" w:hAnsiTheme="minorEastAsia" w:hint="eastAsia"/>
          <w:bCs/>
          <w:color w:val="000000" w:themeColor="text1"/>
        </w:rPr>
        <w:t>月</w:t>
      </w:r>
      <w:r w:rsidRPr="00CC51EF">
        <w:rPr>
          <w:rFonts w:asciiTheme="minorEastAsia" w:eastAsiaTheme="minorEastAsia" w:hAnsiTheme="minorEastAsia"/>
          <w:bCs/>
          <w:color w:val="000000" w:themeColor="text1"/>
        </w:rPr>
        <w:t>17</w:t>
      </w:r>
      <w:r w:rsidRPr="00CC51EF">
        <w:rPr>
          <w:rFonts w:asciiTheme="minorEastAsia" w:eastAsiaTheme="minorEastAsia" w:hAnsiTheme="minorEastAsia" w:hint="eastAsia"/>
          <w:bCs/>
          <w:color w:val="000000" w:themeColor="text1"/>
        </w:rPr>
        <w:t>日</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法定代表人：刘晓艳</w:t>
      </w:r>
      <w:r w:rsidRPr="00CC51EF">
        <w:rPr>
          <w:rFonts w:asciiTheme="minorEastAsia" w:eastAsiaTheme="minorEastAsia" w:hAnsiTheme="minorEastAsia"/>
          <w:bCs/>
          <w:color w:val="000000" w:themeColor="text1"/>
        </w:rPr>
        <w:t xml:space="preserve"> </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联系电话：</w:t>
      </w:r>
      <w:r w:rsidRPr="00CC51EF">
        <w:rPr>
          <w:rFonts w:asciiTheme="minorEastAsia" w:eastAsiaTheme="minorEastAsia" w:hAnsiTheme="minorEastAsia"/>
          <w:bCs/>
          <w:color w:val="000000" w:themeColor="text1"/>
        </w:rPr>
        <w:t>400 881 8088</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联系人：</w:t>
      </w:r>
      <w:r w:rsidRPr="00CC51EF" w:rsidR="00066993">
        <w:rPr>
          <w:rFonts w:asciiTheme="minorEastAsia" w:eastAsiaTheme="minorEastAsia" w:hAnsiTheme="minorEastAsia"/>
          <w:color w:val="000000" w:themeColor="text1"/>
          <w:szCs w:val="21"/>
        </w:rPr>
        <w:t>闵俊杰</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注册资本：13,244.2万元人民币</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批准设立机关及文号：中国</w:t>
      </w:r>
      <w:r w:rsidRPr="00CC51EF">
        <w:rPr>
          <w:rFonts w:asciiTheme="minorEastAsia" w:eastAsiaTheme="minorEastAsia" w:hAnsiTheme="minorEastAsia"/>
          <w:bCs/>
          <w:color w:val="000000" w:themeColor="text1"/>
        </w:rPr>
        <w:t>证券</w:t>
      </w:r>
      <w:r w:rsidRPr="00CC51EF">
        <w:rPr>
          <w:rFonts w:asciiTheme="minorEastAsia" w:eastAsiaTheme="minorEastAsia" w:hAnsiTheme="minorEastAsia" w:hint="eastAsia"/>
          <w:bCs/>
          <w:color w:val="000000" w:themeColor="text1"/>
        </w:rPr>
        <w:t>监督管理</w:t>
      </w:r>
      <w:r w:rsidRPr="00CC51EF">
        <w:rPr>
          <w:rFonts w:asciiTheme="minorEastAsia" w:eastAsiaTheme="minorEastAsia" w:hAnsiTheme="minorEastAsia"/>
          <w:bCs/>
          <w:color w:val="000000" w:themeColor="text1"/>
        </w:rPr>
        <w:t>委员会</w:t>
      </w:r>
      <w:r w:rsidRPr="00CC51EF">
        <w:rPr>
          <w:rFonts w:asciiTheme="minorEastAsia" w:eastAsiaTheme="minorEastAsia" w:hAnsiTheme="minorEastAsia" w:hint="eastAsia"/>
          <w:bCs/>
          <w:color w:val="000000" w:themeColor="text1"/>
        </w:rPr>
        <w:t>，证监基金字[2001]4号</w:t>
      </w:r>
    </w:p>
    <w:p w:rsidR="001B2ECA" w:rsidRPr="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经营范围：公开募集证券投资基金管理、基金销售、特定客户资产管理</w:t>
      </w:r>
    </w:p>
    <w:p w:rsidR="001B2ECA" w:rsidRPr="00CC51EF">
      <w:pPr>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257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1B2ECA" w:rsidRPr="00CC51EF" w:rsidP="00AF379A">
            <w:pPr>
              <w:jc w:val="center"/>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tcPr>
          <w:p w:rsidR="001B2ECA" w:rsidRPr="00CC51EF" w:rsidP="00AF379A">
            <w:pPr>
              <w:jc w:val="center"/>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出资比例</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广东粤财信托有限公司</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广发证券股份有限公司</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盈峰集团有限公司</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广东省广晟控股集团有限公司</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15.1010％</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广州市广永国有资产经营有限公司</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7.5505％</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珠海祺荣宝投资合伙企业（有限合伙）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1.5087％</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珠海祺泰宝投资合伙企业（有限合伙）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1.6205％</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珠海祺丰宝投资合伙企业（有限合伙）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1.5309％</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珠海聚莱康投资合伙企业（有限合伙）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1.7558％</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珠海聚宁康投资合伙企业（有限合伙）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1.4396％</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珠海聚弘康投资合伙企业（有限合伙）</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1.5388％</w:t>
            </w:r>
          </w:p>
        </w:tc>
      </w:tr>
      <w:tr>
        <w:tblPrEx>
          <w:tblW w:w="5000" w:type="pct"/>
          <w:jc w:val="center"/>
          <w:tblLook w:val="04A0"/>
        </w:tblPrEx>
        <w:trPr>
          <w:jc w:val="center"/>
        </w:trPr>
        <w:tc>
          <w:tcPr>
            <w:tcW w:w="5945"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总   计</w:t>
            </w:r>
          </w:p>
        </w:tc>
        <w:tc>
          <w:tcPr>
            <w:tcW w:w="25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100％</w:t>
            </w:r>
          </w:p>
        </w:tc>
      </w:tr>
    </w:tbl>
    <w:p w:rsidR="001B2ECA" w:rsidRPr="00CC51EF">
      <w:pPr>
        <w:spacing w:line="360" w:lineRule="auto"/>
        <w:ind w:firstLine="420"/>
        <w:rPr>
          <w:rStyle w:val="da"/>
          <w:rFonts w:asciiTheme="minorEastAsia" w:eastAsiaTheme="minorEastAsia" w:hAnsiTheme="minorEastAsia"/>
          <w:color w:val="000000" w:themeColor="text1"/>
        </w:rPr>
      </w:pP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（二）主要人员情况</w:t>
      </w:r>
      <w:bookmarkEnd w:id="7"/>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1、董事、监事及高级管理人员</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w:t>
      </w:r>
      <w:r w:rsidRPr="00CC51EF">
        <w:rPr>
          <w:rFonts w:asciiTheme="minorEastAsia" w:eastAsiaTheme="minorEastAsia" w:hAnsiTheme="minorEastAsia" w:hint="eastAsia"/>
          <w:bCs/>
          <w:color w:val="000000" w:themeColor="text1"/>
        </w:rPr>
        <w:t>总经理、资产管理部总经理，中国平安保险股份有限公司投资管理部副总经理（主持工作），全国社会保障基金理事会投资部资产配置处处长、投资部副主任、境外投资部主任、投资部主任、证券投资部主任。</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刘晓艳女士，经济学博士。现任易方达基金管理有限公司副董事长、总</w:t>
      </w:r>
      <w:r w:rsidRPr="00CC51EF">
        <w:rPr>
          <w:rFonts w:asciiTheme="minorEastAsia" w:eastAsiaTheme="minorEastAsia" w:hAnsiTheme="minorEastAsia"/>
          <w:bCs/>
          <w:color w:val="000000" w:themeColor="text1"/>
        </w:rPr>
        <w:t>经理</w:t>
      </w:r>
      <w:r w:rsidRPr="00CC51EF">
        <w:rPr>
          <w:rFonts w:asciiTheme="minorEastAsia" w:eastAsiaTheme="minorEastAsia" w:hAnsiTheme="minorEastAsia" w:hint="eastAsia"/>
          <w:bCs/>
          <w:color w:val="000000" w:themeColor="text1"/>
        </w:rPr>
        <w:t>，易方达国际控股有限公司董事。曾任广发证券有限责任公司投资理财部副经理、基金经理</w:t>
      </w:r>
      <w:r w:rsidRPr="00CC51EF">
        <w:rPr>
          <w:rFonts w:asciiTheme="minorEastAsia" w:eastAsiaTheme="minorEastAsia" w:hAnsiTheme="minorEastAsia"/>
          <w:bCs/>
          <w:color w:val="000000" w:themeColor="text1"/>
        </w:rPr>
        <w:t>、</w:t>
      </w:r>
      <w:r w:rsidRPr="00CC51EF">
        <w:rPr>
          <w:rFonts w:asciiTheme="minorEastAsia" w:eastAsiaTheme="minorEastAsia" w:hAnsiTheme="minorEastAsia" w:hint="eastAsia"/>
          <w:bCs/>
          <w:color w:val="000000" w:themeColor="text1"/>
        </w:rPr>
        <w:t>基金投资理财部副总经理，易方达基金管理有限公司督察员、监察部总经理、总裁助理、市场总监、公司副总经理，易方达资产管理有限公司董事，易方达资产管理（香港）有限公司董事长。</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曾任中富证券有限责任公司投行部经理，鸿商产业控股集团有限公司产业投资部执行董事，名力中国成长基金合伙人，复星能源环境与智能装备集团总裁，盈合（深圳）机器人与自动化科技有限公司董事长。</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bCs/>
          <w:color w:val="000000" w:themeColor="text1"/>
        </w:rPr>
        <w:t>刘韧</w:t>
      </w:r>
      <w:r w:rsidRPr="00CC51EF">
        <w:rPr>
          <w:rFonts w:asciiTheme="minorEastAsia" w:eastAsiaTheme="minorEastAsia" w:hAnsiTheme="minorEastAsia" w:hint="eastAsia"/>
          <w:bCs/>
          <w:color w:val="000000" w:themeColor="text1"/>
        </w:rPr>
        <w:t>先生，经济学硕士。现任易方达基金管理有限公司董事，广东省广晟控股集团有限公司资本运营部负责人，广东省广晟资本投资有限公司董事。曾任</w:t>
      </w:r>
      <w:r w:rsidRPr="00CC51EF">
        <w:rPr>
          <w:rFonts w:asciiTheme="minorEastAsia" w:eastAsiaTheme="minorEastAsia" w:hAnsiTheme="minorEastAsia"/>
          <w:bCs/>
          <w:color w:val="000000" w:themeColor="text1"/>
        </w:rPr>
        <w:t>湖南证券股份有限公司投资银行部经理助理，湘财证券有限责任公司投资银行总部副总经理，二十三冶建设集团有限公司副总裁兼矿业事业部部长、党委委员，广东省广晟资产经营有限公司总经理助</w:t>
      </w:r>
      <w:r w:rsidRPr="00CC51EF">
        <w:rPr>
          <w:rFonts w:asciiTheme="minorEastAsia" w:eastAsiaTheme="minorEastAsia" w:hAnsiTheme="minorEastAsia"/>
          <w:bCs/>
          <w:color w:val="000000" w:themeColor="text1"/>
        </w:rPr>
        <w:t>理兼资本运营部部长、战略委员会委员，东江环保股份有限公司党委书记、董事长，广东风华高新科技股份有限公司党委委员、副总裁、财务负责人</w:t>
      </w:r>
      <w:r w:rsidRPr="00CC51EF">
        <w:rPr>
          <w:rFonts w:asciiTheme="minorEastAsia" w:eastAsiaTheme="minorEastAsia" w:hAnsiTheme="minorEastAsia" w:hint="eastAsia"/>
          <w:bCs/>
          <w:color w:val="000000" w:themeColor="text1"/>
        </w:rPr>
        <w:t>。</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CC51EF">
        <w:rPr>
          <w:rFonts w:asciiTheme="minorEastAsia" w:eastAsiaTheme="minorEastAsia" w:hAnsiTheme="minorEastAsia"/>
          <w:bCs/>
          <w:color w:val="000000" w:themeColor="text1"/>
        </w:rPr>
        <w:t>东</w:t>
      </w:r>
      <w:r w:rsidRPr="00CC51EF">
        <w:rPr>
          <w:rFonts w:asciiTheme="minorEastAsia" w:eastAsiaTheme="minorEastAsia" w:hAnsiTheme="minorEastAsia" w:hint="eastAsia"/>
          <w:bCs/>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祥鑫科技股份有限公司独立董事。曾任美国天普大学法学院访问副教授。</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CC51EF">
        <w:rPr>
          <w:rFonts w:asciiTheme="minorEastAsia" w:eastAsiaTheme="minorEastAsia" w:hAnsiTheme="minorEastAsia"/>
          <w:bCs/>
          <w:color w:val="000000" w:themeColor="text1"/>
        </w:rPr>
        <w:t>清华大学</w:t>
      </w:r>
      <w:r w:rsidRPr="00CC51EF">
        <w:rPr>
          <w:rFonts w:asciiTheme="minorEastAsia" w:eastAsiaTheme="minorEastAsia" w:hAnsiTheme="minorEastAsia" w:hint="eastAsia"/>
          <w:bCs/>
          <w:color w:val="000000" w:themeColor="text1"/>
        </w:rPr>
        <w:t>经济管理</w:t>
      </w:r>
      <w:r w:rsidRPr="00CC51EF">
        <w:rPr>
          <w:rFonts w:asciiTheme="minorEastAsia" w:eastAsiaTheme="minorEastAsia" w:hAnsiTheme="minorEastAsia"/>
          <w:bCs/>
          <w:color w:val="000000" w:themeColor="text1"/>
        </w:rPr>
        <w:t>学院讲师、副教授、</w:t>
      </w:r>
      <w:r w:rsidRPr="00CC51EF">
        <w:rPr>
          <w:rFonts w:asciiTheme="minorEastAsia" w:eastAsiaTheme="minorEastAsia" w:hAnsiTheme="minorEastAsia" w:hint="eastAsia"/>
          <w:bCs/>
          <w:color w:val="000000" w:themeColor="text1"/>
        </w:rPr>
        <w:t>技术经济与管理系主任、创新创业与战略系主任、</w:t>
      </w:r>
      <w:r w:rsidRPr="00CC51EF">
        <w:rPr>
          <w:rFonts w:asciiTheme="minorEastAsia" w:eastAsiaTheme="minorEastAsia" w:hAnsiTheme="minorEastAsia"/>
          <w:bCs/>
          <w:color w:val="000000" w:themeColor="text1"/>
        </w:rPr>
        <w:t>院长助理、副院长、党委书记</w:t>
      </w:r>
      <w:r w:rsidRPr="00CC51EF">
        <w:rPr>
          <w:rFonts w:asciiTheme="minorEastAsia" w:eastAsiaTheme="minorEastAsia" w:hAnsiTheme="minorEastAsia" w:hint="eastAsia"/>
          <w:bCs/>
          <w:color w:val="000000" w:themeColor="text1"/>
        </w:rPr>
        <w:t>，</w:t>
      </w:r>
      <w:r w:rsidRPr="00CC51EF">
        <w:rPr>
          <w:rFonts w:asciiTheme="minorEastAsia" w:eastAsiaTheme="minorEastAsia" w:hAnsiTheme="minorEastAsia"/>
          <w:bCs/>
          <w:color w:val="000000" w:themeColor="text1"/>
        </w:rPr>
        <w:t>山东新北洋信息技术股份有限公司独立董事，</w:t>
      </w:r>
      <w:r w:rsidRPr="00CC51EF">
        <w:rPr>
          <w:rFonts w:asciiTheme="minorEastAsia" w:eastAsiaTheme="minorEastAsia" w:hAnsiTheme="minorEastAsia" w:hint="eastAsia"/>
          <w:bCs/>
          <w:color w:val="000000" w:themeColor="text1"/>
        </w:rPr>
        <w:t>中融人寿保险股份有限公司独立董事</w:t>
      </w:r>
      <w:r w:rsidRPr="00CC51EF">
        <w:rPr>
          <w:rFonts w:asciiTheme="minorEastAsia" w:eastAsiaTheme="minorEastAsia" w:hAnsiTheme="minorEastAsia"/>
          <w:bCs/>
          <w:color w:val="000000" w:themeColor="text1"/>
        </w:rPr>
        <w:t>。</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刘发宏先生，工商管理硕士。现任易方达基金管理有限公司监事会主席，广东粤财融资担保集团有限公司监事长，</w:t>
      </w:r>
      <w:r w:rsidRPr="00CC51EF">
        <w:rPr>
          <w:rFonts w:asciiTheme="minorEastAsia" w:eastAsiaTheme="minorEastAsia" w:hAnsiTheme="minorEastAsia"/>
          <w:bCs/>
          <w:color w:val="000000" w:themeColor="text1"/>
        </w:rPr>
        <w:t>广东省融资再担保有限责任公司监事</w:t>
      </w:r>
      <w:r w:rsidRPr="00CC51EF">
        <w:rPr>
          <w:rFonts w:asciiTheme="minorEastAsia" w:eastAsiaTheme="minorEastAsia" w:hAnsiTheme="minorEastAsia" w:hint="eastAsia"/>
          <w:bCs/>
          <w:color w:val="000000" w:themeColor="text1"/>
        </w:rPr>
        <w:t>。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危勇先生，经济学博士。现任易方达基金管理有限公司监事，广州市广永国有资产经营有限公司董事长、总裁，广州赛马娱乐总公司董事，广州银行股份有限公司董事，广州广永投资管理有限公司董事长，广州广永股权投资基金管理有限公司董事长，广州广永科技发展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万联证券股份有限公司监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付浩先生，</w:t>
      </w:r>
      <w:r w:rsidRPr="00234326" w:rsidR="006516B6">
        <w:rPr>
          <w:rFonts w:asciiTheme="minorEastAsia" w:eastAsiaTheme="minorEastAsia" w:hAnsiTheme="minorEastAsia" w:hint="eastAsia"/>
          <w:color w:val="000000" w:themeColor="text1"/>
        </w:rPr>
        <w:t>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w:t>
      </w:r>
      <w:bookmarkStart w:id="8" w:name="_GoBack"/>
      <w:bookmarkEnd w:id="8"/>
      <w:r w:rsidRPr="00234326" w:rsidR="006516B6">
        <w:rPr>
          <w:rFonts w:asciiTheme="minorEastAsia" w:eastAsiaTheme="minorEastAsia" w:hAnsiTheme="minorEastAsia" w:hint="eastAsia"/>
          <w:color w:val="000000" w:themeColor="text1"/>
        </w:rPr>
        <w:t>究员，易方达基金管理有限公司权益投资总部副总经理、养老金与专户权益投资部副总经理、公募基金投资部总经理、基金经理助理、投资经理</w:t>
      </w:r>
      <w:r w:rsidRPr="00CC51EF">
        <w:rPr>
          <w:rFonts w:asciiTheme="minorEastAsia" w:eastAsiaTheme="minorEastAsia" w:hAnsiTheme="minorEastAsia" w:hint="eastAsia"/>
          <w:bCs/>
          <w:color w:val="000000" w:themeColor="text1"/>
        </w:rPr>
        <w:t>。</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马骏先生，工商管理硕士（EMBA）。现任易方达基金管理有限公司副总经理级高级管理人员、固定收益投资决策委员会委员、基础设施资产管理委员会委员，易方达资产管理（香港）有限公司董事长、Q</w:t>
      </w:r>
      <w:r w:rsidRPr="00CC51EF">
        <w:rPr>
          <w:rFonts w:asciiTheme="minorEastAsia" w:eastAsiaTheme="minorEastAsia" w:hAnsiTheme="minorEastAsia"/>
          <w:bCs/>
          <w:color w:val="000000" w:themeColor="text1"/>
        </w:rPr>
        <w:t>FI</w:t>
      </w:r>
      <w:r w:rsidRPr="00CC51EF">
        <w:rPr>
          <w:rFonts w:asciiTheme="minorEastAsia" w:eastAsiaTheme="minorEastAsia" w:hAnsiTheme="minorEastAsia" w:hint="eastAsia"/>
          <w:bCs/>
          <w:color w:val="000000" w:themeColor="text1"/>
        </w:rPr>
        <w:t>业务负责人、证券交易负责人员（</w:t>
      </w:r>
      <w:r w:rsidRPr="00CC51EF">
        <w:rPr>
          <w:rFonts w:asciiTheme="minorEastAsia" w:eastAsiaTheme="minorEastAsia" w:hAnsiTheme="minorEastAsia"/>
          <w:bCs/>
          <w:color w:val="000000" w:themeColor="text1"/>
        </w:rPr>
        <w:t>RO</w:t>
      </w:r>
      <w:r w:rsidRPr="00CC51EF">
        <w:rPr>
          <w:rFonts w:asciiTheme="minorEastAsia" w:eastAsiaTheme="minorEastAsia" w:hAnsiTheme="minorEastAsia" w:hint="eastAsia"/>
          <w:bCs/>
          <w:color w:val="000000" w:themeColor="text1"/>
        </w:rPr>
        <w:t>）、就证券提供意见负责人员（</w:t>
      </w:r>
      <w:r w:rsidRPr="00CC51EF">
        <w:rPr>
          <w:rFonts w:asciiTheme="minorEastAsia" w:eastAsiaTheme="minorEastAsia" w:hAnsiTheme="minorEastAsia"/>
          <w:bCs/>
          <w:color w:val="000000" w:themeColor="text1"/>
        </w:rPr>
        <w:t>RO</w:t>
      </w:r>
      <w:r w:rsidRPr="00CC51EF">
        <w:rPr>
          <w:rFonts w:asciiTheme="minorEastAsia" w:eastAsiaTheme="minorEastAsia" w:hAnsiTheme="minorEastAsia" w:hint="eastAsia"/>
          <w:bCs/>
          <w:color w:val="000000" w:themeColor="text1"/>
        </w:rPr>
        <w:t>）、提供资产管理负责人员（</w:t>
      </w:r>
      <w:r w:rsidRPr="00CC51EF">
        <w:rPr>
          <w:rFonts w:asciiTheme="minorEastAsia" w:eastAsiaTheme="minorEastAsia" w:hAnsiTheme="minorEastAsia"/>
          <w:bCs/>
          <w:color w:val="000000" w:themeColor="text1"/>
        </w:rPr>
        <w:t>RO</w:t>
      </w:r>
      <w:r w:rsidRPr="00CC51EF">
        <w:rPr>
          <w:rFonts w:asciiTheme="minorEastAsia" w:eastAsiaTheme="minorEastAsia" w:hAnsiTheme="minorEastAsia" w:hint="eastAsia"/>
          <w:bCs/>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w:t>
      </w:r>
      <w:r w:rsidRPr="00CC51EF">
        <w:rPr>
          <w:rFonts w:asciiTheme="minorEastAsia" w:eastAsiaTheme="minorEastAsia" w:hAnsiTheme="minorEastAsia" w:hint="eastAsia"/>
          <w:bCs/>
          <w:color w:val="000000" w:themeColor="text1"/>
        </w:rPr>
        <w:t>有限公司董事。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娄利舟女士，工商管理硕士（EMBA）、经济学硕士。现任易方达基金管理有限公司副总经理级高级管理人员、</w:t>
      </w:r>
      <w:r w:rsidRPr="00CC51EF">
        <w:rPr>
          <w:rFonts w:asciiTheme="minorEastAsia" w:eastAsiaTheme="minorEastAsia" w:hAnsiTheme="minorEastAsia"/>
          <w:bCs/>
          <w:color w:val="000000" w:themeColor="text1"/>
        </w:rPr>
        <w:t>FOF</w:t>
      </w:r>
      <w:r w:rsidRPr="00CC51EF">
        <w:rPr>
          <w:rFonts w:asciiTheme="minorEastAsia" w:eastAsiaTheme="minorEastAsia" w:hAnsiTheme="minorEastAsia" w:hint="eastAsia"/>
          <w:bCs/>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高松凡先生，工商管理硕士（E</w:t>
      </w:r>
      <w:r w:rsidRPr="00CC51EF">
        <w:rPr>
          <w:rFonts w:asciiTheme="minorEastAsia" w:eastAsiaTheme="minorEastAsia" w:hAnsiTheme="minorEastAsia"/>
          <w:bCs/>
          <w:color w:val="000000" w:themeColor="text1"/>
        </w:rPr>
        <w:t>MBA</w:t>
      </w:r>
      <w:r w:rsidRPr="00CC51EF">
        <w:rPr>
          <w:rFonts w:asciiTheme="minorEastAsia" w:eastAsiaTheme="minorEastAsia" w:hAnsiTheme="minorEastAsia" w:hint="eastAsia"/>
          <w:bCs/>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萧楠先生，经济学硕士。现任易方达基金管理有限公司副总经理级高级管理人员、投</w:t>
      </w:r>
      <w:r w:rsidRPr="00CC51EF">
        <w:rPr>
          <w:rFonts w:asciiTheme="minorEastAsia" w:eastAsiaTheme="minorEastAsia" w:hAnsiTheme="minorEastAsia" w:hint="eastAsia"/>
          <w:bCs/>
          <w:color w:val="000000" w:themeColor="text1"/>
        </w:rPr>
        <w:t>资三部总经理、基金经理。曾任易方达基金管理有限公司行业研究员、基金经理助理、投资经理、研究部副总经理。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王玉女士，法学硕士。现任易方达基金管理有限公司督察长、内审稽核部总经理。曾在北京市国枫律师事务所、中国证监会工作，曾任易方达基金管理有限公司公司法律事务部总经理，易方达资产管理有限公司董事。</w:t>
      </w:r>
    </w:p>
    <w:p w:rsidR="00CC51EF" w:rsidRPr="00CC51EF" w:rsidP="00CC51EF">
      <w:pPr>
        <w:spacing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hint="eastAsia"/>
          <w:bCs/>
          <w:color w:val="000000" w:themeColor="text1"/>
        </w:rPr>
        <w:t>王骏先生，会计硕士。现任易方达基金管理有限公司副总经理级高级管理人员（首席市场官）、渠道与营销管理部总经理、产品设计与业务创新部总经理，易方达资产管理有限公司董事。曾在普华永道中天会计师事务所、证监会广东监管局工作，曾任易方达资产管理有限公司副总经理、合规风控负责人、常务副总经理。</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2、基金经理</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刘武先生，工学硕士，本基金的基金经理。现任易方达基金管理有限公司基金经理。曾任华夏基金管理有限公司投资研究部研究员，易方达基金管理有限公司行业研究员、投资经理。刘武历任基金经理的基金如下：</w:t>
      </w:r>
    </w:p>
    <w:tbl>
      <w:tblPr>
        <w:tblStyle w:val="TableGrid"/>
        <w:tblW w:w="0" w:type="auto"/>
        <w:jc w:val="center"/>
        <w:tblLook w:val="04A0"/>
      </w:tblPr>
      <w:tblGrid>
        <w:gridCol w:w="4776"/>
        <w:gridCol w:w="1873"/>
        <w:gridCol w:w="1873"/>
      </w:tblGrid>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历任基金经理的基金</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任职时间</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离任时间</w:t>
            </w:r>
          </w:p>
        </w:tc>
      </w:tr>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易方达新兴成长混合</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2018-12-12</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易方达创新成长混合</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2020-07-24</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2021-01-13</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易方达科技创新混合</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2019-04-29</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2022-04-21</w:t>
            </w:r>
          </w:p>
        </w:tc>
      </w:tr>
    </w:tbl>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欧阳良琦先生，工学博士，本基金的基金经理。现任易方达基金管理有限公司基金经理。曾任易方达基金管理有限公司行业研究员。欧阳良琦历任基金经理的基金如下：</w:t>
      </w:r>
    </w:p>
    <w:tbl>
      <w:tblPr>
        <w:tblStyle w:val="TableGrid"/>
        <w:tblW w:w="0" w:type="auto"/>
        <w:jc w:val="center"/>
        <w:tblLook w:val="04A0"/>
      </w:tblPr>
      <w:tblGrid>
        <w:gridCol w:w="4870"/>
        <w:gridCol w:w="1898"/>
        <w:gridCol w:w="1754"/>
      </w:tblGrid>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历任基金经理的基金</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任职时间</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b/>
                <w:color w:val="000000" w:themeColor="text1"/>
              </w:rPr>
              <w:t>离任时间</w:t>
            </w:r>
          </w:p>
        </w:tc>
      </w:tr>
      <w:tr w:rsidTr="00241E45">
        <w:tblPrEx>
          <w:tblW w:w="0" w:type="auto"/>
          <w:jc w:val="center"/>
          <w:tblLook w:val="04A0"/>
        </w:tblPrEx>
        <w:trPr>
          <w:jc w:val="center"/>
        </w:trPr>
        <w:tc>
          <w:tcPr>
            <w:tcW w:w="8640" w:type="dxa"/>
          </w:tcPr>
          <w:p w:rsidR="00066993" w:rsidRPr="00CC51EF" w:rsidP="00241E45">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2023-05-06</w:t>
            </w:r>
          </w:p>
        </w:tc>
        <w:tc>
          <w:tcPr>
            <w:tcW w:w="2880" w:type="dxa"/>
          </w:tcPr>
          <w:p w:rsidR="00066993" w:rsidRPr="00CC51EF" w:rsidP="00241E45">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bl>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3、权益投资决策委员会成员</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本公司权益投资决策委员会成员包括：吴欣荣先生、冯波先生、陈皓先生、张坤先生、付浩先生、李剑锋先生。</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吴欣荣先生，同上。</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冯波先生，同上。</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陈皓先生，同上。</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张坤先生，同上。</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付浩先生，同上。</w:t>
      </w:r>
    </w:p>
    <w:p w:rsidR="00066993" w:rsidRPr="00CC51EF" w:rsidP="00066993">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李剑锋先生，易方达基金管理有限公司国际权益投资部总经理、基金经理，易方达资产管理（香港）有限公司首席投资官（国际权益）、就证券提供意见负责人员（RO）、提供资产管理负责人员（RO）、证券交易负责人员（RO）、投资决策委员会委员。</w:t>
      </w:r>
    </w:p>
    <w:p w:rsidR="001B2ECA" w:rsidRPr="00CC51EF">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bCs/>
          <w:color w:val="000000" w:themeColor="text1"/>
        </w:rPr>
        <w:t>4</w:t>
      </w:r>
      <w:r w:rsidRPr="00CC51EF">
        <w:rPr>
          <w:rFonts w:asciiTheme="minorEastAsia" w:eastAsiaTheme="minorEastAsia" w:hAnsiTheme="minorEastAsia" w:hint="eastAsia"/>
          <w:bCs/>
          <w:color w:val="000000" w:themeColor="text1"/>
        </w:rPr>
        <w:t>、上述</w:t>
      </w:r>
      <w:r w:rsidRPr="00CC51EF">
        <w:rPr>
          <w:rStyle w:val="da"/>
          <w:rFonts w:asciiTheme="minorEastAsia" w:eastAsiaTheme="minorEastAsia" w:hAnsiTheme="minorEastAsia" w:hint="eastAsia"/>
          <w:color w:val="000000" w:themeColor="text1"/>
        </w:rPr>
        <w:t>人员之间均不存在近亲属关系。</w:t>
      </w:r>
    </w:p>
    <w:p w:rsidR="001B2ECA" w:rsidRPr="00CC51EF">
      <w:pPr>
        <w:spacing w:line="360" w:lineRule="auto"/>
        <w:ind w:firstLine="420"/>
        <w:rPr>
          <w:rStyle w:val="da"/>
          <w:rFonts w:asciiTheme="minorEastAsia" w:eastAsiaTheme="minorEastAsia" w:hAnsiTheme="minorEastAsia"/>
          <w:color w:val="000000" w:themeColor="text1"/>
        </w:rPr>
      </w:pPr>
      <w:bookmarkStart w:id="9" w:name="_Toc332373451"/>
      <w:r w:rsidRPr="00CC51EF">
        <w:rPr>
          <w:rStyle w:val="da"/>
          <w:rFonts w:asciiTheme="minorEastAsia" w:eastAsiaTheme="minorEastAsia" w:hAnsiTheme="minorEastAsia" w:hint="eastAsia"/>
          <w:color w:val="000000" w:themeColor="text1"/>
        </w:rPr>
        <w:t>（三）基金管理人的职责</w:t>
      </w:r>
      <w:bookmarkEnd w:id="9"/>
    </w:p>
    <w:p w:rsidR="001B2ECA" w:rsidRPr="00CC51EF">
      <w:pPr>
        <w:spacing w:line="360" w:lineRule="auto"/>
        <w:ind w:firstLine="420"/>
        <w:rPr>
          <w:rStyle w:val="da"/>
          <w:rFonts w:asciiTheme="minorEastAsia" w:eastAsiaTheme="minorEastAsia" w:hAnsiTheme="minorEastAsia"/>
          <w:color w:val="000000" w:themeColor="text1"/>
        </w:rPr>
      </w:pPr>
      <w:bookmarkStart w:id="10" w:name="_Toc332373455"/>
      <w:r w:rsidRPr="00CC51EF">
        <w:rPr>
          <w:rStyle w:val="da"/>
          <w:rFonts w:asciiTheme="minorEastAsia" w:eastAsiaTheme="minorEastAsia" w:hAnsiTheme="minorEastAsia" w:hint="eastAsia"/>
          <w:color w:val="000000" w:themeColor="text1"/>
        </w:rPr>
        <w:t>1、依法募集资金，办理基金份额的发售和登记事宜；</w:t>
      </w:r>
    </w:p>
    <w:p w:rsidR="001B2ECA" w:rsidRPr="00CC51EF">
      <w:pPr>
        <w:spacing w:line="360" w:lineRule="auto"/>
        <w:ind w:firstLine="420"/>
        <w:rPr>
          <w:rStyle w:val="da"/>
          <w:rFonts w:asciiTheme="minorEastAsia" w:eastAsiaTheme="minorEastAsia" w:hAnsiTheme="minorEastAsia"/>
          <w:color w:val="000000" w:themeColor="text1"/>
        </w:rPr>
      </w:pPr>
      <w:bookmarkStart w:id="11" w:name="_Toc332373452"/>
      <w:r w:rsidRPr="00CC51EF">
        <w:rPr>
          <w:rStyle w:val="da"/>
          <w:rFonts w:asciiTheme="minorEastAsia" w:eastAsiaTheme="minorEastAsia" w:hAnsiTheme="minorEastAsia" w:hint="eastAsia"/>
          <w:color w:val="000000" w:themeColor="text1"/>
        </w:rPr>
        <w:t>2、办理基金备案手续；</w:t>
      </w:r>
      <w:bookmarkEnd w:id="11"/>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3、对所管理的不同基金财产分别管理、分别记账，进行证券投资；</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4、按照基金合同的约定及时向基金份额持有人分配收益；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5、进行基金会计核算并编制基金财务会计报告；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6、编制季度报告、中期报告和年度报告；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7、计算并公告基金净值信息，确定基金份额申购、赎回价格；</w:t>
      </w:r>
    </w:p>
    <w:p w:rsidR="001B2ECA" w:rsidRPr="00CC51EF">
      <w:pPr>
        <w:spacing w:line="360" w:lineRule="auto"/>
        <w:ind w:firstLine="420"/>
        <w:rPr>
          <w:rStyle w:val="da"/>
          <w:rFonts w:asciiTheme="minorEastAsia" w:eastAsiaTheme="minorEastAsia" w:hAnsiTheme="minorEastAsia"/>
          <w:color w:val="000000" w:themeColor="text1"/>
        </w:rPr>
      </w:pPr>
      <w:bookmarkStart w:id="12" w:name="_Toc332373453"/>
      <w:r w:rsidRPr="00CC51EF">
        <w:rPr>
          <w:rStyle w:val="da"/>
          <w:rFonts w:asciiTheme="minorEastAsia" w:eastAsiaTheme="minorEastAsia" w:hAnsiTheme="minorEastAsia" w:hint="eastAsia"/>
          <w:color w:val="000000" w:themeColor="text1"/>
        </w:rPr>
        <w:t>8、办理与基金财产管理业务活动有关的信息披露事项；</w:t>
      </w:r>
      <w:bookmarkEnd w:id="12"/>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9、按照规定召集基金份额持有人大会；</w:t>
      </w:r>
    </w:p>
    <w:p w:rsidR="001B2ECA" w:rsidRPr="00CC51EF">
      <w:pPr>
        <w:spacing w:line="360" w:lineRule="auto"/>
        <w:ind w:firstLine="420"/>
        <w:rPr>
          <w:rStyle w:val="da"/>
          <w:rFonts w:asciiTheme="minorEastAsia" w:eastAsiaTheme="minorEastAsia" w:hAnsiTheme="minorEastAsia"/>
          <w:color w:val="000000" w:themeColor="text1"/>
        </w:rPr>
      </w:pPr>
      <w:bookmarkStart w:id="13" w:name="_Toc332373454"/>
      <w:r w:rsidRPr="00CC51EF">
        <w:rPr>
          <w:rStyle w:val="da"/>
          <w:rFonts w:asciiTheme="minorEastAsia" w:eastAsiaTheme="minorEastAsia" w:hAnsiTheme="minorEastAsia" w:hint="eastAsia"/>
          <w:color w:val="000000" w:themeColor="text1"/>
        </w:rPr>
        <w:t>10、保存基金财产管理业务活动的记录、账册、报表和其他相关资料；</w:t>
      </w:r>
      <w:bookmarkEnd w:id="13"/>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1B2ECA" w:rsidRPr="00CC51EF">
      <w:pPr>
        <w:spacing w:line="360" w:lineRule="auto"/>
        <w:ind w:firstLine="420"/>
        <w:rPr>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12、中国证监会规定的其他职责</w:t>
      </w:r>
      <w:r w:rsidRPr="00CC51EF">
        <w:rPr>
          <w:rFonts w:asciiTheme="minorEastAsia" w:eastAsiaTheme="minorEastAsia" w:hAnsiTheme="minorEastAsia"/>
          <w:color w:val="000000" w:themeColor="text1"/>
        </w:rPr>
        <w:t>。</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（四）基金管理人的承诺</w:t>
      </w:r>
      <w:bookmarkEnd w:id="10"/>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1B2ECA" w:rsidRPr="00CC51EF">
      <w:pPr>
        <w:spacing w:line="360" w:lineRule="auto"/>
        <w:ind w:firstLine="420"/>
        <w:rPr>
          <w:rStyle w:val="da"/>
          <w:rFonts w:asciiTheme="minorEastAsia" w:eastAsiaTheme="minorEastAsia" w:hAnsiTheme="minorEastAsia"/>
          <w:color w:val="000000" w:themeColor="text1"/>
        </w:rPr>
      </w:pPr>
      <w:bookmarkStart w:id="14" w:name="_Toc332373456"/>
      <w:r w:rsidRPr="00CC51EF">
        <w:rPr>
          <w:rStyle w:val="da"/>
          <w:rFonts w:asciiTheme="minorEastAsia" w:eastAsiaTheme="minorEastAsia" w:hAnsiTheme="minorEastAsia" w:hint="eastAsia"/>
          <w:color w:val="000000" w:themeColor="text1"/>
        </w:rPr>
        <w:t>（1）将其固有财产或者他人财产混同于基金财产从事证券投资；</w:t>
      </w:r>
      <w:bookmarkEnd w:id="14"/>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（2）不公平地对待其管理的不同基金财产；</w:t>
      </w:r>
    </w:p>
    <w:p w:rsidR="001B2ECA" w:rsidRPr="00CC51EF">
      <w:pPr>
        <w:spacing w:line="360" w:lineRule="auto"/>
        <w:ind w:firstLine="420"/>
        <w:rPr>
          <w:rStyle w:val="da"/>
          <w:rFonts w:asciiTheme="minorEastAsia" w:eastAsiaTheme="minorEastAsia" w:hAnsiTheme="minorEastAsia"/>
          <w:color w:val="000000" w:themeColor="text1"/>
        </w:rPr>
      </w:pPr>
      <w:bookmarkStart w:id="15" w:name="_Toc332373457"/>
      <w:r w:rsidRPr="00CC51EF">
        <w:rPr>
          <w:rStyle w:val="da"/>
          <w:rFonts w:asciiTheme="minorEastAsia" w:eastAsiaTheme="minorEastAsia" w:hAnsiTheme="minorEastAsia" w:hint="eastAsia"/>
          <w:color w:val="000000" w:themeColor="text1"/>
        </w:rPr>
        <w:t>（3）利用基金财产为基金份额持有人以外的第三人谋取利益；</w:t>
      </w:r>
      <w:bookmarkEnd w:id="15"/>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（4）向基金份额持有人违规承诺收益或者承担损失；</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（5）侵占、挪用基金财产；</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（6）泄露因职务便利获取的未公开信息、利用该信息从事或者明示、暗示他人从事相关的交易活动；</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（7）玩忽职守，不按照规定履行职责；</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（8）法律、行政法规和中国证监会禁止的其他行为。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（1）越权或违规经营；</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（2）违反基金合同或托管协议；</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（3）故意损害基金份额持有人或其他基金相关机构的合法利益；</w:t>
      </w:r>
    </w:p>
    <w:p w:rsidR="001B2ECA" w:rsidRPr="00CC51EF">
      <w:pPr>
        <w:spacing w:line="360" w:lineRule="auto"/>
        <w:ind w:firstLine="420"/>
        <w:rPr>
          <w:rStyle w:val="da"/>
          <w:rFonts w:asciiTheme="minorEastAsia" w:eastAsiaTheme="minorEastAsia" w:hAnsiTheme="minorEastAsia"/>
          <w:color w:val="000000" w:themeColor="text1"/>
        </w:rPr>
      </w:pPr>
      <w:bookmarkStart w:id="16" w:name="_Toc332373458"/>
      <w:r w:rsidRPr="00CC51EF">
        <w:rPr>
          <w:rStyle w:val="da"/>
          <w:rFonts w:asciiTheme="minorEastAsia" w:eastAsiaTheme="minorEastAsia" w:hAnsiTheme="minorEastAsia" w:hint="eastAsia"/>
          <w:color w:val="000000" w:themeColor="text1"/>
        </w:rPr>
        <w:t>（4）在向中国证监会报送的资料中弄虚作假；</w:t>
      </w:r>
      <w:bookmarkEnd w:id="16"/>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（5）拒绝、干扰、阻挠或严重影响中国证监会依法监管；</w:t>
      </w:r>
    </w:p>
    <w:p w:rsidR="001B2ECA" w:rsidRPr="00CC51EF">
      <w:pPr>
        <w:spacing w:line="360" w:lineRule="auto"/>
        <w:ind w:firstLine="420"/>
        <w:rPr>
          <w:rStyle w:val="da"/>
          <w:rFonts w:asciiTheme="minorEastAsia" w:eastAsiaTheme="minorEastAsia" w:hAnsiTheme="minorEastAsia"/>
          <w:color w:val="000000" w:themeColor="text1"/>
        </w:rPr>
      </w:pPr>
      <w:bookmarkStart w:id="17" w:name="_Toc332373459"/>
      <w:r w:rsidRPr="00CC51EF">
        <w:rPr>
          <w:rStyle w:val="da"/>
          <w:rFonts w:asciiTheme="minorEastAsia" w:eastAsiaTheme="minorEastAsia" w:hAnsiTheme="minorEastAsia" w:hint="eastAsia"/>
          <w:color w:val="000000" w:themeColor="text1"/>
        </w:rPr>
        <w:t>（6）玩忽职守、滥用职权；</w:t>
      </w:r>
      <w:bookmarkEnd w:id="17"/>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（7）违反现行有效的有关法律、法规、规章、基金合同和中国证监会的有关规定，泄露在任职期间知悉的有关证券、基金的商业秘密，尚未依法公开的基金投资内容、基金投资计划等信息；</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（8）违反证券交易场所业务规则，利用对敲、倒仓等手段操纵市场价格，扰乱市场秩序；</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（9）贬损同行，以抬高自己；</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（10）以不正当手段谋求业务发展；</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（11）有悖社会公德，损害证券投资基金人员形象；</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（12）在公开信息披露和广告中故意含有虚假、误导、欺诈成分；</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（13）其他法律、行政法规以及中国证监会禁止的行为。</w:t>
      </w:r>
    </w:p>
    <w:p w:rsidR="001B2ECA" w:rsidRPr="00CC51EF">
      <w:pPr>
        <w:spacing w:line="360" w:lineRule="auto"/>
        <w:ind w:firstLine="420"/>
        <w:rPr>
          <w:rStyle w:val="da"/>
          <w:rFonts w:asciiTheme="minorEastAsia" w:eastAsiaTheme="minorEastAsia" w:hAnsiTheme="minorEastAsia"/>
          <w:color w:val="000000" w:themeColor="text1"/>
        </w:rPr>
      </w:pPr>
      <w:bookmarkStart w:id="18" w:name="_Toc332373460"/>
      <w:r w:rsidRPr="00CC51EF">
        <w:rPr>
          <w:rStyle w:val="da"/>
          <w:rFonts w:asciiTheme="minorEastAsia" w:eastAsiaTheme="minorEastAsia" w:hAnsiTheme="minorEastAsia" w:hint="eastAsia"/>
          <w:color w:val="000000" w:themeColor="text1"/>
        </w:rPr>
        <w:t>4、基金经理承诺</w:t>
      </w:r>
      <w:bookmarkEnd w:id="18"/>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1B2ECA" w:rsidRPr="00CC51EF">
      <w:pPr>
        <w:spacing w:line="360" w:lineRule="auto"/>
        <w:ind w:firstLine="420"/>
        <w:rPr>
          <w:rStyle w:val="da"/>
          <w:rFonts w:asciiTheme="minorEastAsia" w:eastAsiaTheme="minorEastAsia" w:hAnsiTheme="minorEastAsia"/>
          <w:color w:val="000000" w:themeColor="text1"/>
        </w:rPr>
      </w:pPr>
      <w:bookmarkStart w:id="19" w:name="_Toc332373461"/>
      <w:r w:rsidRPr="00CC51EF">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（3）不违反现行有效的有关法律、法规、规章、基金合同和中国证监会的有关规定，泄露在任职期间知悉的有关证券、基金的商业秘密、尚未依法公开的基金投资内容、基金投资计划等信息；</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（4）不从事损害基金财产和基金份额持有人利益的证券交易及其他活动。</w:t>
      </w:r>
    </w:p>
    <w:p w:rsidR="001B2ECA" w:rsidRPr="00CC51EF">
      <w:pPr>
        <w:spacing w:line="360" w:lineRule="auto"/>
        <w:ind w:firstLine="420"/>
        <w:rPr>
          <w:rStyle w:val="da"/>
          <w:rFonts w:asciiTheme="minorEastAsia" w:eastAsiaTheme="minorEastAsia" w:hAnsiTheme="minorEastAsia"/>
          <w:color w:val="000000" w:themeColor="text1"/>
        </w:rPr>
      </w:pPr>
      <w:bookmarkStart w:id="20" w:name="_Toc332373462"/>
      <w:r w:rsidRPr="00CC51EF">
        <w:rPr>
          <w:rStyle w:val="da"/>
          <w:rFonts w:asciiTheme="minorEastAsia" w:eastAsiaTheme="minorEastAsia" w:hAnsiTheme="minorEastAsia" w:hint="eastAsia"/>
          <w:color w:val="000000" w:themeColor="text1"/>
        </w:rPr>
        <w:t>（五）基金管理人的内部控制制度</w:t>
      </w:r>
      <w:bookmarkEnd w:id="20"/>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1、公司内部控制的总体目标</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（1）保证公司经营管理活动的合法合规性；</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（2）保证各类基金份额持有人及委托人的合法权益不受侵犯；</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（4）督促公司全体员工恪守职业操守，正直诚信，廉洁自律，勤勉尽责；</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（5）维护公司的声誉，保持公司的良好形象。</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2、公司内部控制遵循的原则</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（2）有效性原则。通过科学的内控手段和方法，建立合理的内控程序，维护内控制度的有效执行。</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（4）相互制约原则。公司内部部门和岗位的设置应当体现权责分明、相互制衡。</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3、内部控制的制度体系</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4、关于授权、研究、投资、交易等方面的控制点</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（1）授权制度</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（2）公司研究业务</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（3）基金投资业务</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（4）交易业务</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（5）基金会计核算</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（6）信息披露</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（7）监察与合规管理</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公司董事会和管理层充分重视和支持监察与合规管理工作，对违反法律、法规和公司</w:t>
      </w:r>
      <w:r w:rsidRPr="00CC51EF">
        <w:rPr>
          <w:rFonts w:asciiTheme="minorEastAsia" w:eastAsiaTheme="minorEastAsia" w:hAnsiTheme="minorEastAsia"/>
          <w:color w:val="000000" w:themeColor="text1"/>
        </w:rPr>
        <w:t>内部控制制度的，追究有关部门和人员的责任。</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5、基金管理人关于内部控制制度声明书</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（1）本公司承诺以上关于内部控制制度的披露真实、准确；</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（2）本公司承诺根据市场变化和公司业务发展不断完善内部控制制度。</w:t>
      </w:r>
    </w:p>
    <w:p w:rsidR="001B2ECA" w:rsidRPr="00CC51EF">
      <w:pPr>
        <w:pStyle w:val="11"/>
        <w:spacing w:before="317" w:after="317" w:line="360" w:lineRule="auto"/>
        <w:ind w:firstLine="640"/>
        <w:rPr>
          <w:rFonts w:asciiTheme="minorEastAsia" w:eastAsiaTheme="minorEastAsia" w:hAnsiTheme="minorEastAsia"/>
          <w:color w:val="000000" w:themeColor="text1"/>
        </w:rPr>
      </w:pPr>
      <w:r w:rsidRPr="00CC51EF">
        <w:rPr>
          <w:rFonts w:asciiTheme="minorEastAsia" w:eastAsiaTheme="minorEastAsia" w:hAnsiTheme="minorEastAsia" w:hint="eastAsia"/>
          <w:bCs/>
          <w:color w:val="000000" w:themeColor="text1"/>
        </w:rPr>
        <w:br w:type="column"/>
      </w:r>
      <w:bookmarkStart w:id="21" w:name="_Toc332373471"/>
      <w:bookmarkStart w:id="22" w:name="_Toc134548071"/>
      <w:r w:rsidRPr="00CC51EF">
        <w:rPr>
          <w:rFonts w:asciiTheme="minorEastAsia" w:eastAsiaTheme="minorEastAsia" w:hAnsiTheme="minorEastAsia" w:hint="eastAsia"/>
          <w:color w:val="000000" w:themeColor="text1"/>
        </w:rPr>
        <w:t>四、基金托管人</w:t>
      </w:r>
      <w:bookmarkEnd w:id="21"/>
      <w:bookmarkEnd w:id="22"/>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（一）基本情况</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名称：中国银行股份有限公司（简称</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中国银行</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住所及办公地址：北京市西城区复兴门内大街</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号</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首次注册登记日期：</w:t>
      </w:r>
      <w:smartTag w:uri="urn:schemas-microsoft-com:office:smarttags" w:element="chsdate">
        <w:smartTagPr>
          <w:attr w:name="Day" w:val="31"/>
          <w:attr w:name="IsLunarDate" w:val="False"/>
          <w:attr w:name="IsROCDate" w:val="False"/>
          <w:attr w:name="Month" w:val="10"/>
          <w:attr w:name="Year" w:val="1983"/>
        </w:smartTagPr>
        <w:r w:rsidRPr="00CC51EF">
          <w:rPr>
            <w:rStyle w:val="da"/>
            <w:rFonts w:asciiTheme="minorEastAsia" w:eastAsiaTheme="minorEastAsia" w:hAnsiTheme="minorEastAsia" w:hint="eastAsia"/>
            <w:color w:val="000000" w:themeColor="text1"/>
          </w:rPr>
          <w:t>1983年10月31日</w:t>
        </w:r>
      </w:smartTag>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注册资本：人民币贰仟玖佰肆拾叁亿捌仟柒佰柒拾玖万壹仟贰佰肆拾壹元整</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法定代表人：刘连舸</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基金托管业务批准文号：中国证监会证监基字【</w:t>
      </w:r>
      <w:r w:rsidRPr="00CC51EF">
        <w:rPr>
          <w:rStyle w:val="da"/>
          <w:rFonts w:asciiTheme="minorEastAsia" w:eastAsiaTheme="minorEastAsia" w:hAnsiTheme="minorEastAsia"/>
          <w:color w:val="000000" w:themeColor="text1"/>
        </w:rPr>
        <w:t>1998</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 xml:space="preserve">24 </w:t>
      </w:r>
      <w:r w:rsidRPr="00CC51EF">
        <w:rPr>
          <w:rStyle w:val="da"/>
          <w:rFonts w:asciiTheme="minorEastAsia" w:eastAsiaTheme="minorEastAsia" w:hAnsiTheme="minorEastAsia" w:hint="eastAsia"/>
          <w:color w:val="000000" w:themeColor="text1"/>
        </w:rPr>
        <w:t>号</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托管部门信息披露联系人：</w:t>
      </w:r>
      <w:r w:rsidRPr="00CC51EF">
        <w:rPr>
          <w:rFonts w:asciiTheme="minorEastAsia" w:eastAsiaTheme="minorEastAsia" w:hAnsiTheme="minorEastAsia" w:hint="eastAsia"/>
          <w:color w:val="000000" w:themeColor="text1"/>
          <w:szCs w:val="21"/>
        </w:rPr>
        <w:t>许俊</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传真：（</w:t>
      </w:r>
      <w:r w:rsidRPr="00CC51EF">
        <w:rPr>
          <w:rStyle w:val="da"/>
          <w:rFonts w:asciiTheme="minorEastAsia" w:eastAsiaTheme="minorEastAsia" w:hAnsiTheme="minorEastAsia"/>
          <w:color w:val="000000" w:themeColor="text1"/>
        </w:rPr>
        <w:t>010</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66594942</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中国银行客服电话：95566</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（二）基金托管部门及主要人员情况</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中国银行托管业务部设立于</w:t>
      </w:r>
      <w:r w:rsidRPr="00CC51EF">
        <w:rPr>
          <w:rStyle w:val="da"/>
          <w:rFonts w:asciiTheme="minorEastAsia" w:eastAsiaTheme="minorEastAsia" w:hAnsiTheme="minorEastAsia"/>
          <w:color w:val="000000" w:themeColor="text1"/>
        </w:rPr>
        <w:t>1998</w:t>
      </w:r>
      <w:r w:rsidRPr="00CC51EF">
        <w:rPr>
          <w:rStyle w:val="da"/>
          <w:rFonts w:asciiTheme="minorEastAsia" w:eastAsiaTheme="minorEastAsia" w:hAnsiTheme="minorEastAsia" w:hint="eastAsia"/>
          <w:color w:val="000000" w:themeColor="text1"/>
        </w:rPr>
        <w:t>年，现有员工110余人，大部分员工具有丰富的银行、证券、基金、信托从业经验，且具有海外工作、学习或培训经历，</w:t>
      </w:r>
      <w:bookmarkStart w:id="23" w:name="OLE_LINK1"/>
      <w:r w:rsidRPr="00CC51EF">
        <w:rPr>
          <w:rStyle w:val="da"/>
          <w:rFonts w:asciiTheme="minorEastAsia" w:eastAsiaTheme="minorEastAsia" w:hAnsiTheme="minorEastAsia" w:hint="eastAsia"/>
          <w:color w:val="000000" w:themeColor="text1"/>
        </w:rPr>
        <w:t>60％以上的员工具有硕士以上学位或高级职称</w:t>
      </w:r>
      <w:bookmarkEnd w:id="23"/>
      <w:r w:rsidRPr="00CC51EF">
        <w:rPr>
          <w:rStyle w:val="da"/>
          <w:rFonts w:asciiTheme="minorEastAsia" w:eastAsiaTheme="minorEastAsia" w:hAnsiTheme="minorEastAsia" w:hint="eastAsia"/>
          <w:color w:val="000000" w:themeColor="text1"/>
        </w:rPr>
        <w:t>。为给客户提供专业化的托管服务，中国银行已在境内、外分行开展托管业务。</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作为国内首批开展证券投资基金托管业务的商业银行，中国银行拥有证券投资基金、基金（一对多、一对一）、社保基金、保险资金、</w:t>
      </w:r>
      <w:r w:rsidRPr="00CC51EF">
        <w:rPr>
          <w:rStyle w:val="da"/>
          <w:rFonts w:asciiTheme="minorEastAsia" w:eastAsiaTheme="minorEastAsia" w:hAnsiTheme="minorEastAsia"/>
          <w:color w:val="000000" w:themeColor="text1"/>
        </w:rPr>
        <w:t>QFII</w:t>
      </w:r>
      <w:r w:rsidRPr="00CC51EF">
        <w:rPr>
          <w:rStyle w:val="da"/>
          <w:rFonts w:asciiTheme="minorEastAsia" w:eastAsiaTheme="minorEastAsia" w:hAnsiTheme="minorEastAsia" w:hint="eastAsia"/>
          <w:color w:val="000000" w:themeColor="text1"/>
        </w:rPr>
        <w:t>、RQFII、</w:t>
      </w:r>
      <w:r w:rsidRPr="00CC51EF">
        <w:rPr>
          <w:rStyle w:val="da"/>
          <w:rFonts w:asciiTheme="minorEastAsia" w:eastAsiaTheme="minorEastAsia" w:hAnsiTheme="minorEastAsia"/>
          <w:color w:val="000000" w:themeColor="text1"/>
        </w:rPr>
        <w:t>QDII</w:t>
      </w:r>
      <w:r w:rsidRPr="00CC51EF">
        <w:rPr>
          <w:rStyle w:val="da"/>
          <w:rFonts w:asciiTheme="minorEastAsia" w:eastAsiaTheme="minorEastAsia" w:hAnsiTheme="minorEastAsia" w:hint="eastAsia"/>
          <w:color w:val="000000" w:themeColor="text1"/>
        </w:rPr>
        <w:t>、境外三类机构、券商资产管理计划、信托计划、企业年金、银行理财产品、股权基金、私募基金、资金托管等</w:t>
      </w:r>
      <w:r w:rsidRPr="00CC51EF">
        <w:rPr>
          <w:rStyle w:val="da"/>
          <w:rFonts w:asciiTheme="minorEastAsia" w:eastAsiaTheme="minorEastAsia" w:hAnsiTheme="minorEastAsia"/>
          <w:color w:val="000000" w:themeColor="text1"/>
        </w:rPr>
        <w:t>门类齐全</w:t>
      </w:r>
      <w:r w:rsidRPr="00CC51EF">
        <w:rPr>
          <w:rStyle w:val="da"/>
          <w:rFonts w:asciiTheme="minorEastAsia" w:eastAsiaTheme="minorEastAsia" w:hAnsiTheme="minorEastAsia" w:hint="eastAsia"/>
          <w:color w:val="000000" w:themeColor="text1"/>
        </w:rPr>
        <w:t>、产品丰富</w:t>
      </w:r>
      <w:r w:rsidRPr="00CC51EF">
        <w:rPr>
          <w:rStyle w:val="da"/>
          <w:rFonts w:asciiTheme="minorEastAsia" w:eastAsiaTheme="minorEastAsia" w:hAnsiTheme="minorEastAsia"/>
          <w:color w:val="000000" w:themeColor="text1"/>
        </w:rPr>
        <w:t>的托管</w:t>
      </w:r>
      <w:r w:rsidRPr="00CC51EF">
        <w:rPr>
          <w:rStyle w:val="da"/>
          <w:rFonts w:asciiTheme="minorEastAsia" w:eastAsiaTheme="minorEastAsia" w:hAnsiTheme="minorEastAsia" w:hint="eastAsia"/>
          <w:color w:val="000000" w:themeColor="text1"/>
        </w:rPr>
        <w:t>业务</w:t>
      </w:r>
      <w:r w:rsidRPr="00CC51EF">
        <w:rPr>
          <w:rStyle w:val="da"/>
          <w:rFonts w:asciiTheme="minorEastAsia" w:eastAsiaTheme="minorEastAsia" w:hAnsiTheme="minorEastAsia"/>
          <w:color w:val="000000" w:themeColor="text1"/>
        </w:rPr>
        <w:t>体系</w:t>
      </w:r>
      <w:r w:rsidRPr="00CC51EF">
        <w:rPr>
          <w:rStyle w:val="da"/>
          <w:rFonts w:asciiTheme="minorEastAsia" w:eastAsiaTheme="minorEastAsia" w:hAnsiTheme="minorEastAsia" w:hint="eastAsia"/>
          <w:color w:val="000000" w:themeColor="text1"/>
        </w:rPr>
        <w:t>。在国</w:t>
      </w:r>
      <w:r w:rsidRPr="00CC51EF">
        <w:rPr>
          <w:rStyle w:val="da"/>
          <w:rFonts w:asciiTheme="minorEastAsia" w:eastAsiaTheme="minorEastAsia" w:hAnsiTheme="minorEastAsia"/>
          <w:color w:val="000000" w:themeColor="text1"/>
        </w:rPr>
        <w:t>内</w:t>
      </w:r>
      <w:r w:rsidRPr="00CC51EF">
        <w:rPr>
          <w:rStyle w:val="da"/>
          <w:rFonts w:asciiTheme="minorEastAsia" w:eastAsiaTheme="minorEastAsia" w:hAnsiTheme="minorEastAsia" w:hint="eastAsia"/>
          <w:color w:val="000000" w:themeColor="text1"/>
        </w:rPr>
        <w:t>，中国银行首家</w:t>
      </w:r>
      <w:r w:rsidRPr="00CC51EF">
        <w:rPr>
          <w:rStyle w:val="da"/>
          <w:rFonts w:asciiTheme="minorEastAsia" w:eastAsiaTheme="minorEastAsia" w:hAnsiTheme="minorEastAsia"/>
          <w:color w:val="000000" w:themeColor="text1"/>
        </w:rPr>
        <w:t>开展绩效评估、风险</w:t>
      </w:r>
      <w:r w:rsidRPr="00CC51EF">
        <w:rPr>
          <w:rStyle w:val="da"/>
          <w:rFonts w:asciiTheme="minorEastAsia" w:eastAsiaTheme="minorEastAsia" w:hAnsiTheme="minorEastAsia" w:hint="eastAsia"/>
          <w:color w:val="000000" w:themeColor="text1"/>
        </w:rPr>
        <w:t>分析</w:t>
      </w:r>
      <w:r w:rsidRPr="00CC51EF">
        <w:rPr>
          <w:rStyle w:val="da"/>
          <w:rFonts w:asciiTheme="minorEastAsia" w:eastAsiaTheme="minorEastAsia" w:hAnsiTheme="minorEastAsia"/>
          <w:color w:val="000000" w:themeColor="text1"/>
        </w:rPr>
        <w:t>等增值服务，为各类客户提供个性化的托管</w:t>
      </w:r>
      <w:r w:rsidRPr="00CC51EF">
        <w:rPr>
          <w:rStyle w:val="da"/>
          <w:rFonts w:asciiTheme="minorEastAsia" w:eastAsiaTheme="minorEastAsia" w:hAnsiTheme="minorEastAsia" w:hint="eastAsia"/>
          <w:color w:val="000000" w:themeColor="text1"/>
        </w:rPr>
        <w:t>增值</w:t>
      </w:r>
      <w:r w:rsidRPr="00CC51EF">
        <w:rPr>
          <w:rStyle w:val="da"/>
          <w:rFonts w:asciiTheme="minorEastAsia" w:eastAsiaTheme="minorEastAsia" w:hAnsiTheme="minorEastAsia"/>
          <w:color w:val="000000" w:themeColor="text1"/>
        </w:rPr>
        <w:t>服务</w:t>
      </w:r>
      <w:r w:rsidRPr="00CC51EF">
        <w:rPr>
          <w:rStyle w:val="da"/>
          <w:rFonts w:asciiTheme="minorEastAsia" w:eastAsiaTheme="minorEastAsia" w:hAnsiTheme="minorEastAsia" w:hint="eastAsia"/>
          <w:color w:val="000000" w:themeColor="text1"/>
        </w:rPr>
        <w:t>，是国内领先的大型中资托管银行。</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（三）证券投资基金托管情况</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截至2022年9月30日，中国银行已托管1026只证券投资基金，其中境内基金976只，QDII基金50只，覆盖了股票型、债券型、混合型、货币型、指数型、FOF等多种类型的基金，满足了不同客户多元化的投资理财需求，基金托管规模位居同业前列</w:t>
      </w:r>
      <w:r w:rsidRPr="00CC51EF" w:rsidR="00DF5349">
        <w:rPr>
          <w:rStyle w:val="da"/>
          <w:rFonts w:asciiTheme="minorEastAsia" w:eastAsiaTheme="minorEastAsia" w:hAnsiTheme="minorEastAsia" w:hint="eastAsia"/>
          <w:color w:val="000000" w:themeColor="text1"/>
        </w:rPr>
        <w:t>。</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（四）托管业务的内部控制制度</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中国银行托管业务部风险管理与控制工作是中国银行全面风险控制工作的组成部分，</w:t>
      </w:r>
      <w:r w:rsidRPr="00CC51EF">
        <w:rPr>
          <w:rStyle w:val="da"/>
          <w:rFonts w:asciiTheme="minorEastAsia" w:eastAsiaTheme="minorEastAsia" w:hAnsiTheme="minorEastAsia" w:hint="eastAsia"/>
          <w:color w:val="000000" w:themeColor="text1"/>
        </w:rPr>
        <w:t>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2007年起，中国银行连续聘请外部会计会计师事务所开展托管业务内部控制审阅工作。先后获得基于 “SAS70”、“AAF01/06”</w:t>
      </w:r>
      <w:r w:rsidRPr="00CC51EF" w:rsidR="004C4E54">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hint="eastAsia"/>
          <w:color w:val="000000" w:themeColor="text1"/>
        </w:rPr>
        <w:t>“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（五）托管人对管理人运作基金进行监督的方法和程序</w:t>
      </w:r>
    </w:p>
    <w:p w:rsidR="00EF38A0" w:rsidRPr="00CC51EF" w:rsidP="00EF38A0">
      <w:pPr>
        <w:spacing w:line="360" w:lineRule="auto"/>
        <w:ind w:firstLine="420" w:firstLineChars="20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应当及时通知基金管理人，并及时向国务院证券监督管理机构报告。</w:t>
      </w:r>
    </w:p>
    <w:p w:rsidR="00F507EA" w:rsidRPr="00CC51EF" w:rsidP="00EF38A0">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 xml:space="preserve"> </w:t>
      </w:r>
      <w:r w:rsidRPr="00CC51EF">
        <w:rPr>
          <w:rFonts w:asciiTheme="minorEastAsia" w:eastAsiaTheme="minorEastAsia" w:hAnsiTheme="minorEastAsia"/>
          <w:color w:val="000000" w:themeColor="text1"/>
        </w:rPr>
        <w:br w:type="page"/>
      </w:r>
    </w:p>
    <w:p w:rsidR="001B2ECA" w:rsidRPr="00CC51EF">
      <w:pPr>
        <w:pStyle w:val="111"/>
        <w:spacing w:before="317" w:after="317" w:line="360" w:lineRule="auto"/>
        <w:ind w:firstLine="640"/>
        <w:rPr>
          <w:rFonts w:asciiTheme="minorEastAsia" w:eastAsiaTheme="minorEastAsia" w:hAnsiTheme="minorEastAsia"/>
          <w:color w:val="000000" w:themeColor="text1"/>
          <w:szCs w:val="32"/>
        </w:rPr>
      </w:pPr>
      <w:bookmarkStart w:id="24" w:name="_Toc332373481"/>
      <w:bookmarkStart w:id="25" w:name="_Toc134548072"/>
      <w:r w:rsidRPr="00CC51EF">
        <w:rPr>
          <w:rFonts w:asciiTheme="minorEastAsia" w:eastAsiaTheme="minorEastAsia" w:hAnsiTheme="minorEastAsia" w:hint="eastAsia"/>
          <w:color w:val="000000" w:themeColor="text1"/>
          <w:szCs w:val="21"/>
        </w:rPr>
        <w:t>五、相关服务机构</w:t>
      </w:r>
      <w:bookmarkEnd w:id="24"/>
      <w:bookmarkEnd w:id="25"/>
    </w:p>
    <w:p w:rsidR="001B2ECA" w:rsidRPr="00CC51EF">
      <w:pPr>
        <w:spacing w:line="360" w:lineRule="auto"/>
        <w:ind w:firstLine="420"/>
        <w:rPr>
          <w:rStyle w:val="da"/>
          <w:rFonts w:asciiTheme="minorEastAsia" w:eastAsiaTheme="minorEastAsia" w:hAnsiTheme="minorEastAsia"/>
          <w:color w:val="000000" w:themeColor="text1"/>
        </w:rPr>
      </w:pPr>
      <w:bookmarkStart w:id="26" w:name="_Toc332373482"/>
      <w:r w:rsidRPr="00CC51EF">
        <w:rPr>
          <w:rStyle w:val="da"/>
          <w:rFonts w:asciiTheme="minorEastAsia" w:eastAsiaTheme="minorEastAsia" w:hAnsiTheme="minorEastAsia" w:hint="eastAsia"/>
          <w:color w:val="000000" w:themeColor="text1"/>
        </w:rPr>
        <w:t>（一）基金份额</w:t>
      </w:r>
      <w:r w:rsidRPr="00CC51EF" w:rsidR="002352AF">
        <w:rPr>
          <w:rStyle w:val="da"/>
          <w:rFonts w:asciiTheme="minorEastAsia" w:eastAsiaTheme="minorEastAsia" w:hAnsiTheme="minorEastAsia" w:hint="eastAsia"/>
          <w:color w:val="000000" w:themeColor="text1"/>
        </w:rPr>
        <w:t>销售</w:t>
      </w:r>
      <w:r w:rsidRPr="00CC51EF">
        <w:rPr>
          <w:rStyle w:val="da"/>
          <w:rFonts w:asciiTheme="minorEastAsia" w:eastAsiaTheme="minorEastAsia" w:hAnsiTheme="minorEastAsia" w:hint="eastAsia"/>
          <w:color w:val="000000" w:themeColor="text1"/>
        </w:rPr>
        <w:t>机构</w:t>
      </w:r>
      <w:bookmarkEnd w:id="26"/>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1、直销机构：易方达基金管理有限公司</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注册地址：广东省珠海市横琴新区荣粤道188号6层</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办公地址：广州市天河区珠江新城珠江东路30号广州银行大厦40-43楼</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法定代表人：刘晓艳</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电话：020-85102506</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传真：4008818099</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联系人：梁美</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网址：www.efunds.com.cn</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直销机构网点信息：</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本公司直销中心和网上直销系统销售本基金，网点具体信息详见本公司网站。</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2、非直销销售机构</w:t>
      </w:r>
    </w:p>
    <w:p w:rsidR="00395354"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本基金非直销销售机构信息详见基金管理人网站公示。</w:t>
      </w:r>
    </w:p>
    <w:p w:rsidR="001B2ECA" w:rsidRPr="00CC51EF">
      <w:pPr>
        <w:spacing w:line="360" w:lineRule="auto"/>
        <w:ind w:firstLine="420"/>
        <w:rPr>
          <w:rStyle w:val="da"/>
          <w:rFonts w:asciiTheme="minorEastAsia" w:eastAsiaTheme="minorEastAsia" w:hAnsiTheme="minorEastAsia"/>
          <w:color w:val="000000" w:themeColor="text1"/>
        </w:rPr>
      </w:pPr>
      <w:bookmarkStart w:id="27" w:name="_Toc332373483"/>
      <w:r w:rsidRPr="00CC51EF">
        <w:rPr>
          <w:rStyle w:val="da"/>
          <w:rFonts w:asciiTheme="minorEastAsia" w:eastAsiaTheme="minorEastAsia" w:hAnsiTheme="minorEastAsia" w:hint="eastAsia"/>
          <w:color w:val="000000" w:themeColor="text1"/>
        </w:rPr>
        <w:t>（二）基金</w:t>
      </w:r>
      <w:bookmarkEnd w:id="27"/>
      <w:r w:rsidRPr="00CC51EF">
        <w:rPr>
          <w:rStyle w:val="da"/>
          <w:rFonts w:asciiTheme="minorEastAsia" w:eastAsiaTheme="minorEastAsia" w:hAnsiTheme="minorEastAsia" w:hint="eastAsia"/>
          <w:color w:val="000000" w:themeColor="text1"/>
        </w:rPr>
        <w:t>登记机构</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名称：易方达基金管理有限公司</w:t>
      </w:r>
    </w:p>
    <w:p w:rsidR="001B2ECA" w:rsidRPr="00CC51EF">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注册地址：广东省珠海市横琴新区荣粤道188号6层</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办公</w:t>
      </w:r>
      <w:r w:rsidRPr="00CC51EF">
        <w:rPr>
          <w:rStyle w:val="da"/>
          <w:rFonts w:asciiTheme="minorEastAsia" w:eastAsiaTheme="minorEastAsia" w:hAnsiTheme="minorEastAsia" w:hint="eastAsia"/>
          <w:color w:val="000000" w:themeColor="text1"/>
        </w:rPr>
        <w:t>地址：</w:t>
      </w:r>
      <w:r w:rsidRPr="00CC51EF">
        <w:rPr>
          <w:rFonts w:asciiTheme="minorEastAsia" w:eastAsiaTheme="minorEastAsia" w:hAnsiTheme="minorEastAsia" w:hint="eastAsia"/>
          <w:color w:val="000000" w:themeColor="text1"/>
        </w:rPr>
        <w:t>广州市天河区珠江新城珠江东路30号广州银行大厦40-43楼</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法定代表人：刘晓艳</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电话：4008818088</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传真：</w:t>
      </w:r>
      <w:r w:rsidRPr="00CC51EF">
        <w:rPr>
          <w:rStyle w:val="da"/>
          <w:rFonts w:asciiTheme="minorEastAsia" w:eastAsiaTheme="minorEastAsia" w:hAnsiTheme="minorEastAsia"/>
          <w:color w:val="000000" w:themeColor="text1"/>
        </w:rPr>
        <w:t>020</w:t>
      </w:r>
      <w:r w:rsidRPr="00CC51EF">
        <w:rPr>
          <w:rStyle w:val="da"/>
          <w:rFonts w:asciiTheme="minorEastAsia" w:eastAsiaTheme="minorEastAsia" w:hAnsiTheme="minorEastAsia" w:hint="eastAsia"/>
          <w:color w:val="000000" w:themeColor="text1"/>
        </w:rPr>
        <w:t>-38799249</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联系人：余贤高</w:t>
      </w:r>
    </w:p>
    <w:p w:rsidR="001B2ECA" w:rsidRPr="00CC51EF">
      <w:pPr>
        <w:spacing w:line="360" w:lineRule="auto"/>
        <w:ind w:firstLine="420"/>
        <w:rPr>
          <w:rStyle w:val="da"/>
          <w:rFonts w:asciiTheme="minorEastAsia" w:eastAsiaTheme="minorEastAsia" w:hAnsiTheme="minorEastAsia"/>
          <w:color w:val="000000" w:themeColor="text1"/>
        </w:rPr>
      </w:pPr>
      <w:bookmarkStart w:id="28" w:name="_Toc332373484"/>
      <w:r w:rsidRPr="00CC51EF">
        <w:rPr>
          <w:rStyle w:val="da"/>
          <w:rFonts w:asciiTheme="minorEastAsia" w:eastAsiaTheme="minorEastAsia" w:hAnsiTheme="minorEastAsia" w:hint="eastAsia"/>
          <w:color w:val="000000" w:themeColor="text1"/>
        </w:rPr>
        <w:t>（三）律师事务所和经办律师</w:t>
      </w:r>
      <w:bookmarkEnd w:id="28"/>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律师事务所：广东金桥百信律师事务所</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地址：广州市珠江新城珠江东路</w:t>
      </w:r>
      <w:r w:rsidRPr="00CC51EF">
        <w:rPr>
          <w:rFonts w:asciiTheme="minorEastAsia" w:eastAsiaTheme="minorEastAsia" w:hAnsiTheme="minorEastAsia" w:cs="Arial"/>
          <w:color w:val="000000" w:themeColor="text1"/>
          <w:szCs w:val="21"/>
        </w:rPr>
        <w:t>16</w:t>
      </w:r>
      <w:r w:rsidRPr="00CC51EF">
        <w:rPr>
          <w:rFonts w:asciiTheme="minorEastAsia" w:eastAsiaTheme="minorEastAsia" w:hAnsiTheme="minorEastAsia" w:cs="Arial" w:hint="eastAsia"/>
          <w:color w:val="000000" w:themeColor="text1"/>
          <w:szCs w:val="21"/>
        </w:rPr>
        <w:t>号高德置地冬广场</w:t>
      </w:r>
      <w:r w:rsidRPr="00CC51EF">
        <w:rPr>
          <w:rFonts w:asciiTheme="minorEastAsia" w:eastAsiaTheme="minorEastAsia" w:hAnsiTheme="minorEastAsia" w:cs="Arial"/>
          <w:color w:val="000000" w:themeColor="text1"/>
          <w:szCs w:val="21"/>
        </w:rPr>
        <w:t>G</w:t>
      </w:r>
      <w:r w:rsidRPr="00CC51EF">
        <w:rPr>
          <w:rFonts w:asciiTheme="minorEastAsia" w:eastAsiaTheme="minorEastAsia" w:hAnsiTheme="minorEastAsia" w:cs="Arial" w:hint="eastAsia"/>
          <w:color w:val="000000" w:themeColor="text1"/>
          <w:szCs w:val="21"/>
        </w:rPr>
        <w:t>座</w:t>
      </w:r>
      <w:r w:rsidRPr="00CC51EF">
        <w:rPr>
          <w:rFonts w:asciiTheme="minorEastAsia" w:eastAsiaTheme="minorEastAsia" w:hAnsiTheme="minorEastAsia" w:cs="Arial"/>
          <w:color w:val="000000" w:themeColor="text1"/>
          <w:szCs w:val="21"/>
        </w:rPr>
        <w:t>24</w:t>
      </w:r>
      <w:r w:rsidRPr="00CC51EF">
        <w:rPr>
          <w:rFonts w:asciiTheme="minorEastAsia" w:eastAsiaTheme="minorEastAsia" w:hAnsiTheme="minorEastAsia" w:cs="Arial" w:hint="eastAsia"/>
          <w:color w:val="000000" w:themeColor="text1"/>
          <w:szCs w:val="21"/>
        </w:rPr>
        <w:t>楼</w:t>
      </w:r>
      <w:r w:rsidRPr="00CC51EF">
        <w:rPr>
          <w:rFonts w:asciiTheme="minorEastAsia" w:eastAsiaTheme="minorEastAsia" w:hAnsiTheme="minorEastAsia" w:cs="Arial"/>
          <w:color w:val="000000" w:themeColor="text1"/>
          <w:szCs w:val="21"/>
        </w:rPr>
        <w:br/>
      </w:r>
      <w:r w:rsidRPr="00CC51EF">
        <w:rPr>
          <w:rFonts w:asciiTheme="minorEastAsia" w:eastAsiaTheme="minorEastAsia" w:hAnsiTheme="minorEastAsia" w:cs="Arial" w:hint="eastAsia"/>
          <w:color w:val="000000" w:themeColor="text1"/>
          <w:szCs w:val="21"/>
        </w:rPr>
        <w:t xml:space="preserve">    负责人：聂卫国</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电话：</w:t>
      </w:r>
      <w:r w:rsidRPr="00CC51EF">
        <w:rPr>
          <w:rFonts w:asciiTheme="minorEastAsia" w:eastAsiaTheme="minorEastAsia" w:hAnsiTheme="minorEastAsia" w:cs="Arial"/>
          <w:color w:val="000000" w:themeColor="text1"/>
          <w:szCs w:val="21"/>
        </w:rPr>
        <w:t>020-83338668</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传真：</w:t>
      </w:r>
      <w:r w:rsidRPr="00CC51EF">
        <w:rPr>
          <w:rFonts w:asciiTheme="minorEastAsia" w:eastAsiaTheme="minorEastAsia" w:hAnsiTheme="minorEastAsia" w:cs="Arial"/>
          <w:color w:val="000000" w:themeColor="text1"/>
          <w:szCs w:val="21"/>
        </w:rPr>
        <w:t>020-83338088</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经办律师：石向阳、</w:t>
      </w:r>
      <w:r w:rsidRPr="00CC51EF">
        <w:rPr>
          <w:rFonts w:asciiTheme="minorEastAsia" w:eastAsiaTheme="minorEastAsia" w:hAnsiTheme="minorEastAsia" w:cs="Arial"/>
          <w:color w:val="000000" w:themeColor="text1"/>
          <w:szCs w:val="21"/>
        </w:rPr>
        <w:t>莫哲</w:t>
      </w:r>
    </w:p>
    <w:p w:rsidR="001B2ECA" w:rsidRPr="00CC51EF">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cs="Arial" w:hint="eastAsia"/>
          <w:color w:val="000000" w:themeColor="text1"/>
          <w:szCs w:val="21"/>
        </w:rPr>
        <w:t>联系人：石向阳</w:t>
      </w:r>
      <w:bookmarkStart w:id="29" w:name="_Toc332373485"/>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（四）会计师事务所和经办注册会计师</w:t>
      </w:r>
      <w:bookmarkEnd w:id="29"/>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hint="eastAsia"/>
          <w:color w:val="000000" w:themeColor="text1"/>
        </w:rPr>
        <w:t>本</w:t>
      </w:r>
      <w:r w:rsidRPr="00CC51EF">
        <w:rPr>
          <w:rFonts w:asciiTheme="minorEastAsia" w:eastAsiaTheme="minorEastAsia" w:hAnsiTheme="minorEastAsia" w:cs="Arial" w:hint="eastAsia"/>
          <w:color w:val="000000" w:themeColor="text1"/>
          <w:szCs w:val="21"/>
        </w:rPr>
        <w:t>基金的法定验资机构为安永华明会计师事务所（特殊普通合伙）。</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会计师事务所：安永华明会计师事务所（特殊普通合伙）</w:t>
      </w:r>
      <w:r w:rsidRPr="00CC51EF">
        <w:rPr>
          <w:rFonts w:asciiTheme="minorEastAsia" w:eastAsiaTheme="minorEastAsia" w:hAnsiTheme="minorEastAsia" w:cs="Arial"/>
          <w:color w:val="000000" w:themeColor="text1"/>
          <w:szCs w:val="21"/>
        </w:rPr>
        <w:t xml:space="preserve"> </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主要经营场所：北京市东城区东长安街</w:t>
      </w:r>
      <w:r w:rsidRPr="00CC51EF">
        <w:rPr>
          <w:rFonts w:asciiTheme="minorEastAsia" w:eastAsiaTheme="minorEastAsia" w:hAnsiTheme="minorEastAsia" w:cs="Arial"/>
          <w:color w:val="000000" w:themeColor="text1"/>
          <w:szCs w:val="21"/>
        </w:rPr>
        <w:t>1</w:t>
      </w:r>
      <w:r w:rsidRPr="00CC51EF">
        <w:rPr>
          <w:rFonts w:asciiTheme="minorEastAsia" w:eastAsiaTheme="minorEastAsia" w:hAnsiTheme="minorEastAsia" w:cs="Arial" w:hint="eastAsia"/>
          <w:color w:val="000000" w:themeColor="text1"/>
          <w:szCs w:val="21"/>
        </w:rPr>
        <w:t>号东方广场安永大楼</w:t>
      </w:r>
      <w:r w:rsidRPr="00CC51EF">
        <w:rPr>
          <w:rFonts w:asciiTheme="minorEastAsia" w:eastAsiaTheme="minorEastAsia" w:hAnsiTheme="minorEastAsia" w:cs="Arial"/>
          <w:color w:val="000000" w:themeColor="text1"/>
          <w:szCs w:val="21"/>
        </w:rPr>
        <w:t>17</w:t>
      </w:r>
      <w:r w:rsidRPr="00CC51EF">
        <w:rPr>
          <w:rFonts w:asciiTheme="minorEastAsia" w:eastAsiaTheme="minorEastAsia" w:hAnsiTheme="minorEastAsia" w:cs="Arial" w:hint="eastAsia"/>
          <w:color w:val="000000" w:themeColor="text1"/>
          <w:szCs w:val="21"/>
        </w:rPr>
        <w:t>层</w:t>
      </w:r>
      <w:r w:rsidRPr="00CC51EF">
        <w:rPr>
          <w:rFonts w:asciiTheme="minorEastAsia" w:eastAsiaTheme="minorEastAsia" w:hAnsiTheme="minorEastAsia" w:cs="Arial"/>
          <w:color w:val="000000" w:themeColor="text1"/>
          <w:szCs w:val="21"/>
        </w:rPr>
        <w:t>01-12</w:t>
      </w:r>
      <w:r w:rsidRPr="00CC51EF">
        <w:rPr>
          <w:rFonts w:asciiTheme="minorEastAsia" w:eastAsiaTheme="minorEastAsia" w:hAnsiTheme="minorEastAsia" w:cs="Arial" w:hint="eastAsia"/>
          <w:color w:val="000000" w:themeColor="text1"/>
          <w:szCs w:val="21"/>
        </w:rPr>
        <w:t>室</w:t>
      </w:r>
      <w:r w:rsidRPr="00CC51EF">
        <w:rPr>
          <w:rFonts w:asciiTheme="minorEastAsia" w:eastAsiaTheme="minorEastAsia" w:hAnsiTheme="minorEastAsia" w:cs="Arial"/>
          <w:color w:val="000000" w:themeColor="text1"/>
          <w:szCs w:val="21"/>
        </w:rPr>
        <w:t xml:space="preserve"> </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执行事务合伙人：</w:t>
      </w:r>
      <w:r w:rsidRPr="00CC51EF">
        <w:rPr>
          <w:rFonts w:asciiTheme="minorEastAsia" w:eastAsiaTheme="minorEastAsia" w:hAnsiTheme="minorEastAsia" w:cs="Arial"/>
          <w:color w:val="000000" w:themeColor="text1"/>
          <w:szCs w:val="21"/>
        </w:rPr>
        <w:t xml:space="preserve">Tony Mao </w:t>
      </w:r>
      <w:r w:rsidRPr="00CC51EF">
        <w:rPr>
          <w:rFonts w:asciiTheme="minorEastAsia" w:eastAsiaTheme="minorEastAsia" w:hAnsiTheme="minorEastAsia" w:cs="Arial" w:hint="eastAsia"/>
          <w:color w:val="000000" w:themeColor="text1"/>
          <w:szCs w:val="21"/>
        </w:rPr>
        <w:t>毛鞍宁</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电话：</w:t>
      </w:r>
      <w:r w:rsidRPr="00CC51EF">
        <w:rPr>
          <w:rFonts w:asciiTheme="minorEastAsia" w:eastAsiaTheme="minorEastAsia" w:hAnsiTheme="minorEastAsia" w:cs="Arial"/>
          <w:color w:val="000000" w:themeColor="text1"/>
          <w:szCs w:val="21"/>
        </w:rPr>
        <w:t xml:space="preserve">010-58153000 </w:t>
      </w:r>
    </w:p>
    <w:p w:rsidR="001B2ECA" w:rsidRPr="00CC51EF">
      <w:pPr>
        <w:tabs>
          <w:tab w:val="left" w:pos="2730"/>
        </w:tabs>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传真：</w:t>
      </w:r>
      <w:r w:rsidRPr="00CC51EF">
        <w:rPr>
          <w:rFonts w:asciiTheme="minorEastAsia" w:eastAsiaTheme="minorEastAsia" w:hAnsiTheme="minorEastAsia" w:cs="Arial"/>
          <w:color w:val="000000" w:themeColor="text1"/>
          <w:szCs w:val="21"/>
        </w:rPr>
        <w:t xml:space="preserve">010-85188298 </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经办注册会计师：昌华</w:t>
      </w:r>
      <w:r w:rsidRPr="00CC51EF">
        <w:rPr>
          <w:rFonts w:asciiTheme="minorEastAsia" w:eastAsiaTheme="minorEastAsia" w:hAnsiTheme="minorEastAsia" w:hint="eastAsia"/>
          <w:color w:val="000000" w:themeColor="text1"/>
        </w:rPr>
        <w:t>、马婧</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联系人：昌华</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本基金的年度财务报表及其他规定事项的审计机构为普华永道中天会计师事务所</w:t>
      </w:r>
      <w:r w:rsidRPr="00CC51EF">
        <w:rPr>
          <w:rFonts w:asciiTheme="minorEastAsia" w:eastAsiaTheme="minorEastAsia" w:hAnsiTheme="minorEastAsia" w:cs="Arial"/>
          <w:color w:val="000000" w:themeColor="text1"/>
          <w:szCs w:val="21"/>
        </w:rPr>
        <w:t>(</w:t>
      </w:r>
      <w:r w:rsidRPr="00CC51EF">
        <w:rPr>
          <w:rFonts w:asciiTheme="minorEastAsia" w:eastAsiaTheme="minorEastAsia" w:hAnsiTheme="minorEastAsia" w:cs="Arial" w:hint="eastAsia"/>
          <w:color w:val="000000" w:themeColor="text1"/>
          <w:szCs w:val="21"/>
        </w:rPr>
        <w:t>特殊普通合伙</w:t>
      </w:r>
      <w:r w:rsidRPr="00CC51EF">
        <w:rPr>
          <w:rFonts w:asciiTheme="minorEastAsia" w:eastAsiaTheme="minorEastAsia" w:hAnsiTheme="minorEastAsia" w:cs="Arial"/>
          <w:color w:val="000000" w:themeColor="text1"/>
          <w:szCs w:val="21"/>
        </w:rPr>
        <w:t>)</w:t>
      </w:r>
      <w:r w:rsidRPr="00CC51EF">
        <w:rPr>
          <w:rFonts w:asciiTheme="minorEastAsia" w:eastAsiaTheme="minorEastAsia" w:hAnsiTheme="minorEastAsia" w:cs="Arial" w:hint="eastAsia"/>
          <w:color w:val="000000" w:themeColor="text1"/>
          <w:szCs w:val="21"/>
        </w:rPr>
        <w:t>。</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会计师事务所：普华永道中天会计师事务所（特殊普通合伙）</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住所：上海市湖滨路</w:t>
      </w:r>
      <w:r w:rsidRPr="00CC51EF">
        <w:rPr>
          <w:rFonts w:asciiTheme="minorEastAsia" w:eastAsiaTheme="minorEastAsia" w:hAnsiTheme="minorEastAsia" w:cs="Arial"/>
          <w:color w:val="000000" w:themeColor="text1"/>
          <w:szCs w:val="21"/>
        </w:rPr>
        <w:t>202</w:t>
      </w:r>
      <w:r w:rsidRPr="00CC51EF">
        <w:rPr>
          <w:rFonts w:asciiTheme="minorEastAsia" w:eastAsiaTheme="minorEastAsia" w:hAnsiTheme="minorEastAsia" w:cs="Arial" w:hint="eastAsia"/>
          <w:color w:val="000000" w:themeColor="text1"/>
          <w:szCs w:val="21"/>
        </w:rPr>
        <w:t>号普华永道中心</w:t>
      </w:r>
      <w:r w:rsidRPr="00CC51EF">
        <w:rPr>
          <w:rFonts w:asciiTheme="minorEastAsia" w:eastAsiaTheme="minorEastAsia" w:hAnsiTheme="minorEastAsia" w:cs="Arial"/>
          <w:color w:val="000000" w:themeColor="text1"/>
          <w:szCs w:val="21"/>
        </w:rPr>
        <w:t>11</w:t>
      </w:r>
      <w:r w:rsidRPr="00CC51EF">
        <w:rPr>
          <w:rFonts w:asciiTheme="minorEastAsia" w:eastAsiaTheme="minorEastAsia" w:hAnsiTheme="minorEastAsia" w:cs="Arial" w:hint="eastAsia"/>
          <w:color w:val="000000" w:themeColor="text1"/>
          <w:szCs w:val="21"/>
        </w:rPr>
        <w:t>楼</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办公地址：上海市湖滨路</w:t>
      </w:r>
      <w:r w:rsidRPr="00CC51EF">
        <w:rPr>
          <w:rFonts w:asciiTheme="minorEastAsia" w:eastAsiaTheme="minorEastAsia" w:hAnsiTheme="minorEastAsia" w:cs="Arial"/>
          <w:color w:val="000000" w:themeColor="text1"/>
          <w:szCs w:val="21"/>
        </w:rPr>
        <w:t>202</w:t>
      </w:r>
      <w:r w:rsidRPr="00CC51EF">
        <w:rPr>
          <w:rFonts w:asciiTheme="minorEastAsia" w:eastAsiaTheme="minorEastAsia" w:hAnsiTheme="minorEastAsia" w:cs="Arial" w:hint="eastAsia"/>
          <w:color w:val="000000" w:themeColor="text1"/>
          <w:szCs w:val="21"/>
        </w:rPr>
        <w:t>号普华永道中心</w:t>
      </w:r>
      <w:r w:rsidRPr="00CC51EF">
        <w:rPr>
          <w:rFonts w:asciiTheme="minorEastAsia" w:eastAsiaTheme="minorEastAsia" w:hAnsiTheme="minorEastAsia" w:cs="Arial"/>
          <w:color w:val="000000" w:themeColor="text1"/>
          <w:szCs w:val="21"/>
        </w:rPr>
        <w:t>11</w:t>
      </w:r>
      <w:r w:rsidRPr="00CC51EF">
        <w:rPr>
          <w:rFonts w:asciiTheme="minorEastAsia" w:eastAsiaTheme="minorEastAsia" w:hAnsiTheme="minorEastAsia" w:cs="Arial" w:hint="eastAsia"/>
          <w:color w:val="000000" w:themeColor="text1"/>
          <w:szCs w:val="21"/>
        </w:rPr>
        <w:t>楼</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首席合伙人：李丹</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电话：（</w:t>
      </w:r>
      <w:r w:rsidRPr="00CC51EF">
        <w:rPr>
          <w:rFonts w:asciiTheme="minorEastAsia" w:eastAsiaTheme="minorEastAsia" w:hAnsiTheme="minorEastAsia" w:cs="Arial"/>
          <w:color w:val="000000" w:themeColor="text1"/>
          <w:szCs w:val="21"/>
        </w:rPr>
        <w:t>021</w:t>
      </w:r>
      <w:r w:rsidRPr="00CC51EF">
        <w:rPr>
          <w:rFonts w:asciiTheme="minorEastAsia" w:eastAsiaTheme="minorEastAsia" w:hAnsiTheme="minorEastAsia" w:cs="Arial" w:hint="eastAsia"/>
          <w:color w:val="000000" w:themeColor="text1"/>
          <w:szCs w:val="21"/>
        </w:rPr>
        <w:t>）</w:t>
      </w:r>
      <w:r w:rsidRPr="00CC51EF">
        <w:rPr>
          <w:rFonts w:asciiTheme="minorEastAsia" w:eastAsiaTheme="minorEastAsia" w:hAnsiTheme="minorEastAsia" w:cs="Arial"/>
          <w:color w:val="000000" w:themeColor="text1"/>
          <w:szCs w:val="21"/>
        </w:rPr>
        <w:t>23238888</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传真：（</w:t>
      </w:r>
      <w:r w:rsidRPr="00CC51EF">
        <w:rPr>
          <w:rFonts w:asciiTheme="minorEastAsia" w:eastAsiaTheme="minorEastAsia" w:hAnsiTheme="minorEastAsia" w:cs="Arial"/>
          <w:color w:val="000000" w:themeColor="text1"/>
          <w:szCs w:val="21"/>
        </w:rPr>
        <w:t>021</w:t>
      </w:r>
      <w:r w:rsidRPr="00CC51EF">
        <w:rPr>
          <w:rFonts w:asciiTheme="minorEastAsia" w:eastAsiaTheme="minorEastAsia" w:hAnsiTheme="minorEastAsia" w:cs="Arial" w:hint="eastAsia"/>
          <w:color w:val="000000" w:themeColor="text1"/>
          <w:szCs w:val="21"/>
        </w:rPr>
        <w:t>）</w:t>
      </w:r>
      <w:r w:rsidRPr="00CC51EF">
        <w:rPr>
          <w:rFonts w:asciiTheme="minorEastAsia" w:eastAsiaTheme="minorEastAsia" w:hAnsiTheme="minorEastAsia" w:cs="Arial"/>
          <w:color w:val="000000" w:themeColor="text1"/>
          <w:szCs w:val="21"/>
        </w:rPr>
        <w:t>23238800</w:t>
      </w:r>
    </w:p>
    <w:p w:rsidR="001B2ECA" w:rsidRPr="00CC51EF">
      <w:pPr>
        <w:spacing w:line="360" w:lineRule="auto"/>
        <w:ind w:firstLine="420"/>
        <w:rPr>
          <w:rFonts w:asciiTheme="minorEastAsia" w:eastAsiaTheme="minorEastAsia" w:hAnsiTheme="minorEastAsia" w:cs="Arial"/>
          <w:color w:val="000000" w:themeColor="text1"/>
        </w:rPr>
      </w:pPr>
      <w:r w:rsidRPr="00CC51EF">
        <w:rPr>
          <w:rFonts w:asciiTheme="minorEastAsia" w:eastAsiaTheme="minorEastAsia" w:hAnsiTheme="minorEastAsia"/>
          <w:color w:val="000000" w:themeColor="text1"/>
        </w:rPr>
        <w:t>经办注册会计师：陈熹、陈轶杰</w:t>
      </w:r>
    </w:p>
    <w:p w:rsidR="001B2ECA" w:rsidRPr="00CC51EF">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联系人：周祎</w:t>
      </w:r>
    </w:p>
    <w:p w:rsidR="001B2ECA" w:rsidRPr="00CC51EF">
      <w:pPr>
        <w:pStyle w:val="2"/>
        <w:spacing w:before="0" w:beforeAutospacing="0" w:after="0" w:afterAutospacing="0"/>
        <w:ind w:firstLine="420"/>
        <w:rPr>
          <w:rFonts w:asciiTheme="minorEastAsia" w:eastAsiaTheme="minorEastAsia" w:hAnsiTheme="minorEastAsia"/>
          <w:color w:val="000000" w:themeColor="text1"/>
          <w:szCs w:val="21"/>
        </w:rPr>
      </w:pPr>
    </w:p>
    <w:p w:rsidR="001B2ECA" w:rsidRPr="00CC51EF">
      <w:pPr>
        <w:pStyle w:val="2"/>
        <w:spacing w:before="0" w:beforeAutospacing="0" w:after="0" w:afterAutospacing="0"/>
        <w:ind w:firstLine="420"/>
        <w:rPr>
          <w:rFonts w:asciiTheme="minorEastAsia" w:eastAsiaTheme="minorEastAsia" w:hAnsiTheme="minorEastAsia"/>
          <w:color w:val="000000" w:themeColor="text1"/>
          <w:szCs w:val="21"/>
        </w:rPr>
      </w:pPr>
    </w:p>
    <w:p w:rsidR="001B2ECA" w:rsidRPr="00CC51EF">
      <w:pPr>
        <w:pStyle w:val="2"/>
        <w:spacing w:before="0" w:beforeAutospacing="0" w:after="0" w:afterAutospacing="0"/>
        <w:ind w:firstLine="420"/>
        <w:rPr>
          <w:rFonts w:asciiTheme="minorEastAsia" w:eastAsiaTheme="minorEastAsia" w:hAnsiTheme="minorEastAsia"/>
          <w:color w:val="000000" w:themeColor="text1"/>
          <w:szCs w:val="21"/>
        </w:rPr>
      </w:pPr>
    </w:p>
    <w:p w:rsidR="001B2ECA" w:rsidRPr="00CC51EF">
      <w:pPr>
        <w:pStyle w:val="2"/>
        <w:spacing w:before="0" w:beforeAutospacing="0" w:after="0" w:afterAutospacing="0"/>
        <w:ind w:firstLine="420"/>
        <w:rPr>
          <w:rFonts w:asciiTheme="minorEastAsia" w:eastAsiaTheme="minorEastAsia" w:hAnsiTheme="minorEastAsia"/>
          <w:color w:val="000000" w:themeColor="text1"/>
          <w:szCs w:val="21"/>
        </w:rPr>
      </w:pPr>
    </w:p>
    <w:p w:rsidR="001B2ECA" w:rsidRPr="00CC51EF">
      <w:pPr>
        <w:pStyle w:val="2"/>
        <w:spacing w:before="0" w:beforeAutospacing="0" w:after="0" w:afterAutospacing="0"/>
        <w:ind w:firstLine="420"/>
        <w:rPr>
          <w:rFonts w:asciiTheme="minorEastAsia" w:eastAsiaTheme="minorEastAsia" w:hAnsiTheme="minorEastAsia"/>
          <w:color w:val="000000" w:themeColor="text1"/>
          <w:szCs w:val="21"/>
        </w:rPr>
      </w:pPr>
    </w:p>
    <w:p w:rsidR="001B2ECA" w:rsidRPr="00CC51EF">
      <w:pPr>
        <w:pStyle w:val="11"/>
        <w:pageBreakBefore/>
        <w:spacing w:before="317" w:after="317" w:line="360" w:lineRule="auto"/>
        <w:ind w:firstLine="640"/>
        <w:rPr>
          <w:rFonts w:asciiTheme="minorEastAsia" w:eastAsiaTheme="minorEastAsia" w:hAnsiTheme="minorEastAsia"/>
          <w:bCs/>
          <w:color w:val="000000" w:themeColor="text1"/>
        </w:rPr>
      </w:pPr>
      <w:bookmarkStart w:id="30" w:name="_Toc332373486"/>
      <w:bookmarkStart w:id="31" w:name="_Toc134548073"/>
      <w:r w:rsidRPr="00CC51EF">
        <w:rPr>
          <w:rFonts w:asciiTheme="minorEastAsia" w:eastAsiaTheme="minorEastAsia" w:hAnsiTheme="minorEastAsia" w:hint="eastAsia"/>
          <w:bCs/>
          <w:color w:val="000000" w:themeColor="text1"/>
        </w:rPr>
        <w:t>六、基金的募集</w:t>
      </w:r>
      <w:bookmarkEnd w:id="30"/>
      <w:bookmarkEnd w:id="31"/>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本基金由基金管理人依照《基金法》、《运作办法》、《销售办法》、基金合同的相关规定募集，并经中国证券监督管理委员会</w:t>
      </w:r>
      <w:r w:rsidRPr="00CC51EF" w:rsidR="00CD4BDF">
        <w:rPr>
          <w:rStyle w:val="da"/>
          <w:rFonts w:asciiTheme="minorEastAsia" w:eastAsiaTheme="minorEastAsia" w:hAnsiTheme="minorEastAsia" w:hint="eastAsia"/>
          <w:color w:val="000000" w:themeColor="text1"/>
        </w:rPr>
        <w:t>2020年9月30日</w:t>
      </w:r>
      <w:r w:rsidRPr="00CC51EF">
        <w:rPr>
          <w:rStyle w:val="da"/>
          <w:rFonts w:asciiTheme="minorEastAsia" w:eastAsiaTheme="minorEastAsia" w:hAnsiTheme="minorEastAsia" w:hint="eastAsia"/>
          <w:color w:val="000000" w:themeColor="text1"/>
        </w:rPr>
        <w:t>《关于准予易方达战略新兴产业股票型证券投资基金注册的批复》（证监许可[20</w:t>
      </w:r>
      <w:r w:rsidRPr="00CC51EF">
        <w:rPr>
          <w:rStyle w:val="da"/>
          <w:rFonts w:asciiTheme="minorEastAsia" w:eastAsiaTheme="minorEastAsia" w:hAnsiTheme="minorEastAsia"/>
          <w:color w:val="000000" w:themeColor="text1"/>
        </w:rPr>
        <w:t>20</w:t>
      </w:r>
      <w:r w:rsidRPr="00CC51EF">
        <w:rPr>
          <w:rStyle w:val="da"/>
          <w:rFonts w:asciiTheme="minorEastAsia" w:eastAsiaTheme="minorEastAsia" w:hAnsiTheme="minorEastAsia" w:hint="eastAsia"/>
          <w:color w:val="000000" w:themeColor="text1"/>
        </w:rPr>
        <w:t>] 2459号）注册。</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本基金为契约型开放式股票型基金。基金的存续期为不定期。</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本基金募集期间每份基金份额的初始面值为人民币1.00元。</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本基金募集期自2021年1月11日至2021年1月11日。</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募集对象为符合法律法规规定的可投资于证券投资基金的个人投资者、机构投资者、合格境外机构投资者和人民币合格境外机构投资者以及法律法规或中国证监会允许购买证券投资基金的其他投资人。</w:t>
      </w:r>
    </w:p>
    <w:p w:rsidR="001B2ECA" w:rsidRPr="00CC51EF">
      <w:pPr>
        <w:spacing w:line="312" w:lineRule="auto"/>
        <w:ind w:firstLine="420"/>
        <w:rPr>
          <w:rFonts w:asciiTheme="minorEastAsia" w:eastAsiaTheme="minorEastAsia" w:hAnsiTheme="minorEastAsia"/>
          <w:color w:val="000000" w:themeColor="text1"/>
        </w:rPr>
      </w:pPr>
    </w:p>
    <w:p w:rsidR="001B2ECA" w:rsidRPr="00CC51EF">
      <w:pPr>
        <w:pStyle w:val="11"/>
        <w:pageBreakBefore/>
        <w:spacing w:before="317" w:after="317" w:line="360" w:lineRule="auto"/>
        <w:ind w:firstLine="640"/>
        <w:rPr>
          <w:rFonts w:asciiTheme="minorEastAsia" w:eastAsiaTheme="minorEastAsia" w:hAnsiTheme="minorEastAsia"/>
          <w:bCs/>
          <w:color w:val="000000" w:themeColor="text1"/>
        </w:rPr>
      </w:pPr>
      <w:bookmarkStart w:id="32" w:name="_Toc332373495"/>
      <w:bookmarkStart w:id="33" w:name="_Toc134548074"/>
      <w:r w:rsidRPr="00CC51EF">
        <w:rPr>
          <w:rFonts w:asciiTheme="minorEastAsia" w:eastAsiaTheme="minorEastAsia" w:hAnsiTheme="minorEastAsia" w:hint="eastAsia"/>
          <w:bCs/>
          <w:color w:val="000000" w:themeColor="text1"/>
        </w:rPr>
        <w:t>七、基金合同的生效</w:t>
      </w:r>
      <w:bookmarkEnd w:id="32"/>
      <w:bookmarkEnd w:id="33"/>
    </w:p>
    <w:p w:rsidR="001B2ECA" w:rsidRPr="00CC51EF">
      <w:pPr>
        <w:spacing w:line="360" w:lineRule="auto"/>
        <w:ind w:firstLine="424"/>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一</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基金合同的生效</w:t>
      </w:r>
    </w:p>
    <w:p w:rsidR="001B2ECA" w:rsidRPr="00CC51EF">
      <w:pPr>
        <w:spacing w:line="360" w:lineRule="auto"/>
        <w:ind w:firstLine="424"/>
        <w:rPr>
          <w:rFonts w:asciiTheme="minorEastAsia" w:eastAsiaTheme="minorEastAsia" w:hAnsiTheme="minorEastAsia"/>
          <w:bCs/>
          <w:color w:val="000000" w:themeColor="text1"/>
          <w:szCs w:val="21"/>
        </w:rPr>
      </w:pPr>
      <w:bookmarkStart w:id="34" w:name="_Toc133292585"/>
      <w:r w:rsidRPr="00CC51EF">
        <w:rPr>
          <w:rFonts w:asciiTheme="minorEastAsia" w:eastAsiaTheme="minorEastAsia" w:hAnsiTheme="minorEastAsia"/>
          <w:color w:val="000000" w:themeColor="text1"/>
          <w:szCs w:val="21"/>
        </w:rPr>
        <w:t>本基金</w:t>
      </w:r>
      <w:r w:rsidRPr="00CC51EF">
        <w:rPr>
          <w:rFonts w:asciiTheme="minorEastAsia" w:eastAsiaTheme="minorEastAsia" w:hAnsiTheme="minorEastAsia" w:hint="eastAsia"/>
          <w:color w:val="000000" w:themeColor="text1"/>
          <w:szCs w:val="21"/>
        </w:rPr>
        <w:t>基金合同于2021年1月13日正式生效。自基金合同生效日起，本基金管理人正式开始管理本基金。</w:t>
      </w:r>
      <w:bookmarkEnd w:id="34"/>
    </w:p>
    <w:p w:rsidR="001B2ECA" w:rsidRPr="00CC51EF">
      <w:pPr>
        <w:spacing w:line="360" w:lineRule="auto"/>
        <w:ind w:firstLine="424"/>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二</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基金存续期内的基金份额持有人数量和资产规模</w:t>
      </w:r>
    </w:p>
    <w:p w:rsidR="001B2ECA" w:rsidRPr="00CC51EF">
      <w:pPr>
        <w:spacing w:line="360" w:lineRule="auto"/>
        <w:ind w:firstLine="424"/>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《基金合同》生效后，连续</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个工作日出现基金份额持有人数量不满</w:t>
      </w:r>
      <w:r w:rsidRPr="00CC51EF">
        <w:rPr>
          <w:rFonts w:asciiTheme="minorEastAsia" w:eastAsiaTheme="minorEastAsia" w:hAnsiTheme="minorEastAsia"/>
          <w:bCs/>
          <w:color w:val="000000" w:themeColor="text1"/>
          <w:szCs w:val="21"/>
        </w:rPr>
        <w:t>200</w:t>
      </w:r>
      <w:r w:rsidRPr="00CC51EF">
        <w:rPr>
          <w:rFonts w:asciiTheme="minorEastAsia" w:eastAsiaTheme="minorEastAsia" w:hAnsiTheme="minorEastAsia" w:hint="eastAsia"/>
          <w:bCs/>
          <w:color w:val="000000" w:themeColor="text1"/>
          <w:szCs w:val="21"/>
        </w:rPr>
        <w:t>人或者基金资产净值低于</w:t>
      </w:r>
      <w:r w:rsidRPr="00CC51EF">
        <w:rPr>
          <w:rFonts w:asciiTheme="minorEastAsia" w:eastAsiaTheme="minorEastAsia" w:hAnsiTheme="minorEastAsia"/>
          <w:bCs/>
          <w:color w:val="000000" w:themeColor="text1"/>
          <w:szCs w:val="21"/>
        </w:rPr>
        <w:t>5000</w:t>
      </w:r>
      <w:r w:rsidRPr="00CC51EF">
        <w:rPr>
          <w:rFonts w:asciiTheme="minorEastAsia" w:eastAsiaTheme="minorEastAsia" w:hAnsiTheme="minorEastAsia" w:hint="eastAsia"/>
          <w:bCs/>
          <w:color w:val="000000" w:themeColor="text1"/>
          <w:szCs w:val="21"/>
        </w:rPr>
        <w:t>万元情形的，基金管理人应当在定期报告中予以披露；连续</w:t>
      </w:r>
      <w:r w:rsidRPr="00CC51EF">
        <w:rPr>
          <w:rFonts w:asciiTheme="minorEastAsia" w:eastAsiaTheme="minorEastAsia" w:hAnsiTheme="minorEastAsia"/>
          <w:bCs/>
          <w:color w:val="000000" w:themeColor="text1"/>
          <w:szCs w:val="21"/>
        </w:rPr>
        <w:t>60</w:t>
      </w:r>
      <w:r w:rsidRPr="00CC51EF">
        <w:rPr>
          <w:rFonts w:asciiTheme="minorEastAsia" w:eastAsiaTheme="minorEastAsia" w:hAnsiTheme="minorEastAsia" w:hint="eastAsia"/>
          <w:bCs/>
          <w:color w:val="000000" w:themeColor="text1"/>
          <w:szCs w:val="21"/>
        </w:rPr>
        <w:t>个工作日出现前述情形的，基金管理人应当在</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个工作日内向中国证监会报告并提出解决方案，如持续</w:t>
      </w:r>
      <w:r w:rsidRPr="00CC51EF">
        <w:rPr>
          <w:rFonts w:asciiTheme="minorEastAsia" w:eastAsiaTheme="minorEastAsia" w:hAnsiTheme="minorEastAsia"/>
          <w:color w:val="000000" w:themeColor="text1"/>
          <w:szCs w:val="21"/>
        </w:rPr>
        <w:t>运作</w:t>
      </w:r>
      <w:r w:rsidRPr="00CC51EF">
        <w:rPr>
          <w:rFonts w:asciiTheme="minorEastAsia" w:eastAsiaTheme="minorEastAsia" w:hAnsiTheme="minorEastAsia" w:hint="eastAsia"/>
          <w:bCs/>
          <w:color w:val="000000" w:themeColor="text1"/>
          <w:szCs w:val="21"/>
        </w:rPr>
        <w:t>、转换运作方式、与其他基金合并或者终止基金合同等，并在</w:t>
      </w: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个月内召开基金份额持有人大会进行表决。</w:t>
      </w:r>
    </w:p>
    <w:p w:rsidR="001B2ECA" w:rsidRPr="00CC51EF">
      <w:pPr>
        <w:spacing w:line="360" w:lineRule="auto"/>
        <w:ind w:firstLine="424"/>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法律法规或中国证监会另有规定时，从其规定。</w:t>
      </w:r>
    </w:p>
    <w:p w:rsidR="001B2ECA" w:rsidRPr="00CC51EF">
      <w:pPr>
        <w:rPr>
          <w:rFonts w:asciiTheme="minorEastAsia" w:eastAsiaTheme="minorEastAsia" w:hAnsiTheme="minorEastAsia"/>
          <w:color w:val="000000" w:themeColor="text1"/>
        </w:rPr>
      </w:pPr>
    </w:p>
    <w:p w:rsidR="001B2ECA" w:rsidRPr="00CC51EF">
      <w:pPr>
        <w:pStyle w:val="11"/>
        <w:pageBreakBefore/>
        <w:spacing w:before="317" w:after="317" w:line="360" w:lineRule="auto"/>
        <w:ind w:firstLine="0"/>
        <w:rPr>
          <w:rFonts w:asciiTheme="minorEastAsia" w:eastAsiaTheme="minorEastAsia" w:hAnsiTheme="minorEastAsia"/>
          <w:bCs/>
          <w:color w:val="000000" w:themeColor="text1"/>
        </w:rPr>
      </w:pPr>
      <w:bookmarkStart w:id="35" w:name="_Toc332373499"/>
      <w:bookmarkStart w:id="36" w:name="_Toc134548075"/>
      <w:r w:rsidRPr="00CC51EF">
        <w:rPr>
          <w:rFonts w:asciiTheme="minorEastAsia" w:eastAsiaTheme="minorEastAsia" w:hAnsiTheme="minorEastAsia" w:hint="eastAsia"/>
          <w:bCs/>
          <w:color w:val="000000" w:themeColor="text1"/>
        </w:rPr>
        <w:t>八、基金份额的申购、赎回</w:t>
      </w:r>
      <w:bookmarkEnd w:id="35"/>
      <w:bookmarkEnd w:id="36"/>
    </w:p>
    <w:p w:rsidR="001B2ECA" w:rsidRPr="00CC51EF">
      <w:pPr>
        <w:spacing w:line="360" w:lineRule="auto"/>
        <w:ind w:firstLine="420"/>
        <w:rPr>
          <w:rStyle w:val="da"/>
          <w:rFonts w:asciiTheme="minorEastAsia" w:eastAsiaTheme="minorEastAsia" w:hAnsiTheme="minorEastAsia"/>
          <w:color w:val="000000" w:themeColor="text1"/>
          <w:szCs w:val="21"/>
        </w:rPr>
      </w:pPr>
      <w:bookmarkStart w:id="37" w:name="_Toc332373500"/>
      <w:r w:rsidRPr="00CC51EF">
        <w:rPr>
          <w:rStyle w:val="da"/>
          <w:rFonts w:asciiTheme="minorEastAsia" w:eastAsiaTheme="minorEastAsia" w:hAnsiTheme="minorEastAsia" w:hint="eastAsia"/>
          <w:color w:val="000000" w:themeColor="text1"/>
          <w:szCs w:val="21"/>
        </w:rPr>
        <w:t>（一）基金投资人范围</w:t>
      </w:r>
      <w:bookmarkEnd w:id="37"/>
    </w:p>
    <w:p w:rsidR="001B2ECA" w:rsidRPr="00CC51EF">
      <w:pPr>
        <w:spacing w:line="360" w:lineRule="auto"/>
        <w:ind w:firstLine="424"/>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1B2ECA" w:rsidRPr="00CC51EF">
      <w:pPr>
        <w:spacing w:line="360" w:lineRule="auto"/>
        <w:ind w:firstLine="420"/>
        <w:rPr>
          <w:rStyle w:val="da"/>
          <w:rFonts w:asciiTheme="minorEastAsia" w:eastAsiaTheme="minorEastAsia" w:hAnsiTheme="minorEastAsia"/>
          <w:color w:val="000000" w:themeColor="text1"/>
          <w:szCs w:val="21"/>
        </w:rPr>
      </w:pPr>
      <w:bookmarkStart w:id="38" w:name="_Toc332373501"/>
      <w:r w:rsidRPr="00CC51EF">
        <w:rPr>
          <w:rStyle w:val="da"/>
          <w:rFonts w:asciiTheme="minorEastAsia" w:eastAsiaTheme="minorEastAsia" w:hAnsiTheme="minorEastAsia" w:hint="eastAsia"/>
          <w:color w:val="000000" w:themeColor="text1"/>
          <w:szCs w:val="21"/>
        </w:rPr>
        <w:t>（二）申购与赎回的场所</w:t>
      </w:r>
      <w:bookmarkEnd w:id="38"/>
    </w:p>
    <w:p w:rsidR="001B2ECA" w:rsidRPr="00CC51EF">
      <w:pPr>
        <w:spacing w:line="360" w:lineRule="auto"/>
        <w:ind w:firstLine="424"/>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的申购与赎回将通过销售机构进行。基金管理人可根据情况变更或增减销售机构，并在基金管理人网站公示。基金投资者应当在销售机构办理基金销售业务的营业场所或按销售机构提供的其他方式办理基金份额的申购与赎回。</w:t>
      </w:r>
    </w:p>
    <w:p w:rsidR="001B2ECA" w:rsidRPr="00CC51EF">
      <w:pPr>
        <w:spacing w:line="360" w:lineRule="auto"/>
        <w:ind w:firstLine="424"/>
        <w:rPr>
          <w:rFonts w:asciiTheme="minorEastAsia" w:eastAsiaTheme="minorEastAsia" w:hAnsiTheme="minorEastAsia"/>
          <w:bCs/>
          <w:color w:val="000000" w:themeColor="text1"/>
          <w:szCs w:val="21"/>
        </w:rPr>
      </w:pPr>
      <w:bookmarkStart w:id="39" w:name="_Toc332373502"/>
      <w:r w:rsidRPr="00CC51EF">
        <w:rPr>
          <w:rFonts w:asciiTheme="minorEastAsia" w:eastAsiaTheme="minorEastAsia" w:hAnsiTheme="minorEastAsia" w:hint="eastAsia"/>
          <w:bCs/>
          <w:color w:val="000000" w:themeColor="text1"/>
          <w:szCs w:val="21"/>
        </w:rPr>
        <w:t>本基金不同类别份额的申购、赎回的销售机构可能不同，具体详见相关公告。</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（三）申购与赎回办理的开放日及时间</w:t>
      </w:r>
      <w:bookmarkEnd w:id="39"/>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1</w:t>
      </w:r>
      <w:r w:rsidRPr="00CC51EF">
        <w:rPr>
          <w:rStyle w:val="da"/>
          <w:rFonts w:asciiTheme="minorEastAsia" w:eastAsiaTheme="minorEastAsia" w:hAnsiTheme="minorEastAsia" w:hint="eastAsia"/>
          <w:color w:val="000000" w:themeColor="text1"/>
          <w:szCs w:val="21"/>
        </w:rPr>
        <w:t>、开放日及开放时间</w:t>
      </w:r>
    </w:p>
    <w:p w:rsidR="001B2ECA" w:rsidRPr="00CC51EF">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hint="eastAsia"/>
          <w:bCs/>
          <w:color w:val="000000" w:themeColor="text1"/>
          <w:szCs w:val="21"/>
        </w:rPr>
        <w:t>投资人在开放日办理基金份额的申购和赎回，本基金的开放日为上海证券交易所、深圳证券交易所的交易日，若该交易日非港股通交易日，则本基金不开放申购和赎回，但基金管理人根据法律法规、中国证监会的要求或基金合同的规定公告暂停申购、赎回时除外。</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基金合同生效后，若出现新的证券</w:t>
      </w:r>
      <w:r w:rsidRPr="00CC51EF">
        <w:rPr>
          <w:rStyle w:val="da"/>
          <w:rFonts w:asciiTheme="minorEastAsia" w:eastAsiaTheme="minorEastAsia" w:hAnsiTheme="minorEastAsia"/>
          <w:color w:val="000000" w:themeColor="text1"/>
          <w:szCs w:val="21"/>
        </w:rPr>
        <w:t>/</w:t>
      </w:r>
      <w:r w:rsidRPr="00CC51EF">
        <w:rPr>
          <w:rStyle w:val="da"/>
          <w:rFonts w:asciiTheme="minorEastAsia" w:eastAsiaTheme="minorEastAsia" w:hAnsiTheme="minorEastAsia" w:hint="eastAsia"/>
          <w:color w:val="000000" w:themeColor="text1"/>
          <w:szCs w:val="21"/>
        </w:rPr>
        <w:t>期货交易市场、证券</w:t>
      </w:r>
      <w:r w:rsidRPr="00CC51EF">
        <w:rPr>
          <w:rStyle w:val="da"/>
          <w:rFonts w:asciiTheme="minorEastAsia" w:eastAsiaTheme="minorEastAsia" w:hAnsiTheme="minorEastAsia"/>
          <w:color w:val="000000" w:themeColor="text1"/>
          <w:szCs w:val="21"/>
        </w:rPr>
        <w:t>/</w:t>
      </w:r>
      <w:r w:rsidRPr="00CC51EF">
        <w:rPr>
          <w:rStyle w:val="da"/>
          <w:rFonts w:asciiTheme="minorEastAsia" w:eastAsiaTheme="minorEastAsia" w:hAnsiTheme="minorEastAsia" w:hint="eastAsia"/>
          <w:color w:val="000000" w:themeColor="text1"/>
          <w:szCs w:val="21"/>
        </w:rPr>
        <w:t>期货交易所交易时间变更、其他特殊情况或根据业务需要，基金管理人将视情况对前述开放日及开放时间进行相应的调整，但应在实施前依照《信息披露办法》的有关规定在规定媒介上公告。</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2</w:t>
      </w:r>
      <w:r w:rsidRPr="00CC51EF">
        <w:rPr>
          <w:rStyle w:val="da"/>
          <w:rFonts w:asciiTheme="minorEastAsia" w:eastAsiaTheme="minorEastAsia" w:hAnsiTheme="minorEastAsia" w:hint="eastAsia"/>
          <w:color w:val="000000" w:themeColor="text1"/>
          <w:szCs w:val="21"/>
        </w:rPr>
        <w:t>、申购、赎回开始日及业务办理时间</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本基金已于20</w:t>
      </w:r>
      <w:r w:rsidRPr="00CC51EF">
        <w:rPr>
          <w:rFonts w:asciiTheme="minorEastAsia" w:eastAsiaTheme="minorEastAsia" w:hAnsiTheme="minorEastAsia"/>
          <w:color w:val="000000" w:themeColor="text1"/>
          <w:szCs w:val="21"/>
        </w:rPr>
        <w:t>21</w:t>
      </w:r>
      <w:r w:rsidRPr="00CC51EF">
        <w:rPr>
          <w:rFonts w:asciiTheme="minorEastAsia" w:eastAsiaTheme="minorEastAsia" w:hAnsiTheme="minorEastAsia" w:hint="eastAsia"/>
          <w:color w:val="000000" w:themeColor="text1"/>
          <w:szCs w:val="21"/>
        </w:rPr>
        <w:t>年</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月24日开放办理日常申购、赎回业务。</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1B2ECA" w:rsidRPr="00CC51EF">
      <w:pPr>
        <w:spacing w:line="360" w:lineRule="auto"/>
        <w:ind w:firstLine="420"/>
        <w:rPr>
          <w:rFonts w:asciiTheme="minorEastAsia" w:eastAsiaTheme="minorEastAsia" w:hAnsiTheme="minorEastAsia"/>
          <w:bCs/>
          <w:color w:val="000000" w:themeColor="text1"/>
          <w:sz w:val="24"/>
        </w:rPr>
      </w:pPr>
      <w:bookmarkStart w:id="40" w:name="_Toc332373503"/>
      <w:r w:rsidRPr="00CC51EF">
        <w:rPr>
          <w:rStyle w:val="da"/>
          <w:rFonts w:asciiTheme="minorEastAsia" w:eastAsiaTheme="minorEastAsia" w:hAnsiTheme="minorEastAsia" w:hint="eastAsia"/>
          <w:color w:val="000000" w:themeColor="text1"/>
          <w:szCs w:val="21"/>
        </w:rPr>
        <w:t>（四）</w:t>
      </w:r>
      <w:r w:rsidRPr="00CC51EF">
        <w:rPr>
          <w:rStyle w:val="da"/>
          <w:rFonts w:asciiTheme="minorEastAsia" w:eastAsiaTheme="minorEastAsia" w:hAnsiTheme="minorEastAsia"/>
          <w:color w:val="000000" w:themeColor="text1"/>
          <w:szCs w:val="21"/>
        </w:rPr>
        <w:t>申购与赎回的原则</w:t>
      </w:r>
    </w:p>
    <w:p w:rsidR="001B2ECA" w:rsidRPr="00CC51EF">
      <w:pPr>
        <w:spacing w:line="360" w:lineRule="auto"/>
        <w:ind w:firstLine="420"/>
        <w:rPr>
          <w:rStyle w:val="da"/>
          <w:rFonts w:asciiTheme="minorEastAsia" w:eastAsiaTheme="minorEastAsia" w:hAnsiTheme="minorEastAsia"/>
          <w:color w:val="000000" w:themeColor="text1"/>
          <w:szCs w:val="21"/>
        </w:rPr>
      </w:pPr>
      <w:bookmarkStart w:id="41" w:name="_Toc332373504"/>
      <w:bookmarkEnd w:id="40"/>
      <w:r w:rsidRPr="00CC51EF">
        <w:rPr>
          <w:rStyle w:val="da"/>
          <w:rFonts w:asciiTheme="minorEastAsia" w:eastAsiaTheme="minorEastAsia" w:hAnsiTheme="minorEastAsia"/>
          <w:color w:val="000000" w:themeColor="text1"/>
          <w:szCs w:val="21"/>
        </w:rPr>
        <w:t>1</w:t>
      </w:r>
      <w:r w:rsidRPr="00CC51EF">
        <w:rPr>
          <w:rStyle w:val="da"/>
          <w:rFonts w:asciiTheme="minorEastAsia" w:eastAsiaTheme="minorEastAsia" w:hAnsiTheme="minorEastAsia" w:hint="eastAsia"/>
          <w:color w:val="000000" w:themeColor="text1"/>
          <w:szCs w:val="21"/>
        </w:rPr>
        <w:t>、“未知价”原则，即申购、赎回价格以申请当日收市后计算的对应份额类别的基金份额净值为基准进行计算；</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2</w:t>
      </w:r>
      <w:r w:rsidRPr="00CC51EF">
        <w:rPr>
          <w:rStyle w:val="da"/>
          <w:rFonts w:asciiTheme="minorEastAsia" w:eastAsiaTheme="minorEastAsia" w:hAnsiTheme="minorEastAsia" w:hint="eastAsia"/>
          <w:color w:val="000000" w:themeColor="text1"/>
          <w:szCs w:val="21"/>
        </w:rPr>
        <w:t>、“金额申购、份额赎回”原则，即申购以金额申请，赎回以份额申请；</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3</w:t>
      </w:r>
      <w:r w:rsidRPr="00CC51EF">
        <w:rPr>
          <w:rStyle w:val="da"/>
          <w:rFonts w:asciiTheme="minorEastAsia" w:eastAsiaTheme="minorEastAsia" w:hAnsiTheme="minorEastAsia" w:hint="eastAsia"/>
          <w:color w:val="000000" w:themeColor="text1"/>
          <w:szCs w:val="21"/>
        </w:rPr>
        <w:t>、当日的申购与赎回申请可以在基金管理人规定的时间以内撤销；</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4</w:t>
      </w:r>
      <w:r w:rsidRPr="00CC51EF">
        <w:rPr>
          <w:rStyle w:val="da"/>
          <w:rFonts w:asciiTheme="minorEastAsia" w:eastAsiaTheme="minorEastAsia" w:hAnsiTheme="minorEastAsia" w:hint="eastAsia"/>
          <w:color w:val="000000" w:themeColor="text1"/>
          <w:szCs w:val="21"/>
        </w:rPr>
        <w:t>、基金份额持有人赎回时，除指定赎回外，基金管理人按先进先出的原则，对该持有人账户在该销售机构托管的基金份额进行处理，即先确认的份额先赎回，后确认的份额后赎回，以确定所适用的赎回费率；</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color w:val="000000" w:themeColor="text1"/>
          <w:szCs w:val="21"/>
        </w:rPr>
        <w:t>5</w:t>
      </w:r>
      <w:r w:rsidRPr="00CC51EF">
        <w:rPr>
          <w:rStyle w:val="da"/>
          <w:rFonts w:asciiTheme="minorEastAsia" w:eastAsiaTheme="minorEastAsia" w:hAnsiTheme="minorEastAsia" w:hint="eastAsia"/>
          <w:color w:val="000000" w:themeColor="text1"/>
          <w:szCs w:val="21"/>
        </w:rPr>
        <w:t>、办理申购、赎回业务时，应当遵循基金份额持有人利益优先原则，确保投资者的合法权益不受损害并得到公平对待。</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基金管理人可在不违反法律法规的情况下，对上述原则进行调整。基金管理人必须在新规则开始实施前依照《信息披露办法》的有关规定在规定媒介上公告。</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（五）申购与赎回的程序</w:t>
      </w:r>
      <w:bookmarkEnd w:id="41"/>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1、申购和赎回的申请方式</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投资人在提交申购申请时须按销售机构规定的方式备足申购资金，投资人在提交赎回申请时须持有足够的基金份额余额，否则所提交的申购、赎回申请不成立。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投资人办理申购、赎回等业务时应提交的文件和办理手续、办理时间、处理规则等在遵守基金合同和本招募说明书规定的前提下，以各销售机构的具体规定为准。</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2、申购和赎回申请的确认</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请的确认情况，投资人应及时查询并妥善行使合法权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在不违反法律法规的前提下，登记机构可根据《业务规则》，对上述业务办理时间进行调整，本基金管理人将于开始实施前按照有关规定予以公告。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3、申购和赎回的款项支付</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申购采用全额缴款方式，若申购资金在规定时间内未全额到账则申购不成功。若申购</w:t>
      </w:r>
      <w:r w:rsidRPr="00CC51EF">
        <w:rPr>
          <w:rFonts w:asciiTheme="minorEastAsia" w:eastAsiaTheme="minorEastAsia" w:hAnsiTheme="minorEastAsia" w:hint="eastAsia"/>
          <w:color w:val="000000" w:themeColor="text1"/>
          <w:szCs w:val="21"/>
        </w:rPr>
        <w:t>不成功或无效，基金管理人或基金管理人指定的非直销销售机构将投资人已缴付的申购款项本金退还给投资人。</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基金份额持有人递交赎回申请，赎回成立；登记机构确认赎回时，赎回生效。</w:t>
      </w:r>
      <w:r w:rsidRPr="00CC51EF">
        <w:rPr>
          <w:rFonts w:asciiTheme="minorEastAsia" w:eastAsiaTheme="minorEastAsia" w:hAnsiTheme="minorEastAsia" w:cs="Calibri" w:hint="eastAsia"/>
          <w:bCs/>
          <w:color w:val="000000" w:themeColor="text1"/>
          <w:szCs w:val="21"/>
        </w:rPr>
        <w:t>投资者赎回申请生效后，</w:t>
      </w:r>
      <w:r w:rsidRPr="00CC51EF">
        <w:rPr>
          <w:rFonts w:asciiTheme="minorEastAsia" w:eastAsiaTheme="minorEastAsia" w:hAnsiTheme="minorEastAsia" w:cs="Calibri" w:hint="eastAsia"/>
          <w:color w:val="000000" w:themeColor="text1"/>
          <w:szCs w:val="21"/>
        </w:rPr>
        <w:t>基金管理人将在</w:t>
      </w:r>
      <w:r w:rsidRPr="00CC51EF">
        <w:rPr>
          <w:rFonts w:asciiTheme="minorEastAsia" w:eastAsiaTheme="minorEastAsia" w:hAnsiTheme="minorEastAsia" w:cs="Calibri"/>
          <w:color w:val="000000" w:themeColor="text1"/>
          <w:szCs w:val="21"/>
        </w:rPr>
        <w:t>T＋</w:t>
      </w:r>
      <w:r w:rsidRPr="00CC51EF">
        <w:rPr>
          <w:rFonts w:asciiTheme="minorEastAsia" w:eastAsiaTheme="minorEastAsia" w:hAnsiTheme="minorEastAsia" w:cs="Calibri" w:hint="eastAsia"/>
          <w:color w:val="000000" w:themeColor="text1"/>
          <w:szCs w:val="21"/>
        </w:rPr>
        <w:t>7日（包括该日）内支付赎回款项。</w:t>
      </w:r>
      <w:r w:rsidRPr="00CC51EF">
        <w:rPr>
          <w:rFonts w:asciiTheme="minorEastAsia" w:eastAsiaTheme="minorEastAsia" w:hAnsiTheme="minorEastAsia" w:hint="eastAsia"/>
          <w:color w:val="000000" w:themeColor="text1"/>
          <w:szCs w:val="21"/>
        </w:rPr>
        <w:t>如遇国家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参照基金合同有关条款处理。</w:t>
      </w:r>
    </w:p>
    <w:p w:rsidR="001B2ECA" w:rsidRPr="00CC51EF">
      <w:pPr>
        <w:spacing w:line="360" w:lineRule="auto"/>
        <w:ind w:firstLine="420"/>
        <w:rPr>
          <w:rStyle w:val="da"/>
          <w:rFonts w:asciiTheme="minorEastAsia" w:eastAsiaTheme="minorEastAsia" w:hAnsiTheme="minorEastAsia"/>
          <w:color w:val="000000" w:themeColor="text1"/>
          <w:szCs w:val="21"/>
        </w:rPr>
      </w:pPr>
      <w:bookmarkStart w:id="42" w:name="_Toc332373505"/>
      <w:r w:rsidRPr="00CC51EF">
        <w:rPr>
          <w:rStyle w:val="da"/>
          <w:rFonts w:asciiTheme="minorEastAsia" w:eastAsiaTheme="minorEastAsia" w:hAnsiTheme="minorEastAsia" w:hint="eastAsia"/>
          <w:color w:val="000000" w:themeColor="text1"/>
          <w:szCs w:val="21"/>
        </w:rPr>
        <w:t>（六）申购与赎回的数额限制</w:t>
      </w:r>
      <w:bookmarkEnd w:id="42"/>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 xml:space="preserve">1、申购金额的限制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投资人通过非直销销售机构或本公司网上直销系统首次申购的单笔最低</w:t>
      </w:r>
      <w:r w:rsidRPr="00CC51EF">
        <w:rPr>
          <w:rFonts w:asciiTheme="minorEastAsia" w:eastAsiaTheme="minorEastAsia" w:hAnsiTheme="minorEastAsia"/>
          <w:color w:val="000000" w:themeColor="text1"/>
          <w:szCs w:val="21"/>
        </w:rPr>
        <w:t>限额</w:t>
      </w:r>
      <w:r w:rsidRPr="00CC51EF">
        <w:rPr>
          <w:rFonts w:asciiTheme="minorEastAsia" w:eastAsiaTheme="minorEastAsia" w:hAnsiTheme="minorEastAsia" w:hint="eastAsia"/>
          <w:color w:val="000000" w:themeColor="text1"/>
          <w:szCs w:val="21"/>
        </w:rPr>
        <w:t>为人民币1元，追加申购单笔最低</w:t>
      </w:r>
      <w:r w:rsidRPr="00CC51EF">
        <w:rPr>
          <w:rFonts w:asciiTheme="minorEastAsia" w:eastAsiaTheme="minorEastAsia" w:hAnsiTheme="minorEastAsia"/>
          <w:color w:val="000000" w:themeColor="text1"/>
          <w:szCs w:val="21"/>
        </w:rPr>
        <w:t>限额</w:t>
      </w:r>
      <w:r w:rsidRPr="00CC51EF">
        <w:rPr>
          <w:rFonts w:asciiTheme="minorEastAsia" w:eastAsiaTheme="minorEastAsia" w:hAnsiTheme="minorEastAsia" w:hint="eastAsia"/>
          <w:color w:val="000000" w:themeColor="text1"/>
          <w:szCs w:val="21"/>
        </w:rPr>
        <w:t>为人民币1元；投资人通过本公司直销中心首次申购的单笔最低</w:t>
      </w:r>
      <w:r w:rsidRPr="00CC51EF">
        <w:rPr>
          <w:rFonts w:asciiTheme="minorEastAsia" w:eastAsiaTheme="minorEastAsia" w:hAnsiTheme="minorEastAsia"/>
          <w:color w:val="000000" w:themeColor="text1"/>
          <w:szCs w:val="21"/>
        </w:rPr>
        <w:t>限额</w:t>
      </w:r>
      <w:r w:rsidRPr="00CC51EF">
        <w:rPr>
          <w:rFonts w:asciiTheme="minorEastAsia" w:eastAsiaTheme="minorEastAsia" w:hAnsiTheme="minorEastAsia" w:hint="eastAsia"/>
          <w:color w:val="000000" w:themeColor="text1"/>
          <w:szCs w:val="21"/>
        </w:rPr>
        <w:t>为人民币50,000元，追加申购单笔最低</w:t>
      </w:r>
      <w:r w:rsidRPr="00CC51EF">
        <w:rPr>
          <w:rFonts w:asciiTheme="minorEastAsia" w:eastAsiaTheme="minorEastAsia" w:hAnsiTheme="minorEastAsia"/>
          <w:color w:val="000000" w:themeColor="text1"/>
          <w:szCs w:val="21"/>
        </w:rPr>
        <w:t>限额</w:t>
      </w:r>
      <w:r w:rsidRPr="00CC51EF">
        <w:rPr>
          <w:rFonts w:asciiTheme="minorEastAsia" w:eastAsiaTheme="minorEastAsia" w:hAnsiTheme="minorEastAsia" w:hint="eastAsia"/>
          <w:color w:val="000000" w:themeColor="text1"/>
          <w:szCs w:val="21"/>
        </w:rPr>
        <w:t>是人民币1,000元。</w:t>
      </w:r>
      <w:r w:rsidRPr="00CC51EF">
        <w:rPr>
          <w:rStyle w:val="da"/>
          <w:rFonts w:asciiTheme="minorEastAsia" w:eastAsiaTheme="minorEastAsia" w:hAnsiTheme="minorEastAsia" w:hint="eastAsia"/>
          <w:color w:val="000000" w:themeColor="text1"/>
        </w:rPr>
        <w:t>在符合法律法规规定的前提下，</w:t>
      </w:r>
      <w:r w:rsidRPr="00CC51EF">
        <w:rPr>
          <w:rFonts w:asciiTheme="minorEastAsia" w:eastAsiaTheme="minorEastAsia" w:hAnsiTheme="minorEastAsia" w:hint="eastAsia"/>
          <w:color w:val="000000" w:themeColor="text1"/>
          <w:szCs w:val="21"/>
        </w:rPr>
        <w:t>各销售机构对申购</w:t>
      </w:r>
      <w:r w:rsidRPr="00CC51EF">
        <w:rPr>
          <w:rFonts w:asciiTheme="minorEastAsia" w:eastAsiaTheme="minorEastAsia" w:hAnsiTheme="minorEastAsia"/>
          <w:color w:val="000000" w:themeColor="text1"/>
          <w:szCs w:val="21"/>
        </w:rPr>
        <w:t>限额</w:t>
      </w:r>
      <w:r w:rsidRPr="00CC51EF">
        <w:rPr>
          <w:rFonts w:asciiTheme="minorEastAsia" w:eastAsiaTheme="minorEastAsia" w:hAnsiTheme="minorEastAsia" w:hint="eastAsia"/>
          <w:color w:val="000000" w:themeColor="text1"/>
          <w:szCs w:val="21"/>
        </w:rPr>
        <w:t>及交易级差有其他规定的，需同时遵循该销售机构的相关规定。</w:t>
      </w:r>
      <w:r w:rsidRPr="00CC51EF">
        <w:rPr>
          <w:rFonts w:asciiTheme="minorEastAsia" w:eastAsiaTheme="minorEastAsia" w:hAnsiTheme="minorEastAsia"/>
          <w:color w:val="000000" w:themeColor="text1"/>
          <w:szCs w:val="21"/>
        </w:rPr>
        <w:t>（以上金额</w:t>
      </w:r>
      <w:r w:rsidRPr="00CC51EF">
        <w:rPr>
          <w:rFonts w:asciiTheme="minorEastAsia" w:eastAsiaTheme="minorEastAsia" w:hAnsiTheme="minorEastAsia" w:hint="eastAsia"/>
          <w:color w:val="000000" w:themeColor="text1"/>
          <w:szCs w:val="21"/>
        </w:rPr>
        <w:t>均</w:t>
      </w:r>
      <w:r w:rsidRPr="00CC51EF">
        <w:rPr>
          <w:rFonts w:asciiTheme="minorEastAsia" w:eastAsiaTheme="minorEastAsia" w:hAnsiTheme="minorEastAsia"/>
          <w:color w:val="000000" w:themeColor="text1"/>
          <w:szCs w:val="21"/>
        </w:rPr>
        <w:t>含</w:t>
      </w:r>
      <w:r w:rsidRPr="00CC51EF">
        <w:rPr>
          <w:rFonts w:asciiTheme="minorEastAsia" w:eastAsiaTheme="minorEastAsia" w:hAnsiTheme="minorEastAsia" w:hint="eastAsia"/>
          <w:color w:val="000000" w:themeColor="text1"/>
          <w:szCs w:val="21"/>
        </w:rPr>
        <w:t>申</w:t>
      </w:r>
      <w:r w:rsidRPr="00CC51EF">
        <w:rPr>
          <w:rFonts w:asciiTheme="minorEastAsia" w:eastAsiaTheme="minorEastAsia" w:hAnsiTheme="minorEastAsia"/>
          <w:color w:val="000000" w:themeColor="text1"/>
          <w:szCs w:val="21"/>
        </w:rPr>
        <w:t>购费）</w:t>
      </w:r>
      <w:r w:rsidRPr="00CC51EF">
        <w:rPr>
          <w:rFonts w:asciiTheme="minorEastAsia" w:eastAsiaTheme="minorEastAsia" w:hAnsiTheme="minorEastAsia" w:hint="eastAsia"/>
          <w:color w:val="000000" w:themeColor="text1"/>
          <w:szCs w:val="2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投资人可多次申购，一般情况下本基金对单个投资人累计持有份额不设上限限制。但对于可能导致单一投资者持有基金份额的比例达到或者超过</w:t>
      </w:r>
      <w:r w:rsidRPr="00CC51EF">
        <w:rPr>
          <w:rFonts w:asciiTheme="minorEastAsia" w:eastAsiaTheme="minorEastAsia" w:hAnsiTheme="minorEastAsia"/>
          <w:color w:val="000000" w:themeColor="text1"/>
          <w:szCs w:val="21"/>
        </w:rPr>
        <w:t>50%，或者变相规避50%集中度的情形，基金管理人有权采取控制措施。</w:t>
      </w:r>
      <w:r w:rsidRPr="00CC51EF">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CC51EF">
        <w:rPr>
          <w:rFonts w:asciiTheme="minorEastAsia" w:eastAsiaTheme="minorEastAsia" w:hAnsiTheme="minorEastAsia"/>
          <w:color w:val="000000" w:themeColor="text1"/>
          <w:szCs w:val="21"/>
        </w:rPr>
        <w:t>,具体请参见相关公告</w:t>
      </w:r>
      <w:r w:rsidRPr="00CC51EF">
        <w:rPr>
          <w:rFonts w:asciiTheme="minorEastAsia" w:eastAsiaTheme="minorEastAsia" w:hAnsiTheme="minorEastAsia" w:hint="eastAsia"/>
          <w:color w:val="000000" w:themeColor="text1"/>
          <w:szCs w:val="21"/>
        </w:rPr>
        <w:t>。法律法规、中国证监会另有规定的除外。</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2、赎回份额的限制</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投资人可将其全部或部分基金份额赎回。</w:t>
      </w:r>
      <w:r w:rsidRPr="00CC51EF">
        <w:rPr>
          <w:rFonts w:asciiTheme="minorEastAsia" w:eastAsiaTheme="minorEastAsia" w:hAnsiTheme="minorEastAsia"/>
          <w:color w:val="000000" w:themeColor="text1"/>
          <w:szCs w:val="21"/>
        </w:rPr>
        <w:t>每类</w:t>
      </w:r>
      <w:r w:rsidRPr="00CC51EF">
        <w:rPr>
          <w:rFonts w:asciiTheme="minorEastAsia" w:eastAsiaTheme="minorEastAsia" w:hAnsiTheme="minorEastAsia" w:cs="TT64E9BFA0tCID-WinCharSetFFFF-H" w:hint="eastAsia"/>
          <w:color w:val="000000" w:themeColor="text1"/>
          <w:szCs w:val="21"/>
        </w:rPr>
        <w:t>基金份额</w:t>
      </w:r>
      <w:r w:rsidRPr="00CC51EF">
        <w:rPr>
          <w:rFonts w:asciiTheme="minorEastAsia" w:eastAsiaTheme="minorEastAsia" w:hAnsiTheme="minorEastAsia" w:hint="eastAsia"/>
          <w:color w:val="000000" w:themeColor="text1"/>
          <w:szCs w:val="21"/>
        </w:rPr>
        <w:t>单笔赎回或转换不得少于1份（如该账户在该销售机构托管的该</w:t>
      </w:r>
      <w:r w:rsidRPr="00CC51EF">
        <w:rPr>
          <w:rFonts w:asciiTheme="minorEastAsia" w:eastAsiaTheme="minorEastAsia" w:hAnsiTheme="minorEastAsia"/>
          <w:color w:val="000000" w:themeColor="text1"/>
          <w:szCs w:val="21"/>
        </w:rPr>
        <w:t>类</w:t>
      </w:r>
      <w:r w:rsidRPr="00CC51EF">
        <w:rPr>
          <w:rFonts w:asciiTheme="minorEastAsia" w:eastAsiaTheme="minorEastAsia" w:hAnsiTheme="minorEastAsia" w:hint="eastAsia"/>
          <w:color w:val="000000" w:themeColor="text1"/>
          <w:szCs w:val="21"/>
        </w:rPr>
        <w:t>基金份额余额不足1份，则必须一次性赎回或转出该类基金份额全部份额）；若某笔赎回将导致投资人在该销售机构托管的该类基金份额余额</w:t>
      </w:r>
      <w:r w:rsidRPr="00CC51EF">
        <w:rPr>
          <w:rFonts w:asciiTheme="minorEastAsia" w:eastAsiaTheme="minorEastAsia" w:hAnsiTheme="minorEastAsia" w:hint="eastAsia"/>
          <w:color w:val="000000" w:themeColor="text1"/>
          <w:szCs w:val="21"/>
        </w:rPr>
        <w:t>不足1份时，基金管理人有权将投资人在该销售机构托管的该类基金份额剩余份额一次性全部赎回。</w:t>
      </w:r>
      <w:r w:rsidRPr="00CC51EF">
        <w:rPr>
          <w:rStyle w:val="da"/>
          <w:rFonts w:asciiTheme="minorEastAsia" w:eastAsiaTheme="minorEastAsia" w:hAnsiTheme="minorEastAsia" w:hint="eastAsia"/>
          <w:color w:val="000000" w:themeColor="text1"/>
        </w:rPr>
        <w:t>在符合法律法规规定的前提下，</w:t>
      </w:r>
      <w:r w:rsidRPr="00CC51EF">
        <w:rPr>
          <w:rFonts w:asciiTheme="minorEastAsia" w:eastAsiaTheme="minorEastAsia" w:hAnsiTheme="minorEastAsia" w:hint="eastAsia"/>
          <w:color w:val="000000" w:themeColor="text1"/>
          <w:szCs w:val="21"/>
        </w:rPr>
        <w:t>各销售机构对赎回份额限制有其他规定的，需同时遵循该销售机构的相关规定。</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3、基金管理人可以根据市场情况，在不违反法律法规的情况下，调整上述规定申购金额和赎回份额的数量限制，</w:t>
      </w:r>
      <w:r w:rsidRPr="00CC51EF">
        <w:rPr>
          <w:rFonts w:asciiTheme="minorEastAsia" w:eastAsiaTheme="minorEastAsia" w:hAnsiTheme="minorEastAsia" w:hint="eastAsia"/>
          <w:bCs/>
          <w:color w:val="000000" w:themeColor="text1"/>
          <w:szCs w:val="21"/>
        </w:rPr>
        <w:t>或者新增基金规模控制措施</w:t>
      </w:r>
      <w:r w:rsidRPr="00CC51EF">
        <w:rPr>
          <w:rFonts w:asciiTheme="minorEastAsia" w:eastAsiaTheme="minorEastAsia" w:hAnsiTheme="minorEastAsia" w:hint="eastAsia"/>
          <w:color w:val="000000" w:themeColor="text1"/>
          <w:szCs w:val="21"/>
        </w:rPr>
        <w:t>。基金管理人必须在调整前依照《信息披露办法》的有关规定在</w:t>
      </w:r>
      <w:r w:rsidRPr="00CC51EF">
        <w:rPr>
          <w:rFonts w:asciiTheme="minorEastAsia" w:eastAsiaTheme="minorEastAsia" w:hAnsiTheme="minorEastAsia"/>
          <w:color w:val="000000" w:themeColor="text1"/>
          <w:szCs w:val="21"/>
        </w:rPr>
        <w:t>规</w:t>
      </w:r>
      <w:r w:rsidRPr="00CC51EF">
        <w:rPr>
          <w:rFonts w:asciiTheme="minorEastAsia" w:eastAsiaTheme="minorEastAsia" w:hAnsiTheme="minorEastAsia" w:hint="eastAsia"/>
          <w:color w:val="000000" w:themeColor="text1"/>
          <w:szCs w:val="21"/>
        </w:rPr>
        <w:t>定媒介上公告。</w:t>
      </w:r>
    </w:p>
    <w:p w:rsidR="001B2ECA" w:rsidRPr="00CC51EF">
      <w:pPr>
        <w:spacing w:line="360" w:lineRule="auto"/>
        <w:ind w:firstLine="420"/>
        <w:rPr>
          <w:rStyle w:val="da"/>
          <w:rFonts w:asciiTheme="minorEastAsia" w:eastAsiaTheme="minorEastAsia" w:hAnsiTheme="minorEastAsia"/>
          <w:color w:val="000000" w:themeColor="text1"/>
          <w:szCs w:val="21"/>
        </w:rPr>
      </w:pPr>
      <w:bookmarkStart w:id="43" w:name="_Toc332373506"/>
      <w:r w:rsidRPr="00CC51EF">
        <w:rPr>
          <w:rStyle w:val="da"/>
          <w:rFonts w:asciiTheme="minorEastAsia" w:eastAsiaTheme="minorEastAsia" w:hAnsiTheme="minorEastAsia" w:hint="eastAsia"/>
          <w:color w:val="000000" w:themeColor="text1"/>
          <w:szCs w:val="21"/>
        </w:rPr>
        <w:t>（七）基金的申购费和赎回费</w:t>
      </w:r>
      <w:bookmarkEnd w:id="43"/>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w:t>
      </w:r>
      <w:r w:rsidRPr="00CC51EF">
        <w:rPr>
          <w:rFonts w:asciiTheme="minorEastAsia" w:eastAsiaTheme="minorEastAsia" w:hAnsiTheme="minorEastAsia" w:hint="eastAsia"/>
          <w:bCs/>
          <w:color w:val="000000" w:themeColor="text1"/>
          <w:szCs w:val="21"/>
        </w:rPr>
        <w:t>本基金</w:t>
      </w:r>
      <w:r w:rsidRPr="00CC51EF">
        <w:rPr>
          <w:rFonts w:asciiTheme="minorEastAsia" w:eastAsiaTheme="minorEastAsia" w:hAnsiTheme="minorEastAsia"/>
          <w:bCs/>
          <w:color w:val="000000" w:themeColor="text1"/>
          <w:szCs w:val="21"/>
        </w:rPr>
        <w:t>A类基金份额</w:t>
      </w:r>
      <w:r w:rsidRPr="00CC51EF">
        <w:rPr>
          <w:rFonts w:asciiTheme="minorEastAsia" w:eastAsiaTheme="minorEastAsia" w:hAnsiTheme="minorEastAsia" w:hint="eastAsia"/>
          <w:bCs/>
          <w:color w:val="000000" w:themeColor="text1"/>
          <w:szCs w:val="21"/>
        </w:rPr>
        <w:t>的</w:t>
      </w:r>
      <w:r w:rsidRPr="00CC51EF">
        <w:rPr>
          <w:rFonts w:asciiTheme="minorEastAsia" w:eastAsiaTheme="minorEastAsia" w:hAnsiTheme="minorEastAsia"/>
          <w:bCs/>
          <w:color w:val="000000" w:themeColor="text1"/>
          <w:szCs w:val="21"/>
        </w:rPr>
        <w:t>申购费用由</w:t>
      </w:r>
      <w:r w:rsidRPr="00CC51EF">
        <w:rPr>
          <w:rFonts w:asciiTheme="minorEastAsia" w:eastAsiaTheme="minorEastAsia" w:hAnsiTheme="minorEastAsia" w:hint="eastAsia"/>
          <w:bCs/>
          <w:color w:val="000000" w:themeColor="text1"/>
          <w:szCs w:val="21"/>
        </w:rPr>
        <w:t>申购</w:t>
      </w:r>
      <w:r w:rsidRPr="00CC51EF">
        <w:rPr>
          <w:rFonts w:asciiTheme="minorEastAsia" w:eastAsiaTheme="minorEastAsia" w:hAnsiTheme="minorEastAsia" w:hint="eastAsia"/>
          <w:color w:val="000000" w:themeColor="text1"/>
        </w:rPr>
        <w:t>该类</w:t>
      </w:r>
      <w:r w:rsidRPr="00CC51EF">
        <w:rPr>
          <w:rFonts w:asciiTheme="minorEastAsia" w:eastAsiaTheme="minorEastAsia" w:hAnsiTheme="minorEastAsia" w:hint="eastAsia"/>
          <w:bCs/>
          <w:color w:val="000000" w:themeColor="text1"/>
          <w:szCs w:val="21"/>
        </w:rPr>
        <w:t>基金份额的</w:t>
      </w:r>
      <w:r w:rsidRPr="00CC51EF">
        <w:rPr>
          <w:rFonts w:asciiTheme="minorEastAsia" w:eastAsiaTheme="minorEastAsia" w:hAnsiTheme="minorEastAsia"/>
          <w:bCs/>
          <w:color w:val="000000" w:themeColor="text1"/>
          <w:szCs w:val="21"/>
        </w:rPr>
        <w:t>投资人承担</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不列入基金财产，主要用于本基金的市场推广、销售、注册登记等各项费用。C类基金份额不收取申购费。</w:t>
      </w:r>
      <w:r w:rsidRPr="00CC51EF">
        <w:rPr>
          <w:rFonts w:asciiTheme="minorEastAsia" w:eastAsiaTheme="minorEastAsia" w:hAnsiTheme="minorEastAsia" w:hint="eastAsia"/>
          <w:color w:val="000000" w:themeColor="text1"/>
          <w:szCs w:val="21"/>
        </w:rPr>
        <w:t>赎回费用由基金赎回人承担。</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2、申购费率</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本基金对通过本</w:t>
      </w:r>
      <w:r w:rsidRPr="00CC51EF">
        <w:rPr>
          <w:rFonts w:asciiTheme="minorEastAsia" w:eastAsiaTheme="minorEastAsia" w:hAnsiTheme="minorEastAsia"/>
          <w:color w:val="000000" w:themeColor="text1"/>
          <w:szCs w:val="21"/>
        </w:rPr>
        <w:t>公司</w:t>
      </w:r>
      <w:r w:rsidRPr="00CC51EF">
        <w:rPr>
          <w:rFonts w:asciiTheme="minorEastAsia" w:eastAsiaTheme="minorEastAsia" w:hAnsiTheme="minorEastAsia" w:hint="eastAsia"/>
          <w:color w:val="000000" w:themeColor="text1"/>
          <w:szCs w:val="21"/>
        </w:rPr>
        <w:t>直销中心申购</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szCs w:val="21"/>
        </w:rPr>
        <w:t>的</w:t>
      </w:r>
      <w:r w:rsidRPr="00CC51EF">
        <w:rPr>
          <w:rStyle w:val="da"/>
          <w:rFonts w:asciiTheme="minorEastAsia" w:eastAsiaTheme="minorEastAsia" w:hAnsiTheme="minorEastAsia" w:hint="eastAsia"/>
          <w:color w:val="000000" w:themeColor="text1"/>
        </w:rPr>
        <w:t>特定投资群体</w:t>
      </w:r>
      <w:r w:rsidRPr="00CC51EF">
        <w:rPr>
          <w:rFonts w:asciiTheme="minorEastAsia" w:eastAsiaTheme="minorEastAsia" w:hAnsiTheme="minorEastAsia" w:hint="eastAsia"/>
          <w:color w:val="000000" w:themeColor="text1"/>
          <w:szCs w:val="21"/>
        </w:rPr>
        <w:t>与除此之外的其他投资者实施差别的申购费率。</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特定投资群体可通过本公司直销中心申购本基金</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szCs w:val="21"/>
        </w:rPr>
        <w:t>。基金管理人可根据情况变更</w:t>
      </w:r>
      <w:r w:rsidRPr="00CC51EF">
        <w:rPr>
          <w:rFonts w:asciiTheme="minorEastAsia" w:eastAsiaTheme="minorEastAsia" w:hAnsiTheme="minorEastAsia" w:hint="eastAsia"/>
          <w:bCs/>
          <w:color w:val="000000" w:themeColor="text1"/>
          <w:szCs w:val="21"/>
        </w:rPr>
        <w:t>或增减</w:t>
      </w:r>
      <w:r w:rsidRPr="00CC51EF">
        <w:rPr>
          <w:rFonts w:asciiTheme="minorEastAsia" w:eastAsiaTheme="minorEastAsia" w:hAnsiTheme="minorEastAsia" w:hint="eastAsia"/>
          <w:color w:val="000000" w:themeColor="text1"/>
          <w:szCs w:val="21"/>
        </w:rPr>
        <w:t>特定投资群体申购本基金</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szCs w:val="21"/>
        </w:rPr>
        <w:t>的销售机</w:t>
      </w:r>
      <w:r w:rsidRPr="00CC51EF">
        <w:rPr>
          <w:rFonts w:asciiTheme="minorEastAsia" w:eastAsiaTheme="minorEastAsia" w:hAnsiTheme="minorEastAsia" w:hint="eastAsia"/>
          <w:color w:val="000000" w:themeColor="text1"/>
          <w:sz w:val="24"/>
          <w:szCs w:val="20"/>
        </w:rPr>
        <w:t>构</w:t>
      </w:r>
      <w:r w:rsidRPr="00CC51EF">
        <w:rPr>
          <w:rFonts w:asciiTheme="minorEastAsia" w:eastAsiaTheme="minorEastAsia" w:hAnsiTheme="minorEastAsia" w:hint="eastAsia"/>
          <w:color w:val="000000" w:themeColor="text1"/>
          <w:szCs w:val="21"/>
        </w:rPr>
        <w:t>，并在基金管理人网站公示。</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通过基金管理人的直销中心申购本基金</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rPr>
        <w:t>特定投资群体</w:t>
      </w:r>
      <w:r w:rsidRPr="00CC51EF">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bCs/>
                <w:color w:val="000000" w:themeColor="text1"/>
                <w:szCs w:val="21"/>
              </w:rPr>
            </w:pP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bCs/>
                <w:color w:val="000000" w:themeColor="text1"/>
                <w:szCs w:val="21"/>
              </w:rPr>
              <w:t>申购费率</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M＜100万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0.1</w:t>
            </w:r>
            <w:r w:rsidRPr="00CC51EF">
              <w:rPr>
                <w:rFonts w:asciiTheme="minorEastAsia" w:eastAsiaTheme="minorEastAsia" w:hAnsiTheme="minorEastAsia" w:hint="eastAsia"/>
                <w:color w:val="000000" w:themeColor="text1"/>
                <w:szCs w:val="21"/>
              </w:rPr>
              <w:t>5</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100万≤M＜200万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0.1</w:t>
            </w:r>
            <w:r w:rsidRPr="00CC51EF">
              <w:rPr>
                <w:rFonts w:asciiTheme="minorEastAsia" w:eastAsiaTheme="minorEastAsia" w:hAnsiTheme="minorEastAsia" w:hint="eastAsia"/>
                <w:color w:val="000000" w:themeColor="text1"/>
                <w:szCs w:val="21"/>
              </w:rPr>
              <w:t>2</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200万≤M＜500万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ind w:firstLine="1546"/>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0.0</w:t>
            </w:r>
            <w:r w:rsidRPr="00CC51EF">
              <w:rPr>
                <w:rFonts w:asciiTheme="minorEastAsia" w:eastAsiaTheme="minorEastAsia" w:hAnsiTheme="minorEastAsia" w:hint="eastAsia"/>
                <w:color w:val="000000" w:themeColor="text1"/>
                <w:szCs w:val="21"/>
              </w:rPr>
              <w:t>3</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M≥500万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000元/笔</w:t>
            </w:r>
          </w:p>
        </w:tc>
      </w:tr>
    </w:tbl>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rPr>
        <w:t>其他投资者申购本基金</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bCs/>
                <w:color w:val="000000" w:themeColor="text1"/>
                <w:szCs w:val="21"/>
              </w:rPr>
            </w:pP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bCs/>
                <w:color w:val="000000" w:themeColor="text1"/>
                <w:szCs w:val="21"/>
              </w:rPr>
              <w:t>申购费率</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M＜100万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5</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100万≤M＜200万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2</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200万≤M＜500万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w:t>
            </w:r>
            <w:r w:rsidRPr="00CC51EF">
              <w:rPr>
                <w:rFonts w:asciiTheme="minorEastAsia" w:eastAsiaTheme="minorEastAsia" w:hAnsiTheme="minorEastAsia" w:hint="eastAsia"/>
                <w:color w:val="000000" w:themeColor="text1"/>
                <w:szCs w:val="21"/>
              </w:rPr>
              <w:t>3</w:t>
            </w:r>
            <w:r w:rsidRPr="00CC51EF">
              <w:rPr>
                <w:rFonts w:asciiTheme="minorEastAsia" w:eastAsiaTheme="minorEastAsia" w:hAnsiTheme="minorEastAsia"/>
                <w:color w:val="000000" w:themeColor="text1"/>
                <w:szCs w:val="21"/>
              </w:rPr>
              <w:t>%</w:t>
            </w:r>
          </w:p>
        </w:tc>
      </w:tr>
      <w:tr>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M≥500万</w:t>
            </w:r>
          </w:p>
        </w:tc>
        <w:tc>
          <w:tcPr>
            <w:tcW w:w="3780" w:type="dxa"/>
            <w:tcBorders>
              <w:top w:val="nil"/>
              <w:left w:val="nil"/>
              <w:bottom w:val="single" w:sz="8" w:space="0" w:color="auto"/>
              <w:right w:val="single" w:sz="8" w:space="0" w:color="auto"/>
            </w:tcBorders>
            <w:shd w:val="clear" w:color="auto" w:fill="auto"/>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000元/笔</w:t>
            </w:r>
          </w:p>
        </w:tc>
      </w:tr>
    </w:tbl>
    <w:p w:rsidR="001B2ECA" w:rsidRPr="00CC51EF">
      <w:pPr>
        <w:spacing w:line="312"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在申购费按金额分档的情况下，如果投资者多次申购</w:t>
      </w:r>
      <w:r w:rsidRPr="00CC51EF">
        <w:rPr>
          <w:rStyle w:val="da"/>
          <w:rFonts w:asciiTheme="minorEastAsia" w:eastAsiaTheme="minorEastAsia" w:hAnsiTheme="minorEastAsia"/>
          <w:color w:val="000000" w:themeColor="text1"/>
        </w:rPr>
        <w:t>A类基金份额</w:t>
      </w:r>
      <w:r w:rsidRPr="00CC51EF">
        <w:rPr>
          <w:rFonts w:asciiTheme="minorEastAsia" w:eastAsiaTheme="minorEastAsia" w:hAnsiTheme="minorEastAsia" w:hint="eastAsia"/>
          <w:color w:val="000000" w:themeColor="text1"/>
          <w:szCs w:val="21"/>
        </w:rPr>
        <w:t>，申购费适用单笔申购金额所对应的费率。</w:t>
      </w:r>
    </w:p>
    <w:p w:rsidR="001B2ECA" w:rsidRPr="00CC51EF">
      <w:pPr>
        <w:spacing w:line="312"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本基金C类基金份额不收取申购费用。</w:t>
      </w:r>
    </w:p>
    <w:p w:rsidR="001B2ECA" w:rsidRPr="00CC51EF">
      <w:pPr>
        <w:spacing w:line="312"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3、赎回费率</w:t>
      </w:r>
    </w:p>
    <w:p w:rsidR="001B2ECA" w:rsidRPr="00CC51EF">
      <w:pPr>
        <w:spacing w:line="312"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w:t>
      </w:r>
      <w:r w:rsidRPr="00CC51EF">
        <w:rPr>
          <w:rFonts w:asciiTheme="minorEastAsia" w:eastAsiaTheme="minorEastAsia" w:hAnsiTheme="minorEastAsia"/>
          <w:color w:val="000000" w:themeColor="text1"/>
          <w:szCs w:val="21"/>
        </w:rPr>
        <w:t>A类基金份额</w:t>
      </w:r>
      <w:r w:rsidRPr="00CC51EF">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1B2ECA" w:rsidRPr="00CC51EF">
            <w:pPr>
              <w:widowControl/>
              <w:spacing w:before="100" w:beforeAutospacing="1" w:after="100" w:afterAutospacing="1"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持有时间（天）</w:t>
            </w:r>
            <w:r w:rsidRPr="00CC51EF">
              <w:rPr>
                <w:rFonts w:asciiTheme="minorEastAsia" w:eastAsiaTheme="minorEastAsia" w:hAnsiTheme="minorEastAsia"/>
                <w:color w:val="000000" w:themeColor="text1"/>
                <w:szCs w:val="21"/>
                <w:vertAlign w:val="superscript"/>
              </w:rPr>
              <w:t xml:space="preserve"> </w:t>
            </w:r>
          </w:p>
        </w:tc>
        <w:tc>
          <w:tcPr>
            <w:tcW w:w="3735" w:type="dxa"/>
          </w:tcPr>
          <w:p w:rsidR="001B2ECA" w:rsidRPr="00CC51EF">
            <w:pPr>
              <w:widowControl/>
              <w:spacing w:before="100" w:beforeAutospacing="1" w:after="100" w:afterAutospacing="1"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A类基金份额赎回费率 </w:t>
            </w:r>
          </w:p>
        </w:tc>
      </w:tr>
      <w:tr>
        <w:tblPrEx>
          <w:tblW w:w="0" w:type="auto"/>
          <w:jc w:val="center"/>
          <w:tblLayout w:type="fixed"/>
          <w:tblLook w:val="01E0"/>
        </w:tblPrEx>
        <w:trPr>
          <w:trHeight w:val="462"/>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0-6</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1.5%</w:t>
            </w:r>
          </w:p>
        </w:tc>
      </w:tr>
      <w:tr>
        <w:tblPrEx>
          <w:tblW w:w="0" w:type="auto"/>
          <w:jc w:val="center"/>
          <w:tblLayout w:type="fixed"/>
          <w:tblLook w:val="01E0"/>
        </w:tblPrEx>
        <w:trPr>
          <w:trHeight w:val="474"/>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7-29</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0.75%</w:t>
            </w:r>
          </w:p>
        </w:tc>
      </w:tr>
      <w:tr>
        <w:tblPrEx>
          <w:tblW w:w="0" w:type="auto"/>
          <w:jc w:val="center"/>
          <w:tblLayout w:type="fixed"/>
          <w:tblLook w:val="01E0"/>
        </w:tblPrEx>
        <w:trPr>
          <w:trHeight w:val="462"/>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30-89</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0.5%</w:t>
            </w:r>
          </w:p>
        </w:tc>
      </w:tr>
      <w:tr>
        <w:tblPrEx>
          <w:tblW w:w="0" w:type="auto"/>
          <w:jc w:val="center"/>
          <w:tblLayout w:type="fixed"/>
          <w:tblLook w:val="01E0"/>
        </w:tblPrEx>
        <w:trPr>
          <w:trHeight w:val="462"/>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90-179</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0.5%</w:t>
            </w:r>
          </w:p>
        </w:tc>
      </w:tr>
      <w:tr>
        <w:tblPrEx>
          <w:tblW w:w="0" w:type="auto"/>
          <w:jc w:val="center"/>
          <w:tblLayout w:type="fixed"/>
          <w:tblLook w:val="01E0"/>
        </w:tblPrEx>
        <w:trPr>
          <w:trHeight w:val="462"/>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180-364</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0.5%</w:t>
            </w:r>
          </w:p>
        </w:tc>
      </w:tr>
      <w:tr>
        <w:tblPrEx>
          <w:tblW w:w="0" w:type="auto"/>
          <w:jc w:val="center"/>
          <w:tblLayout w:type="fixed"/>
          <w:tblLook w:val="01E0"/>
        </w:tblPrEx>
        <w:trPr>
          <w:trHeight w:val="474"/>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365-729</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0.25% </w:t>
            </w:r>
          </w:p>
        </w:tc>
      </w:tr>
      <w:tr>
        <w:tblPrEx>
          <w:tblW w:w="0" w:type="auto"/>
          <w:jc w:val="center"/>
          <w:tblLayout w:type="fixed"/>
          <w:tblLook w:val="01E0"/>
        </w:tblPrEx>
        <w:trPr>
          <w:trHeight w:val="474"/>
          <w:jc w:val="center"/>
        </w:trPr>
        <w:tc>
          <w:tcPr>
            <w:tcW w:w="3806"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730及以上</w:t>
            </w:r>
          </w:p>
        </w:tc>
        <w:tc>
          <w:tcPr>
            <w:tcW w:w="3735" w:type="dxa"/>
          </w:tcPr>
          <w:p w:rsidR="001B2ECA" w:rsidRPr="00CC51EF">
            <w:pPr>
              <w:widowControl/>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0% </w:t>
            </w:r>
          </w:p>
        </w:tc>
      </w:tr>
    </w:tbl>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投资者可将其持有的全部或部分</w:t>
      </w:r>
      <w:r w:rsidRPr="00CC51EF">
        <w:rPr>
          <w:rFonts w:asciiTheme="minorEastAsia" w:eastAsiaTheme="minorEastAsia" w:hAnsiTheme="minorEastAsia"/>
          <w:color w:val="000000" w:themeColor="text1"/>
          <w:szCs w:val="21"/>
        </w:rPr>
        <w:t>A类</w:t>
      </w:r>
      <w:r w:rsidRPr="00CC51EF">
        <w:rPr>
          <w:rFonts w:asciiTheme="minorEastAsia" w:eastAsiaTheme="minorEastAsia" w:hAnsiTheme="minorEastAsia" w:hint="eastAsia"/>
          <w:color w:val="000000" w:themeColor="text1"/>
          <w:szCs w:val="21"/>
        </w:rPr>
        <w:t>基金份额赎回。</w:t>
      </w:r>
      <w:r w:rsidRPr="00CC51EF">
        <w:rPr>
          <w:rFonts w:asciiTheme="minorEastAsia" w:eastAsiaTheme="minorEastAsia" w:hAnsiTheme="minorEastAsia"/>
          <w:color w:val="000000" w:themeColor="text1"/>
          <w:szCs w:val="21"/>
        </w:rPr>
        <w:t>赎回费用由赎回基金份额的基金份额持有人承担，</w:t>
      </w:r>
      <w:r w:rsidRPr="00CC51EF">
        <w:rPr>
          <w:rFonts w:asciiTheme="minorEastAsia" w:eastAsiaTheme="minorEastAsia" w:hAnsiTheme="minorEastAsia" w:hint="eastAsia"/>
          <w:color w:val="000000" w:themeColor="text1"/>
          <w:szCs w:val="21"/>
        </w:rPr>
        <w:t>在基金份额持有人赎回基金份额时收取。对持有期少于30天（不含）的</w:t>
      </w:r>
      <w:r w:rsidRPr="00CC51EF">
        <w:rPr>
          <w:rFonts w:asciiTheme="minorEastAsia" w:eastAsiaTheme="minorEastAsia" w:hAnsiTheme="minorEastAsia"/>
          <w:color w:val="000000" w:themeColor="text1"/>
          <w:szCs w:val="21"/>
        </w:rPr>
        <w:t>A类</w:t>
      </w:r>
      <w:r w:rsidRPr="00CC51EF">
        <w:rPr>
          <w:rFonts w:asciiTheme="minorEastAsia" w:eastAsiaTheme="minorEastAsia" w:hAnsiTheme="minorEastAsia" w:hint="eastAsia"/>
          <w:color w:val="000000" w:themeColor="text1"/>
          <w:szCs w:val="21"/>
        </w:rPr>
        <w:t>基金份额持有人所收取赎回费用全额计入基金财产；对持有期在30天以上（含）且少于90天（不含）的</w:t>
      </w:r>
      <w:r w:rsidRPr="00CC51EF">
        <w:rPr>
          <w:rFonts w:asciiTheme="minorEastAsia" w:eastAsiaTheme="minorEastAsia" w:hAnsiTheme="minorEastAsia"/>
          <w:color w:val="000000" w:themeColor="text1"/>
          <w:szCs w:val="21"/>
        </w:rPr>
        <w:t>A类</w:t>
      </w:r>
      <w:r w:rsidRPr="00CC51EF">
        <w:rPr>
          <w:rFonts w:asciiTheme="minorEastAsia" w:eastAsiaTheme="minorEastAsia" w:hAnsiTheme="minorEastAsia" w:hint="eastAsia"/>
          <w:color w:val="000000" w:themeColor="text1"/>
          <w:szCs w:val="21"/>
        </w:rPr>
        <w:t>基金份额持有人所收取赎回费用总额的</w:t>
      </w:r>
      <w:r w:rsidRPr="00CC51EF">
        <w:rPr>
          <w:rFonts w:asciiTheme="minorEastAsia" w:eastAsiaTheme="minorEastAsia" w:hAnsiTheme="minorEastAsia"/>
          <w:color w:val="000000" w:themeColor="text1"/>
          <w:szCs w:val="21"/>
        </w:rPr>
        <w:t>75%计入</w:t>
      </w:r>
      <w:r w:rsidRPr="00CC51EF">
        <w:rPr>
          <w:rFonts w:asciiTheme="minorEastAsia" w:eastAsiaTheme="minorEastAsia" w:hAnsiTheme="minorEastAsia" w:hint="eastAsia"/>
          <w:color w:val="000000" w:themeColor="text1"/>
          <w:szCs w:val="21"/>
        </w:rPr>
        <w:t>基金财产；对持有期在90天以上（含）且少于180天（不含）的</w:t>
      </w:r>
      <w:r w:rsidRPr="00CC51EF">
        <w:rPr>
          <w:rFonts w:asciiTheme="minorEastAsia" w:eastAsiaTheme="minorEastAsia" w:hAnsiTheme="minorEastAsia"/>
          <w:color w:val="000000" w:themeColor="text1"/>
          <w:szCs w:val="21"/>
        </w:rPr>
        <w:t>A类</w:t>
      </w:r>
      <w:r w:rsidRPr="00CC51EF">
        <w:rPr>
          <w:rFonts w:asciiTheme="minorEastAsia" w:eastAsiaTheme="minorEastAsia" w:hAnsiTheme="minorEastAsia" w:hint="eastAsia"/>
          <w:color w:val="000000" w:themeColor="text1"/>
          <w:szCs w:val="21"/>
        </w:rPr>
        <w:t>基金份额持有人所收取赎回费用总额</w:t>
      </w:r>
      <w:r w:rsidRPr="00CC51EF">
        <w:rPr>
          <w:rFonts w:asciiTheme="minorEastAsia" w:eastAsiaTheme="minorEastAsia" w:hAnsiTheme="minorEastAsia"/>
          <w:color w:val="000000" w:themeColor="text1"/>
          <w:szCs w:val="21"/>
        </w:rPr>
        <w:t>的50%计入</w:t>
      </w:r>
      <w:r w:rsidRPr="00CC51EF">
        <w:rPr>
          <w:rFonts w:asciiTheme="minorEastAsia" w:eastAsiaTheme="minorEastAsia" w:hAnsiTheme="minorEastAsia" w:hint="eastAsia"/>
          <w:color w:val="000000" w:themeColor="text1"/>
          <w:szCs w:val="21"/>
        </w:rPr>
        <w:t>基金财产；对持续持有</w:t>
      </w:r>
      <w:r w:rsidRPr="00CC51EF">
        <w:rPr>
          <w:rFonts w:asciiTheme="minorEastAsia" w:eastAsiaTheme="minorEastAsia" w:hAnsiTheme="minorEastAsia"/>
          <w:color w:val="000000" w:themeColor="text1"/>
          <w:szCs w:val="21"/>
        </w:rPr>
        <w:t>期180天以上（含）的A类</w:t>
      </w:r>
      <w:r w:rsidRPr="00CC51EF">
        <w:rPr>
          <w:rFonts w:asciiTheme="minorEastAsia" w:eastAsiaTheme="minorEastAsia" w:hAnsiTheme="minorEastAsia" w:hint="eastAsia"/>
          <w:color w:val="000000" w:themeColor="text1"/>
          <w:szCs w:val="21"/>
        </w:rPr>
        <w:t>基金份额持有人</w:t>
      </w:r>
      <w:r w:rsidRPr="00CC51EF">
        <w:rPr>
          <w:rFonts w:asciiTheme="minorEastAsia" w:eastAsiaTheme="minorEastAsia" w:hAnsiTheme="minorEastAsia"/>
          <w:color w:val="000000" w:themeColor="text1"/>
          <w:szCs w:val="21"/>
        </w:rPr>
        <w:t>所收取赎回费用总额</w:t>
      </w:r>
      <w:r w:rsidRPr="00CC51EF">
        <w:rPr>
          <w:rFonts w:asciiTheme="minorEastAsia" w:eastAsiaTheme="minorEastAsia" w:hAnsiTheme="minorEastAsia" w:hint="eastAsia"/>
          <w:color w:val="000000" w:themeColor="text1"/>
          <w:szCs w:val="21"/>
        </w:rPr>
        <w:t>的25%计入基金财产；其余用于支付市场推广、注册登记费和其他手续费。</w:t>
      </w:r>
    </w:p>
    <w:p w:rsidR="001B2ECA" w:rsidRPr="00CC51EF">
      <w:pPr>
        <w:spacing w:line="312"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持有时间（天）</w:t>
            </w:r>
          </w:p>
        </w:tc>
        <w:tc>
          <w:tcPr>
            <w:tcW w:w="3798" w:type="dxa"/>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hint="eastAsia"/>
                <w:color w:val="000000" w:themeColor="text1"/>
                <w:szCs w:val="21"/>
              </w:rPr>
              <w:t>C类基金份额</w:t>
            </w:r>
            <w:r w:rsidRPr="00CC51EF">
              <w:rPr>
                <w:rFonts w:asciiTheme="minorEastAsia" w:eastAsiaTheme="minorEastAsia" w:hAnsiTheme="minorEastAsia" w:cs="宋体" w:hint="eastAsia"/>
                <w:color w:val="000000" w:themeColor="text1"/>
                <w:szCs w:val="21"/>
              </w:rPr>
              <w:t>赎回费率</w:t>
            </w:r>
          </w:p>
        </w:tc>
      </w:tr>
      <w:tr>
        <w:tblPrEx>
          <w:tblW w:w="0" w:type="auto"/>
          <w:jc w:val="center"/>
          <w:tblLayout w:type="fixed"/>
          <w:tblLook w:val="01E0"/>
        </w:tblPrEx>
        <w:trPr>
          <w:jc w:val="center"/>
        </w:trPr>
        <w:tc>
          <w:tcPr>
            <w:tcW w:w="3870" w:type="dxa"/>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0-6</w:t>
            </w:r>
          </w:p>
        </w:tc>
        <w:tc>
          <w:tcPr>
            <w:tcW w:w="3798" w:type="dxa"/>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1.5%</w:t>
            </w:r>
          </w:p>
        </w:tc>
      </w:tr>
      <w:tr>
        <w:tblPrEx>
          <w:tblW w:w="0" w:type="auto"/>
          <w:jc w:val="center"/>
          <w:tblLayout w:type="fixed"/>
          <w:tblLook w:val="01E0"/>
        </w:tblPrEx>
        <w:trPr>
          <w:jc w:val="center"/>
        </w:trPr>
        <w:tc>
          <w:tcPr>
            <w:tcW w:w="3870" w:type="dxa"/>
            <w:vAlign w:val="center"/>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7-29</w:t>
            </w:r>
          </w:p>
        </w:tc>
        <w:tc>
          <w:tcPr>
            <w:tcW w:w="3798" w:type="dxa"/>
            <w:vAlign w:val="center"/>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0.5%</w:t>
            </w:r>
          </w:p>
        </w:tc>
      </w:tr>
      <w:tr>
        <w:tblPrEx>
          <w:tblW w:w="0" w:type="auto"/>
          <w:jc w:val="center"/>
          <w:tblLayout w:type="fixed"/>
          <w:tblLook w:val="01E0"/>
        </w:tblPrEx>
        <w:trPr>
          <w:jc w:val="center"/>
        </w:trPr>
        <w:tc>
          <w:tcPr>
            <w:tcW w:w="3870" w:type="dxa"/>
            <w:vAlign w:val="center"/>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30及以上</w:t>
            </w:r>
          </w:p>
        </w:tc>
        <w:tc>
          <w:tcPr>
            <w:tcW w:w="3798" w:type="dxa"/>
            <w:vAlign w:val="center"/>
          </w:tcPr>
          <w:p w:rsidR="001B2ECA" w:rsidRPr="00CC51EF">
            <w:pPr>
              <w:widowControl/>
              <w:spacing w:before="100" w:beforeAutospacing="1" w:after="100" w:afterAutospacing="1" w:line="360" w:lineRule="auto"/>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0%</w:t>
            </w:r>
          </w:p>
        </w:tc>
      </w:tr>
    </w:tbl>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投资者可将其持有的全部或部分</w:t>
      </w:r>
      <w:r w:rsidRPr="00CC51EF">
        <w:rPr>
          <w:rFonts w:asciiTheme="minorEastAsia" w:eastAsiaTheme="minorEastAsia" w:hAnsiTheme="minorEastAsia"/>
          <w:color w:val="000000" w:themeColor="text1"/>
          <w:szCs w:val="21"/>
        </w:rPr>
        <w:t>C</w:t>
      </w:r>
      <w:r w:rsidRPr="00CC51EF">
        <w:rPr>
          <w:rFonts w:asciiTheme="minorEastAsia" w:eastAsiaTheme="minorEastAsia" w:hAnsiTheme="minorEastAsia" w:hint="eastAsia"/>
          <w:color w:val="000000" w:themeColor="text1"/>
          <w:szCs w:val="21"/>
        </w:rPr>
        <w:t>类基金份额赎回。赎回费用由赎回基金份额的基金份额持有人承担，在基金份额持有人赎回基金份额时收取。对持有期少于</w:t>
      </w:r>
      <w:r w:rsidRPr="00CC51EF">
        <w:rPr>
          <w:rFonts w:asciiTheme="minorEastAsia" w:eastAsiaTheme="minorEastAsia" w:hAnsiTheme="minorEastAsia"/>
          <w:color w:val="000000" w:themeColor="text1"/>
          <w:szCs w:val="21"/>
        </w:rPr>
        <w:t>30</w:t>
      </w:r>
      <w:r w:rsidRPr="00CC51EF">
        <w:rPr>
          <w:rFonts w:asciiTheme="minorEastAsia" w:eastAsiaTheme="minorEastAsia" w:hAnsiTheme="minorEastAsia" w:hint="eastAsia"/>
          <w:color w:val="000000" w:themeColor="text1"/>
          <w:szCs w:val="21"/>
        </w:rPr>
        <w:t>天（不含）的</w:t>
      </w:r>
      <w:r w:rsidRPr="00CC51EF">
        <w:rPr>
          <w:rFonts w:asciiTheme="minorEastAsia" w:eastAsiaTheme="minorEastAsia" w:hAnsiTheme="minorEastAsia"/>
          <w:color w:val="000000" w:themeColor="text1"/>
          <w:szCs w:val="21"/>
        </w:rPr>
        <w:t>C</w:t>
      </w:r>
      <w:r w:rsidRPr="00CC51EF">
        <w:rPr>
          <w:rFonts w:asciiTheme="minorEastAsia" w:eastAsiaTheme="minorEastAsia" w:hAnsiTheme="minorEastAsia" w:hint="eastAsia"/>
          <w:color w:val="000000" w:themeColor="text1"/>
          <w:szCs w:val="21"/>
        </w:rPr>
        <w:t>类基金份额持有人所收取赎回费用全额计入基金财产。</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w:t>
      </w:r>
      <w:r w:rsidRPr="00CC51EF">
        <w:rPr>
          <w:rFonts w:asciiTheme="minorEastAsia" w:eastAsiaTheme="minorEastAsia" w:hAnsiTheme="minorEastAsia"/>
          <w:color w:val="000000" w:themeColor="text1"/>
          <w:szCs w:val="21"/>
        </w:rPr>
        <w:t>规</w:t>
      </w:r>
      <w:r w:rsidRPr="00CC51EF">
        <w:rPr>
          <w:rFonts w:asciiTheme="minorEastAsia" w:eastAsiaTheme="minorEastAsia" w:hAnsiTheme="minorEastAsia" w:hint="eastAsia"/>
          <w:color w:val="000000" w:themeColor="text1"/>
          <w:szCs w:val="21"/>
        </w:rPr>
        <w:t>定媒介上公告。</w:t>
      </w:r>
    </w:p>
    <w:p w:rsidR="001B2ECA" w:rsidRPr="00CC51EF">
      <w:pPr>
        <w:spacing w:line="360" w:lineRule="auto"/>
        <w:ind w:firstLine="420"/>
        <w:rPr>
          <w:rFonts w:asciiTheme="minorEastAsia" w:eastAsiaTheme="minorEastAsia" w:hAnsiTheme="minorEastAsia"/>
          <w:bCs/>
          <w:color w:val="000000" w:themeColor="text1"/>
          <w:szCs w:val="21"/>
        </w:rPr>
      </w:pPr>
      <w:bookmarkStart w:id="44" w:name="_Toc332373507"/>
      <w:r w:rsidRPr="00CC51EF">
        <w:rPr>
          <w:rFonts w:asciiTheme="minorEastAsia" w:eastAsiaTheme="minorEastAsia" w:hAnsiTheme="minorEastAsia" w:hint="eastAsia"/>
          <w:bCs/>
          <w:color w:val="000000" w:themeColor="text1"/>
          <w:szCs w:val="21"/>
        </w:rPr>
        <w:t>基金管理人可以在不违反法律法规规定及基金合同约定的情况下根据市场情况制定基金促销计划，针对基金投资者定期和不定期地开展基金促销活动。</w:t>
      </w:r>
      <w:r w:rsidRPr="00CC51EF">
        <w:rPr>
          <w:rFonts w:asciiTheme="minorEastAsia" w:eastAsiaTheme="minorEastAsia" w:hAnsiTheme="minorEastAsia" w:hint="eastAsia"/>
          <w:color w:val="000000" w:themeColor="text1"/>
          <w:szCs w:val="21"/>
        </w:rPr>
        <w:t>在基金促销活动期间，基金管理人可以适当调低基金销售费率，或针对特定渠道、特定投资群体开展有差别的费率优惠活动</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（八）申购和赎回的数额和价格</w:t>
      </w:r>
      <w:bookmarkEnd w:id="44"/>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1、申购和赎回数额、余额的处理方式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（1）申购的有效份额为按实际确认的申购金额在扣除相应的费用后，以申购当日该类基金份额</w:t>
      </w:r>
      <w:r w:rsidRPr="00CC51EF">
        <w:rPr>
          <w:rFonts w:asciiTheme="minorEastAsia" w:eastAsiaTheme="minorEastAsia" w:hAnsiTheme="minorEastAsia" w:hint="eastAsia"/>
          <w:color w:val="000000" w:themeColor="text1"/>
          <w:szCs w:val="21"/>
        </w:rPr>
        <w:t>的基金份额</w:t>
      </w:r>
      <w:r w:rsidRPr="00CC51EF">
        <w:rPr>
          <w:rFonts w:asciiTheme="minorEastAsia" w:eastAsiaTheme="minorEastAsia" w:hAnsiTheme="minorEastAsia"/>
          <w:color w:val="000000" w:themeColor="text1"/>
          <w:szCs w:val="21"/>
        </w:rPr>
        <w:t>净值为基准计算。申购涉及金额、份额的计算结果保留到小数点后两位，小数点后两位以后的部分四舍五入，由此产生的误差计入基金财产。</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（2）赎回金额的处理方式：赎回金额为按实际确认的有效赎回份额乘以申请当日该类基金份额</w:t>
      </w:r>
      <w:r w:rsidRPr="00CC51EF">
        <w:rPr>
          <w:rFonts w:asciiTheme="minorEastAsia" w:eastAsiaTheme="minorEastAsia" w:hAnsiTheme="minorEastAsia" w:hint="eastAsia"/>
          <w:color w:val="000000" w:themeColor="text1"/>
          <w:szCs w:val="21"/>
        </w:rPr>
        <w:t>的基金份额</w:t>
      </w:r>
      <w:r w:rsidRPr="00CC51EF">
        <w:rPr>
          <w:rFonts w:asciiTheme="minorEastAsia" w:eastAsiaTheme="minorEastAsia" w:hAnsiTheme="minorEastAsia"/>
          <w:color w:val="000000" w:themeColor="text1"/>
          <w:szCs w:val="21"/>
        </w:rPr>
        <w:t xml:space="preserve">净值为基准并扣除相应的费用后的余额，赎回费用、赎回金额的单位为人民币元，计算结果保留到小数点后两位，小数点后两位以后的部分四舍五入，由此产生的误差计入基金财产。 </w:t>
      </w:r>
    </w:p>
    <w:p w:rsidR="001B2ECA" w:rsidRPr="00CC51EF">
      <w:pPr>
        <w:spacing w:line="360" w:lineRule="auto"/>
        <w:ind w:firstLine="420"/>
        <w:rPr>
          <w:rFonts w:asciiTheme="minorEastAsia" w:eastAsiaTheme="minorEastAsia" w:hAnsiTheme="minorEastAsia"/>
          <w:color w:val="000000" w:themeColor="text1"/>
          <w:szCs w:val="21"/>
        </w:rPr>
      </w:pPr>
      <w:bookmarkStart w:id="45" w:name="_Toc332373508"/>
      <w:r w:rsidRPr="00CC51EF">
        <w:rPr>
          <w:rFonts w:asciiTheme="minorEastAsia" w:eastAsiaTheme="minorEastAsia" w:hAnsiTheme="minorEastAsia"/>
          <w:color w:val="000000" w:themeColor="text1"/>
          <w:szCs w:val="21"/>
        </w:rPr>
        <w:t>2、申购份额的计算</w:t>
      </w:r>
      <w:bookmarkEnd w:id="45"/>
      <w:r w:rsidRPr="00CC51EF">
        <w:rPr>
          <w:rFonts w:asciiTheme="minorEastAsia" w:eastAsiaTheme="minorEastAsia" w:hAnsiTheme="minorEastAsia"/>
          <w:color w:val="000000" w:themeColor="text1"/>
          <w:szCs w:val="21"/>
        </w:rPr>
        <w:t xml:space="preserve"> </w:t>
      </w:r>
    </w:p>
    <w:p w:rsidR="001B2ECA" w:rsidRPr="00CC51EF">
      <w:pPr>
        <w:spacing w:line="360" w:lineRule="auto"/>
        <w:ind w:firstLine="420"/>
        <w:rPr>
          <w:rFonts w:asciiTheme="minorEastAsia" w:eastAsiaTheme="minorEastAsia" w:hAnsiTheme="minorEastAsia"/>
          <w:color w:val="000000" w:themeColor="text1"/>
          <w:szCs w:val="21"/>
        </w:rPr>
      </w:pPr>
      <w:bookmarkStart w:id="46" w:name="_Toc332373509"/>
      <w:r w:rsidRPr="00CC51EF">
        <w:rPr>
          <w:rFonts w:asciiTheme="minorEastAsia" w:eastAsiaTheme="minorEastAsia" w:hAnsiTheme="minorEastAsia"/>
          <w:color w:val="000000" w:themeColor="text1"/>
          <w:szCs w:val="21"/>
        </w:rPr>
        <w:t>（1）若投资人选择A类基金份额，则申购份额的计算公式如下：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净申购金额=申购金额/（1+申购费率）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（注：对于500万（含）以上适用固定金额申购费的申购，净申购金额＝申购金额－固定申购费金额）</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申购费用=申购金额-净申购金额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申购份额=净申购金额/ T日A类基金份额的基金份额净值</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例四：某投资人（非</w:t>
      </w:r>
      <w:r w:rsidRPr="00CC51EF">
        <w:rPr>
          <w:rFonts w:asciiTheme="minorEastAsia" w:eastAsiaTheme="minorEastAsia" w:hAnsiTheme="minorEastAsia"/>
          <w:color w:val="000000" w:themeColor="text1"/>
        </w:rPr>
        <w:t>特定投资群体</w:t>
      </w:r>
      <w:r w:rsidRPr="00CC51EF">
        <w:rPr>
          <w:rFonts w:asciiTheme="minorEastAsia" w:eastAsiaTheme="minorEastAsia" w:hAnsiTheme="minorEastAsia"/>
          <w:color w:val="000000" w:themeColor="text1"/>
          <w:szCs w:val="21"/>
        </w:rPr>
        <w:t>）投资100,000元申购本基金A类基金份额，申购</w:t>
      </w:r>
      <w:r w:rsidRPr="00CC51EF">
        <w:rPr>
          <w:rFonts w:asciiTheme="minorEastAsia" w:eastAsiaTheme="minorEastAsia" w:hAnsiTheme="minorEastAsia"/>
          <w:color w:val="000000" w:themeColor="text1"/>
          <w:szCs w:val="21"/>
        </w:rPr>
        <w:t>费率为</w:t>
      </w:r>
      <w:r w:rsidRPr="00CC51EF">
        <w:rPr>
          <w:rFonts w:asciiTheme="minorEastAsia" w:eastAsiaTheme="minorEastAsia" w:hAnsiTheme="minorEastAsia" w:hint="eastAsia"/>
          <w:color w:val="000000" w:themeColor="text1"/>
          <w:szCs w:val="21"/>
        </w:rPr>
        <w:t>1.5</w:t>
      </w:r>
      <w:r w:rsidRPr="00CC51EF">
        <w:rPr>
          <w:rFonts w:asciiTheme="minorEastAsia" w:eastAsiaTheme="minorEastAsia" w:hAnsiTheme="minorEastAsia"/>
          <w:color w:val="000000" w:themeColor="text1"/>
          <w:szCs w:val="21"/>
        </w:rPr>
        <w:t>%，假设申购当日A类基金份额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szCs w:val="21"/>
        </w:rPr>
        <w:t xml:space="preserve">基金份额净值为1.0400元，则其可得到的申购份额为：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净申购金额=100,000/（1+</w:t>
      </w:r>
      <w:r w:rsidRPr="00CC51EF">
        <w:rPr>
          <w:rFonts w:asciiTheme="minorEastAsia" w:eastAsiaTheme="minorEastAsia" w:hAnsiTheme="minorEastAsia" w:hint="eastAsia"/>
          <w:color w:val="000000" w:themeColor="text1"/>
          <w:szCs w:val="21"/>
        </w:rPr>
        <w:t>1.5</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98,522.17</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申购费用=100,000-</w:t>
      </w:r>
      <w:r w:rsidRPr="00CC51EF">
        <w:rPr>
          <w:rFonts w:asciiTheme="minorEastAsia" w:eastAsiaTheme="minorEastAsia" w:hAnsiTheme="minorEastAsia" w:hint="eastAsia"/>
          <w:color w:val="000000" w:themeColor="text1"/>
          <w:szCs w:val="21"/>
        </w:rPr>
        <w:t>98,522.17</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1,477.83</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申购份额=</w:t>
      </w:r>
      <w:r w:rsidRPr="00CC51EF">
        <w:rPr>
          <w:rFonts w:asciiTheme="minorEastAsia" w:eastAsiaTheme="minorEastAsia" w:hAnsiTheme="minorEastAsia" w:hint="eastAsia"/>
          <w:color w:val="000000" w:themeColor="text1"/>
          <w:szCs w:val="21"/>
        </w:rPr>
        <w:t>98,522.17</w:t>
      </w:r>
      <w:r w:rsidRPr="00CC51EF">
        <w:rPr>
          <w:rFonts w:asciiTheme="minorEastAsia" w:eastAsiaTheme="minorEastAsia" w:hAnsiTheme="minorEastAsia"/>
          <w:color w:val="000000" w:themeColor="text1"/>
          <w:szCs w:val="21"/>
        </w:rPr>
        <w:t>/1.0400=</w:t>
      </w:r>
      <w:r w:rsidRPr="00CC51EF">
        <w:rPr>
          <w:rFonts w:asciiTheme="minorEastAsia" w:eastAsiaTheme="minorEastAsia" w:hAnsiTheme="minorEastAsia" w:hint="eastAsia"/>
          <w:color w:val="000000" w:themeColor="text1"/>
          <w:szCs w:val="21"/>
        </w:rPr>
        <w:t>94,732.86</w:t>
      </w:r>
      <w:r w:rsidRPr="00CC51EF">
        <w:rPr>
          <w:rFonts w:asciiTheme="minorEastAsia" w:eastAsiaTheme="minorEastAsia" w:hAnsiTheme="minorEastAsia"/>
          <w:color w:val="000000" w:themeColor="text1"/>
          <w:szCs w:val="21"/>
        </w:rPr>
        <w:t xml:space="preserve">份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例</w:t>
      </w:r>
      <w:r w:rsidRPr="00CC51EF">
        <w:rPr>
          <w:rFonts w:asciiTheme="minorEastAsia" w:eastAsiaTheme="minorEastAsia" w:hAnsiTheme="minorEastAsia"/>
          <w:color w:val="000000" w:themeColor="text1"/>
          <w:szCs w:val="21"/>
        </w:rPr>
        <w:t>五：某投资人（</w:t>
      </w:r>
      <w:r w:rsidRPr="00CC51EF">
        <w:rPr>
          <w:rFonts w:asciiTheme="minorEastAsia" w:eastAsiaTheme="minorEastAsia" w:hAnsiTheme="minorEastAsia"/>
          <w:color w:val="000000" w:themeColor="text1"/>
        </w:rPr>
        <w:t>特定投资群体</w:t>
      </w:r>
      <w:r w:rsidRPr="00CC51EF">
        <w:rPr>
          <w:rFonts w:asciiTheme="minorEastAsia" w:eastAsiaTheme="minorEastAsia" w:hAnsiTheme="minorEastAsia"/>
          <w:color w:val="000000" w:themeColor="text1"/>
          <w:szCs w:val="21"/>
        </w:rPr>
        <w:t>）通过本管理人的直销</w:t>
      </w:r>
      <w:r w:rsidRPr="00CC51EF">
        <w:rPr>
          <w:rFonts w:asciiTheme="minorEastAsia" w:eastAsiaTheme="minorEastAsia" w:hAnsiTheme="minorEastAsia" w:hint="eastAsia"/>
          <w:color w:val="000000" w:themeColor="text1"/>
          <w:szCs w:val="21"/>
        </w:rPr>
        <w:t>中心</w:t>
      </w:r>
      <w:r w:rsidRPr="00CC51EF">
        <w:rPr>
          <w:rFonts w:asciiTheme="minorEastAsia" w:eastAsiaTheme="minorEastAsia" w:hAnsiTheme="minorEastAsia"/>
          <w:color w:val="000000" w:themeColor="text1"/>
          <w:szCs w:val="21"/>
        </w:rPr>
        <w:t>投资100,000元申购本基金A类基金份额，申购费率为0.</w:t>
      </w:r>
      <w:r w:rsidRPr="00CC51EF">
        <w:rPr>
          <w:rFonts w:asciiTheme="minorEastAsia" w:eastAsiaTheme="minorEastAsia" w:hAnsiTheme="minorEastAsia" w:hint="eastAsia"/>
          <w:color w:val="000000" w:themeColor="text1"/>
          <w:szCs w:val="21"/>
        </w:rPr>
        <w:t>15</w:t>
      </w:r>
      <w:r w:rsidRPr="00CC51EF">
        <w:rPr>
          <w:rFonts w:asciiTheme="minorEastAsia" w:eastAsiaTheme="minorEastAsia" w:hAnsiTheme="minorEastAsia"/>
          <w:color w:val="000000" w:themeColor="text1"/>
          <w:szCs w:val="21"/>
        </w:rPr>
        <w:t>%，假设申购当日A类基金份额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szCs w:val="21"/>
        </w:rPr>
        <w:t xml:space="preserve">基金份额净值为1.0400元，则其可得到的申购份额为：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净申购金额=100,000/（1+</w:t>
      </w:r>
      <w:r w:rsidRPr="00CC51EF">
        <w:rPr>
          <w:rFonts w:asciiTheme="minorEastAsia" w:eastAsiaTheme="minorEastAsia" w:hAnsiTheme="minorEastAsia" w:hint="eastAsia"/>
          <w:color w:val="000000" w:themeColor="text1"/>
          <w:szCs w:val="21"/>
        </w:rPr>
        <w:t>0.15</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99,850.22</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申购费用=100,000-</w:t>
      </w:r>
      <w:r w:rsidRPr="00CC51EF">
        <w:rPr>
          <w:rFonts w:asciiTheme="minorEastAsia" w:eastAsiaTheme="minorEastAsia" w:hAnsiTheme="minorEastAsia" w:hint="eastAsia"/>
          <w:color w:val="000000" w:themeColor="text1"/>
          <w:szCs w:val="21"/>
        </w:rPr>
        <w:t>99,850.22</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149.78</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申购份额=</w:t>
      </w:r>
      <w:r w:rsidRPr="00CC51EF">
        <w:rPr>
          <w:rFonts w:asciiTheme="minorEastAsia" w:eastAsiaTheme="minorEastAsia" w:hAnsiTheme="minorEastAsia" w:hint="eastAsia"/>
          <w:color w:val="000000" w:themeColor="text1"/>
          <w:szCs w:val="21"/>
        </w:rPr>
        <w:t>99,850.22</w:t>
      </w:r>
      <w:r w:rsidRPr="00CC51EF">
        <w:rPr>
          <w:rFonts w:asciiTheme="minorEastAsia" w:eastAsiaTheme="minorEastAsia" w:hAnsiTheme="minorEastAsia"/>
          <w:color w:val="000000" w:themeColor="text1"/>
          <w:szCs w:val="21"/>
        </w:rPr>
        <w:t>/1.0400=</w:t>
      </w:r>
      <w:r w:rsidRPr="00CC51EF">
        <w:rPr>
          <w:rFonts w:asciiTheme="minorEastAsia" w:eastAsiaTheme="minorEastAsia" w:hAnsiTheme="minorEastAsia" w:hint="eastAsia"/>
          <w:color w:val="000000" w:themeColor="text1"/>
          <w:szCs w:val="21"/>
        </w:rPr>
        <w:t>96,009.83</w:t>
      </w:r>
      <w:r w:rsidRPr="00CC51EF">
        <w:rPr>
          <w:rFonts w:asciiTheme="minorEastAsia" w:eastAsiaTheme="minorEastAsia" w:hAnsiTheme="minorEastAsia"/>
          <w:color w:val="000000" w:themeColor="text1"/>
          <w:szCs w:val="21"/>
        </w:rPr>
        <w:t xml:space="preserve">份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（2）若投资人选择C类基金份额，则申购份额的计算公式如下：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申购份额=申购金额/ T日C类基金份额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szCs w:val="21"/>
        </w:rPr>
        <w:t xml:space="preserve">基金份额净值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例六：某投资人投资100,000元申购本基金C类基金份额，假设申购当日C类基金份额</w:t>
      </w:r>
      <w:r w:rsidRPr="00CC51EF">
        <w:rPr>
          <w:rFonts w:asciiTheme="minorEastAsia" w:eastAsiaTheme="minorEastAsia" w:hAnsiTheme="minorEastAsia" w:hint="eastAsia"/>
          <w:color w:val="000000" w:themeColor="text1"/>
          <w:szCs w:val="21"/>
        </w:rPr>
        <w:t>的基金</w:t>
      </w:r>
      <w:r w:rsidRPr="00CC51EF">
        <w:rPr>
          <w:rFonts w:asciiTheme="minorEastAsia" w:eastAsiaTheme="minorEastAsia" w:hAnsiTheme="minorEastAsia"/>
          <w:color w:val="000000" w:themeColor="text1"/>
          <w:szCs w:val="21"/>
        </w:rPr>
        <w:t xml:space="preserve">份额净值为1.0400元，则其可得到的申购份额为：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申购份额=100,000/1.0400=96,153.85份</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3、赎回金额的计算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赎回金额的计算方法如下：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赎回费用=赎回份额×T日</w:t>
      </w:r>
      <w:r w:rsidRPr="00CC51EF">
        <w:rPr>
          <w:rFonts w:asciiTheme="minorEastAsia" w:eastAsiaTheme="minorEastAsia" w:hAnsiTheme="minorEastAsia" w:hint="eastAsia"/>
          <w:color w:val="000000" w:themeColor="text1"/>
          <w:szCs w:val="21"/>
        </w:rPr>
        <w:t>该类份额的</w:t>
      </w:r>
      <w:r w:rsidRPr="00CC51EF">
        <w:rPr>
          <w:rFonts w:asciiTheme="minorEastAsia" w:eastAsiaTheme="minorEastAsia" w:hAnsiTheme="minorEastAsia"/>
          <w:color w:val="000000" w:themeColor="text1"/>
          <w:szCs w:val="21"/>
        </w:rPr>
        <w:t>基金份额净值×</w:t>
      </w:r>
      <w:r w:rsidRPr="00CC51EF">
        <w:rPr>
          <w:rFonts w:asciiTheme="minorEastAsia" w:eastAsiaTheme="minorEastAsia" w:hAnsiTheme="minorEastAsia" w:hint="eastAsia"/>
          <w:color w:val="000000" w:themeColor="text1"/>
          <w:szCs w:val="21"/>
        </w:rPr>
        <w:t>该类份额的</w:t>
      </w:r>
      <w:r w:rsidRPr="00CC51EF">
        <w:rPr>
          <w:rFonts w:asciiTheme="minorEastAsia" w:eastAsiaTheme="minorEastAsia" w:hAnsiTheme="minorEastAsia"/>
          <w:color w:val="000000" w:themeColor="text1"/>
          <w:szCs w:val="21"/>
        </w:rPr>
        <w:t xml:space="preserve">赎回费率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赎回金额=赎回份额×T日</w:t>
      </w:r>
      <w:r w:rsidRPr="00CC51EF">
        <w:rPr>
          <w:rFonts w:asciiTheme="minorEastAsia" w:eastAsiaTheme="minorEastAsia" w:hAnsiTheme="minorEastAsia" w:hint="eastAsia"/>
          <w:color w:val="000000" w:themeColor="text1"/>
          <w:szCs w:val="21"/>
        </w:rPr>
        <w:t>该类份额的</w:t>
      </w:r>
      <w:r w:rsidRPr="00CC51EF">
        <w:rPr>
          <w:rFonts w:asciiTheme="minorEastAsia" w:eastAsiaTheme="minorEastAsia" w:hAnsiTheme="minorEastAsia"/>
          <w:color w:val="000000" w:themeColor="text1"/>
          <w:szCs w:val="21"/>
        </w:rPr>
        <w:t xml:space="preserve">基金份额净值-赎回费用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例七：某投资人赎回10,000份A类基金份额，假设该笔份额持有期限为100天，则对应的赎回费率为0.</w:t>
      </w:r>
      <w:r w:rsidRPr="00CC51EF">
        <w:rPr>
          <w:rFonts w:asciiTheme="minorEastAsia" w:eastAsiaTheme="minorEastAsia" w:hAnsiTheme="minorEastAsia" w:hint="eastAsia"/>
          <w:color w:val="000000" w:themeColor="text1"/>
          <w:szCs w:val="21"/>
        </w:rPr>
        <w:t>5</w:t>
      </w:r>
      <w:r w:rsidRPr="00CC51EF">
        <w:rPr>
          <w:rFonts w:asciiTheme="minorEastAsia" w:eastAsiaTheme="minorEastAsia" w:hAnsiTheme="minorEastAsia"/>
          <w:color w:val="000000" w:themeColor="text1"/>
          <w:szCs w:val="21"/>
        </w:rPr>
        <w:t>%，假设赎回当日A类基金份额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szCs w:val="21"/>
        </w:rPr>
        <w:t xml:space="preserve">基金份额净值是1.0160元，则其可得到的赎回金额为：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赎回费用 = 10,000×1.0160×0.</w:t>
      </w:r>
      <w:r w:rsidRPr="00CC51EF">
        <w:rPr>
          <w:rFonts w:asciiTheme="minorEastAsia" w:eastAsiaTheme="minorEastAsia" w:hAnsiTheme="minorEastAsia" w:hint="eastAsia"/>
          <w:color w:val="000000" w:themeColor="text1"/>
          <w:szCs w:val="21"/>
        </w:rPr>
        <w:t>5</w:t>
      </w:r>
      <w:r w:rsidRPr="00CC51EF">
        <w:rPr>
          <w:rFonts w:asciiTheme="minorEastAsia" w:eastAsiaTheme="minorEastAsia" w:hAnsiTheme="minorEastAsia"/>
          <w:color w:val="000000" w:themeColor="text1"/>
          <w:szCs w:val="21"/>
        </w:rPr>
        <w:t xml:space="preserve">% ＝ </w:t>
      </w:r>
      <w:r w:rsidRPr="00CC51EF">
        <w:rPr>
          <w:rFonts w:asciiTheme="minorEastAsia" w:eastAsiaTheme="minorEastAsia" w:hAnsiTheme="minorEastAsia" w:hint="eastAsia"/>
          <w:color w:val="000000" w:themeColor="text1"/>
          <w:szCs w:val="21"/>
        </w:rPr>
        <w:t>50.80</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赎回金额 = 10,000×1.0160-</w:t>
      </w:r>
      <w:r w:rsidRPr="00CC51EF">
        <w:rPr>
          <w:rFonts w:asciiTheme="minorEastAsia" w:eastAsiaTheme="minorEastAsia" w:hAnsiTheme="minorEastAsia" w:hint="eastAsia"/>
          <w:color w:val="000000" w:themeColor="text1"/>
          <w:szCs w:val="21"/>
        </w:rPr>
        <w:t>50.80</w:t>
      </w:r>
      <w:r w:rsidRPr="00CC51EF">
        <w:rPr>
          <w:rFonts w:asciiTheme="minorEastAsia" w:eastAsiaTheme="minorEastAsia" w:hAnsiTheme="minorEastAsia"/>
          <w:color w:val="000000" w:themeColor="text1"/>
          <w:szCs w:val="21"/>
        </w:rPr>
        <w:t xml:space="preserve"> ＝ 10,</w:t>
      </w:r>
      <w:r w:rsidRPr="00CC51EF">
        <w:rPr>
          <w:rFonts w:asciiTheme="minorEastAsia" w:eastAsiaTheme="minorEastAsia" w:hAnsiTheme="minorEastAsia" w:hint="eastAsia"/>
          <w:color w:val="000000" w:themeColor="text1"/>
          <w:szCs w:val="21"/>
        </w:rPr>
        <w:t>109</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20</w:t>
      </w:r>
      <w:r w:rsidRPr="00CC51EF">
        <w:rPr>
          <w:rFonts w:asciiTheme="minorEastAsia" w:eastAsiaTheme="minorEastAsia" w:hAnsiTheme="minorEastAsia"/>
          <w:color w:val="000000" w:themeColor="text1"/>
          <w:szCs w:val="21"/>
        </w:rPr>
        <w:t xml:space="preserve">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例八：某投资人赎回10,000份C类基金份额，假设该笔份额持有期限为5天，则对应的赎回费率为1.5%，假设赎回当日C类基金份额</w:t>
      </w:r>
      <w:r w:rsidRPr="00CC51EF">
        <w:rPr>
          <w:rFonts w:asciiTheme="minorEastAsia" w:eastAsiaTheme="minorEastAsia" w:hAnsiTheme="minorEastAsia" w:hint="eastAsia"/>
          <w:color w:val="000000" w:themeColor="text1"/>
          <w:szCs w:val="21"/>
        </w:rPr>
        <w:t>的</w:t>
      </w:r>
      <w:r w:rsidRPr="00CC51EF">
        <w:rPr>
          <w:rFonts w:asciiTheme="minorEastAsia" w:eastAsiaTheme="minorEastAsia" w:hAnsiTheme="minorEastAsia"/>
          <w:color w:val="000000" w:themeColor="text1"/>
          <w:szCs w:val="21"/>
        </w:rPr>
        <w:t xml:space="preserve">基金份额净值是1.0160元，则其可得到的赎回金额为：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赎回费用 = 10,000×1.0160×1.5% ＝152.40元</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 xml:space="preserve">赎回金额 = 10,000×1.0160-152.40＝10,007.60元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4、基金份额净值的计算公式</w:t>
      </w:r>
      <w:bookmarkEnd w:id="46"/>
      <w:r w:rsidRPr="00CC51EF">
        <w:rPr>
          <w:rFonts w:asciiTheme="minorEastAsia" w:eastAsiaTheme="minorEastAsia" w:hAnsiTheme="minorEastAsia"/>
          <w:color w:val="000000" w:themeColor="text1"/>
          <w:szCs w:val="21"/>
        </w:rPr>
        <w:t xml:space="preserve"> </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计算日该类</w:t>
      </w:r>
      <w:r w:rsidRPr="00CC51EF">
        <w:rPr>
          <w:rFonts w:asciiTheme="minorEastAsia" w:eastAsiaTheme="minorEastAsia" w:hAnsiTheme="minorEastAsia" w:hint="eastAsia"/>
          <w:color w:val="000000" w:themeColor="text1"/>
          <w:szCs w:val="21"/>
        </w:rPr>
        <w:t>基金</w:t>
      </w:r>
      <w:r w:rsidRPr="00CC51EF">
        <w:rPr>
          <w:rFonts w:asciiTheme="minorEastAsia" w:eastAsiaTheme="minorEastAsia" w:hAnsiTheme="minorEastAsia"/>
          <w:color w:val="000000" w:themeColor="text1"/>
          <w:szCs w:val="21"/>
        </w:rPr>
        <w:t>份额的基金份额净值=计算日该类</w:t>
      </w:r>
      <w:r w:rsidRPr="00CC51EF">
        <w:rPr>
          <w:rFonts w:asciiTheme="minorEastAsia" w:eastAsiaTheme="minorEastAsia" w:hAnsiTheme="minorEastAsia" w:hint="eastAsia"/>
          <w:color w:val="000000" w:themeColor="text1"/>
          <w:szCs w:val="21"/>
        </w:rPr>
        <w:t>基金</w:t>
      </w:r>
      <w:r w:rsidRPr="00CC51EF">
        <w:rPr>
          <w:rFonts w:asciiTheme="minorEastAsia" w:eastAsiaTheme="minorEastAsia" w:hAnsiTheme="minorEastAsia"/>
          <w:color w:val="000000" w:themeColor="text1"/>
          <w:szCs w:val="21"/>
        </w:rPr>
        <w:t>份额的基金资产净值/计算日该类基金</w:t>
      </w:r>
      <w:r w:rsidRPr="00CC51EF">
        <w:rPr>
          <w:rFonts w:asciiTheme="minorEastAsia" w:eastAsiaTheme="minorEastAsia" w:hAnsiTheme="minorEastAsia" w:hint="eastAsia"/>
          <w:color w:val="000000" w:themeColor="text1"/>
          <w:szCs w:val="21"/>
        </w:rPr>
        <w:t>份额</w:t>
      </w:r>
      <w:r w:rsidRPr="00CC51EF">
        <w:rPr>
          <w:rFonts w:asciiTheme="minorEastAsia" w:eastAsiaTheme="minorEastAsia" w:hAnsiTheme="minorEastAsia"/>
          <w:color w:val="000000" w:themeColor="text1"/>
          <w:szCs w:val="21"/>
        </w:rPr>
        <w:t>总份额</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本基金</w:t>
      </w:r>
      <w:r w:rsidRPr="00CC51EF">
        <w:rPr>
          <w:rFonts w:asciiTheme="minorEastAsia" w:eastAsiaTheme="minorEastAsia" w:hAnsiTheme="minorEastAsia" w:hint="eastAsia"/>
          <w:color w:val="000000" w:themeColor="text1"/>
          <w:szCs w:val="21"/>
        </w:rPr>
        <w:t>各类基金</w:t>
      </w:r>
      <w:r w:rsidRPr="00CC51EF">
        <w:rPr>
          <w:rFonts w:asciiTheme="minorEastAsia" w:eastAsiaTheme="minorEastAsia" w:hAnsiTheme="minorEastAsia"/>
          <w:color w:val="000000" w:themeColor="text1"/>
          <w:szCs w:val="21"/>
        </w:rPr>
        <w:t>份额净值的计算，保留到小数点后</w:t>
      </w:r>
      <w:r w:rsidRPr="00CC51EF">
        <w:rPr>
          <w:rFonts w:asciiTheme="minorEastAsia" w:eastAsiaTheme="minorEastAsia" w:hAnsiTheme="minorEastAsia" w:hint="eastAsia"/>
          <w:color w:val="000000" w:themeColor="text1"/>
          <w:szCs w:val="21"/>
        </w:rPr>
        <w:t>四</w:t>
      </w:r>
      <w:r w:rsidRPr="00CC51EF">
        <w:rPr>
          <w:rFonts w:asciiTheme="minorEastAsia" w:eastAsiaTheme="minorEastAsia" w:hAnsiTheme="minorEastAsia"/>
          <w:color w:val="000000" w:themeColor="text1"/>
          <w:szCs w:val="21"/>
        </w:rPr>
        <w:t>位，小数点后第</w:t>
      </w:r>
      <w:r w:rsidRPr="00CC51EF">
        <w:rPr>
          <w:rFonts w:asciiTheme="minorEastAsia" w:eastAsiaTheme="minorEastAsia" w:hAnsiTheme="minorEastAsia" w:hint="eastAsia"/>
          <w:color w:val="000000" w:themeColor="text1"/>
          <w:szCs w:val="21"/>
        </w:rPr>
        <w:t>五</w:t>
      </w:r>
      <w:r w:rsidRPr="00CC51EF">
        <w:rPr>
          <w:rFonts w:asciiTheme="minorEastAsia" w:eastAsiaTheme="minorEastAsia" w:hAnsiTheme="minorEastAsia"/>
          <w:color w:val="000000" w:themeColor="text1"/>
          <w:szCs w:val="21"/>
        </w:rPr>
        <w:t>位四舍五入，由此产生的收益或损失由基金财产承担。</w:t>
      </w:r>
      <w:r w:rsidRPr="00CC51EF">
        <w:rPr>
          <w:rFonts w:asciiTheme="minorEastAsia" w:eastAsiaTheme="minorEastAsia" w:hAnsiTheme="minorEastAsia" w:hint="eastAsia"/>
          <w:color w:val="000000" w:themeColor="text1"/>
          <w:szCs w:val="21"/>
        </w:rPr>
        <w:t>遇特殊情况，经履行适当程序，可以适当延迟计算或公告。</w:t>
      </w:r>
    </w:p>
    <w:p w:rsidR="001B2ECA" w:rsidRPr="00CC51EF">
      <w:pPr>
        <w:spacing w:line="360" w:lineRule="auto"/>
        <w:ind w:firstLine="420"/>
        <w:rPr>
          <w:rStyle w:val="da"/>
          <w:rFonts w:asciiTheme="minorEastAsia" w:eastAsiaTheme="minorEastAsia" w:hAnsiTheme="minorEastAsia"/>
          <w:color w:val="000000" w:themeColor="text1"/>
        </w:rPr>
      </w:pPr>
      <w:bookmarkStart w:id="47" w:name="_Toc332373510"/>
      <w:r w:rsidRPr="00CC51EF">
        <w:rPr>
          <w:rStyle w:val="da"/>
          <w:rFonts w:asciiTheme="minorEastAsia" w:eastAsiaTheme="minorEastAsia" w:hAnsiTheme="minorEastAsia" w:hint="eastAsia"/>
          <w:color w:val="000000" w:themeColor="text1"/>
        </w:rPr>
        <w:t>（九）申购和赎回的登记</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在不违反法律法规的前提下，登记机构可以对上述登记办理时间进行调整，基金管理人应于开始实施前依照《信息披露办法》的有关规定在规定媒介上公告。</w:t>
      </w:r>
      <w:bookmarkEnd w:id="47"/>
    </w:p>
    <w:p w:rsidR="001B2ECA" w:rsidRPr="00CC51EF">
      <w:pPr>
        <w:spacing w:line="360" w:lineRule="auto"/>
        <w:ind w:firstLine="420"/>
        <w:rPr>
          <w:rStyle w:val="da"/>
          <w:rFonts w:asciiTheme="minorEastAsia" w:eastAsiaTheme="minorEastAsia" w:hAnsiTheme="minorEastAsia"/>
          <w:color w:val="000000" w:themeColor="text1"/>
        </w:rPr>
      </w:pPr>
      <w:bookmarkStart w:id="48" w:name="_Toc332373511"/>
      <w:r w:rsidRPr="00CC51EF">
        <w:rPr>
          <w:rStyle w:val="da"/>
          <w:rFonts w:asciiTheme="minorEastAsia" w:eastAsiaTheme="minorEastAsia" w:hAnsiTheme="minorEastAsia" w:hint="eastAsia"/>
          <w:color w:val="000000" w:themeColor="text1"/>
        </w:rPr>
        <w:t>（十）巨额赎回的认定及处理方式</w:t>
      </w:r>
      <w:bookmarkEnd w:id="48"/>
    </w:p>
    <w:p w:rsidR="001B2ECA" w:rsidRPr="00CC51EF">
      <w:pPr>
        <w:spacing w:line="360" w:lineRule="auto"/>
        <w:ind w:firstLine="420"/>
        <w:rPr>
          <w:rStyle w:val="da"/>
          <w:rFonts w:asciiTheme="minorEastAsia" w:eastAsiaTheme="minorEastAsia" w:hAnsiTheme="minorEastAsia"/>
          <w:color w:val="000000" w:themeColor="text1"/>
        </w:rPr>
      </w:pPr>
      <w:bookmarkStart w:id="49" w:name="_Toc332373514"/>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、巨额赎回的认定</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，即认为是发生了巨额赎回。</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、巨额赎回的处理方式</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当基金出现巨额赎回时，基金管理人可以根据基金当时的资产组合状况决定全额赎回或部分延期赎回。</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）全额赎回：当基金管理人认为有能力支付投资人的全部赎回申请时，按正常赎回程序执行。</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的前提下，可对其余赎回申请延期办理。对于当日的赎回申请，应当按单个账户赎回申请量占赎回申请总量的比例，确定当日受理的赎回份额；对于未能赎回部分，投资人在提交赎回申请时可以选择延期赎回或取</w:t>
      </w:r>
      <w:r w:rsidRPr="00CC51EF">
        <w:rPr>
          <w:rStyle w:val="da"/>
          <w:rFonts w:asciiTheme="minorEastAsia" w:eastAsiaTheme="minorEastAsia" w:hAnsiTheme="minorEastAsia" w:hint="eastAsia"/>
          <w:color w:val="000000" w:themeColor="text1"/>
        </w:rPr>
        <w:t>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若本基金发生巨额赎回且单个基金份额持有人的赎回申请超过上一开放日基金总份额</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的，基金管理人有权对该单个基金份额持有人超出该比例的赎回申请实施延期办理；对该单个基金份额持有人剩余赎回申请，基金管理人可以根据前款“（</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）全额赎回”或“（</w:t>
      </w: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）部分延期赎回”约定的方式与其他账户的赎回申请一并办理。</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）暂停赎回：连续</w:t>
      </w: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个开放日以上（含本数）发生巨额赎回，如基金管理人认为有必要，可暂停接受基金的赎回申请；已经接受的赎回申请可以延缓支付赎回款项，但不得超过</w:t>
      </w:r>
      <w:r w:rsidRPr="00CC51EF">
        <w:rPr>
          <w:rStyle w:val="da"/>
          <w:rFonts w:asciiTheme="minorEastAsia" w:eastAsiaTheme="minorEastAsia" w:hAnsiTheme="minorEastAsia"/>
          <w:color w:val="000000" w:themeColor="text1"/>
        </w:rPr>
        <w:t>20</w:t>
      </w:r>
      <w:r w:rsidRPr="00CC51EF">
        <w:rPr>
          <w:rStyle w:val="da"/>
          <w:rFonts w:asciiTheme="minorEastAsia" w:eastAsiaTheme="minorEastAsia" w:hAnsiTheme="minorEastAsia" w:hint="eastAsia"/>
          <w:color w:val="000000" w:themeColor="text1"/>
        </w:rPr>
        <w:t>个工作日，并应当在规定媒介上进行公告。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、巨额赎回的公告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当发生上述巨额赎回并延期办理时，基金管理人应当通过邮寄、传真或者招募说明书规定的其他方式在</w:t>
      </w: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个交易日内通知基金份额持有人，说明有关处理方法，并在</w:t>
      </w: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日内在规定媒介上刊登公告。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（十一）拒绝或暂停申购、暂停赎回或延缓支付赎回款项的情形及处理</w:t>
      </w:r>
      <w:bookmarkEnd w:id="49"/>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发生下列情况时，基金管理人可拒绝或暂停接受投资人的</w:t>
      </w:r>
      <w:r w:rsidRPr="00CC51EF">
        <w:rPr>
          <w:rStyle w:val="da"/>
          <w:rFonts w:asciiTheme="minorEastAsia" w:eastAsiaTheme="minorEastAsia" w:hAnsiTheme="minorEastAsia" w:hint="eastAsia"/>
          <w:color w:val="000000" w:themeColor="text1"/>
          <w:szCs w:val="21"/>
        </w:rPr>
        <w:t>某一类或多类份额</w:t>
      </w:r>
      <w:r w:rsidRPr="00CC51EF">
        <w:rPr>
          <w:rStyle w:val="da"/>
          <w:rFonts w:asciiTheme="minorEastAsia" w:eastAsiaTheme="minorEastAsia" w:hAnsiTheme="minorEastAsia" w:hint="eastAsia"/>
          <w:color w:val="000000" w:themeColor="text1"/>
        </w:rPr>
        <w:t>申购申请：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因不可抗力导致基金无法正常运作。</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发生基金合同规定的暂停基金资产估值情况时。</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基金进行交易的主要证券</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期货交易市场交易时间非正常停市。</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基金管理人认为接受某笔或某些申购申请可能会影响或损害现有基金份额持有人利益时。</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w:t>
      </w:r>
      <w:r w:rsidRPr="00CC51EF">
        <w:rPr>
          <w:rStyle w:val="da"/>
          <w:rFonts w:asciiTheme="minorEastAsia" w:eastAsiaTheme="minorEastAsia" w:hAnsiTheme="minorEastAsia" w:hint="eastAsia"/>
          <w:color w:val="000000" w:themeColor="text1"/>
        </w:rPr>
        <w:t>基金资产规模过大，使基金管理人无法找到合适的投资品种，或其他可能对基金业绩产生负面影响，或基金管理人认定的其他损害现有基金份额持有人利益的情形。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基金管理人、基金托管人、登记机构、销售机构、支付结算机构等因异常情况导致基金销售系统、基金销售支付结算系统、基金登记系统、基金会计系统等无法正常运行。</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基金管理人接受某笔或者某些申购申请有可能导致单一投资者持有基金份额的比例达到或者超过</w:t>
      </w:r>
      <w:r w:rsidRPr="00CC51EF">
        <w:rPr>
          <w:rStyle w:val="da"/>
          <w:rFonts w:asciiTheme="minorEastAsia" w:eastAsiaTheme="minorEastAsia" w:hAnsiTheme="minorEastAsia"/>
          <w:color w:val="000000" w:themeColor="text1"/>
        </w:rPr>
        <w:t>50%</w:t>
      </w:r>
      <w:r w:rsidRPr="00CC51EF">
        <w:rPr>
          <w:rStyle w:val="da"/>
          <w:rFonts w:asciiTheme="minorEastAsia" w:eastAsiaTheme="minorEastAsia" w:hAnsiTheme="minorEastAsia" w:hint="eastAsia"/>
          <w:color w:val="000000" w:themeColor="text1"/>
        </w:rPr>
        <w:t>，或者变相规避</w:t>
      </w:r>
      <w:r w:rsidRPr="00CC51EF">
        <w:rPr>
          <w:rStyle w:val="da"/>
          <w:rFonts w:asciiTheme="minorEastAsia" w:eastAsiaTheme="minorEastAsia" w:hAnsiTheme="minorEastAsia"/>
          <w:color w:val="000000" w:themeColor="text1"/>
        </w:rPr>
        <w:t>50%</w:t>
      </w:r>
      <w:r w:rsidRPr="00CC51EF">
        <w:rPr>
          <w:rStyle w:val="da"/>
          <w:rFonts w:asciiTheme="minorEastAsia" w:eastAsiaTheme="minorEastAsia" w:hAnsiTheme="minorEastAsia" w:hint="eastAsia"/>
          <w:color w:val="000000" w:themeColor="text1"/>
        </w:rPr>
        <w:t>集中度的情形。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（9）</w:t>
      </w:r>
      <w:r w:rsidRPr="00CC51EF">
        <w:rPr>
          <w:rStyle w:val="da"/>
          <w:rFonts w:asciiTheme="minorEastAsia" w:eastAsiaTheme="minorEastAsia" w:hAnsiTheme="minorEastAsia" w:hint="eastAsia"/>
          <w:color w:val="000000" w:themeColor="text1"/>
        </w:rPr>
        <w:t>当前一估值日基金资产净值</w:t>
      </w:r>
      <w:r w:rsidRPr="00CC51EF">
        <w:rPr>
          <w:rStyle w:val="da"/>
          <w:rFonts w:asciiTheme="minorEastAsia" w:eastAsiaTheme="minorEastAsia" w:hAnsiTheme="minorEastAsia"/>
          <w:color w:val="000000" w:themeColor="text1"/>
        </w:rPr>
        <w:t>50%</w:t>
      </w:r>
      <w:r w:rsidRPr="00CC51EF">
        <w:rPr>
          <w:rStyle w:val="da"/>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以上的资产出现无可参考的活跃市场价格且采用估值技术仍导致公允价值存在重大不确定性时，经与基金托管人协商确认后，基金管理人应当暂停接受基金申购申请。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（11）</w:t>
      </w:r>
      <w:r w:rsidRPr="00CC51EF">
        <w:rPr>
          <w:rStyle w:val="da"/>
          <w:rFonts w:asciiTheme="minorEastAsia" w:eastAsiaTheme="minorEastAsia" w:hAnsiTheme="minorEastAsia" w:hint="eastAsia"/>
          <w:color w:val="000000" w:themeColor="text1"/>
        </w:rPr>
        <w:t>法律法规规定或中国证监会认定的其他情形。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发生上述第（</w:t>
      </w: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5）</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9）</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w:t>
      </w:r>
      <w:r w:rsidRPr="00CC51EF">
        <w:rPr>
          <w:rStyle w:val="da"/>
          <w:rFonts w:asciiTheme="minorEastAsia" w:eastAsiaTheme="minorEastAsia" w:hAnsiTheme="minorEastAsia"/>
          <w:color w:val="000000" w:themeColor="text1"/>
        </w:rPr>
        <w:t>11）</w:t>
      </w:r>
      <w:r w:rsidRPr="00CC51EF">
        <w:rPr>
          <w:rStyle w:val="da"/>
          <w:rFonts w:asciiTheme="minorEastAsia" w:eastAsiaTheme="minorEastAsia" w:hAnsiTheme="minorEastAsia" w:hint="eastAsia"/>
          <w:color w:val="000000" w:themeColor="text1"/>
        </w:rPr>
        <w:t>项情形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w:t>
      </w:r>
    </w:p>
    <w:p w:rsidR="001B2ECA" w:rsidRPr="00CC51EF">
      <w:pPr>
        <w:spacing w:line="360" w:lineRule="auto"/>
        <w:ind w:firstLine="420"/>
        <w:rPr>
          <w:rStyle w:val="da"/>
          <w:rFonts w:asciiTheme="minorEastAsia" w:eastAsiaTheme="minorEastAsia" w:hAnsiTheme="minorEastAsia"/>
          <w:color w:val="000000" w:themeColor="text1"/>
        </w:rPr>
      </w:pPr>
      <w:bookmarkStart w:id="50" w:name="_Hlt70481650"/>
      <w:bookmarkEnd w:id="50"/>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、发生下列情形时，基金管理人可暂停接受投资人的</w:t>
      </w:r>
      <w:r w:rsidRPr="00CC51EF">
        <w:rPr>
          <w:rStyle w:val="da"/>
          <w:rFonts w:asciiTheme="minorEastAsia" w:eastAsiaTheme="minorEastAsia" w:hAnsiTheme="minorEastAsia" w:hint="eastAsia"/>
          <w:color w:val="000000" w:themeColor="text1"/>
          <w:szCs w:val="21"/>
        </w:rPr>
        <w:t>某一类或多类份额</w:t>
      </w:r>
      <w:r w:rsidRPr="00CC51EF">
        <w:rPr>
          <w:rStyle w:val="da"/>
          <w:rFonts w:asciiTheme="minorEastAsia" w:eastAsiaTheme="minorEastAsia" w:hAnsiTheme="minorEastAsia" w:hint="eastAsia"/>
          <w:color w:val="000000" w:themeColor="text1"/>
        </w:rPr>
        <w:t>赎回申请或延缓支付赎回款项：</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因不可抗力导致基金管理人不能支付赎回款项。</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发生基金合同规定的暂停基金资产估值情况时。</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基金进行交易的主要证券</w:t>
      </w:r>
      <w:r w:rsidRPr="00CC51EF">
        <w:rPr>
          <w:rStyle w:val="da"/>
          <w:rFonts w:asciiTheme="minorEastAsia" w:eastAsiaTheme="minorEastAsia" w:hAnsiTheme="minorEastAsia"/>
          <w:color w:val="000000" w:themeColor="text1"/>
        </w:rPr>
        <w:t>/</w:t>
      </w:r>
      <w:r w:rsidRPr="00CC51EF">
        <w:rPr>
          <w:rStyle w:val="da"/>
          <w:rFonts w:asciiTheme="minorEastAsia" w:eastAsiaTheme="minorEastAsia" w:hAnsiTheme="minorEastAsia" w:hint="eastAsia"/>
          <w:color w:val="000000" w:themeColor="text1"/>
        </w:rPr>
        <w:t>期货交易市场交易时间非正常停市。</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连续两个或两个以上开放日发生巨额赎回。</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（5）</w:t>
      </w:r>
      <w:r w:rsidRPr="00CC51EF">
        <w:rPr>
          <w:rStyle w:val="da"/>
          <w:rFonts w:asciiTheme="minorEastAsia" w:eastAsiaTheme="minorEastAsia" w:hAnsiTheme="minorEastAsia" w:hint="eastAsia"/>
          <w:color w:val="000000" w:themeColor="text1"/>
        </w:rPr>
        <w:t>发生继续接受赎回申请将损害现有基金份额持有人利益的情形时，基金管理人可暂停接受基金份额持有人的赎回申请。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（6）</w:t>
      </w:r>
      <w:r w:rsidRPr="00CC51EF">
        <w:rPr>
          <w:rStyle w:val="da"/>
          <w:rFonts w:asciiTheme="minorEastAsia" w:eastAsiaTheme="minorEastAsia" w:hAnsiTheme="minorEastAsia" w:hint="eastAsia"/>
          <w:color w:val="000000" w:themeColor="text1"/>
        </w:rPr>
        <w:t>当前一估值日基金资产净值</w:t>
      </w:r>
      <w:r w:rsidRPr="00CC51EF">
        <w:rPr>
          <w:rStyle w:val="da"/>
          <w:rFonts w:asciiTheme="minorEastAsia" w:eastAsiaTheme="minorEastAsia" w:hAnsiTheme="minorEastAsia"/>
          <w:color w:val="000000" w:themeColor="text1"/>
        </w:rPr>
        <w:t>50%</w:t>
      </w:r>
      <w:r w:rsidRPr="00CC51EF">
        <w:rPr>
          <w:rStyle w:val="da"/>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以上的资产出现无可参考的活跃市场价格且采用估值技术仍导致公允价值存在重大不确定性时，经与基金托管人协商确认后，基金管理人应当延缓支付赎回款项或暂停接受基金赎回申请。</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（7）</w:t>
      </w:r>
      <w:r w:rsidRPr="00CC51EF">
        <w:rPr>
          <w:rStyle w:val="da"/>
          <w:rFonts w:asciiTheme="minorEastAsia" w:eastAsiaTheme="minorEastAsia" w:hAnsiTheme="minorEastAsia" w:hint="eastAsia"/>
          <w:color w:val="000000" w:themeColor="text1"/>
        </w:rPr>
        <w:t>发生证券交易服务公司等机构认定的交易异常情况并决定暂停提供部分或者全部</w:t>
      </w:r>
      <w:r w:rsidRPr="00CC51EF">
        <w:rPr>
          <w:rStyle w:val="da"/>
          <w:rFonts w:asciiTheme="minorEastAsia" w:eastAsiaTheme="minorEastAsia" w:hAnsiTheme="minorEastAsia" w:hint="eastAsia"/>
          <w:color w:val="000000" w:themeColor="text1"/>
        </w:rPr>
        <w:t>港股通服务，或者发生其他影响通过内地与香港股票市场交易互联互通机制进行正常交易的情形。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（8）</w:t>
      </w:r>
      <w:r w:rsidRPr="00CC51EF">
        <w:rPr>
          <w:rStyle w:val="da"/>
          <w:rFonts w:asciiTheme="minorEastAsia" w:eastAsiaTheme="minorEastAsia" w:hAnsiTheme="minorEastAsia" w:hint="eastAsia"/>
          <w:color w:val="000000" w:themeColor="text1"/>
        </w:rPr>
        <w:t>基金管理人、基金托管人、登记机构、销售机构、支付结算机构等因异常情况导致基金销售系统、基金销售支付结算系统、基金登记系统、基金会计系统等无法正常运行。</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（9）</w:t>
      </w:r>
      <w:r w:rsidRPr="00CC51EF">
        <w:rPr>
          <w:rStyle w:val="da"/>
          <w:rFonts w:asciiTheme="minorEastAsia" w:eastAsiaTheme="minorEastAsia" w:hAnsiTheme="minorEastAsia" w:hint="eastAsia"/>
          <w:color w:val="000000" w:themeColor="text1"/>
        </w:rPr>
        <w:t>本基金的资产组合中的重要部分发生暂停交易或其他重大事件，继续接受赎回可能会影响或损害基金份额持有人利益时。</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（10）</w:t>
      </w:r>
      <w:r w:rsidRPr="00CC51EF">
        <w:rPr>
          <w:rStyle w:val="da"/>
          <w:rFonts w:asciiTheme="minorEastAsia" w:eastAsiaTheme="minorEastAsia" w:hAnsiTheme="minorEastAsia" w:hint="eastAsia"/>
          <w:color w:val="000000" w:themeColor="text1"/>
        </w:rPr>
        <w:t>法律法规规定或中国证监会认定的其他情形。</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发生上述情形之一且基金管理人决定暂停赎回或延缓支付赎回款项时，基金管理人应报中国证监会备案。若出现上述第（</w:t>
      </w:r>
      <w:r w:rsidRPr="00CC51EF">
        <w:rPr>
          <w:rStyle w:val="da"/>
          <w:rFonts w:asciiTheme="minorEastAsia" w:eastAsiaTheme="minorEastAsia" w:hAnsiTheme="minorEastAsia"/>
          <w:color w:val="000000" w:themeColor="text1"/>
        </w:rPr>
        <w:t>4）</w:t>
      </w:r>
      <w:r w:rsidRPr="00CC51EF">
        <w:rPr>
          <w:rStyle w:val="da"/>
          <w:rFonts w:asciiTheme="minorEastAsia" w:eastAsiaTheme="minorEastAsia" w:hAnsiTheme="minorEastAsia" w:hint="eastAsia"/>
          <w:color w:val="000000" w:themeColor="text1"/>
        </w:rPr>
        <w:t>项所述情形，按基金合同的相关条款处理。基金份额持有人在申请赎回时可事先选择将当日可能未获受理部分予以撤销。在暂停赎回的情况消除时，基金管理人应及时恢复赎回业务的办理。</w:t>
      </w:r>
    </w:p>
    <w:p w:rsidR="001B2ECA" w:rsidRPr="00CC51EF">
      <w:pPr>
        <w:spacing w:line="360" w:lineRule="auto"/>
        <w:ind w:firstLine="420"/>
        <w:rPr>
          <w:rStyle w:val="da"/>
          <w:rFonts w:asciiTheme="minorEastAsia" w:eastAsiaTheme="minorEastAsia" w:hAnsiTheme="minorEastAsia"/>
          <w:color w:val="000000" w:themeColor="text1"/>
        </w:rPr>
      </w:pPr>
      <w:bookmarkStart w:id="51" w:name="_Toc332373515"/>
      <w:r w:rsidRPr="00CC51EF">
        <w:rPr>
          <w:rStyle w:val="da"/>
          <w:rFonts w:asciiTheme="minorEastAsia" w:eastAsiaTheme="minorEastAsia" w:hAnsiTheme="minorEastAsia"/>
          <w:color w:val="000000" w:themeColor="text1"/>
        </w:rPr>
        <w:t>3</w:t>
      </w:r>
      <w:r w:rsidRPr="00CC51EF">
        <w:rPr>
          <w:rStyle w:val="da"/>
          <w:rFonts w:asciiTheme="minorEastAsia" w:eastAsiaTheme="minorEastAsia" w:hAnsiTheme="minorEastAsia" w:hint="eastAsia"/>
          <w:color w:val="000000" w:themeColor="text1"/>
        </w:rPr>
        <w:t>、暂停申购或赎回的公告和重新开放申购或赎回的公告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（1）</w:t>
      </w:r>
      <w:r w:rsidRPr="00CC51EF">
        <w:rPr>
          <w:rStyle w:val="da"/>
          <w:rFonts w:asciiTheme="minorEastAsia" w:eastAsiaTheme="minorEastAsia" w:hAnsiTheme="minorEastAsia" w:hint="eastAsia"/>
          <w:color w:val="000000" w:themeColor="text1"/>
        </w:rPr>
        <w:t>发生上述暂停申购或赎回情况的，基金管理人应在规定期限内在规定媒介上刊登暂停公告。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color w:val="000000" w:themeColor="text1"/>
        </w:rPr>
        <w:t>（2）</w:t>
      </w:r>
      <w:r w:rsidRPr="00CC51EF">
        <w:rPr>
          <w:rStyle w:val="da"/>
          <w:rFonts w:asciiTheme="minorEastAsia" w:eastAsiaTheme="minorEastAsia" w:hAnsiTheme="minorEastAsia" w:hint="eastAsia"/>
          <w:color w:val="000000" w:themeColor="text1"/>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bookmarkEnd w:id="51"/>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（十二）基金份额折算</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在对基金份额持有人利益无实质不利影响的前提下，基金管理人经与基金托管人协商一致，可对基金份额进行折算，不需召开基金份额持有人大会审议。</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（十三）实施侧袋机制期间本基金的申购与赎回</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本基金实施侧袋机制的，本基金的申购和赎回安排详见本招募说明书“侧袋机制”部分的规定或相关公告。</w:t>
      </w:r>
    </w:p>
    <w:p w:rsidR="001B2ECA" w:rsidRPr="00CC51EF">
      <w:pPr>
        <w:spacing w:line="360" w:lineRule="auto"/>
        <w:ind w:firstLine="420"/>
        <w:rPr>
          <w:rStyle w:val="da"/>
          <w:rFonts w:asciiTheme="minorEastAsia" w:eastAsiaTheme="minorEastAsia" w:hAnsiTheme="minorEastAsia"/>
          <w:color w:val="000000" w:themeColor="text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pStyle w:val="11"/>
        <w:spacing w:before="317" w:after="317" w:line="320" w:lineRule="exact"/>
        <w:ind w:firstLine="600"/>
        <w:rPr>
          <w:rFonts w:asciiTheme="minorEastAsia" w:eastAsiaTheme="minorEastAsia" w:hAnsiTheme="minorEastAsia"/>
          <w:color w:val="000000" w:themeColor="text1"/>
          <w:sz w:val="30"/>
        </w:rPr>
      </w:pPr>
      <w:r w:rsidRPr="00CC51EF">
        <w:rPr>
          <w:rFonts w:asciiTheme="minorEastAsia" w:eastAsiaTheme="minorEastAsia" w:hAnsiTheme="minorEastAsia" w:hint="eastAsia"/>
          <w:color w:val="000000" w:themeColor="text1"/>
          <w:sz w:val="30"/>
        </w:rPr>
        <w:br w:type="column"/>
      </w:r>
      <w:bookmarkStart w:id="52" w:name="_Toc332373516"/>
      <w:bookmarkStart w:id="53" w:name="_Toc134548076"/>
      <w:r w:rsidRPr="00CC51EF">
        <w:rPr>
          <w:rFonts w:asciiTheme="minorEastAsia" w:eastAsiaTheme="minorEastAsia" w:hAnsiTheme="minorEastAsia" w:hint="eastAsia"/>
          <w:color w:val="000000" w:themeColor="text1"/>
          <w:sz w:val="30"/>
        </w:rPr>
        <w:t>九、</w:t>
      </w:r>
      <w:bookmarkEnd w:id="52"/>
      <w:r w:rsidRPr="00CC51EF">
        <w:rPr>
          <w:rFonts w:asciiTheme="minorEastAsia" w:eastAsiaTheme="minorEastAsia" w:hAnsiTheme="minorEastAsia" w:hint="eastAsia"/>
          <w:color w:val="000000" w:themeColor="text1"/>
          <w:sz w:val="30"/>
        </w:rPr>
        <w:t>基金转换和定期定额投资计划</w:t>
      </w:r>
      <w:bookmarkEnd w:id="53"/>
    </w:p>
    <w:p w:rsidR="001B2ECA" w:rsidRPr="00CC51EF">
      <w:pPr>
        <w:spacing w:line="360" w:lineRule="auto"/>
        <w:ind w:firstLine="420"/>
        <w:rPr>
          <w:rStyle w:val="da"/>
          <w:rFonts w:asciiTheme="minorEastAsia" w:eastAsiaTheme="minorEastAsia" w:hAnsiTheme="minorEastAsia"/>
          <w:color w:val="000000" w:themeColor="text1"/>
        </w:rPr>
      </w:pPr>
      <w:bookmarkStart w:id="54" w:name="_Toc332373517"/>
      <w:r w:rsidRPr="00CC51EF">
        <w:rPr>
          <w:rStyle w:val="da"/>
          <w:rFonts w:asciiTheme="minorEastAsia" w:eastAsiaTheme="minorEastAsia" w:hAnsiTheme="minorEastAsia" w:hint="eastAsia"/>
          <w:color w:val="000000" w:themeColor="text1"/>
        </w:rPr>
        <w:t>（一）基金转换</w:t>
      </w:r>
      <w:bookmarkEnd w:id="54"/>
    </w:p>
    <w:p w:rsidR="0020712B" w:rsidRPr="00CC51EF" w:rsidP="0020712B">
      <w:pPr>
        <w:spacing w:line="360" w:lineRule="auto"/>
        <w:ind w:firstLine="420" w:firstLineChars="200"/>
        <w:rPr>
          <w:rStyle w:val="da"/>
          <w:rFonts w:asciiTheme="minorEastAsia" w:eastAsiaTheme="minorEastAsia" w:hAnsiTheme="minorEastAsia"/>
          <w:color w:val="000000" w:themeColor="text1"/>
          <w:szCs w:val="21"/>
        </w:rPr>
      </w:pPr>
      <w:bookmarkStart w:id="55" w:name="_Toc332373518"/>
      <w:r w:rsidRPr="00CC51EF">
        <w:rPr>
          <w:rStyle w:val="da"/>
          <w:rFonts w:asciiTheme="minorEastAsia" w:eastAsiaTheme="minorEastAsia" w:hAnsiTheme="minorEastAsia" w:hint="eastAsia"/>
          <w:color w:val="000000" w:themeColor="text1"/>
          <w:szCs w:val="21"/>
        </w:rPr>
        <w:t>1、基金转换</w:t>
      </w:r>
      <w:r w:rsidRPr="00CC51EF">
        <w:rPr>
          <w:rFonts w:asciiTheme="minorEastAsia" w:eastAsiaTheme="minorEastAsia" w:hAnsiTheme="minorEastAsia" w:hint="eastAsia"/>
          <w:color w:val="000000" w:themeColor="text1"/>
          <w:szCs w:val="21"/>
        </w:rPr>
        <w:t>开始日及时间</w:t>
      </w:r>
    </w:p>
    <w:p w:rsidR="0020712B" w:rsidRPr="00CC51EF" w:rsidP="0020712B">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hint="eastAsia"/>
          <w:color w:val="000000" w:themeColor="text1"/>
          <w:szCs w:val="21"/>
        </w:rPr>
        <w:t>本基金已于2021年</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月24日开始办理基金转换业务。</w:t>
      </w:r>
    </w:p>
    <w:p w:rsidR="0020712B" w:rsidRPr="00CC51EF" w:rsidP="0020712B">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w:t>
      </w:r>
      <w:r w:rsidRPr="00CC51EF">
        <w:rPr>
          <w:rFonts w:asciiTheme="minorEastAsia" w:eastAsiaTheme="minorEastAsia" w:hAnsiTheme="minorEastAsia" w:hint="eastAsia"/>
          <w:bCs/>
          <w:color w:val="000000" w:themeColor="text1"/>
          <w:szCs w:val="21"/>
        </w:rPr>
        <w:t>若该交易日非港股通交易日，则本基金不开放转换）</w:t>
      </w:r>
      <w:r w:rsidRPr="00CC51EF">
        <w:rPr>
          <w:rFonts w:asciiTheme="minorEastAsia" w:eastAsiaTheme="minorEastAsia" w:hAnsiTheme="minorEastAsia" w:cs="Arial" w:hint="eastAsia"/>
          <w:color w:val="000000" w:themeColor="text1"/>
          <w:szCs w:val="21"/>
        </w:rPr>
        <w:t>。开放日的具体业务办理时间为上海证券交易所、深圳证券交易所交易日的交易时间，但基金管理人根据法律法规或基金合同的规定公告暂停转换时除外。</w:t>
      </w:r>
    </w:p>
    <w:p w:rsidR="0020712B" w:rsidRPr="00CC51EF" w:rsidP="0020712B">
      <w:pPr>
        <w:spacing w:line="360" w:lineRule="auto"/>
        <w:ind w:firstLine="420"/>
        <w:rPr>
          <w:rFonts w:asciiTheme="minorEastAsia" w:eastAsiaTheme="minorEastAsia" w:hAnsiTheme="minorEastAsia" w:cs="Arial"/>
          <w:color w:val="000000" w:themeColor="text1"/>
          <w:szCs w:val="21"/>
        </w:rPr>
      </w:pPr>
      <w:r w:rsidRPr="00CC51EF">
        <w:rPr>
          <w:rStyle w:val="da"/>
          <w:rFonts w:asciiTheme="minorEastAsia" w:eastAsiaTheme="minorEastAsia" w:hAnsiTheme="minorEastAsia" w:hint="eastAsia"/>
          <w:color w:val="000000" w:themeColor="text1"/>
          <w:szCs w:val="21"/>
        </w:rPr>
        <w:t>若出现新的证券</w:t>
      </w:r>
      <w:r w:rsidRPr="00CC51EF">
        <w:rPr>
          <w:rStyle w:val="da"/>
          <w:rFonts w:asciiTheme="minorEastAsia" w:eastAsiaTheme="minorEastAsia" w:hAnsiTheme="minorEastAsia"/>
          <w:color w:val="000000" w:themeColor="text1"/>
          <w:szCs w:val="21"/>
        </w:rPr>
        <w:t>/</w:t>
      </w:r>
      <w:r w:rsidRPr="00CC51EF">
        <w:rPr>
          <w:rStyle w:val="da"/>
          <w:rFonts w:asciiTheme="minorEastAsia" w:eastAsiaTheme="minorEastAsia" w:hAnsiTheme="minorEastAsia" w:hint="eastAsia"/>
          <w:color w:val="000000" w:themeColor="text1"/>
          <w:szCs w:val="21"/>
        </w:rPr>
        <w:t>期货交易市场、证券</w:t>
      </w:r>
      <w:r w:rsidRPr="00CC51EF">
        <w:rPr>
          <w:rStyle w:val="da"/>
          <w:rFonts w:asciiTheme="minorEastAsia" w:eastAsiaTheme="minorEastAsia" w:hAnsiTheme="minorEastAsia"/>
          <w:color w:val="000000" w:themeColor="text1"/>
          <w:szCs w:val="21"/>
        </w:rPr>
        <w:t>/</w:t>
      </w:r>
      <w:r w:rsidRPr="00CC51EF">
        <w:rPr>
          <w:rStyle w:val="da"/>
          <w:rFonts w:asciiTheme="minorEastAsia" w:eastAsiaTheme="minorEastAsia" w:hAnsiTheme="minorEastAsia" w:hint="eastAsia"/>
          <w:color w:val="000000" w:themeColor="text1"/>
          <w:szCs w:val="21"/>
        </w:rPr>
        <w:t>期货交易所交易时间变更、其他特殊情况或根据业务需要</w:t>
      </w:r>
      <w:r w:rsidRPr="00CC51EF">
        <w:rPr>
          <w:rFonts w:asciiTheme="minorEastAsia" w:eastAsiaTheme="minorEastAsia" w:hAnsiTheme="minorEastAsia" w:hint="eastAsia"/>
          <w:bCs/>
          <w:color w:val="000000" w:themeColor="text1"/>
          <w:szCs w:val="21"/>
        </w:rPr>
        <w:t>，基金管理人将视情况对前述开放日及开放时间进行相应的调整，但应在实施前依照</w:t>
      </w:r>
      <w:r w:rsidRPr="00CC51EF">
        <w:rPr>
          <w:rFonts w:asciiTheme="minorEastAsia" w:eastAsiaTheme="minorEastAsia" w:hAnsiTheme="minorEastAsia" w:cs="Arial" w:hint="eastAsia"/>
          <w:color w:val="000000" w:themeColor="text1"/>
          <w:szCs w:val="21"/>
        </w:rPr>
        <w:t>《信息披露办法》的有关规定在规定媒介上公告。</w:t>
      </w:r>
    </w:p>
    <w:p w:rsidR="0020712B" w:rsidRPr="00CC51EF" w:rsidP="0020712B">
      <w:pPr>
        <w:spacing w:line="360" w:lineRule="auto"/>
        <w:ind w:firstLine="420"/>
        <w:rPr>
          <w:rFonts w:asciiTheme="minorEastAsia" w:eastAsiaTheme="minorEastAsia" w:hAnsiTheme="minorEastAsia" w:cs="Arial"/>
          <w:color w:val="000000" w:themeColor="text1"/>
          <w:szCs w:val="21"/>
        </w:rPr>
      </w:pPr>
      <w:r w:rsidRPr="00CC51EF">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2、</w:t>
      </w:r>
      <w:r w:rsidRPr="00CC51EF">
        <w:rPr>
          <w:rFonts w:asciiTheme="minorEastAsia" w:eastAsiaTheme="minorEastAsia" w:hAnsiTheme="minorEastAsia" w:hint="eastAsia"/>
          <w:color w:val="000000" w:themeColor="text1"/>
          <w:szCs w:val="21"/>
        </w:rPr>
        <w:t>基金转换的原则</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（7）转入本基金的份额计算结果保留到小数点后两位，小数点后两位以后的部分四舍</w:t>
      </w:r>
      <w:r w:rsidRPr="00CC51EF">
        <w:rPr>
          <w:rFonts w:asciiTheme="minorEastAsia" w:eastAsiaTheme="minorEastAsia" w:hAnsiTheme="minorEastAsia" w:hint="eastAsia"/>
          <w:color w:val="000000" w:themeColor="text1"/>
          <w:szCs w:val="21"/>
        </w:rPr>
        <w:t>五入，由此误差产生的损失由基金财产承担，产生的收益归基金财产所有。</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3、基金转换的程序</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（1）基金转换的申请方式</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提交基金转换申请时，账户中必须有足够可用的转出基金份额余额。</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（2）基金转换申请的确认</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基金管理人应以交易时间结束前受理有效基金转换申请的当天作为基金转换的申请日(T日)，在正常情况下，本基金注册登记机构在T+1日前(含T+1日)对该交易的有效性进行确认。T日提交的有效申请，投资人应在T+2 日后(包括该日)到销售网点柜台或以销售机构规定的其他方式查询申请的确认情况。</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4、基金转换的数额限制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份额持有人可将其全部或部分基金份额转换成另一只基金，每类基金份额单笔转出申请不得少于1份（如该账户在该销售机构托管的该类基金份额余额不足1份，则必须一次性赎回或转出该类基金份额全部份额）；若某笔转换导致投资者在该销售机构托管的该类基金份额余额不足1份时，基金管理人有权将投资者在该销售机构托管的该类基金份额剩余份额一次性全部赎回。</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5、基金转换费率</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6、基金转换份额的计算方式</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计算公式：</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A＝［B×C×(1-D)/（1+G）+F］/E</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H＝ B×C×D</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J＝[B×C×(1-D)/(1+G)]×G</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为申购补差费。</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说明：</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（1）基金转换费用由转出基金赎回费用及基金申购补差费用两部分构成。</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例：假设某持有人（其他投资者）持有本基金A类基金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0.5%。转换份额计算如下：</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转换金额=转出基金申请份额×转出基金份额净值=10,000×1.1000=11,000.00元</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转出基金赎回费=转换金额×转出基金赎回费率=11,000.00×0.5%=55.00元</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申购补差费=（转换金额-转出基金赎回费）×申购补差费率÷（1＋申购补差费率）=（11,000.00-55.00）×0.5%÷(1+0.5%）=54.45元</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转换费=转出基金赎回费+申购补差费=55.00+54.45=109.45元</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转入金额=转换金额-转换费=11,000.00-109.45=10,890.55元</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转入份额=转入金额÷转入基金份额净值=10,890.55÷1.020=10,677.01份</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7、基金转换的注册登记</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8、基金转换与巨额赎回</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若本基金</w:t>
      </w:r>
      <w:r w:rsidRPr="00CC51EF">
        <w:rPr>
          <w:rFonts w:asciiTheme="minorEastAsia" w:eastAsiaTheme="minorEastAsia" w:hAnsiTheme="minorEastAsia" w:hint="eastAsia"/>
          <w:bCs/>
          <w:color w:val="000000" w:themeColor="text1"/>
          <w:szCs w:val="21"/>
        </w:rPr>
        <w:t>单个开放日内的基金份额净赎回申请（赎回申请份额总数加上基金转换中转出申请份额总数后扣除申购申请份额总数及基金转换中转入申请份额总数后的余额）超过前一开放日的基金总份额的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color w:val="000000" w:themeColor="text1"/>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9、拒绝或暂停基金转换的情形</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发生下列情况时，基金管理人可拒绝或暂停接受基金投资者的转换申请：</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（1）因不可抗力导致基金无法正常运作或因不可抗力导致基金管理人不能支付转换转出款项。</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（2）发生《基金合同》规定的暂停基金资产估值情况时。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（3）基金进行交易的主要证券/期货交易市场交易时间非正常停市。</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（4）基金管理人认为接受某笔或某些转换转入申请可能会影响或损害现有基金份额持有人利益时。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（7）基金管理人接受某笔或者某些转换转入申请有可能导致单一投资者持有基金份额的比例达到或者超过50%，或者变相规避50%集中度的情形时。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8）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9）当前一估值日基金资产净值50%以上的资产出现无可参考的活跃市场价格且采用估值技术仍导致公允价值存在重大不确定性时，经与基金托管人协商确认后，基金管理人应当采取暂停接受基金转换申请等措施。</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10）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（11）连续两个或两个以上开放日发生巨额赎回。</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（12）发生继续接受转换转出申请将损害现有基金份额持有人利益的情形时，基金管理人可暂停接受基金份额持有人的转换转出申请。</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（13）本基金的资产组合中的重要部分发生暂停交易或其他重大事件，继续接受转换转出可能会影响或损害基金份额持有人利益时。</w:t>
      </w:r>
    </w:p>
    <w:p w:rsidR="0020712B" w:rsidRPr="00CC51EF" w:rsidP="0020712B">
      <w:pPr>
        <w:spacing w:line="360" w:lineRule="auto"/>
        <w:ind w:firstLine="420" w:firstLineChars="20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（14）法律法规规定或中国证监会认定的其他情形。</w:t>
      </w:r>
    </w:p>
    <w:p w:rsidR="001B2ECA" w:rsidRPr="00CC51EF" w:rsidP="0020712B">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规定媒介上公告。</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（二）定期定额投资计划</w:t>
      </w:r>
      <w:bookmarkEnd w:id="55"/>
    </w:p>
    <w:p w:rsidR="001B2ECA" w:rsidRPr="00CC51EF">
      <w:pPr>
        <w:spacing w:line="360" w:lineRule="auto"/>
        <w:ind w:firstLine="420"/>
        <w:rPr>
          <w:rStyle w:val="da"/>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本基金已于2021年3月24日开始办理</w:t>
      </w:r>
      <w:r w:rsidRPr="00CC51EF">
        <w:rPr>
          <w:rStyle w:val="da"/>
          <w:rFonts w:asciiTheme="minorEastAsia" w:eastAsiaTheme="minorEastAsia" w:hAnsiTheme="minorEastAsia" w:hint="eastAsia"/>
          <w:color w:val="000000" w:themeColor="text1"/>
        </w:rPr>
        <w:t>定期定额投资</w:t>
      </w:r>
      <w:r w:rsidRPr="00CC51EF">
        <w:rPr>
          <w:rFonts w:asciiTheme="minorEastAsia" w:eastAsiaTheme="minorEastAsia" w:hAnsiTheme="minorEastAsia" w:hint="eastAsia"/>
          <w:color w:val="000000" w:themeColor="text1"/>
          <w:szCs w:val="21"/>
        </w:rPr>
        <w:t>业务，</w:t>
      </w:r>
      <w:r w:rsidRPr="00CC51EF">
        <w:rPr>
          <w:rFonts w:asciiTheme="minorEastAsia" w:eastAsiaTheme="minorEastAsia" w:hAnsiTheme="minorEastAsia" w:cs="Arial" w:hint="eastAsia"/>
          <w:color w:val="000000" w:themeColor="text1"/>
          <w:szCs w:val="21"/>
        </w:rPr>
        <w:t>具体实施办法参见相关公告。</w:t>
      </w:r>
    </w:p>
    <w:p w:rsidR="001B2ECA" w:rsidRPr="00CC51EF">
      <w:pPr>
        <w:spacing w:line="360" w:lineRule="auto"/>
        <w:ind w:firstLine="480"/>
        <w:rPr>
          <w:rFonts w:asciiTheme="minorEastAsia" w:eastAsiaTheme="minorEastAsia" w:hAnsiTheme="minorEastAsia"/>
          <w:color w:val="000000" w:themeColor="text1"/>
          <w:sz w:val="24"/>
        </w:rPr>
      </w:pPr>
    </w:p>
    <w:p w:rsidR="001B2ECA" w:rsidRPr="00CC51EF">
      <w:pPr>
        <w:spacing w:before="100" w:beforeAutospacing="1" w:after="100" w:afterAutospacing="1" w:line="400" w:lineRule="exact"/>
        <w:ind w:firstLine="420"/>
        <w:rPr>
          <w:rFonts w:asciiTheme="minorEastAsia" w:eastAsiaTheme="minorEastAsia" w:hAnsiTheme="minorEastAsia"/>
          <w:color w:val="000000" w:themeColor="text1"/>
          <w:szCs w:val="21"/>
        </w:rPr>
      </w:pPr>
    </w:p>
    <w:p w:rsidR="001B2ECA" w:rsidRPr="00CC51EF">
      <w:pPr>
        <w:pStyle w:val="11"/>
        <w:spacing w:before="317" w:after="317" w:line="320" w:lineRule="exact"/>
        <w:ind w:firstLine="600"/>
        <w:rPr>
          <w:rFonts w:asciiTheme="minorEastAsia" w:eastAsiaTheme="minorEastAsia" w:hAnsiTheme="minorEastAsia"/>
          <w:bCs/>
          <w:color w:val="000000" w:themeColor="text1"/>
          <w:sz w:val="28"/>
          <w:szCs w:val="44"/>
        </w:rPr>
      </w:pPr>
      <w:r w:rsidRPr="00CC51EF">
        <w:rPr>
          <w:rFonts w:asciiTheme="minorEastAsia" w:eastAsiaTheme="minorEastAsia" w:hAnsiTheme="minorEastAsia" w:hint="eastAsia"/>
          <w:color w:val="000000" w:themeColor="text1"/>
          <w:sz w:val="30"/>
        </w:rPr>
        <w:br w:type="column"/>
      </w:r>
      <w:bookmarkStart w:id="56" w:name="_Toc332373519"/>
      <w:bookmarkStart w:id="57" w:name="_Toc134548077"/>
      <w:r w:rsidRPr="00CC51EF">
        <w:rPr>
          <w:rFonts w:asciiTheme="minorEastAsia" w:eastAsiaTheme="minorEastAsia" w:hAnsiTheme="minorEastAsia" w:hint="eastAsia"/>
          <w:color w:val="000000" w:themeColor="text1"/>
          <w:sz w:val="30"/>
        </w:rPr>
        <w:t>十、基金的转托管、质押、非交易过户、冻结与解冻</w:t>
      </w:r>
      <w:bookmarkEnd w:id="56"/>
      <w:bookmarkEnd w:id="57"/>
    </w:p>
    <w:p w:rsidR="001B2ECA" w:rsidRPr="00CC51EF">
      <w:pPr>
        <w:spacing w:line="360" w:lineRule="auto"/>
        <w:ind w:firstLine="420"/>
        <w:rPr>
          <w:rStyle w:val="da"/>
          <w:rFonts w:asciiTheme="minorEastAsia" w:eastAsiaTheme="minorEastAsia" w:hAnsiTheme="minorEastAsia"/>
          <w:color w:val="000000" w:themeColor="text1"/>
        </w:rPr>
      </w:pPr>
      <w:bookmarkStart w:id="58" w:name="_Toc332373520"/>
      <w:bookmarkStart w:id="59" w:name="_Toc79392621"/>
      <w:r w:rsidRPr="00CC51EF">
        <w:rPr>
          <w:rStyle w:val="da"/>
          <w:rFonts w:asciiTheme="minorEastAsia" w:eastAsiaTheme="minorEastAsia" w:hAnsiTheme="minorEastAsia" w:hint="eastAsia"/>
          <w:color w:val="000000" w:themeColor="text1"/>
        </w:rPr>
        <w:t>（一）基金的转托管</w:t>
      </w:r>
      <w:bookmarkEnd w:id="58"/>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基金份额持有人可办理已持有基金份额在不同销售机构之间的转托管，基金销售机构可以按照规定的标准收取转托管费。具体办理方法参照《业务规则》的有关规定以及各销售机构的业务规则。</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（二）基金份额的质押</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在条件许可的情况下，基金登记机构可依据相关法律法规及其业务规则，办理基金份额质押业务，并可收取一定的手续费。</w:t>
      </w:r>
    </w:p>
    <w:p w:rsidR="001B2ECA" w:rsidRPr="00CC51EF">
      <w:pPr>
        <w:spacing w:line="360" w:lineRule="auto"/>
        <w:ind w:firstLine="420"/>
        <w:rPr>
          <w:rStyle w:val="da"/>
          <w:rFonts w:asciiTheme="minorEastAsia" w:eastAsiaTheme="minorEastAsia" w:hAnsiTheme="minorEastAsia"/>
          <w:color w:val="000000" w:themeColor="text1"/>
        </w:rPr>
      </w:pPr>
      <w:bookmarkStart w:id="60" w:name="_Toc332373521"/>
      <w:r w:rsidRPr="00CC51EF">
        <w:rPr>
          <w:rStyle w:val="da"/>
          <w:rFonts w:asciiTheme="minorEastAsia" w:eastAsiaTheme="minorEastAsia" w:hAnsiTheme="minorEastAsia" w:hint="eastAsia"/>
          <w:color w:val="000000" w:themeColor="text1"/>
        </w:rPr>
        <w:t>（三）基金的非交易过户</w:t>
      </w:r>
      <w:bookmarkEnd w:id="60"/>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B2ECA" w:rsidRPr="00CC51EF">
      <w:pPr>
        <w:spacing w:line="360" w:lineRule="auto"/>
        <w:ind w:firstLine="420"/>
        <w:rPr>
          <w:rStyle w:val="da"/>
          <w:rFonts w:asciiTheme="minorEastAsia" w:eastAsiaTheme="minorEastAsia" w:hAnsiTheme="minorEastAsia"/>
          <w:color w:val="000000" w:themeColor="text1"/>
        </w:rPr>
      </w:pPr>
      <w:bookmarkStart w:id="61" w:name="_Toc332373522"/>
      <w:r w:rsidRPr="00CC51EF">
        <w:rPr>
          <w:rStyle w:val="da"/>
          <w:rFonts w:asciiTheme="minorEastAsia" w:eastAsiaTheme="minorEastAsia" w:hAnsiTheme="minorEastAsia" w:hint="eastAsia"/>
          <w:color w:val="000000" w:themeColor="text1"/>
        </w:rPr>
        <w:t>（四）基金的冻结与解冻</w:t>
      </w:r>
      <w:bookmarkEnd w:id="61"/>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基金登记机构只受理国家有权机关依法要求的基金份额的冻结与解冻，以及登记机构认可、符合法律法规的其他情况下的冻结与解冻。</w:t>
      </w:r>
      <w:bookmarkEnd w:id="59"/>
    </w:p>
    <w:p w:rsidR="001B2ECA" w:rsidRPr="00CC51EF">
      <w:pPr>
        <w:pStyle w:val="11"/>
        <w:spacing w:before="317" w:after="317" w:line="320" w:lineRule="exact"/>
        <w:ind w:firstLine="64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rPr>
        <w:br w:type="column"/>
      </w:r>
      <w:bookmarkStart w:id="62" w:name="_Toc332373523"/>
      <w:bookmarkStart w:id="63" w:name="_Toc134548078"/>
      <w:r w:rsidRPr="00CC51EF">
        <w:rPr>
          <w:rFonts w:asciiTheme="minorEastAsia" w:eastAsiaTheme="minorEastAsia" w:hAnsiTheme="minorEastAsia" w:hint="eastAsia"/>
          <w:color w:val="000000" w:themeColor="text1"/>
          <w:sz w:val="30"/>
        </w:rPr>
        <w:t>十一、基金的投资</w:t>
      </w:r>
      <w:bookmarkEnd w:id="62"/>
      <w:bookmarkEnd w:id="63"/>
    </w:p>
    <w:p w:rsidR="001B2ECA" w:rsidRPr="00CC51EF">
      <w:pPr>
        <w:spacing w:line="360" w:lineRule="auto"/>
        <w:ind w:firstLine="420"/>
        <w:rPr>
          <w:rStyle w:val="da"/>
          <w:rFonts w:asciiTheme="minorEastAsia" w:eastAsiaTheme="minorEastAsia" w:hAnsiTheme="minorEastAsia"/>
          <w:color w:val="000000" w:themeColor="text1"/>
          <w:szCs w:val="21"/>
        </w:rPr>
      </w:pPr>
      <w:bookmarkStart w:id="64" w:name="_Toc332373524"/>
      <w:r w:rsidRPr="00CC51EF">
        <w:rPr>
          <w:rStyle w:val="da"/>
          <w:rFonts w:asciiTheme="minorEastAsia" w:eastAsiaTheme="minorEastAsia" w:hAnsiTheme="minorEastAsia" w:hint="eastAsia"/>
          <w:color w:val="000000" w:themeColor="text1"/>
          <w:szCs w:val="21"/>
        </w:rPr>
        <w:t>（一）投资目标</w:t>
      </w:r>
      <w:bookmarkEnd w:id="64"/>
    </w:p>
    <w:p w:rsidR="001B2ECA" w:rsidRPr="00CC51EF">
      <w:pPr>
        <w:spacing w:line="360" w:lineRule="auto"/>
        <w:ind w:firstLine="420"/>
        <w:rPr>
          <w:rFonts w:asciiTheme="minorEastAsia" w:eastAsiaTheme="minorEastAsia" w:hAnsiTheme="minorEastAsia"/>
          <w:color w:val="000000" w:themeColor="text1"/>
          <w:szCs w:val="21"/>
        </w:rPr>
      </w:pPr>
      <w:bookmarkStart w:id="65" w:name="_Toc332373525"/>
      <w:r w:rsidRPr="00CC51EF">
        <w:rPr>
          <w:rFonts w:asciiTheme="minorEastAsia" w:eastAsiaTheme="minorEastAsia" w:hAnsiTheme="minorEastAsia" w:hint="eastAsia"/>
          <w:color w:val="000000" w:themeColor="text1"/>
          <w:szCs w:val="21"/>
        </w:rPr>
        <w:t>本基金主要投资</w:t>
      </w:r>
      <w:r w:rsidRPr="00CC51EF">
        <w:rPr>
          <w:rFonts w:asciiTheme="minorEastAsia" w:eastAsiaTheme="minorEastAsia" w:hAnsiTheme="minorEastAsia" w:cs="宋体" w:hint="eastAsia"/>
          <w:bCs/>
          <w:color w:val="000000" w:themeColor="text1"/>
          <w:szCs w:val="21"/>
        </w:rPr>
        <w:t>战略新兴产业</w:t>
      </w:r>
      <w:r w:rsidRPr="00CC51EF">
        <w:rPr>
          <w:rFonts w:asciiTheme="minorEastAsia" w:eastAsiaTheme="minorEastAsia" w:hAnsiTheme="minorEastAsia" w:hint="eastAsia"/>
          <w:color w:val="000000" w:themeColor="text1"/>
          <w:szCs w:val="21"/>
        </w:rPr>
        <w:t>相关证券，在控制风险的前提下，追求超越业绩比较基准的投资回报。</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（二）投资范围</w:t>
      </w:r>
      <w:bookmarkEnd w:id="65"/>
    </w:p>
    <w:p w:rsidR="001B2ECA" w:rsidRPr="00CC51EF">
      <w:pPr>
        <w:spacing w:line="360" w:lineRule="auto"/>
        <w:ind w:firstLine="420"/>
        <w:rPr>
          <w:rFonts w:asciiTheme="minorEastAsia" w:eastAsiaTheme="minorEastAsia" w:hAnsiTheme="minorEastAsia"/>
          <w:color w:val="000000" w:themeColor="text1"/>
          <w:szCs w:val="21"/>
        </w:rPr>
      </w:pPr>
      <w:bookmarkStart w:id="66" w:name="_Toc359426195"/>
      <w:bookmarkStart w:id="67" w:name="_Toc332373526"/>
      <w:r w:rsidRPr="00CC51EF">
        <w:rPr>
          <w:rFonts w:asciiTheme="minorEastAsia" w:eastAsiaTheme="minorEastAsia" w:hAnsiTheme="minorEastAsia" w:hint="eastAsia"/>
          <w:color w:val="000000" w:themeColor="text1"/>
          <w:szCs w:val="21"/>
        </w:rPr>
        <w:t>本基金的投资范围包括内地依法发行上市的股票（含中小板、创业板及其他依法发行、上市的股票）、内地与香港股票市场交易互联互通机制允许买卖的香港证券市场股票（以下简称</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港股通股票</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如法律法规或监管机构以后允许基金投资其他品种，基金管理人在履行适当程序后，本基金可以</w:t>
      </w:r>
      <w:r w:rsidRPr="00CC51EF">
        <w:rPr>
          <w:rFonts w:asciiTheme="minorEastAsia" w:eastAsiaTheme="minorEastAsia" w:hAnsiTheme="minorEastAsia" w:hint="eastAsia"/>
          <w:bCs/>
          <w:color w:val="000000" w:themeColor="text1"/>
          <w:szCs w:val="21"/>
        </w:rPr>
        <w:t>将其纳入投资范围</w:t>
      </w:r>
      <w:r w:rsidRPr="00CC51EF">
        <w:rPr>
          <w:rFonts w:asciiTheme="minorEastAsia" w:eastAsiaTheme="minorEastAsia" w:hAnsiTheme="minorEastAsia" w:hint="eastAsia"/>
          <w:color w:val="000000" w:themeColor="text1"/>
          <w:szCs w:val="2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基金的投资组合比例为：</w:t>
      </w:r>
      <w:r w:rsidRPr="00CC51EF">
        <w:rPr>
          <w:rFonts w:asciiTheme="minorEastAsia" w:eastAsiaTheme="minorEastAsia" w:hAnsiTheme="minorEastAsia" w:cs="宋体" w:hint="eastAsia"/>
          <w:bCs/>
          <w:color w:val="000000" w:themeColor="text1"/>
          <w:szCs w:val="21"/>
        </w:rPr>
        <w:t>本基金股票资产占基金资产的比例为</w:t>
      </w:r>
      <w:r w:rsidRPr="00CC51EF">
        <w:rPr>
          <w:rFonts w:asciiTheme="minorEastAsia" w:eastAsiaTheme="minorEastAsia" w:hAnsiTheme="minorEastAsia" w:cs="宋体"/>
          <w:bCs/>
          <w:color w:val="000000" w:themeColor="text1"/>
          <w:szCs w:val="21"/>
        </w:rPr>
        <w:t>80%-95%（其中港股通股票不超过股票资产的50%）</w:t>
      </w:r>
      <w:r w:rsidRPr="00CC51EF">
        <w:rPr>
          <w:rFonts w:asciiTheme="minorEastAsia" w:eastAsiaTheme="minorEastAsia" w:hAnsiTheme="minorEastAsia" w:hint="eastAsia"/>
          <w:color w:val="000000" w:themeColor="text1"/>
          <w:szCs w:val="21"/>
        </w:rPr>
        <w:t>；每个交易日日终，扣除股指期货、国债期货、股票期权合约需缴纳的交易保证金后，现金或到期日在一年以内的政府债券不低于基金资产净值的</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，现金不包括结算备付金、存出保证金、应收申购款等。股指期货、国债期货、股票期权及其他金融工具的投资比例依照法律法规或监管机构的规定执行。本基金非现金资产中不低于</w:t>
      </w:r>
      <w:r w:rsidRPr="00CC51EF">
        <w:rPr>
          <w:rFonts w:asciiTheme="minorEastAsia" w:eastAsiaTheme="minorEastAsia" w:hAnsiTheme="minorEastAsia"/>
          <w:color w:val="000000" w:themeColor="text1"/>
          <w:szCs w:val="21"/>
        </w:rPr>
        <w:t>80%</w:t>
      </w:r>
      <w:r w:rsidRPr="00CC51EF">
        <w:rPr>
          <w:rFonts w:asciiTheme="minorEastAsia" w:eastAsiaTheme="minorEastAsia" w:hAnsiTheme="minorEastAsia" w:hint="eastAsia"/>
          <w:color w:val="000000" w:themeColor="text1"/>
          <w:szCs w:val="21"/>
        </w:rPr>
        <w:t>的资产将投资于</w:t>
      </w:r>
      <w:r w:rsidRPr="00CC51EF">
        <w:rPr>
          <w:rFonts w:asciiTheme="minorEastAsia" w:eastAsiaTheme="minorEastAsia" w:hAnsiTheme="minorEastAsia" w:cs="宋体" w:hint="eastAsia"/>
          <w:bCs/>
          <w:color w:val="000000" w:themeColor="text1"/>
          <w:szCs w:val="21"/>
        </w:rPr>
        <w:t>战略新兴产业</w:t>
      </w:r>
      <w:r w:rsidRPr="00CC51EF">
        <w:rPr>
          <w:rFonts w:asciiTheme="minorEastAsia" w:eastAsiaTheme="minorEastAsia" w:hAnsiTheme="minorEastAsia" w:hint="eastAsia"/>
          <w:color w:val="000000" w:themeColor="text1"/>
          <w:szCs w:val="21"/>
        </w:rPr>
        <w:t>相关证券。</w:t>
      </w:r>
      <w:bookmarkEnd w:id="66"/>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（三）投资策略</w:t>
      </w:r>
      <w:bookmarkEnd w:id="67"/>
    </w:p>
    <w:p w:rsidR="001B2ECA" w:rsidRPr="00CC51EF">
      <w:pPr>
        <w:spacing w:line="360" w:lineRule="auto"/>
        <w:ind w:firstLine="420"/>
        <w:rPr>
          <w:rFonts w:asciiTheme="minorEastAsia" w:eastAsiaTheme="minorEastAsia" w:hAnsiTheme="minorEastAsia"/>
          <w:color w:val="000000" w:themeColor="text1"/>
          <w:szCs w:val="21"/>
        </w:rPr>
      </w:pPr>
      <w:bookmarkStart w:id="68" w:name="_Toc332373530"/>
      <w:bookmarkStart w:id="69" w:name="question3"/>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、资产配置策略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本基金将综合考虑宏观与微观经济、市场与政策等因素，确定组合中股票、债券、货币市场工具及其他金融工具的比例。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在资产配置中，本基金主要考虑：（</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）宏观经济因素，包括</w:t>
      </w:r>
      <w:r w:rsidRPr="00CC51EF">
        <w:rPr>
          <w:rFonts w:asciiTheme="minorEastAsia" w:eastAsiaTheme="minorEastAsia" w:hAnsiTheme="minorEastAsia"/>
          <w:color w:val="000000" w:themeColor="text1"/>
          <w:szCs w:val="21"/>
        </w:rPr>
        <w:t>GDP</w:t>
      </w:r>
      <w:r w:rsidRPr="00CC51EF">
        <w:rPr>
          <w:rFonts w:asciiTheme="minorEastAsia" w:eastAsiaTheme="minorEastAsia" w:hAnsiTheme="minorEastAsia" w:hint="eastAsia"/>
          <w:color w:val="000000" w:themeColor="text1"/>
          <w:szCs w:val="21"/>
        </w:rPr>
        <w:t>增长率及其构成、</w:t>
      </w:r>
      <w:r w:rsidRPr="00CC51EF">
        <w:rPr>
          <w:rFonts w:asciiTheme="minorEastAsia" w:eastAsiaTheme="minorEastAsia" w:hAnsiTheme="minorEastAsia"/>
          <w:color w:val="000000" w:themeColor="text1"/>
          <w:szCs w:val="21"/>
        </w:rPr>
        <w:t>CPI</w:t>
      </w:r>
      <w:r w:rsidRPr="00CC51EF">
        <w:rPr>
          <w:rFonts w:asciiTheme="minorEastAsia" w:eastAsiaTheme="minorEastAsia" w:hAnsiTheme="minorEastAsia" w:hint="eastAsia"/>
          <w:color w:val="000000" w:themeColor="text1"/>
          <w:szCs w:val="21"/>
        </w:rPr>
        <w:t>、市场利率水平变化、货币政策等；（</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）微观经济因素，包括各行业主要企业的盈利变化情况及其盈利预期；（</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）市场因素，包括股票及债券市场的涨跌、市场整体估值水平、大类资产的预期收益率水平及其历史比较、市场资金供求关系及其变化；（</w:t>
      </w: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）政策因素，与证券市场密切相关的各种政策出台对市场的影响等。</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s="宋体" w:hint="eastAsia"/>
          <w:bCs/>
          <w:color w:val="000000" w:themeColor="text1"/>
          <w:szCs w:val="21"/>
        </w:rPr>
        <w:t>战略新兴产业</w:t>
      </w:r>
      <w:r w:rsidRPr="00CC51EF">
        <w:rPr>
          <w:rFonts w:asciiTheme="minorEastAsia" w:eastAsiaTheme="minorEastAsia" w:hAnsiTheme="minorEastAsia" w:hint="eastAsia"/>
          <w:color w:val="000000" w:themeColor="text1"/>
          <w:szCs w:val="21"/>
        </w:rPr>
        <w:t>的界定</w:t>
      </w:r>
      <w:r w:rsidRPr="00CC51EF">
        <w:rPr>
          <w:rFonts w:asciiTheme="minorEastAsia" w:eastAsiaTheme="minorEastAsia" w:hAnsiTheme="minorEastAsia"/>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界定的战略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领域。</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本基金所指的</w:t>
      </w:r>
      <w:r w:rsidRPr="00CC51EF">
        <w:rPr>
          <w:rFonts w:asciiTheme="minorEastAsia" w:eastAsiaTheme="minorEastAsia" w:hAnsiTheme="minorEastAsia" w:cs="宋体" w:hint="eastAsia"/>
          <w:bCs/>
          <w:color w:val="000000" w:themeColor="text1"/>
          <w:szCs w:val="21"/>
        </w:rPr>
        <w:t>战略新兴产业</w:t>
      </w:r>
      <w:r w:rsidRPr="00CC51EF">
        <w:rPr>
          <w:rFonts w:asciiTheme="minorEastAsia" w:eastAsiaTheme="minorEastAsia" w:hAnsiTheme="minorEastAsia" w:hint="eastAsia"/>
          <w:color w:val="000000" w:themeColor="text1"/>
          <w:szCs w:val="21"/>
        </w:rPr>
        <w:t>相关证券主要由以下两类公司所发行的证券组成：</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主营业务所属产业为上述战略新兴产业的公司；</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对于当前未被归入前述产业，但后续通过引入技术创新、变革运营模式、实施资产并购或重组以及其他途径实现业务转型，转型后提供的产品或服务隶属于上述产业，且未来有望成为主要收入或利润来源的公司，本基金也可将其纳入战略新兴产业范畴。</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、股票投资策略</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）行业配置策略</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战略新兴产业包括不同的细分子行业。本基金将综合考虑以下因素，进行基金资产在各细分子行业之间的配置及动态调整。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）行业发展空间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本基金对各子行业的发展情况进行持续跟踪分析，适时对各子行业的发展空间进行研判，重点投资于发展空间较大的子行业。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）行业竞争格局</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本基金通过密切跟踪子行业当前进入者的数量、子行业内相关公司的竞争策略等判断各子行业竞争格局的变化，重点投资于竞争格局良好的子行业。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）行业相对估值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本基金将对各子行业的相对估值水平进行动态分析，适时增加相对估值水平较低的子行业的配置比例，降低相对估值水平较高的子行业的配置比例。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）个股投资策略</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本基金通过对以下定性与定量指标的综合分析，选择具有较强竞争优势的公司。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）定性指标</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本基金主要考虑的定性指标有经营情况、研发能力、公司治理、管理团队等。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经营情况方面，本基金将对公司行业地位、商业模式、品牌优势、资源优势、产品或服务的市场前景及竞争力等方面进行深入分析，选择具有长期增长潜力的公司。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研发能力方面，本基金将对公司研发战略、研发管理能力、技术领先程度、研发团队的稳定性等方面进行深入分析，选择具有较强研发能力的公司。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公司治理方面，本基金将对公司治理框架、股东权利行使情况、董事会运作情况、激励与利益分配机制设置情况、信息透明度等进行分析，选择公司治理合理的公司。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管理团队方面，本基金将对管理团队稳定性、专业性、新产品或新业务开拓能力等方面进行分析，选择管理团队稳定、专业、开拓能力强的公司。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）定量指标</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本基金考虑的定量指标主要有盈利能力指标、成长性指标、财务结构指标等。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盈利能力指标方面，本金主要考虑预期营业利润率、预期净资产收益率等。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成长性指标方面，本基金主要考虑预期营业收入增长率、预期净利润增长率等。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财务结构指标方面，本基金主要考虑资产负债率等。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）估值水平分析</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本基金根据公司的行业特性及公司本身的特点，选择合适的股票估值方法。</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）股票投资组合的构建与调整</w:t>
      </w:r>
      <w:r w:rsidRPr="00CC51EF">
        <w:rPr>
          <w:rFonts w:asciiTheme="minorEastAsia" w:eastAsiaTheme="minorEastAsia" w:hAnsiTheme="minorEastAsia"/>
          <w:bCs/>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在以上分析的基础上，本基金将进行股票投资组合的构建。当行业、公司的基本面、股票的估值水平出现较大变化时，本基金将对股票组合适时进行调整。</w:t>
      </w:r>
      <w:r w:rsidRPr="00CC51EF">
        <w:rPr>
          <w:rFonts w:asciiTheme="minorEastAsia" w:eastAsiaTheme="minorEastAsia" w:hAnsiTheme="minorEastAsia"/>
          <w:bCs/>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本基金可根据投资策略需要或不同配置地市场环境的变化，选择将部分基金资产投资于港股或选择不将基金资产投资于港股，基金资产并非必然投资港股。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、债券投资策略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、资产支持证券投资策略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本基金可在综合考虑预期收益率、信用风险、流动性等因素的基础上，选择投资价值较高的资产支持证券进行投资。</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、衍生产品投资策略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7</w:t>
      </w:r>
      <w:r w:rsidRPr="00CC51EF">
        <w:rPr>
          <w:rFonts w:asciiTheme="minorEastAsia" w:eastAsiaTheme="minorEastAsia" w:hAnsiTheme="minorEastAsia" w:hint="eastAsia"/>
          <w:color w:val="000000" w:themeColor="text1"/>
          <w:szCs w:val="21"/>
        </w:rPr>
        <w:t>、为了更好地实现投资目标，在综合考虑预期风险、收益、流动性等因素的基础上，本基金可参与融资业务。</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（四）业绩比较基准</w:t>
      </w:r>
      <w:bookmarkEnd w:id="68"/>
      <w:r w:rsidRPr="00CC51EF">
        <w:rPr>
          <w:rStyle w:val="da"/>
          <w:rFonts w:asciiTheme="minorEastAsia" w:eastAsiaTheme="minorEastAsia" w:hAnsiTheme="minorEastAsia" w:hint="eastAsia"/>
          <w:color w:val="000000" w:themeColor="text1"/>
          <w:szCs w:val="21"/>
        </w:rPr>
        <w:t xml:space="preserve"> </w:t>
      </w:r>
    </w:p>
    <w:p w:rsidR="001B2ECA" w:rsidRPr="00CC51EF">
      <w:pPr>
        <w:spacing w:line="360" w:lineRule="auto"/>
        <w:ind w:firstLine="420"/>
        <w:rPr>
          <w:rFonts w:asciiTheme="minorEastAsia" w:eastAsiaTheme="minorEastAsia" w:hAnsiTheme="minorEastAsia" w:cs="宋体"/>
          <w:bCs/>
          <w:color w:val="000000" w:themeColor="text1"/>
          <w:szCs w:val="21"/>
        </w:rPr>
      </w:pPr>
      <w:bookmarkStart w:id="70" w:name="_Toc332373531"/>
      <w:bookmarkEnd w:id="69"/>
      <w:r w:rsidRPr="00CC51EF">
        <w:rPr>
          <w:rFonts w:asciiTheme="minorEastAsia" w:eastAsiaTheme="minorEastAsia" w:hAnsiTheme="minorEastAsia" w:cs="宋体" w:hint="eastAsia"/>
          <w:bCs/>
          <w:color w:val="000000" w:themeColor="text1"/>
          <w:szCs w:val="21"/>
        </w:rPr>
        <w:t>中国战略新兴产业成份指数收益率×</w:t>
      </w:r>
      <w:r w:rsidRPr="00CC51EF">
        <w:rPr>
          <w:rFonts w:asciiTheme="minorEastAsia" w:eastAsiaTheme="minorEastAsia" w:hAnsiTheme="minorEastAsia" w:cs="宋体"/>
          <w:bCs/>
          <w:color w:val="000000" w:themeColor="text1"/>
          <w:szCs w:val="21"/>
        </w:rPr>
        <w:t xml:space="preserve">60%+中证港股通综合指数收益率×25%+中债总指数收益率×15% </w:t>
      </w:r>
    </w:p>
    <w:p w:rsidR="001B2ECA" w:rsidRPr="00CC51EF">
      <w:pPr>
        <w:spacing w:line="360" w:lineRule="auto"/>
        <w:ind w:firstLine="420"/>
        <w:rPr>
          <w:rFonts w:asciiTheme="minorEastAsia" w:eastAsiaTheme="minorEastAsia" w:hAnsiTheme="minorEastAsia"/>
          <w:bCs/>
          <w:iCs/>
          <w:color w:val="000000" w:themeColor="text1"/>
          <w:szCs w:val="21"/>
        </w:rPr>
      </w:pPr>
      <w:r w:rsidRPr="00CC51EF">
        <w:rPr>
          <w:rFonts w:asciiTheme="minorEastAsia" w:eastAsiaTheme="minorEastAsia" w:hAnsiTheme="minorEastAsia" w:cs="宋体" w:hint="eastAsia"/>
          <w:bCs/>
          <w:color w:val="000000" w:themeColor="text1"/>
          <w:szCs w:val="21"/>
        </w:rPr>
        <w:t>本基金选定中国战略新兴产业成份指数和中证港股通综合指数作为股票部分的业绩比较基准，中债总指数作为固定收益部分的业绩比较基准。</w:t>
      </w:r>
      <w:r w:rsidRPr="00CC51EF">
        <w:rPr>
          <w:rFonts w:asciiTheme="minorEastAsia" w:eastAsiaTheme="minorEastAsia" w:hAnsiTheme="minorEastAsia" w:hint="eastAsia"/>
          <w:bCs/>
          <w:iCs/>
          <w:color w:val="000000" w:themeColor="text1"/>
          <w:szCs w:val="21"/>
        </w:rPr>
        <w:t>选择本基准的原因为：1、根据本基金的资产配置策略，股票和</w:t>
      </w:r>
      <w:r w:rsidRPr="00CC51EF">
        <w:rPr>
          <w:rFonts w:asciiTheme="minorEastAsia" w:eastAsiaTheme="minorEastAsia" w:hAnsiTheme="minorEastAsia" w:cs="宋体" w:hint="eastAsia"/>
          <w:bCs/>
          <w:color w:val="000000" w:themeColor="text1"/>
          <w:szCs w:val="21"/>
        </w:rPr>
        <w:t>固定收益部分各选择一个具有市场代表性的指数作为基准，并按照预期大类资产配置的情况，设定业绩比较基准的权重</w:t>
      </w:r>
      <w:r w:rsidRPr="00CC51EF">
        <w:rPr>
          <w:rFonts w:asciiTheme="minorEastAsia" w:eastAsiaTheme="minorEastAsia" w:hAnsiTheme="minorEastAsia" w:hint="eastAsia"/>
          <w:bCs/>
          <w:iCs/>
          <w:color w:val="000000" w:themeColor="text1"/>
          <w:szCs w:val="21"/>
        </w:rPr>
        <w:t>。</w:t>
      </w:r>
      <w:r w:rsidRPr="00CC51EF">
        <w:rPr>
          <w:rFonts w:asciiTheme="minorEastAsia" w:eastAsiaTheme="minorEastAsia" w:hAnsiTheme="minorEastAsia"/>
          <w:bCs/>
          <w:iCs/>
          <w:color w:val="000000" w:themeColor="text1"/>
          <w:szCs w:val="21"/>
        </w:rPr>
        <w:t>2</w:t>
      </w:r>
      <w:r w:rsidRPr="00CC51EF">
        <w:rPr>
          <w:rFonts w:asciiTheme="minorEastAsia" w:eastAsiaTheme="minorEastAsia" w:hAnsiTheme="minorEastAsia" w:hint="eastAsia"/>
          <w:bCs/>
          <w:iCs/>
          <w:color w:val="000000" w:themeColor="text1"/>
          <w:szCs w:val="21"/>
        </w:rPr>
        <w:t>、在股票部分基准的选择方面，由于本基金主要投资战略新兴产业相关股票，中国战略新兴产业成份指数对内地</w:t>
      </w:r>
      <w:r w:rsidRPr="00CC51EF">
        <w:rPr>
          <w:rFonts w:asciiTheme="minorEastAsia" w:eastAsiaTheme="minorEastAsia" w:hAnsiTheme="minorEastAsia"/>
          <w:bCs/>
          <w:iCs/>
          <w:color w:val="000000" w:themeColor="text1"/>
          <w:szCs w:val="21"/>
        </w:rPr>
        <w:t>战略新兴产业相关</w:t>
      </w:r>
      <w:r w:rsidRPr="00CC51EF">
        <w:rPr>
          <w:rFonts w:asciiTheme="minorEastAsia" w:eastAsiaTheme="minorEastAsia" w:hAnsiTheme="minorEastAsia" w:hint="eastAsia"/>
          <w:bCs/>
          <w:iCs/>
          <w:color w:val="000000" w:themeColor="text1"/>
          <w:szCs w:val="21"/>
        </w:rPr>
        <w:t>股票</w:t>
      </w:r>
      <w:r w:rsidRPr="00CC51EF">
        <w:rPr>
          <w:rFonts w:asciiTheme="minorEastAsia" w:eastAsiaTheme="minorEastAsia" w:hAnsiTheme="minorEastAsia"/>
          <w:bCs/>
          <w:iCs/>
          <w:color w:val="000000" w:themeColor="text1"/>
          <w:szCs w:val="21"/>
        </w:rPr>
        <w:t>具有较强代表性，适合</w:t>
      </w:r>
      <w:r w:rsidRPr="00CC51EF">
        <w:rPr>
          <w:rFonts w:asciiTheme="minorEastAsia" w:eastAsiaTheme="minorEastAsia" w:hAnsiTheme="minorEastAsia" w:hint="eastAsia"/>
          <w:bCs/>
          <w:iCs/>
          <w:color w:val="000000" w:themeColor="text1"/>
          <w:szCs w:val="21"/>
        </w:rPr>
        <w:t>作为内地股票部分的基准；此外，本基金股票投资范围既包括内地依法发行上市的股票，也包括港股通股票，因此本基金选择了中证港股通综合指数作为港股部分的基准。</w:t>
      </w:r>
      <w:r w:rsidRPr="00CC51EF">
        <w:rPr>
          <w:rFonts w:asciiTheme="minorEastAsia" w:eastAsiaTheme="minorEastAsia" w:hAnsiTheme="minorEastAsia"/>
          <w:bCs/>
          <w:iCs/>
          <w:color w:val="000000" w:themeColor="text1"/>
          <w:szCs w:val="21"/>
        </w:rPr>
        <w:t>3</w:t>
      </w:r>
      <w:r w:rsidRPr="00CC51EF">
        <w:rPr>
          <w:rFonts w:asciiTheme="minorEastAsia" w:eastAsiaTheme="minorEastAsia" w:hAnsiTheme="minorEastAsia" w:hint="eastAsia"/>
          <w:bCs/>
          <w:iCs/>
          <w:color w:val="000000" w:themeColor="text1"/>
          <w:szCs w:val="21"/>
        </w:rPr>
        <w:t>、本基金固定收益部分选</w:t>
      </w:r>
      <w:r w:rsidRPr="00CC51EF">
        <w:rPr>
          <w:rFonts w:asciiTheme="minorEastAsia" w:eastAsiaTheme="minorEastAsia" w:hAnsiTheme="minorEastAsia" w:cs="宋体" w:hint="eastAsia"/>
          <w:bCs/>
          <w:color w:val="000000" w:themeColor="text1"/>
          <w:szCs w:val="21"/>
        </w:rPr>
        <w:t>择</w:t>
      </w:r>
      <w:r w:rsidRPr="00CC51EF">
        <w:rPr>
          <w:rFonts w:asciiTheme="minorEastAsia" w:eastAsiaTheme="minorEastAsia" w:hAnsiTheme="minorEastAsia" w:hint="eastAsia"/>
          <w:bCs/>
          <w:iCs/>
          <w:color w:val="000000" w:themeColor="text1"/>
          <w:szCs w:val="21"/>
        </w:rPr>
        <w:t>具有市场代表性的中债总指数作为基准。</w:t>
      </w:r>
    </w:p>
    <w:p w:rsidR="001B2ECA" w:rsidRPr="00CC51EF">
      <w:pPr>
        <w:spacing w:line="360" w:lineRule="auto"/>
        <w:ind w:firstLine="420"/>
        <w:rPr>
          <w:rFonts w:asciiTheme="minorEastAsia" w:eastAsiaTheme="minorEastAsia" w:hAnsiTheme="minorEastAsia"/>
          <w:bCs/>
          <w:iCs/>
          <w:color w:val="000000" w:themeColor="text1"/>
          <w:szCs w:val="21"/>
        </w:rPr>
      </w:pPr>
      <w:r w:rsidRPr="00CC51EF">
        <w:rPr>
          <w:rFonts w:asciiTheme="minorEastAsia" w:eastAsiaTheme="minorEastAsia" w:hAnsiTheme="minorEastAsia" w:hint="eastAsia"/>
          <w:bCs/>
          <w:iCs/>
          <w:color w:val="000000" w:themeColor="text1"/>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（五）风险收益特征</w:t>
      </w:r>
      <w:bookmarkEnd w:id="70"/>
    </w:p>
    <w:p w:rsidR="001B2ECA" w:rsidRPr="00CC51EF">
      <w:pPr>
        <w:spacing w:line="360" w:lineRule="auto"/>
        <w:ind w:firstLine="420"/>
        <w:rPr>
          <w:rStyle w:val="da"/>
          <w:rFonts w:asciiTheme="minorEastAsia" w:eastAsiaTheme="minorEastAsia" w:hAnsiTheme="minorEastAsia"/>
          <w:color w:val="000000" w:themeColor="text1"/>
          <w:szCs w:val="21"/>
        </w:rPr>
      </w:pPr>
      <w:bookmarkStart w:id="71" w:name="_Toc332373533"/>
      <w:r w:rsidRPr="00CC51EF">
        <w:rPr>
          <w:rStyle w:val="da"/>
          <w:rFonts w:asciiTheme="minorEastAsia" w:eastAsiaTheme="minorEastAsia" w:hAnsiTheme="minorEastAsia" w:hint="eastAsia"/>
          <w:color w:val="000000" w:themeColor="text1"/>
          <w:szCs w:val="21"/>
        </w:rPr>
        <w:t>本基金为股票基金，理论上其预期风险与预期收益高于混合基金、债券基金和货币市场基金。</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（六）投资禁止行为与限制</w:t>
      </w:r>
      <w:bookmarkEnd w:id="71"/>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1、禁止行为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为维护基金份额持有人的合法权益，基金财产不得用于下列投资或者活动：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）承销证券；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）违反规定向他人贷款或者提供担保；</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）从事承担无限责任的投资；</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）向其基金管理人、基金托管人出资；</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）从事内幕交易、操纵证券交易价格及其他不正当的证券交易活动；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）法律、行政法规和中国证监会规定禁止的其他活动。</w:t>
      </w:r>
    </w:p>
    <w:p w:rsidR="001B2ECA" w:rsidRPr="00CC51EF">
      <w:pPr>
        <w:spacing w:line="360" w:lineRule="auto"/>
        <w:ind w:firstLine="420"/>
        <w:rPr>
          <w:rStyle w:val="da"/>
          <w:rFonts w:asciiTheme="minorEastAsia" w:eastAsiaTheme="minorEastAsia" w:hAnsiTheme="minorEastAsia"/>
          <w:color w:val="000000" w:themeColor="text1"/>
          <w:szCs w:val="21"/>
        </w:rPr>
      </w:pPr>
      <w:r w:rsidRPr="00CC51EF">
        <w:rPr>
          <w:rStyle w:val="da"/>
          <w:rFonts w:asciiTheme="minorEastAsia" w:eastAsiaTheme="minorEastAsia" w:hAnsiTheme="minorEastAsia" w:hint="eastAsia"/>
          <w:color w:val="000000" w:themeColor="text1"/>
          <w:szCs w:val="21"/>
        </w:rPr>
        <w:t>2、投资组合限制</w:t>
      </w:r>
    </w:p>
    <w:p w:rsidR="001B2ECA" w:rsidRPr="00CC51EF">
      <w:pPr>
        <w:spacing w:line="360" w:lineRule="auto"/>
        <w:ind w:firstLine="420"/>
        <w:rPr>
          <w:rFonts w:asciiTheme="minorEastAsia" w:eastAsiaTheme="minorEastAsia" w:hAnsiTheme="minorEastAsia"/>
          <w:color w:val="000000" w:themeColor="text1"/>
          <w:szCs w:val="21"/>
        </w:rPr>
      </w:pPr>
      <w:bookmarkStart w:id="72" w:name="_Toc332373535"/>
      <w:r w:rsidRPr="00CC51EF">
        <w:rPr>
          <w:rFonts w:asciiTheme="minorEastAsia" w:eastAsiaTheme="minorEastAsia" w:hAnsiTheme="minorEastAsia" w:hint="eastAsia"/>
          <w:color w:val="000000" w:themeColor="text1"/>
          <w:szCs w:val="21"/>
        </w:rPr>
        <w:t>基金的投资组合应遵循以下限制：</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s="宋体" w:hint="eastAsia"/>
          <w:bCs/>
          <w:color w:val="000000" w:themeColor="text1"/>
          <w:szCs w:val="21"/>
        </w:rPr>
        <w:t>本基金股票资产占基金资产的比例为</w:t>
      </w:r>
      <w:r w:rsidRPr="00CC51EF">
        <w:rPr>
          <w:rFonts w:asciiTheme="minorEastAsia" w:eastAsiaTheme="minorEastAsia" w:hAnsiTheme="minorEastAsia" w:cs="宋体"/>
          <w:bCs/>
          <w:color w:val="000000" w:themeColor="text1"/>
          <w:szCs w:val="21"/>
        </w:rPr>
        <w:t>80%-95%（其中港股通股票不超过股票资产的50%）</w:t>
      </w:r>
      <w:r w:rsidRPr="00CC51EF">
        <w:rPr>
          <w:rFonts w:asciiTheme="minorEastAsia" w:eastAsiaTheme="minorEastAsia" w:hAnsiTheme="minorEastAsia" w:hint="eastAsia"/>
          <w:color w:val="000000" w:themeColor="text1"/>
          <w:szCs w:val="21"/>
        </w:rPr>
        <w:t>；本基金非现金资产中不低于</w:t>
      </w:r>
      <w:r w:rsidRPr="00CC51EF">
        <w:rPr>
          <w:rFonts w:asciiTheme="minorEastAsia" w:eastAsiaTheme="minorEastAsia" w:hAnsiTheme="minorEastAsia"/>
          <w:color w:val="000000" w:themeColor="text1"/>
          <w:szCs w:val="21"/>
        </w:rPr>
        <w:t>80%</w:t>
      </w:r>
      <w:r w:rsidRPr="00CC51EF">
        <w:rPr>
          <w:rFonts w:asciiTheme="minorEastAsia" w:eastAsiaTheme="minorEastAsia" w:hAnsiTheme="minorEastAsia" w:hint="eastAsia"/>
          <w:color w:val="000000" w:themeColor="text1"/>
          <w:szCs w:val="21"/>
        </w:rPr>
        <w:t>的资产将投资于</w:t>
      </w:r>
      <w:r w:rsidRPr="00CC51EF">
        <w:rPr>
          <w:rFonts w:asciiTheme="minorEastAsia" w:eastAsiaTheme="minorEastAsia" w:hAnsiTheme="minorEastAsia" w:cs="宋体" w:hint="eastAsia"/>
          <w:bCs/>
          <w:color w:val="000000" w:themeColor="text1"/>
          <w:szCs w:val="21"/>
        </w:rPr>
        <w:t>战略新兴产业</w:t>
      </w:r>
      <w:r w:rsidRPr="00CC51EF">
        <w:rPr>
          <w:rFonts w:asciiTheme="minorEastAsia" w:eastAsiaTheme="minorEastAsia" w:hAnsiTheme="minorEastAsia" w:hint="eastAsia"/>
          <w:color w:val="000000" w:themeColor="text1"/>
          <w:szCs w:val="21"/>
        </w:rPr>
        <w:t>相关证券；</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）每个交易日日终，扣除股指期货、国债期货、股票期权合约需缴纳的交易保证金后，保持不低于基金资产净值</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％的现金或者到期日在一年以内的政府债券，</w:t>
      </w:r>
      <w:r w:rsidRPr="00CC51EF">
        <w:rPr>
          <w:rFonts w:asciiTheme="minorEastAsia" w:eastAsiaTheme="minorEastAsia" w:hAnsiTheme="minorEastAsia" w:hint="eastAsia"/>
          <w:bCs/>
          <w:color w:val="000000" w:themeColor="text1"/>
          <w:szCs w:val="21"/>
        </w:rPr>
        <w:t>其中现金不包括结算备付金、存出保证金和应收申购款等；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）本基金持有一家公司发行的证券（同一家公司在境内和香港同时上市的</w:t>
      </w:r>
      <w:r w:rsidRPr="00CC51EF">
        <w:rPr>
          <w:rFonts w:asciiTheme="minorEastAsia" w:eastAsiaTheme="minorEastAsia" w:hAnsiTheme="minorEastAsia"/>
          <w:bCs/>
          <w:color w:val="000000" w:themeColor="text1"/>
          <w:szCs w:val="21"/>
        </w:rPr>
        <w:t>A+H</w:t>
      </w:r>
      <w:r w:rsidRPr="00CC51EF">
        <w:rPr>
          <w:rFonts w:asciiTheme="minorEastAsia" w:eastAsiaTheme="minorEastAsia" w:hAnsiTheme="minorEastAsia" w:hint="eastAsia"/>
          <w:bCs/>
          <w:color w:val="000000" w:themeColor="text1"/>
          <w:szCs w:val="21"/>
        </w:rPr>
        <w:t>股合计计算），其市值不超过基金资产净值的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）本基金管理人管理的全部基金持有一家公司发行的证券（同一家公司在境内和香港同时上市的</w:t>
      </w:r>
      <w:r w:rsidRPr="00CC51EF">
        <w:rPr>
          <w:rFonts w:asciiTheme="minorEastAsia" w:eastAsiaTheme="minorEastAsia" w:hAnsiTheme="minorEastAsia"/>
          <w:bCs/>
          <w:color w:val="000000" w:themeColor="text1"/>
          <w:szCs w:val="21"/>
        </w:rPr>
        <w:t>A+H</w:t>
      </w:r>
      <w:r w:rsidRPr="00CC51EF">
        <w:rPr>
          <w:rFonts w:asciiTheme="minorEastAsia" w:eastAsiaTheme="minorEastAsia" w:hAnsiTheme="minorEastAsia" w:hint="eastAsia"/>
          <w:bCs/>
          <w:color w:val="000000" w:themeColor="text1"/>
          <w:szCs w:val="21"/>
        </w:rPr>
        <w:t>股合计计算），不超过该证券的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％，完全按照有关指数的构成比例进行证券投资的基金品种可以不受此条款规定的比例限制；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）本基金投资于同一原始权益人的各类资产支持证券的比例，不得超过基金资产净值的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）本基金持有的全部资产支持证券，其市值不得超过基金资产净值的</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7</w:t>
      </w:r>
      <w:r w:rsidRPr="00CC51EF">
        <w:rPr>
          <w:rFonts w:asciiTheme="minorEastAsia" w:eastAsiaTheme="minorEastAsia" w:hAnsiTheme="minorEastAsia" w:hint="eastAsia"/>
          <w:bCs/>
          <w:color w:val="000000" w:themeColor="text1"/>
          <w:szCs w:val="21"/>
        </w:rPr>
        <w:t>）本基金持有的同一</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指同一信用级别</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资产支持证券的比例，不得超过该资产支持证券规模的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8</w:t>
      </w:r>
      <w:r w:rsidRPr="00CC51EF">
        <w:rPr>
          <w:rFonts w:asciiTheme="minorEastAsia" w:eastAsiaTheme="minorEastAsia" w:hAnsiTheme="minorEastAsia" w:hint="eastAsia"/>
          <w:bCs/>
          <w:color w:val="000000" w:themeColor="text1"/>
          <w:szCs w:val="21"/>
        </w:rPr>
        <w:t>）本基金管理人管理的全部基金投资于同一原始权益人的各类资产支持证券，不得超过其各类资产支持证券合计规模的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9</w:t>
      </w:r>
      <w:r w:rsidRPr="00CC51EF">
        <w:rPr>
          <w:rFonts w:asciiTheme="minorEastAsia" w:eastAsiaTheme="minorEastAsia" w:hAnsiTheme="minorEastAsia" w:hint="eastAsia"/>
          <w:bCs/>
          <w:color w:val="000000" w:themeColor="text1"/>
          <w:szCs w:val="21"/>
        </w:rPr>
        <w:t>）本基金应投资于信用级别评级为</w:t>
      </w:r>
      <w:r w:rsidRPr="00CC51EF">
        <w:rPr>
          <w:rFonts w:asciiTheme="minorEastAsia" w:eastAsiaTheme="minorEastAsia" w:hAnsiTheme="minorEastAsia"/>
          <w:bCs/>
          <w:color w:val="000000" w:themeColor="text1"/>
          <w:szCs w:val="21"/>
        </w:rPr>
        <w:t>BBB</w:t>
      </w:r>
      <w:r w:rsidRPr="00CC51EF">
        <w:rPr>
          <w:rFonts w:asciiTheme="minorEastAsia" w:eastAsiaTheme="minorEastAsia" w:hAnsiTheme="minorEastAsia" w:hint="eastAsia"/>
          <w:bCs/>
          <w:color w:val="000000" w:themeColor="text1"/>
          <w:szCs w:val="21"/>
        </w:rPr>
        <w:t>以上</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含</w:t>
      </w:r>
      <w:r w:rsidRPr="00CC51EF">
        <w:rPr>
          <w:rFonts w:asciiTheme="minorEastAsia" w:eastAsiaTheme="minorEastAsia" w:hAnsiTheme="minorEastAsia"/>
          <w:bCs/>
          <w:color w:val="000000" w:themeColor="text1"/>
          <w:szCs w:val="21"/>
        </w:rPr>
        <w:t>BBB)</w:t>
      </w:r>
      <w:r w:rsidRPr="00CC51EF">
        <w:rPr>
          <w:rFonts w:asciiTheme="minorEastAsia" w:eastAsiaTheme="minorEastAsia" w:hAnsiTheme="minorEastAsia" w:hint="eastAsia"/>
          <w:bCs/>
          <w:color w:val="000000" w:themeColor="text1"/>
          <w:szCs w:val="21"/>
        </w:rPr>
        <w:t>的资产支持证券。基金持有资产支持证券期间，如果其信用等级下降、不再符合投资标准，应在评级报告发布之日起</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个月内予以全部卖出；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）基金财产参与股票发行申购，本基金所申报的金额不超过本基金的总资产，本基金所申报的股票数量不超过拟发行股票公司本次发行股票的总量；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11</w:t>
      </w:r>
      <w:r w:rsidRPr="00CC51EF">
        <w:rPr>
          <w:rFonts w:asciiTheme="minorEastAsia" w:eastAsiaTheme="minorEastAsia" w:hAnsiTheme="minorEastAsia" w:hint="eastAsia"/>
          <w:bCs/>
          <w:color w:val="000000" w:themeColor="text1"/>
          <w:szCs w:val="21"/>
        </w:rPr>
        <w:t>）本基金进入全国银行间同业市场进行债券回购的资金余额不得超过基金资产净值的</w:t>
      </w:r>
      <w:r w:rsidRPr="00CC51EF">
        <w:rPr>
          <w:rFonts w:asciiTheme="minorEastAsia" w:eastAsiaTheme="minorEastAsia" w:hAnsiTheme="minorEastAsia"/>
          <w:bCs/>
          <w:color w:val="000000" w:themeColor="text1"/>
          <w:szCs w:val="21"/>
        </w:rPr>
        <w:t>40%</w:t>
      </w:r>
      <w:r w:rsidRPr="00CC51EF">
        <w:rPr>
          <w:rFonts w:asciiTheme="minorEastAsia" w:eastAsiaTheme="minorEastAsia" w:hAnsiTheme="minorEastAsia" w:hint="eastAsia"/>
          <w:bCs/>
          <w:color w:val="000000" w:themeColor="text1"/>
          <w:szCs w:val="21"/>
        </w:rPr>
        <w:t>，进入全国银行间同业市场进行债券回购的最长期限为</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年，债券回购到期后不得展期；</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12</w:t>
      </w:r>
      <w:r w:rsidRPr="00CC51EF">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；本基金管理人管理的全部投资组合持有一家上市公司发行的可流通股票，不得超过该上市公司可流通股票的</w:t>
      </w:r>
      <w:r w:rsidRPr="00CC51EF">
        <w:rPr>
          <w:rFonts w:asciiTheme="minorEastAsia" w:eastAsiaTheme="minorEastAsia" w:hAnsiTheme="minorEastAsia"/>
          <w:bCs/>
          <w:color w:val="000000" w:themeColor="text1"/>
          <w:szCs w:val="21"/>
        </w:rPr>
        <w:t>30%</w:t>
      </w:r>
      <w:r w:rsidRPr="00CC51EF">
        <w:rPr>
          <w:rFonts w:asciiTheme="minorEastAsia" w:eastAsiaTheme="minorEastAsia" w:hAnsiTheme="minorEastAsia" w:hint="eastAsia"/>
          <w:bCs/>
          <w:color w:val="000000" w:themeColor="text1"/>
          <w:szCs w:val="21"/>
        </w:rPr>
        <w:t>；完全按照有关指数的构成比例进行证券投资的开放式基金以及中国证监会认定的特殊投资组合可不受前述比例限制；</w:t>
      </w:r>
    </w:p>
    <w:p w:rsidR="001B2ECA" w:rsidRPr="00CC51EF">
      <w:pPr>
        <w:spacing w:line="360" w:lineRule="auto"/>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 xml:space="preserve">    </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13</w:t>
      </w:r>
      <w:r w:rsidRPr="00CC51EF">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；因证券市场波动、上市公司股票停牌、基金规模变动等基金管理人之外的因素致使基金不符合该比例限制的，基金管理人不得主动新增流动性受限资产的投资；</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14</w:t>
      </w:r>
      <w:r w:rsidRPr="00CC51EF">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）本基金资产总值不超过基金资产净值的</w:t>
      </w:r>
      <w:r w:rsidRPr="00CC51EF">
        <w:rPr>
          <w:rFonts w:asciiTheme="minorEastAsia" w:eastAsiaTheme="minorEastAsia" w:hAnsiTheme="minorEastAsia"/>
          <w:bCs/>
          <w:color w:val="000000" w:themeColor="text1"/>
          <w:szCs w:val="21"/>
        </w:rPr>
        <w:t>140%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16</w:t>
      </w:r>
      <w:r w:rsidRPr="00CC51EF">
        <w:rPr>
          <w:rFonts w:asciiTheme="minorEastAsia" w:eastAsiaTheme="minorEastAsia" w:hAnsiTheme="minorEastAsia" w:hint="eastAsia"/>
          <w:bCs/>
          <w:color w:val="000000" w:themeColor="text1"/>
          <w:szCs w:val="21"/>
        </w:rPr>
        <w:t>）本基金参与股指期货交易，应当遵守下列要求：本基金在任何交易日日终，持有的买入股指期货合约价值不得超过基金资产净值的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；在任何交易日日终，持有的买入国债期货和股指期货合约价值与有价证券市值之和，不得超过基金资产净值的</w:t>
      </w:r>
      <w:r w:rsidRPr="00CC51EF">
        <w:rPr>
          <w:rFonts w:asciiTheme="minorEastAsia" w:eastAsiaTheme="minorEastAsia" w:hAnsiTheme="minorEastAsia"/>
          <w:bCs/>
          <w:color w:val="000000" w:themeColor="text1"/>
          <w:szCs w:val="21"/>
        </w:rPr>
        <w:t>95%</w:t>
      </w:r>
      <w:r w:rsidRPr="00CC51EF">
        <w:rPr>
          <w:rFonts w:asciiTheme="minorEastAsia" w:eastAsiaTheme="minorEastAsia" w:hAnsiTheme="minorEastAsia" w:hint="eastAsia"/>
          <w:bCs/>
          <w:color w:val="000000" w:themeColor="text1"/>
          <w:szCs w:val="21"/>
        </w:rPr>
        <w:t>，其中，有价证券指股票、债券（不含到期日在一年以内的政府债券）、资产支持证券、买入返售金融资产（不含质押式回购）等；在任何交易日终，持有的卖出股指期货合约价值不得超过基金持有的股票总市值的</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；本基金所持有的股票市值和买入、卖出股指期货合</w:t>
      </w:r>
      <w:r w:rsidRPr="00CC51EF">
        <w:rPr>
          <w:rFonts w:asciiTheme="minorEastAsia" w:eastAsiaTheme="minorEastAsia" w:hAnsiTheme="minorEastAsia" w:hint="eastAsia"/>
          <w:bCs/>
          <w:color w:val="000000" w:themeColor="text1"/>
          <w:szCs w:val="21"/>
        </w:rPr>
        <w:t>约价值，合计（轧差计算）应当符合基金合同关于股票投资比例的有关约定；在任何交易日内交易</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不包括平仓</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的股指期货合约的成交金额不得超过上一交易日基金资产净值的</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17</w:t>
      </w:r>
      <w:r w:rsidRPr="00CC51EF">
        <w:rPr>
          <w:rFonts w:asciiTheme="minorEastAsia" w:eastAsiaTheme="minorEastAsia" w:hAnsiTheme="minorEastAsia" w:hint="eastAsia"/>
          <w:bCs/>
          <w:color w:val="000000" w:themeColor="text1"/>
          <w:szCs w:val="21"/>
        </w:rPr>
        <w:t>）本基金参与国债期货交易，应当遵守下列要求：在任何交易日日终，本基金持有的买入国债期货合约价值，不得超过基金资产净值的</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；本基金在任何交易日日终，持有的卖出国债期货合约价值不得超过基金持有的债券总市值的</w:t>
      </w:r>
      <w:r w:rsidRPr="00CC51EF">
        <w:rPr>
          <w:rFonts w:asciiTheme="minorEastAsia" w:eastAsiaTheme="minorEastAsia" w:hAnsiTheme="minorEastAsia"/>
          <w:bCs/>
          <w:color w:val="000000" w:themeColor="text1"/>
          <w:szCs w:val="21"/>
        </w:rPr>
        <w:t>30%</w:t>
      </w:r>
      <w:r w:rsidRPr="00CC51EF">
        <w:rPr>
          <w:rFonts w:asciiTheme="minorEastAsia" w:eastAsiaTheme="minorEastAsia" w:hAnsiTheme="minorEastAsia" w:hint="eastAsia"/>
          <w:bCs/>
          <w:color w:val="000000" w:themeColor="text1"/>
          <w:szCs w:val="21"/>
        </w:rPr>
        <w:t>；本基金在任何交易日内交易（不包括平仓）的国债期货合约的成交金额不得超过上一交易日基金资产净值的</w:t>
      </w:r>
      <w:r w:rsidRPr="00CC51EF">
        <w:rPr>
          <w:rFonts w:asciiTheme="minorEastAsia" w:eastAsiaTheme="minorEastAsia" w:hAnsiTheme="minorEastAsia"/>
          <w:bCs/>
          <w:color w:val="000000" w:themeColor="text1"/>
          <w:szCs w:val="21"/>
        </w:rPr>
        <w:t>30%</w:t>
      </w:r>
      <w:r w:rsidRPr="00CC51EF">
        <w:rPr>
          <w:rFonts w:asciiTheme="minorEastAsia" w:eastAsiaTheme="minorEastAsia" w:hAnsiTheme="minorEastAsia" w:hint="eastAsia"/>
          <w:bCs/>
          <w:color w:val="000000" w:themeColor="text1"/>
          <w:szCs w:val="21"/>
        </w:rPr>
        <w:t>；本基金所持有的债券（不含到期日在一年以内的政府债券）市值和买入、卖出国债期货合约价值，合计（轧差计算）应当符合基金合同关于债券投资比例的有关约定；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18</w:t>
      </w:r>
      <w:r w:rsidRPr="00CC51EF">
        <w:rPr>
          <w:rFonts w:asciiTheme="minorEastAsia" w:eastAsiaTheme="minorEastAsia" w:hAnsiTheme="minorEastAsia" w:hint="eastAsia"/>
          <w:bCs/>
          <w:color w:val="000000" w:themeColor="text1"/>
          <w:szCs w:val="21"/>
        </w:rPr>
        <w:t>）本基金参与股票期权交易的，应当符合下列要求：基金因未平仓的期权合约支付和收取的权利金总额不得超过基金资产净值的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。其中，合约面值按照行权价乘以合约乘数计算；</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19</w:t>
      </w:r>
      <w:r w:rsidRPr="00CC51EF">
        <w:rPr>
          <w:rFonts w:asciiTheme="minorEastAsia" w:eastAsiaTheme="minorEastAsia" w:hAnsiTheme="minorEastAsia" w:hint="eastAsia"/>
          <w:bCs/>
          <w:color w:val="000000" w:themeColor="text1"/>
          <w:szCs w:val="21"/>
        </w:rPr>
        <w:t>）基金参与融资业务后，在任何交易日日终，持有的融资买入股票与其他有价证券市值之和，不得超过基金资产净值的</w:t>
      </w:r>
      <w:r w:rsidRPr="00CC51EF">
        <w:rPr>
          <w:rFonts w:asciiTheme="minorEastAsia" w:eastAsiaTheme="minorEastAsia" w:hAnsiTheme="minorEastAsia"/>
          <w:bCs/>
          <w:color w:val="000000" w:themeColor="text1"/>
          <w:szCs w:val="21"/>
        </w:rPr>
        <w:t>95%</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）法律法规及中国证监会规定的和《基金合同》约定的其他投资限制。</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除上述（</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9</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13</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14</w:t>
      </w:r>
      <w:r w:rsidRPr="00CC51EF">
        <w:rPr>
          <w:rFonts w:asciiTheme="minorEastAsia" w:eastAsiaTheme="minorEastAsia" w:hAnsiTheme="minorEastAsia" w:hint="eastAsia"/>
          <w:bCs/>
          <w:color w:val="000000" w:themeColor="text1"/>
          <w:szCs w:val="21"/>
        </w:rPr>
        <w:t>）情形之外，因证券市场波动、上市公司合并、基金规模变动等基金管理人之外的因素致使基金投资比例不符合上述规定投资比例的，基金管理人应当在</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个交易日内进行调整，但中国证监会规定的特殊情形除外。</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基金管理人应当自基金合同生效之日起</w:t>
      </w: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w:t>
      </w:r>
      <w:r w:rsidRPr="00CC51EF">
        <w:rPr>
          <w:rFonts w:asciiTheme="minorEastAsia" w:eastAsiaTheme="minorEastAsia" w:hAnsiTheme="minorEastAsia" w:hint="eastAsia"/>
          <w:bCs/>
          <w:color w:val="000000" w:themeColor="text1"/>
          <w:szCs w:val="21"/>
        </w:rPr>
        <w:t>对关联交易事项进行审查。</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（七）</w:t>
      </w:r>
      <w:bookmarkEnd w:id="72"/>
      <w:r w:rsidRPr="00CC51EF">
        <w:rPr>
          <w:rFonts w:asciiTheme="minorEastAsia" w:eastAsiaTheme="minorEastAsia" w:hAnsiTheme="minorEastAsia" w:hint="eastAsia"/>
          <w:bCs/>
          <w:color w:val="000000" w:themeColor="text1"/>
          <w:szCs w:val="21"/>
        </w:rPr>
        <w:t>基金管理人代表基金行使股东或债权人权利的处理原则及方法</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、基金管理人按照国家有关规定代表基金独立行使股东或债权人权利，保护基金份额持有人的利益；</w:t>
      </w:r>
      <w:r w:rsidRPr="00CC51EF">
        <w:rPr>
          <w:rFonts w:asciiTheme="minorEastAsia" w:eastAsiaTheme="minorEastAsia" w:hAnsiTheme="minorEastAsia"/>
          <w:bCs/>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、不谋求对上市公司的控股；</w:t>
      </w:r>
      <w:r w:rsidRPr="00CC51EF">
        <w:rPr>
          <w:rFonts w:asciiTheme="minorEastAsia" w:eastAsiaTheme="minorEastAsia" w:hAnsiTheme="minorEastAsia"/>
          <w:bCs/>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、有利于基金财产的安全与增值；</w:t>
      </w:r>
      <w:r w:rsidRPr="00CC51EF">
        <w:rPr>
          <w:rFonts w:asciiTheme="minorEastAsia" w:eastAsiaTheme="minorEastAsia" w:hAnsiTheme="minorEastAsia"/>
          <w:bCs/>
          <w:color w:val="000000" w:themeColor="text1"/>
          <w:szCs w:val="21"/>
        </w:rPr>
        <w:t xml:space="preserve"> </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、不通过关联交易为自身、雇员、授权代理人或任何存在利害关系的第三人牟取任何不当利益。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（八）侧袋机制的实施和投资运作安排</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侧袋机制实施期间，本部分约定的投资组合比例、投资策略、组合限制、业绩比较基准、风险收益特征等约定仅适用于主袋账户。</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侧袋账户的实施条件、实施程序、运作安排、投资安排、特定资产的处置变现和支付等对投资者权益有重大影响的事项详见</w:t>
      </w:r>
      <w:r w:rsidRPr="00CC51EF">
        <w:rPr>
          <w:rStyle w:val="da"/>
          <w:rFonts w:asciiTheme="minorEastAsia" w:eastAsiaTheme="minorEastAsia" w:hAnsiTheme="minorEastAsia" w:hint="eastAsia"/>
          <w:color w:val="000000" w:themeColor="text1"/>
        </w:rPr>
        <w:t>本招募说明书“侧袋机制”部分</w:t>
      </w:r>
      <w:r w:rsidRPr="00CC51EF">
        <w:rPr>
          <w:rFonts w:asciiTheme="minorEastAsia" w:eastAsiaTheme="minorEastAsia" w:hAnsiTheme="minorEastAsia" w:hint="eastAsia"/>
          <w:bCs/>
          <w:color w:val="000000" w:themeColor="text1"/>
          <w:szCs w:val="21"/>
        </w:rPr>
        <w:t>的规定。</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（九）基金投资组合报告（未经审计）</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本基金的托管人中国银行股份有限公司根据本基金合同的规定，复核了本报告的内容，保证复核内容不存在虚假记载、误导性陈述或者重大遗漏。</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rPr>
        <w:t>本投资组合报告有关数据的期间为2022年4月1日至2022年6月30日。</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 报告期末基金资产组合情况</w:t>
      </w:r>
    </w:p>
    <w:tbl>
      <w:tblPr>
        <w:tblStyle w:val="TableGrid"/>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4,217,744,436.57</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92.72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4,217,744,436.57</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92.72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13,726,507.90</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0.30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13,726,507.90</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0.30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tcPr>
          <w:p w:rsidR="00395354" w:rsidRPr="00CC51EF">
            <w:pPr>
              <w:ind w:left="105" w:leftChars="5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290,191,571.95</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6.38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27,397,821.56</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0.60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4,549,060,337.98</w:t>
            </w:r>
          </w:p>
        </w:tc>
        <w:tc>
          <w:tcPr>
            <w:tcW w:w="1843"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100.00</w:t>
            </w:r>
          </w:p>
        </w:tc>
      </w:tr>
    </w:tbl>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注：本基金本报告期末通过港股通交易机制投资的港股市值为425,141,844.73元，占净值比例9.39%。</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 报告期末按行业分类的股票投资组合</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（1）报告期末按行业分类的境内股票投资组合</w:t>
      </w:r>
    </w:p>
    <w:tbl>
      <w:tblPr>
        <w:tblStyle w:val="TableGrid"/>
        <w:tblW w:w="0" w:type="auto"/>
        <w:tblInd w:w="108" w:type="dxa"/>
        <w:tblLayout w:type="fixed"/>
        <w:tblCellMar>
          <w:left w:w="0" w:type="dxa"/>
          <w:right w:w="0" w:type="dxa"/>
        </w:tblCellMar>
        <w:tblLook w:val="04A0"/>
      </w:tblPr>
      <w:tblGrid>
        <w:gridCol w:w="540"/>
        <w:gridCol w:w="3691"/>
        <w:gridCol w:w="2852"/>
        <w:gridCol w:w="1648"/>
      </w:tblGrid>
      <w:tr>
        <w:tblPrEx>
          <w:tblW w:w="0" w:type="auto"/>
          <w:tblInd w:w="108" w:type="dxa"/>
          <w:tblLayout w:type="fixed"/>
          <w:tblCellMar>
            <w:left w:w="0" w:type="dxa"/>
            <w:right w:w="0" w:type="dxa"/>
          </w:tblCellMar>
          <w:tblLook w:val="04A0"/>
        </w:tblPrEx>
        <w:trPr>
          <w:trHeight w:val="390"/>
        </w:trPr>
        <w:tc>
          <w:tcPr>
            <w:tcW w:w="540" w:type="dxa"/>
            <w:tcBorders>
              <w:top w:val="single" w:sz="0" w:space="0" w:color="000000"/>
              <w:left w:val="single" w:sz="0" w:space="0" w:color="000000"/>
              <w:bottom w:val="single" w:sz="0" w:space="0" w:color="000000"/>
              <w:right w:val="single" w:sz="0" w:space="0" w:color="000000"/>
            </w:tcBorders>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代码</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行业类别</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公允价值（元）</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占基金资产净值比例（％）</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A</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农、林、牧、渔业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B</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采矿业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350,497,040.00</w:t>
            </w:r>
          </w:p>
          <w:p w:rsidR="00395354" w:rsidRPr="00CC51EF">
            <w:pPr>
              <w:jc w:val="right"/>
              <w:rPr>
                <w:rFonts w:asciiTheme="minorEastAsia" w:eastAsiaTheme="minorEastAsia" w:hAnsiTheme="minorEastAsia"/>
                <w:color w:val="000000" w:themeColor="text1"/>
                <w:sz w:val="24"/>
              </w:rPr>
            </w:pP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7.74</w:t>
            </w:r>
          </w:p>
          <w:p w:rsidR="00395354" w:rsidRPr="00CC51EF">
            <w:pPr>
              <w:jc w:val="right"/>
              <w:rPr>
                <w:rFonts w:asciiTheme="minorEastAsia" w:eastAsiaTheme="minorEastAsia" w:hAnsiTheme="minorEastAsia"/>
                <w:color w:val="000000" w:themeColor="text1"/>
                <w:sz w:val="24"/>
              </w:rPr>
            </w:pP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C</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制造业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3,001,581,839.63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66.30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D</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电力、热力、燃气及水生产和供应业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108,706,903.50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2.40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E</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建筑业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F</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批发和零售业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129,266,901.00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2.86</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G</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交通运输、仓储和邮政业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H</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住宿和餐饮业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I</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信息传输、软件和信息技术服务业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202,049,115.40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4.46</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J</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金融业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K</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房地产业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L</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租赁和商务服务业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19,959.78</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M</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科学研究和技术服务业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15,854.74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N</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水利、环境和公共设施管理业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255,357.10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0.01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O</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居民服务、修理和其他服务业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P</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教育</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Q</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卫生和社会工作</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209,620.69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R</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文化、体育和娱乐业</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S</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综合</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jc w:val="center"/>
              <w:rPr>
                <w:rFonts w:asciiTheme="minorEastAsia" w:eastAsiaTheme="minorEastAsia" w:hAnsiTheme="minorEastAsia"/>
                <w:color w:val="000000" w:themeColor="text1"/>
                <w:sz w:val="24"/>
              </w:rPr>
            </w:pP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adjustRightInd w:val="0"/>
              <w:snapToGrid w:val="0"/>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合计</w:t>
            </w:r>
          </w:p>
        </w:tc>
        <w:tc>
          <w:tcPr>
            <w:tcW w:w="2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3,792,602,591.84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95354" w:rsidRPr="00CC51EF">
            <w:pPr>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83.78</w:t>
            </w:r>
          </w:p>
        </w:tc>
      </w:tr>
    </w:tbl>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（2）报告期末按行业分类的港股通投资股票投资组合</w:t>
      </w:r>
    </w:p>
    <w:tbl>
      <w:tblPr>
        <w:tblStyle w:val="TableGrid"/>
        <w:tblW w:w="8634" w:type="dxa"/>
        <w:jc w:val="center"/>
        <w:tblLayout w:type="fixed"/>
        <w:tblLook w:val="04A0"/>
      </w:tblPr>
      <w:tblGrid>
        <w:gridCol w:w="2397"/>
        <w:gridCol w:w="3119"/>
        <w:gridCol w:w="3118"/>
      </w:tblGrid>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行业类别</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公允价值（人民币）</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占基金资产净值比例（%）</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能源</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材料</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工业</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非必需消费品</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必需消费品</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保健</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60,550,402.41</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1.34</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金融</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信息技术</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364,591,442.32</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8.05</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电信服务</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公用事业</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房地产</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w:t>
            </w:r>
          </w:p>
        </w:tc>
      </w:tr>
      <w:tr>
        <w:tblPrEx>
          <w:tblW w:w="8634" w:type="dxa"/>
          <w:jc w:val="center"/>
          <w:tblLayout w:type="fixed"/>
          <w:tblLook w:val="04A0"/>
        </w:tblPrEx>
        <w:trPr>
          <w:jc w:val="center"/>
        </w:trPr>
        <w:tc>
          <w:tcPr>
            <w:tcW w:w="239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合计</w:t>
            </w:r>
          </w:p>
        </w:tc>
        <w:tc>
          <w:tcPr>
            <w:tcW w:w="3119" w:type="dxa"/>
            <w:tcBorders>
              <w:top w:val="single" w:sz="0" w:space="0" w:color="000000"/>
              <w:left w:val="single" w:sz="0" w:space="0" w:color="000000"/>
              <w:bottom w:val="single" w:sz="0" w:space="0" w:color="000000"/>
              <w:right w:val="single" w:sz="0" w:space="0" w:color="000000"/>
            </w:tcBorders>
            <w:vAlign w:val="center"/>
          </w:tcPr>
          <w:p w:rsidR="00395354" w:rsidRPr="00CC51EF">
            <w:pPr>
              <w:adjustRightInd w:val="0"/>
              <w:snapToGrid w:val="0"/>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425,141,844.73</w:t>
            </w:r>
          </w:p>
        </w:tc>
        <w:tc>
          <w:tcPr>
            <w:tcW w:w="3118" w:type="dxa"/>
            <w:tcBorders>
              <w:top w:val="single" w:sz="0" w:space="0" w:color="000000"/>
              <w:left w:val="single" w:sz="0" w:space="0" w:color="000000"/>
              <w:bottom w:val="single" w:sz="0" w:space="0" w:color="000000"/>
              <w:right w:val="single" w:sz="0" w:space="0" w:color="000000"/>
            </w:tcBorders>
            <w:vAlign w:val="center"/>
          </w:tcPr>
          <w:p w:rsidR="00395354" w:rsidRPr="00CC51EF">
            <w:pPr>
              <w:adjustRightInd w:val="0"/>
              <w:snapToGrid w:val="0"/>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9.39</w:t>
            </w:r>
          </w:p>
        </w:tc>
      </w:tr>
    </w:tbl>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注：以上分类采用全球行业分类标准（GICS）。</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 期末按公允价值占基金资产净值比例大小排序的股票投资明细</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 报告期末按公允价值占基金资产净值比例大小排序的前十名股票投资明细</w:t>
      </w:r>
    </w:p>
    <w:tbl>
      <w:tblPr>
        <w:tblStyle w:val="TableGrid"/>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1418"/>
        <w:gridCol w:w="1701"/>
        <w:gridCol w:w="1984"/>
        <w:gridCol w:w="1559"/>
      </w:tblGrid>
      <w:tr>
        <w:tblPrEx>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hint="eastAsia"/>
                <w:color w:val="000000" w:themeColor="text1"/>
              </w:rPr>
              <w:t>占基金资产净值比例（％）</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300750</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宁德时代</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806,884</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430,876,056.00</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9.52</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00268</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金蝶国际</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23,170,000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364,591,442.32</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8.05</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603799</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华友钴业</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3,519,716</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336,555,243.92</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7.43</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002466</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天齐锂业</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2,520,800</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314,595,840.00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6.95</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603986</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兆易创新</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2,132,936</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303,324,828.56</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6.70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002850</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科达利</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1,565,040</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248,841,360.00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5.50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002812</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恩捷股份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950,100</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237,952,545.00</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5.26</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002460</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赣锋锂业</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1,259,663</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187,311,888.10</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4.14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300496</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中科创达</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1,426,392</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186,115,628.16</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4.11</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300037</w:t>
            </w:r>
          </w:p>
        </w:tc>
        <w:tc>
          <w:tcPr>
            <w:tcW w:w="1418"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新宙邦</w:t>
            </w:r>
          </w:p>
        </w:tc>
        <w:tc>
          <w:tcPr>
            <w:tcW w:w="1701"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3,485,391</w:t>
            </w:r>
          </w:p>
        </w:tc>
        <w:tc>
          <w:tcPr>
            <w:tcW w:w="1984"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183,192,150.96</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4.05</w:t>
            </w:r>
          </w:p>
        </w:tc>
      </w:tr>
    </w:tbl>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 报告期末按债券品种分类的债券投资组合</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债券品种</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公允价值(元)</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占基金资产净值比例(％)</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国家债券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央行票据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金融债券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其中：政策性金融债</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企业债券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企业短期融资券</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中期票据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可转债</w:t>
            </w:r>
            <w:r w:rsidRPr="00CC51EF">
              <w:rPr>
                <w:rFonts w:asciiTheme="minorEastAsia" w:eastAsiaTheme="minorEastAsia" w:hAnsiTheme="minorEastAsia" w:hint="eastAsia"/>
                <w:color w:val="000000" w:themeColor="text1"/>
              </w:rPr>
              <w:t>（可交换债）</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13,726,507.90</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0.30</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同业存单</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其他</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合计</w:t>
            </w:r>
          </w:p>
        </w:tc>
        <w:tc>
          <w:tcPr>
            <w:tcW w:w="2835"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13,726,507.90</w:t>
            </w:r>
          </w:p>
        </w:tc>
        <w:tc>
          <w:tcPr>
            <w:tcW w:w="1616" w:type="dxa"/>
            <w:tcBorders>
              <w:top w:val="single" w:sz="0" w:space="0" w:color="000000"/>
              <w:left w:val="single" w:sz="0" w:space="0" w:color="000000"/>
              <w:bottom w:val="single" w:sz="0" w:space="0" w:color="000000"/>
              <w:right w:val="single" w:sz="0" w:space="0" w:color="000000"/>
            </w:tcBorders>
            <w:vAlign w:val="center"/>
          </w:tcPr>
          <w:p w:rsidR="00395354" w:rsidRPr="00CC51EF">
            <w:pPr>
              <w:ind w:left="17"/>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0.30</w:t>
            </w:r>
          </w:p>
        </w:tc>
      </w:tr>
    </w:tbl>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 报告期末按公允价值占基金资产净值比例大小排序的前五名债券投资明细</w:t>
      </w:r>
    </w:p>
    <w:tbl>
      <w:tblPr>
        <w:tblStyle w:val="TableGrid"/>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1985"/>
        <w:gridCol w:w="1559"/>
        <w:gridCol w:w="2126"/>
        <w:gridCol w:w="9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序号</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债券代码</w:t>
            </w:r>
          </w:p>
        </w:tc>
        <w:tc>
          <w:tcPr>
            <w:tcW w:w="1985"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债券名称</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数量（张）</w:t>
            </w:r>
          </w:p>
        </w:tc>
        <w:tc>
          <w:tcPr>
            <w:tcW w:w="2126"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公允价值(元)</w:t>
            </w:r>
          </w:p>
        </w:tc>
        <w:tc>
          <w:tcPr>
            <w:tcW w:w="990"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占基金资产净值比例（％）</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113641</w:t>
            </w:r>
          </w:p>
        </w:tc>
        <w:tc>
          <w:tcPr>
            <w:tcW w:w="1985" w:type="dxa"/>
            <w:tcBorders>
              <w:top w:val="single" w:sz="0" w:space="0" w:color="000000"/>
              <w:left w:val="single" w:sz="0" w:space="0" w:color="000000"/>
              <w:bottom w:val="single" w:sz="0" w:space="0" w:color="000000"/>
              <w:right w:val="single" w:sz="0" w:space="0" w:color="000000"/>
            </w:tcBorders>
            <w:vAlign w:val="center"/>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华友转债</w:t>
            </w:r>
          </w:p>
        </w:tc>
        <w:tc>
          <w:tcPr>
            <w:tcW w:w="1559"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101,900</w:t>
            </w:r>
          </w:p>
        </w:tc>
        <w:tc>
          <w:tcPr>
            <w:tcW w:w="2126"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13,726,507.90</w:t>
            </w:r>
          </w:p>
        </w:tc>
        <w:tc>
          <w:tcPr>
            <w:tcW w:w="990" w:type="dxa"/>
            <w:tcBorders>
              <w:top w:val="single" w:sz="0" w:space="0" w:color="000000"/>
              <w:left w:val="single" w:sz="0" w:space="0" w:color="000000"/>
              <w:bottom w:val="single" w:sz="0" w:space="0" w:color="000000"/>
              <w:right w:val="single" w:sz="0" w:space="0" w:color="000000"/>
            </w:tcBorders>
            <w:vAlign w:val="center"/>
          </w:tcPr>
          <w:p w:rsidR="00395354" w:rsidRPr="00CC51EF">
            <w:pPr>
              <w:jc w:val="righ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0.30</w:t>
            </w:r>
          </w:p>
        </w:tc>
      </w:tr>
    </w:tbl>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6、　报告期末按公允价值占基金资产净值比例大小排序的前十名资产支持证券投资明细</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本基金本报告期末未持有资产支持证券。</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7、报告期末按公允价值占基金资产净值比例大小排序的前五名贵金属投资明细</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本基金本报告期末未持有贵金属。</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8、报告期末按公允价值占基金资产净值比例大小排序的前五名权证投资明细</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本基金本报告期末未持有权证。</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9、报告期末本基金投资的股指期货交易情况说明</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本基金本报告期末未投资股指期货。</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10、报告期末本基金投资的国债期货交易情况说明</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本基金本报告期末未投资国债期货。</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11、投资组合报告附注</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 基金管理人未发现本基金投资的前十名证券的发行主体出现本期被监管部门立案调查，或在报告编制日前一年内受到公开谴责、处罚的情形。</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 本基金投资的前十名股票没有超出基金合同规定的备选股票库。</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（3）其他资产构成</w:t>
      </w:r>
    </w:p>
    <w:tbl>
      <w:tblPr>
        <w:tblStyle w:val="TableGrid"/>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59"/>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7"/>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金额(元)</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859,910.10</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22,623,081.24</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3,914,830.22</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center"/>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lef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395354" w:rsidRPr="00CC51EF">
            <w:pPr>
              <w:autoSpaceDE w:val="0"/>
              <w:autoSpaceDN w:val="0"/>
              <w:adjustRightInd w:val="0"/>
              <w:ind w:left="15"/>
              <w:jc w:val="right"/>
              <w:rPr>
                <w:rFonts w:asciiTheme="minorEastAsia" w:eastAsiaTheme="minorEastAsia" w:hAnsiTheme="minorEastAsia"/>
                <w:color w:val="000000" w:themeColor="text1"/>
                <w:sz w:val="24"/>
              </w:rPr>
            </w:pPr>
            <w:r w:rsidRPr="00CC51EF">
              <w:rPr>
                <w:rFonts w:asciiTheme="minorEastAsia" w:eastAsiaTheme="minorEastAsia" w:hAnsiTheme="minorEastAsia"/>
                <w:color w:val="000000" w:themeColor="text1"/>
              </w:rPr>
              <w:t>27,397,821.56</w:t>
            </w:r>
          </w:p>
        </w:tc>
      </w:tr>
    </w:tbl>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（4）报告期末持有的处于转股期的可转换债券明细</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本基金本报告期末未持有处于转股期的可转换债券。</w:t>
      </w:r>
    </w:p>
    <w:p w:rsidR="00395354" w:rsidRPr="00CC51EF">
      <w:pPr>
        <w:spacing w:line="360" w:lineRule="auto"/>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（5）报告期末前十名股票中存在流通受限情况的说明</w:t>
      </w:r>
    </w:p>
    <w:p w:rsidR="00395354" w:rsidRPr="00CC51EF">
      <w:pPr>
        <w:spacing w:line="360" w:lineRule="auto"/>
        <w:ind w:firstLine="420"/>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本基金本报告期末前十名股票中不存在流通受限情况。</w:t>
      </w:r>
      <w:r w:rsidRPr="00CC51EF">
        <w:rPr>
          <w:rFonts w:asciiTheme="minorEastAsia" w:eastAsiaTheme="minorEastAsia" w:hAnsiTheme="minorEastAsia"/>
          <w:color w:val="000000" w:themeColor="text1"/>
        </w:rPr>
        <w:br w:type="page"/>
      </w:r>
    </w:p>
    <w:p w:rsidR="001B2ECA" w:rsidRPr="00CC51EF">
      <w:pPr>
        <w:pStyle w:val="11"/>
        <w:spacing w:before="317" w:after="317" w:line="360" w:lineRule="auto"/>
        <w:ind w:firstLine="600"/>
        <w:rPr>
          <w:rFonts w:asciiTheme="minorEastAsia" w:eastAsiaTheme="minorEastAsia" w:hAnsiTheme="minorEastAsia"/>
          <w:color w:val="000000" w:themeColor="text1"/>
          <w:sz w:val="30"/>
        </w:rPr>
      </w:pPr>
      <w:bookmarkStart w:id="73" w:name="_Toc134548079"/>
      <w:r w:rsidRPr="00CC51EF">
        <w:rPr>
          <w:rFonts w:asciiTheme="minorEastAsia" w:eastAsiaTheme="minorEastAsia" w:hAnsiTheme="minorEastAsia" w:hint="eastAsia"/>
          <w:color w:val="000000" w:themeColor="text1"/>
          <w:sz w:val="30"/>
        </w:rPr>
        <w:t>十二、基金的业绩</w:t>
      </w:r>
      <w:bookmarkEnd w:id="73"/>
    </w:p>
    <w:p w:rsidR="001B2ECA" w:rsidRPr="00CC51EF">
      <w:pPr>
        <w:snapToGrid w:val="0"/>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CC51EF">
        <w:rPr>
          <w:rFonts w:asciiTheme="minorEastAsia" w:eastAsiaTheme="minorEastAsia" w:hAnsiTheme="minorEastAsia" w:hint="eastAsia"/>
          <w:color w:val="000000" w:themeColor="text1"/>
          <w:szCs w:val="21"/>
        </w:rPr>
        <w:t>作出</w:t>
      </w:r>
      <w:r w:rsidRPr="00CC51EF">
        <w:rPr>
          <w:rFonts w:asciiTheme="minorEastAsia" w:eastAsiaTheme="minorEastAsia" w:hAnsiTheme="minorEastAsia"/>
          <w:color w:val="000000" w:themeColor="text1"/>
          <w:szCs w:val="21"/>
        </w:rPr>
        <w:t>投资决策前应仔细阅读本基金的招募说明书。</w:t>
      </w:r>
    </w:p>
    <w:p w:rsidR="001B2ECA" w:rsidRPr="00CC51EF">
      <w:pPr>
        <w:snapToGrid w:val="0"/>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rPr>
        <w:t>本基金合同生效日为2021年1月13日，基金合同生效以来（截至2021年12月31</w:t>
      </w:r>
      <w:r w:rsidRPr="00CC51EF">
        <w:rPr>
          <w:rFonts w:asciiTheme="minorEastAsia" w:eastAsiaTheme="minorEastAsia" w:hAnsiTheme="minorEastAsia"/>
          <w:color w:val="000000" w:themeColor="text1"/>
          <w:szCs w:val="21"/>
        </w:rPr>
        <w:t>日）的投资业绩及与同期基准的比较如下表所示：</w:t>
      </w:r>
    </w:p>
    <w:p w:rsidR="001B2ECA" w:rsidRPr="00CC51EF" w:rsidP="00AF379A">
      <w:pPr>
        <w:snapToGrid w:val="0"/>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、易方达战略新兴产业股票A类基金份额净值增长率与同期业绩比较基准收益率比较</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gridCol w:w="1134"/>
        <w:gridCol w:w="1417"/>
        <w:gridCol w:w="1277"/>
        <w:gridCol w:w="1057"/>
        <w:gridCol w:w="968"/>
      </w:tblGrid>
      <w:tr>
        <w:tblPrEx>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668"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righ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阶段</w:t>
            </w:r>
          </w:p>
        </w:tc>
        <w:tc>
          <w:tcPr>
            <w:tcW w:w="992"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净值增长率（1）</w:t>
            </w:r>
          </w:p>
        </w:tc>
        <w:tc>
          <w:tcPr>
            <w:tcW w:w="1134"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净值增长率标准差（2）</w:t>
            </w:r>
          </w:p>
        </w:tc>
        <w:tc>
          <w:tcPr>
            <w:tcW w:w="141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业绩比较基准收益率（3）</w:t>
            </w:r>
          </w:p>
        </w:tc>
        <w:tc>
          <w:tcPr>
            <w:tcW w:w="127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业绩比较基准收益率标准差（4）</w:t>
            </w:r>
          </w:p>
        </w:tc>
        <w:tc>
          <w:tcPr>
            <w:tcW w:w="105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(1)-(3)</w:t>
            </w:r>
          </w:p>
        </w:tc>
        <w:tc>
          <w:tcPr>
            <w:tcW w:w="968"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(2)-(4)</w:t>
            </w:r>
          </w:p>
        </w:tc>
      </w:tr>
      <w:tr>
        <w:tblPrEx>
          <w:tblW w:w="8513" w:type="dxa"/>
          <w:tblLayout w:type="fixed"/>
          <w:tblLook w:val="04A0"/>
        </w:tblPrEx>
        <w:tc>
          <w:tcPr>
            <w:tcW w:w="1668"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自基金合同生效日至2021年12月31日</w:t>
            </w:r>
          </w:p>
        </w:tc>
        <w:tc>
          <w:tcPr>
            <w:tcW w:w="992"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4.40%</w:t>
            </w:r>
          </w:p>
        </w:tc>
        <w:tc>
          <w:tcPr>
            <w:tcW w:w="1134"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1.19%</w:t>
            </w:r>
          </w:p>
        </w:tc>
        <w:tc>
          <w:tcPr>
            <w:tcW w:w="141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-8.96%</w:t>
            </w:r>
          </w:p>
        </w:tc>
        <w:tc>
          <w:tcPr>
            <w:tcW w:w="12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1.23%</w:t>
            </w:r>
          </w:p>
        </w:tc>
        <w:tc>
          <w:tcPr>
            <w:tcW w:w="105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13.36%</w:t>
            </w:r>
          </w:p>
        </w:tc>
        <w:tc>
          <w:tcPr>
            <w:tcW w:w="968"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-0.04%</w:t>
            </w:r>
          </w:p>
        </w:tc>
      </w:tr>
    </w:tbl>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2、易方达战略新兴产业股票C类基金份额净值增长率与同期业绩比较基准收益率比较</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gridCol w:w="1134"/>
        <w:gridCol w:w="1417"/>
        <w:gridCol w:w="1277"/>
        <w:gridCol w:w="1057"/>
        <w:gridCol w:w="968"/>
      </w:tblGrid>
      <w:tr>
        <w:tblPrEx>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668"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righ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阶段</w:t>
            </w:r>
          </w:p>
        </w:tc>
        <w:tc>
          <w:tcPr>
            <w:tcW w:w="992"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净值增长率（1）</w:t>
            </w:r>
          </w:p>
        </w:tc>
        <w:tc>
          <w:tcPr>
            <w:tcW w:w="1134"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ind w:left="-107"/>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净值增长率标准差（2）</w:t>
            </w:r>
          </w:p>
        </w:tc>
        <w:tc>
          <w:tcPr>
            <w:tcW w:w="141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业绩比较基准收益率（3）</w:t>
            </w:r>
          </w:p>
        </w:tc>
        <w:tc>
          <w:tcPr>
            <w:tcW w:w="127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业绩比较基准收益率标准差（4）</w:t>
            </w:r>
          </w:p>
        </w:tc>
        <w:tc>
          <w:tcPr>
            <w:tcW w:w="1057"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(1)-(3)</w:t>
            </w:r>
          </w:p>
        </w:tc>
        <w:tc>
          <w:tcPr>
            <w:tcW w:w="968" w:type="dxa"/>
            <w:tcBorders>
              <w:top w:val="single" w:sz="4" w:space="0" w:color="auto"/>
              <w:left w:val="single" w:sz="4" w:space="0" w:color="auto"/>
              <w:bottom w:val="single" w:sz="4" w:space="0" w:color="auto"/>
              <w:right w:val="single" w:sz="4" w:space="0" w:color="auto"/>
            </w:tcBorders>
            <w:vAlign w:val="center"/>
          </w:tcPr>
          <w:p w:rsidR="001B2ECA" w:rsidRPr="00CC51EF">
            <w:pPr>
              <w:snapToGrid w:val="0"/>
              <w:spacing w:line="360" w:lineRule="auto"/>
              <w:jc w:val="center"/>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(2)-(4)</w:t>
            </w:r>
          </w:p>
        </w:tc>
      </w:tr>
      <w:tr>
        <w:tblPrEx>
          <w:tblW w:w="8513" w:type="dxa"/>
          <w:tblLayout w:type="fixed"/>
          <w:tblLook w:val="04A0"/>
        </w:tblPrEx>
        <w:tc>
          <w:tcPr>
            <w:tcW w:w="1668"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自基金合同生效日至2021年12月31日</w:t>
            </w:r>
          </w:p>
        </w:tc>
        <w:tc>
          <w:tcPr>
            <w:tcW w:w="992"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3.99%</w:t>
            </w:r>
          </w:p>
        </w:tc>
        <w:tc>
          <w:tcPr>
            <w:tcW w:w="1134"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1.19%</w:t>
            </w:r>
          </w:p>
        </w:tc>
        <w:tc>
          <w:tcPr>
            <w:tcW w:w="141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-8.96%</w:t>
            </w:r>
          </w:p>
        </w:tc>
        <w:tc>
          <w:tcPr>
            <w:tcW w:w="127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1.23%</w:t>
            </w:r>
          </w:p>
        </w:tc>
        <w:tc>
          <w:tcPr>
            <w:tcW w:w="105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12.95%</w:t>
            </w:r>
          </w:p>
        </w:tc>
        <w:tc>
          <w:tcPr>
            <w:tcW w:w="968"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-0.04%</w:t>
            </w:r>
          </w:p>
        </w:tc>
      </w:tr>
    </w:tbl>
    <w:p w:rsidR="001B2ECA" w:rsidRPr="00CC51EF">
      <w:pPr>
        <w:rPr>
          <w:rFonts w:asciiTheme="minorEastAsia" w:eastAsiaTheme="minorEastAsia" w:hAnsiTheme="minorEastAsia"/>
          <w:color w:val="000000" w:themeColor="text1"/>
        </w:rPr>
      </w:pPr>
    </w:p>
    <w:p w:rsidR="001B2ECA" w:rsidRPr="00CC51EF">
      <w:pPr>
        <w:widowControl/>
        <w:jc w:val="left"/>
        <w:rPr>
          <w:rFonts w:asciiTheme="minorEastAsia" w:eastAsiaTheme="minorEastAsia" w:hAnsiTheme="minorEastAsia"/>
          <w:color w:val="000000" w:themeColor="text1"/>
          <w:sz w:val="30"/>
          <w:szCs w:val="32"/>
        </w:rPr>
      </w:pPr>
      <w:r w:rsidRPr="00CC51EF">
        <w:rPr>
          <w:rFonts w:asciiTheme="minorEastAsia" w:eastAsiaTheme="minorEastAsia" w:hAnsiTheme="minorEastAsia"/>
          <w:color w:val="000000" w:themeColor="text1"/>
          <w:sz w:val="30"/>
        </w:rPr>
        <w:br w:type="page"/>
      </w:r>
    </w:p>
    <w:p w:rsidR="001B2ECA" w:rsidRPr="00CC51EF">
      <w:pPr>
        <w:pStyle w:val="11"/>
        <w:spacing w:before="317" w:after="317" w:line="360" w:lineRule="auto"/>
        <w:ind w:firstLine="600"/>
        <w:rPr>
          <w:rFonts w:asciiTheme="minorEastAsia" w:eastAsiaTheme="minorEastAsia" w:hAnsiTheme="minorEastAsia"/>
          <w:color w:val="000000" w:themeColor="text1"/>
          <w:sz w:val="30"/>
        </w:rPr>
      </w:pPr>
      <w:bookmarkStart w:id="74" w:name="_Toc134548080"/>
      <w:r w:rsidRPr="00CC51EF">
        <w:rPr>
          <w:rFonts w:asciiTheme="minorEastAsia" w:eastAsiaTheme="minorEastAsia" w:hAnsiTheme="minorEastAsia" w:hint="eastAsia"/>
          <w:color w:val="000000" w:themeColor="text1"/>
          <w:sz w:val="30"/>
        </w:rPr>
        <w:t>十</w:t>
      </w:r>
      <w:bookmarkStart w:id="75" w:name="_Toc332373538"/>
      <w:r w:rsidRPr="00CC51EF">
        <w:rPr>
          <w:rFonts w:asciiTheme="minorEastAsia" w:eastAsiaTheme="minorEastAsia" w:hAnsiTheme="minorEastAsia" w:hint="eastAsia"/>
          <w:color w:val="000000" w:themeColor="text1"/>
          <w:sz w:val="30"/>
        </w:rPr>
        <w:t>三、基金的财产</w:t>
      </w:r>
      <w:bookmarkEnd w:id="75"/>
      <w:bookmarkEnd w:id="74"/>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（一）基金资产总值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（二）基金资产净值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基金资产净值是指基金资产总值减去基金负债后的价值。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（三）基金财产的账户</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（四）基金财产的保管和处分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B2ECA" w:rsidRPr="00CC51EF">
      <w:pPr>
        <w:pStyle w:val="11"/>
        <w:spacing w:before="317" w:after="317" w:line="360" w:lineRule="auto"/>
        <w:ind w:firstLine="420"/>
        <w:rPr>
          <w:rFonts w:asciiTheme="minorEastAsia" w:eastAsiaTheme="minorEastAsia" w:hAnsiTheme="minorEastAsia"/>
          <w:color w:val="000000" w:themeColor="text1"/>
          <w:sz w:val="30"/>
        </w:rPr>
      </w:pPr>
      <w:bookmarkStart w:id="76" w:name="_Hlt88900062"/>
      <w:bookmarkStart w:id="77" w:name="_Hlt88841837"/>
      <w:bookmarkEnd w:id="76"/>
      <w:bookmarkEnd w:id="77"/>
      <w:r w:rsidRPr="00CC51EF">
        <w:rPr>
          <w:rFonts w:asciiTheme="minorEastAsia" w:eastAsiaTheme="minorEastAsia" w:hAnsiTheme="minorEastAsia"/>
          <w:bCs/>
          <w:color w:val="000000" w:themeColor="text1"/>
          <w:sz w:val="21"/>
          <w:szCs w:val="21"/>
        </w:rPr>
        <w:br w:type="column"/>
      </w:r>
      <w:bookmarkStart w:id="78" w:name="_Toc134548081"/>
      <w:r w:rsidRPr="00CC51EF">
        <w:rPr>
          <w:rFonts w:asciiTheme="minorEastAsia" w:eastAsiaTheme="minorEastAsia" w:hAnsiTheme="minorEastAsia" w:hint="eastAsia"/>
          <w:color w:val="000000" w:themeColor="text1"/>
          <w:sz w:val="30"/>
        </w:rPr>
        <w:t>十</w:t>
      </w:r>
      <w:bookmarkStart w:id="79" w:name="_Toc332373543"/>
      <w:r w:rsidRPr="00CC51EF">
        <w:rPr>
          <w:rFonts w:asciiTheme="minorEastAsia" w:eastAsiaTheme="minorEastAsia" w:hAnsiTheme="minorEastAsia" w:hint="eastAsia"/>
          <w:color w:val="000000" w:themeColor="text1"/>
          <w:sz w:val="30"/>
        </w:rPr>
        <w:t>四、基金资产的估值</w:t>
      </w:r>
      <w:bookmarkEnd w:id="79"/>
      <w:bookmarkEnd w:id="78"/>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（一）估值日</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本基金的估值日为本基金相关的证券交易场所的共同交易日以及国家法律法规规定需要对外披露基金净值的非交易日。</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（二）估值对象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基金所拥有的股票、债券和银行存款本息、应收款项、其它投资等资产及负债。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（三）估值原则</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基金管理人在确定相关金融资产和金融负债的公允价值时，应符合《企业会计准则》、监管部门有关规定。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、如经济环境发生重大变化或证券发行人发生影响证券价格的重大事件，使潜在估值调整对前一估值日的基金资产净值的影响在</w:t>
      </w:r>
      <w:r w:rsidRPr="00CC51EF">
        <w:rPr>
          <w:rFonts w:asciiTheme="minorEastAsia" w:eastAsiaTheme="minorEastAsia" w:hAnsiTheme="minorEastAsia"/>
          <w:bCs/>
          <w:color w:val="000000" w:themeColor="text1"/>
          <w:szCs w:val="21"/>
        </w:rPr>
        <w:t>0.25%</w:t>
      </w:r>
      <w:r w:rsidRPr="00CC51EF">
        <w:rPr>
          <w:rFonts w:asciiTheme="minorEastAsia" w:eastAsiaTheme="minorEastAsia" w:hAnsiTheme="minorEastAsia" w:hint="eastAsia"/>
          <w:bCs/>
          <w:color w:val="000000" w:themeColor="text1"/>
          <w:szCs w:val="21"/>
        </w:rPr>
        <w:t>以上的，应对估值进行调整并确定公允价值。</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（四）估值方法</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、证券交易所上市的有价证券的估值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hint="eastAsia"/>
          <w:bCs/>
          <w:color w:val="000000" w:themeColor="text1"/>
          <w:szCs w:val="21"/>
        </w:rPr>
        <w:t>交易所上市的有价证券（包括股票等）</w:t>
      </w:r>
      <w:r w:rsidRPr="00CC51EF">
        <w:rPr>
          <w:rFonts w:asciiTheme="minorEastAsia" w:eastAsiaTheme="minorEastAsia" w:hAnsiTheme="minorEastAsia" w:hint="eastAsia"/>
          <w:color w:val="000000" w:themeColor="text1"/>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）交易所上市交易或挂牌转让的不含权固定收益品种，选取估值日第三方估值机构提供的相应品种当日的估值净价进行估值；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）交易所上市交易或挂牌转让的含权固定收益品种，选取估值日第三方估值机构提供的相应品种当日的唯一估值净价或推荐估值净价进行估值；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）交易所上市交易的可转换债券以每日收盘价作为估值全价；</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）交易所上市不存在活跃市场的有价证券，采用估值技术确定公允价值。交易所市场挂牌转让的资产支持证券，采用估值技术确定公允价值；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、处于未上市期间的有价证券应区分如下情况处理：</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）送股、转增股、配股和公开增发的新股，按估值日在证券交易所挂牌的同一股票的估值方法估值；该日无交易的，以最近一日的市价（收盘价）估值；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）首次公开发行未上市的股票、债券，采用估值技术确定公允价值，在估值技术难以可靠计量公允价值的情况下，按成本估值；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w:t>
      </w:r>
      <w:r w:rsidRPr="00CC51EF">
        <w:rPr>
          <w:rFonts w:asciiTheme="minorEastAsia" w:eastAsiaTheme="minorEastAsia" w:hAnsiTheme="minorEastAsia" w:hint="eastAsia"/>
          <w:color w:val="000000" w:themeColor="text1"/>
          <w:szCs w:val="21"/>
        </w:rPr>
        <w:t>值。对银行间市场未上市，且第三方估值机构未提供估值价格的债券，在发行利率与二级市场利率不存在明显差异，未上市期间市场利率没有发生大的变动的情况下，按成本估值。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、期货合约以估值当日结算价进行估值，估值当日无结算价的，且最近交易日后经济环境未发生重大变化的，采用最近交易日结算价估值。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汇率</w:t>
      </w:r>
    </w:p>
    <w:p w:rsidR="001B2ECA" w:rsidRPr="00CC51EF">
      <w:pPr>
        <w:spacing w:line="360" w:lineRule="auto"/>
        <w:ind w:firstLine="473"/>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、税收</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7</w:t>
      </w:r>
      <w:r w:rsidRPr="00CC51EF">
        <w:rPr>
          <w:rFonts w:asciiTheme="minorEastAsia" w:eastAsiaTheme="minorEastAsia" w:hAnsiTheme="minorEastAsia" w:hint="eastAsia"/>
          <w:color w:val="000000" w:themeColor="text1"/>
          <w:szCs w:val="21"/>
        </w:rPr>
        <w:t>、如有充分理由表明按上述方法进行估值不能客观反映其公允价值的，基金管理人可根据具体情况与基金托管人商定后，按最能反映公允价值的价格估值。</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bCs/>
          <w:color w:val="000000" w:themeColor="text1"/>
          <w:szCs w:val="21"/>
        </w:rPr>
        <w:t>8</w:t>
      </w:r>
      <w:r w:rsidRPr="00CC51EF">
        <w:rPr>
          <w:rFonts w:asciiTheme="minorEastAsia" w:eastAsiaTheme="minorEastAsia" w:hAnsiTheme="minorEastAsia" w:hint="eastAsia"/>
          <w:color w:val="000000" w:themeColor="text1"/>
          <w:szCs w:val="21"/>
        </w:rPr>
        <w:t>、当发生大额申购或赎回情形时，基金管理人可以采用摆动定价机制，以确保基金估值的公平性。</w:t>
      </w:r>
    </w:p>
    <w:p w:rsidR="001B2ECA" w:rsidRPr="00CC51EF">
      <w:pPr>
        <w:widowControl/>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bCs/>
          <w:color w:val="000000" w:themeColor="text1"/>
          <w:szCs w:val="21"/>
        </w:rPr>
        <w:t>9</w:t>
      </w:r>
      <w:r w:rsidRPr="00CC51EF">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1B2ECA" w:rsidRPr="00CC51EF">
      <w:pPr>
        <w:spacing w:line="360" w:lineRule="auto"/>
        <w:ind w:firstLine="420"/>
        <w:rPr>
          <w:rStyle w:val="read"/>
          <w:rFonts w:asciiTheme="minorEastAsia" w:eastAsiaTheme="minorEastAsia" w:hAnsiTheme="minorEastAsia"/>
          <w:bCs/>
          <w:color w:val="000000" w:themeColor="text1"/>
          <w:szCs w:val="21"/>
        </w:rPr>
      </w:pPr>
      <w:r w:rsidRPr="00CC51EF">
        <w:rPr>
          <w:rStyle w:val="read"/>
          <w:rFonts w:asciiTheme="minorEastAsia" w:eastAsiaTheme="minorEastAsia" w:hAnsiTheme="minorEastAsia" w:hint="eastAsia"/>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（五）估值程序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、基金份额净值是按照每个估值日闭市后，基金资产净值除以当日基金份额的余额数量计算，精确到</w:t>
      </w:r>
      <w:r w:rsidRPr="00CC51EF">
        <w:rPr>
          <w:rFonts w:asciiTheme="minorEastAsia" w:eastAsiaTheme="minorEastAsia" w:hAnsiTheme="minorEastAsia"/>
          <w:bCs/>
          <w:color w:val="000000" w:themeColor="text1"/>
          <w:szCs w:val="21"/>
        </w:rPr>
        <w:t>0.0001</w:t>
      </w:r>
      <w:r w:rsidRPr="00CC51EF">
        <w:rPr>
          <w:rFonts w:asciiTheme="minorEastAsia" w:eastAsiaTheme="minorEastAsia" w:hAnsiTheme="minorEastAsia" w:hint="eastAsia"/>
          <w:bCs/>
          <w:color w:val="000000" w:themeColor="text1"/>
          <w:szCs w:val="21"/>
        </w:rPr>
        <w:t>元，小数点后第</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bCs/>
          <w:color w:val="000000" w:themeColor="text1"/>
          <w:szCs w:val="21"/>
        </w:rPr>
        <w:t>位四舍五入。基金管理人可以设立大额赎回情形下的净值精度应急调整机制。国家另有规定的，从其规定。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每个估值日计算基金资产净值及基金份额净值，并按规定公告。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（六）估值错误的处理</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w:t>
      </w: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位以内</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含第</w:t>
      </w:r>
      <w:r w:rsidRPr="00CC51EF">
        <w:rPr>
          <w:rFonts w:asciiTheme="minorEastAsia" w:eastAsiaTheme="minorEastAsia" w:hAnsiTheme="minorEastAsia"/>
          <w:color w:val="000000" w:themeColor="text1"/>
          <w:szCs w:val="21"/>
        </w:rPr>
        <w:t xml:space="preserve">4 </w:t>
      </w:r>
      <w:r w:rsidRPr="00CC51EF">
        <w:rPr>
          <w:rFonts w:asciiTheme="minorEastAsia" w:eastAsiaTheme="minorEastAsia" w:hAnsiTheme="minorEastAsia" w:hint="eastAsia"/>
          <w:color w:val="000000" w:themeColor="text1"/>
          <w:szCs w:val="21"/>
        </w:rPr>
        <w:t>位</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发生估值错误时，视为基金份额净值错误。</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基金合同的当事人应按照以下约定处理：</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、估值错误类型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估值错误处理原则</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给予赔偿，承担赔偿责任。</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、估值错误处理原则</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已发生，但尚未给当事人造成损失时，</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责任方应及时协调各方，及时进行更正，因更正</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发生的费用由</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责任方承担；由于</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责任方未及时更正已产生的</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，给当事人造成损失的</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由</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w:t>
      </w:r>
      <w:r w:rsidRPr="00CC51EF">
        <w:rPr>
          <w:rFonts w:asciiTheme="minorEastAsia" w:eastAsiaTheme="minorEastAsia" w:hAnsiTheme="minorEastAsia" w:hint="eastAsia"/>
          <w:bCs/>
          <w:color w:val="000000" w:themeColor="text1"/>
          <w:szCs w:val="21"/>
        </w:rPr>
        <w:t>对直接损失</w:t>
      </w:r>
      <w:r w:rsidRPr="00CC51EF">
        <w:rPr>
          <w:rFonts w:asciiTheme="minorEastAsia" w:eastAsiaTheme="minorEastAsia" w:hAnsiTheme="minorEastAsia" w:hint="eastAsia"/>
          <w:color w:val="000000" w:themeColor="text1"/>
          <w:szCs w:val="21"/>
        </w:rPr>
        <w:t>承担</w:t>
      </w:r>
      <w:r w:rsidRPr="00CC51EF">
        <w:rPr>
          <w:rFonts w:asciiTheme="minorEastAsia" w:eastAsiaTheme="minorEastAsia" w:hAnsiTheme="minorEastAsia" w:hint="eastAsia"/>
          <w:bCs/>
          <w:color w:val="000000" w:themeColor="text1"/>
          <w:szCs w:val="21"/>
        </w:rPr>
        <w:t>赔偿责任</w:t>
      </w:r>
      <w:r w:rsidRPr="00CC51EF">
        <w:rPr>
          <w:rFonts w:asciiTheme="minorEastAsia" w:eastAsiaTheme="minorEastAsia" w:hAnsiTheme="minorEastAsia" w:hint="eastAsia"/>
          <w:color w:val="000000" w:themeColor="text1"/>
          <w:szCs w:val="21"/>
        </w:rPr>
        <w:t>；若</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责任方已经积极协调，并且有协助义务的当事人有足够的时间进行更正而未更正，则</w:t>
      </w:r>
      <w:r w:rsidRPr="00CC51EF">
        <w:rPr>
          <w:rFonts w:asciiTheme="minorEastAsia" w:eastAsiaTheme="minorEastAsia" w:hAnsiTheme="minorEastAsia" w:hint="eastAsia"/>
          <w:bCs/>
          <w:color w:val="000000" w:themeColor="text1"/>
          <w:szCs w:val="21"/>
        </w:rPr>
        <w:t>其</w:t>
      </w:r>
      <w:r w:rsidRPr="00CC51EF">
        <w:rPr>
          <w:rFonts w:asciiTheme="minorEastAsia" w:eastAsiaTheme="minorEastAsia" w:hAnsiTheme="minorEastAsia" w:hint="eastAsia"/>
          <w:color w:val="000000" w:themeColor="text1"/>
          <w:szCs w:val="21"/>
        </w:rPr>
        <w:t>应当承担相应赔偿责任。</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责任方应对更正的情况向有关当事人进行确认，确保</w:t>
      </w:r>
      <w:r w:rsidRPr="00CC51EF">
        <w:rPr>
          <w:rFonts w:asciiTheme="minorEastAsia" w:eastAsiaTheme="minorEastAsia" w:hAnsiTheme="minorEastAsia" w:hint="eastAsia"/>
          <w:bCs/>
          <w:color w:val="000000" w:themeColor="text1"/>
          <w:szCs w:val="21"/>
        </w:rPr>
        <w:t>估值错误</w:t>
      </w:r>
      <w:r w:rsidRPr="00CC51EF">
        <w:rPr>
          <w:rFonts w:asciiTheme="minorEastAsia" w:eastAsiaTheme="minorEastAsia" w:hAnsiTheme="minorEastAsia" w:hint="eastAsia"/>
          <w:color w:val="000000" w:themeColor="text1"/>
          <w:szCs w:val="21"/>
        </w:rPr>
        <w:t>已得到更正。</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color w:val="000000" w:themeColor="text1"/>
          <w:szCs w:val="21"/>
        </w:rPr>
        <w:t>）估值错误的责任方对有关当事人的直接损失负责，不对间接损失负责，并且仅对估值错误的有关直接当事人负责，不对第三方负责。</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color w:val="000000" w:themeColor="text1"/>
          <w:szCs w:val="21"/>
        </w:rPr>
        <w:t>）因估值错误而获得不当得利的当事人负有及时返还不当得利的义务。但估值错误</w:t>
      </w:r>
      <w:r w:rsidRPr="00CC51EF">
        <w:rPr>
          <w:rFonts w:asciiTheme="minorEastAsia" w:eastAsiaTheme="minorEastAsia" w:hAnsiTheme="minorEastAsia" w:hint="eastAsia"/>
          <w:color w:val="000000" w:themeColor="text1"/>
          <w:szCs w:val="21"/>
        </w:rPr>
        <w:t>责任方仍应对估值错误负责。如果由于获得不当得利的当事人不返还或不全部返还不当得利造成其他当事人的利益损失</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“受损方”</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color w:val="000000" w:themeColor="text1"/>
          <w:szCs w:val="21"/>
        </w:rPr>
        <w:t>）估值错误调整采用尽量恢复至假设未发生估值错误的正确情形的方式。</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、估值错误处理程序</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估值错误被发现后，有关的当事人应当及时进行处理，处理的程序如下：</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）查明估值错误发生的原因，列明所有的当事人，并根据估值错误发生的原因确定估值错误的责任方；</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）根据估值错误处理原则或当事人协商的方法对因估值错误造成的损失进行评估；</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）根据估值错误处理原则或当事人协商的方法由估值错误的责任方进行更正和赔偿损失；</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）根据估值错误处理的方法，需要修改基金登记机构交易数据的，由基金登记机构进行更正，并就估值错误的更正向有关当事人进行确认。</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、基金份额净值估值错误处理的方法如下：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color w:val="000000" w:themeColor="text1"/>
          <w:szCs w:val="21"/>
        </w:rPr>
        <w:t>）基金份额净值计算</w:t>
      </w:r>
      <w:r w:rsidRPr="00CC51EF">
        <w:rPr>
          <w:rFonts w:asciiTheme="minorEastAsia" w:eastAsiaTheme="minorEastAsia" w:hAnsiTheme="minorEastAsia" w:hint="eastAsia"/>
          <w:bCs/>
          <w:color w:val="000000" w:themeColor="text1"/>
          <w:szCs w:val="21"/>
        </w:rPr>
        <w:t>出现错误时，基金管理人应当立即予以纠正，通报基金托管人，并采取合理的措施防止损失进一步扩大。</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）错误偏差达到</w:t>
      </w:r>
      <w:r w:rsidRPr="00CC51EF">
        <w:rPr>
          <w:rFonts w:asciiTheme="minorEastAsia" w:eastAsiaTheme="minorEastAsia" w:hAnsiTheme="minorEastAsia" w:hint="eastAsia"/>
          <w:color w:val="000000" w:themeColor="text1"/>
          <w:szCs w:val="21"/>
        </w:rPr>
        <w:t>基金份额净值</w:t>
      </w:r>
      <w:r w:rsidRPr="00CC51EF">
        <w:rPr>
          <w:rFonts w:asciiTheme="minorEastAsia" w:eastAsiaTheme="minorEastAsia" w:hAnsiTheme="minorEastAsia" w:hint="eastAsia"/>
          <w:bCs/>
          <w:color w:val="000000" w:themeColor="text1"/>
          <w:szCs w:val="21"/>
        </w:rPr>
        <w:t>的</w:t>
      </w:r>
      <w:r w:rsidRPr="00CC51EF">
        <w:rPr>
          <w:rFonts w:asciiTheme="minorEastAsia" w:eastAsiaTheme="minorEastAsia" w:hAnsiTheme="minorEastAsia"/>
          <w:color w:val="000000" w:themeColor="text1"/>
          <w:szCs w:val="21"/>
        </w:rPr>
        <w:t>0.</w:t>
      </w:r>
      <w:r w:rsidRPr="00CC51EF">
        <w:rPr>
          <w:rFonts w:asciiTheme="minorEastAsia" w:eastAsiaTheme="minorEastAsia" w:hAnsiTheme="minorEastAsia"/>
          <w:bCs/>
          <w:color w:val="000000" w:themeColor="text1"/>
          <w:szCs w:val="21"/>
        </w:rPr>
        <w:t>25</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时，基金管理人</w:t>
      </w:r>
      <w:r w:rsidRPr="00CC51EF">
        <w:rPr>
          <w:rFonts w:asciiTheme="minorEastAsia" w:eastAsiaTheme="minorEastAsia" w:hAnsiTheme="minorEastAsia" w:hint="eastAsia"/>
          <w:bCs/>
          <w:color w:val="000000" w:themeColor="text1"/>
          <w:szCs w:val="21"/>
        </w:rPr>
        <w:t>应当通报</w:t>
      </w:r>
      <w:r w:rsidRPr="00CC51EF">
        <w:rPr>
          <w:rFonts w:asciiTheme="minorEastAsia" w:eastAsiaTheme="minorEastAsia" w:hAnsiTheme="minorEastAsia" w:hint="eastAsia"/>
          <w:color w:val="000000" w:themeColor="text1"/>
          <w:szCs w:val="21"/>
        </w:rPr>
        <w:t>基金托管人</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hint="eastAsia"/>
          <w:color w:val="000000" w:themeColor="text1"/>
          <w:szCs w:val="21"/>
        </w:rPr>
        <w:t>错误偏差达到基金份额净值的</w:t>
      </w:r>
      <w:r w:rsidRPr="00CC51EF">
        <w:rPr>
          <w:rFonts w:asciiTheme="minorEastAsia" w:eastAsiaTheme="minorEastAsia" w:hAnsiTheme="minorEastAsia"/>
          <w:color w:val="000000" w:themeColor="text1"/>
          <w:szCs w:val="21"/>
        </w:rPr>
        <w:t>0.5%</w:t>
      </w:r>
      <w:r w:rsidRPr="00CC51EF">
        <w:rPr>
          <w:rFonts w:asciiTheme="minorEastAsia" w:eastAsiaTheme="minorEastAsia" w:hAnsiTheme="minorEastAsia" w:hint="eastAsia"/>
          <w:color w:val="000000" w:themeColor="text1"/>
          <w:szCs w:val="21"/>
        </w:rPr>
        <w:t>时，基金管理人应当公告</w:t>
      </w:r>
      <w:r w:rsidRPr="00CC51EF">
        <w:rPr>
          <w:rFonts w:asciiTheme="minorEastAsia" w:eastAsiaTheme="minorEastAsia" w:hAnsiTheme="minorEastAsia" w:hint="eastAsia"/>
          <w:bCs/>
          <w:color w:val="000000" w:themeColor="text1"/>
          <w:szCs w:val="21"/>
        </w:rPr>
        <w:t>，并报中国证监会备案</w:t>
      </w:r>
      <w:r w:rsidRPr="00CC51EF">
        <w:rPr>
          <w:rFonts w:asciiTheme="minorEastAsia" w:eastAsiaTheme="minorEastAsia" w:hAnsiTheme="minorEastAsia" w:hint="eastAsia"/>
          <w:color w:val="000000" w:themeColor="text1"/>
          <w:szCs w:val="2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）前述内容如法律法规或监管机关另有规定的，从其规定处理。</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（七）</w:t>
      </w:r>
      <w:r w:rsidRPr="00CC51EF">
        <w:rPr>
          <w:rFonts w:asciiTheme="minorEastAsia" w:eastAsiaTheme="minorEastAsia" w:hAnsiTheme="minorEastAsia" w:hint="eastAsia"/>
          <w:color w:val="000000" w:themeColor="text1"/>
          <w:szCs w:val="21"/>
        </w:rPr>
        <w:t>暂停估值的情形</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、基金投资所涉及的证券交易市场遇法定节假日或因其他原因暂停营业时</w:t>
      </w:r>
      <w:r w:rsidRPr="00CC51EF">
        <w:rPr>
          <w:rFonts w:asciiTheme="minorEastAsia" w:eastAsiaTheme="minorEastAsia" w:hAnsiTheme="minorEastAsia" w:hint="eastAsia"/>
          <w:color w:val="000000" w:themeColor="text1"/>
          <w:szCs w:val="2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、因不可抗力致使基金管理人、基金托管人无法准确评估基金资产价值时；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、当特定资产占前一估值日基金资产净值</w:t>
      </w:r>
      <w:r w:rsidRPr="00CC51EF">
        <w:rPr>
          <w:rFonts w:asciiTheme="minorEastAsia" w:eastAsiaTheme="minorEastAsia" w:hAnsiTheme="minorEastAsia"/>
          <w:bCs/>
          <w:color w:val="000000" w:themeColor="text1"/>
          <w:szCs w:val="21"/>
        </w:rPr>
        <w:t>50%</w:t>
      </w:r>
      <w:r w:rsidRPr="00CC51EF">
        <w:rPr>
          <w:rFonts w:asciiTheme="minorEastAsia" w:eastAsiaTheme="minorEastAsia" w:hAnsiTheme="minorEastAsia" w:hint="eastAsia"/>
          <w:bCs/>
          <w:color w:val="000000" w:themeColor="text1"/>
          <w:szCs w:val="21"/>
        </w:rPr>
        <w:t>以上的，经与基金托管人协商确认后，基金管理人应当暂停估值；</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、中国证监会和基金合同认定的其它情形。</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（八）</w:t>
      </w:r>
      <w:r w:rsidRPr="00CC51EF">
        <w:rPr>
          <w:rFonts w:asciiTheme="minorEastAsia" w:eastAsiaTheme="minorEastAsia" w:hAnsiTheme="minorEastAsia" w:hint="eastAsia"/>
          <w:color w:val="000000" w:themeColor="text1"/>
          <w:szCs w:val="21"/>
        </w:rPr>
        <w:t>基金净值的确认</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（九）特殊情况的处理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、基金管理人或基金托管人按估值方法的第</w:t>
      </w:r>
      <w:r w:rsidRPr="00CC51EF">
        <w:rPr>
          <w:rFonts w:asciiTheme="minorEastAsia" w:eastAsiaTheme="minorEastAsia" w:hAnsiTheme="minorEastAsia"/>
          <w:bCs/>
          <w:color w:val="000000" w:themeColor="text1"/>
          <w:szCs w:val="21"/>
        </w:rPr>
        <w:t>7</w:t>
      </w:r>
      <w:r w:rsidRPr="00CC51EF">
        <w:rPr>
          <w:rFonts w:asciiTheme="minorEastAsia" w:eastAsiaTheme="minorEastAsia" w:hAnsiTheme="minorEastAsia" w:hint="eastAsia"/>
          <w:bCs/>
          <w:color w:val="000000" w:themeColor="text1"/>
          <w:szCs w:val="21"/>
        </w:rPr>
        <w:t>项进行估值时，所造成的误差不作为基金资产估值错误处理。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（十）实施侧袋机制期间的基金资产估值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本基金实施侧袋机制的，应根据本部分的约定对主袋账户资产进行估值并披露主袋账户的基金资产净值和份额净值，暂停披露侧袋账户份额净值。</w:t>
      </w: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pStyle w:val="11"/>
        <w:spacing w:before="317" w:after="317" w:line="360" w:lineRule="auto"/>
        <w:ind w:firstLine="420"/>
        <w:rPr>
          <w:rFonts w:asciiTheme="minorEastAsia" w:eastAsiaTheme="minorEastAsia" w:hAnsiTheme="minorEastAsia"/>
          <w:bCs/>
          <w:color w:val="000000" w:themeColor="text1"/>
        </w:rPr>
      </w:pPr>
      <w:r w:rsidRPr="00CC51EF">
        <w:rPr>
          <w:rFonts w:asciiTheme="minorEastAsia" w:eastAsiaTheme="minorEastAsia" w:hAnsiTheme="minorEastAsia"/>
          <w:color w:val="000000" w:themeColor="text1"/>
          <w:sz w:val="21"/>
          <w:szCs w:val="21"/>
        </w:rPr>
        <w:br w:type="page"/>
      </w:r>
      <w:bookmarkStart w:id="80" w:name="_Toc134548082"/>
      <w:r w:rsidRPr="00CC51EF">
        <w:rPr>
          <w:rFonts w:asciiTheme="minorEastAsia" w:eastAsiaTheme="minorEastAsia" w:hAnsiTheme="minorEastAsia" w:hint="eastAsia"/>
          <w:color w:val="000000" w:themeColor="text1"/>
          <w:sz w:val="30"/>
        </w:rPr>
        <w:t>十</w:t>
      </w:r>
      <w:bookmarkStart w:id="81" w:name="_Toc332373553"/>
      <w:r w:rsidRPr="00CC51EF">
        <w:rPr>
          <w:rFonts w:asciiTheme="minorEastAsia" w:eastAsiaTheme="minorEastAsia" w:hAnsiTheme="minorEastAsia" w:hint="eastAsia"/>
          <w:color w:val="000000" w:themeColor="text1"/>
          <w:sz w:val="30"/>
        </w:rPr>
        <w:t>五、基金的收益分配</w:t>
      </w:r>
      <w:bookmarkEnd w:id="81"/>
      <w:bookmarkEnd w:id="80"/>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（一）基金利润的构成</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（二）基金可供分配利润</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（三）基金收益分配原则</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、在符合有关基金分红条件的前提下，基金管理人可以根据实际情况进行收益分配，具体分配方案以公告为准，若《基金合同》生效不满</w:t>
      </w: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个月可不进行收益分配；</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、本基金收益分配方式分两种：现金分红与红利再投资，投资者可选择现金红利或将现金红利自动转为对应类别的基金份额进行再投资；若投资者不选择，本基金默认的收益分配方式是现金分红；</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、基金收益分配后基金份额净值不能低于面值；即基金收益分配基准日的基金份额净值减去每单位基金份额收益分配金额后不能低于面值；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、本基金各基金份额类别在费用收取上不同，其对应的可分配收益可能有所不同。同一类别的每一基金份额享有同等分配权；</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、法律法规或监管机关另有规定的，从其规定。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（四）收益分配方案</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（五）收益分配方案的确定、公告与实施</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本基金收益分配方案由基金管理人拟定，并由基金托管人复核，在</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日内在规定媒介公告。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（六）基金收益分配中发生的费用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对应类别的基金份额。红利再投资的计算方法，依照《业务规则》执行。</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（七）实施侧袋机制期间的收益分配</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本基金实施侧袋机制的，侧袋账户不进行收益分配。</w:t>
      </w: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73"/>
        <w:jc w:val="center"/>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br w:type="page"/>
      </w:r>
    </w:p>
    <w:p w:rsidR="001B2ECA" w:rsidRPr="00CC51EF">
      <w:pPr>
        <w:pStyle w:val="11"/>
        <w:spacing w:before="317" w:after="317" w:line="360" w:lineRule="auto"/>
        <w:ind w:firstLine="600"/>
        <w:rPr>
          <w:rFonts w:asciiTheme="minorEastAsia" w:eastAsiaTheme="minorEastAsia" w:hAnsiTheme="minorEastAsia"/>
          <w:color w:val="000000" w:themeColor="text1"/>
          <w:sz w:val="30"/>
        </w:rPr>
      </w:pPr>
      <w:bookmarkStart w:id="82" w:name="_Toc134548083"/>
      <w:r w:rsidRPr="00CC51EF">
        <w:rPr>
          <w:rFonts w:asciiTheme="minorEastAsia" w:eastAsiaTheme="minorEastAsia" w:hAnsiTheme="minorEastAsia" w:hint="eastAsia"/>
          <w:color w:val="000000" w:themeColor="text1"/>
          <w:sz w:val="30"/>
        </w:rPr>
        <w:t>十</w:t>
      </w:r>
      <w:bookmarkStart w:id="83" w:name="_Toc332373560"/>
      <w:r w:rsidRPr="00CC51EF">
        <w:rPr>
          <w:rFonts w:asciiTheme="minorEastAsia" w:eastAsiaTheme="minorEastAsia" w:hAnsiTheme="minorEastAsia" w:hint="eastAsia"/>
          <w:color w:val="000000" w:themeColor="text1"/>
          <w:sz w:val="30"/>
        </w:rPr>
        <w:t>六、基金的费用与税收</w:t>
      </w:r>
      <w:bookmarkEnd w:id="82"/>
    </w:p>
    <w:p w:rsidR="001B2ECA" w:rsidRPr="00CC51EF">
      <w:pPr>
        <w:spacing w:line="360" w:lineRule="auto"/>
        <w:ind w:firstLine="420"/>
        <w:rPr>
          <w:rFonts w:asciiTheme="minorEastAsia" w:eastAsiaTheme="minorEastAsia" w:hAnsiTheme="minorEastAsia"/>
          <w:bCs/>
          <w:color w:val="000000" w:themeColor="text1"/>
          <w:szCs w:val="21"/>
        </w:rPr>
      </w:pPr>
      <w:bookmarkStart w:id="84" w:name="_Toc332373561"/>
      <w:bookmarkEnd w:id="83"/>
      <w:r w:rsidRPr="00CC51EF">
        <w:rPr>
          <w:rFonts w:asciiTheme="minorEastAsia" w:eastAsiaTheme="minorEastAsia" w:hAnsiTheme="minorEastAsia" w:hint="eastAsia"/>
          <w:bCs/>
          <w:color w:val="000000" w:themeColor="text1"/>
          <w:szCs w:val="21"/>
        </w:rPr>
        <w:t>（一）基金费用的种类</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、基金管理人的管理费；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、基金托管人的托管费；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、销售服务费；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、《基金合同》生效后与基金相关的信息披露费用；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、《基金合同》生效后与基金相关的会计师费、律师费、诉讼费和仲裁费；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、基金份额持有人大会费用；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7</w:t>
      </w:r>
      <w:r w:rsidRPr="00CC51EF">
        <w:rPr>
          <w:rFonts w:asciiTheme="minorEastAsia" w:eastAsiaTheme="minorEastAsia" w:hAnsiTheme="minorEastAsia" w:hint="eastAsia"/>
          <w:bCs/>
          <w:color w:val="000000" w:themeColor="text1"/>
          <w:szCs w:val="21"/>
        </w:rPr>
        <w:t>、基金的证券交易费用；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8</w:t>
      </w:r>
      <w:r w:rsidRPr="00CC51EF">
        <w:rPr>
          <w:rFonts w:asciiTheme="minorEastAsia" w:eastAsiaTheme="minorEastAsia" w:hAnsiTheme="minorEastAsia" w:hint="eastAsia"/>
          <w:bCs/>
          <w:color w:val="000000" w:themeColor="text1"/>
          <w:szCs w:val="21"/>
        </w:rPr>
        <w:t>、基金的银行汇划费用；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9</w:t>
      </w:r>
      <w:r w:rsidRPr="00CC51EF">
        <w:rPr>
          <w:rFonts w:asciiTheme="minorEastAsia" w:eastAsiaTheme="minorEastAsia" w:hAnsiTheme="minorEastAsia" w:hint="eastAsia"/>
          <w:bCs/>
          <w:color w:val="000000" w:themeColor="text1"/>
          <w:szCs w:val="21"/>
        </w:rPr>
        <w:t>、证券账户开户费用、银行账户维护费用；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、因投资内地与香港股票市场交易互联互通机制允许买卖的香港证券市场股票而产生的各项合理费用；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11</w:t>
      </w:r>
      <w:r w:rsidRPr="00CC51EF">
        <w:rPr>
          <w:rFonts w:asciiTheme="minorEastAsia" w:eastAsiaTheme="minorEastAsia" w:hAnsiTheme="minorEastAsia" w:hint="eastAsia"/>
          <w:bCs/>
          <w:color w:val="000000" w:themeColor="text1"/>
          <w:szCs w:val="21"/>
        </w:rPr>
        <w:t>、按照国家有关规定和《基金合同》约定，可以在基金财产中列支的其他费用。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（二）基金费用计提方法、计提标准和支付方式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、基金管理人的管理费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本基金的管理费按前一日基金资产净值的</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年费率计提。管理费的计算方法如下：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H</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E×1.5%÷</w:t>
      </w:r>
      <w:r w:rsidRPr="00CC51EF">
        <w:rPr>
          <w:rFonts w:asciiTheme="minorEastAsia" w:eastAsiaTheme="minorEastAsia" w:hAnsiTheme="minorEastAsia" w:hint="eastAsia"/>
          <w:bCs/>
          <w:color w:val="000000" w:themeColor="text1"/>
          <w:szCs w:val="21"/>
        </w:rPr>
        <w:t>当年天数</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H</w:t>
      </w:r>
      <w:r w:rsidRPr="00CC51EF">
        <w:rPr>
          <w:rFonts w:asciiTheme="minorEastAsia" w:eastAsiaTheme="minorEastAsia" w:hAnsiTheme="minorEastAsia" w:hint="eastAsia"/>
          <w:bCs/>
          <w:color w:val="000000" w:themeColor="text1"/>
          <w:szCs w:val="21"/>
        </w:rPr>
        <w:t>为每日应计提的基金管理费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E</w:t>
      </w:r>
      <w:r w:rsidRPr="00CC51EF">
        <w:rPr>
          <w:rFonts w:asciiTheme="minorEastAsia" w:eastAsiaTheme="minorEastAsia" w:hAnsiTheme="minorEastAsia" w:hint="eastAsia"/>
          <w:bCs/>
          <w:color w:val="000000" w:themeColor="text1"/>
          <w:szCs w:val="21"/>
        </w:rPr>
        <w:t>为前一日的基金资产净值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费每日计提，逐日累计至每月月末，按月支付，由基金托管人根据与基金管理人核对一致的财务数据，自动在次月初五个工作日内、按照指定的账户路径进行资金支付。若遇法定节假日、公休日等，支付日期顺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、基金托管人的托管费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本基金的托管费按前一日基金资产净值的</w:t>
      </w:r>
      <w:r w:rsidRPr="00CC51EF">
        <w:rPr>
          <w:rFonts w:asciiTheme="minorEastAsia" w:eastAsiaTheme="minorEastAsia" w:hAnsiTheme="minorEastAsia"/>
          <w:bCs/>
          <w:color w:val="000000" w:themeColor="text1"/>
          <w:szCs w:val="21"/>
        </w:rPr>
        <w:t>0.25%</w:t>
      </w:r>
      <w:r w:rsidRPr="00CC51EF">
        <w:rPr>
          <w:rFonts w:asciiTheme="minorEastAsia" w:eastAsiaTheme="minorEastAsia" w:hAnsiTheme="minorEastAsia" w:hint="eastAsia"/>
          <w:bCs/>
          <w:color w:val="000000" w:themeColor="text1"/>
          <w:szCs w:val="21"/>
        </w:rPr>
        <w:t>的年费率计提。托管费的计算方法如下：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H</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E×0.25%÷</w:t>
      </w:r>
      <w:r w:rsidRPr="00CC51EF">
        <w:rPr>
          <w:rFonts w:asciiTheme="minorEastAsia" w:eastAsiaTheme="minorEastAsia" w:hAnsiTheme="minorEastAsia" w:hint="eastAsia"/>
          <w:bCs/>
          <w:color w:val="000000" w:themeColor="text1"/>
          <w:szCs w:val="21"/>
        </w:rPr>
        <w:t>当年天数</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H</w:t>
      </w:r>
      <w:r w:rsidRPr="00CC51EF">
        <w:rPr>
          <w:rFonts w:asciiTheme="minorEastAsia" w:eastAsiaTheme="minorEastAsia" w:hAnsiTheme="minorEastAsia" w:hint="eastAsia"/>
          <w:bCs/>
          <w:color w:val="000000" w:themeColor="text1"/>
          <w:szCs w:val="21"/>
        </w:rPr>
        <w:t>为每日应计提的基金托管费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E</w:t>
      </w:r>
      <w:r w:rsidRPr="00CC51EF">
        <w:rPr>
          <w:rFonts w:asciiTheme="minorEastAsia" w:eastAsiaTheme="minorEastAsia" w:hAnsiTheme="minorEastAsia" w:hint="eastAsia"/>
          <w:bCs/>
          <w:color w:val="000000" w:themeColor="text1"/>
          <w:szCs w:val="21"/>
        </w:rPr>
        <w:t>为前一日的基金资产净值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托管费每日计提，逐日累计至每月月末，按月支付，由基金托管人根据与基金管理人核对一致的财务数据，自动在次月初五个工作日内、按照指定的账户路径进行资金支付。若遇法定节假日、公休日等，支付日期顺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、销售服务费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w:t>
      </w:r>
      <w:r w:rsidRPr="00CC51EF">
        <w:rPr>
          <w:rFonts w:asciiTheme="minorEastAsia" w:eastAsiaTheme="minorEastAsia" w:hAnsiTheme="minorEastAsia"/>
          <w:bCs/>
          <w:color w:val="000000" w:themeColor="text1"/>
          <w:szCs w:val="21"/>
        </w:rPr>
        <w:t>A</w:t>
      </w:r>
      <w:r w:rsidRPr="00CC51EF">
        <w:rPr>
          <w:rFonts w:asciiTheme="minorEastAsia" w:eastAsiaTheme="minorEastAsia" w:hAnsiTheme="minorEastAsia" w:hint="eastAsia"/>
          <w:bCs/>
          <w:color w:val="000000" w:themeColor="text1"/>
          <w:szCs w:val="21"/>
        </w:rPr>
        <w:t>类基金份额不收取销售服务费，</w:t>
      </w:r>
      <w:r w:rsidRPr="00CC51EF">
        <w:rPr>
          <w:rFonts w:asciiTheme="minorEastAsia" w:eastAsiaTheme="minorEastAsia" w:hAnsiTheme="minorEastAsia"/>
          <w:bCs/>
          <w:color w:val="000000" w:themeColor="text1"/>
          <w:szCs w:val="21"/>
        </w:rPr>
        <w:t>C</w:t>
      </w:r>
      <w:r w:rsidRPr="00CC51EF">
        <w:rPr>
          <w:rFonts w:asciiTheme="minorEastAsia" w:eastAsiaTheme="minorEastAsia" w:hAnsiTheme="minorEastAsia" w:hint="eastAsia"/>
          <w:bCs/>
          <w:color w:val="000000" w:themeColor="text1"/>
          <w:szCs w:val="21"/>
        </w:rPr>
        <w:t>类基金份额的销售服务费年费率为</w:t>
      </w:r>
      <w:r w:rsidRPr="00CC51EF">
        <w:rPr>
          <w:rFonts w:asciiTheme="minorEastAsia" w:eastAsiaTheme="minorEastAsia" w:hAnsiTheme="minorEastAsia"/>
          <w:bCs/>
          <w:color w:val="000000" w:themeColor="text1"/>
          <w:szCs w:val="21"/>
        </w:rPr>
        <w:t>0.40%</w:t>
      </w:r>
      <w:r w:rsidRPr="00CC51EF">
        <w:rPr>
          <w:rFonts w:asciiTheme="minorEastAsia" w:eastAsiaTheme="minorEastAsia" w:hAnsiTheme="minorEastAsia" w:hint="eastAsia"/>
          <w:bCs/>
          <w:color w:val="000000" w:themeColor="text1"/>
          <w:szCs w:val="21"/>
        </w:rPr>
        <w:t>，按前一日</w:t>
      </w:r>
      <w:r w:rsidRPr="00CC51EF">
        <w:rPr>
          <w:rFonts w:asciiTheme="minorEastAsia" w:eastAsiaTheme="minorEastAsia" w:hAnsiTheme="minorEastAsia"/>
          <w:bCs/>
          <w:color w:val="000000" w:themeColor="text1"/>
          <w:szCs w:val="21"/>
        </w:rPr>
        <w:t>C</w:t>
      </w:r>
      <w:r w:rsidRPr="00CC51EF">
        <w:rPr>
          <w:rFonts w:asciiTheme="minorEastAsia" w:eastAsiaTheme="minorEastAsia" w:hAnsiTheme="minorEastAsia" w:hint="eastAsia"/>
          <w:bCs/>
          <w:color w:val="000000" w:themeColor="text1"/>
          <w:szCs w:val="21"/>
        </w:rPr>
        <w:t>类基金资产净值的</w:t>
      </w:r>
      <w:r w:rsidRPr="00CC51EF">
        <w:rPr>
          <w:rFonts w:asciiTheme="minorEastAsia" w:eastAsiaTheme="minorEastAsia" w:hAnsiTheme="minorEastAsia"/>
          <w:bCs/>
          <w:color w:val="000000" w:themeColor="text1"/>
          <w:szCs w:val="21"/>
        </w:rPr>
        <w:t>0.40%</w:t>
      </w:r>
      <w:r w:rsidRPr="00CC51EF">
        <w:rPr>
          <w:rFonts w:asciiTheme="minorEastAsia" w:eastAsiaTheme="minorEastAsia" w:hAnsiTheme="minorEastAsia" w:hint="eastAsia"/>
          <w:bCs/>
          <w:color w:val="000000" w:themeColor="text1"/>
          <w:szCs w:val="21"/>
        </w:rPr>
        <w:t>年费率计提。</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销售服务费的计算方法如下：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H</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E</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0.40%</w:t>
      </w:r>
      <w:r w:rsidRPr="00CC51EF">
        <w:rPr>
          <w:rFonts w:asciiTheme="minorEastAsia" w:eastAsiaTheme="minorEastAsia" w:hAnsiTheme="minorEastAsia" w:hint="eastAsia"/>
          <w:bCs/>
          <w:color w:val="000000" w:themeColor="text1"/>
          <w:szCs w:val="21"/>
        </w:rPr>
        <w:t>÷当年天数</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 xml:space="preserve">H </w:t>
      </w:r>
      <w:r w:rsidRPr="00CC51EF">
        <w:rPr>
          <w:rFonts w:asciiTheme="minorEastAsia" w:eastAsiaTheme="minorEastAsia" w:hAnsiTheme="minorEastAsia" w:hint="eastAsia"/>
          <w:bCs/>
          <w:color w:val="000000" w:themeColor="text1"/>
          <w:szCs w:val="21"/>
        </w:rPr>
        <w:t>为</w:t>
      </w:r>
      <w:r w:rsidRPr="00CC51EF">
        <w:rPr>
          <w:rFonts w:asciiTheme="minorEastAsia" w:eastAsiaTheme="minorEastAsia" w:hAnsiTheme="minorEastAsia"/>
          <w:bCs/>
          <w:color w:val="000000" w:themeColor="text1"/>
          <w:szCs w:val="21"/>
        </w:rPr>
        <w:t>C</w:t>
      </w:r>
      <w:r w:rsidRPr="00CC51EF">
        <w:rPr>
          <w:rFonts w:asciiTheme="minorEastAsia" w:eastAsiaTheme="minorEastAsia" w:hAnsiTheme="minorEastAsia" w:hint="eastAsia"/>
          <w:bCs/>
          <w:color w:val="000000" w:themeColor="text1"/>
          <w:szCs w:val="21"/>
        </w:rPr>
        <w:t>类基金份额每日应计提的销售服务费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 xml:space="preserve">E </w:t>
      </w:r>
      <w:r w:rsidRPr="00CC51EF">
        <w:rPr>
          <w:rFonts w:asciiTheme="minorEastAsia" w:eastAsiaTheme="minorEastAsia" w:hAnsiTheme="minorEastAsia" w:hint="eastAsia"/>
          <w:bCs/>
          <w:color w:val="000000" w:themeColor="text1"/>
          <w:szCs w:val="21"/>
        </w:rPr>
        <w:t>为</w:t>
      </w:r>
      <w:r w:rsidRPr="00CC51EF">
        <w:rPr>
          <w:rFonts w:asciiTheme="minorEastAsia" w:eastAsiaTheme="minorEastAsia" w:hAnsiTheme="minorEastAsia"/>
          <w:bCs/>
          <w:color w:val="000000" w:themeColor="text1"/>
          <w:szCs w:val="21"/>
        </w:rPr>
        <w:t>C</w:t>
      </w:r>
      <w:r w:rsidRPr="00CC51EF">
        <w:rPr>
          <w:rFonts w:asciiTheme="minorEastAsia" w:eastAsiaTheme="minorEastAsia" w:hAnsiTheme="minorEastAsia" w:hint="eastAsia"/>
          <w:bCs/>
          <w:color w:val="000000" w:themeColor="text1"/>
          <w:szCs w:val="21"/>
        </w:rPr>
        <w:t>类基金份额前一日基金资产净值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销售服务费每日计提，逐日累计至每月月末，按月支付，由基金托管人根据与基金管理人核对一致的财务数据，自动在次月初三个工作日内、按照指定的账户路径进行资金支付。若遇法定节假日、公休日等，支付日期顺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上述“（一）基金费用的种类”中第</w:t>
      </w: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w:t>
      </w:r>
      <w:r w:rsidRPr="00CC51EF">
        <w:rPr>
          <w:rFonts w:asciiTheme="minorEastAsia" w:eastAsiaTheme="minorEastAsia" w:hAnsiTheme="minorEastAsia"/>
          <w:bCs/>
          <w:color w:val="000000" w:themeColor="text1"/>
          <w:szCs w:val="21"/>
        </w:rPr>
        <w:t>11</w:t>
      </w:r>
      <w:r w:rsidRPr="00CC51EF">
        <w:rPr>
          <w:rFonts w:asciiTheme="minorEastAsia" w:eastAsiaTheme="minorEastAsia" w:hAnsiTheme="minorEastAsia" w:hint="eastAsia"/>
          <w:bCs/>
          <w:color w:val="000000" w:themeColor="text1"/>
          <w:szCs w:val="21"/>
        </w:rPr>
        <w:t>项费用，根据有关法规及相应协议规定，按费用实际支出金额列入当期费用，由基金托管人从基金财产中支付。</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（三）不列入基金费用的项目</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下列费用不列入基金费用：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、基金管理人和基金托管人因未履行或未完全履行义务导致的费用支出或基金财产的损失；</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、基金管理人和基金托管人处理与基金运作无关的事项发生的费用；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、《基金合同》生效前的相关费用；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、其他根据相关法律法规及中国证监会的有关规定不得列入基金费用的项目。</w:t>
      </w:r>
    </w:p>
    <w:p w:rsidR="001B2ECA" w:rsidRPr="00CC51EF">
      <w:pPr>
        <w:spacing w:line="360" w:lineRule="auto"/>
        <w:ind w:firstLine="420"/>
        <w:rPr>
          <w:rFonts w:asciiTheme="minorEastAsia" w:eastAsiaTheme="minorEastAsia" w:hAnsiTheme="minorEastAsia"/>
          <w:bCs/>
          <w:color w:val="000000" w:themeColor="text1"/>
          <w:szCs w:val="21"/>
        </w:rPr>
      </w:pPr>
      <w:bookmarkStart w:id="85" w:name="_Hlt88827255"/>
      <w:bookmarkStart w:id="86" w:name="_Toc332373564"/>
      <w:bookmarkEnd w:id="84"/>
      <w:bookmarkEnd w:id="85"/>
      <w:r w:rsidRPr="00CC51EF">
        <w:rPr>
          <w:rFonts w:asciiTheme="minorEastAsia" w:eastAsiaTheme="minorEastAsia" w:hAnsiTheme="minorEastAsia" w:hint="eastAsia"/>
          <w:bCs/>
          <w:color w:val="000000" w:themeColor="text1"/>
          <w:szCs w:val="21"/>
        </w:rPr>
        <w:t>（四）实施侧袋机制期间的基金费用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本基金实施侧袋机制的，与侧袋账户有关的费用可以从侧袋账户中列支，但应待侧袋账户资产变现后方可列支，有关费用可酌情收取或减免，但不得收取管理费。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（五）与基金销售有关的费用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1、本基金申购费、赎回费的费率水平、计算公式、收取方式和使用方式请详见本招募说明书“八、基金份额的申购、赎回”中的“</w:t>
      </w:r>
      <w:r w:rsidRPr="00CC51EF">
        <w:rPr>
          <w:rFonts w:asciiTheme="minorEastAsia" w:eastAsiaTheme="minorEastAsia" w:hAnsiTheme="minorEastAsia" w:hint="eastAsia"/>
          <w:bCs/>
          <w:color w:val="000000" w:themeColor="text1"/>
        </w:rPr>
        <w:t>（七）基金的申购费和赎回费</w:t>
      </w:r>
      <w:r w:rsidRPr="00CC51EF">
        <w:rPr>
          <w:rFonts w:asciiTheme="minorEastAsia" w:eastAsiaTheme="minorEastAsia" w:hAnsiTheme="minorEastAsia" w:hint="eastAsia"/>
          <w:bCs/>
          <w:color w:val="000000" w:themeColor="text1"/>
          <w:szCs w:val="21"/>
        </w:rPr>
        <w:t>”与“（八）</w:t>
      </w:r>
      <w:r w:rsidRPr="00CC51EF">
        <w:rPr>
          <w:rFonts w:asciiTheme="minorEastAsia" w:eastAsiaTheme="minorEastAsia" w:hAnsiTheme="minorEastAsia" w:hint="eastAsia"/>
          <w:bCs/>
          <w:color w:val="000000" w:themeColor="text1"/>
          <w:szCs w:val="21"/>
        </w:rPr>
        <w:t>申购和赎回的数额和价格”中的相关规定。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（六）基金税收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本基金支付给基金管理人、基金托管人的各项费用均为含税价格，具体税率适用中国税务主管机关的规定。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pStyle w:val="11"/>
        <w:spacing w:before="317" w:after="317" w:line="360" w:lineRule="auto"/>
        <w:ind w:firstLine="600"/>
        <w:rPr>
          <w:rFonts w:asciiTheme="minorEastAsia" w:eastAsiaTheme="minorEastAsia" w:hAnsiTheme="minorEastAsia"/>
          <w:bCs/>
          <w:color w:val="000000" w:themeColor="text1"/>
        </w:rPr>
      </w:pPr>
      <w:bookmarkStart w:id="87" w:name="_Toc134548084"/>
      <w:bookmarkEnd w:id="86"/>
      <w:r w:rsidRPr="00CC51EF">
        <w:rPr>
          <w:rFonts w:asciiTheme="minorEastAsia" w:eastAsiaTheme="minorEastAsia" w:hAnsiTheme="minorEastAsia" w:hint="eastAsia"/>
          <w:color w:val="000000" w:themeColor="text1"/>
          <w:sz w:val="30"/>
        </w:rPr>
        <w:t>十</w:t>
      </w:r>
      <w:bookmarkStart w:id="88" w:name="_Toc332373566"/>
      <w:r w:rsidRPr="00CC51EF">
        <w:rPr>
          <w:rFonts w:asciiTheme="minorEastAsia" w:eastAsiaTheme="minorEastAsia" w:hAnsiTheme="minorEastAsia" w:hint="eastAsia"/>
          <w:color w:val="000000" w:themeColor="text1"/>
          <w:sz w:val="30"/>
        </w:rPr>
        <w:t>七、基金的会计与审计</w:t>
      </w:r>
      <w:bookmarkEnd w:id="88"/>
      <w:bookmarkEnd w:id="87"/>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（一）基金会计政策</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、基金管理人为本基金的基金会计责任方；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、基金的会计年度为公历年度的</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月</w:t>
      </w: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日至</w:t>
      </w:r>
      <w:r w:rsidRPr="00CC51EF">
        <w:rPr>
          <w:rFonts w:asciiTheme="minorEastAsia" w:eastAsiaTheme="minorEastAsia" w:hAnsiTheme="minorEastAsia"/>
          <w:bCs/>
          <w:color w:val="000000" w:themeColor="text1"/>
          <w:szCs w:val="21"/>
        </w:rPr>
        <w:t>12</w:t>
      </w:r>
      <w:r w:rsidRPr="00CC51EF">
        <w:rPr>
          <w:rFonts w:asciiTheme="minorEastAsia" w:eastAsiaTheme="minorEastAsia" w:hAnsiTheme="minorEastAsia" w:hint="eastAsia"/>
          <w:bCs/>
          <w:color w:val="000000" w:themeColor="text1"/>
          <w:szCs w:val="21"/>
        </w:rPr>
        <w:t>月</w:t>
      </w:r>
      <w:r w:rsidRPr="00CC51EF">
        <w:rPr>
          <w:rFonts w:asciiTheme="minorEastAsia" w:eastAsiaTheme="minorEastAsia" w:hAnsiTheme="minorEastAsia"/>
          <w:bCs/>
          <w:color w:val="000000" w:themeColor="text1"/>
          <w:szCs w:val="21"/>
        </w:rPr>
        <w:t>31</w:t>
      </w:r>
      <w:r w:rsidRPr="00CC51EF">
        <w:rPr>
          <w:rFonts w:asciiTheme="minorEastAsia" w:eastAsiaTheme="minorEastAsia" w:hAnsiTheme="minorEastAsia" w:hint="eastAsia"/>
          <w:bCs/>
          <w:color w:val="000000" w:themeColor="text1"/>
          <w:szCs w:val="21"/>
        </w:rPr>
        <w:t>日；基金首次募集的会计年度按如下原则：如果《基金合同》生效少于</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个月，可以并入下一个会计年度；</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、基金核算以人民币为记账本位币，以人民币元为记账单位；</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、会计制度执行国家有关会计制度；</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、本基金独立建账、独立核算；</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、基金管理人及基金托管人各自保留完整的会计账目、凭证并进行日常的会计核算，按照有关规定编制基金会计报表；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7</w:t>
      </w:r>
      <w:r w:rsidRPr="00CC51EF">
        <w:rPr>
          <w:rFonts w:asciiTheme="minorEastAsia" w:eastAsiaTheme="minorEastAsia" w:hAnsiTheme="minorEastAsia" w:hint="eastAsia"/>
          <w:bCs/>
          <w:color w:val="000000" w:themeColor="text1"/>
          <w:szCs w:val="21"/>
        </w:rPr>
        <w:t>、基金托管人每月与基金管理人就基金的会计核算、报表编制等进行核对确认。</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（二）基金的年度审计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、基金管理人聘请与基金管理人、基金托管人相互独立的符合《证券法》规定的会计师事务所及其注册会计师对本基金的年度财务报表进行审计。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、会计师事务所更换经办注册会计师，应事先征得基金管理人同意。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w:t>
      </w:r>
      <w:bookmarkStart w:id="89" w:name="_Hlt4221115"/>
      <w:bookmarkEnd w:id="89"/>
      <w:r w:rsidRPr="00CC51EF">
        <w:rPr>
          <w:rFonts w:asciiTheme="minorEastAsia" w:eastAsiaTheme="minorEastAsia" w:hAnsiTheme="minorEastAsia" w:hint="eastAsia"/>
          <w:bCs/>
          <w:color w:val="000000" w:themeColor="text1"/>
          <w:szCs w:val="21"/>
        </w:rPr>
        <w:t>基金管理人认为有充足理由更换会计师事务所，须通报基金托管人。更换会计师事务所需在</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日内在规定媒介公告。</w:t>
      </w: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pStyle w:val="11"/>
        <w:spacing w:before="317" w:after="317" w:line="360" w:lineRule="auto"/>
        <w:ind w:firstLine="420"/>
        <w:rPr>
          <w:rFonts w:asciiTheme="minorEastAsia" w:eastAsiaTheme="minorEastAsia" w:hAnsiTheme="minorEastAsia"/>
          <w:color w:val="000000" w:themeColor="text1"/>
          <w:sz w:val="30"/>
        </w:rPr>
      </w:pPr>
      <w:r w:rsidRPr="00CC51EF">
        <w:rPr>
          <w:rFonts w:asciiTheme="minorEastAsia" w:eastAsiaTheme="minorEastAsia" w:hAnsiTheme="minorEastAsia"/>
          <w:color w:val="000000" w:themeColor="text1"/>
          <w:sz w:val="21"/>
          <w:szCs w:val="21"/>
        </w:rPr>
        <w:br w:type="column"/>
      </w:r>
      <w:bookmarkStart w:id="90" w:name="_Toc134548085"/>
      <w:r w:rsidRPr="00CC51EF">
        <w:rPr>
          <w:rFonts w:asciiTheme="minorEastAsia" w:eastAsiaTheme="minorEastAsia" w:hAnsiTheme="minorEastAsia" w:hint="eastAsia"/>
          <w:color w:val="000000" w:themeColor="text1"/>
          <w:sz w:val="30"/>
        </w:rPr>
        <w:t>十</w:t>
      </w:r>
      <w:bookmarkStart w:id="91" w:name="_Toc332373569"/>
      <w:r w:rsidRPr="00CC51EF">
        <w:rPr>
          <w:rFonts w:asciiTheme="minorEastAsia" w:eastAsiaTheme="minorEastAsia" w:hAnsiTheme="minorEastAsia" w:hint="eastAsia"/>
          <w:color w:val="000000" w:themeColor="text1"/>
          <w:sz w:val="30"/>
        </w:rPr>
        <w:t>八、基金的信息披露</w:t>
      </w:r>
      <w:bookmarkEnd w:id="91"/>
      <w:bookmarkEnd w:id="90"/>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（二）信息披露义务人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本基金信息披露义务人应当在中国证监会规定时间内，将应予披露的基金信息通过规定媒介披露，并保证基金投资者能够按照《基金合同》约定的时间和方式查阅或者复制公开披露的信息资料。</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（三）本基金信息披露义务人承诺公开披露的基金信息，不得有下列行为：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、虚假记载、误导性陈述或者重大遗漏；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、对证券投资业绩进行预测；</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、违规承诺收益或者承担损失；</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、诋毁其他基金管理人、基金托管人或者基金销售机构；</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、登载任何自然人、法人和非法人组织的祝贺性、恭维性或推荐性的文字；</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、中国证监会禁止的其他行为。</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本基金公开披露的信息采用阿拉伯数字；除特别说明外，货币单位为人民币元。</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（五）公开披露的基金信息</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公开披露的基金信息包括：</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1、基金招募说明书、《基金合同》、基金托管协议、基金产品资料概要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《基金合同》是界定《基金合同》当事人的各项权利、义务关系，明确基金份额</w:t>
      </w:r>
      <w:r w:rsidRPr="00CC51EF">
        <w:rPr>
          <w:rFonts w:asciiTheme="minorEastAsia" w:eastAsiaTheme="minorEastAsia" w:hAnsiTheme="minorEastAsia" w:hint="eastAsia"/>
          <w:bCs/>
          <w:color w:val="000000" w:themeColor="text1"/>
          <w:szCs w:val="21"/>
        </w:rPr>
        <w:t>持有人大会召开的规则及具体程序，说明基金产品的特性等涉及基金投资者重大利益的事项的法律文件。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基金托管协议是界定基金托管人和基金管理人在基金财产保管及基金运作监督等活动中的权利、义务关系的法律文件。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基金份额发售公告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基金管理人应当就基金份额发售的具体事宜编制基金份额发售公告，并在披露招募说明书的当日登载于规定媒介上。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《基金合同》生效公告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基金管理人应当在收到中国证监会确认文件的次日在规定媒介上登载《基金合同》生效公告。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4、基金净值信息</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《基金合同》生效后，在开始办理基金份额申购或者赎回前，基金管理人应当至少每周在规定网站披露一次基金份额净值和基金份额累计净值。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在开始办理基金份额申购或者赎回后，基金管理人应当在不晚于每个开放日的次日，通过规定网站、基金销售机构网站或者营业网点披露开放日的基金份额净值和基金份额累计净值。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基金管理人应当在不晚于半年度和年度最后一日的次日，在规定网站披露半年度和年度最后一日的基金份额净值和基金份额累计净值。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5、基金份额申购、赎回价格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6、基金定期报告，包括基金年度报告、基金中期报告和基金季度报告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基金管理人应当在上半年结束之日起两个月内，编制完成基金中期报告，将中期报告登载在规定网站上，并将中期报告提示性公告登载在规定报刊上。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基金管理人应当在季度结束之日起</w:t>
      </w: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个工作日内，编制完成基金季度报告，将季度报告登载在规定网站上，并将季度报告提示性公告登载在规定报刊上。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《基金合同》生效不足</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个月的，基金管理人可以不编制当期季度报告、中期报告或者年度报告。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如报告期内出现单一投资者持有基金份额达到或超过基金总份额</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基金管理人应当在基金年度报告和中期报告中披露基金组合资产情况及其流动性风险分析等。</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7、临时报告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本基金发生重大事件，有关信息披露义务人应当在</w:t>
      </w: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日内编制临时报告书，并登载在规定报刊和规定网站上。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前款所称重大事件，是指可能对基金份额持有人权益或者基金份额的价格产生重大影</w:t>
      </w:r>
      <w:r w:rsidRPr="00CC51EF">
        <w:rPr>
          <w:rFonts w:asciiTheme="minorEastAsia" w:eastAsiaTheme="minorEastAsia" w:hAnsiTheme="minorEastAsia" w:hint="eastAsia"/>
          <w:bCs/>
          <w:color w:val="000000" w:themeColor="text1"/>
          <w:szCs w:val="21"/>
        </w:rPr>
        <w:t>响的下列事件：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基金份额持有人大会的召开及决定的事项；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基金合同终止、基金清算；</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转换基金运作方式、基金合并；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（4）</w:t>
      </w:r>
      <w:r w:rsidRPr="00CC51EF">
        <w:rPr>
          <w:rFonts w:asciiTheme="minorEastAsia" w:eastAsiaTheme="minorEastAsia" w:hAnsiTheme="minorEastAsia" w:hint="eastAsia"/>
          <w:bCs/>
          <w:color w:val="000000" w:themeColor="text1"/>
          <w:szCs w:val="21"/>
        </w:rPr>
        <w:t>更换基金管理人、基金托管人、基金份额登记机构，基金改聘会计师事务所；</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（5）</w:t>
      </w:r>
      <w:r w:rsidRPr="00CC51EF">
        <w:rPr>
          <w:rFonts w:asciiTheme="minorEastAsia" w:eastAsiaTheme="minorEastAsia" w:hAnsiTheme="minorEastAsia" w:hint="eastAsia"/>
          <w:bCs/>
          <w:color w:val="000000" w:themeColor="text1"/>
          <w:szCs w:val="21"/>
        </w:rPr>
        <w:t>基金管理人委托基金服务机构代为办理基金的份额登记、核算、估值等事项，基金托管人委托基金服务机构代为办理基金的核算、估值、复核等事项；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（6）</w:t>
      </w:r>
      <w:r w:rsidRPr="00CC51EF">
        <w:rPr>
          <w:rFonts w:asciiTheme="minorEastAsia" w:eastAsiaTheme="minorEastAsia" w:hAnsiTheme="minorEastAsia" w:hint="eastAsia"/>
          <w:bCs/>
          <w:color w:val="000000" w:themeColor="text1"/>
          <w:szCs w:val="21"/>
        </w:rPr>
        <w:t>基金管理人、基金托管人的法定名称、住所发生变更；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（7）</w:t>
      </w:r>
      <w:r w:rsidRPr="00CC51EF">
        <w:rPr>
          <w:rFonts w:asciiTheme="minorEastAsia" w:eastAsiaTheme="minorEastAsia" w:hAnsiTheme="minorEastAsia" w:hint="eastAsia"/>
          <w:bCs/>
          <w:color w:val="000000" w:themeColor="text1"/>
          <w:szCs w:val="21"/>
        </w:rPr>
        <w:t>基金管理公司变更持有百分之五以上股权的股东、基金管理人的实际控制人变更；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（8）</w:t>
      </w:r>
      <w:r w:rsidRPr="00CC51EF">
        <w:rPr>
          <w:rFonts w:asciiTheme="minorEastAsia" w:eastAsiaTheme="minorEastAsia" w:hAnsiTheme="minorEastAsia" w:hint="eastAsia"/>
          <w:bCs/>
          <w:color w:val="000000" w:themeColor="text1"/>
          <w:szCs w:val="21"/>
        </w:rPr>
        <w:t>基金募集期延长或提前结束募集；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（9）</w:t>
      </w:r>
      <w:r w:rsidRPr="00CC51EF">
        <w:rPr>
          <w:rFonts w:asciiTheme="minorEastAsia" w:eastAsiaTheme="minorEastAsia" w:hAnsiTheme="minorEastAsia" w:hint="eastAsia"/>
          <w:bCs/>
          <w:color w:val="000000" w:themeColor="text1"/>
          <w:szCs w:val="21"/>
        </w:rPr>
        <w:t>基金管理人的高级管理人员、基金经理和基金托管人专门基金托管部门负责人发生变动；</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基金管理人的董事在最近</w:t>
      </w:r>
      <w:r w:rsidRPr="00CC51EF">
        <w:rPr>
          <w:rFonts w:asciiTheme="minorEastAsia" w:eastAsiaTheme="minorEastAsia" w:hAnsiTheme="minorEastAsia"/>
          <w:bCs/>
          <w:color w:val="000000" w:themeColor="text1"/>
          <w:szCs w:val="21"/>
        </w:rPr>
        <w:t>12</w:t>
      </w:r>
      <w:r w:rsidRPr="00CC51EF">
        <w:rPr>
          <w:rFonts w:asciiTheme="minorEastAsia" w:eastAsiaTheme="minorEastAsia" w:hAnsiTheme="minorEastAsia" w:hint="eastAsia"/>
          <w:bCs/>
          <w:color w:val="000000" w:themeColor="text1"/>
          <w:szCs w:val="21"/>
        </w:rPr>
        <w:t>个月内变更超过百分之五十，基金管理人、基金托管人专门基金托管部门的主要业务人员在最近</w:t>
      </w:r>
      <w:r w:rsidRPr="00CC51EF">
        <w:rPr>
          <w:rFonts w:asciiTheme="minorEastAsia" w:eastAsiaTheme="minorEastAsia" w:hAnsiTheme="minorEastAsia"/>
          <w:bCs/>
          <w:color w:val="000000" w:themeColor="text1"/>
          <w:szCs w:val="21"/>
        </w:rPr>
        <w:t>12</w:t>
      </w:r>
      <w:r w:rsidRPr="00CC51EF">
        <w:rPr>
          <w:rFonts w:asciiTheme="minorEastAsia" w:eastAsiaTheme="minorEastAsia" w:hAnsiTheme="minorEastAsia" w:hint="eastAsia"/>
          <w:bCs/>
          <w:color w:val="000000" w:themeColor="text1"/>
          <w:szCs w:val="21"/>
        </w:rPr>
        <w:t>个月内变动超过百分之三十；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（11）</w:t>
      </w:r>
      <w:r w:rsidRPr="00CC51EF">
        <w:rPr>
          <w:rFonts w:asciiTheme="minorEastAsia" w:eastAsiaTheme="minorEastAsia" w:hAnsiTheme="minorEastAsia" w:hint="eastAsia"/>
          <w:bCs/>
          <w:color w:val="000000" w:themeColor="text1"/>
          <w:szCs w:val="21"/>
        </w:rPr>
        <w:t>涉及基金财产、基金管理业务、基金托管业务的诉讼或仲裁；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（12）</w:t>
      </w:r>
      <w:r w:rsidRPr="00CC51EF">
        <w:rPr>
          <w:rFonts w:asciiTheme="minorEastAsia" w:eastAsiaTheme="minorEastAsia" w:hAnsiTheme="minorEastAsia" w:hint="eastAsia"/>
          <w:bCs/>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（13）</w:t>
      </w:r>
      <w:r w:rsidRPr="00CC51EF">
        <w:rPr>
          <w:rFonts w:asciiTheme="minorEastAsia" w:eastAsiaTheme="minorEastAsia" w:hAnsiTheme="minorEastAsia"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（14）</w:t>
      </w:r>
      <w:r w:rsidRPr="00CC51EF">
        <w:rPr>
          <w:rFonts w:asciiTheme="minorEastAsia" w:eastAsiaTheme="minorEastAsia" w:hAnsiTheme="minorEastAsia" w:hint="eastAsia"/>
          <w:bCs/>
          <w:color w:val="000000" w:themeColor="text1"/>
          <w:szCs w:val="21"/>
        </w:rPr>
        <w:t>基金收益分配事项；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（15）</w:t>
      </w:r>
      <w:r w:rsidRPr="00CC51EF">
        <w:rPr>
          <w:rFonts w:asciiTheme="minorEastAsia" w:eastAsiaTheme="minorEastAsia" w:hAnsiTheme="minorEastAsia" w:hint="eastAsia"/>
          <w:bCs/>
          <w:color w:val="000000" w:themeColor="text1"/>
          <w:szCs w:val="21"/>
        </w:rPr>
        <w:t>管理费、托管费、销售服务费、申购费、赎回费等费用计提标准、计提方式和费率发生变更；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（16）</w:t>
      </w:r>
      <w:r w:rsidRPr="00CC51EF">
        <w:rPr>
          <w:rFonts w:asciiTheme="minorEastAsia" w:eastAsiaTheme="minorEastAsia" w:hAnsiTheme="minorEastAsia" w:hint="eastAsia"/>
          <w:bCs/>
          <w:color w:val="000000" w:themeColor="text1"/>
          <w:szCs w:val="21"/>
        </w:rPr>
        <w:t>基金份额净值计价错误达基金份额净值百分之零点五；</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（17）</w:t>
      </w:r>
      <w:r w:rsidRPr="00CC51EF">
        <w:rPr>
          <w:rFonts w:asciiTheme="minorEastAsia" w:eastAsiaTheme="minorEastAsia" w:hAnsiTheme="minorEastAsia" w:hint="eastAsia"/>
          <w:bCs/>
          <w:color w:val="000000" w:themeColor="text1"/>
          <w:szCs w:val="21"/>
        </w:rPr>
        <w:t>本基金开始办理申购、赎回；</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（18）</w:t>
      </w:r>
      <w:r w:rsidRPr="00CC51EF">
        <w:rPr>
          <w:rFonts w:asciiTheme="minorEastAsia" w:eastAsiaTheme="minorEastAsia" w:hAnsiTheme="minorEastAsia" w:hint="eastAsia"/>
          <w:bCs/>
          <w:color w:val="000000" w:themeColor="text1"/>
          <w:szCs w:val="21"/>
        </w:rPr>
        <w:t>本基金暂停接受申购、赎回申请或重新接受申购、赎回申请；</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（19）</w:t>
      </w:r>
      <w:r w:rsidRPr="00CC51EF">
        <w:rPr>
          <w:rFonts w:asciiTheme="minorEastAsia" w:eastAsiaTheme="minorEastAsia" w:hAnsiTheme="minorEastAsia" w:hint="eastAsia"/>
          <w:bCs/>
          <w:color w:val="000000" w:themeColor="text1"/>
          <w:szCs w:val="21"/>
        </w:rPr>
        <w:t>调整基金份额类别的设置；</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基金推出新业务或服务；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（21）</w:t>
      </w:r>
      <w:r w:rsidRPr="00CC51EF">
        <w:rPr>
          <w:rFonts w:asciiTheme="minorEastAsia" w:eastAsiaTheme="minorEastAsia" w:hAnsiTheme="minorEastAsia" w:hint="eastAsia"/>
          <w:bCs/>
          <w:color w:val="000000" w:themeColor="text1"/>
          <w:szCs w:val="21"/>
        </w:rPr>
        <w:t>基金信息披露义务人认为可能对基金份额持有人权益或者基金份额的价格产生重大影响的其他事项或中国证监会规定的其他事项。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8、澄清公告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9、清算报告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10、基金份额持有人大会决议</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基金份额持有人大会决定的事项，应当依法报中国证监会备案，并予以公告。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11</w:t>
      </w:r>
      <w:r w:rsidRPr="00CC51EF">
        <w:rPr>
          <w:rFonts w:asciiTheme="minorEastAsia" w:eastAsiaTheme="minorEastAsia" w:hAnsiTheme="minorEastAsia" w:hint="eastAsia"/>
          <w:bCs/>
          <w:color w:val="000000" w:themeColor="text1"/>
          <w:szCs w:val="21"/>
        </w:rPr>
        <w:t>、实施侧袋机制期间的信息披露</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本基金实施侧袋机制的，相关信息披露义务人应当根据法律法规、基金合同和招募说明书的规定进行信息披露，详见</w:t>
      </w:r>
      <w:r w:rsidRPr="00CC51EF">
        <w:rPr>
          <w:rStyle w:val="da"/>
          <w:rFonts w:asciiTheme="minorEastAsia" w:eastAsiaTheme="minorEastAsia" w:hAnsiTheme="minorEastAsia" w:hint="eastAsia"/>
          <w:color w:val="000000" w:themeColor="text1"/>
        </w:rPr>
        <w:t>本招募说明书“侧袋机制”部分</w:t>
      </w:r>
      <w:r w:rsidRPr="00CC51EF">
        <w:rPr>
          <w:rFonts w:asciiTheme="minorEastAsia" w:eastAsiaTheme="minorEastAsia" w:hAnsiTheme="minorEastAsia" w:hint="eastAsia"/>
          <w:bCs/>
          <w:color w:val="000000" w:themeColor="text1"/>
          <w:szCs w:val="21"/>
        </w:rPr>
        <w:t>的规定。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12、中国证监会规定的其他信息。</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若本基金投资股指期货、国债期货、资产支持证券、股票期权、港股通股票，参与融资业务，基金管理人将按相关法律法规要求进行披露。</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当相关法律法规关于上述信息披露的规定发生变化时，基金管理人将按最新规定进行信息披露。</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（六）信息披露事务管理</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基金管理人、基金托管人应当建立健全信息披露管理制度，指定专门部门及高级管理人员负责管理信息披露事务。</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基金信息披露义务人公开披露基金信息，应当符合中国证监会相关基金信息披露内容与格式准则等法规的规定。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w:t>
      </w:r>
      <w:r w:rsidRPr="00CC51EF">
        <w:rPr>
          <w:rFonts w:asciiTheme="minorEastAsia" w:eastAsiaTheme="minorEastAsia" w:hAnsiTheme="minorEastAsia" w:hint="eastAsia"/>
          <w:bCs/>
          <w:color w:val="000000" w:themeColor="text1"/>
          <w:szCs w:val="21"/>
        </w:rPr>
        <w:t>核、审查，并向基金管理人进行书面或电子确认。</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（七）信息披露文件的存放与查阅</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pStyle w:val="11"/>
        <w:spacing w:before="317" w:after="317" w:line="360" w:lineRule="auto"/>
        <w:ind w:firstLine="600"/>
        <w:rPr>
          <w:rFonts w:asciiTheme="minorEastAsia" w:eastAsiaTheme="minorEastAsia" w:hAnsiTheme="minorEastAsia"/>
          <w:color w:val="000000" w:themeColor="text1"/>
          <w:sz w:val="30"/>
        </w:rPr>
      </w:pPr>
      <w:bookmarkStart w:id="92" w:name="_Toc46676683"/>
      <w:bookmarkStart w:id="93" w:name="_Toc46737675"/>
      <w:bookmarkStart w:id="94" w:name="_Toc134548086"/>
      <w:r w:rsidRPr="00CC51EF">
        <w:rPr>
          <w:rFonts w:asciiTheme="minorEastAsia" w:eastAsiaTheme="minorEastAsia" w:hAnsiTheme="minorEastAsia" w:hint="eastAsia"/>
          <w:color w:val="000000" w:themeColor="text1"/>
          <w:sz w:val="30"/>
        </w:rPr>
        <w:t>十九、侧袋机制</w:t>
      </w:r>
      <w:bookmarkEnd w:id="92"/>
      <w:bookmarkEnd w:id="93"/>
      <w:bookmarkEnd w:id="94"/>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（一）侧袋机制的实施条件和程序</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（二）实施侧袋机制期间基金份额的申购与赎回</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CC51EF">
        <w:rPr>
          <w:rFonts w:asciiTheme="minorEastAsia" w:eastAsiaTheme="minorEastAsia" w:hAnsiTheme="minorEastAsia"/>
          <w:bCs/>
          <w:color w:val="000000" w:themeColor="text1"/>
          <w:szCs w:val="21"/>
        </w:rPr>
        <w:t>10%</w:t>
      </w:r>
      <w:r w:rsidRPr="00CC51EF">
        <w:rPr>
          <w:rFonts w:asciiTheme="minorEastAsia" w:eastAsiaTheme="minorEastAsia" w:hAnsiTheme="minorEastAsia" w:hint="eastAsia"/>
          <w:bCs/>
          <w:color w:val="000000" w:themeColor="text1"/>
          <w:szCs w:val="21"/>
        </w:rPr>
        <w:t>认定。</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（三）实施侧袋机制期间的基金投资</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CC51EF">
        <w:rPr>
          <w:rFonts w:asciiTheme="minorEastAsia" w:eastAsiaTheme="minorEastAsia" w:hAnsiTheme="minorEastAsia"/>
          <w:bCs/>
          <w:color w:val="000000" w:themeColor="text1"/>
          <w:szCs w:val="21"/>
        </w:rPr>
        <w:t>为基准</w:t>
      </w:r>
      <w:r w:rsidRPr="00CC51EF">
        <w:rPr>
          <w:rFonts w:asciiTheme="minorEastAsia" w:eastAsiaTheme="minorEastAsia" w:hAnsiTheme="minorEastAsia" w:hint="eastAsia"/>
          <w:bCs/>
          <w:color w:val="000000" w:themeColor="text1"/>
          <w:szCs w:val="21"/>
        </w:rPr>
        <w:t>。</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基金管理人原则上应当在侧袋机制启动后</w:t>
      </w:r>
      <w:r w:rsidRPr="00CC51EF">
        <w:rPr>
          <w:rFonts w:asciiTheme="minorEastAsia" w:eastAsiaTheme="minorEastAsia" w:hAnsiTheme="minorEastAsia"/>
          <w:bCs/>
          <w:color w:val="000000" w:themeColor="text1"/>
          <w:szCs w:val="21"/>
        </w:rPr>
        <w:t>20</w:t>
      </w:r>
      <w:r w:rsidRPr="00CC51EF">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（四）侧袋账户中特定资产的处置变现和支付</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w:t>
      </w:r>
      <w:r w:rsidRPr="00CC51EF">
        <w:rPr>
          <w:rFonts w:asciiTheme="minorEastAsia" w:eastAsiaTheme="minorEastAsia" w:hAnsiTheme="minorEastAsia" w:hint="eastAsia"/>
          <w:bCs/>
          <w:color w:val="000000" w:themeColor="text1"/>
          <w:szCs w:val="21"/>
        </w:rPr>
        <w:t>额持有人支付对应款项。</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（五）侧袋机制的信息披露</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1</w:t>
      </w:r>
      <w:r w:rsidRPr="00CC51EF">
        <w:rPr>
          <w:rFonts w:asciiTheme="minorEastAsia" w:eastAsiaTheme="minorEastAsia" w:hAnsiTheme="minorEastAsia" w:hint="eastAsia"/>
          <w:bCs/>
          <w:color w:val="000000" w:themeColor="text1"/>
          <w:szCs w:val="21"/>
        </w:rPr>
        <w:t>、临时公告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2</w:t>
      </w:r>
      <w:r w:rsidRPr="00CC51EF">
        <w:rPr>
          <w:rFonts w:asciiTheme="minorEastAsia" w:eastAsiaTheme="minorEastAsia" w:hAnsiTheme="minorEastAsia" w:hint="eastAsia"/>
          <w:bCs/>
          <w:color w:val="000000" w:themeColor="text1"/>
          <w:szCs w:val="21"/>
        </w:rPr>
        <w:t>、基金净值信息</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bCs/>
          <w:color w:val="000000" w:themeColor="text1"/>
          <w:szCs w:val="21"/>
        </w:rPr>
        <w:t>3</w:t>
      </w:r>
      <w:r w:rsidRPr="00CC51EF">
        <w:rPr>
          <w:rFonts w:asciiTheme="minorEastAsia" w:eastAsiaTheme="minorEastAsia" w:hAnsiTheme="minorEastAsia" w:hint="eastAsia"/>
          <w:bCs/>
          <w:color w:val="000000" w:themeColor="text1"/>
          <w:szCs w:val="21"/>
        </w:rPr>
        <w:t>、定期报告</w:t>
      </w:r>
    </w:p>
    <w:p w:rsidR="001B2ECA" w:rsidRPr="00CC51EF">
      <w:pPr>
        <w:spacing w:line="360" w:lineRule="auto"/>
        <w:ind w:firstLine="420"/>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pStyle w:val="11"/>
        <w:spacing w:before="317" w:after="317" w:line="360" w:lineRule="auto"/>
        <w:ind w:firstLine="600"/>
        <w:rPr>
          <w:rFonts w:asciiTheme="minorEastAsia" w:eastAsiaTheme="minorEastAsia" w:hAnsiTheme="minorEastAsia"/>
          <w:color w:val="000000" w:themeColor="text1"/>
        </w:rPr>
      </w:pPr>
      <w:bookmarkStart w:id="95" w:name="_Toc134548087"/>
      <w:bookmarkStart w:id="96" w:name="_Toc332373573"/>
      <w:r w:rsidRPr="00CC51EF">
        <w:rPr>
          <w:rFonts w:asciiTheme="minorEastAsia" w:eastAsiaTheme="minorEastAsia" w:hAnsiTheme="minorEastAsia" w:hint="eastAsia"/>
          <w:color w:val="000000" w:themeColor="text1"/>
          <w:sz w:val="30"/>
        </w:rPr>
        <w:t>二十、风险揭示</w:t>
      </w:r>
      <w:bookmarkEnd w:id="95"/>
    </w:p>
    <w:p w:rsidR="001B2ECA" w:rsidRPr="00CC51EF">
      <w:pPr>
        <w:spacing w:line="360" w:lineRule="auto"/>
        <w:ind w:firstLine="420"/>
        <w:rPr>
          <w:rStyle w:val="da"/>
          <w:rFonts w:asciiTheme="minorEastAsia" w:eastAsiaTheme="minorEastAsia" w:hAnsiTheme="minorEastAsia"/>
          <w:color w:val="000000" w:themeColor="text1"/>
        </w:rPr>
      </w:pPr>
      <w:bookmarkStart w:id="97" w:name="_Toc332373574"/>
      <w:bookmarkEnd w:id="96"/>
      <w:r w:rsidRPr="00CC51EF">
        <w:rPr>
          <w:rStyle w:val="da"/>
          <w:rFonts w:asciiTheme="minorEastAsia" w:eastAsiaTheme="minorEastAsia" w:hAnsiTheme="minorEastAsia" w:hint="eastAsia"/>
          <w:color w:val="000000" w:themeColor="text1"/>
        </w:rPr>
        <w:t>（一）本基金的特有风险</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1、股票市场波动风险。本基金股票资产占基金资产的比例为</w:t>
      </w:r>
      <w:r w:rsidRPr="00CC51EF">
        <w:rPr>
          <w:rFonts w:asciiTheme="minorEastAsia" w:eastAsiaTheme="minorEastAsia" w:hAnsiTheme="minorEastAsia"/>
          <w:color w:val="000000" w:themeColor="text1"/>
          <w:szCs w:val="21"/>
        </w:rPr>
        <w:t>80</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-95%</w:t>
      </w:r>
      <w:r w:rsidRPr="00CC51EF">
        <w:rPr>
          <w:rFonts w:asciiTheme="minorEastAsia" w:eastAsiaTheme="minorEastAsia" w:hAnsiTheme="minorEastAsia" w:hint="eastAsia"/>
          <w:color w:val="000000" w:themeColor="text1"/>
          <w:szCs w:val="21"/>
        </w:rPr>
        <w:t>，属于股票仓位偏高且相对稳定的基金品种，受股票市场系统性风险影响较大，</w:t>
      </w:r>
      <w:r w:rsidRPr="00CC51EF">
        <w:rPr>
          <w:rFonts w:asciiTheme="minorEastAsia" w:eastAsiaTheme="minorEastAsia" w:hAnsiTheme="minorEastAsia"/>
          <w:color w:val="000000" w:themeColor="text1"/>
          <w:szCs w:val="21"/>
        </w:rPr>
        <w:t>如果</w:t>
      </w:r>
      <w:r w:rsidRPr="00CC51EF">
        <w:rPr>
          <w:rFonts w:asciiTheme="minorEastAsia" w:eastAsiaTheme="minorEastAsia" w:hAnsiTheme="minorEastAsia" w:hint="eastAsia"/>
          <w:color w:val="000000" w:themeColor="text1"/>
          <w:szCs w:val="21"/>
        </w:rPr>
        <w:t>股票</w:t>
      </w:r>
      <w:r w:rsidRPr="00CC51EF">
        <w:rPr>
          <w:rFonts w:asciiTheme="minorEastAsia" w:eastAsiaTheme="minorEastAsia" w:hAnsiTheme="minorEastAsia"/>
          <w:color w:val="000000" w:themeColor="text1"/>
          <w:szCs w:val="21"/>
        </w:rPr>
        <w:t>市场出现整体下跌，本基金的净值表现将受到影响</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投资者面临无法获得收益甚至</w:t>
      </w:r>
      <w:r w:rsidRPr="00CC51EF">
        <w:rPr>
          <w:rFonts w:asciiTheme="minorEastAsia" w:eastAsiaTheme="minorEastAsia" w:hAnsiTheme="minorEastAsia" w:hint="eastAsia"/>
          <w:color w:val="000000" w:themeColor="text1"/>
          <w:szCs w:val="21"/>
        </w:rPr>
        <w:t>可能</w:t>
      </w:r>
      <w:r w:rsidRPr="00CC51EF">
        <w:rPr>
          <w:rFonts w:asciiTheme="minorEastAsia" w:eastAsiaTheme="minorEastAsia" w:hAnsiTheme="minorEastAsia"/>
          <w:color w:val="000000" w:themeColor="text1"/>
          <w:szCs w:val="21"/>
        </w:rPr>
        <w:t>发生较大亏损的风险</w:t>
      </w:r>
      <w:r w:rsidRPr="00CC51EF">
        <w:rPr>
          <w:rFonts w:asciiTheme="minorEastAsia" w:eastAsiaTheme="minorEastAsia" w:hAnsiTheme="minorEastAsia" w:hint="eastAsia"/>
          <w:color w:val="000000" w:themeColor="text1"/>
          <w:szCs w:val="2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、战略新兴产业相关证券集中度较高的风险。本基金非现金资产中不低于</w:t>
      </w:r>
      <w:r w:rsidRPr="00CC51EF">
        <w:rPr>
          <w:rFonts w:asciiTheme="minorEastAsia" w:eastAsiaTheme="minorEastAsia" w:hAnsiTheme="minorEastAsia"/>
          <w:color w:val="000000" w:themeColor="text1"/>
          <w:szCs w:val="21"/>
        </w:rPr>
        <w:t>80%</w:t>
      </w:r>
      <w:r w:rsidRPr="00CC51EF">
        <w:rPr>
          <w:rFonts w:asciiTheme="minorEastAsia" w:eastAsiaTheme="minorEastAsia" w:hAnsiTheme="minorEastAsia" w:hint="eastAsia"/>
          <w:color w:val="000000" w:themeColor="text1"/>
          <w:szCs w:val="21"/>
        </w:rPr>
        <w:t>的资产将投资于战略新兴产业相关证券，须承受与战略新兴产业相关的特有风险。本基金对于战略新兴产业相关证券定义和筛选标准的确定是基于上市公司过往历史数据及其他多方面因素，不预示其未来表现，因此最终能否带来收益具有较大不确定性。同时本基金投资于股票市场所获取的收益受多种因素影响，因此即便根据投资策略投资于战略新兴产业相关公司，也不意味着本基金一定盈利。本基金非现金资产中较大比例资产投资战略新兴产业相关证券，当战略新兴产业相关证券表现不佳时，本基金的净值将会受到较大影响。投资者须在理性判断的基础上做出投资选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w:t>
      </w:r>
      <w:r w:rsidRPr="00CC51EF">
        <w:rPr>
          <w:rFonts w:asciiTheme="minorEastAsia" w:eastAsiaTheme="minorEastAsia" w:hAnsiTheme="minorEastAsia" w:hint="eastAsia"/>
          <w:color w:val="000000" w:themeColor="text1"/>
        </w:rPr>
        <w:t>通过内地与香港股票市场交易互联互通机制投资于港股通股票的</w:t>
      </w:r>
      <w:r w:rsidRPr="00CC51EF">
        <w:rPr>
          <w:rFonts w:asciiTheme="minorEastAsia" w:eastAsiaTheme="minorEastAsia" w:hAnsiTheme="minorEastAsia" w:hint="eastAsia"/>
          <w:color w:val="000000" w:themeColor="text1"/>
          <w:szCs w:val="21"/>
        </w:rPr>
        <w:t>风险</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本基金的投资范围包括内地与香港股票市场交易互联互通机制允许买卖的港股通股票，除与其他投</w:t>
      </w:r>
      <w:r w:rsidRPr="00CC51EF">
        <w:rPr>
          <w:rFonts w:asciiTheme="minorEastAsia" w:eastAsiaTheme="minorEastAsia" w:hAnsiTheme="minorEastAsia" w:hint="eastAsia"/>
          <w:color w:val="000000" w:themeColor="text1"/>
          <w:szCs w:val="21"/>
        </w:rPr>
        <w:t>资于沪深市场股票的基金所面临的共同风险外，</w:t>
      </w:r>
      <w:r w:rsidRPr="00CC51EF">
        <w:rPr>
          <w:rFonts w:asciiTheme="minorEastAsia" w:eastAsiaTheme="minorEastAsia" w:hAnsiTheme="minorEastAsia" w:hint="eastAsia"/>
          <w:color w:val="000000" w:themeColor="text1"/>
        </w:rPr>
        <w:t>本基金还将面临以下特有风险，包括但不限于：</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（1）投资于香港证券市场的特有风险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2）股价较大波动的风险。港股股票可能出现因公司基本面变化、第三方研究分析报告的观点、异常交易情形等原因引起股价较大波动。此外，港股市场实行 T+0 回转交易机制，且个股涨跌幅不设限制，加之香港市场结构性产品和衍生品种类相对丰富以及做空机制的存在，港股股价受到意外事件影响可能表现出更为剧烈的股价波动，由此增加本基金净值的波动风险。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3）中小市值公司投资风险。中小市值公司存在业绩不稳定、股价波动性较大、市场流</w:t>
      </w:r>
      <w:r w:rsidRPr="00CC51EF">
        <w:rPr>
          <w:rFonts w:asciiTheme="minorEastAsia" w:eastAsiaTheme="minorEastAsia" w:hAnsiTheme="minorEastAsia" w:hint="eastAsia"/>
          <w:color w:val="000000" w:themeColor="text1"/>
          <w:szCs w:val="21"/>
        </w:rPr>
        <w:t>动性较差等风险，若本基金投资中小市值股票，本基金的投资风险可能增加。</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股份数量、股票面值大幅变化的风险。部分港股上市公司基本面变化大，股票价格低，可能存在大比例折价供股或配股、频繁分拆合并股份的行为，投资者持有的股份数量、股票面值可能发生大幅变化，由此可能增加本基金的投资风险。</w:t>
      </w:r>
      <w:r w:rsidRPr="00CC51EF">
        <w:rPr>
          <w:rFonts w:asciiTheme="minorEastAsia" w:eastAsiaTheme="minorEastAsia" w:hAnsiTheme="minorEastAsia" w:hint="eastAsia"/>
          <w:color w:val="000000" w:themeColor="text1"/>
          <w:szCs w:val="21"/>
        </w:rPr>
        <w:br/>
        <w:t xml:space="preserve">    5）停牌风险。与内地市场相比，香港市场股票停牌制度存在一定差异，港股股票可能出现长时间停牌现象，由此可能增加本基金的投资风险。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6）直接退市风险。与内地市场相比，香港市场股票交易没有退市风险警示、退市整理等安排，相关股票存在直接退市的风险。港股股票一旦退市，本基金将面临无法继续通过港股通买卖相关股票的风险。此外，港股通股票退市后，中国证券登记结算有限责任公司通过香港结算继续为本基金提供的退市股票名义持有人服务可能会受限。以上情况可能增加本基金的投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7</w:t>
      </w:r>
      <w:r w:rsidRPr="00CC51EF">
        <w:rPr>
          <w:rFonts w:asciiTheme="minorEastAsia" w:eastAsiaTheme="minorEastAsia" w:hAnsiTheme="minorEastAsia" w:hint="eastAsia"/>
          <w:color w:val="000000" w:themeColor="text1"/>
          <w:szCs w:val="21"/>
        </w:rPr>
        <w:t>）交收制度带来的风险。香港证券市场与内地证券市场在证券资金的交收期安排上存在差异，香港证券市场的交收期为T+2日，卖出资金回到本基金人民币账户的周期比内地证券市场要长，此外港股的交收可能因香港出现台风或黑色暴雨等发生延迟交易。因此，本基金可能面临卖出港股后资金不能及时到账，而造成支付赎回款日期比正常情况延后而带来流动性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（2）通过</w:t>
      </w:r>
      <w:r w:rsidRPr="00CC51EF">
        <w:rPr>
          <w:rFonts w:asciiTheme="minorEastAsia" w:eastAsiaTheme="minorEastAsia" w:hAnsiTheme="minorEastAsia" w:hint="eastAsia"/>
          <w:color w:val="000000" w:themeColor="text1"/>
        </w:rPr>
        <w:t>内地与香港股票市场交易互联互通机制投资的特有风险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港股通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2）港股通股票范围受限及动态调整的风险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本基金可以通过港股通买卖的股票存在一定的范围限制，且港股通股票名单会动态调整。对于被调出的港股通股票，自调整之日起，本基金将不得再行买入。以上情形可能对本基金带来不利影响。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3</w:t>
      </w:r>
      <w:r w:rsidRPr="00CC51EF">
        <w:rPr>
          <w:rFonts w:asciiTheme="minorEastAsia" w:eastAsiaTheme="minorEastAsia" w:hAnsiTheme="minorEastAsia" w:hint="eastAsia"/>
          <w:color w:val="000000" w:themeColor="text1"/>
          <w:szCs w:val="21"/>
        </w:rPr>
        <w:t>）基金净值波动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w:t>
      </w:r>
      <w:r w:rsidRPr="00CC51EF">
        <w:rPr>
          <w:rFonts w:asciiTheme="minorEastAsia" w:eastAsiaTheme="minorEastAsia" w:hAnsiTheme="minorEastAsia" w:hint="eastAsia"/>
          <w:color w:val="000000" w:themeColor="text1"/>
          <w:szCs w:val="21"/>
        </w:rPr>
        <w:t>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4</w:t>
      </w:r>
      <w:r w:rsidRPr="00CC51EF">
        <w:rPr>
          <w:rFonts w:asciiTheme="minorEastAsia" w:eastAsiaTheme="minorEastAsia" w:hAnsiTheme="minorEastAsia" w:hint="eastAsia"/>
          <w:color w:val="000000" w:themeColor="text1"/>
          <w:szCs w:val="21"/>
        </w:rPr>
        <w:t>）交易失败及交易中断的风险。在内地与香港股票市场交易互联互通机制下，港股通交易存在每日额度限制，本基金可能面临每日额度不足而交易失败的风险。若香港联交所与内地交易所的证券交易服务公司之间的报盘系统或者通信链路出现故障，可能导致15 分钟以上不能申报和撤销申报的交易中断风险；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5）无法进行交易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6）汇率风险。在内地与香港股票市场交易互联互通机制下，港股的买卖是以港币报价、人民币支付，本基金承担港币对人民币汇率波动的风险；同时，由于在交易时间内提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7）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bCs/>
          <w:color w:val="000000" w:themeColor="text1"/>
          <w:szCs w:val="21"/>
        </w:rPr>
        <w:t>8</w:t>
      </w:r>
      <w:r w:rsidRPr="00CC51EF">
        <w:rPr>
          <w:rFonts w:asciiTheme="minorEastAsia" w:eastAsiaTheme="minorEastAsia" w:hAnsiTheme="minorEastAsia" w:hint="eastAsia"/>
          <w:color w:val="000000" w:themeColor="text1"/>
          <w:szCs w:val="21"/>
        </w:rPr>
        <w:t>）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利益得不到最大化甚至受损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9）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w:t>
      </w:r>
      <w:r w:rsidRPr="00CC51EF">
        <w:rPr>
          <w:rFonts w:asciiTheme="minorEastAsia" w:eastAsiaTheme="minorEastAsia" w:hAnsiTheme="minorEastAsia" w:hint="eastAsia"/>
          <w:color w:val="000000" w:themeColor="text1"/>
          <w:szCs w:val="21"/>
        </w:rPr>
        <w:t>本基金的证券划付指令有误的导致本基金权益受损；其他因结算参与人未遵守相关业务规则导致本基金利益受到损害的情况。</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（3）其他可能的风险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除上述风险外，本基金投资内地与香港股票市场交易互联互通机制允许买卖的香港证券市场股票，还可能面临的其他风险，包括但不限于：</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1）</w:t>
      </w:r>
      <w:r w:rsidRPr="00CC51EF">
        <w:rPr>
          <w:rFonts w:asciiTheme="minorEastAsia" w:eastAsiaTheme="minorEastAsia" w:hAnsiTheme="minorEastAsia" w:hint="eastAsia"/>
          <w:bCs/>
          <w:color w:val="000000" w:themeColor="text1"/>
          <w:szCs w:val="21"/>
        </w:rPr>
        <w:t>本基金的开放日为上海证券交易所、深圳证券交易所的交易日，但若该交易日非港股通交易日，则本基金不开放申购和赎回，</w:t>
      </w:r>
      <w:r w:rsidRPr="00CC51EF">
        <w:rPr>
          <w:rFonts w:asciiTheme="minorEastAsia" w:eastAsiaTheme="minorEastAsia" w:hAnsiTheme="minorEastAsia"/>
          <w:color w:val="000000" w:themeColor="text1"/>
        </w:rPr>
        <w:t>投资人无法进行申购与赎回；</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因港股通交易当日额度使用完毕而暂停或停止接受买入申报，或者发生证券交易服务公司等机构认定的交易异常情况并决定暂停提供部分或者全部港股通服务，或者发生其他影响通过股票市场交易互联互通机制进行正常交易的情形，本基金可能发生拒绝或暂停申购，暂停赎回或延缓支付赎回款的情形，可能影响投资人的申购以及份额持有人的赎回。</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（4）本基金可根据投资策略需要或不同配置地市场环境的变化，选择将部分基金资产投资于港股或选择不将基金资产投资于港股，基金资产并非必然投资港股。</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本基金投资范围包括股指期货、国债期货、股票期权等金融衍生品，股指期货、国债期货、股票期权等金融衍生品投资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本基金的投资范围包括资产支持证券，资产支持证券存在一定的信用风险、利率风险、流动性风险、提前偿付风险、操作风险和法律风险，由此可能给基金净值带来不利影响或损失。</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（二）市场风险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本基金投资于内地和香港证券市场，而证券市场价格因受到经济因素、政治因素、投资者心理和交易制度等各种因素的影响而产生波动，从而导致基金收益水平发生变化，产生风险。主要的风险因素包括：</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、政策风险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因国家宏观政策（如货币政策、财政政策、产业政策、地区发展政策等）发生变化，导致市场价格波动而产生风险。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、利率风险</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利率风险主要是指因金融市场利率的波动而导致证券市场价格和收益率变动的风险。利率直接影响着债券的价格和收益率，影响着企业的融资成本和利润。本</w:t>
      </w:r>
      <w:r w:rsidRPr="00CC51EF">
        <w:rPr>
          <w:rFonts w:asciiTheme="minorEastAsia" w:eastAsiaTheme="minorEastAsia" w:hAnsiTheme="minorEastAsia" w:hint="eastAsia"/>
          <w:color w:val="000000" w:themeColor="text1"/>
        </w:rPr>
        <w:t>基金可投资于股票和债券，其收益水平可能会受到利率变化的影响。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、购买力风险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如果发生通货膨胀，基金投资于证券所获得的收益可能会被通货膨胀抵消，从而影响基金资产的实际收益率。</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、信用风险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信用风险主要指债券、票据发行主体、存款银行信用状况可能恶化而可能产生的到期不能兑付的风险。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、公司经营风险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hint="eastAsia"/>
          <w:color w:val="000000" w:themeColor="text1"/>
        </w:rPr>
        <w:t>经济周期风险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（三）流动性风险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1、</w:t>
      </w:r>
      <w:r w:rsidRPr="00CC51EF">
        <w:rPr>
          <w:rFonts w:asciiTheme="minorEastAsia" w:eastAsiaTheme="minorEastAsia" w:hAnsiTheme="minorEastAsia"/>
          <w:color w:val="000000" w:themeColor="text1"/>
          <w:szCs w:val="21"/>
        </w:rPr>
        <w:t>流</w:t>
      </w:r>
      <w:r w:rsidRPr="00CC51EF">
        <w:rPr>
          <w:rFonts w:asciiTheme="minorEastAsia" w:eastAsiaTheme="minorEastAsia" w:hAnsiTheme="minorEastAsia" w:hint="eastAsia"/>
          <w:color w:val="000000" w:themeColor="text1"/>
          <w:szCs w:val="21"/>
        </w:rPr>
        <w:t>动</w:t>
      </w:r>
      <w:r w:rsidRPr="00CC51EF">
        <w:rPr>
          <w:rFonts w:asciiTheme="minorEastAsia" w:eastAsiaTheme="minorEastAsia" w:hAnsiTheme="minorEastAsia"/>
          <w:color w:val="000000" w:themeColor="text1"/>
          <w:szCs w:val="21"/>
        </w:rPr>
        <w:t>性风险评估</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本基金</w:t>
      </w:r>
      <w:r w:rsidRPr="00CC51EF">
        <w:rPr>
          <w:rFonts w:asciiTheme="minorEastAsia" w:eastAsiaTheme="minorEastAsia" w:hAnsiTheme="minorEastAsia"/>
          <w:color w:val="000000" w:themeColor="text1"/>
        </w:rPr>
        <w:t>可</w:t>
      </w:r>
      <w:r w:rsidRPr="00CC51EF">
        <w:rPr>
          <w:rFonts w:asciiTheme="minorEastAsia" w:eastAsiaTheme="minorEastAsia" w:hAnsiTheme="minorEastAsia" w:hint="eastAsia"/>
          <w:color w:val="000000" w:themeColor="text1"/>
        </w:rPr>
        <w:t>投资于内地依法发行、上市的股票（包括创业板、中小板以及其他依法发行上市的股票）、港股通股票、债券、货币市场工具等，一</w:t>
      </w:r>
      <w:r w:rsidRPr="00CC51EF">
        <w:rPr>
          <w:rFonts w:asciiTheme="minorEastAsia" w:eastAsiaTheme="minorEastAsia" w:hAnsiTheme="minorEastAsia"/>
          <w:color w:val="000000" w:themeColor="text1"/>
        </w:rPr>
        <w:t>般情况下，</w:t>
      </w:r>
      <w:r w:rsidRPr="00CC51EF">
        <w:rPr>
          <w:rFonts w:asciiTheme="minorEastAsia" w:eastAsiaTheme="minorEastAsia" w:hAnsiTheme="minorEastAsia" w:hint="eastAsia"/>
          <w:color w:val="000000" w:themeColor="text1"/>
        </w:rPr>
        <w:t>上述</w:t>
      </w:r>
      <w:r w:rsidRPr="00CC51EF">
        <w:rPr>
          <w:rFonts w:asciiTheme="minorEastAsia" w:eastAsiaTheme="minorEastAsia" w:hAnsiTheme="minorEastAsia"/>
          <w:color w:val="000000" w:themeColor="text1"/>
        </w:rPr>
        <w:t>资产</w:t>
      </w:r>
      <w:r w:rsidRPr="00CC51EF">
        <w:rPr>
          <w:rFonts w:asciiTheme="minorEastAsia" w:eastAsiaTheme="minorEastAsia" w:hAnsiTheme="minorEastAsia" w:hint="eastAsia"/>
          <w:color w:val="000000" w:themeColor="text1"/>
        </w:rPr>
        <w:t>市场流动性较好。</w:t>
      </w:r>
    </w:p>
    <w:p w:rsidR="001B2ECA" w:rsidRPr="00CC51EF">
      <w:pPr>
        <w:spacing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但不排除</w:t>
      </w:r>
      <w:r w:rsidRPr="00CC51EF">
        <w:rPr>
          <w:rFonts w:asciiTheme="minorEastAsia" w:eastAsiaTheme="minorEastAsia" w:hAnsiTheme="minorEastAsia"/>
          <w:color w:val="000000" w:themeColor="text1"/>
        </w:rPr>
        <w:t>在特定阶段、特定市场环境下特定投资标的出现流动性较差的情况。</w:t>
      </w:r>
      <w:r w:rsidRPr="00CC51EF">
        <w:rPr>
          <w:rFonts w:asciiTheme="minorEastAsia" w:eastAsiaTheme="minorEastAsia" w:hAnsiTheme="minorEastAsia" w:hint="eastAsia"/>
          <w:color w:val="000000" w:themeColor="text1"/>
        </w:rPr>
        <w:t>因此，本基金投资于上述资产时，可能存在以下流动性风险：</w:t>
      </w:r>
      <w:r w:rsidRPr="00CC51EF">
        <w:rPr>
          <w:rFonts w:asciiTheme="minorEastAsia" w:eastAsiaTheme="minorEastAsia" w:hAnsiTheme="minorEastAsia"/>
          <w:color w:val="000000" w:themeColor="text1"/>
        </w:rPr>
        <w:t>一是基金管理人建仓</w:t>
      </w:r>
      <w:r w:rsidRPr="00CC51EF">
        <w:rPr>
          <w:rFonts w:asciiTheme="minorEastAsia" w:eastAsiaTheme="minorEastAsia" w:hAnsiTheme="minorEastAsia" w:hint="eastAsia"/>
          <w:color w:val="000000" w:themeColor="text1"/>
        </w:rPr>
        <w:t>或</w:t>
      </w:r>
      <w:r w:rsidRPr="00CC51EF">
        <w:rPr>
          <w:rFonts w:asciiTheme="minorEastAsia" w:eastAsiaTheme="minorEastAsia" w:hAnsiTheme="minorEastAsia"/>
          <w:color w:val="000000" w:themeColor="text1"/>
        </w:rPr>
        <w:t>进行组合调整时，可能由于</w:t>
      </w:r>
      <w:r w:rsidRPr="00CC51EF">
        <w:rPr>
          <w:rFonts w:asciiTheme="minorEastAsia" w:eastAsiaTheme="minorEastAsia" w:hAnsiTheme="minorEastAsia" w:hint="eastAsia"/>
          <w:color w:val="000000" w:themeColor="text1"/>
        </w:rPr>
        <w:t>特定</w:t>
      </w:r>
      <w:r w:rsidRPr="00CC51EF">
        <w:rPr>
          <w:rFonts w:asciiTheme="minorEastAsia" w:eastAsiaTheme="minorEastAsia" w:hAnsiTheme="minorEastAsia"/>
          <w:color w:val="000000" w:themeColor="text1"/>
        </w:rPr>
        <w:t>投资标的流动性相对不足而无法按预期的价格买进或卖出；二是为应付投资者的赎回，基金被迫</w:t>
      </w:r>
      <w:r w:rsidRPr="00CC51EF">
        <w:rPr>
          <w:rFonts w:asciiTheme="minorEastAsia" w:eastAsiaTheme="minorEastAsia" w:hAnsiTheme="minorEastAsia" w:hint="eastAsia"/>
          <w:color w:val="000000" w:themeColor="text1"/>
        </w:rPr>
        <w:t>以</w:t>
      </w:r>
      <w:r w:rsidRPr="00CC51EF">
        <w:rPr>
          <w:rFonts w:asciiTheme="minorEastAsia" w:eastAsiaTheme="minorEastAsia" w:hAnsiTheme="minorEastAsia"/>
          <w:color w:val="000000" w:themeColor="text1"/>
        </w:rPr>
        <w:t>不适当的价格</w:t>
      </w:r>
      <w:r w:rsidRPr="00CC51EF">
        <w:rPr>
          <w:rFonts w:asciiTheme="minorEastAsia" w:eastAsiaTheme="minorEastAsia" w:hAnsiTheme="minorEastAsia" w:hint="eastAsia"/>
          <w:color w:val="000000" w:themeColor="text1"/>
        </w:rPr>
        <w:t>卖出</w:t>
      </w:r>
      <w:r w:rsidRPr="00CC51EF">
        <w:rPr>
          <w:rFonts w:asciiTheme="minorEastAsia" w:eastAsiaTheme="minorEastAsia" w:hAnsiTheme="minorEastAsia"/>
          <w:color w:val="000000" w:themeColor="text1"/>
        </w:rPr>
        <w:t>股票</w:t>
      </w:r>
      <w:r w:rsidRPr="00CC51EF">
        <w:rPr>
          <w:rFonts w:asciiTheme="minorEastAsia" w:eastAsiaTheme="minorEastAsia" w:hAnsiTheme="minorEastAsia" w:hint="eastAsia"/>
          <w:color w:val="000000" w:themeColor="text1"/>
        </w:rPr>
        <w:t>、</w:t>
      </w:r>
      <w:r w:rsidRPr="00CC51EF">
        <w:rPr>
          <w:rFonts w:asciiTheme="minorEastAsia" w:eastAsiaTheme="minorEastAsia" w:hAnsiTheme="minorEastAsia"/>
          <w:color w:val="000000" w:themeColor="text1"/>
        </w:rPr>
        <w:t>债券</w:t>
      </w:r>
      <w:r w:rsidRPr="00CC51EF">
        <w:rPr>
          <w:rFonts w:asciiTheme="minorEastAsia" w:eastAsiaTheme="minorEastAsia" w:hAnsiTheme="minorEastAsia" w:hint="eastAsia"/>
          <w:color w:val="000000" w:themeColor="text1"/>
        </w:rPr>
        <w:t>或其他资产</w:t>
      </w:r>
      <w:r w:rsidRPr="00CC51EF">
        <w:rPr>
          <w:rFonts w:asciiTheme="minorEastAsia" w:eastAsiaTheme="minorEastAsia" w:hAnsiTheme="minorEastAsia"/>
          <w:color w:val="000000" w:themeColor="text1"/>
        </w:rPr>
        <w:t>。两者均可能使基金净值受到不利影响。</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w:t>
      </w:r>
      <w:r w:rsidRPr="00CC51EF">
        <w:rPr>
          <w:rFonts w:asciiTheme="minorEastAsia" w:eastAsiaTheme="minorEastAsia" w:hAnsiTheme="minorEastAsia" w:hint="eastAsia"/>
          <w:color w:val="000000" w:themeColor="text1"/>
        </w:rPr>
        <w:t>、</w:t>
      </w:r>
      <w:r w:rsidRPr="00CC51EF">
        <w:rPr>
          <w:rFonts w:asciiTheme="minorEastAsia" w:eastAsiaTheme="minorEastAsia" w:hAnsiTheme="minorEastAsia"/>
          <w:color w:val="000000" w:themeColor="text1"/>
        </w:rPr>
        <w:t>巨额赎回情形下</w:t>
      </w:r>
      <w:r w:rsidRPr="00CC51EF">
        <w:rPr>
          <w:rFonts w:asciiTheme="minorEastAsia" w:eastAsiaTheme="minorEastAsia" w:hAnsiTheme="minorEastAsia" w:hint="eastAsia"/>
          <w:color w:val="000000" w:themeColor="text1"/>
        </w:rPr>
        <w:t>的流动性</w:t>
      </w:r>
      <w:r w:rsidRPr="00CC51EF">
        <w:rPr>
          <w:rFonts w:asciiTheme="minorEastAsia" w:eastAsiaTheme="minorEastAsia" w:hAnsiTheme="minorEastAsia"/>
          <w:color w:val="000000" w:themeColor="text1"/>
        </w:rPr>
        <w:t>风险管理措施</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CC51EF">
        <w:rPr>
          <w:rFonts w:asciiTheme="minorEastAsia" w:eastAsiaTheme="minorEastAsia" w:hAnsiTheme="minorEastAsia"/>
          <w:color w:val="000000" w:themeColor="text1"/>
        </w:rPr>
        <w:t>本基金发生巨额赎回且</w:t>
      </w:r>
      <w:r w:rsidRPr="00CC51EF">
        <w:rPr>
          <w:rFonts w:asciiTheme="minorEastAsia" w:eastAsiaTheme="minorEastAsia" w:hAnsiTheme="minorEastAsia" w:hint="eastAsia"/>
          <w:color w:val="000000" w:themeColor="text1"/>
        </w:rPr>
        <w:t>单个基金份额持有人的赎回申请超过上一开放日基金总份额10%的，基金管理人有权对该单个基金份额持有人超出该比例的赎回申请实施延期办理。具体</w:t>
      </w:r>
      <w:r w:rsidRPr="00CC51EF">
        <w:rPr>
          <w:rFonts w:asciiTheme="minorEastAsia" w:eastAsiaTheme="minorEastAsia" w:hAnsiTheme="minorEastAsia"/>
          <w:color w:val="000000" w:themeColor="text1"/>
        </w:rPr>
        <w:t>情形、</w:t>
      </w:r>
      <w:r w:rsidRPr="00CC51EF">
        <w:rPr>
          <w:rFonts w:asciiTheme="minorEastAsia" w:eastAsiaTheme="minorEastAsia" w:hAnsiTheme="minorEastAsia" w:hint="eastAsia"/>
          <w:color w:val="000000" w:themeColor="text1"/>
        </w:rPr>
        <w:t>程序见</w:t>
      </w:r>
      <w:r w:rsidRPr="00CC51EF">
        <w:rPr>
          <w:rFonts w:asciiTheme="minorEastAsia" w:eastAsiaTheme="minorEastAsia" w:hAnsiTheme="minorEastAsia"/>
          <w:color w:val="000000" w:themeColor="text1"/>
        </w:rPr>
        <w:t>招募说明书</w:t>
      </w:r>
      <w:r w:rsidRPr="00CC51EF">
        <w:rPr>
          <w:rFonts w:asciiTheme="minorEastAsia" w:eastAsiaTheme="minorEastAsia" w:hAnsiTheme="minorEastAsia" w:hint="eastAsia"/>
          <w:color w:val="000000" w:themeColor="text1"/>
        </w:rPr>
        <w:t>“八、基金份额的申购、赎回”之“</w:t>
      </w:r>
      <w:r w:rsidRPr="00CC51EF">
        <w:rPr>
          <w:rFonts w:asciiTheme="minorEastAsia" w:eastAsiaTheme="minorEastAsia" w:hAnsiTheme="minorEastAsia"/>
          <w:color w:val="000000" w:themeColor="text1"/>
        </w:rPr>
        <w:t>（</w:t>
      </w:r>
      <w:r w:rsidRPr="00CC51EF">
        <w:rPr>
          <w:rFonts w:asciiTheme="minorEastAsia" w:eastAsiaTheme="minorEastAsia" w:hAnsiTheme="minorEastAsia" w:hint="eastAsia"/>
          <w:color w:val="000000" w:themeColor="text1"/>
        </w:rPr>
        <w:t>十）</w:t>
      </w:r>
      <w:r w:rsidRPr="00CC51EF">
        <w:rPr>
          <w:rFonts w:asciiTheme="minorEastAsia" w:eastAsiaTheme="minorEastAsia" w:hAnsiTheme="minorEastAsia"/>
          <w:color w:val="000000" w:themeColor="text1"/>
        </w:rPr>
        <w:t>巨额赎回的认定及处理方式”</w:t>
      </w:r>
      <w:r w:rsidRPr="00CC51EF">
        <w:rPr>
          <w:rFonts w:asciiTheme="minorEastAsia" w:eastAsiaTheme="minorEastAsia" w:hAnsiTheme="minorEastAsia" w:hint="eastAsia"/>
          <w:color w:val="000000" w:themeColor="text1"/>
        </w:rPr>
        <w:t>。</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发生</w:t>
      </w:r>
      <w:r w:rsidRPr="00CC51EF">
        <w:rPr>
          <w:rFonts w:asciiTheme="minorEastAsia" w:eastAsiaTheme="minorEastAsia" w:hAnsiTheme="minorEastAsia"/>
          <w:color w:val="000000" w:themeColor="text1"/>
        </w:rPr>
        <w:t>上述情形时，投资人面临无法</w:t>
      </w:r>
      <w:r w:rsidRPr="00CC51EF">
        <w:rPr>
          <w:rFonts w:asciiTheme="minorEastAsia" w:eastAsiaTheme="minorEastAsia" w:hAnsiTheme="minorEastAsia" w:hint="eastAsia"/>
          <w:color w:val="000000" w:themeColor="text1"/>
        </w:rPr>
        <w:t>全</w:t>
      </w:r>
      <w:r w:rsidRPr="00CC51EF">
        <w:rPr>
          <w:rFonts w:asciiTheme="minorEastAsia" w:eastAsiaTheme="minorEastAsia" w:hAnsiTheme="minorEastAsia"/>
          <w:color w:val="000000" w:themeColor="text1"/>
        </w:rPr>
        <w:t>部赎回或无法及时获得</w:t>
      </w:r>
      <w:r w:rsidRPr="00CC51EF">
        <w:rPr>
          <w:rFonts w:asciiTheme="minorEastAsia" w:eastAsiaTheme="minorEastAsia" w:hAnsiTheme="minorEastAsia" w:hint="eastAsia"/>
          <w:color w:val="000000" w:themeColor="text1"/>
        </w:rPr>
        <w:t>赎</w:t>
      </w:r>
      <w:r w:rsidRPr="00CC51EF">
        <w:rPr>
          <w:rFonts w:asciiTheme="minorEastAsia" w:eastAsiaTheme="minorEastAsia" w:hAnsiTheme="minorEastAsia"/>
          <w:color w:val="000000" w:themeColor="text1"/>
        </w:rPr>
        <w:t>回资金的风险</w:t>
      </w:r>
      <w:r w:rsidRPr="00CC51EF">
        <w:rPr>
          <w:rFonts w:asciiTheme="minorEastAsia" w:eastAsiaTheme="minorEastAsia" w:hAnsiTheme="minorEastAsia" w:hint="eastAsia"/>
          <w:color w:val="000000" w:themeColor="text1"/>
        </w:rPr>
        <w:t>。在</w:t>
      </w:r>
      <w:r w:rsidRPr="00CC51EF">
        <w:rPr>
          <w:rFonts w:asciiTheme="minorEastAsia" w:eastAsiaTheme="minorEastAsia" w:hAnsiTheme="minorEastAsia"/>
          <w:color w:val="000000" w:themeColor="text1"/>
        </w:rPr>
        <w:t>本基金暂停</w:t>
      </w:r>
      <w:r w:rsidRPr="00CC51EF">
        <w:rPr>
          <w:rFonts w:asciiTheme="minorEastAsia" w:eastAsiaTheme="minorEastAsia" w:hAnsiTheme="minorEastAsia" w:hint="eastAsia"/>
          <w:color w:val="000000" w:themeColor="text1"/>
        </w:rPr>
        <w:t>或</w:t>
      </w:r>
      <w:r w:rsidRPr="00CC51EF">
        <w:rPr>
          <w:rFonts w:asciiTheme="minorEastAsia" w:eastAsiaTheme="minorEastAsia" w:hAnsiTheme="minorEastAsia"/>
          <w:color w:val="000000" w:themeColor="text1"/>
        </w:rPr>
        <w:t>延期办理</w:t>
      </w:r>
      <w:r w:rsidRPr="00CC51EF">
        <w:rPr>
          <w:rFonts w:asciiTheme="minorEastAsia" w:eastAsiaTheme="minorEastAsia" w:hAnsiTheme="minorEastAsia" w:hint="eastAsia"/>
          <w:color w:val="000000" w:themeColor="text1"/>
        </w:rPr>
        <w:t>投资者</w:t>
      </w:r>
      <w:r w:rsidRPr="00CC51EF">
        <w:rPr>
          <w:rFonts w:asciiTheme="minorEastAsia" w:eastAsiaTheme="minorEastAsia" w:hAnsiTheme="minorEastAsia"/>
          <w:color w:val="000000" w:themeColor="text1"/>
        </w:rPr>
        <w:t>赎回申请</w:t>
      </w:r>
      <w:r w:rsidRPr="00CC51EF">
        <w:rPr>
          <w:rFonts w:asciiTheme="minorEastAsia" w:eastAsiaTheme="minorEastAsia" w:hAnsiTheme="minorEastAsia" w:hint="eastAsia"/>
          <w:color w:val="000000" w:themeColor="text1"/>
        </w:rPr>
        <w:t>的</w:t>
      </w:r>
      <w:r w:rsidRPr="00CC51EF">
        <w:rPr>
          <w:rFonts w:asciiTheme="minorEastAsia" w:eastAsiaTheme="minorEastAsia" w:hAnsiTheme="minorEastAsia"/>
          <w:color w:val="000000" w:themeColor="text1"/>
        </w:rPr>
        <w:t>情况下，投资者</w:t>
      </w:r>
      <w:r w:rsidRPr="00CC51EF">
        <w:rPr>
          <w:rFonts w:asciiTheme="minorEastAsia" w:eastAsiaTheme="minorEastAsia" w:hAnsiTheme="minorEastAsia" w:hint="eastAsia"/>
          <w:color w:val="000000" w:themeColor="text1"/>
        </w:rPr>
        <w:t>未能</w:t>
      </w:r>
      <w:r w:rsidRPr="00CC51EF">
        <w:rPr>
          <w:rFonts w:asciiTheme="minorEastAsia" w:eastAsiaTheme="minorEastAsia" w:hAnsiTheme="minorEastAsia"/>
          <w:color w:val="000000" w:themeColor="text1"/>
        </w:rPr>
        <w:t>赎回的基金份额还将面临净值波动的风险。</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3</w:t>
      </w:r>
      <w:r w:rsidRPr="00CC51EF">
        <w:rPr>
          <w:rFonts w:asciiTheme="minorEastAsia" w:eastAsiaTheme="minorEastAsia" w:hAnsiTheme="minorEastAsia" w:hint="eastAsia"/>
          <w:color w:val="000000" w:themeColor="text1"/>
        </w:rPr>
        <w:t>、除巨额</w:t>
      </w:r>
      <w:r w:rsidRPr="00CC51EF">
        <w:rPr>
          <w:rFonts w:asciiTheme="minorEastAsia" w:eastAsiaTheme="minorEastAsia" w:hAnsiTheme="minorEastAsia"/>
          <w:color w:val="000000" w:themeColor="text1"/>
        </w:rPr>
        <w:t>赎回情形外</w:t>
      </w:r>
      <w:r w:rsidRPr="00CC51EF">
        <w:rPr>
          <w:rFonts w:asciiTheme="minorEastAsia" w:eastAsiaTheme="minorEastAsia" w:hAnsiTheme="minorEastAsia" w:hint="eastAsia"/>
          <w:color w:val="000000" w:themeColor="text1"/>
        </w:rPr>
        <w:t>实施</w:t>
      </w:r>
      <w:r w:rsidRPr="00CC51EF">
        <w:rPr>
          <w:rFonts w:asciiTheme="minorEastAsia" w:eastAsiaTheme="minorEastAsia" w:hAnsiTheme="minorEastAsia"/>
          <w:color w:val="000000" w:themeColor="text1"/>
        </w:rPr>
        <w:t>备</w:t>
      </w:r>
      <w:r w:rsidRPr="00CC51EF">
        <w:rPr>
          <w:rFonts w:asciiTheme="minorEastAsia" w:eastAsiaTheme="minorEastAsia" w:hAnsiTheme="minorEastAsia" w:hint="eastAsia"/>
          <w:color w:val="000000" w:themeColor="text1"/>
        </w:rPr>
        <w:t>用</w:t>
      </w:r>
      <w:r w:rsidRPr="00CC51EF">
        <w:rPr>
          <w:rFonts w:asciiTheme="minorEastAsia" w:eastAsiaTheme="minorEastAsia" w:hAnsiTheme="minorEastAsia"/>
          <w:color w:val="000000" w:themeColor="text1"/>
        </w:rPr>
        <w:t>的流动性风险管理工具的情形、程序及对投资者的潜在影响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除</w:t>
      </w:r>
      <w:r w:rsidRPr="00CC51EF">
        <w:rPr>
          <w:rFonts w:asciiTheme="minorEastAsia" w:eastAsiaTheme="minorEastAsia" w:hAnsiTheme="minorEastAsia"/>
          <w:color w:val="000000" w:themeColor="text1"/>
          <w:szCs w:val="21"/>
        </w:rPr>
        <w:t>巨额赎回</w:t>
      </w:r>
      <w:r w:rsidRPr="00CC51EF">
        <w:rPr>
          <w:rFonts w:asciiTheme="minorEastAsia" w:eastAsiaTheme="minorEastAsia" w:hAnsiTheme="minorEastAsia" w:hint="eastAsia"/>
          <w:color w:val="000000" w:themeColor="text1"/>
          <w:szCs w:val="21"/>
        </w:rPr>
        <w:t>情形外</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本基金</w:t>
      </w:r>
      <w:r w:rsidRPr="00CC51EF">
        <w:rPr>
          <w:rFonts w:asciiTheme="minorEastAsia" w:eastAsiaTheme="minorEastAsia" w:hAnsiTheme="minorEastAsia"/>
          <w:color w:val="000000" w:themeColor="text1"/>
          <w:szCs w:val="21"/>
        </w:rPr>
        <w:t>备用流动性风险管理工具</w:t>
      </w:r>
      <w:r w:rsidRPr="00CC51EF">
        <w:rPr>
          <w:rFonts w:asciiTheme="minorEastAsia" w:eastAsiaTheme="minorEastAsia" w:hAnsiTheme="minorEastAsia" w:hint="eastAsia"/>
          <w:color w:val="000000" w:themeColor="text1"/>
          <w:szCs w:val="21"/>
        </w:rPr>
        <w:t>包括但</w:t>
      </w:r>
      <w:r w:rsidRPr="00CC51EF">
        <w:rPr>
          <w:rFonts w:asciiTheme="minorEastAsia" w:eastAsiaTheme="minorEastAsia" w:hAnsiTheme="minorEastAsia"/>
          <w:color w:val="000000" w:themeColor="text1"/>
          <w:szCs w:val="21"/>
        </w:rPr>
        <w:t>不限于</w:t>
      </w:r>
      <w:r w:rsidRPr="00CC51EF">
        <w:rPr>
          <w:rFonts w:asciiTheme="minorEastAsia" w:eastAsiaTheme="minorEastAsia" w:hAnsiTheme="minorEastAsia" w:hint="eastAsia"/>
          <w:color w:val="000000" w:themeColor="text1"/>
          <w:szCs w:val="21"/>
        </w:rPr>
        <w:t>暂停</w:t>
      </w:r>
      <w:r w:rsidRPr="00CC51EF">
        <w:rPr>
          <w:rFonts w:asciiTheme="minorEastAsia" w:eastAsiaTheme="minorEastAsia" w:hAnsiTheme="minorEastAsia"/>
          <w:color w:val="000000" w:themeColor="text1"/>
          <w:szCs w:val="21"/>
        </w:rPr>
        <w:t>接受赎回申请、延缓支付赎回款项、收取短期赎回费、暂停基金估值</w:t>
      </w:r>
      <w:r w:rsidRPr="00CC51EF">
        <w:rPr>
          <w:rFonts w:asciiTheme="minorEastAsia" w:eastAsiaTheme="minorEastAsia" w:hAnsiTheme="minorEastAsia" w:hint="eastAsia"/>
          <w:color w:val="000000" w:themeColor="text1"/>
        </w:rPr>
        <w:t>、</w:t>
      </w:r>
      <w:r w:rsidRPr="00CC51EF">
        <w:rPr>
          <w:rFonts w:asciiTheme="minorEastAsia" w:eastAsiaTheme="minorEastAsia" w:hAnsiTheme="minorEastAsia"/>
          <w:color w:val="000000" w:themeColor="text1"/>
        </w:rPr>
        <w:t>摆动定价</w:t>
      </w:r>
      <w:r w:rsidRPr="00CC51EF">
        <w:rPr>
          <w:rFonts w:asciiTheme="minorEastAsia" w:eastAsiaTheme="minorEastAsia" w:hAnsiTheme="minorEastAsia" w:hint="eastAsia"/>
          <w:color w:val="000000" w:themeColor="text1"/>
          <w:szCs w:val="21"/>
        </w:rPr>
        <w:t>以及证</w:t>
      </w:r>
      <w:r w:rsidRPr="00CC51EF">
        <w:rPr>
          <w:rFonts w:asciiTheme="minorEastAsia" w:eastAsiaTheme="minorEastAsia" w:hAnsiTheme="minorEastAsia"/>
          <w:color w:val="000000" w:themeColor="text1"/>
          <w:szCs w:val="21"/>
        </w:rPr>
        <w:t>监会认定的其他措施。</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暂停</w:t>
      </w:r>
      <w:r w:rsidRPr="00CC51EF">
        <w:rPr>
          <w:rFonts w:asciiTheme="minorEastAsia" w:eastAsiaTheme="minorEastAsia" w:hAnsiTheme="minorEastAsia"/>
          <w:color w:val="000000" w:themeColor="text1"/>
          <w:szCs w:val="21"/>
        </w:rPr>
        <w:t>接受赎回申请、延缓支付赎回款项</w:t>
      </w:r>
      <w:r w:rsidRPr="00CC51EF">
        <w:rPr>
          <w:rFonts w:asciiTheme="minorEastAsia" w:eastAsiaTheme="minorEastAsia" w:hAnsiTheme="minorEastAsia" w:hint="eastAsia"/>
          <w:color w:val="000000" w:themeColor="text1"/>
          <w:szCs w:val="21"/>
        </w:rPr>
        <w:t>等</w:t>
      </w:r>
      <w:r w:rsidRPr="00CC51EF">
        <w:rPr>
          <w:rFonts w:asciiTheme="minorEastAsia" w:eastAsiaTheme="minorEastAsia" w:hAnsiTheme="minorEastAsia"/>
          <w:color w:val="000000" w:themeColor="text1"/>
          <w:szCs w:val="21"/>
        </w:rPr>
        <w:t>工具的情形、程序</w:t>
      </w:r>
      <w:r w:rsidRPr="00CC51EF">
        <w:rPr>
          <w:rFonts w:asciiTheme="minorEastAsia" w:eastAsiaTheme="minorEastAsia" w:hAnsiTheme="minorEastAsia" w:hint="eastAsia"/>
          <w:color w:val="000000" w:themeColor="text1"/>
          <w:szCs w:val="21"/>
        </w:rPr>
        <w:t>见招募</w:t>
      </w:r>
      <w:r w:rsidRPr="00CC51EF">
        <w:rPr>
          <w:rFonts w:asciiTheme="minorEastAsia" w:eastAsiaTheme="minorEastAsia" w:hAnsiTheme="minorEastAsia"/>
          <w:color w:val="000000" w:themeColor="text1"/>
          <w:szCs w:val="21"/>
        </w:rPr>
        <w:t>说明</w:t>
      </w:r>
      <w:r w:rsidRPr="00CC51EF">
        <w:rPr>
          <w:rFonts w:asciiTheme="minorEastAsia" w:eastAsiaTheme="minorEastAsia" w:hAnsiTheme="minorEastAsia" w:hint="eastAsia"/>
          <w:color w:val="000000" w:themeColor="text1"/>
          <w:szCs w:val="21"/>
        </w:rPr>
        <w:t>书“八、基金份额的申购、赎回”</w:t>
      </w:r>
      <w:r w:rsidRPr="00CC51EF">
        <w:rPr>
          <w:rFonts w:asciiTheme="minorEastAsia" w:eastAsiaTheme="minorEastAsia" w:hAnsiTheme="minorEastAsia"/>
          <w:color w:val="000000" w:themeColor="text1"/>
          <w:szCs w:val="21"/>
        </w:rPr>
        <w:t>之</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hint="eastAsia"/>
          <w:color w:val="000000" w:themeColor="text1"/>
        </w:rPr>
        <w:t>（十一）拒绝或暂停申购、暂停赎回或延缓支付赎回款项的情形及处理”的相关规定。</w:t>
      </w:r>
      <w:r w:rsidRPr="00CC51EF">
        <w:rPr>
          <w:rFonts w:asciiTheme="minorEastAsia" w:eastAsiaTheme="minorEastAsia" w:hAnsiTheme="minorEastAsia" w:hint="eastAsia"/>
          <w:color w:val="000000" w:themeColor="text1"/>
          <w:szCs w:val="21"/>
        </w:rPr>
        <w:t>若</w:t>
      </w:r>
      <w:r w:rsidRPr="00CC51EF">
        <w:rPr>
          <w:rFonts w:asciiTheme="minorEastAsia" w:eastAsiaTheme="minorEastAsia" w:hAnsiTheme="minorEastAsia"/>
          <w:color w:val="000000" w:themeColor="text1"/>
          <w:szCs w:val="21"/>
        </w:rPr>
        <w:t>本基金暂停赎回申请</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投</w:t>
      </w:r>
      <w:r w:rsidRPr="00CC51EF">
        <w:rPr>
          <w:rFonts w:asciiTheme="minorEastAsia" w:eastAsiaTheme="minorEastAsia" w:hAnsiTheme="minorEastAsia"/>
          <w:color w:val="000000" w:themeColor="text1"/>
        </w:rPr>
        <w:t>资</w:t>
      </w:r>
      <w:r w:rsidRPr="00CC51EF">
        <w:rPr>
          <w:rFonts w:asciiTheme="minorEastAsia" w:eastAsiaTheme="minorEastAsia" w:hAnsiTheme="minorEastAsia" w:hint="eastAsia"/>
          <w:color w:val="000000" w:themeColor="text1"/>
        </w:rPr>
        <w:t>者在</w:t>
      </w:r>
      <w:r w:rsidRPr="00CC51EF">
        <w:rPr>
          <w:rFonts w:asciiTheme="minorEastAsia" w:eastAsiaTheme="minorEastAsia" w:hAnsiTheme="minorEastAsia"/>
          <w:color w:val="000000" w:themeColor="text1"/>
        </w:rPr>
        <w:t>暂停赎回期间将</w:t>
      </w:r>
      <w:r w:rsidRPr="00CC51EF">
        <w:rPr>
          <w:rFonts w:asciiTheme="minorEastAsia" w:eastAsiaTheme="minorEastAsia" w:hAnsiTheme="minorEastAsia" w:hint="eastAsia"/>
          <w:color w:val="000000" w:themeColor="text1"/>
        </w:rPr>
        <w:t>无法</w:t>
      </w:r>
      <w:r w:rsidRPr="00CC51EF">
        <w:rPr>
          <w:rFonts w:asciiTheme="minorEastAsia" w:eastAsiaTheme="minorEastAsia" w:hAnsiTheme="minorEastAsia"/>
          <w:color w:val="000000" w:themeColor="text1"/>
        </w:rPr>
        <w:t>赎回</w:t>
      </w:r>
      <w:r w:rsidRPr="00CC51EF">
        <w:rPr>
          <w:rFonts w:asciiTheme="minorEastAsia" w:eastAsiaTheme="minorEastAsia" w:hAnsiTheme="minorEastAsia" w:hint="eastAsia"/>
          <w:color w:val="000000" w:themeColor="text1"/>
        </w:rPr>
        <w:t>其持有</w:t>
      </w:r>
      <w:r w:rsidRPr="00CC51EF">
        <w:rPr>
          <w:rFonts w:asciiTheme="minorEastAsia" w:eastAsiaTheme="minorEastAsia" w:hAnsiTheme="minorEastAsia"/>
          <w:color w:val="000000" w:themeColor="text1"/>
        </w:rPr>
        <w:t>的基金份额。</w:t>
      </w:r>
      <w:r w:rsidRPr="00CC51EF">
        <w:rPr>
          <w:rFonts w:asciiTheme="minorEastAsia" w:eastAsiaTheme="minorEastAsia" w:hAnsiTheme="minorEastAsia" w:hint="eastAsia"/>
          <w:color w:val="000000" w:themeColor="text1"/>
        </w:rPr>
        <w:t>若</w:t>
      </w:r>
      <w:r w:rsidRPr="00CC51EF">
        <w:rPr>
          <w:rFonts w:asciiTheme="minorEastAsia" w:eastAsiaTheme="minorEastAsia" w:hAnsiTheme="minorEastAsia" w:hint="eastAsia"/>
          <w:color w:val="000000" w:themeColor="text1"/>
          <w:szCs w:val="21"/>
        </w:rPr>
        <w:t>本</w:t>
      </w:r>
      <w:r w:rsidRPr="00CC51EF">
        <w:rPr>
          <w:rFonts w:asciiTheme="minorEastAsia" w:eastAsiaTheme="minorEastAsia" w:hAnsiTheme="minorEastAsia"/>
          <w:color w:val="000000" w:themeColor="text1"/>
          <w:szCs w:val="21"/>
        </w:rPr>
        <w:t>基金延缓</w:t>
      </w:r>
      <w:r w:rsidRPr="00CC51EF">
        <w:rPr>
          <w:rFonts w:asciiTheme="minorEastAsia" w:eastAsiaTheme="minorEastAsia" w:hAnsiTheme="minorEastAsia" w:hint="eastAsia"/>
          <w:color w:val="000000" w:themeColor="text1"/>
          <w:szCs w:val="21"/>
        </w:rPr>
        <w:t>支付</w:t>
      </w:r>
      <w:r w:rsidRPr="00CC51EF">
        <w:rPr>
          <w:rFonts w:asciiTheme="minorEastAsia" w:eastAsiaTheme="minorEastAsia" w:hAnsiTheme="minorEastAsia"/>
          <w:color w:val="000000" w:themeColor="text1"/>
          <w:szCs w:val="21"/>
        </w:rPr>
        <w:t>赎回</w:t>
      </w:r>
      <w:r w:rsidRPr="00CC51EF">
        <w:rPr>
          <w:rFonts w:asciiTheme="minorEastAsia" w:eastAsiaTheme="minorEastAsia" w:hAnsiTheme="minorEastAsia" w:hint="eastAsia"/>
          <w:color w:val="000000" w:themeColor="text1"/>
          <w:szCs w:val="21"/>
        </w:rPr>
        <w:t>款项，赎回</w:t>
      </w:r>
      <w:r w:rsidRPr="00CC51EF">
        <w:rPr>
          <w:rFonts w:asciiTheme="minorEastAsia" w:eastAsiaTheme="minorEastAsia" w:hAnsiTheme="minorEastAsia"/>
          <w:color w:val="000000" w:themeColor="text1"/>
          <w:szCs w:val="21"/>
        </w:rPr>
        <w:t>款</w:t>
      </w:r>
      <w:r w:rsidRPr="00CC51EF">
        <w:rPr>
          <w:rFonts w:asciiTheme="minorEastAsia" w:eastAsiaTheme="minorEastAsia" w:hAnsiTheme="minorEastAsia" w:hint="eastAsia"/>
          <w:color w:val="000000" w:themeColor="text1"/>
          <w:szCs w:val="21"/>
        </w:rPr>
        <w:t>支付</w:t>
      </w:r>
      <w:r w:rsidRPr="00CC51EF">
        <w:rPr>
          <w:rFonts w:asciiTheme="minorEastAsia" w:eastAsiaTheme="minorEastAsia" w:hAnsiTheme="minorEastAsia"/>
          <w:color w:val="000000" w:themeColor="text1"/>
          <w:szCs w:val="21"/>
        </w:rPr>
        <w:t>时间将后延</w:t>
      </w:r>
      <w:r w:rsidRPr="00CC51EF">
        <w:rPr>
          <w:rFonts w:asciiTheme="minorEastAsia" w:eastAsiaTheme="minorEastAsia" w:hAnsiTheme="minorEastAsia" w:hint="eastAsia"/>
          <w:color w:val="000000" w:themeColor="text1"/>
          <w:szCs w:val="21"/>
        </w:rPr>
        <w:t>，可能对</w:t>
      </w:r>
      <w:r w:rsidRPr="00CC51EF">
        <w:rPr>
          <w:rFonts w:asciiTheme="minorEastAsia" w:eastAsiaTheme="minorEastAsia" w:hAnsiTheme="minorEastAsia"/>
          <w:color w:val="000000" w:themeColor="text1"/>
          <w:szCs w:val="21"/>
        </w:rPr>
        <w:t>投资者的资金安排带来不利影响。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短期赎回费</w:t>
      </w:r>
      <w:r w:rsidRPr="00CC51EF">
        <w:rPr>
          <w:rFonts w:asciiTheme="minorEastAsia" w:eastAsiaTheme="minorEastAsia" w:hAnsiTheme="minorEastAsia" w:hint="eastAsia"/>
          <w:color w:val="000000" w:themeColor="text1"/>
          <w:szCs w:val="21"/>
        </w:rPr>
        <w:t>适用</w:t>
      </w:r>
      <w:r w:rsidRPr="00CC51EF">
        <w:rPr>
          <w:rFonts w:asciiTheme="minorEastAsia" w:eastAsiaTheme="minorEastAsia" w:hAnsiTheme="minorEastAsia"/>
          <w:color w:val="000000" w:themeColor="text1"/>
          <w:szCs w:val="21"/>
        </w:rPr>
        <w:t>于</w:t>
      </w:r>
      <w:r w:rsidRPr="00CC51EF">
        <w:rPr>
          <w:rFonts w:asciiTheme="minorEastAsia" w:eastAsiaTheme="minorEastAsia" w:hAnsiTheme="minorEastAsia" w:hint="eastAsia"/>
          <w:color w:val="000000" w:themeColor="text1"/>
          <w:szCs w:val="21"/>
        </w:rPr>
        <w:t>持续持有期少于</w:t>
      </w:r>
      <w:r w:rsidRPr="00CC51EF">
        <w:rPr>
          <w:rFonts w:asciiTheme="minorEastAsia" w:eastAsiaTheme="minorEastAsia" w:hAnsiTheme="minorEastAsia"/>
          <w:color w:val="000000" w:themeColor="text1"/>
          <w:szCs w:val="21"/>
        </w:rPr>
        <w:t xml:space="preserve"> 7 </w:t>
      </w:r>
      <w:r w:rsidRPr="00CC51EF">
        <w:rPr>
          <w:rFonts w:asciiTheme="minorEastAsia" w:eastAsiaTheme="minorEastAsia" w:hAnsiTheme="minorEastAsia" w:hint="eastAsia"/>
          <w:color w:val="000000" w:themeColor="text1"/>
          <w:szCs w:val="21"/>
        </w:rPr>
        <w:t>日的投资者，</w:t>
      </w:r>
      <w:r w:rsidRPr="00CC51EF">
        <w:rPr>
          <w:rFonts w:asciiTheme="minorEastAsia" w:eastAsiaTheme="minorEastAsia" w:hAnsiTheme="minorEastAsia"/>
          <w:color w:val="000000" w:themeColor="text1"/>
          <w:szCs w:val="21"/>
        </w:rPr>
        <w:t>费率为1.5%</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短期赎回费</w:t>
      </w:r>
      <w:r w:rsidRPr="00CC51EF">
        <w:rPr>
          <w:rFonts w:asciiTheme="minorEastAsia" w:eastAsiaTheme="minorEastAsia" w:hAnsiTheme="minorEastAsia" w:hint="eastAsia"/>
          <w:color w:val="000000" w:themeColor="text1"/>
          <w:szCs w:val="21"/>
        </w:rPr>
        <w:t>由赎回基金份额的基金份额持有人承担，在基金份额持有人赎回基金份额时收取，并全额计入基金财产。短期</w:t>
      </w:r>
      <w:r w:rsidRPr="00CC51EF">
        <w:rPr>
          <w:rFonts w:asciiTheme="minorEastAsia" w:eastAsiaTheme="minorEastAsia" w:hAnsiTheme="minorEastAsia"/>
          <w:color w:val="000000" w:themeColor="text1"/>
          <w:szCs w:val="21"/>
        </w:rPr>
        <w:t>赎回费的</w:t>
      </w:r>
      <w:r w:rsidRPr="00CC51EF">
        <w:rPr>
          <w:rFonts w:asciiTheme="minorEastAsia" w:eastAsiaTheme="minorEastAsia" w:hAnsiTheme="minorEastAsia" w:hint="eastAsia"/>
          <w:color w:val="000000" w:themeColor="text1"/>
          <w:szCs w:val="21"/>
        </w:rPr>
        <w:t>收取</w:t>
      </w:r>
      <w:r w:rsidRPr="00CC51EF">
        <w:rPr>
          <w:rFonts w:asciiTheme="minorEastAsia" w:eastAsiaTheme="minorEastAsia" w:hAnsiTheme="minorEastAsia"/>
          <w:color w:val="000000" w:themeColor="text1"/>
          <w:szCs w:val="21"/>
        </w:rPr>
        <w:t>将</w:t>
      </w:r>
      <w:r w:rsidRPr="00CC51EF">
        <w:rPr>
          <w:rFonts w:asciiTheme="minorEastAsia" w:eastAsiaTheme="minorEastAsia" w:hAnsiTheme="minorEastAsia" w:hint="eastAsia"/>
          <w:color w:val="000000" w:themeColor="text1"/>
        </w:rPr>
        <w:t>使得</w:t>
      </w:r>
      <w:r w:rsidRPr="00CC51EF">
        <w:rPr>
          <w:rFonts w:asciiTheme="minorEastAsia" w:eastAsiaTheme="minorEastAsia" w:hAnsiTheme="minorEastAsia"/>
          <w:color w:val="000000" w:themeColor="text1"/>
        </w:rPr>
        <w:t>投资者</w:t>
      </w:r>
      <w:r w:rsidRPr="00CC51EF">
        <w:rPr>
          <w:rFonts w:asciiTheme="minorEastAsia" w:eastAsiaTheme="minorEastAsia" w:hAnsiTheme="minorEastAsia" w:hint="eastAsia"/>
          <w:color w:val="000000" w:themeColor="text1"/>
        </w:rPr>
        <w:t>在持续</w:t>
      </w:r>
      <w:r w:rsidRPr="00CC51EF">
        <w:rPr>
          <w:rFonts w:asciiTheme="minorEastAsia" w:eastAsiaTheme="minorEastAsia" w:hAnsiTheme="minorEastAsia"/>
          <w:color w:val="000000" w:themeColor="text1"/>
        </w:rPr>
        <w:t>持有期限少于7日时</w:t>
      </w:r>
      <w:r w:rsidRPr="00CC51EF">
        <w:rPr>
          <w:rFonts w:asciiTheme="minorEastAsia" w:eastAsiaTheme="minorEastAsia" w:hAnsiTheme="minorEastAsia" w:hint="eastAsia"/>
          <w:color w:val="000000" w:themeColor="text1"/>
        </w:rPr>
        <w:t>会</w:t>
      </w:r>
      <w:r w:rsidRPr="00CC51EF">
        <w:rPr>
          <w:rFonts w:asciiTheme="minorEastAsia" w:eastAsiaTheme="minorEastAsia" w:hAnsiTheme="minorEastAsia"/>
          <w:color w:val="000000" w:themeColor="text1"/>
        </w:rPr>
        <w:t>承担较高的赎回费</w:t>
      </w:r>
      <w:r w:rsidRPr="00CC51EF">
        <w:rPr>
          <w:rFonts w:asciiTheme="minorEastAsia" w:eastAsiaTheme="minorEastAsia" w:hAnsiTheme="minorEastAsia" w:hint="eastAsia"/>
          <w:color w:val="000000" w:themeColor="text1"/>
        </w:rPr>
        <w:t>。</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暂停基金</w:t>
      </w:r>
      <w:r w:rsidRPr="00CC51EF">
        <w:rPr>
          <w:rFonts w:asciiTheme="minorEastAsia" w:eastAsiaTheme="minorEastAsia" w:hAnsiTheme="minorEastAsia"/>
          <w:color w:val="000000" w:themeColor="text1"/>
          <w:szCs w:val="21"/>
        </w:rPr>
        <w:t>估值</w:t>
      </w:r>
      <w:r w:rsidRPr="00CC51EF">
        <w:rPr>
          <w:rFonts w:asciiTheme="minorEastAsia" w:eastAsiaTheme="minorEastAsia" w:hAnsiTheme="minorEastAsia" w:hint="eastAsia"/>
          <w:color w:val="000000" w:themeColor="text1"/>
        </w:rPr>
        <w:t>的</w:t>
      </w:r>
      <w:r w:rsidRPr="00CC51EF">
        <w:rPr>
          <w:rFonts w:asciiTheme="minorEastAsia" w:eastAsiaTheme="minorEastAsia" w:hAnsiTheme="minorEastAsia"/>
          <w:color w:val="000000" w:themeColor="text1"/>
        </w:rPr>
        <w:t>情形、程序</w:t>
      </w:r>
      <w:r w:rsidRPr="00CC51EF">
        <w:rPr>
          <w:rFonts w:asciiTheme="minorEastAsia" w:eastAsiaTheme="minorEastAsia" w:hAnsiTheme="minorEastAsia" w:hint="eastAsia"/>
          <w:color w:val="000000" w:themeColor="text1"/>
        </w:rPr>
        <w:t>见招募</w:t>
      </w:r>
      <w:r w:rsidRPr="00CC51EF">
        <w:rPr>
          <w:rFonts w:asciiTheme="minorEastAsia" w:eastAsiaTheme="minorEastAsia" w:hAnsiTheme="minorEastAsia"/>
          <w:color w:val="000000" w:themeColor="text1"/>
        </w:rPr>
        <w:t>说明</w:t>
      </w:r>
      <w:r w:rsidRPr="00CC51EF">
        <w:rPr>
          <w:rFonts w:asciiTheme="minorEastAsia" w:eastAsiaTheme="minorEastAsia" w:hAnsiTheme="minorEastAsia" w:hint="eastAsia"/>
          <w:color w:val="000000" w:themeColor="text1"/>
        </w:rPr>
        <w:t>书“十三、基金资产的估值”</w:t>
      </w:r>
      <w:r w:rsidRPr="00CC51EF">
        <w:rPr>
          <w:rFonts w:asciiTheme="minorEastAsia" w:eastAsiaTheme="minorEastAsia" w:hAnsiTheme="minorEastAsia"/>
          <w:color w:val="000000" w:themeColor="text1"/>
        </w:rPr>
        <w:t>之</w:t>
      </w:r>
      <w:r w:rsidRPr="00CC51EF">
        <w:rPr>
          <w:rFonts w:asciiTheme="minorEastAsia" w:eastAsiaTheme="minorEastAsia" w:hAnsiTheme="minorEastAsia" w:hint="eastAsia"/>
          <w:color w:val="000000" w:themeColor="text1"/>
        </w:rPr>
        <w:t xml:space="preserve"> “（七）暂停估值的情形”的相关规定</w:t>
      </w:r>
      <w:r w:rsidRPr="00CC51EF">
        <w:rPr>
          <w:rFonts w:asciiTheme="minorEastAsia" w:eastAsiaTheme="minorEastAsia" w:hAnsiTheme="minorEastAsia" w:hint="eastAsia"/>
          <w:color w:val="000000" w:themeColor="text1"/>
          <w:szCs w:val="21"/>
        </w:rPr>
        <w:t>。若</w:t>
      </w:r>
      <w:r w:rsidRPr="00CC51EF">
        <w:rPr>
          <w:rFonts w:asciiTheme="minorEastAsia" w:eastAsiaTheme="minorEastAsia" w:hAnsiTheme="minorEastAsia"/>
          <w:color w:val="000000" w:themeColor="text1"/>
          <w:szCs w:val="21"/>
        </w:rPr>
        <w:t>本基金暂停基金估值，</w:t>
      </w:r>
      <w:r w:rsidRPr="00CC51EF">
        <w:rPr>
          <w:rFonts w:asciiTheme="minorEastAsia" w:eastAsiaTheme="minorEastAsia" w:hAnsiTheme="minorEastAsia" w:hint="eastAsia"/>
          <w:color w:val="000000" w:themeColor="text1"/>
          <w:szCs w:val="21"/>
        </w:rPr>
        <w:t>一方面</w:t>
      </w:r>
      <w:r w:rsidRPr="00CC51EF">
        <w:rPr>
          <w:rFonts w:asciiTheme="minorEastAsia" w:eastAsiaTheme="minorEastAsia" w:hAnsiTheme="minorEastAsia"/>
          <w:color w:val="000000" w:themeColor="text1"/>
          <w:szCs w:val="21"/>
        </w:rPr>
        <w:t>投资者将无法知晓本基金的基金份额净值，</w:t>
      </w:r>
      <w:r w:rsidRPr="00CC51EF">
        <w:rPr>
          <w:rFonts w:asciiTheme="minorEastAsia" w:eastAsiaTheme="minorEastAsia" w:hAnsiTheme="minorEastAsia" w:hint="eastAsia"/>
          <w:color w:val="000000" w:themeColor="text1"/>
          <w:szCs w:val="21"/>
        </w:rPr>
        <w:t>另一方面基金</w:t>
      </w:r>
      <w:r w:rsidRPr="00CC51EF">
        <w:rPr>
          <w:rFonts w:asciiTheme="minorEastAsia" w:eastAsiaTheme="minorEastAsia" w:hAnsiTheme="minorEastAsia"/>
          <w:color w:val="000000" w:themeColor="text1"/>
          <w:szCs w:val="21"/>
        </w:rPr>
        <w:t>将</w:t>
      </w:r>
      <w:r w:rsidRPr="00CC51EF">
        <w:rPr>
          <w:rFonts w:asciiTheme="minorEastAsia" w:eastAsiaTheme="minorEastAsia" w:hAnsiTheme="minorEastAsia" w:hint="eastAsia"/>
          <w:color w:val="000000" w:themeColor="text1"/>
          <w:szCs w:val="21"/>
        </w:rPr>
        <w:t>延缓支付赎回款项或暂停接受基金申购赎回申请</w:t>
      </w:r>
      <w:r w:rsidRPr="00CC51EF">
        <w:rPr>
          <w:rFonts w:asciiTheme="minorEastAsia" w:eastAsiaTheme="minorEastAsia" w:hAnsiTheme="minorEastAsia"/>
          <w:color w:val="000000" w:themeColor="text1"/>
          <w:szCs w:val="21"/>
        </w:rPr>
        <w:t>，</w:t>
      </w:r>
      <w:r w:rsidRPr="00CC51EF">
        <w:rPr>
          <w:rFonts w:asciiTheme="minorEastAsia" w:eastAsiaTheme="minorEastAsia" w:hAnsiTheme="minorEastAsia" w:hint="eastAsia"/>
          <w:color w:val="000000" w:themeColor="text1"/>
          <w:szCs w:val="21"/>
        </w:rPr>
        <w:t>延缓支付赎回款项</w:t>
      </w:r>
      <w:r w:rsidRPr="00CC51EF">
        <w:rPr>
          <w:rFonts w:asciiTheme="minorEastAsia" w:eastAsiaTheme="minorEastAsia" w:hAnsiTheme="minorEastAsia"/>
          <w:color w:val="000000" w:themeColor="text1"/>
          <w:szCs w:val="21"/>
        </w:rPr>
        <w:t>可能影响投资</w:t>
      </w:r>
      <w:r w:rsidRPr="00CC51EF">
        <w:rPr>
          <w:rFonts w:asciiTheme="minorEastAsia" w:eastAsiaTheme="minorEastAsia" w:hAnsiTheme="minorEastAsia" w:hint="eastAsia"/>
          <w:color w:val="000000" w:themeColor="text1"/>
          <w:szCs w:val="21"/>
        </w:rPr>
        <w:t>者</w:t>
      </w:r>
      <w:r w:rsidRPr="00CC51EF">
        <w:rPr>
          <w:rFonts w:asciiTheme="minorEastAsia" w:eastAsiaTheme="minorEastAsia" w:hAnsiTheme="minorEastAsia"/>
          <w:color w:val="000000" w:themeColor="text1"/>
          <w:szCs w:val="21"/>
        </w:rPr>
        <w:t>的资金安排</w:t>
      </w:r>
      <w:r w:rsidRPr="00CC51EF">
        <w:rPr>
          <w:rFonts w:asciiTheme="minorEastAsia" w:eastAsiaTheme="minorEastAsia" w:hAnsiTheme="minorEastAsia" w:hint="eastAsia"/>
          <w:color w:val="000000" w:themeColor="text1"/>
          <w:szCs w:val="21"/>
        </w:rPr>
        <w:t>，暂停接受基金申购赎回申请将</w:t>
      </w:r>
      <w:r w:rsidRPr="00CC51EF">
        <w:rPr>
          <w:rFonts w:asciiTheme="minorEastAsia" w:eastAsiaTheme="minorEastAsia" w:hAnsiTheme="minorEastAsia"/>
          <w:color w:val="000000" w:themeColor="text1"/>
          <w:szCs w:val="21"/>
        </w:rPr>
        <w:t>导致投资者无法申购或赎回本基金。</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采用</w:t>
      </w:r>
      <w:r w:rsidRPr="00CC51EF">
        <w:rPr>
          <w:rFonts w:asciiTheme="minorEastAsia" w:eastAsiaTheme="minorEastAsia" w:hAnsiTheme="minorEastAsia"/>
          <w:color w:val="000000" w:themeColor="text1"/>
        </w:rPr>
        <w:t>摆动定价</w:t>
      </w:r>
      <w:r w:rsidRPr="00CC51EF">
        <w:rPr>
          <w:rFonts w:asciiTheme="minorEastAsia" w:eastAsiaTheme="minorEastAsia" w:hAnsiTheme="minorEastAsia" w:hint="eastAsia"/>
          <w:color w:val="000000" w:themeColor="text1"/>
        </w:rPr>
        <w:t>机制的</w:t>
      </w:r>
      <w:r w:rsidRPr="00CC51EF">
        <w:rPr>
          <w:rFonts w:asciiTheme="minorEastAsia" w:eastAsiaTheme="minorEastAsia" w:hAnsiTheme="minorEastAsia"/>
          <w:color w:val="000000" w:themeColor="text1"/>
        </w:rPr>
        <w:t>情形、程序</w:t>
      </w:r>
      <w:r w:rsidRPr="00CC51EF">
        <w:rPr>
          <w:rFonts w:asciiTheme="minorEastAsia" w:eastAsiaTheme="minorEastAsia" w:hAnsiTheme="minorEastAsia" w:hint="eastAsia"/>
          <w:color w:val="000000" w:themeColor="text1"/>
        </w:rPr>
        <w:t>见招募</w:t>
      </w:r>
      <w:r w:rsidRPr="00CC51EF">
        <w:rPr>
          <w:rFonts w:asciiTheme="minorEastAsia" w:eastAsiaTheme="minorEastAsia" w:hAnsiTheme="minorEastAsia"/>
          <w:color w:val="000000" w:themeColor="text1"/>
        </w:rPr>
        <w:t>说明</w:t>
      </w:r>
      <w:r w:rsidRPr="00CC51EF">
        <w:rPr>
          <w:rFonts w:asciiTheme="minorEastAsia" w:eastAsiaTheme="minorEastAsia" w:hAnsiTheme="minorEastAsia" w:hint="eastAsia"/>
          <w:color w:val="000000" w:themeColor="text1"/>
        </w:rPr>
        <w:t>书“十三、基金资产的估值”</w:t>
      </w:r>
      <w:r w:rsidRPr="00CC51EF">
        <w:rPr>
          <w:rFonts w:asciiTheme="minorEastAsia" w:eastAsiaTheme="minorEastAsia" w:hAnsiTheme="minorEastAsia"/>
          <w:color w:val="000000" w:themeColor="text1"/>
        </w:rPr>
        <w:t>之</w:t>
      </w:r>
      <w:r w:rsidRPr="00CC51EF">
        <w:rPr>
          <w:rFonts w:asciiTheme="minorEastAsia" w:eastAsiaTheme="minorEastAsia" w:hAnsiTheme="minorEastAsia" w:hint="eastAsia"/>
          <w:color w:val="000000" w:themeColor="text1"/>
        </w:rPr>
        <w:t xml:space="preserve"> “</w:t>
      </w:r>
      <w:r w:rsidRPr="00CC51EF">
        <w:rPr>
          <w:rStyle w:val="da"/>
          <w:rFonts w:asciiTheme="minorEastAsia" w:eastAsiaTheme="minorEastAsia" w:hAnsiTheme="minorEastAsia" w:hint="eastAsia"/>
          <w:color w:val="000000" w:themeColor="text1"/>
          <w:szCs w:val="21"/>
        </w:rPr>
        <w:t>（四）</w:t>
      </w:r>
      <w:r w:rsidRPr="00CC51EF">
        <w:rPr>
          <w:rStyle w:val="da"/>
          <w:rFonts w:asciiTheme="minorEastAsia" w:eastAsiaTheme="minorEastAsia" w:hAnsiTheme="minorEastAsia"/>
          <w:color w:val="000000" w:themeColor="text1"/>
          <w:szCs w:val="21"/>
        </w:rPr>
        <w:t>估值方法</w:t>
      </w:r>
      <w:r w:rsidRPr="00CC51EF">
        <w:rPr>
          <w:rFonts w:asciiTheme="minorEastAsia" w:eastAsiaTheme="minorEastAsia" w:hAnsiTheme="minorEastAsia" w:hint="eastAsia"/>
          <w:color w:val="000000" w:themeColor="text1"/>
        </w:rPr>
        <w:t>”的相关规定。</w:t>
      </w:r>
      <w:r w:rsidRPr="00CC51EF">
        <w:rPr>
          <w:rFonts w:asciiTheme="minorEastAsia" w:eastAsiaTheme="minorEastAsia" w:hAnsiTheme="minorEastAsia"/>
          <w:color w:val="000000" w:themeColor="text1"/>
        </w:rPr>
        <w:t>若</w:t>
      </w:r>
      <w:r w:rsidRPr="00CC51EF">
        <w:rPr>
          <w:rFonts w:asciiTheme="minorEastAsia" w:eastAsiaTheme="minorEastAsia" w:hAnsiTheme="minorEastAsia" w:hint="eastAsia"/>
          <w:color w:val="000000" w:themeColor="text1"/>
        </w:rPr>
        <w:t>本</w:t>
      </w:r>
      <w:r w:rsidRPr="00CC51EF">
        <w:rPr>
          <w:rFonts w:asciiTheme="minorEastAsia" w:eastAsiaTheme="minorEastAsia" w:hAnsiTheme="minorEastAsia"/>
          <w:color w:val="000000" w:themeColor="text1"/>
        </w:rPr>
        <w:t>基金采取摆动定价机制，</w:t>
      </w:r>
      <w:r w:rsidRPr="00CC51EF">
        <w:rPr>
          <w:rFonts w:asciiTheme="minorEastAsia" w:eastAsiaTheme="minorEastAsia" w:hAnsiTheme="minorEastAsia" w:hint="eastAsia"/>
          <w:color w:val="000000" w:themeColor="text1"/>
        </w:rPr>
        <w:t>投资</w:t>
      </w:r>
      <w:r w:rsidRPr="00CC51EF">
        <w:rPr>
          <w:rFonts w:asciiTheme="minorEastAsia" w:eastAsiaTheme="minorEastAsia" w:hAnsiTheme="minorEastAsia"/>
          <w:color w:val="000000" w:themeColor="text1"/>
        </w:rPr>
        <w:t>者申购基金获得的</w:t>
      </w:r>
      <w:r w:rsidRPr="00CC51EF">
        <w:rPr>
          <w:rFonts w:asciiTheme="minorEastAsia" w:eastAsiaTheme="minorEastAsia" w:hAnsiTheme="minorEastAsia" w:hint="eastAsia"/>
          <w:color w:val="000000" w:themeColor="text1"/>
        </w:rPr>
        <w:t>申购</w:t>
      </w:r>
      <w:r w:rsidRPr="00CC51EF">
        <w:rPr>
          <w:rFonts w:asciiTheme="minorEastAsia" w:eastAsiaTheme="minorEastAsia" w:hAnsiTheme="minorEastAsia"/>
          <w:color w:val="000000" w:themeColor="text1"/>
        </w:rPr>
        <w:t>份额</w:t>
      </w:r>
      <w:r w:rsidRPr="00CC51EF">
        <w:rPr>
          <w:rFonts w:asciiTheme="minorEastAsia" w:eastAsiaTheme="minorEastAsia" w:hAnsiTheme="minorEastAsia" w:hint="eastAsia"/>
          <w:color w:val="000000" w:themeColor="text1"/>
        </w:rPr>
        <w:t>及赎回</w:t>
      </w:r>
      <w:r w:rsidRPr="00CC51EF">
        <w:rPr>
          <w:rFonts w:asciiTheme="minorEastAsia" w:eastAsiaTheme="minorEastAsia" w:hAnsiTheme="minorEastAsia"/>
          <w:color w:val="000000" w:themeColor="text1"/>
        </w:rPr>
        <w:t>基金获得的赎回金额均可能受到不利影响。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、实施侧袋机制对投资者的影响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基金管理人将根据主袋账户运作情况合理确定申购政策，因此实施侧袋机制后主袋账户份额存在暂停申购的可能。</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（四）管理风险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、在基金管理运作过程中，基金管理人的知识、经验、判断、决策、技能等，会影响其对信息的占有以及对经济形势、证券价格走势的判断，从而影响基金收益水平。</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、基金管理人的管理手段和管理技术等因素的变化也会影响基金收益水平。</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（五）税收风险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w:t>
      </w:r>
      <w:r w:rsidRPr="00CC51EF">
        <w:rPr>
          <w:rFonts w:asciiTheme="minorEastAsia" w:eastAsiaTheme="minorEastAsia" w:hAnsiTheme="minorEastAsia"/>
          <w:color w:val="000000" w:themeColor="text1"/>
          <w:szCs w:val="21"/>
        </w:rPr>
        <w:t>担。</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六）</w:t>
      </w:r>
      <w:r w:rsidRPr="00CC51EF">
        <w:rPr>
          <w:rFonts w:asciiTheme="minorEastAsia" w:eastAsiaTheme="minorEastAsia" w:hAnsiTheme="minorEastAsia" w:hint="eastAsia"/>
          <w:color w:val="000000" w:themeColor="text1"/>
          <w:szCs w:val="21"/>
        </w:rPr>
        <w:t>本基金法律文件中涉及基金风险特征的表述与销售机构对基金的风险评级可能不一致的风险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1B2ECA" w:rsidRPr="00CC51EF">
      <w:pPr>
        <w:spacing w:line="360" w:lineRule="auto"/>
        <w:ind w:firstLine="420"/>
        <w:rPr>
          <w:rStyle w:val="da"/>
          <w:rFonts w:asciiTheme="minorEastAsia" w:eastAsiaTheme="minorEastAsia" w:hAnsiTheme="minorEastAsia"/>
          <w:color w:val="000000" w:themeColor="text1"/>
        </w:rPr>
      </w:pPr>
      <w:r w:rsidRPr="00CC51EF">
        <w:rPr>
          <w:rStyle w:val="da"/>
          <w:rFonts w:asciiTheme="minorEastAsia" w:eastAsiaTheme="minorEastAsia" w:hAnsiTheme="minorEastAsia" w:hint="eastAsia"/>
          <w:color w:val="000000" w:themeColor="text1"/>
        </w:rPr>
        <w:t>（七）其他风险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、因技术因素而产生的风险，如电脑等技术系统的故障或差错产生的风险。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、因战争、自然灾害等不可抗力导致的基金管理人、基金托管人、基金服务机构等机构无法正常工作，从而影响基金运作的风险。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、因金融市场危机、代理商违约、基金托管人违约等超出基金管理人自身控制能力的因素出现，可能导致基金或者基金份额持有人利益受损的风险。</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、因固定收益类金融工具主要在场外市场进行交易，场外市场交易现阶段自动化程度较场内市场低，本基金在投资运作过程中可能面临操作风险。</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、其他意外导致的风险。</w:t>
      </w:r>
    </w:p>
    <w:p w:rsidR="001B2ECA" w:rsidRPr="00CC51EF">
      <w:pPr>
        <w:pStyle w:val="11"/>
        <w:spacing w:before="317" w:after="317" w:line="360" w:lineRule="auto"/>
        <w:ind w:firstLine="600"/>
        <w:rPr>
          <w:rFonts w:asciiTheme="minorEastAsia" w:eastAsiaTheme="minorEastAsia" w:hAnsiTheme="minorEastAsia"/>
          <w:color w:val="000000" w:themeColor="text1"/>
          <w:sz w:val="30"/>
        </w:rPr>
      </w:pPr>
      <w:r w:rsidRPr="00CC51EF">
        <w:rPr>
          <w:rFonts w:asciiTheme="minorEastAsia" w:eastAsiaTheme="minorEastAsia" w:hAnsiTheme="minorEastAsia" w:hint="eastAsia"/>
          <w:color w:val="000000" w:themeColor="text1"/>
          <w:sz w:val="30"/>
        </w:rPr>
        <w:br w:type="column"/>
      </w:r>
      <w:bookmarkStart w:id="98" w:name="_Toc134548088"/>
      <w:bookmarkEnd w:id="97"/>
      <w:r w:rsidRPr="00CC51EF">
        <w:rPr>
          <w:rFonts w:asciiTheme="minorEastAsia" w:eastAsiaTheme="minorEastAsia" w:hAnsiTheme="minorEastAsia" w:hint="eastAsia"/>
          <w:color w:val="000000" w:themeColor="text1"/>
          <w:sz w:val="30"/>
        </w:rPr>
        <w:t>二十</w:t>
      </w:r>
      <w:bookmarkStart w:id="99" w:name="_Toc332373579"/>
      <w:r w:rsidRPr="00CC51EF">
        <w:rPr>
          <w:rFonts w:asciiTheme="minorEastAsia" w:eastAsiaTheme="minorEastAsia" w:hAnsiTheme="minorEastAsia" w:hint="eastAsia"/>
          <w:color w:val="000000" w:themeColor="text1"/>
          <w:sz w:val="30"/>
        </w:rPr>
        <w:t>一、基金合同的变更、终止与基金财产的清算</w:t>
      </w:r>
      <w:bookmarkEnd w:id="98"/>
    </w:p>
    <w:p w:rsidR="001B2ECA" w:rsidRPr="00CC51EF">
      <w:pPr>
        <w:spacing w:line="360" w:lineRule="auto"/>
        <w:ind w:firstLine="420"/>
        <w:rPr>
          <w:rFonts w:asciiTheme="minorEastAsia" w:eastAsiaTheme="minorEastAsia" w:hAnsiTheme="minorEastAsia"/>
          <w:color w:val="000000" w:themeColor="text1"/>
          <w:szCs w:val="21"/>
        </w:rPr>
      </w:pPr>
      <w:bookmarkStart w:id="100" w:name="_Toc79392639"/>
      <w:bookmarkEnd w:id="99"/>
      <w:r w:rsidRPr="00CC51EF">
        <w:rPr>
          <w:rFonts w:asciiTheme="minorEastAsia" w:eastAsiaTheme="minorEastAsia" w:hAnsiTheme="minorEastAsia" w:hint="eastAsia"/>
          <w:color w:val="000000" w:themeColor="text1"/>
          <w:szCs w:val="21"/>
        </w:rPr>
        <w:t>（一）《基金合同》的变更</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、关于《基金合同》变更的基金份额持有人大会决议自生效后方可执行，自决议生效后两日内在规定媒介公告。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（二）《基金合同》的终止事由</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有下列情形之一的，经履行相关程序后，《基金合同》应当终止：</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、基金份额持有人大会决定终止的；</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、基金管理人、基金托管人职责终止，在</w:t>
      </w: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个月内没有新基金管理人、新基金托管人承接的；</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、《基金合同》约定的其他情形；</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、相关法律法规和中国证监会规定的其他情况。</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（三）基金财产的清算</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、基金财产清算小组：自出现《基金合同》终止事由之日起</w:t>
      </w:r>
      <w:r w:rsidRPr="00CC51EF">
        <w:rPr>
          <w:rFonts w:asciiTheme="minorEastAsia" w:eastAsiaTheme="minorEastAsia" w:hAnsiTheme="minorEastAsia"/>
          <w:color w:val="000000" w:themeColor="text1"/>
          <w:szCs w:val="21"/>
        </w:rPr>
        <w:t>30</w:t>
      </w:r>
      <w:r w:rsidRPr="00CC51EF">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、基金财产清算小组组成：基金财产清算小组成员由基金管理人、基金托管人、符合《证券法》规定的注册会计师、律师以及中国证监会指定的人员组成。基金财产清算小组可以聘用必要的工作人员。</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、基金财产清算小组职责：基金财产清算小组负责基金财产的保管、清理、估价、变现和分配。基金财产清算小组可以依法进行必要的民事活动。</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、基金财产清算程序：</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1</w:t>
      </w:r>
      <w:r w:rsidRPr="00CC51EF">
        <w:rPr>
          <w:rFonts w:asciiTheme="minorEastAsia" w:eastAsiaTheme="minorEastAsia" w:hAnsiTheme="minorEastAsia" w:hint="eastAsia"/>
          <w:color w:val="000000" w:themeColor="text1"/>
          <w:szCs w:val="21"/>
        </w:rPr>
        <w:t>）《基金合同》终止情形出现时，由基金财产清算小组统一接管基金；</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2</w:t>
      </w:r>
      <w:r w:rsidRPr="00CC51EF">
        <w:rPr>
          <w:rFonts w:asciiTheme="minorEastAsia" w:eastAsiaTheme="minorEastAsia" w:hAnsiTheme="minorEastAsia" w:hint="eastAsia"/>
          <w:color w:val="000000" w:themeColor="text1"/>
          <w:szCs w:val="21"/>
        </w:rPr>
        <w:t>）对基金财产和债权债务进行清理和确认；</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3</w:t>
      </w:r>
      <w:r w:rsidRPr="00CC51EF">
        <w:rPr>
          <w:rFonts w:asciiTheme="minorEastAsia" w:eastAsiaTheme="minorEastAsia" w:hAnsiTheme="minorEastAsia" w:hint="eastAsia"/>
          <w:color w:val="000000" w:themeColor="text1"/>
          <w:szCs w:val="21"/>
        </w:rPr>
        <w:t>）对基金财产进行估值和变现；</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4</w:t>
      </w:r>
      <w:r w:rsidRPr="00CC51EF">
        <w:rPr>
          <w:rFonts w:asciiTheme="minorEastAsia" w:eastAsiaTheme="minorEastAsia" w:hAnsiTheme="minorEastAsia" w:hint="eastAsia"/>
          <w:color w:val="000000" w:themeColor="text1"/>
          <w:szCs w:val="21"/>
        </w:rPr>
        <w:t>）制作清算报告；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）聘请会计师事务所对清算报告进行外部审计，聘请律师事务所对清算报告出具法律意见书；</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）将清算报告报中国证监会备案并公告；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color w:val="000000" w:themeColor="text1"/>
          <w:szCs w:val="21"/>
        </w:rPr>
        <w:t>7</w:t>
      </w:r>
      <w:r w:rsidRPr="00CC51EF">
        <w:rPr>
          <w:rFonts w:asciiTheme="minorEastAsia" w:eastAsiaTheme="minorEastAsia" w:hAnsiTheme="minorEastAsia" w:hint="eastAsia"/>
          <w:color w:val="000000" w:themeColor="text1"/>
          <w:szCs w:val="21"/>
        </w:rPr>
        <w:t>）对基金剩余财产进行分配。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、基金财产清算的期限为</w:t>
      </w:r>
      <w:r w:rsidRPr="00CC51EF">
        <w:rPr>
          <w:rFonts w:asciiTheme="minorEastAsia" w:eastAsiaTheme="minorEastAsia" w:hAnsiTheme="minorEastAsia"/>
          <w:color w:val="000000" w:themeColor="text1"/>
          <w:szCs w:val="21"/>
        </w:rPr>
        <w:t>6</w:t>
      </w:r>
      <w:r w:rsidRPr="00CC51EF">
        <w:rPr>
          <w:rFonts w:asciiTheme="minorEastAsia" w:eastAsiaTheme="minorEastAsia" w:hAnsiTheme="minorEastAsia" w:hint="eastAsia"/>
          <w:color w:val="000000" w:themeColor="text1"/>
          <w:szCs w:val="21"/>
        </w:rPr>
        <w:t>个月，但因本基金所持证券的流动性受到限制而不能及时变现的，清算期限相应顺延。</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（四）清算费用</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（五）基金财产清算剩余资产的分配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（六）基金财产清算的公告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CC51EF">
        <w:rPr>
          <w:rFonts w:asciiTheme="minorEastAsia" w:eastAsiaTheme="minorEastAsia" w:hAnsiTheme="minorEastAsia"/>
          <w:color w:val="000000" w:themeColor="text1"/>
          <w:szCs w:val="21"/>
        </w:rPr>
        <w:t>5</w:t>
      </w:r>
      <w:r w:rsidRPr="00CC51EF">
        <w:rPr>
          <w:rFonts w:asciiTheme="minorEastAsia" w:eastAsiaTheme="minorEastAsia" w:hAnsiTheme="minorEastAsia" w:hint="eastAsia"/>
          <w:color w:val="000000" w:themeColor="text1"/>
          <w:szCs w:val="21"/>
        </w:rPr>
        <w:t>个工作日内由基金财产清算小组进行公告。</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（七）基金财产清算账册及文件的保存</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基金财产清算账册及有关文件由基金托管人保存</w:t>
      </w:r>
      <w:r w:rsidRPr="00CC51EF">
        <w:rPr>
          <w:rFonts w:asciiTheme="minorEastAsia" w:eastAsiaTheme="minorEastAsia" w:hAnsiTheme="minorEastAsia"/>
          <w:color w:val="000000" w:themeColor="text1"/>
          <w:szCs w:val="21"/>
        </w:rPr>
        <w:t>15</w:t>
      </w:r>
      <w:r w:rsidRPr="00CC51EF">
        <w:rPr>
          <w:rFonts w:asciiTheme="minorEastAsia" w:eastAsiaTheme="minorEastAsia" w:hAnsiTheme="minorEastAsia" w:hint="eastAsia"/>
          <w:color w:val="000000" w:themeColor="text1"/>
          <w:szCs w:val="21"/>
        </w:rPr>
        <w:t>年以上。</w:t>
      </w:r>
      <w:bookmarkEnd w:id="100"/>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spacing w:line="360" w:lineRule="auto"/>
        <w:ind w:firstLine="420"/>
        <w:rPr>
          <w:rFonts w:asciiTheme="minorEastAsia" w:eastAsiaTheme="minorEastAsia" w:hAnsiTheme="minorEastAsia"/>
          <w:color w:val="000000" w:themeColor="text1"/>
          <w:szCs w:val="21"/>
        </w:rPr>
      </w:pPr>
    </w:p>
    <w:p w:rsidR="001B2ECA" w:rsidRPr="00CC51EF">
      <w:pPr>
        <w:pStyle w:val="11"/>
        <w:spacing w:before="317" w:after="317" w:line="360" w:lineRule="auto"/>
        <w:ind w:firstLine="600"/>
        <w:rPr>
          <w:rFonts w:asciiTheme="minorEastAsia" w:eastAsiaTheme="minorEastAsia" w:hAnsiTheme="minorEastAsia"/>
          <w:color w:val="000000" w:themeColor="text1"/>
          <w:sz w:val="28"/>
          <w:szCs w:val="44"/>
        </w:rPr>
      </w:pPr>
      <w:r w:rsidRPr="00CC51EF">
        <w:rPr>
          <w:rFonts w:asciiTheme="minorEastAsia" w:eastAsiaTheme="minorEastAsia" w:hAnsiTheme="minorEastAsia" w:hint="eastAsia"/>
          <w:color w:val="000000" w:themeColor="text1"/>
          <w:sz w:val="30"/>
        </w:rPr>
        <w:br w:type="column"/>
      </w:r>
      <w:bookmarkStart w:id="101" w:name="_Toc134548089"/>
      <w:r w:rsidRPr="00CC51EF">
        <w:rPr>
          <w:rFonts w:asciiTheme="minorEastAsia" w:eastAsiaTheme="minorEastAsia" w:hAnsiTheme="minorEastAsia" w:hint="eastAsia"/>
          <w:color w:val="000000" w:themeColor="text1"/>
          <w:sz w:val="30"/>
        </w:rPr>
        <w:t>二</w:t>
      </w:r>
      <w:bookmarkStart w:id="102" w:name="_Toc332373588"/>
      <w:r w:rsidRPr="00CC51EF">
        <w:rPr>
          <w:rFonts w:asciiTheme="minorEastAsia" w:eastAsiaTheme="minorEastAsia" w:hAnsiTheme="minorEastAsia" w:hint="eastAsia"/>
          <w:color w:val="000000" w:themeColor="text1"/>
          <w:sz w:val="30"/>
        </w:rPr>
        <w:t>十二、基金合同的内容摘要</w:t>
      </w:r>
      <w:bookmarkEnd w:id="101"/>
    </w:p>
    <w:p w:rsidR="001B2ECA" w:rsidRPr="00CC51EF">
      <w:pPr>
        <w:spacing w:line="360" w:lineRule="auto"/>
        <w:ind w:firstLine="496"/>
        <w:rPr>
          <w:rFonts w:asciiTheme="minorEastAsia" w:eastAsiaTheme="minorEastAsia" w:hAnsiTheme="minorEastAsia" w:cs="宋体"/>
          <w:color w:val="000000" w:themeColor="text1"/>
          <w:szCs w:val="21"/>
        </w:rPr>
      </w:pPr>
      <w:bookmarkStart w:id="103" w:name="_Toc516750717"/>
      <w:bookmarkEnd w:id="102"/>
      <w:r w:rsidRPr="00CC51EF">
        <w:rPr>
          <w:rFonts w:asciiTheme="minorEastAsia" w:eastAsiaTheme="minorEastAsia" w:hAnsiTheme="minorEastAsia" w:cs="宋体" w:hint="eastAsia"/>
          <w:color w:val="000000" w:themeColor="text1"/>
          <w:szCs w:val="21"/>
        </w:rPr>
        <w:t>一、基金份额持有人、基金管理人和基金托管人的权利、义务</w:t>
      </w:r>
      <w:bookmarkEnd w:id="103"/>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（一）基金份额持有人的权利、义务</w:t>
      </w:r>
    </w:p>
    <w:p w:rsidR="001B2ECA" w:rsidRPr="00CC51EF">
      <w:pPr>
        <w:spacing w:line="360" w:lineRule="auto"/>
        <w:ind w:firstLine="420"/>
        <w:rPr>
          <w:rFonts w:asciiTheme="minorEastAsia" w:eastAsiaTheme="minorEastAsia" w:hAnsiTheme="minorEastAsia" w:cs="宋体"/>
          <w:color w:val="000000" w:themeColor="text1"/>
          <w:szCs w:val="21"/>
        </w:rPr>
      </w:pPr>
      <w:bookmarkStart w:id="104" w:name="_Hlt88825574"/>
      <w:bookmarkEnd w:id="104"/>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、根据《基金法》、《运作办法》及其他有关规定，基金份额持有人的权利包括但不限于：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）分享基金财产收益；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）参与分配清算后的剩余基金财产；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）依法转让或者申请赎回其持有的基金份额；</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）按照规定要求召开基金份额持有人大会或者召集基金份额持有人大会；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）出席或者委派代表出席基金份额持有人大会，对基金份额持有人大会审议事项行使表决权；</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）查阅或者复制公开披露的基金信息资料；</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）监督基金管理人的投资运作；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）对基金管理人、基金托管人、基金服务机构损害其合法权益的行为依法提起诉讼或仲裁；</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）法律法规及中国证监会规定的和《基金合同》约定的其他权利。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、根据《基金法》、《运作办法》及其他有关规定，基金份额持有人的义务包括但不限于：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）认真阅读并遵守《基金合同</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、招募说明书等信息披露文件</w:t>
      </w:r>
      <w:r w:rsidRPr="00CC51EF">
        <w:rPr>
          <w:rFonts w:asciiTheme="minorEastAsia" w:eastAsiaTheme="minorEastAsia" w:hAnsiTheme="minorEastAsia" w:cs="宋体"/>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）了解所投资基金产品，了解自身风险承受能力，自主判断基金的投资价值，自主做出投资决策，自行承担投资风险；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）关注基金信息披露，及时行使权利和履行义务；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）交纳基金认购、申购款项及法律法规和《基金合同》所规定的费用；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）在其持有的基金份额范围内，承担基金亏损或者《基金合同》终止的有限责任；</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）不从事任何有损基金及其他《基金合同》当事人合法权益的活动；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）执行生效的基金份额持有人大会的决定；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）返还在基金交易过程中因任何原因获得的不当得利；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）法律法规及中国证监会规定的和《基金合同》约定的其他义务。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（二）基金管理人的权利与义务</w:t>
      </w:r>
    </w:p>
    <w:p w:rsidR="001B2ECA" w:rsidRPr="00CC51EF">
      <w:pPr>
        <w:spacing w:line="360" w:lineRule="auto"/>
        <w:ind w:firstLine="420"/>
        <w:rPr>
          <w:rFonts w:asciiTheme="minorEastAsia" w:eastAsiaTheme="minorEastAsia" w:hAnsiTheme="minorEastAsia" w:cs="宋体"/>
          <w:color w:val="000000" w:themeColor="text1"/>
          <w:szCs w:val="21"/>
        </w:rPr>
      </w:pPr>
      <w:bookmarkStart w:id="105" w:name="_Hlt88897298"/>
      <w:bookmarkEnd w:id="105"/>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、根据《基金法》、《运作办法》及其他有关规定，基金管理人的权利包括但不限于：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）依法募集资金；</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）自《基金合同》生效之日起，根据法律法规和《基金合同》独立运用并管理基金财产；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）依照《基金合同》收取基金管理费以及法律法规规定或中国证监会批准的其他费用；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）销售基金份额；</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）按照规定召集基金份额持有人大会；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）在基金托管人更换时，提名新的基金托管人；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）选择、更换基金销售机构，对基金销售机构的相关行为进行监督和处理；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）担任或委托其他符合条件的机构担任基金登记机构办理基金登记业务并获得《基金合同》规定的费用；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）依据《基金合同》及有关法律规定决定基金收益的分配方案；</w:t>
      </w:r>
      <w:r w:rsidRPr="00CC51EF">
        <w:rPr>
          <w:rFonts w:asciiTheme="minorEastAsia" w:eastAsiaTheme="minorEastAsia" w:hAnsiTheme="minorEastAsia" w:cs="宋体"/>
          <w:color w:val="000000" w:themeColor="text1"/>
          <w:szCs w:val="21"/>
        </w:rPr>
        <w:tab/>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11</w:t>
      </w:r>
      <w:r w:rsidRPr="00CC51EF">
        <w:rPr>
          <w:rFonts w:asciiTheme="minorEastAsia" w:eastAsiaTheme="minorEastAsia" w:hAnsiTheme="minorEastAsia" w:cs="宋体" w:hint="eastAsia"/>
          <w:color w:val="000000" w:themeColor="text1"/>
          <w:szCs w:val="21"/>
        </w:rPr>
        <w:t>）在《基金合同》约定的范围内，拒绝或暂停受理申购、赎回及转换申请；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12</w:t>
      </w:r>
      <w:r w:rsidRPr="00CC51EF">
        <w:rPr>
          <w:rFonts w:asciiTheme="minorEastAsia" w:eastAsiaTheme="minorEastAsia" w:hAnsiTheme="minorEastAsia" w:cs="宋体" w:hint="eastAsia"/>
          <w:color w:val="000000" w:themeColor="text1"/>
          <w:szCs w:val="21"/>
        </w:rPr>
        <w:t>）依照法律法规为基金的利益对被投资公司行使股东权利，为基金的利益行使因基金财产投资于证券所产生的权利；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）在法律法规允许的前提下，为基金的利益依法为基金进行融资；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14</w:t>
      </w:r>
      <w:r w:rsidRPr="00CC51EF">
        <w:rPr>
          <w:rFonts w:asciiTheme="minorEastAsia" w:eastAsiaTheme="minorEastAsia" w:hAnsiTheme="minorEastAsia" w:cs="宋体" w:hint="eastAsia"/>
          <w:color w:val="000000" w:themeColor="text1"/>
          <w:szCs w:val="21"/>
        </w:rPr>
        <w:t>）以基金管理人的名义，代表基金份额持有人的利益行使诉讼权利或者实施其他法律行为；</w:t>
      </w:r>
      <w:r w:rsidRPr="00CC51EF">
        <w:rPr>
          <w:rFonts w:asciiTheme="minorEastAsia" w:eastAsiaTheme="minorEastAsia" w:hAnsiTheme="minorEastAsia" w:cs="宋体"/>
          <w:color w:val="000000" w:themeColor="text1"/>
          <w:szCs w:val="21"/>
        </w:rPr>
        <w:tab/>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）选择、更换律师事务所、会计师事务所、证券经纪商或其他为基金提供服务的外部机构；</w:t>
      </w:r>
      <w:r w:rsidRPr="00CC51EF">
        <w:rPr>
          <w:rFonts w:asciiTheme="minorEastAsia" w:eastAsiaTheme="minorEastAsia" w:hAnsiTheme="minorEastAsia" w:cs="宋体"/>
          <w:color w:val="000000" w:themeColor="text1"/>
          <w:szCs w:val="21"/>
        </w:rPr>
        <w:tab/>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16</w:t>
      </w:r>
      <w:r w:rsidRPr="00CC51EF">
        <w:rPr>
          <w:rFonts w:asciiTheme="minorEastAsia" w:eastAsiaTheme="minorEastAsia" w:hAnsiTheme="minorEastAsia" w:cs="宋体" w:hint="eastAsia"/>
          <w:color w:val="000000" w:themeColor="text1"/>
          <w:szCs w:val="21"/>
        </w:rPr>
        <w:t>）在符合有关法律、法规的前提下，制订和调整有关基金认购、申购、赎回、转换、非交易过户、转托管和收益分配等的业务规则；</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）在不违反法律法规和监管规定且对基金份额持有人利益无实质不利影响的前提下，为支付本基金应付的赎回、交易清算等款项，基金管理人有权代表基金份额持有人以基金资产作为质押进行融资；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18</w:t>
      </w:r>
      <w:r w:rsidRPr="00CC51EF">
        <w:rPr>
          <w:rFonts w:asciiTheme="minorEastAsia" w:eastAsiaTheme="minorEastAsia" w:hAnsiTheme="minorEastAsia" w:cs="宋体" w:hint="eastAsia"/>
          <w:color w:val="000000" w:themeColor="text1"/>
          <w:szCs w:val="21"/>
        </w:rPr>
        <w:t>）法律法规及中国证监会规定的和《基金合同》约定的其他权利。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、根据《基金法》、《运作办法》及其他有关规定，基金管理人的义务包括但不限于：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）依法募集资金，办理或者委托经中国证监会认定的其他机构办理基金份额的发售、申购、赎回和登记事宜；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）办理基金备案手续；</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）自《基金合同》生效之日起，以诚实信用、谨慎勤勉的原则管理和运用基金财产；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）配备足够的具有专业资格的人员进行基金投资分析、决策，以专业化的经营方式管理和运作基金财产；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）建立健全内部风险控制、监察与稽核、财务管理及人事管理等制度，保证所管理的基金财产和基金管理人的财产相互独立，对所管理的不同基金分别管理，分别记账，进行证券投资；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）除依据《基金法》、《基金合同》及其他有关规定外，不得利用基金财产为自己及任何第三人谋取利益，不得委托第三人运作基金财产；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）依法接受基金托管人的监督；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）采取适当合理的措施使计算基金份额认购、申购、赎回和</w:t>
      </w:r>
      <w:r w:rsidRPr="00CC51EF">
        <w:rPr>
          <w:rFonts w:asciiTheme="minorEastAsia" w:eastAsiaTheme="minorEastAsia" w:hAnsiTheme="minorEastAsia" w:cs="宋体"/>
          <w:color w:val="000000" w:themeColor="text1"/>
          <w:szCs w:val="21"/>
        </w:rPr>
        <w:t>注销</w:t>
      </w:r>
      <w:r w:rsidRPr="00CC51EF">
        <w:rPr>
          <w:rFonts w:asciiTheme="minorEastAsia" w:eastAsiaTheme="minorEastAsia" w:hAnsiTheme="minorEastAsia" w:cs="宋体" w:hint="eastAsia"/>
          <w:color w:val="000000" w:themeColor="text1"/>
          <w:szCs w:val="21"/>
        </w:rPr>
        <w:t>价格的方法符合《基金合同》等法律文件的规定，按有关规定计算并公告基金净值信息，确定基金份额申购、赎回的价格；</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）进行基金会计核算并编制基金财务会计报告；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）编制季度报告、中期</w:t>
      </w:r>
      <w:r w:rsidRPr="00CC51EF">
        <w:rPr>
          <w:rFonts w:asciiTheme="minorEastAsia" w:eastAsiaTheme="minorEastAsia" w:hAnsiTheme="minorEastAsia" w:cs="宋体"/>
          <w:color w:val="000000" w:themeColor="text1"/>
          <w:szCs w:val="21"/>
        </w:rPr>
        <w:t>报告</w:t>
      </w:r>
      <w:r w:rsidRPr="00CC51EF">
        <w:rPr>
          <w:rFonts w:asciiTheme="minorEastAsia" w:eastAsiaTheme="minorEastAsia" w:hAnsiTheme="minorEastAsia" w:cs="宋体" w:hint="eastAsia"/>
          <w:color w:val="000000" w:themeColor="text1"/>
          <w:szCs w:val="21"/>
        </w:rPr>
        <w:t>和年度报告；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11</w:t>
      </w:r>
      <w:r w:rsidRPr="00CC51EF">
        <w:rPr>
          <w:rFonts w:asciiTheme="minorEastAsia" w:eastAsiaTheme="minorEastAsia" w:hAnsiTheme="minorEastAsia" w:cs="宋体" w:hint="eastAsia"/>
          <w:color w:val="000000" w:themeColor="text1"/>
          <w:szCs w:val="21"/>
        </w:rPr>
        <w:t>）严格按照《基金法》、《基金合同》及其他有关规定，履行信息披露及报告义务；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12</w:t>
      </w:r>
      <w:r w:rsidRPr="00CC51EF">
        <w:rPr>
          <w:rFonts w:asciiTheme="minorEastAsia" w:eastAsiaTheme="minorEastAsia" w:hAnsiTheme="minorEastAsia" w:cs="宋体" w:hint="eastAsia"/>
          <w:color w:val="000000" w:themeColor="text1"/>
          <w:szCs w:val="21"/>
        </w:rPr>
        <w:t>）保守基金商业秘密，不泄露基金投资计划、投资意向等。除《基金法》、《基金合同》及其他有关规定另有规定外，在基金信息公开披露前应予保密，不向他人泄露；</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13</w:t>
      </w:r>
      <w:r w:rsidRPr="00CC51EF">
        <w:rPr>
          <w:rFonts w:asciiTheme="minorEastAsia" w:eastAsiaTheme="minorEastAsia" w:hAnsiTheme="minorEastAsia" w:cs="宋体" w:hint="eastAsia"/>
          <w:color w:val="000000" w:themeColor="text1"/>
          <w:szCs w:val="21"/>
        </w:rPr>
        <w:t>）按《基金合同》的约定确定基金收益分配方案，及时向基金份额持有人分配基</w:t>
      </w:r>
      <w:r w:rsidRPr="00CC51EF">
        <w:rPr>
          <w:rFonts w:asciiTheme="minorEastAsia" w:eastAsiaTheme="minorEastAsia" w:hAnsiTheme="minorEastAsia" w:cs="宋体" w:hint="eastAsia"/>
          <w:color w:val="000000" w:themeColor="text1"/>
          <w:szCs w:val="21"/>
        </w:rPr>
        <w:t>金收益；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14</w:t>
      </w:r>
      <w:r w:rsidRPr="00CC51EF">
        <w:rPr>
          <w:rFonts w:asciiTheme="minorEastAsia" w:eastAsiaTheme="minorEastAsia" w:hAnsiTheme="minorEastAsia" w:cs="宋体" w:hint="eastAsia"/>
          <w:color w:val="000000" w:themeColor="text1"/>
          <w:szCs w:val="21"/>
        </w:rPr>
        <w:t>）按规定受理申购与赎回申请，及时、足额支付赎回款项；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）依据《基金法》、《基金合同》及其他有关规定召集基金份额持有人大会或配合基金托管人、基金份额持有人依法召集基金份额持有人大会；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16</w:t>
      </w:r>
      <w:r w:rsidRPr="00CC51EF">
        <w:rPr>
          <w:rFonts w:asciiTheme="minorEastAsia" w:eastAsiaTheme="minorEastAsia" w:hAnsiTheme="minorEastAsia" w:cs="宋体" w:hint="eastAsia"/>
          <w:color w:val="000000" w:themeColor="text1"/>
          <w:szCs w:val="21"/>
        </w:rPr>
        <w:t>）按规定保存基金财产管理业务活动的会计账册、报表、记录和其他相关资料</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年以上；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17</w:t>
      </w:r>
      <w:r w:rsidRPr="00CC51EF">
        <w:rPr>
          <w:rFonts w:asciiTheme="minorEastAsia" w:eastAsiaTheme="minorEastAsia" w:hAnsiTheme="minorEastAsia" w:cs="宋体" w:hint="eastAsia"/>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18</w:t>
      </w:r>
      <w:r w:rsidRPr="00CC51EF">
        <w:rPr>
          <w:rFonts w:asciiTheme="minorEastAsia" w:eastAsiaTheme="minorEastAsia" w:hAnsiTheme="minorEastAsia" w:cs="宋体" w:hint="eastAsia"/>
          <w:color w:val="000000" w:themeColor="text1"/>
          <w:szCs w:val="21"/>
        </w:rPr>
        <w:t>）组织并参加基金财产清算小组，参与基金财产的保管、清理、估价、变现和分配；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19</w:t>
      </w:r>
      <w:r w:rsidRPr="00CC51EF">
        <w:rPr>
          <w:rFonts w:asciiTheme="minorEastAsia" w:eastAsiaTheme="minorEastAsia" w:hAnsiTheme="minorEastAsia" w:cs="宋体" w:hint="eastAsia"/>
          <w:color w:val="000000" w:themeColor="text1"/>
          <w:szCs w:val="21"/>
        </w:rPr>
        <w:t>）面临解散、依法被撤销或者被依法宣告破产时，及时报告中国证监会并通知基金托管人；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20</w:t>
      </w:r>
      <w:r w:rsidRPr="00CC51EF">
        <w:rPr>
          <w:rFonts w:asciiTheme="minorEastAsia" w:eastAsiaTheme="minorEastAsia" w:hAnsiTheme="minorEastAsia" w:cs="宋体" w:hint="eastAsia"/>
          <w:color w:val="000000" w:themeColor="text1"/>
          <w:szCs w:val="21"/>
        </w:rPr>
        <w:t>）因违反《基金合同》导致基金财产的损失或损害基金份额持有人合法权益时，应当承担赔偿责任，其赔偿责任不因其退任而免除；</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21</w:t>
      </w:r>
      <w:r w:rsidRPr="00CC51EF">
        <w:rPr>
          <w:rFonts w:asciiTheme="minorEastAsia" w:eastAsiaTheme="minorEastAsia" w:hAnsiTheme="minorEastAsia" w:cs="宋体" w:hint="eastAsia"/>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22</w:t>
      </w:r>
      <w:r w:rsidRPr="00CC51EF">
        <w:rPr>
          <w:rFonts w:asciiTheme="minorEastAsia" w:eastAsiaTheme="minorEastAsia" w:hAnsiTheme="minorEastAsia" w:cs="宋体" w:hint="eastAsia"/>
          <w:color w:val="000000" w:themeColor="text1"/>
          <w:szCs w:val="21"/>
        </w:rPr>
        <w:t>）当基金管理人将其义务委托第三方处理时，应当对第三方处理有关基金事务的行为承担责任；</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23</w:t>
      </w:r>
      <w:r w:rsidRPr="00CC51EF">
        <w:rPr>
          <w:rFonts w:asciiTheme="minorEastAsia" w:eastAsiaTheme="minorEastAsia" w:hAnsiTheme="minorEastAsia" w:cs="宋体" w:hint="eastAsia"/>
          <w:color w:val="000000" w:themeColor="text1"/>
          <w:szCs w:val="21"/>
        </w:rPr>
        <w:t>）以基金管理人名义，代表基金份额持有人利益行使诉讼权利或实施其他法律行为；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24</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基金管理人在募集期间未能达到基金的备案条件，《基金合同》不能生效，基金管理人承担全部募集费用，将已募集资金并加计银行同期</w:t>
      </w:r>
      <w:r w:rsidRPr="00CC51EF">
        <w:rPr>
          <w:rFonts w:asciiTheme="minorEastAsia" w:eastAsiaTheme="minorEastAsia" w:hAnsiTheme="minorEastAsia" w:cs="宋体" w:hint="eastAsia"/>
          <w:color w:val="000000" w:themeColor="text1"/>
          <w:szCs w:val="21"/>
        </w:rPr>
        <w:t>活期</w:t>
      </w:r>
      <w:r w:rsidRPr="00CC51EF">
        <w:rPr>
          <w:rFonts w:asciiTheme="minorEastAsia" w:eastAsiaTheme="minorEastAsia" w:hAnsiTheme="minorEastAsia" w:cs="宋体"/>
          <w:color w:val="000000" w:themeColor="text1"/>
          <w:szCs w:val="21"/>
        </w:rPr>
        <w:t>存款利息在基金募集期结束后</w:t>
      </w:r>
      <w:r w:rsidRPr="00CC51EF">
        <w:rPr>
          <w:rFonts w:asciiTheme="minorEastAsia" w:eastAsiaTheme="minorEastAsia" w:hAnsiTheme="minorEastAsia" w:cs="宋体" w:hint="eastAsia"/>
          <w:color w:val="000000" w:themeColor="text1"/>
          <w:szCs w:val="21"/>
        </w:rPr>
        <w:t>30</w:t>
      </w:r>
      <w:r w:rsidRPr="00CC51EF">
        <w:rPr>
          <w:rFonts w:asciiTheme="minorEastAsia" w:eastAsiaTheme="minorEastAsia" w:hAnsiTheme="minorEastAsia" w:cs="宋体"/>
          <w:color w:val="000000" w:themeColor="text1"/>
          <w:szCs w:val="21"/>
        </w:rPr>
        <w:t>日内退还基金认购人；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（25）</w:t>
      </w:r>
      <w:r w:rsidRPr="00CC51EF">
        <w:rPr>
          <w:rFonts w:asciiTheme="minorEastAsia" w:eastAsiaTheme="minorEastAsia" w:hAnsiTheme="minorEastAsia" w:cs="宋体" w:hint="eastAsia"/>
          <w:color w:val="000000" w:themeColor="text1"/>
          <w:szCs w:val="21"/>
        </w:rPr>
        <w:t>执行生效的基金份额持有人大会的决议；</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26</w:t>
      </w:r>
      <w:r w:rsidRPr="00CC51EF">
        <w:rPr>
          <w:rFonts w:asciiTheme="minorEastAsia" w:eastAsiaTheme="minorEastAsia" w:hAnsiTheme="minorEastAsia" w:cs="宋体" w:hint="eastAsia"/>
          <w:color w:val="000000" w:themeColor="text1"/>
          <w:szCs w:val="21"/>
        </w:rPr>
        <w:t>）建立并保存基金份额持有人名册；</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）法律法规及中国证监会规定的和《基金合同》约定的其他义务。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（三）基金托管人的权利与义务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、根据《基金法》、《运作办法》及其他有关规定，基金托管人的权利包括但不限于：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）自《基金合同》生效之日起，依法律法规和《基金合同》的规定安全保管基金财产；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）依《基金合同》约定获得基金托管费以及法律法规规定或监管部门批准的其他费用；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根据相关市场规则，为基金开设证券</w:t>
      </w:r>
      <w:r w:rsidRPr="00CC51EF">
        <w:rPr>
          <w:rFonts w:asciiTheme="minorEastAsia" w:eastAsiaTheme="minorEastAsia" w:hAnsiTheme="minorEastAsia" w:cs="宋体" w:hint="eastAsia"/>
          <w:color w:val="000000" w:themeColor="text1"/>
          <w:szCs w:val="21"/>
        </w:rPr>
        <w:t>账户等投资所需账户</w:t>
      </w:r>
      <w:r w:rsidRPr="00CC51EF">
        <w:rPr>
          <w:rFonts w:asciiTheme="minorEastAsia" w:eastAsiaTheme="minorEastAsia" w:hAnsiTheme="minorEastAsia" w:cs="宋体"/>
          <w:color w:val="000000" w:themeColor="text1"/>
          <w:szCs w:val="21"/>
        </w:rPr>
        <w:t>、为基金办理证券交易资金清算</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）提议召开或召集基金份额持有人大会；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（6）在基金管理人更换时，提名新的基金管理人；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）法律法规及中国证监会规定的和《基金合同》约定的其他权利。</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、根据《基金法》、《运作办法》及其他有关规定，基金托管人的义务包括但不限于：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）以诚实信用、勤勉尽责的原则持有并安全保管基金财产；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）设立专门的基金托管部门，具有符合要求的营业场所，配备足够的、合格的熟悉基金托管业务的专职人员，负责基金财产托管事宜；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）除依据《基金法》、《基金合同》及其他有关规定外，不得利用基金财产为自己及任何第三人谋取利益，不得委托第三人托管基金财产；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）保管由基金管理人代表基金签订的与基金有关的重大合同及有关凭证；</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）按规定开设基金财产的资金账户和证券账户等投资所需账户，按照《基金合同》的约定，根据基金管理人的投资指令，及时办理清算、交割事宜；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）保守基金商业秘密，除《基金法》、《基金合同》及其他有关规定另有规定外，</w:t>
      </w:r>
      <w:r w:rsidRPr="00CC51EF">
        <w:rPr>
          <w:rFonts w:asciiTheme="minorEastAsia" w:eastAsiaTheme="minorEastAsia" w:hAnsiTheme="minorEastAsia" w:cs="宋体" w:hint="eastAsia"/>
          <w:color w:val="000000" w:themeColor="text1"/>
          <w:szCs w:val="21"/>
        </w:rPr>
        <w:t>在基金信息公开披露前予以保密，不得向他人泄露，但向监管机构、司法机关等有权机关的要求，或因审计、法律等外部专业顾问提供服务需要提供的情况除外；</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）复核、审查基金管理人计算的基金资产净值、基金份额净值、基金份额申购、赎回价格；</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）办理与基金托管业务活动有关的信息披露事项；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11</w:t>
      </w:r>
      <w:r w:rsidRPr="00CC51EF">
        <w:rPr>
          <w:rFonts w:asciiTheme="minorEastAsia" w:eastAsiaTheme="minorEastAsia" w:hAnsiTheme="minorEastAsia" w:cs="宋体" w:hint="eastAsia"/>
          <w:color w:val="000000" w:themeColor="text1"/>
          <w:szCs w:val="21"/>
        </w:rPr>
        <w:t>）保存基金托管业务活动的记录、账册、报表和其他相关资料</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年以上；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12</w:t>
      </w:r>
      <w:r w:rsidRPr="00CC51EF">
        <w:rPr>
          <w:rFonts w:asciiTheme="minorEastAsia" w:eastAsiaTheme="minorEastAsia" w:hAnsiTheme="minorEastAsia" w:cs="宋体" w:hint="eastAsia"/>
          <w:color w:val="000000" w:themeColor="text1"/>
          <w:szCs w:val="21"/>
        </w:rPr>
        <w:t>）从基金管理人或其委托的登记机构处接收并保存</w:t>
      </w:r>
      <w:r w:rsidRPr="00CC51EF">
        <w:rPr>
          <w:rFonts w:asciiTheme="minorEastAsia" w:eastAsiaTheme="minorEastAsia" w:hAnsiTheme="minorEastAsia" w:cs="宋体"/>
          <w:color w:val="000000" w:themeColor="text1"/>
          <w:szCs w:val="21"/>
        </w:rPr>
        <w:t>基金份额持有人名册</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13</w:t>
      </w:r>
      <w:r w:rsidRPr="00CC51EF">
        <w:rPr>
          <w:rFonts w:asciiTheme="minorEastAsia" w:eastAsiaTheme="minorEastAsia" w:hAnsiTheme="minorEastAsia" w:cs="宋体" w:hint="eastAsia"/>
          <w:color w:val="000000" w:themeColor="text1"/>
          <w:szCs w:val="21"/>
        </w:rPr>
        <w:t>）按规定制作相关账册并与基金管理人核对；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14</w:t>
      </w:r>
      <w:r w:rsidRPr="00CC51EF">
        <w:rPr>
          <w:rFonts w:asciiTheme="minorEastAsia" w:eastAsiaTheme="minorEastAsia" w:hAnsiTheme="minorEastAsia" w:cs="宋体" w:hint="eastAsia"/>
          <w:color w:val="000000" w:themeColor="text1"/>
          <w:szCs w:val="21"/>
        </w:rPr>
        <w:t>）依据基金管理人的指令或有关规定向基金份额持有人支付基金收益和赎回款项；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）依据《基金法》、《基金合同》及其他有关规定，召集基金份额持有人大会或配合基金管理人、基金份额持有人依法召集基金份额持有人大会；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16</w:t>
      </w:r>
      <w:r w:rsidRPr="00CC51EF">
        <w:rPr>
          <w:rFonts w:asciiTheme="minorEastAsia" w:eastAsiaTheme="minorEastAsia" w:hAnsiTheme="minorEastAsia" w:cs="宋体" w:hint="eastAsia"/>
          <w:color w:val="000000" w:themeColor="text1"/>
          <w:szCs w:val="21"/>
        </w:rPr>
        <w:t>）按照法律法规和《基金合同》的规定监督基金管理人的投资运作；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17</w:t>
      </w:r>
      <w:r w:rsidRPr="00CC51EF">
        <w:rPr>
          <w:rFonts w:asciiTheme="minorEastAsia" w:eastAsiaTheme="minorEastAsia" w:hAnsiTheme="minorEastAsia" w:cs="宋体" w:hint="eastAsia"/>
          <w:color w:val="000000" w:themeColor="text1"/>
          <w:szCs w:val="21"/>
        </w:rPr>
        <w:t>）参加基金财产清算小组，参与基金财产的保管、清理、估价、变现和分配；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18</w:t>
      </w:r>
      <w:r w:rsidRPr="00CC51EF">
        <w:rPr>
          <w:rFonts w:asciiTheme="minorEastAsia" w:eastAsiaTheme="minorEastAsia" w:hAnsiTheme="minorEastAsia" w:cs="宋体" w:hint="eastAsia"/>
          <w:color w:val="000000" w:themeColor="text1"/>
          <w:szCs w:val="21"/>
        </w:rPr>
        <w:t>）面临解散、依法被撤销或者被依法宣告破产时，及时报告中国证监会和银行监管机构，并通知基金管理人；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19</w:t>
      </w:r>
      <w:r w:rsidRPr="00CC51EF">
        <w:rPr>
          <w:rFonts w:asciiTheme="minorEastAsia" w:eastAsiaTheme="minorEastAsia" w:hAnsiTheme="minorEastAsia" w:cs="宋体" w:hint="eastAsia"/>
          <w:color w:val="000000" w:themeColor="text1"/>
          <w:szCs w:val="21"/>
        </w:rPr>
        <w:t>）因违反《基金合同》导致基金财产损失时，</w:t>
      </w:r>
      <w:r w:rsidRPr="00CC51EF">
        <w:rPr>
          <w:rFonts w:asciiTheme="minorEastAsia" w:eastAsiaTheme="minorEastAsia" w:hAnsiTheme="minorEastAsia" w:cs="宋体"/>
          <w:color w:val="000000" w:themeColor="text1"/>
          <w:szCs w:val="21"/>
        </w:rPr>
        <w:t>应承担赔偿责任</w:t>
      </w:r>
      <w:r w:rsidRPr="00CC51EF">
        <w:rPr>
          <w:rFonts w:asciiTheme="minorEastAsia" w:eastAsiaTheme="minorEastAsia" w:hAnsiTheme="minorEastAsia" w:cs="宋体" w:hint="eastAsia"/>
          <w:color w:val="000000" w:themeColor="text1"/>
          <w:szCs w:val="21"/>
        </w:rPr>
        <w:t>，其赔偿责任不因其退任而免除；</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20</w:t>
      </w:r>
      <w:r w:rsidRPr="00CC51EF">
        <w:rPr>
          <w:rFonts w:asciiTheme="minorEastAsia" w:eastAsiaTheme="minorEastAsia" w:hAnsiTheme="minorEastAsia" w:cs="宋体" w:hint="eastAsia"/>
          <w:color w:val="000000" w:themeColor="text1"/>
          <w:szCs w:val="21"/>
        </w:rPr>
        <w:t>）按规定监督基金管理人按法律法规和《基金合同》规定履行自己的义务，基金管理人因违反《基金合同》造成基金财产损失时，应为基金份额持有人利益向基金管理人追偿；</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21</w:t>
      </w:r>
      <w:r w:rsidRPr="00CC51EF">
        <w:rPr>
          <w:rFonts w:asciiTheme="minorEastAsia" w:eastAsiaTheme="minorEastAsia" w:hAnsiTheme="minorEastAsia" w:cs="宋体" w:hint="eastAsia"/>
          <w:color w:val="000000" w:themeColor="text1"/>
          <w:szCs w:val="21"/>
        </w:rPr>
        <w:t>）执行生效的基金份额持有人大会的决定；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（22）法律法规及中国证监会规定的和《基金合同》约定的其他义务。</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bookmarkStart w:id="106" w:name="_Toc516750718"/>
      <w:r w:rsidRPr="00CC51EF">
        <w:rPr>
          <w:rFonts w:asciiTheme="minorEastAsia" w:eastAsiaTheme="minorEastAsia" w:hAnsiTheme="minorEastAsia" w:cs="宋体" w:hint="eastAsia"/>
          <w:color w:val="000000" w:themeColor="text1"/>
          <w:szCs w:val="21"/>
        </w:rPr>
        <w:t>二、基金份额持有人大会召集、议事及表决的程序和规则</w:t>
      </w:r>
      <w:bookmarkEnd w:id="106"/>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基金份额持有人大会由基金份额持有人组成，基金份额持有人的合法授权代表有权代</w:t>
      </w:r>
      <w:r w:rsidRPr="00CC51EF">
        <w:rPr>
          <w:rFonts w:asciiTheme="minorEastAsia" w:eastAsiaTheme="minorEastAsia" w:hAnsiTheme="minorEastAsia" w:cs="宋体" w:hint="eastAsia"/>
          <w:color w:val="000000" w:themeColor="text1"/>
          <w:szCs w:val="21"/>
        </w:rPr>
        <w:t>表基金份额持有人出席会议并表决。基金份额持有人持有的每一基金份额拥有平等的投票权。</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本基金份额持有人大会不设日常机构。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（一）召开事由</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、除法律法规、中国证监会和基金合同另有规定外，当出现或需要决定下列事由之一的，应当召开基金份额持有人大会：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）终止《基金合同》；</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）更换基金管理人；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）更换基金托管人；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）转换基金运作方式；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）调整</w:t>
      </w:r>
      <w:r w:rsidRPr="00CC51EF">
        <w:rPr>
          <w:rFonts w:asciiTheme="minorEastAsia" w:eastAsiaTheme="minorEastAsia" w:hAnsiTheme="minorEastAsia" w:cs="宋体"/>
          <w:color w:val="000000" w:themeColor="text1"/>
          <w:szCs w:val="21"/>
        </w:rPr>
        <w:t>基金管理人</w:t>
      </w:r>
      <w:r w:rsidRPr="00CC51EF">
        <w:rPr>
          <w:rFonts w:asciiTheme="minorEastAsia" w:eastAsiaTheme="minorEastAsia" w:hAnsiTheme="minorEastAsia" w:cs="宋体" w:hint="eastAsia"/>
          <w:color w:val="000000" w:themeColor="text1"/>
          <w:szCs w:val="21"/>
        </w:rPr>
        <w:t>、基金托管人的报酬标准；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）变更基金类别；</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）本基金与其他基金的合并；</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）变更基金投资目标、范围或策略；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）变更基金份额持有人大会程序；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）基金管理人或基金托管人要求召开基金份额持有人大会；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11</w:t>
      </w:r>
      <w:r w:rsidRPr="00CC51EF">
        <w:rPr>
          <w:rFonts w:asciiTheme="minorEastAsia" w:eastAsiaTheme="minorEastAsia" w:hAnsiTheme="minorEastAsia" w:cs="宋体" w:hint="eastAsia"/>
          <w:color w:val="000000" w:themeColor="text1"/>
          <w:szCs w:val="21"/>
        </w:rPr>
        <w:t>）单独或合计持有本基金总份额</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）基金份额的基金份额持有人（以基金管理人收到提议当日的基金份额计算，下同）就同一事项书面要求召开基金份额持有人大会；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12</w:t>
      </w:r>
      <w:r w:rsidRPr="00CC51EF">
        <w:rPr>
          <w:rFonts w:asciiTheme="minorEastAsia" w:eastAsiaTheme="minorEastAsia" w:hAnsiTheme="minorEastAsia" w:cs="宋体" w:hint="eastAsia"/>
          <w:color w:val="000000" w:themeColor="text1"/>
          <w:szCs w:val="21"/>
        </w:rPr>
        <w:t>）对基金当事人权利和义务产生重大影响的其他事项；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13</w:t>
      </w:r>
      <w:r w:rsidRPr="00CC51EF">
        <w:rPr>
          <w:rFonts w:asciiTheme="minorEastAsia" w:eastAsiaTheme="minorEastAsia" w:hAnsiTheme="minorEastAsia" w:cs="宋体" w:hint="eastAsia"/>
          <w:color w:val="000000" w:themeColor="text1"/>
          <w:szCs w:val="21"/>
        </w:rPr>
        <w:t>）法律法规、《基金合同》或中国证监会规定的其他应当召开基金份额持有人大会的事项。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、在法律法规规定和《基金合同》约定的范围内且对基金份额持有人利益无实质性不利影响的前提下，以下情况可由基金管理人和基金托管人协商后修改，不需召开基金份额持有人大会：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）调低销售服务费率；</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）法律法规要求增加的基金费用的收取；</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）在法律法规和《基金合同》规定的范围内，调整本基金的申购费率、调低赎回费率或调整收费方式、调整基金份额类别设置；</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）因相应的法律法规发生变动而应当对《基金合同》进行修改；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）对《基金合同》的修改</w:t>
      </w:r>
      <w:r w:rsidRPr="00CC51EF">
        <w:rPr>
          <w:rFonts w:asciiTheme="minorEastAsia" w:eastAsiaTheme="minorEastAsia" w:hAnsiTheme="minorEastAsia" w:cs="宋体"/>
          <w:color w:val="000000" w:themeColor="text1"/>
          <w:szCs w:val="21"/>
        </w:rPr>
        <w:t>对基金份额持有人利益无实质性不利影响或修改</w:t>
      </w:r>
      <w:r w:rsidRPr="00CC51EF">
        <w:rPr>
          <w:rFonts w:asciiTheme="minorEastAsia" w:eastAsiaTheme="minorEastAsia" w:hAnsiTheme="minorEastAsia" w:cs="宋体" w:hint="eastAsia"/>
          <w:color w:val="000000" w:themeColor="text1"/>
          <w:szCs w:val="21"/>
        </w:rPr>
        <w:t>不涉及《基金合同》当事人权利义务关系发生重大变化；</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）基金管理人、销售机构、登记机构在法律法规规定的范围内调整有关基金认购、申购、赎回、转换、基金交易、非交易过户、转托管、转让、质押等业务的规则；</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）在法律法规或中国证监会允许的范围内推出新业务或服务；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8</w:t>
      </w:r>
      <w:r w:rsidRPr="00CC51EF">
        <w:rPr>
          <w:rFonts w:asciiTheme="minorEastAsia" w:eastAsiaTheme="minorEastAsia" w:hAnsiTheme="minorEastAsia" w:cs="宋体" w:hint="eastAsia"/>
          <w:color w:val="000000" w:themeColor="text1"/>
          <w:szCs w:val="21"/>
        </w:rPr>
        <w:t>）按照法律法规和《基金合同》规定不需召开基金份额持有人大会的其他情形。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（二）会议召集人及召集方式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、除法律法规规定或《基金合同》另有约定外，基金份额持有人大会由基金管理人召集；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、基金管理人未按规定召集或不能召开时，由基金托管人召集；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、基金托管人认为有必要召开基金份额持有人大会的，应当向基金管理人提出书面提议。基金管理人应当自收到书面提议之日起</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日内决定是否召集，并书面告知基金托管人。基金管理人决定召集的，应当自出具书面决定之日起</w:t>
      </w:r>
      <w:r w:rsidRPr="00CC51EF">
        <w:rPr>
          <w:rFonts w:asciiTheme="minorEastAsia" w:eastAsiaTheme="minorEastAsia" w:hAnsiTheme="minorEastAsia" w:cs="宋体"/>
          <w:color w:val="000000" w:themeColor="text1"/>
          <w:szCs w:val="21"/>
        </w:rPr>
        <w:t>60</w:t>
      </w:r>
      <w:r w:rsidRPr="00CC51EF">
        <w:rPr>
          <w:rFonts w:asciiTheme="minorEastAsia" w:eastAsiaTheme="minorEastAsia" w:hAnsiTheme="minorEastAsia" w:cs="宋体" w:hint="eastAsia"/>
          <w:color w:val="000000" w:themeColor="text1"/>
          <w:szCs w:val="21"/>
        </w:rPr>
        <w:t>日内召开；基金管理人决定不召集，基金托管人仍认为有必要召开的，应当由基金托管人自行召集，并自出具书面决定之日起</w:t>
      </w:r>
      <w:r w:rsidRPr="00CC51EF">
        <w:rPr>
          <w:rFonts w:asciiTheme="minorEastAsia" w:eastAsiaTheme="minorEastAsia" w:hAnsiTheme="minorEastAsia" w:cs="宋体"/>
          <w:color w:val="000000" w:themeColor="text1"/>
          <w:szCs w:val="21"/>
        </w:rPr>
        <w:t>60</w:t>
      </w:r>
      <w:r w:rsidRPr="00CC51EF">
        <w:rPr>
          <w:rFonts w:asciiTheme="minorEastAsia" w:eastAsiaTheme="minorEastAsia" w:hAnsiTheme="minorEastAsia" w:cs="宋体" w:hint="eastAsia"/>
          <w:color w:val="000000" w:themeColor="text1"/>
          <w:szCs w:val="21"/>
        </w:rPr>
        <w:t>日内召开并告知基金管理人，基金管理人应当配合。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代表基金份额10%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）的基金份额持有人就同一事项书面要求召开基金份额持有人大会，应当向基金管理人提出书面提议。基金管理人应当自收到书面提议之日起</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日内决定是否召集，并书面告知提出提议的基金份额持有人代表和基金托管人。基金管理人决定召集的，应当自出具书面决定之日起</w:t>
      </w:r>
      <w:r w:rsidRPr="00CC51EF">
        <w:rPr>
          <w:rFonts w:asciiTheme="minorEastAsia" w:eastAsiaTheme="minorEastAsia" w:hAnsiTheme="minorEastAsia" w:cs="宋体"/>
          <w:color w:val="000000" w:themeColor="text1"/>
          <w:szCs w:val="21"/>
        </w:rPr>
        <w:t>60</w:t>
      </w:r>
      <w:r w:rsidRPr="00CC51EF">
        <w:rPr>
          <w:rFonts w:asciiTheme="minorEastAsia" w:eastAsiaTheme="minorEastAsia" w:hAnsiTheme="minorEastAsia" w:cs="宋体" w:hint="eastAsia"/>
          <w:color w:val="000000" w:themeColor="text1"/>
          <w:szCs w:val="21"/>
        </w:rPr>
        <w:t>日内召开；基金管理人决定不召集，代表基金份额</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）的基金份额持有人仍认为有必要召开的，应当向基金托管人提出书面提议。基金托管人应当自收到书面提议之日起</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日内决定是否召集，并书面告知提出提议的基金份额持有人代表和基金管理人；基金托管人决定召集的，应当自出具书面决定之日起</w:t>
      </w:r>
      <w:r w:rsidRPr="00CC51EF">
        <w:rPr>
          <w:rFonts w:asciiTheme="minorEastAsia" w:eastAsiaTheme="minorEastAsia" w:hAnsiTheme="minorEastAsia" w:cs="宋体"/>
          <w:color w:val="000000" w:themeColor="text1"/>
          <w:szCs w:val="21"/>
        </w:rPr>
        <w:t>60</w:t>
      </w:r>
      <w:r w:rsidRPr="00CC51EF">
        <w:rPr>
          <w:rFonts w:asciiTheme="minorEastAsia" w:eastAsiaTheme="minorEastAsia" w:hAnsiTheme="minorEastAsia" w:cs="宋体" w:hint="eastAsia"/>
          <w:color w:val="000000" w:themeColor="text1"/>
          <w:szCs w:val="21"/>
        </w:rPr>
        <w:t>日内召开并告知基金管理人，基金管理人应当配合。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代表基金</w:t>
      </w:r>
      <w:r w:rsidRPr="00CC51EF">
        <w:rPr>
          <w:rFonts w:asciiTheme="minorEastAsia" w:eastAsiaTheme="minorEastAsia" w:hAnsiTheme="minorEastAsia" w:cs="宋体" w:hint="eastAsia"/>
          <w:color w:val="000000" w:themeColor="text1"/>
          <w:szCs w:val="21"/>
        </w:rPr>
        <w:t>份额</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）的基金份额持有人就同一事项要求召开基金份额持有人大会，而基金管理人、基金托管人都不召集的，单独或合计代表基金份额</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）的基金份额持有人有权自行召集，并至少提前</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日报中国证监会备案。基金份额持有人依法自行召集基金份额持有人大会的，基金管理人、基金托管人应当配合，不得阻碍、干扰。</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、基金份额持有人会议的召集人负责选择确定开会时间、地点、方式和权益登记日。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（三）召开基金份额持有人大会的通知时间、通知内容、通知方式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、召开基金份额持有人大会，召集人应于会议召开前</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日，在规定媒介公告。基金份额持有人大会通知应至少载明以下内容：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）会议召开的时间、地点和会议形式；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）会议拟审议的事项、议事程序和表决方式；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）有权出席基金份额持有人大会的基金份额持有人的权益登记日；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）授权委托证明的内容要求（包括但不限于代理人身份，代理权限和代理有效期限等）、送达时间和地点；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）会务常设联系人姓名及联系电话；</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）出席会议者必须准备的文件和必须履行的手续；</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）召集人需要通知的其他事项。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（四）基金份额持有人出席会议的方式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基金份额持有人大会可通过现场开会方式、通讯开会方式或法律法规、监管</w:t>
      </w:r>
      <w:r w:rsidRPr="00CC51EF">
        <w:rPr>
          <w:rFonts w:asciiTheme="minorEastAsia" w:eastAsiaTheme="minorEastAsia" w:hAnsiTheme="minorEastAsia" w:cs="宋体"/>
          <w:color w:val="000000" w:themeColor="text1"/>
          <w:szCs w:val="21"/>
        </w:rPr>
        <w:t>机构</w:t>
      </w:r>
      <w:r w:rsidRPr="00CC51EF">
        <w:rPr>
          <w:rFonts w:asciiTheme="minorEastAsia" w:eastAsiaTheme="minorEastAsia" w:hAnsiTheme="minorEastAsia" w:cs="宋体" w:hint="eastAsia"/>
          <w:color w:val="000000" w:themeColor="text1"/>
          <w:szCs w:val="21"/>
        </w:rPr>
        <w:t>允许的其他方式召开，会议的召开方式由会议召集人确定。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）亲自出席会议者持有的有关证明文件、受托出席会议者出示的委托人的代理投票授权委托证明及有关证明文件符合法律法规、《基金合同》和会议通知的规定；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）经核对，到会者在权益登记日代表的有效的基金份额不少于本基金在权益登记日基金总份额的</w:t>
      </w:r>
      <w:r w:rsidRPr="00CC51EF">
        <w:rPr>
          <w:rFonts w:asciiTheme="minorEastAsia" w:eastAsiaTheme="minorEastAsia" w:hAnsiTheme="minorEastAsia" w:cs="宋体"/>
          <w:color w:val="000000" w:themeColor="text1"/>
          <w:szCs w:val="21"/>
        </w:rPr>
        <w:t>二分之一（含二分之一）</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在同时符合以下条件时，通讯开会的方式视为有效：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）会议召集人按《基金合同》约定公布会议通知后，在</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个工作日内连续公布相关提示性公告；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sidRPr="00CC51EF">
        <w:rPr>
          <w:rFonts w:asciiTheme="minorEastAsia" w:eastAsiaTheme="minorEastAsia" w:hAnsiTheme="minorEastAsia" w:cs="宋体"/>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）上述第（</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、在不与法律法规冲突的前提下，基金份额持有人大会可通过网络、电话或其他方式</w:t>
      </w:r>
      <w:r w:rsidRPr="00CC51EF">
        <w:rPr>
          <w:rFonts w:asciiTheme="minorEastAsia" w:eastAsiaTheme="minorEastAsia" w:hAnsiTheme="minorEastAsia" w:cs="宋体" w:hint="eastAsia"/>
          <w:color w:val="000000" w:themeColor="text1"/>
          <w:szCs w:val="21"/>
        </w:rPr>
        <w:t>召开，基金份额持有人可以采用书面、网络、电话、短信或其他方式进行表决，具体方式由会议召集人确定并在会议通知中列明。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、基金份额持有人授权他人代为出席会议并表决的，授权方式可以采用书面、网络、电话、短信或其他方式，具体方式由会议召集人确定并在会议通知中列明。</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（五）议事内容与程序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、议事内容及提案权</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基金份额持有人大会的召集人发出召集会议的通知后，对原有提案的修改应当在基金份额持有人大会召开前及时公告。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基金份额持有人大会不得对未事先公告的议事内容进行表决。</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、议事程序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）现场开会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C51EF">
        <w:rPr>
          <w:rFonts w:asciiTheme="minorEastAsia" w:eastAsiaTheme="minorEastAsia" w:hAnsiTheme="minorEastAsia" w:cs="宋体"/>
          <w:color w:val="000000" w:themeColor="text1"/>
          <w:szCs w:val="21"/>
        </w:rPr>
        <w:t>50%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50%</w:t>
      </w:r>
      <w:r w:rsidRPr="00CC51EF">
        <w:rPr>
          <w:rFonts w:asciiTheme="minorEastAsia" w:eastAsiaTheme="minorEastAsia" w:hAnsiTheme="minorEastAsia" w:cs="宋体" w:hint="eastAsia"/>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）通讯开会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在通讯开会的情况下，首先由召集人提前</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日公布提案，在所通知的表决截止日期后</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个工作日内在公证机关监督下由召集人统计全部有效表决，在公证机关监督下形成决议。</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（六）表决</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基金份额持有人所持每份基金份额有一票表决权。</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基金份额持有人大会决议分为一般决议和特别决议：</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、一般决议，一般决议须经参加大会的基金份额持有人或其代理人所持表决权的二分之一以上（含二分之一）通过方为有效；除下列第</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项所规定的须以特别决议通过事项以外的其他事项均以一般决议的方式通过。</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w:t>
      </w:r>
      <w:r w:rsidRPr="00CC51EF">
        <w:rPr>
          <w:rFonts w:asciiTheme="minorEastAsia" w:eastAsiaTheme="minorEastAsia" w:hAnsiTheme="minorEastAsia" w:cs="宋体"/>
          <w:color w:val="000000" w:themeColor="text1"/>
          <w:szCs w:val="21"/>
        </w:rPr>
        <w:t>基金</w:t>
      </w:r>
      <w:r w:rsidRPr="00CC51EF">
        <w:rPr>
          <w:rFonts w:asciiTheme="minorEastAsia" w:eastAsiaTheme="minorEastAsia" w:hAnsiTheme="minorEastAsia" w:cs="宋体" w:hint="eastAsia"/>
          <w:color w:val="000000" w:themeColor="text1"/>
          <w:szCs w:val="21"/>
        </w:rPr>
        <w:t>与其他基金合并以特别决议通过方为有效。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基金份额持有人大会采取记名方式进行投票表决。</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基金份额持有人大会的各项提案或同一项提案内并列的各项议题应当分开审议、逐项表决。</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（七）计票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、现场开会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）监票人应当在基金份额持有人表决后立即进行清点并由大会主持人当场公布计票结果。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）如果会议主持人或基金份额持有人或代理人对于提交的表决结果有怀疑，可以在</w:t>
      </w:r>
      <w:r w:rsidRPr="00CC51EF">
        <w:rPr>
          <w:rFonts w:asciiTheme="minorEastAsia" w:eastAsiaTheme="minorEastAsia" w:hAnsiTheme="minorEastAsia" w:cs="宋体" w:hint="eastAsia"/>
          <w:color w:val="000000" w:themeColor="text1"/>
          <w:szCs w:val="21"/>
        </w:rPr>
        <w:t>宣布表决结果后立即对所投票数要求进行重新清点。监票人应当进行重新清点，重新清点以一次为限。重新清点后，大会主持人应当当场公布重新清点结果。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）计票过程应由公证机关予以公证，基金管理人或基金托管人拒不出席大会的，不影响计票的效力。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、通讯开会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（八）生效与公告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基金份额持有人大会的决议，召集人应当自通过之日起</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日内报中国证监会备案。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基金份额持有人大会的决议自表决通过之日起生效。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基金份额持有人大会决议自生效之日起</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日内在规定媒介上公告。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（九）实施侧袋机制期间基金份额持有人大会的特殊约定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、基金份额持有人行使提议权、召集权、提名权所需单独或合计代表相关基金份额</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、现场开会的到会者在权益登记日代表的基金份额不少于本基金在权益登记日相关基金份额的二分之一（含二分之一）；</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、通讯开会的直接出具书面意见或授权他人代表出具书面意见的基金份额持有人所持有的基金份额不小于在权益登记日相关基金份额的二分之一（含二分之一）；</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、在参与基金份额持有人大会投票的基金份额持有人所持有的基金份额小于在权益登记日相关基金份额的二分之一、召集人在原公告的基金份额持有人大会召开时间的</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个月</w:t>
      </w:r>
      <w:r w:rsidRPr="00CC51EF">
        <w:rPr>
          <w:rFonts w:asciiTheme="minorEastAsia" w:eastAsiaTheme="minorEastAsia" w:hAnsiTheme="minorEastAsia" w:cs="宋体" w:hint="eastAsia"/>
          <w:color w:val="000000" w:themeColor="text1"/>
          <w:szCs w:val="21"/>
        </w:rPr>
        <w:t>以后、</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个月以内就原定审议事项重新召集的基金份额持有人大会应当有代表三分之一以上（含三分之一）相关基金份额的持有人参与或授权他人参与基金份额持有人大会投票；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、现场开会由出席大会的基金份额持有人和代理人所持表决权的</w:t>
      </w:r>
      <w:r w:rsidRPr="00CC51EF">
        <w:rPr>
          <w:rFonts w:asciiTheme="minorEastAsia" w:eastAsiaTheme="minorEastAsia" w:hAnsiTheme="minorEastAsia" w:cs="宋体"/>
          <w:color w:val="000000" w:themeColor="text1"/>
          <w:szCs w:val="21"/>
        </w:rPr>
        <w:t>50%</w:t>
      </w:r>
      <w:r w:rsidRPr="00CC51EF">
        <w:rPr>
          <w:rFonts w:asciiTheme="minorEastAsia" w:eastAsiaTheme="minorEastAsia" w:hAnsiTheme="minorEastAsia" w:cs="宋体" w:hint="eastAsia"/>
          <w:color w:val="000000" w:themeColor="text1"/>
          <w:szCs w:val="21"/>
        </w:rPr>
        <w:t>以上（含</w:t>
      </w:r>
      <w:r w:rsidRPr="00CC51EF">
        <w:rPr>
          <w:rFonts w:asciiTheme="minorEastAsia" w:eastAsiaTheme="minorEastAsia" w:hAnsiTheme="minorEastAsia" w:cs="宋体"/>
          <w:color w:val="000000" w:themeColor="text1"/>
          <w:szCs w:val="21"/>
        </w:rPr>
        <w:t>50%</w:t>
      </w:r>
      <w:r w:rsidRPr="00CC51EF">
        <w:rPr>
          <w:rFonts w:asciiTheme="minorEastAsia" w:eastAsiaTheme="minorEastAsia" w:hAnsiTheme="minorEastAsia" w:cs="宋体" w:hint="eastAsia"/>
          <w:color w:val="000000" w:themeColor="text1"/>
          <w:szCs w:val="21"/>
        </w:rPr>
        <w:t>）选举产生一名基金份额持有人作为该次基金份额持有人大会的主持人；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、一般决议须经参加大会的基金份额持有人或其代理人所持表决权的二分之一以上（含二分之一）通过；</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、特别决议应当经参加大会的基金份额持有人或其代理人所持表决权的三分之二以上（含三分之二）通过。</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同一主侧袋账户内的每份基金份额具有平等的表决权。</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十</w:t>
      </w:r>
      <w:r w:rsidRPr="00CC51EF">
        <w:rPr>
          <w:rFonts w:asciiTheme="minorEastAsia" w:eastAsiaTheme="minorEastAsia" w:hAnsiTheme="minorEastAsia" w:cs="宋体" w:hint="eastAsia"/>
          <w:color w:val="000000" w:themeColor="text1"/>
          <w:szCs w:val="21"/>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bookmarkStart w:id="107" w:name="_Hlt88820702"/>
      <w:bookmarkEnd w:id="107"/>
      <w:r w:rsidRPr="00CC51EF">
        <w:rPr>
          <w:rFonts w:asciiTheme="minorEastAsia" w:eastAsiaTheme="minorEastAsia" w:hAnsiTheme="minorEastAsia" w:cs="宋体" w:hint="eastAsia"/>
          <w:color w:val="000000" w:themeColor="text1"/>
          <w:szCs w:val="21"/>
        </w:rPr>
        <w:t>三、基金合同解除和终止的事由、程序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（一）《基金合同》的终止事由</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有下列情形之一的，经履行相关程序后，《基金合同》应当终止：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、基金份额持有人大会决定终止的；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、基金管理人、基金托管人职责终止，在</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个月内没有新基金管理人、新基金托管人承接的；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3、《基金合同》约定的其他情形；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4、相关法律法规和中国证监会规定的其他情况。</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（二）基金财产的清算</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、基金财产清算小组：自出现《基金合同》终止事由之日起</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个工作日内成立清算小组，基金管理人组织基金财产清算小组并在中国证监会的监督下进行基金清算。</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、基金财产清算小组组成：基金财产清算小组成员由基金管理人、基金托管人、符合《证券法》规定的注册会计师、律师以及中国证监会指定的人员组成。基金财产清算小组可以聘用必要的工作人员。</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、基金财产清算小组职责：基金财产清算小组负责基金财产的保管、清理、估价、变</w:t>
      </w:r>
      <w:r w:rsidRPr="00CC51EF">
        <w:rPr>
          <w:rFonts w:asciiTheme="minorEastAsia" w:eastAsiaTheme="minorEastAsia" w:hAnsiTheme="minorEastAsia" w:cs="宋体" w:hint="eastAsia"/>
          <w:color w:val="000000" w:themeColor="text1"/>
          <w:szCs w:val="21"/>
        </w:rPr>
        <w:t>现和分配。基金财产清算小组可以依法进行必要的民事活动。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、基金财产清算程序：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）《基金合同》终止情形出现时，由基金财产清算小组统一接管基金；</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）对基金财产和债权债务进行清理和确认；</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）对基金财产进行估值和变现；</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）制作清算报告；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）聘请会计师事务所对清算报告进行外部审计，聘请律师事务所对清算报告出具法律意见书；</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6</w:t>
      </w:r>
      <w:r w:rsidRPr="00CC51EF">
        <w:rPr>
          <w:rFonts w:asciiTheme="minorEastAsia" w:eastAsiaTheme="minorEastAsia" w:hAnsiTheme="minorEastAsia" w:cs="宋体" w:hint="eastAsia"/>
          <w:color w:val="000000" w:themeColor="text1"/>
          <w:szCs w:val="21"/>
        </w:rPr>
        <w:t>）将清算报告报中国证监会备案并公告；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7</w:t>
      </w:r>
      <w:r w:rsidRPr="00CC51EF">
        <w:rPr>
          <w:rFonts w:asciiTheme="minorEastAsia" w:eastAsiaTheme="minorEastAsia" w:hAnsiTheme="minorEastAsia" w:cs="宋体" w:hint="eastAsia"/>
          <w:color w:val="000000" w:themeColor="text1"/>
          <w:szCs w:val="21"/>
        </w:rPr>
        <w:t>）对基金剩余财产进行分配。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、基金财产清算的期限为6个月，但因本基金所持证券的流动性受到限制而不能及时变现的，清算期限相应顺延。</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（三）清算费用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清算费用是指基金财产清算小组在进行基金清算过程中发生的所有合理费用，清算费用由基金财产清算小组优先从基金财产中支付。</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（四）基金财产清算剩余资产的分配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（五）基金财产清算的公告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个工作日内由基金财产清算小组进行公告。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（六）基金财产清算账册及文件的保存</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基金财产清算账册及有关文件由基金托管人保存</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年以上。</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bookmarkStart w:id="108" w:name="_Toc516750735"/>
      <w:r w:rsidRPr="00CC51EF">
        <w:rPr>
          <w:rFonts w:asciiTheme="minorEastAsia" w:eastAsiaTheme="minorEastAsia" w:hAnsiTheme="minorEastAsia" w:cs="宋体" w:hint="eastAsia"/>
          <w:color w:val="000000" w:themeColor="text1"/>
          <w:szCs w:val="21"/>
        </w:rPr>
        <w:t>四、争议解决方式</w:t>
      </w:r>
      <w:bookmarkEnd w:id="108"/>
    </w:p>
    <w:p w:rsidR="001B2ECA" w:rsidRPr="00CC51EF">
      <w:pPr>
        <w:spacing w:line="360" w:lineRule="auto"/>
        <w:ind w:firstLine="420"/>
        <w:rPr>
          <w:rFonts w:asciiTheme="minorEastAsia" w:eastAsiaTheme="minorEastAsia" w:hAnsiTheme="minorEastAsia" w:cs="宋体"/>
          <w:b/>
          <w:color w:val="000000" w:themeColor="text1"/>
          <w:szCs w:val="21"/>
        </w:rPr>
      </w:pPr>
      <w:r w:rsidRPr="00CC51EF">
        <w:rPr>
          <w:rFonts w:asciiTheme="minorEastAsia" w:eastAsiaTheme="minorEastAsia" w:hAnsiTheme="minorEastAsia" w:cs="宋体" w:hint="eastAsia"/>
          <w:b/>
          <w:color w:val="000000" w:themeColor="text1"/>
          <w:szCs w:val="21"/>
        </w:rPr>
        <w:t>各方当事人同意，因《基金合同》而产生的或与《基金合同》有关的一切争议，基金</w:t>
      </w:r>
      <w:r w:rsidRPr="00CC51EF">
        <w:rPr>
          <w:rFonts w:asciiTheme="minorEastAsia" w:eastAsiaTheme="minorEastAsia" w:hAnsiTheme="minorEastAsia" w:cs="宋体" w:hint="eastAsia"/>
          <w:b/>
          <w:color w:val="000000" w:themeColor="text1"/>
          <w:szCs w:val="21"/>
        </w:rPr>
        <w:t>合同当事人应尽量通过协商、调解途径解决，如经友好协商未能解决的，任何一方均有权将争议提交中国国际经济贸易仲裁委员会，按照该会届时有效的仲裁规则进行仲裁。仲裁地点为北京市。仲裁裁决是终局的，对当事人均有约束力。除非仲裁裁决另有决定，仲裁费用由败诉方承担。</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争议处理期间，基金合同当事人应恪守各自的职责，继续忠实、勤勉、尽责地履行基金合同规定的义务，维护基金份额持有人的合法权益。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《基金合同》受中国法律管辖（为本协议之目的，不包括香港特别行政区、澳门特别行政区和台湾地区法律）。</w:t>
      </w:r>
    </w:p>
    <w:p w:rsidR="001B2ECA" w:rsidRPr="00CC51EF">
      <w:pPr>
        <w:spacing w:line="360" w:lineRule="auto"/>
        <w:ind w:firstLine="496"/>
        <w:rPr>
          <w:rFonts w:asciiTheme="minorEastAsia" w:eastAsiaTheme="minorEastAsia" w:hAnsiTheme="minorEastAsia" w:cs="宋体"/>
          <w:color w:val="000000" w:themeColor="text1"/>
          <w:szCs w:val="21"/>
        </w:rPr>
      </w:pPr>
    </w:p>
    <w:p w:rsidR="001B2ECA" w:rsidRPr="00CC51EF">
      <w:pPr>
        <w:spacing w:line="360" w:lineRule="auto"/>
        <w:ind w:firstLine="496"/>
        <w:rPr>
          <w:rFonts w:asciiTheme="minorEastAsia" w:eastAsiaTheme="minorEastAsia" w:hAnsiTheme="minorEastAsia" w:cs="宋体"/>
          <w:color w:val="000000" w:themeColor="text1"/>
          <w:szCs w:val="21"/>
        </w:rPr>
      </w:pPr>
      <w:bookmarkStart w:id="109" w:name="_Toc516750736"/>
      <w:r w:rsidRPr="00CC51EF">
        <w:rPr>
          <w:rFonts w:asciiTheme="minorEastAsia" w:eastAsiaTheme="minorEastAsia" w:hAnsiTheme="minorEastAsia" w:cs="宋体" w:hint="eastAsia"/>
          <w:color w:val="000000" w:themeColor="text1"/>
          <w:szCs w:val="21"/>
        </w:rPr>
        <w:t>五、基金合同存放地和投资者取得基金合同的方式</w:t>
      </w:r>
      <w:bookmarkEnd w:id="109"/>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《基金合同》可印制成册，供投资者在基金管理人、基金托管人、销售机构的办公场所和营业场所查阅。</w:t>
      </w:r>
    </w:p>
    <w:p w:rsidR="001B2ECA" w:rsidRPr="00CC51EF">
      <w:pPr>
        <w:spacing w:line="360" w:lineRule="auto"/>
        <w:ind w:firstLine="420"/>
        <w:rPr>
          <w:rFonts w:asciiTheme="minorEastAsia" w:eastAsiaTheme="minorEastAsia" w:hAnsiTheme="minorEastAsia"/>
          <w:bCs/>
          <w:color w:val="000000" w:themeColor="text1"/>
          <w:szCs w:val="21"/>
        </w:rPr>
      </w:pPr>
    </w:p>
    <w:p w:rsidR="001B2ECA" w:rsidRPr="00CC51EF">
      <w:pPr>
        <w:pStyle w:val="11"/>
        <w:spacing w:before="317" w:after="317" w:line="360" w:lineRule="auto"/>
        <w:ind w:firstLine="420"/>
        <w:rPr>
          <w:rFonts w:asciiTheme="minorEastAsia" w:eastAsiaTheme="minorEastAsia" w:hAnsiTheme="minorEastAsia"/>
          <w:color w:val="000000" w:themeColor="text1"/>
          <w:sz w:val="30"/>
        </w:rPr>
      </w:pPr>
      <w:bookmarkStart w:id="110" w:name="_Toc332373589"/>
      <w:r w:rsidRPr="00CC51EF">
        <w:rPr>
          <w:rFonts w:asciiTheme="minorEastAsia" w:eastAsiaTheme="minorEastAsia" w:hAnsiTheme="minorEastAsia" w:hint="eastAsia"/>
          <w:bCs/>
          <w:color w:val="000000" w:themeColor="text1"/>
          <w:sz w:val="21"/>
          <w:szCs w:val="21"/>
        </w:rPr>
        <w:br w:type="page"/>
      </w:r>
      <w:bookmarkStart w:id="111" w:name="_Toc134548090"/>
      <w:bookmarkEnd w:id="110"/>
      <w:r w:rsidRPr="00CC51EF">
        <w:rPr>
          <w:rFonts w:asciiTheme="minorEastAsia" w:eastAsiaTheme="minorEastAsia" w:hAnsiTheme="minorEastAsia" w:hint="eastAsia"/>
          <w:color w:val="000000" w:themeColor="text1"/>
          <w:sz w:val="30"/>
        </w:rPr>
        <w:t>二</w:t>
      </w:r>
      <w:bookmarkStart w:id="112" w:name="_Toc332373590"/>
      <w:bookmarkStart w:id="113" w:name="_Toc332374170"/>
      <w:r w:rsidRPr="00CC51EF">
        <w:rPr>
          <w:rFonts w:asciiTheme="minorEastAsia" w:eastAsiaTheme="minorEastAsia" w:hAnsiTheme="minorEastAsia" w:hint="eastAsia"/>
          <w:color w:val="000000" w:themeColor="text1"/>
          <w:sz w:val="30"/>
        </w:rPr>
        <w:t>十</w:t>
      </w:r>
      <w:r w:rsidRPr="00CC51EF">
        <w:rPr>
          <w:rFonts w:asciiTheme="minorEastAsia" w:eastAsiaTheme="minorEastAsia" w:hAnsiTheme="minorEastAsia"/>
          <w:color w:val="000000" w:themeColor="text1"/>
          <w:sz w:val="30"/>
        </w:rPr>
        <w:t>三</w:t>
      </w:r>
      <w:r w:rsidRPr="00CC51EF">
        <w:rPr>
          <w:rFonts w:asciiTheme="minorEastAsia" w:eastAsiaTheme="minorEastAsia" w:hAnsiTheme="minorEastAsia" w:hint="eastAsia"/>
          <w:color w:val="000000" w:themeColor="text1"/>
          <w:sz w:val="30"/>
        </w:rPr>
        <w:t>、基金托管协议的内容摘要</w:t>
      </w:r>
      <w:bookmarkEnd w:id="112"/>
      <w:bookmarkEnd w:id="113"/>
      <w:bookmarkEnd w:id="111"/>
    </w:p>
    <w:p w:rsidR="001B2ECA" w:rsidRPr="00CC51EF">
      <w:pPr>
        <w:spacing w:line="360" w:lineRule="auto"/>
        <w:ind w:firstLine="496"/>
        <w:rPr>
          <w:rFonts w:asciiTheme="minorEastAsia" w:eastAsiaTheme="minorEastAsia" w:hAnsiTheme="minorEastAsia"/>
          <w:bCs/>
          <w:color w:val="000000" w:themeColor="text1"/>
          <w:szCs w:val="21"/>
        </w:rPr>
      </w:pPr>
      <w:r w:rsidRPr="00CC51EF">
        <w:rPr>
          <w:rFonts w:asciiTheme="minorEastAsia" w:eastAsiaTheme="minorEastAsia" w:hAnsiTheme="minorEastAsia" w:hint="eastAsia"/>
          <w:bCs/>
          <w:color w:val="000000" w:themeColor="text1"/>
          <w:szCs w:val="21"/>
        </w:rPr>
        <w:t>一</w:t>
      </w:r>
      <w:r w:rsidRPr="00CC51EF">
        <w:rPr>
          <w:rFonts w:asciiTheme="minorEastAsia" w:eastAsiaTheme="minorEastAsia" w:hAnsiTheme="minorEastAsia"/>
          <w:bCs/>
          <w:color w:val="000000" w:themeColor="text1"/>
          <w:szCs w:val="21"/>
        </w:rPr>
        <w:t>、</w:t>
      </w:r>
      <w:r w:rsidRPr="00CC51EF">
        <w:rPr>
          <w:rFonts w:asciiTheme="minorEastAsia" w:eastAsiaTheme="minorEastAsia" w:hAnsiTheme="minorEastAsia" w:hint="eastAsia"/>
          <w:bCs/>
          <w:color w:val="000000" w:themeColor="text1"/>
          <w:szCs w:val="21"/>
        </w:rPr>
        <w:t>托管协议当事人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（一）基金管理人（或简称“管理人”）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名称：易方达基金管理有限公司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olor w:val="000000" w:themeColor="text1"/>
        </w:rPr>
        <w:t>住所：广东省珠海市横琴新区荣粤道188号6层</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法定代表人：刘晓艳</w:t>
      </w:r>
      <w:r w:rsidRPr="00CC51EF">
        <w:rPr>
          <w:rFonts w:asciiTheme="minorEastAsia" w:eastAsiaTheme="minorEastAsia" w:hAnsiTheme="minorEastAsia" w:cs="宋体"/>
          <w:color w:val="000000" w:themeColor="text1"/>
          <w:szCs w:val="21"/>
        </w:rPr>
        <w:t xml:space="preserve"> </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成立时间：</w:t>
      </w:r>
      <w:r w:rsidRPr="00CC51EF">
        <w:rPr>
          <w:rFonts w:asciiTheme="minorEastAsia" w:eastAsiaTheme="minorEastAsia" w:hAnsiTheme="minorEastAsia" w:cs="宋体"/>
          <w:color w:val="000000" w:themeColor="text1"/>
          <w:szCs w:val="21"/>
        </w:rPr>
        <w:t>2001</w:t>
      </w:r>
      <w:r w:rsidRPr="00CC51EF">
        <w:rPr>
          <w:rFonts w:asciiTheme="minorEastAsia" w:eastAsiaTheme="minorEastAsia" w:hAnsiTheme="minorEastAsia" w:cs="宋体" w:hint="eastAsia"/>
          <w:color w:val="000000" w:themeColor="text1"/>
          <w:szCs w:val="21"/>
        </w:rPr>
        <w:t>年</w:t>
      </w:r>
      <w:r w:rsidRPr="00CC51EF">
        <w:rPr>
          <w:rFonts w:asciiTheme="minorEastAsia" w:eastAsiaTheme="minorEastAsia" w:hAnsiTheme="minorEastAsia" w:cs="宋体"/>
          <w:color w:val="000000" w:themeColor="text1"/>
          <w:szCs w:val="21"/>
        </w:rPr>
        <w:t>4</w:t>
      </w:r>
      <w:r w:rsidRPr="00CC51EF">
        <w:rPr>
          <w:rFonts w:asciiTheme="minorEastAsia" w:eastAsiaTheme="minorEastAsia" w:hAnsiTheme="minorEastAsia" w:cs="宋体" w:hint="eastAsia"/>
          <w:color w:val="000000" w:themeColor="text1"/>
          <w:szCs w:val="21"/>
        </w:rPr>
        <w:t>月</w:t>
      </w:r>
      <w:r w:rsidRPr="00CC51EF">
        <w:rPr>
          <w:rFonts w:asciiTheme="minorEastAsia" w:eastAsiaTheme="minorEastAsia" w:hAnsiTheme="minorEastAsia" w:cs="宋体"/>
          <w:color w:val="000000" w:themeColor="text1"/>
          <w:szCs w:val="21"/>
        </w:rPr>
        <w:t>17</w:t>
      </w:r>
      <w:r w:rsidRPr="00CC51EF">
        <w:rPr>
          <w:rFonts w:asciiTheme="minorEastAsia" w:eastAsiaTheme="minorEastAsia" w:hAnsiTheme="minorEastAsia" w:cs="宋体" w:hint="eastAsia"/>
          <w:color w:val="000000" w:themeColor="text1"/>
          <w:szCs w:val="21"/>
        </w:rPr>
        <w:t>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批准设立机关：中国</w:t>
      </w:r>
      <w:r w:rsidRPr="00CC51EF">
        <w:rPr>
          <w:rFonts w:asciiTheme="minorEastAsia" w:eastAsiaTheme="minorEastAsia" w:hAnsiTheme="minorEastAsia" w:cs="宋体"/>
          <w:color w:val="000000" w:themeColor="text1"/>
          <w:szCs w:val="21"/>
        </w:rPr>
        <w:t>证券</w:t>
      </w:r>
      <w:r w:rsidRPr="00CC51EF">
        <w:rPr>
          <w:rFonts w:asciiTheme="minorEastAsia" w:eastAsiaTheme="minorEastAsia" w:hAnsiTheme="minorEastAsia" w:cs="宋体" w:hint="eastAsia"/>
          <w:color w:val="000000" w:themeColor="text1"/>
          <w:szCs w:val="21"/>
        </w:rPr>
        <w:t>监督管理</w:t>
      </w:r>
      <w:r w:rsidRPr="00CC51EF">
        <w:rPr>
          <w:rFonts w:asciiTheme="minorEastAsia" w:eastAsiaTheme="minorEastAsia" w:hAnsiTheme="minorEastAsia" w:cs="宋体"/>
          <w:color w:val="000000" w:themeColor="text1"/>
          <w:szCs w:val="21"/>
        </w:rPr>
        <w:t>委员会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批准设立文号：证监基金字</w:t>
      </w:r>
      <w:r w:rsidRPr="00CC51EF">
        <w:rPr>
          <w:rFonts w:asciiTheme="minorEastAsia" w:eastAsiaTheme="minorEastAsia" w:hAnsiTheme="minorEastAsia" w:cs="宋体"/>
          <w:color w:val="000000" w:themeColor="text1"/>
          <w:szCs w:val="21"/>
        </w:rPr>
        <w:t>[2001]4</w:t>
      </w:r>
      <w:r w:rsidRPr="00CC51EF">
        <w:rPr>
          <w:rFonts w:asciiTheme="minorEastAsia" w:eastAsiaTheme="minorEastAsia" w:hAnsiTheme="minorEastAsia" w:cs="宋体" w:hint="eastAsia"/>
          <w:color w:val="000000" w:themeColor="text1"/>
          <w:szCs w:val="21"/>
        </w:rPr>
        <w:t>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组织形式：有限责任公司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注册资本：</w:t>
      </w:r>
      <w:r w:rsidRPr="00CC51EF">
        <w:rPr>
          <w:rFonts w:asciiTheme="minorEastAsia" w:eastAsiaTheme="minorEastAsia" w:hAnsiTheme="minorEastAsia" w:cs="宋体"/>
          <w:color w:val="000000" w:themeColor="text1"/>
          <w:szCs w:val="21"/>
        </w:rPr>
        <w:t>13,244.2</w:t>
      </w:r>
      <w:r w:rsidRPr="00CC51EF">
        <w:rPr>
          <w:rFonts w:asciiTheme="minorEastAsia" w:eastAsiaTheme="minorEastAsia" w:hAnsiTheme="minorEastAsia" w:cs="宋体" w:hint="eastAsia"/>
          <w:color w:val="000000" w:themeColor="text1"/>
          <w:szCs w:val="21"/>
        </w:rPr>
        <w:t>万元人民币</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经营范围：公开募集证券投资基金管理、基金销售、特定客户资产管理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存续期间：持续经营</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（二）基金托管人（或简称“托管人”）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名称：</w:t>
      </w:r>
      <w:r w:rsidRPr="00CC51EF">
        <w:rPr>
          <w:rFonts w:asciiTheme="minorEastAsia" w:eastAsiaTheme="minorEastAsia" w:hAnsiTheme="minorEastAsia" w:cs="宋体" w:hint="eastAsia"/>
          <w:color w:val="000000" w:themeColor="text1"/>
          <w:szCs w:val="21"/>
        </w:rPr>
        <w:tab/>
      </w:r>
      <w:r w:rsidRPr="00CC51EF">
        <w:rPr>
          <w:rFonts w:asciiTheme="minorEastAsia" w:eastAsiaTheme="minorEastAsia" w:hAnsiTheme="minorEastAsia" w:cs="宋体" w:hint="eastAsia"/>
          <w:color w:val="000000" w:themeColor="text1"/>
          <w:szCs w:val="21"/>
        </w:rPr>
        <w:tab/>
        <w:t>中国银行股份有限公司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住所：</w:t>
      </w:r>
      <w:r w:rsidRPr="00CC51EF">
        <w:rPr>
          <w:rFonts w:asciiTheme="minorEastAsia" w:eastAsiaTheme="minorEastAsia" w:hAnsiTheme="minorEastAsia" w:cs="宋体" w:hint="eastAsia"/>
          <w:color w:val="000000" w:themeColor="text1"/>
          <w:szCs w:val="21"/>
        </w:rPr>
        <w:tab/>
      </w:r>
      <w:r w:rsidRPr="00CC51EF">
        <w:rPr>
          <w:rFonts w:asciiTheme="minorEastAsia" w:eastAsiaTheme="minorEastAsia" w:hAnsiTheme="minorEastAsia" w:cs="宋体" w:hint="eastAsia"/>
          <w:color w:val="000000" w:themeColor="text1"/>
          <w:szCs w:val="21"/>
        </w:rPr>
        <w:tab/>
        <w:t>北京市西城区复兴门内大街1号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法定代表人: 刘连舸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成立时间：  1983年10月31日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基金托管业务批准文号：中国证监会证监基字【1998】24号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组织形式：  股份有限公司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注册资本：</w:t>
      </w:r>
      <w:r w:rsidRPr="00CC51EF">
        <w:rPr>
          <w:rFonts w:asciiTheme="minorEastAsia" w:eastAsiaTheme="minorEastAsia" w:hAnsiTheme="minorEastAsia" w:cs="宋体" w:hint="eastAsia"/>
          <w:color w:val="000000" w:themeColor="text1"/>
          <w:szCs w:val="21"/>
        </w:rPr>
        <w:tab/>
        <w:t>人民币贰仟玖佰肆拾叁亿捌仟柒佰柒拾玖万壹仟贰佰肆拾壹元整</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经营范围：</w:t>
      </w:r>
      <w:r w:rsidRPr="00CC51EF">
        <w:rPr>
          <w:rFonts w:asciiTheme="minorEastAsia" w:eastAsiaTheme="minorEastAsia" w:hAnsiTheme="minorEastAsia" w:cs="宋体" w:hint="eastAsia"/>
          <w:color w:val="000000" w:themeColor="text1"/>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w:t>
      </w:r>
      <w:r w:rsidRPr="00CC51EF">
        <w:rPr>
          <w:rFonts w:asciiTheme="minorEastAsia" w:eastAsiaTheme="minorEastAsia" w:hAnsiTheme="minorEastAsia" w:cs="宋体" w:hint="eastAsia"/>
          <w:color w:val="000000" w:themeColor="text1"/>
          <w:szCs w:val="21"/>
        </w:rPr>
        <w:t>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存续期间：</w:t>
      </w:r>
      <w:r w:rsidRPr="00CC51EF">
        <w:rPr>
          <w:rFonts w:asciiTheme="minorEastAsia" w:eastAsiaTheme="minorEastAsia" w:hAnsiTheme="minorEastAsia" w:cs="宋体" w:hint="eastAsia"/>
          <w:color w:val="000000" w:themeColor="text1"/>
          <w:szCs w:val="21"/>
        </w:rPr>
        <w:tab/>
        <w:t>持续经营</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二、基金托管人对基金管理人的业务监督和核查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（一）基金托管人根据有关法律法规的规定对基金管理人的下列投资运作进行监督：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1、对基金的投资范围、投资对象进行监督。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本基金的投资范围包括内地依法发行上市的股票（含中小板、创业板及其他依法发行、上市的股票）、</w:t>
      </w:r>
      <w:r w:rsidRPr="00CC51EF">
        <w:rPr>
          <w:rFonts w:asciiTheme="minorEastAsia" w:eastAsiaTheme="minorEastAsia" w:hAnsiTheme="minorEastAsia" w:cs="宋体"/>
          <w:color w:val="000000" w:themeColor="text1"/>
          <w:szCs w:val="21"/>
        </w:rPr>
        <w:t>内地与香港股票市场交易互联互通机制允许买卖的香港证券市场股票（以下简称“</w:t>
      </w:r>
      <w:r w:rsidRPr="00CC51EF">
        <w:rPr>
          <w:rFonts w:asciiTheme="minorEastAsia" w:eastAsiaTheme="minorEastAsia" w:hAnsiTheme="minorEastAsia" w:cs="宋体" w:hint="eastAsia"/>
          <w:color w:val="000000" w:themeColor="text1"/>
          <w:szCs w:val="21"/>
        </w:rPr>
        <w:t>港股通股票</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如法律法规或监管机构以后允许基金投资其他品种，基金管理人在履行适当程序后，本基金</w:t>
      </w:r>
      <w:r w:rsidRPr="00CC51EF">
        <w:rPr>
          <w:rFonts w:asciiTheme="minorEastAsia" w:eastAsiaTheme="minorEastAsia" w:hAnsiTheme="minorEastAsia" w:cs="宋体"/>
          <w:color w:val="000000" w:themeColor="text1"/>
          <w:szCs w:val="21"/>
        </w:rPr>
        <w:t>可以将其纳入投资范围</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基金的投资组合比例为：</w:t>
      </w:r>
      <w:r w:rsidRPr="00CC51EF">
        <w:rPr>
          <w:rFonts w:asciiTheme="minorEastAsia" w:eastAsiaTheme="minorEastAsia" w:hAnsiTheme="minorEastAsia" w:cs="宋体" w:hint="eastAsia"/>
          <w:color w:val="000000" w:themeColor="text1"/>
          <w:szCs w:val="21"/>
        </w:rPr>
        <w:t>本基金股票资产占基金资产的比例为80%-95%（其中港股通股票不超过股票资产的50%）；每个交易日日终，扣除股指期货、国债期货、</w:t>
      </w:r>
      <w:r w:rsidRPr="00CC51EF">
        <w:rPr>
          <w:rFonts w:asciiTheme="minorEastAsia" w:eastAsiaTheme="minorEastAsia" w:hAnsiTheme="minorEastAsia" w:cs="宋体"/>
          <w:color w:val="000000" w:themeColor="text1"/>
          <w:szCs w:val="21"/>
        </w:rPr>
        <w:t>股票期权</w:t>
      </w:r>
      <w:r w:rsidRPr="00CC51EF">
        <w:rPr>
          <w:rFonts w:asciiTheme="minorEastAsia" w:eastAsiaTheme="minorEastAsia" w:hAnsiTheme="minorEastAsia" w:cs="宋体" w:hint="eastAsia"/>
          <w:color w:val="000000" w:themeColor="text1"/>
          <w:szCs w:val="21"/>
        </w:rPr>
        <w:t>合约需缴纳的交易保证金后，现金或到期日在一年以内的政府债券不低于基金资产净值的</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，现金不包括结算备付金、存出保证金、应收申购款等。股指期货、国债期货、股票期权及其他金融工具的投资比例依照法律法规或监管机构的规定执行。本基金非现金资产中不低于</w:t>
      </w:r>
      <w:r w:rsidRPr="00CC51EF">
        <w:rPr>
          <w:rFonts w:asciiTheme="minorEastAsia" w:eastAsiaTheme="minorEastAsia" w:hAnsiTheme="minorEastAsia" w:cs="宋体"/>
          <w:color w:val="000000" w:themeColor="text1"/>
          <w:szCs w:val="21"/>
        </w:rPr>
        <w:t>80%</w:t>
      </w:r>
      <w:r w:rsidRPr="00CC51EF">
        <w:rPr>
          <w:rFonts w:asciiTheme="minorEastAsia" w:eastAsiaTheme="minorEastAsia" w:hAnsiTheme="minorEastAsia" w:cs="宋体" w:hint="eastAsia"/>
          <w:color w:val="000000" w:themeColor="text1"/>
          <w:szCs w:val="21"/>
        </w:rPr>
        <w:t>的资产将投资于战略新兴产业相关证券。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基金托管人根据上述投资范围对基金的投资进行监督。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2、对基金投融资比例进行监督；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本基金股票资产占基金资产的比例为80%-95%（其中港股通股票不超过股票资产的50%）；本基金非现金资产中不低于</w:t>
      </w:r>
      <w:r w:rsidRPr="00CC51EF">
        <w:rPr>
          <w:rFonts w:asciiTheme="minorEastAsia" w:eastAsiaTheme="minorEastAsia" w:hAnsiTheme="minorEastAsia" w:cs="宋体"/>
          <w:color w:val="000000" w:themeColor="text1"/>
          <w:szCs w:val="21"/>
        </w:rPr>
        <w:t>80%</w:t>
      </w:r>
      <w:r w:rsidRPr="00CC51EF">
        <w:rPr>
          <w:rFonts w:asciiTheme="minorEastAsia" w:eastAsiaTheme="minorEastAsia" w:hAnsiTheme="minorEastAsia" w:cs="宋体" w:hint="eastAsia"/>
          <w:color w:val="000000" w:themeColor="text1"/>
          <w:szCs w:val="21"/>
        </w:rPr>
        <w:t>的资产将投资于战略新兴产业相关证券；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）每个交易日日终，扣除股指期货、国债期货、股票期权合约需缴纳的交易保证金后，保持不低于基金资产净值</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％的现金或者到期日在一年以内的政府债券，其中现金不</w:t>
      </w:r>
      <w:r w:rsidRPr="00CC51EF">
        <w:rPr>
          <w:rFonts w:asciiTheme="minorEastAsia" w:eastAsiaTheme="minorEastAsia" w:hAnsiTheme="minorEastAsia" w:cs="宋体" w:hint="eastAsia"/>
          <w:color w:val="000000" w:themeColor="text1"/>
          <w:szCs w:val="21"/>
        </w:rPr>
        <w:t>包括结算备付金、存出保证金和应收申购款等；</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（3）本基金持有一家公司</w:t>
      </w:r>
      <w:r w:rsidRPr="00CC51EF">
        <w:rPr>
          <w:rFonts w:asciiTheme="minorEastAsia" w:eastAsiaTheme="minorEastAsia" w:hAnsiTheme="minorEastAsia" w:cs="宋体" w:hint="eastAsia"/>
          <w:color w:val="000000" w:themeColor="text1"/>
          <w:szCs w:val="21"/>
        </w:rPr>
        <w:t>发行</w:t>
      </w:r>
      <w:r w:rsidRPr="00CC51EF">
        <w:rPr>
          <w:rFonts w:asciiTheme="minorEastAsia" w:eastAsiaTheme="minorEastAsia" w:hAnsiTheme="minorEastAsia" w:cs="宋体"/>
          <w:color w:val="000000" w:themeColor="text1"/>
          <w:szCs w:val="21"/>
        </w:rPr>
        <w:t>的</w:t>
      </w:r>
      <w:r w:rsidRPr="00CC51EF">
        <w:rPr>
          <w:rFonts w:asciiTheme="minorEastAsia" w:eastAsiaTheme="minorEastAsia" w:hAnsiTheme="minorEastAsia" w:cs="宋体" w:hint="eastAsia"/>
          <w:color w:val="000000" w:themeColor="text1"/>
          <w:szCs w:val="21"/>
        </w:rPr>
        <w:t>证券（同一家公司在境内和香港同时上市的</w:t>
      </w:r>
      <w:r w:rsidRPr="00CC51EF">
        <w:rPr>
          <w:rFonts w:asciiTheme="minorEastAsia" w:eastAsiaTheme="minorEastAsia" w:hAnsiTheme="minorEastAsia" w:cs="宋体"/>
          <w:color w:val="000000" w:themeColor="text1"/>
          <w:szCs w:val="21"/>
        </w:rPr>
        <w:t>A+H</w:t>
      </w:r>
      <w:r w:rsidRPr="00CC51EF">
        <w:rPr>
          <w:rFonts w:asciiTheme="minorEastAsia" w:eastAsiaTheme="minorEastAsia" w:hAnsiTheme="minorEastAsia" w:cs="宋体" w:hint="eastAsia"/>
          <w:color w:val="000000" w:themeColor="text1"/>
          <w:szCs w:val="21"/>
        </w:rPr>
        <w:t>股合计计算）</w:t>
      </w:r>
      <w:r w:rsidRPr="00CC51EF">
        <w:rPr>
          <w:rFonts w:asciiTheme="minorEastAsia" w:eastAsiaTheme="minorEastAsia" w:hAnsiTheme="minorEastAsia" w:cs="宋体"/>
          <w:color w:val="000000" w:themeColor="text1"/>
          <w:szCs w:val="21"/>
        </w:rPr>
        <w:t>，其市值不超过基金资产净值的10％；</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4</w:t>
      </w:r>
      <w:r w:rsidRPr="00CC51EF">
        <w:rPr>
          <w:rFonts w:asciiTheme="minorEastAsia" w:eastAsiaTheme="minorEastAsia" w:hAnsiTheme="minorEastAsia" w:cs="宋体"/>
          <w:color w:val="000000" w:themeColor="text1"/>
          <w:szCs w:val="21"/>
        </w:rPr>
        <w:t>）本基金管理人管理</w:t>
      </w:r>
      <w:r w:rsidRPr="00CC51EF">
        <w:rPr>
          <w:rFonts w:asciiTheme="minorEastAsia" w:eastAsiaTheme="minorEastAsia" w:hAnsiTheme="minorEastAsia" w:cs="宋体" w:hint="eastAsia"/>
          <w:color w:val="000000" w:themeColor="text1"/>
          <w:szCs w:val="21"/>
        </w:rPr>
        <w:t>且由本基金托管人托管</w:t>
      </w:r>
      <w:r w:rsidRPr="00CC51EF">
        <w:rPr>
          <w:rFonts w:asciiTheme="minorEastAsia" w:eastAsiaTheme="minorEastAsia" w:hAnsiTheme="minorEastAsia" w:cs="宋体"/>
          <w:color w:val="000000" w:themeColor="text1"/>
          <w:szCs w:val="21"/>
        </w:rPr>
        <w:t>的全部基金持有一家公司发行的证券</w:t>
      </w:r>
      <w:r w:rsidRPr="00CC51EF">
        <w:rPr>
          <w:rFonts w:asciiTheme="minorEastAsia" w:eastAsiaTheme="minorEastAsia" w:hAnsiTheme="minorEastAsia" w:cs="宋体" w:hint="eastAsia"/>
          <w:color w:val="000000" w:themeColor="text1"/>
          <w:szCs w:val="21"/>
        </w:rPr>
        <w:t>（同一家公司在境内和香港同时上市的</w:t>
      </w:r>
      <w:r w:rsidRPr="00CC51EF">
        <w:rPr>
          <w:rFonts w:asciiTheme="minorEastAsia" w:eastAsiaTheme="minorEastAsia" w:hAnsiTheme="minorEastAsia" w:cs="宋体"/>
          <w:color w:val="000000" w:themeColor="text1"/>
          <w:szCs w:val="21"/>
        </w:rPr>
        <w:t>A+H</w:t>
      </w:r>
      <w:r w:rsidRPr="00CC51EF">
        <w:rPr>
          <w:rFonts w:asciiTheme="minorEastAsia" w:eastAsiaTheme="minorEastAsia" w:hAnsiTheme="minorEastAsia" w:cs="宋体" w:hint="eastAsia"/>
          <w:color w:val="000000" w:themeColor="text1"/>
          <w:szCs w:val="21"/>
        </w:rPr>
        <w:t>股合计计算）</w:t>
      </w:r>
      <w:r w:rsidRPr="00CC51EF">
        <w:rPr>
          <w:rFonts w:asciiTheme="minorEastAsia" w:eastAsiaTheme="minorEastAsia" w:hAnsiTheme="minorEastAsia" w:cs="宋体"/>
          <w:color w:val="000000" w:themeColor="text1"/>
          <w:szCs w:val="21"/>
        </w:rPr>
        <w:t>，不超过该证券的10％</w:t>
      </w:r>
      <w:r w:rsidRPr="00CC51EF">
        <w:rPr>
          <w:rFonts w:asciiTheme="minorEastAsia" w:eastAsiaTheme="minorEastAsia" w:hAnsiTheme="minorEastAsia" w:cs="宋体" w:hint="eastAsia"/>
          <w:color w:val="000000" w:themeColor="text1"/>
          <w:szCs w:val="21"/>
        </w:rPr>
        <w:t>，完全按照有关指数的构成比例进行证券投资的基金品种可以不受此条款规定的比例限制</w:t>
      </w:r>
      <w:r w:rsidRPr="00CC51EF">
        <w:rPr>
          <w:rFonts w:asciiTheme="minorEastAsia" w:eastAsiaTheme="minorEastAsia" w:hAnsiTheme="minorEastAsia" w:cs="宋体"/>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5</w:t>
      </w:r>
      <w:r w:rsidRPr="00CC51EF">
        <w:rPr>
          <w:rFonts w:asciiTheme="minorEastAsia" w:eastAsiaTheme="minorEastAsia" w:hAnsiTheme="minorEastAsia" w:cs="宋体"/>
          <w:color w:val="000000" w:themeColor="text1"/>
          <w:szCs w:val="21"/>
        </w:rPr>
        <w:t>）本基金投资于同一原始权益人的各类资产支持证券的比例，不得超过基金资产净值的10％；</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（6）本基金持有的全部资产支持证券，其市值不得超过基金资产净值的20％；</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（7）本基金持有的同一(指同一信用级别)资产支持证券的比例，不得超过该资产支持证券规模的10％；</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（8）本基金管理人管理</w:t>
      </w:r>
      <w:r w:rsidRPr="00CC51EF">
        <w:rPr>
          <w:rFonts w:asciiTheme="minorEastAsia" w:eastAsiaTheme="minorEastAsia" w:hAnsiTheme="minorEastAsia" w:cs="宋体" w:hint="eastAsia"/>
          <w:color w:val="000000" w:themeColor="text1"/>
          <w:szCs w:val="21"/>
        </w:rPr>
        <w:t>且由本基金托管人托管</w:t>
      </w:r>
      <w:r w:rsidRPr="00CC51EF">
        <w:rPr>
          <w:rFonts w:asciiTheme="minorEastAsia" w:eastAsiaTheme="minorEastAsia" w:hAnsiTheme="minorEastAsia" w:cs="宋体"/>
          <w:color w:val="000000" w:themeColor="text1"/>
          <w:szCs w:val="21"/>
        </w:rPr>
        <w:t>的全部基金投资于同一原始权益人的各类资产支持证券</w:t>
      </w:r>
      <w:r w:rsidRPr="00CC51EF">
        <w:rPr>
          <w:rFonts w:asciiTheme="minorEastAsia" w:eastAsiaTheme="minorEastAsia" w:hAnsiTheme="minorEastAsia" w:cs="宋体" w:hint="eastAsia"/>
          <w:color w:val="000000" w:themeColor="text1"/>
          <w:szCs w:val="21"/>
        </w:rPr>
        <w:t>，不得超过其各类资产支持证券合计规模的</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）本基金应投资于信用级别评级为</w:t>
      </w:r>
      <w:r w:rsidRPr="00CC51EF">
        <w:rPr>
          <w:rFonts w:asciiTheme="minorEastAsia" w:eastAsiaTheme="minorEastAsia" w:hAnsiTheme="minorEastAsia" w:cs="宋体"/>
          <w:color w:val="000000" w:themeColor="text1"/>
          <w:szCs w:val="21"/>
        </w:rPr>
        <w:t>BBB</w:t>
      </w:r>
      <w:r w:rsidRPr="00CC51EF">
        <w:rPr>
          <w:rFonts w:asciiTheme="minorEastAsia" w:eastAsiaTheme="minorEastAsia" w:hAnsiTheme="minorEastAsia" w:cs="宋体" w:hint="eastAsia"/>
          <w:color w:val="000000" w:themeColor="text1"/>
          <w:szCs w:val="21"/>
        </w:rPr>
        <w:t>以上</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含</w:t>
      </w:r>
      <w:r w:rsidRPr="00CC51EF">
        <w:rPr>
          <w:rFonts w:asciiTheme="minorEastAsia" w:eastAsiaTheme="minorEastAsia" w:hAnsiTheme="minorEastAsia" w:cs="宋体"/>
          <w:color w:val="000000" w:themeColor="text1"/>
          <w:szCs w:val="21"/>
        </w:rPr>
        <w:t>BBB)</w:t>
      </w:r>
      <w:r w:rsidRPr="00CC51EF">
        <w:rPr>
          <w:rFonts w:asciiTheme="minorEastAsia" w:eastAsiaTheme="minorEastAsia" w:hAnsiTheme="minorEastAsia" w:cs="宋体" w:hint="eastAsia"/>
          <w:color w:val="000000" w:themeColor="text1"/>
          <w:szCs w:val="21"/>
        </w:rPr>
        <w:t>的资产支持证券。基金持有资产支持证券期间，如果其信用等级下降、不再符合投资标准，应在评级报告发布之日起</w:t>
      </w:r>
      <w:r w:rsidRPr="00CC51EF">
        <w:rPr>
          <w:rFonts w:asciiTheme="minorEastAsia" w:eastAsiaTheme="minorEastAsia" w:hAnsiTheme="minorEastAsia" w:cs="宋体"/>
          <w:color w:val="000000" w:themeColor="text1"/>
          <w:szCs w:val="21"/>
        </w:rPr>
        <w:t>3</w:t>
      </w:r>
      <w:r w:rsidRPr="00CC51EF">
        <w:rPr>
          <w:rFonts w:asciiTheme="minorEastAsia" w:eastAsiaTheme="minorEastAsia" w:hAnsiTheme="minorEastAsia" w:cs="宋体" w:hint="eastAsia"/>
          <w:color w:val="000000" w:themeColor="text1"/>
          <w:szCs w:val="21"/>
        </w:rPr>
        <w:t>个月内予以全部卖出；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）基金财产参与股票发行申购，本基金所申报的金额不超过本基金的总资产，本基金所申报的股票数量不超过拟发行股票公司本次发行股票的总量；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11</w:t>
      </w:r>
      <w:r w:rsidRPr="00CC51EF">
        <w:rPr>
          <w:rFonts w:asciiTheme="minorEastAsia" w:eastAsiaTheme="minorEastAsia" w:hAnsiTheme="minorEastAsia" w:cs="宋体" w:hint="eastAsia"/>
          <w:color w:val="000000" w:themeColor="text1"/>
          <w:szCs w:val="21"/>
        </w:rPr>
        <w:t>）本基金进入全国银行间同业市场进行债券回购的资金余额不得超过基金资产净值的</w:t>
      </w:r>
      <w:r w:rsidRPr="00CC51EF">
        <w:rPr>
          <w:rFonts w:asciiTheme="minorEastAsia" w:eastAsiaTheme="minorEastAsia" w:hAnsiTheme="minorEastAsia" w:cs="宋体"/>
          <w:color w:val="000000" w:themeColor="text1"/>
          <w:szCs w:val="21"/>
        </w:rPr>
        <w:t>40%</w:t>
      </w:r>
      <w:r w:rsidRPr="00CC51EF">
        <w:rPr>
          <w:rFonts w:asciiTheme="minorEastAsia" w:eastAsiaTheme="minorEastAsia" w:hAnsiTheme="minorEastAsia" w:cs="宋体" w:hint="eastAsia"/>
          <w:color w:val="000000" w:themeColor="text1"/>
          <w:szCs w:val="21"/>
        </w:rPr>
        <w:t>，进入全国银行间同业市场进行债券回购的最长期限为</w:t>
      </w:r>
      <w:r w:rsidRPr="00CC51EF">
        <w:rPr>
          <w:rFonts w:asciiTheme="minorEastAsia" w:eastAsiaTheme="minorEastAsia" w:hAnsiTheme="minorEastAsia" w:cs="宋体"/>
          <w:color w:val="000000" w:themeColor="text1"/>
          <w:szCs w:val="21"/>
        </w:rPr>
        <w:t>1</w:t>
      </w:r>
      <w:r w:rsidRPr="00CC51EF">
        <w:rPr>
          <w:rFonts w:asciiTheme="minorEastAsia" w:eastAsiaTheme="minorEastAsia" w:hAnsiTheme="minorEastAsia" w:cs="宋体" w:hint="eastAsia"/>
          <w:color w:val="000000" w:themeColor="text1"/>
          <w:szCs w:val="21"/>
        </w:rPr>
        <w:t>年，债券回购到期后不得展期；</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（12）本基金</w:t>
      </w:r>
      <w:r w:rsidRPr="00CC51EF">
        <w:rPr>
          <w:rFonts w:asciiTheme="minorEastAsia" w:eastAsiaTheme="minorEastAsia" w:hAnsiTheme="minorEastAsia" w:cs="宋体" w:hint="eastAsia"/>
          <w:color w:val="000000" w:themeColor="text1"/>
          <w:szCs w:val="21"/>
        </w:rPr>
        <w:t>管理人管理且由本基金托管人托管的全部开放式基金持有一家上市公司发行的可流通股票，不得超过该上市公司可流通股票的</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本基金管理人管理且由本基金托管人托管的全部投资组合持有一家上市公司发行的可流通股票，不得超过该上市公司可流通股票的</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；完全按照有关指数的构成比例进行证券投资的开放式基金以及中国证监会认定的特殊投资组合可不受前述比例限制；</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13）本基金主动投资于流动性受限资产的市值合计不得超过该基金资产净值的15%</w:t>
      </w:r>
      <w:r w:rsidRPr="00CC51EF">
        <w:rPr>
          <w:rFonts w:asciiTheme="minorEastAsia" w:eastAsiaTheme="minorEastAsia" w:hAnsiTheme="minorEastAsia" w:cs="宋体" w:hint="eastAsia"/>
          <w:color w:val="000000" w:themeColor="text1"/>
          <w:szCs w:val="21"/>
        </w:rPr>
        <w:t>；因证券市场波动、上市公司股票停牌、</w:t>
      </w:r>
      <w:r w:rsidRPr="00CC51EF">
        <w:rPr>
          <w:rFonts w:asciiTheme="minorEastAsia" w:eastAsiaTheme="minorEastAsia" w:hAnsiTheme="minorEastAsia" w:cs="宋体"/>
          <w:color w:val="000000" w:themeColor="text1"/>
          <w:szCs w:val="21"/>
        </w:rPr>
        <w:t>基金规模变动等基金管理人之外的因素致使基金不符合该比例限制的</w:t>
      </w:r>
      <w:r w:rsidRPr="00CC51EF">
        <w:rPr>
          <w:rFonts w:asciiTheme="minorEastAsia" w:eastAsiaTheme="minorEastAsia" w:hAnsiTheme="minorEastAsia" w:cs="宋体" w:hint="eastAsia"/>
          <w:color w:val="000000" w:themeColor="text1"/>
          <w:szCs w:val="21"/>
        </w:rPr>
        <w:t>，基金管理人不得主动新增流动性受限资产的投资；</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14</w:t>
      </w:r>
      <w:r w:rsidRPr="00CC51EF">
        <w:rPr>
          <w:rFonts w:asciiTheme="minorEastAsia" w:eastAsiaTheme="minorEastAsia" w:hAnsiTheme="minorEastAsia" w:cs="宋体"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本基金管理人承诺本基金与私募类证券资管产品及中国证监会认定的其他主体为交易对手开展逆回购交易的，可接受质押品的资质要求应当与基金合同约定的投资范围保持一致，并承担由于不一致所导致的风险和损失；</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（15）本基金资产总值不超过基金资产净值的140%；</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16</w:t>
      </w:r>
      <w:r w:rsidRPr="00CC51EF">
        <w:rPr>
          <w:rFonts w:asciiTheme="minorEastAsia" w:eastAsiaTheme="minorEastAsia" w:hAnsiTheme="minorEastAsia" w:cs="宋体" w:hint="eastAsia"/>
          <w:color w:val="000000" w:themeColor="text1"/>
          <w:szCs w:val="21"/>
        </w:rPr>
        <w:t>）本</w:t>
      </w:r>
      <w:r w:rsidRPr="00CC51EF">
        <w:rPr>
          <w:rFonts w:asciiTheme="minorEastAsia" w:eastAsiaTheme="minorEastAsia" w:hAnsiTheme="minorEastAsia" w:cs="宋体"/>
          <w:color w:val="000000" w:themeColor="text1"/>
          <w:szCs w:val="21"/>
        </w:rPr>
        <w:t>基金参与股指期货交易</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应当遵守下列要求</w:t>
      </w:r>
      <w:r w:rsidRPr="00CC51EF">
        <w:rPr>
          <w:rFonts w:asciiTheme="minorEastAsia" w:eastAsiaTheme="minorEastAsia" w:hAnsiTheme="minorEastAsia" w:cs="宋体" w:hint="eastAsia"/>
          <w:color w:val="000000" w:themeColor="text1"/>
          <w:szCs w:val="21"/>
        </w:rPr>
        <w:t>：本基金在任何交易日日终，持有的买入股指期货合约价值不得超过基金资产净值的</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；在任何交易日日终，持有的买入国债期货和股指期货合约价值与有价证券市值之和，不得超过基金资产净值的</w:t>
      </w:r>
      <w:r w:rsidRPr="00CC51EF">
        <w:rPr>
          <w:rFonts w:asciiTheme="minorEastAsia" w:eastAsiaTheme="minorEastAsia" w:hAnsiTheme="minorEastAsia" w:cs="宋体"/>
          <w:color w:val="000000" w:themeColor="text1"/>
          <w:szCs w:val="21"/>
        </w:rPr>
        <w:t>95%</w:t>
      </w:r>
      <w:r w:rsidRPr="00CC51EF">
        <w:rPr>
          <w:rFonts w:asciiTheme="minorEastAsia" w:eastAsiaTheme="minorEastAsia" w:hAnsiTheme="minorEastAsia" w:cs="宋体" w:hint="eastAsia"/>
          <w:color w:val="000000" w:themeColor="text1"/>
          <w:szCs w:val="21"/>
        </w:rPr>
        <w:t>，其中，有价证券指股票、债券（不含到期日在一年以内的政府债券）、资产支持证券、买入返售金融资产（不含质押式回购）等；在任何交易日终，持有的卖出股指期货合约价值不得超过基金持有的股票总市值的</w:t>
      </w:r>
      <w:r w:rsidRPr="00CC51EF">
        <w:rPr>
          <w:rFonts w:asciiTheme="minorEastAsia" w:eastAsiaTheme="minorEastAsia" w:hAnsiTheme="minorEastAsia" w:cs="宋体"/>
          <w:color w:val="000000" w:themeColor="text1"/>
          <w:szCs w:val="21"/>
        </w:rPr>
        <w:t>20%</w:t>
      </w:r>
      <w:r w:rsidRPr="00CC51EF">
        <w:rPr>
          <w:rFonts w:asciiTheme="minorEastAsia" w:eastAsiaTheme="minorEastAsia" w:hAnsiTheme="minorEastAsia" w:cs="宋体" w:hint="eastAsia"/>
          <w:color w:val="000000" w:themeColor="text1"/>
          <w:szCs w:val="21"/>
        </w:rPr>
        <w:t>；在任何交易日内交易</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不包括平仓</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的股指期货合约的成交金额不得超过上一交易日基金资产净值的</w:t>
      </w:r>
      <w:r w:rsidRPr="00CC51EF">
        <w:rPr>
          <w:rFonts w:asciiTheme="minorEastAsia" w:eastAsiaTheme="minorEastAsia" w:hAnsiTheme="minorEastAsia" w:cs="宋体"/>
          <w:color w:val="000000" w:themeColor="text1"/>
          <w:szCs w:val="21"/>
        </w:rPr>
        <w:t>20%</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17</w:t>
      </w:r>
      <w:r w:rsidRPr="00CC51EF">
        <w:rPr>
          <w:rFonts w:asciiTheme="minorEastAsia" w:eastAsiaTheme="minorEastAsia" w:hAnsiTheme="minorEastAsia" w:cs="宋体" w:hint="eastAsia"/>
          <w:color w:val="000000" w:themeColor="text1"/>
          <w:szCs w:val="21"/>
        </w:rPr>
        <w:t>）本基金参与国债期货交易，应当遵守下列要求：在任何交易日日终，本基金持有的买入国债期货合约价值，不得超过基金资产净值的</w:t>
      </w:r>
      <w:r w:rsidRPr="00CC51EF">
        <w:rPr>
          <w:rFonts w:asciiTheme="minorEastAsia" w:eastAsiaTheme="minorEastAsia" w:hAnsiTheme="minorEastAsia" w:cs="宋体"/>
          <w:color w:val="000000" w:themeColor="text1"/>
          <w:szCs w:val="21"/>
        </w:rPr>
        <w:t>15%</w:t>
      </w:r>
      <w:r w:rsidRPr="00CC51EF">
        <w:rPr>
          <w:rFonts w:asciiTheme="minorEastAsia" w:eastAsiaTheme="minorEastAsia" w:hAnsiTheme="minorEastAsia" w:cs="宋体" w:hint="eastAsia"/>
          <w:color w:val="000000" w:themeColor="text1"/>
          <w:szCs w:val="21"/>
        </w:rPr>
        <w:t>；本基金在任何交易日日终，持有的卖出国债期货合约价值不得超过基金持有的债券总市值的</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；本基金在任何交易日内交易（不包括平仓）的国债期货合约的成交金额不得超过上一交易日基金资产净值的</w:t>
      </w:r>
      <w:r w:rsidRPr="00CC51EF">
        <w:rPr>
          <w:rFonts w:asciiTheme="minorEastAsia" w:eastAsiaTheme="minorEastAsia" w:hAnsiTheme="minorEastAsia" w:cs="宋体"/>
          <w:color w:val="000000" w:themeColor="text1"/>
          <w:szCs w:val="21"/>
        </w:rPr>
        <w:t>30%</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18</w:t>
      </w:r>
      <w:r w:rsidRPr="00CC51EF">
        <w:rPr>
          <w:rFonts w:asciiTheme="minorEastAsia" w:eastAsiaTheme="minorEastAsia" w:hAnsiTheme="minorEastAsia" w:cs="宋体" w:hint="eastAsia"/>
          <w:color w:val="000000" w:themeColor="text1"/>
          <w:szCs w:val="21"/>
        </w:rPr>
        <w:t>）基金参与融资业务后，在任何交易日日终，持有的融资买入股票与其他有价证券市值之和，不得超过基金资产净值的</w:t>
      </w:r>
      <w:r w:rsidRPr="00CC51EF">
        <w:rPr>
          <w:rFonts w:asciiTheme="minorEastAsia" w:eastAsiaTheme="minorEastAsia" w:hAnsiTheme="minorEastAsia" w:cs="宋体"/>
          <w:color w:val="000000" w:themeColor="text1"/>
          <w:szCs w:val="21"/>
        </w:rPr>
        <w:t>95%</w:t>
      </w:r>
      <w:r w:rsidRPr="00CC51EF">
        <w:rPr>
          <w:rFonts w:asciiTheme="minorEastAsia" w:eastAsiaTheme="minorEastAsia" w:hAnsiTheme="minorEastAsia" w:cs="宋体" w:hint="eastAsia"/>
          <w:color w:val="000000" w:themeColor="text1"/>
          <w:szCs w:val="21"/>
        </w:rPr>
        <w:t>；</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（19</w:t>
      </w:r>
      <w:r w:rsidRPr="00CC51EF">
        <w:rPr>
          <w:rFonts w:asciiTheme="minorEastAsia" w:eastAsiaTheme="minorEastAsia" w:hAnsiTheme="minorEastAsia" w:cs="宋体" w:hint="eastAsia"/>
          <w:color w:val="000000" w:themeColor="text1"/>
          <w:szCs w:val="21"/>
        </w:rPr>
        <w:t>）法律法规及中国证监会规定的其他投资比例限制。</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color w:val="000000" w:themeColor="text1"/>
          <w:szCs w:val="21"/>
        </w:rPr>
        <w:t>除上述</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9）、</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w:t>
      </w:r>
      <w:r w:rsidRPr="00CC51EF">
        <w:rPr>
          <w:rFonts w:asciiTheme="minorEastAsia" w:eastAsiaTheme="minorEastAsia" w:hAnsiTheme="minorEastAsia" w:cs="宋体"/>
          <w:color w:val="000000" w:themeColor="text1"/>
          <w:szCs w:val="21"/>
        </w:rPr>
        <w:t>（13）、（14）情形之外，因证券市场波动</w:t>
      </w:r>
      <w:r w:rsidRPr="00CC51EF">
        <w:rPr>
          <w:rFonts w:asciiTheme="minorEastAsia" w:eastAsiaTheme="minorEastAsia" w:hAnsiTheme="minorEastAsia" w:cs="宋体" w:hint="eastAsia"/>
          <w:color w:val="000000" w:themeColor="text1"/>
          <w:szCs w:val="21"/>
        </w:rPr>
        <w:t>、上市公司合并、基金规模变动等基金管理人之外的因素致使基金投资比例不符合上述规定投资比例的，基金管理人应当在</w:t>
      </w:r>
      <w:r w:rsidRPr="00CC51EF">
        <w:rPr>
          <w:rFonts w:asciiTheme="minorEastAsia" w:eastAsiaTheme="minorEastAsia" w:hAnsiTheme="minorEastAsia" w:cs="宋体"/>
          <w:color w:val="000000" w:themeColor="text1"/>
          <w:szCs w:val="21"/>
        </w:rPr>
        <w:t>10</w:t>
      </w:r>
      <w:r w:rsidRPr="00CC51EF">
        <w:rPr>
          <w:rFonts w:asciiTheme="minorEastAsia" w:eastAsiaTheme="minorEastAsia" w:hAnsiTheme="minorEastAsia" w:cs="宋体" w:hint="eastAsia"/>
          <w:color w:val="000000" w:themeColor="text1"/>
          <w:szCs w:val="21"/>
        </w:rPr>
        <w:t>个交易日内进行调整，但中国证监会规定的特殊情形除外。</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如果法律法规或监管部门对上述投资组合比例限制进行变更的，以变更后的规定为准。法律法规或监管部门取消上述限制，则本基金投资不再受相关限制，自动遵守届时有</w:t>
      </w:r>
      <w:r w:rsidRPr="00CC51EF">
        <w:rPr>
          <w:rFonts w:asciiTheme="minorEastAsia" w:eastAsiaTheme="minorEastAsia" w:hAnsiTheme="minorEastAsia" w:cs="宋体" w:hint="eastAsia"/>
          <w:color w:val="000000" w:themeColor="text1"/>
          <w:szCs w:val="21"/>
        </w:rPr>
        <w:t>效的法律法规或监管规定，不需另行召开基金份额持有人大会。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托管人应根据有关法律法规的规定及《基金合同》的约定，对基金资产净值计算、基金份额净值计算、应收资金到账、基金费用开支及收入确定、基金收益分配、相关信息披露登载基金业绩表现数据等进行复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（五）基金管理人应积极配合和协助基金托管人的监督和核查，包括但不限于：在规定时间内答复基金托管人并改正，就基金托管人的疑义进行解释或举证，提供相关数据资料和制度等。</w:t>
      </w:r>
    </w:p>
    <w:p w:rsidR="001B2ECA" w:rsidRPr="00CC51EF">
      <w:pPr>
        <w:spacing w:line="360" w:lineRule="auto"/>
        <w:ind w:firstLine="420"/>
        <w:rPr>
          <w:rFonts w:asciiTheme="minorEastAsia" w:eastAsiaTheme="minorEastAsia" w:hAnsiTheme="minorEastAsia" w:cs="宋体"/>
          <w:color w:val="000000" w:themeColor="text1"/>
          <w:szCs w:val="21"/>
        </w:rPr>
      </w:pPr>
      <w:bookmarkStart w:id="114" w:name="_Hlt73429199"/>
      <w:bookmarkEnd w:id="114"/>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三、基金管理人对基金托管人的业务核查</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等投资所需账户、复核基金管理人计算的基金资产净值和基金份额净值、</w:t>
      </w:r>
      <w:r w:rsidRPr="00CC51EF">
        <w:rPr>
          <w:rFonts w:asciiTheme="minorEastAsia" w:eastAsiaTheme="minorEastAsia" w:hAnsiTheme="minorEastAsia" w:cs="宋体" w:hint="eastAsia"/>
          <w:color w:val="000000" w:themeColor="text1"/>
          <w:szCs w:val="21"/>
        </w:rPr>
        <w:t>根据基金管理人指令办理清算交收、相关信息披露和监督基金投资运作等行为。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3、基金托管人应积极配合基金管理人的核查行为，包括但不限于：提交相关资料以供基金管理人核查托管财产的完整性和真实性，在规定时间内答复基金管理人并改正。</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四、基金财产的保管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（一）基金财产保管的原则</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1、基金财产应独立于基金管理人、基金托管人的固有财产。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2、基金托管人应安全保管基金财产，未经基金管理人的合法合规指令或法律法规、《基金合同》及本协议另有规定，不得自行运用、处分、分配基金的任何财产。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3、基金托管人按照规定开设基金财产的资金账户、证券账户等投资所需账户。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4、基金托管人对所托管的不同基金财产分别设置账户，确保基金财产的完整与独立。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5、除依据《基金法》、《运作办法》、《基金合同》及其他有关法律法规规定外，基金托管人不得委托第三人托管基金财产。</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（二）基金合同生效前募集资金的验资和入账</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募集期满或基金管理人宣布停止募集时，募集的基金份额总额、基金募集金额、基金份额持有人人数符合《基金法》、《运作办法》等有关规定的，由基金管理人在法定期限内聘请符合《证券法》规定的会计师事务所对基金进行验资，并出具验资报告，出具的验资报告应由参加验资的</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名以上（含</w:t>
      </w:r>
      <w:r w:rsidRPr="00CC51EF">
        <w:rPr>
          <w:rFonts w:asciiTheme="minorEastAsia" w:eastAsiaTheme="minorEastAsia" w:hAnsiTheme="minorEastAsia" w:cs="宋体"/>
          <w:color w:val="000000" w:themeColor="text1"/>
          <w:szCs w:val="21"/>
        </w:rPr>
        <w:t>2</w:t>
      </w:r>
      <w:r w:rsidRPr="00CC51EF">
        <w:rPr>
          <w:rFonts w:asciiTheme="minorEastAsia" w:eastAsiaTheme="minorEastAsia" w:hAnsiTheme="minorEastAsia" w:cs="宋体" w:hint="eastAsia"/>
          <w:color w:val="000000" w:themeColor="text1"/>
          <w:szCs w:val="21"/>
        </w:rPr>
        <w:t>名）中国注册会计师签字方为有效。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2、基金管理人应将属于本基金财产的全部资金划入在基金托管人处为本基金开立的基金银行账户中，并确保划入的资金与验资确认金额相一致。</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（三）基金的银行账户的开设和管理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1、基金托管人应负责本基金的银行账户的开设和管理。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2、基金托管人以本基金的名义开设本基金的银行账户。本基金的银行预留印鉴由基金</w:t>
      </w:r>
      <w:r w:rsidRPr="00CC51EF">
        <w:rPr>
          <w:rFonts w:asciiTheme="minorEastAsia" w:eastAsiaTheme="minorEastAsia" w:hAnsiTheme="minorEastAsia" w:cs="宋体" w:hint="eastAsia"/>
          <w:color w:val="000000" w:themeColor="text1"/>
          <w:szCs w:val="21"/>
        </w:rPr>
        <w:t>托管人保管和使用。本基金的一切货币收支活动，包括但不限于投资、支付赎回金额、支付基金收益、收取申购款，均需通过本基金的银行账户进行。</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4、基金银行账户的管理应符合法律法规的有关规定。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（四）基金进行定期存款投资的账户开设和管理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（五）基金证券账户、结算备付金账户及其他投资账户的开设和管理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1、基金托管人应当代表本基金，以基金托管人和本基金联名的方式在中国证券登记结算有限责任公司开设证券账户。</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2、本基金证券账户的开立和使用，限于满足开展本基金业务的需要。基金托管人和基金管理人不得出借或转让本基金的证券账户，亦不得使用本基金的证券账户进行本基金业务以外的活动。</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w:t>
      </w:r>
      <w:r w:rsidRPr="00CC51EF">
        <w:rPr>
          <w:rFonts w:asciiTheme="minorEastAsia" w:eastAsiaTheme="minorEastAsia" w:hAnsiTheme="minorEastAsia" w:cs="宋体"/>
          <w:color w:val="000000" w:themeColor="text1"/>
          <w:szCs w:val="21"/>
        </w:rPr>
        <w:t>基金托管人以自身法人名义在中国证券登记结算</w:t>
      </w:r>
      <w:r w:rsidRPr="00CC51EF">
        <w:rPr>
          <w:rFonts w:asciiTheme="minorEastAsia" w:eastAsiaTheme="minorEastAsia" w:hAnsiTheme="minorEastAsia" w:cs="宋体" w:hint="eastAsia"/>
          <w:color w:val="000000" w:themeColor="text1"/>
          <w:szCs w:val="21"/>
        </w:rPr>
        <w:t>有限责任</w:t>
      </w:r>
      <w:r w:rsidRPr="00CC51EF">
        <w:rPr>
          <w:rFonts w:asciiTheme="minorEastAsia" w:eastAsiaTheme="minorEastAsia" w:hAnsiTheme="minorEastAsia" w:cs="宋体"/>
          <w:color w:val="000000" w:themeColor="text1"/>
          <w:szCs w:val="21"/>
        </w:rPr>
        <w:t>公司开立结算备付金账户，用于办理基金托管人所托管的</w:t>
      </w:r>
      <w:r w:rsidRPr="00CC51EF">
        <w:rPr>
          <w:rFonts w:asciiTheme="minorEastAsia" w:eastAsiaTheme="minorEastAsia" w:hAnsiTheme="minorEastAsia" w:cs="宋体" w:hint="eastAsia"/>
          <w:color w:val="000000" w:themeColor="text1"/>
          <w:szCs w:val="21"/>
        </w:rPr>
        <w:t>包括本基金在内的</w:t>
      </w:r>
      <w:r w:rsidRPr="00CC51EF">
        <w:rPr>
          <w:rFonts w:asciiTheme="minorEastAsia" w:eastAsiaTheme="minorEastAsia" w:hAnsiTheme="minorEastAsia" w:cs="宋体"/>
          <w:color w:val="000000" w:themeColor="text1"/>
          <w:szCs w:val="21"/>
        </w:rPr>
        <w:t>全部基金在证券交易所进行证券投资所涉及的资金结算业务。结算备付金的收取按照中国证券登记结算</w:t>
      </w:r>
      <w:r w:rsidRPr="00CC51EF">
        <w:rPr>
          <w:rFonts w:asciiTheme="minorEastAsia" w:eastAsiaTheme="minorEastAsia" w:hAnsiTheme="minorEastAsia" w:cs="宋体" w:hint="eastAsia"/>
          <w:color w:val="000000" w:themeColor="text1"/>
          <w:szCs w:val="21"/>
        </w:rPr>
        <w:t>有限责任</w:t>
      </w:r>
      <w:r w:rsidRPr="00CC51EF">
        <w:rPr>
          <w:rFonts w:asciiTheme="minorEastAsia" w:eastAsiaTheme="minorEastAsia" w:hAnsiTheme="minorEastAsia" w:cs="宋体"/>
          <w:color w:val="000000" w:themeColor="text1"/>
          <w:szCs w:val="21"/>
        </w:rPr>
        <w:t>公司的规定执行。</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4、在本托管协议生效日之后，本基金被允许从事其他投资品种的投资业务的，涉及相关账户的开设、使用的，若无相关规定，则基金托管人应当比照并遵守上述关于账户开设、使用的规定。</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（六）债券托管专户的开设和管理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（七）基金财产投资的有关有价凭证的保管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基金财产投资的实物证券、银行定期存款存单等有价凭证由基金托管人负责妥善保管。基金托管人对其以外机构实际有效控制的有价凭证不承担责任。</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（八）与基金财产有关的重大合同及有关凭证的保管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五、基金资产净值计算与复核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（一）基金资产净值的计算和复核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1、基金资产净值是指基金资产总值减去负债后的价值。基金份额净值是指计算日基金资产净值除以计算日该基金份额总数后的价值。</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w:t>
      </w:r>
      <w:r w:rsidRPr="00CC51EF">
        <w:rPr>
          <w:rFonts w:asciiTheme="minorEastAsia" w:eastAsiaTheme="minorEastAsia" w:hAnsiTheme="minorEastAsia" w:cs="宋体"/>
          <w:color w:val="000000" w:themeColor="text1"/>
          <w:szCs w:val="21"/>
        </w:rPr>
        <w:t>、基金管理人应每个估值日对基金财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估值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3、当相关法律法规或《基金合同》规定的估值方法不能客观反映基金财产公允价值时，基金管理人可根据具体情况</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并与基金托管人商定后</w:t>
      </w:r>
      <w:r w:rsidRPr="00CC51EF">
        <w:rPr>
          <w:rFonts w:asciiTheme="minorEastAsia" w:eastAsiaTheme="minorEastAsia" w:hAnsiTheme="minorEastAsia" w:cs="宋体"/>
          <w:color w:val="000000" w:themeColor="text1"/>
          <w:szCs w:val="21"/>
        </w:rPr>
        <w:t>，</w:t>
      </w:r>
      <w:r w:rsidRPr="00CC51EF">
        <w:rPr>
          <w:rFonts w:asciiTheme="minorEastAsia" w:eastAsiaTheme="minorEastAsia" w:hAnsiTheme="minorEastAsia" w:cs="宋体" w:hint="eastAsia"/>
          <w:color w:val="000000" w:themeColor="text1"/>
          <w:szCs w:val="21"/>
        </w:rPr>
        <w:t>按最能反映公允价值的价格估值。</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4、基金管理人、基金托管人发现基金估值违反《基金合同》订明的估值方法、程序以及相关法律法规的规定或者未能充分维护基金份额持有人利益时，双方应及时进行协商和纠正。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5、当基金资产的估值导致基金份额净值小数点后四位内（含第四位）发生差错时，视为基金份额净值估值错误。当基金份额净值出现错误时，基金管理人应当立即予以纠正，</w:t>
      </w:r>
      <w:r w:rsidRPr="00CC51EF">
        <w:rPr>
          <w:rFonts w:asciiTheme="minorEastAsia" w:eastAsiaTheme="minorEastAsia" w:hAnsiTheme="minorEastAsia" w:cs="宋体" w:hint="eastAsia"/>
          <w:color w:val="000000" w:themeColor="text1"/>
          <w:szCs w:val="21"/>
        </w:rPr>
        <w:t>并采取合理的措施防止损失进一步扩大；当计价错误达到基金份额净值的</w:t>
      </w:r>
      <w:r w:rsidRPr="00CC51EF">
        <w:rPr>
          <w:rFonts w:asciiTheme="minorEastAsia" w:eastAsiaTheme="minorEastAsia" w:hAnsiTheme="minorEastAsia" w:cs="宋体"/>
          <w:color w:val="000000" w:themeColor="text1"/>
          <w:szCs w:val="21"/>
        </w:rPr>
        <w:t>0.</w:t>
      </w:r>
      <w:r w:rsidRPr="00CC51EF">
        <w:rPr>
          <w:rFonts w:asciiTheme="minorEastAsia" w:eastAsiaTheme="minorEastAsia" w:hAnsiTheme="minorEastAsia" w:cs="宋体" w:hint="eastAsia"/>
          <w:color w:val="000000" w:themeColor="text1"/>
          <w:szCs w:val="21"/>
        </w:rPr>
        <w:t>2</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时，基金管理人应当通知基金托管人；当计价错误达到基金份额净值的</w:t>
      </w:r>
      <w:r w:rsidRPr="00CC51EF">
        <w:rPr>
          <w:rFonts w:asciiTheme="minorEastAsia" w:eastAsiaTheme="minorEastAsia" w:hAnsiTheme="minorEastAsia" w:cs="宋体"/>
          <w:color w:val="000000" w:themeColor="text1"/>
          <w:szCs w:val="21"/>
        </w:rPr>
        <w:t>0.5%</w:t>
      </w:r>
      <w:r w:rsidRPr="00CC51EF">
        <w:rPr>
          <w:rFonts w:asciiTheme="minorEastAsia" w:eastAsiaTheme="minorEastAsia" w:hAnsiTheme="minorEastAsia" w:cs="宋体" w:hint="eastAsia"/>
          <w:color w:val="000000" w:themeColor="text1"/>
          <w:szCs w:val="21"/>
        </w:rPr>
        <w:t>时，基金管理人应当在报中国证监会备案的同时及时进行公告。</w:t>
      </w:r>
      <w:r w:rsidRPr="00CC51EF">
        <w:rPr>
          <w:rFonts w:asciiTheme="minorEastAsia" w:eastAsiaTheme="minorEastAsia" w:hAnsiTheme="minorEastAsia" w:cs="宋体"/>
          <w:color w:val="000000" w:themeColor="text1"/>
          <w:szCs w:val="21"/>
        </w:rPr>
        <w:t>如法律法规或监管机关</w:t>
      </w:r>
      <w:r w:rsidRPr="00CC51EF">
        <w:rPr>
          <w:rFonts w:asciiTheme="minorEastAsia" w:eastAsiaTheme="minorEastAsia" w:hAnsiTheme="minorEastAsia" w:cs="宋体" w:hint="eastAsia"/>
          <w:color w:val="000000" w:themeColor="text1"/>
          <w:szCs w:val="21"/>
        </w:rPr>
        <w:t>对</w:t>
      </w:r>
      <w:r w:rsidRPr="00CC51EF">
        <w:rPr>
          <w:rFonts w:asciiTheme="minorEastAsia" w:eastAsiaTheme="minorEastAsia" w:hAnsiTheme="minorEastAsia" w:cs="宋体"/>
          <w:color w:val="000000" w:themeColor="text1"/>
          <w:szCs w:val="21"/>
        </w:rPr>
        <w:t>前述内容另有规定的，按其规定处理。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7、 由于证券交易所、期货交易所、登记结算公司、第三方估值机构发送的数据错误，或由于其他不可抗力原因，</w:t>
      </w:r>
      <w:r w:rsidRPr="00CC51EF">
        <w:rPr>
          <w:rFonts w:asciiTheme="minorEastAsia" w:eastAsiaTheme="minorEastAsia" w:hAnsiTheme="minorEastAsia" w:cs="宋体"/>
          <w:color w:val="000000" w:themeColor="text1"/>
          <w:szCs w:val="21"/>
        </w:rPr>
        <w:t>基金管理人和基金托管人虽然已经采取必要、适当、合理的措施进行检查，但是未能发现该错误的，由此造成的基金资产估值错误，基金管理人和基金托管人免除赔偿责任。但基金管理人和基金托管人应当积极采取必要的措施</w:t>
      </w:r>
      <w:r w:rsidRPr="00CC51EF">
        <w:rPr>
          <w:rFonts w:asciiTheme="minorEastAsia" w:eastAsiaTheme="minorEastAsia" w:hAnsiTheme="minorEastAsia" w:cs="宋体" w:hint="eastAsia"/>
          <w:color w:val="000000" w:themeColor="text1"/>
          <w:szCs w:val="21"/>
        </w:rPr>
        <w:t>减轻或</w:t>
      </w:r>
      <w:r w:rsidRPr="00CC51EF">
        <w:rPr>
          <w:rFonts w:asciiTheme="minorEastAsia" w:eastAsiaTheme="minorEastAsia" w:hAnsiTheme="minorEastAsia" w:cs="宋体"/>
          <w:color w:val="000000" w:themeColor="text1"/>
          <w:szCs w:val="21"/>
        </w:rPr>
        <w:t>消除由此造成的影响。</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（二）基金会计核算</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1、基金账册的建立</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2、会计数据和财务指标的核对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基金管理人和基金托管人应定期就会计数据和财务指标进行核对。如发现存在不符，双方应及时查明原因并纠正。</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3、基金财务报表和定期报告的编制和复核</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基金财务报表由基金管理人和基金托管人每月分别独立编制。月度报表的编制，应于每月终了后</w:t>
      </w:r>
      <w:r w:rsidRPr="00CC51EF">
        <w:rPr>
          <w:rFonts w:asciiTheme="minorEastAsia" w:eastAsiaTheme="minorEastAsia" w:hAnsiTheme="minorEastAsia" w:cs="宋体"/>
          <w:color w:val="000000" w:themeColor="text1"/>
          <w:szCs w:val="21"/>
        </w:rPr>
        <w:t>5</w:t>
      </w:r>
      <w:r w:rsidRPr="00CC51EF">
        <w:rPr>
          <w:rFonts w:asciiTheme="minorEastAsia" w:eastAsiaTheme="minorEastAsia" w:hAnsiTheme="minorEastAsia" w:cs="宋体" w:hint="eastAsia"/>
          <w:color w:val="000000" w:themeColor="text1"/>
          <w:szCs w:val="21"/>
        </w:rPr>
        <w:t>个工作日内完成；《基金合同》生效后，招募说明书的信息发生重大变更的，基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（三）实施侧袋机制期间的基金资产估值</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本基金实施侧袋机制的，应根据本部分的约定对主袋账户资产进行估值并披露主袋账户的基金资产净值和份额净值，暂停披露侧袋账户份额净值。</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六、基金份额持有人名册的保管</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w:t>
      </w:r>
      <w:r w:rsidRPr="00CC51EF">
        <w:rPr>
          <w:rFonts w:asciiTheme="minorEastAsia" w:eastAsiaTheme="minorEastAsia" w:hAnsiTheme="minorEastAsia" w:cs="宋体" w:hint="eastAsia"/>
          <w:color w:val="000000" w:themeColor="text1"/>
          <w:szCs w:val="21"/>
        </w:rPr>
        <w:t>有权机关另有要求的除外。如不能妥善保管，则按相关法规承担责任。</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在基金托管人要求或编制中期</w:t>
      </w:r>
      <w:r w:rsidRPr="00CC51EF">
        <w:rPr>
          <w:rFonts w:asciiTheme="minorEastAsia" w:eastAsiaTheme="minorEastAsia" w:hAnsiTheme="minorEastAsia" w:cs="宋体"/>
          <w:color w:val="000000" w:themeColor="text1"/>
          <w:szCs w:val="21"/>
        </w:rPr>
        <w:t>报告</w:t>
      </w:r>
      <w:r w:rsidRPr="00CC51EF">
        <w:rPr>
          <w:rFonts w:asciiTheme="minorEastAsia" w:eastAsiaTheme="minorEastAsia" w:hAnsiTheme="minorEastAsia" w:cs="宋体" w:hint="eastAsia"/>
          <w:color w:val="000000" w:themeColor="text1"/>
          <w:szCs w:val="21"/>
        </w:rPr>
        <w:t>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七、争议解决方式</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（一）本协议适用中华人民共和国法律（为本协议之目的，不包括香港特别行政区、澳门特别行政区和台湾地区法律）并从其解释。</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（三）除争议所涉的内容之外，本协议的当事人仍应履行本协议的其他规定。</w:t>
      </w:r>
    </w:p>
    <w:p w:rsidR="001B2ECA" w:rsidRPr="00CC51EF">
      <w:pPr>
        <w:spacing w:line="360" w:lineRule="auto"/>
        <w:ind w:firstLine="420"/>
        <w:rPr>
          <w:rFonts w:asciiTheme="minorEastAsia" w:eastAsiaTheme="minorEastAsia" w:hAnsiTheme="minorEastAsia" w:cs="宋体"/>
          <w:color w:val="000000" w:themeColor="text1"/>
          <w:szCs w:val="21"/>
        </w:rPr>
      </w:pP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八、托管协议的修改与终止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（一）托管协议的变更</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本协议双方当事人经协商一致，可以对协议进行变更。变更后的新协议，其内容不得与《基金合同》的规定有任何冲突。变更后的新协议应当报中国证监会备案。</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（二）托管协议的终止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发生以下情况，本托管协议应当终止：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1、《基金合同》终止；</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2、本基金更换基金托管人；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3、本基金更换基金管理人；</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4、发生《基金法》、《运作办法》或其他法律法规规定的终止事项。</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（三）基金财产的清算</w:t>
      </w:r>
    </w:p>
    <w:p w:rsidR="001B2ECA" w:rsidRPr="00CC51EF">
      <w:pPr>
        <w:spacing w:line="360" w:lineRule="auto"/>
        <w:ind w:firstLine="420"/>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基金管理人和基金托管人应按照《基金合同》及有关法律法规的规定对本基金的财产进行清算。</w:t>
      </w:r>
    </w:p>
    <w:p w:rsidR="001B2ECA" w:rsidRPr="00CC51EF">
      <w:pPr>
        <w:pStyle w:val="11"/>
        <w:pageBreakBefore/>
        <w:spacing w:before="317" w:after="317" w:line="360" w:lineRule="auto"/>
        <w:ind w:firstLine="600"/>
        <w:rPr>
          <w:rFonts w:asciiTheme="minorEastAsia" w:eastAsiaTheme="minorEastAsia" w:hAnsiTheme="minorEastAsia"/>
          <w:bCs/>
          <w:color w:val="000000" w:themeColor="text1"/>
        </w:rPr>
      </w:pPr>
      <w:bookmarkStart w:id="115" w:name="_Toc134548091"/>
      <w:r w:rsidRPr="00CC51EF">
        <w:rPr>
          <w:rFonts w:asciiTheme="minorEastAsia" w:eastAsiaTheme="minorEastAsia" w:hAnsiTheme="minorEastAsia" w:hint="eastAsia"/>
          <w:color w:val="000000" w:themeColor="text1"/>
          <w:sz w:val="30"/>
        </w:rPr>
        <w:t>二</w:t>
      </w:r>
      <w:bookmarkStart w:id="116" w:name="_Toc332373591"/>
      <w:r w:rsidRPr="00CC51EF">
        <w:rPr>
          <w:rFonts w:asciiTheme="minorEastAsia" w:eastAsiaTheme="minorEastAsia" w:hAnsiTheme="minorEastAsia" w:hint="eastAsia"/>
          <w:color w:val="000000" w:themeColor="text1"/>
          <w:sz w:val="30"/>
        </w:rPr>
        <w:t>十</w:t>
      </w:r>
      <w:r w:rsidRPr="00CC51EF">
        <w:rPr>
          <w:rFonts w:asciiTheme="minorEastAsia" w:eastAsiaTheme="minorEastAsia" w:hAnsiTheme="minorEastAsia"/>
          <w:color w:val="000000" w:themeColor="text1"/>
          <w:sz w:val="30"/>
        </w:rPr>
        <w:t>四</w:t>
      </w:r>
      <w:r w:rsidRPr="00CC51EF">
        <w:rPr>
          <w:rFonts w:asciiTheme="minorEastAsia" w:eastAsiaTheme="minorEastAsia" w:hAnsiTheme="minorEastAsia" w:hint="eastAsia"/>
          <w:color w:val="000000" w:themeColor="text1"/>
          <w:sz w:val="30"/>
        </w:rPr>
        <w:t>、对基金份额持有人的服务</w:t>
      </w:r>
      <w:bookmarkEnd w:id="116"/>
      <w:bookmarkEnd w:id="115"/>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（一）基金份额持有人投资交易确认服务</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册登记机构保留基金份额持有人名册上列明的所有基金份额持有人的基金交易记录。我公司根据在直销网点进行交易的投资人的要求提供成交确认单。非直销销售机构基金份额持有人投资交易确认服务请参照各销售机构实际业务流程及规定。</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（二）基金份额持有人交易记录查询服务</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本基金份额持有人可通过基金管理人的客户服务中心查询历史交易记录。</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（三）基金份额持有人的对账单服务</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1、基金份额持有人可登录本公司网站</w:t>
      </w:r>
      <w:r w:rsidRPr="00CC51EF">
        <w:rPr>
          <w:rFonts w:asciiTheme="minorEastAsia" w:eastAsiaTheme="minorEastAsia" w:hAnsiTheme="minorEastAsia" w:hint="eastAsia"/>
          <w:color w:val="000000" w:themeColor="text1"/>
          <w:szCs w:val="21"/>
        </w:rPr>
        <w:t>（http://www.efunds.com.cn）</w:t>
      </w:r>
      <w:r w:rsidRPr="00CC51EF">
        <w:rPr>
          <w:rFonts w:asciiTheme="minorEastAsia" w:eastAsiaTheme="minorEastAsia" w:hAnsiTheme="minorEastAsia" w:hint="eastAsia"/>
          <w:color w:val="000000" w:themeColor="text1"/>
        </w:rPr>
        <w:t>查阅对账单。</w:t>
      </w:r>
    </w:p>
    <w:p w:rsidR="00CD4BDF" w:rsidRPr="00CC51EF" w:rsidP="00BB2E97">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w:t>
      </w:r>
      <w:r w:rsidRPr="00CC51EF">
        <w:rPr>
          <w:rFonts w:asciiTheme="minorEastAsia" w:eastAsiaTheme="minorEastAsia" w:hAnsiTheme="minor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w:t>
      </w:r>
    </w:p>
    <w:p w:rsidR="001B2ECA" w:rsidRPr="00CC51EF" w:rsidP="00BB2E97">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具体查阅和定制账单的方法可参见本公司网站或拨打客服热线咨询。</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（四）定期定额投资计划</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基金管理人可利用非直销销售机构网点和本公司</w:t>
      </w:r>
      <w:r w:rsidRPr="00CC51EF">
        <w:rPr>
          <w:rFonts w:asciiTheme="minorEastAsia" w:eastAsiaTheme="minorEastAsia" w:hAnsiTheme="minorEastAsia" w:hint="eastAsia"/>
          <w:color w:val="000000" w:themeColor="text1"/>
          <w:szCs w:val="21"/>
        </w:rPr>
        <w:t>网上直销系统</w:t>
      </w:r>
      <w:r w:rsidRPr="00CC51EF">
        <w:rPr>
          <w:rFonts w:asciiTheme="minorEastAsia" w:eastAsiaTheme="minorEastAsia" w:hAnsiTheme="minorEastAsia" w:hint="eastAsia"/>
          <w:color w:val="000000" w:themeColor="text1"/>
        </w:rPr>
        <w:t>为投资者提供定期定额投资的</w:t>
      </w:r>
      <w:r w:rsidRPr="00CC51EF">
        <w:rPr>
          <w:rFonts w:asciiTheme="minorEastAsia" w:eastAsiaTheme="minorEastAsia" w:hAnsiTheme="minorEastAsia" w:hint="eastAsia"/>
          <w:color w:val="000000" w:themeColor="text1"/>
          <w:szCs w:val="21"/>
        </w:rPr>
        <w:t>服务（本公司网上直销系统的定期定额投资服务目前仅对个人投资者开通）。</w:t>
      </w:r>
      <w:r w:rsidRPr="00CC51EF">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（五）资讯服务</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1、客户服务电话</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投资者如果想了解基金产品、服务等信息</w:t>
      </w:r>
      <w:r w:rsidRPr="00CC51EF">
        <w:rPr>
          <w:rFonts w:asciiTheme="minorEastAsia" w:eastAsiaTheme="minorEastAsia" w:hAnsiTheme="minorEastAsia" w:hint="eastAsia"/>
          <w:color w:val="000000" w:themeColor="text1"/>
          <w:szCs w:val="21"/>
        </w:rPr>
        <w:t>，</w:t>
      </w:r>
      <w:r w:rsidRPr="00CC51EF">
        <w:rPr>
          <w:rFonts w:asciiTheme="minorEastAsia" w:eastAsiaTheme="minorEastAsia" w:hAnsiTheme="minorEastAsia" w:hint="eastAsia"/>
          <w:color w:val="000000" w:themeColor="text1"/>
        </w:rPr>
        <w:t>或反馈投资过程中需要投诉与建议的情况，可拨打如下电话：4008818088。</w:t>
      </w:r>
      <w:r w:rsidRPr="00CC51EF">
        <w:rPr>
          <w:rFonts w:asciiTheme="minorEastAsia" w:eastAsiaTheme="minorEastAsia" w:hAnsiTheme="minorEastAsia" w:hint="eastAsia"/>
          <w:color w:val="000000" w:themeColor="text1"/>
          <w:szCs w:val="21"/>
        </w:rPr>
        <w:t>投资者如果认为自己不能准确理解本基金《招募说明书》、《基金合同》的具体内容，也可拨打上述电话详询。</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2、互联网站及电子信箱</w:t>
      </w:r>
    </w:p>
    <w:p w:rsidR="001B2ECA" w:rsidRPr="00CC51EF">
      <w:pPr>
        <w:spacing w:line="360" w:lineRule="auto"/>
        <w:ind w:firstLine="420"/>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网址：http://www.efunds.com.cn</w:t>
      </w:r>
    </w:p>
    <w:p w:rsidR="001B2ECA" w:rsidRPr="00CC51EF">
      <w:pPr>
        <w:pStyle w:val="BodyTextFirstIndent"/>
        <w:spacing w:after="0" w:line="360" w:lineRule="auto"/>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szCs w:val="21"/>
        </w:rPr>
        <w:t>电子信箱：service@efunds.com.cn</w:t>
      </w:r>
      <w:r w:rsidRPr="00CC51EF">
        <w:rPr>
          <w:rFonts w:asciiTheme="minorEastAsia" w:eastAsiaTheme="minorEastAsia" w:hAnsiTheme="minorEastAsia" w:hint="eastAsia"/>
          <w:color w:val="000000" w:themeColor="text1"/>
        </w:rPr>
        <w:t xml:space="preserve"> </w:t>
      </w:r>
    </w:p>
    <w:p w:rsidR="001B2ECA" w:rsidRPr="00CC51EF">
      <w:pPr>
        <w:pStyle w:val="11"/>
        <w:pageBreakBefore/>
        <w:spacing w:before="317" w:after="317" w:line="360" w:lineRule="auto"/>
        <w:ind w:firstLine="2550"/>
        <w:jc w:val="both"/>
        <w:rPr>
          <w:rFonts w:asciiTheme="minorEastAsia" w:eastAsiaTheme="minorEastAsia" w:hAnsiTheme="minorEastAsia"/>
          <w:color w:val="000000" w:themeColor="text1"/>
        </w:rPr>
      </w:pPr>
      <w:bookmarkStart w:id="117" w:name="_Toc134548092"/>
      <w:r w:rsidRPr="00CC51EF">
        <w:rPr>
          <w:rFonts w:asciiTheme="minorEastAsia" w:eastAsiaTheme="minorEastAsia" w:hAnsiTheme="minorEastAsia" w:hint="eastAsia"/>
          <w:color w:val="000000" w:themeColor="text1"/>
          <w:sz w:val="30"/>
        </w:rPr>
        <w:t>二</w:t>
      </w:r>
      <w:bookmarkStart w:id="118" w:name="_Toc332373592"/>
      <w:r w:rsidRPr="00CC51EF">
        <w:rPr>
          <w:rFonts w:asciiTheme="minorEastAsia" w:eastAsiaTheme="minorEastAsia" w:hAnsiTheme="minorEastAsia" w:hint="eastAsia"/>
          <w:color w:val="000000" w:themeColor="text1"/>
          <w:sz w:val="30"/>
        </w:rPr>
        <w:t>十五、其他应披露事项</w:t>
      </w:r>
      <w:bookmarkEnd w:id="118"/>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5"/>
        <w:gridCol w:w="1467"/>
      </w:tblGrid>
      <w:tr w:rsidTr="00FE37F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0"/>
        </w:trPr>
        <w:tc>
          <w:tcPr>
            <w:tcW w:w="4139" w:type="pct"/>
            <w:shd w:val="clear" w:color="auto" w:fill="auto"/>
            <w:noWrap/>
            <w:vAlign w:val="bottom"/>
            <w:hideMark/>
          </w:tcPr>
          <w:p w:rsidR="007A367C" w:rsidRPr="00CC51EF" w:rsidP="00FE37F6">
            <w:pPr>
              <w:widowControl/>
              <w:pBdr>
                <w:top w:val="none" w:sz="0" w:space="0" w:color="auto"/>
                <w:left w:val="none" w:sz="0" w:space="0" w:color="auto"/>
                <w:bottom w:val="none" w:sz="0" w:space="0" w:color="auto"/>
                <w:right w:val="none" w:sz="0" w:space="0" w:color="auto"/>
                <w:between w:val="none" w:sz="0" w:space="0" w:color="auto"/>
              </w:pBdr>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公告事项</w:t>
            </w:r>
          </w:p>
        </w:tc>
        <w:tc>
          <w:tcPr>
            <w:tcW w:w="861" w:type="pct"/>
            <w:shd w:val="clear" w:color="auto" w:fill="auto"/>
            <w:noWrap/>
            <w:vAlign w:val="bottom"/>
            <w:hideMark/>
          </w:tcPr>
          <w:p w:rsidR="007A367C" w:rsidRPr="00CC51EF" w:rsidP="00FE37F6">
            <w:pPr>
              <w:widowControl/>
              <w:pBdr>
                <w:top w:val="none" w:sz="0" w:space="0" w:color="auto"/>
                <w:left w:val="none" w:sz="0" w:space="0" w:color="auto"/>
                <w:bottom w:val="none" w:sz="0" w:space="0" w:color="auto"/>
                <w:right w:val="none" w:sz="0" w:space="0" w:color="auto"/>
                <w:between w:val="none" w:sz="0" w:space="0" w:color="auto"/>
              </w:pBdr>
              <w:jc w:val="center"/>
              <w:rPr>
                <w:rFonts w:asciiTheme="minorEastAsia" w:eastAsiaTheme="minorEastAsia" w:hAnsiTheme="minorEastAsia" w:cs="宋体"/>
                <w:color w:val="000000" w:themeColor="text1"/>
                <w:szCs w:val="21"/>
              </w:rPr>
            </w:pPr>
            <w:r w:rsidRPr="00CC51EF">
              <w:rPr>
                <w:rFonts w:asciiTheme="minorEastAsia" w:eastAsiaTheme="minorEastAsia" w:hAnsiTheme="minorEastAsia" w:cs="宋体" w:hint="eastAsia"/>
                <w:color w:val="000000" w:themeColor="text1"/>
                <w:szCs w:val="21"/>
              </w:rPr>
              <w:t>披露日期</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易方达基金管理有限公司旗下基金2021年第3季度报告提示性公告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2021-10-27</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2021-11-15</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易方达基金管理有限公司关于旗下部分基金获配欣旺达（300207）非公开发行A股的公告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2021-11-20</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易方达基金管理有限公司关于成都分公司营业场所变更的公告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2021-12-17</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易方达战略新兴产业股票型证券投资基金2021年12月24日至2021年12月27日暂停申购、赎回、转换及定期定额投资业务的公告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2021-12-21</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易方达战略新兴产业股票型证券投资基金2021年12月29日至2021年12月31日暂停申购、赎回、转换及定期定额投资业务的公告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2021-12-24</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2022-01-01</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易方达基金管理有限公司关于公司住所变更的公告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2022-01-07</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易方达基金管理有限公司旗下基金2021年第4季度报告提示性公告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2022-01-21</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易方达战略新兴产业股票型证券投资基金2022年1月27日至2022年1月28日暂停申购、赎回、转换及定期定额投资业务的公告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2022-01-24</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易方达基金管理有限公司关于旗下基金申购江阴标榜汽车部件股份有限公司首次公开发行股票的公告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2022-02-12</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易方达战略新兴产业股票型证券投资基金2022年3月31日至2022年4月1日暂停申购、赎回、转换及定期定额投资业务的公告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2022-03-28</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易方达基金管理有限公司旗下基金2021年年度报告提示性公告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2022-03-30</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易方达基金管理有限公司关于提醒投资者及时提供或更新身份信息资料的公告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2022-04-11</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易方达战略新兴产业股票型证券投资基金2022年4月15日至2022年4月18日暂停申购、赎回、转换及定期定额投资业务的公告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2022-04-12</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易方达基金管理有限公司关于旗下基金申购中国海洋石油有限公司首次公开发行股票的公告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2022-04-16</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易方达基金管理有限公司高级管理人员变更公告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2022-04-21</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易方达基金管理有限公司旗下基金2022年第1季度报告提示性公告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2022-04-22</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易方达战略新兴产业股票型证券投资基金2022年4月28日至2022年4月29日暂停申购、赎回、转换及定期定额投资业务的公告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2022-04-25</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易方达战略新兴产业股票型证券投资基金2022年5月9日暂停申购、赎回、转换及定期定额投资业务的公告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2022-04-29</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易方达基金管理有限公司高级管理人员变更公告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2022-05-13</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易方达基金管理有限公司关于子公司住所变更的公告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2022-05-14</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易方达基金管理有限公司关于旗下基金申购昆山亚香香料股份有限公司首次公开发行股票的公告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2022-06-16</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关于易方达战略新兴产业股票型证券投资基金2022年下半年港股通非交易</w:t>
            </w:r>
            <w:r w:rsidRPr="00CC51EF">
              <w:rPr>
                <w:rFonts w:asciiTheme="minorEastAsia" w:eastAsiaTheme="minorEastAsia" w:hAnsiTheme="minorEastAsia"/>
                <w:color w:val="000000" w:themeColor="text1"/>
              </w:rPr>
              <w:t>日暂停申购、赎回、转换、定期定额投资业务的公告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2022-06-27</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关于旗下部分基金2022年7月1日因港股通非交易日及境外主要市场节假日暂停申购、赎回、转换、定期定额投资业务的提示性公告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2022-06-28</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关于警惕冒用易方达基金管理有限公司名义进行诈骗活动的特别提示公告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2022-07-07</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易方达基金管理有限公司旗下基金2022年第2季度报告提示性公告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2022-07-20</w:t>
            </w:r>
          </w:p>
        </w:tc>
      </w:tr>
      <w:tr>
        <w:tblPrEx>
          <w:tblW w:w="5000" w:type="pct"/>
          <w:tblLayout w:type="fixed"/>
          <w:tblLook w:val="04A0"/>
        </w:tblPrEx>
        <w:tc>
          <w:tcPr>
            <w:tcW w:w="7055" w:type="dxa"/>
          </w:tcPr>
          <w:p w:rsidR="00395354" w:rsidRPr="00CC51EF">
            <w:pPr>
              <w:jc w:val="left"/>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易方达基金管理有限公司旗下基金2022年中期报告提示性公告</w:t>
            </w:r>
          </w:p>
        </w:tc>
        <w:tc>
          <w:tcPr>
            <w:tcW w:w="1467" w:type="dxa"/>
          </w:tcPr>
          <w:p w:rsidR="00395354" w:rsidRPr="00CC51EF">
            <w:pPr>
              <w:jc w:val="cente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2022-08-30</w:t>
            </w:r>
          </w:p>
        </w:tc>
      </w:tr>
    </w:tbl>
    <w:p w:rsidR="001B2ECA" w:rsidRPr="00CC51EF">
      <w:pPr>
        <w:rPr>
          <w:rFonts w:asciiTheme="minorEastAsia" w:eastAsiaTheme="minorEastAsia" w:hAnsiTheme="minorEastAsia"/>
          <w:color w:val="000000" w:themeColor="text1"/>
        </w:rPr>
      </w:pPr>
      <w:r w:rsidRPr="00CC51EF">
        <w:rPr>
          <w:rFonts w:asciiTheme="minorEastAsia" w:eastAsiaTheme="minorEastAsia" w:hAnsiTheme="minorEastAsia"/>
          <w:color w:val="000000" w:themeColor="text1"/>
        </w:rPr>
        <w:t>注：以上公告事项披露在规定媒介及基金管理人网站上。</w:t>
      </w:r>
    </w:p>
    <w:p w:rsidR="00AF379A" w:rsidRPr="00CC51EF">
      <w:pPr>
        <w:widowControl/>
        <w:jc w:val="left"/>
        <w:rPr>
          <w:rFonts w:asciiTheme="minorEastAsia" w:eastAsiaTheme="minorEastAsia" w:hAnsiTheme="minorEastAsia"/>
          <w:color w:val="000000" w:themeColor="text1"/>
          <w:sz w:val="30"/>
          <w:szCs w:val="32"/>
        </w:rPr>
      </w:pPr>
      <w:r w:rsidRPr="00CC51EF">
        <w:rPr>
          <w:rFonts w:asciiTheme="minorEastAsia" w:eastAsiaTheme="minorEastAsia" w:hAnsiTheme="minorEastAsia"/>
          <w:color w:val="000000" w:themeColor="text1"/>
          <w:sz w:val="30"/>
        </w:rPr>
        <w:br w:type="page"/>
      </w:r>
    </w:p>
    <w:p w:rsidR="001B2ECA" w:rsidRPr="00CC51EF">
      <w:pPr>
        <w:pStyle w:val="11"/>
        <w:spacing w:before="317" w:after="317" w:line="360" w:lineRule="auto"/>
        <w:ind w:firstLine="600"/>
        <w:rPr>
          <w:rFonts w:asciiTheme="minorEastAsia" w:eastAsiaTheme="minorEastAsia" w:hAnsiTheme="minorEastAsia"/>
          <w:bCs/>
          <w:color w:val="000000" w:themeColor="text1"/>
          <w:szCs w:val="20"/>
        </w:rPr>
      </w:pPr>
      <w:bookmarkStart w:id="119" w:name="_Toc134548093"/>
      <w:r w:rsidRPr="00CC51EF">
        <w:rPr>
          <w:rFonts w:asciiTheme="minorEastAsia" w:eastAsiaTheme="minorEastAsia" w:hAnsiTheme="minorEastAsia" w:hint="eastAsia"/>
          <w:color w:val="000000" w:themeColor="text1"/>
          <w:sz w:val="30"/>
        </w:rPr>
        <w:t>二</w:t>
      </w:r>
      <w:bookmarkStart w:id="120" w:name="_Toc332373593"/>
      <w:r w:rsidRPr="00CC51EF">
        <w:rPr>
          <w:rFonts w:asciiTheme="minorEastAsia" w:eastAsiaTheme="minorEastAsia" w:hAnsiTheme="minorEastAsia" w:hint="eastAsia"/>
          <w:color w:val="000000" w:themeColor="text1"/>
          <w:sz w:val="30"/>
        </w:rPr>
        <w:t>十六、招募说明书的存放及查阅方式</w:t>
      </w:r>
      <w:bookmarkEnd w:id="120"/>
      <w:bookmarkEnd w:id="119"/>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本招募说明书存放在基金管理人、基金托管人及其他基金销售机构处，投资者可在营业时间免费查阅，也可按工本费购买复印件。</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基金管理人和基金托管人保证文本的内容与公告的内容完全一致。</w:t>
      </w:r>
    </w:p>
    <w:p w:rsidR="001B2ECA" w:rsidRPr="00CC51EF">
      <w:pPr>
        <w:pStyle w:val="11"/>
        <w:spacing w:before="317" w:after="317" w:line="360" w:lineRule="auto"/>
        <w:ind w:firstLine="600"/>
        <w:rPr>
          <w:rFonts w:asciiTheme="minorEastAsia" w:eastAsiaTheme="minorEastAsia" w:hAnsiTheme="minorEastAsia"/>
          <w:bCs/>
          <w:color w:val="000000" w:themeColor="text1"/>
          <w:szCs w:val="20"/>
        </w:rPr>
      </w:pPr>
      <w:r w:rsidRPr="00CC51EF">
        <w:rPr>
          <w:rFonts w:asciiTheme="minorEastAsia" w:eastAsiaTheme="minorEastAsia" w:hAnsiTheme="minorEastAsia"/>
          <w:color w:val="000000" w:themeColor="text1"/>
          <w:sz w:val="30"/>
        </w:rPr>
        <w:br w:type="column"/>
      </w:r>
      <w:bookmarkStart w:id="121" w:name="_Toc134548094"/>
      <w:r w:rsidRPr="00CC51EF">
        <w:rPr>
          <w:rFonts w:asciiTheme="minorEastAsia" w:eastAsiaTheme="minorEastAsia" w:hAnsiTheme="minorEastAsia" w:hint="eastAsia"/>
          <w:color w:val="000000" w:themeColor="text1"/>
          <w:sz w:val="30"/>
        </w:rPr>
        <w:t>二</w:t>
      </w:r>
      <w:bookmarkStart w:id="122" w:name="_Toc332373594"/>
      <w:r w:rsidRPr="00CC51EF">
        <w:rPr>
          <w:rFonts w:asciiTheme="minorEastAsia" w:eastAsiaTheme="minorEastAsia" w:hAnsiTheme="minorEastAsia" w:hint="eastAsia"/>
          <w:color w:val="000000" w:themeColor="text1"/>
          <w:sz w:val="30"/>
        </w:rPr>
        <w:t>十七、备查文件</w:t>
      </w:r>
      <w:bookmarkEnd w:id="122"/>
      <w:bookmarkEnd w:id="121"/>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1、中国证监会准予易方达战略新兴产业股票型证券投资基金注册的文件；</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2、《易方达战略新兴产业股票型证券投资基金基金合同》；</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3、《易方达战略新兴产业股票型证券投资基金托管协议》；</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4、《易方达基金管理有限公司开放式基金业务规则》；</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5、法律意见书；</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6、基金管理人业务资格批件、营业执照；</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7、基金托管人业务资格批件、营业执照。</w:t>
      </w:r>
    </w:p>
    <w:p w:rsidR="001B2ECA" w:rsidRPr="00CC51EF">
      <w:pPr>
        <w:spacing w:line="360" w:lineRule="auto"/>
        <w:ind w:firstLine="420"/>
        <w:rPr>
          <w:rFonts w:asciiTheme="minorEastAsia" w:eastAsiaTheme="minorEastAsia" w:hAnsiTheme="minorEastAsia"/>
          <w:color w:val="000000" w:themeColor="text1"/>
        </w:rPr>
      </w:pPr>
      <w:r w:rsidRPr="00CC51EF">
        <w:rPr>
          <w:rFonts w:asciiTheme="minorEastAsia" w:eastAsiaTheme="minorEastAsia" w:hAnsiTheme="minorEastAsia" w:hint="eastAsia"/>
          <w:color w:val="000000" w:themeColor="text1"/>
        </w:rPr>
        <w:t>存放地点：基金管理人、基金托管人处</w:t>
      </w:r>
    </w:p>
    <w:p w:rsidR="001B2ECA" w:rsidRPr="00CC51EF">
      <w:pPr>
        <w:pStyle w:val="PlainText"/>
        <w:spacing w:line="360" w:lineRule="auto"/>
        <w:ind w:firstLine="420"/>
        <w:rPr>
          <w:rFonts w:asciiTheme="minorEastAsia" w:eastAsiaTheme="minorEastAsia" w:hAnsiTheme="minorEastAsia"/>
          <w:color w:val="000000" w:themeColor="text1"/>
          <w:sz w:val="21"/>
        </w:rPr>
      </w:pPr>
      <w:r w:rsidRPr="00CC51EF">
        <w:rPr>
          <w:rFonts w:asciiTheme="minorEastAsia" w:eastAsiaTheme="minorEastAsia" w:hAnsiTheme="minorEastAsia" w:hint="eastAsia"/>
          <w:color w:val="000000" w:themeColor="text1"/>
          <w:sz w:val="21"/>
        </w:rPr>
        <w:t>查阅方式：投资者可在营业时间免费查阅，也可按工本费购买复印件。</w:t>
      </w:r>
    </w:p>
    <w:p w:rsidR="001B2ECA" w:rsidRPr="00CC51EF">
      <w:pPr>
        <w:pStyle w:val="PlainText"/>
        <w:spacing w:line="400" w:lineRule="exact"/>
        <w:ind w:firstLine="420"/>
        <w:rPr>
          <w:rFonts w:asciiTheme="minorEastAsia" w:eastAsiaTheme="minorEastAsia" w:hAnsiTheme="minorEastAsia"/>
          <w:color w:val="000000" w:themeColor="text1"/>
          <w:sz w:val="21"/>
        </w:rPr>
      </w:pPr>
    </w:p>
    <w:p w:rsidR="001B2ECA" w:rsidRPr="00CC51EF">
      <w:pPr>
        <w:pStyle w:val="PlainText"/>
        <w:spacing w:line="400" w:lineRule="exact"/>
        <w:ind w:firstLine="420"/>
        <w:rPr>
          <w:rFonts w:asciiTheme="minorEastAsia" w:eastAsiaTheme="minorEastAsia" w:hAnsiTheme="minorEastAsia"/>
          <w:color w:val="000000" w:themeColor="text1"/>
          <w:sz w:val="21"/>
        </w:rPr>
      </w:pPr>
    </w:p>
    <w:p w:rsidR="001B2ECA" w:rsidRPr="00CC51EF">
      <w:pPr>
        <w:snapToGrid w:val="0"/>
        <w:spacing w:line="360" w:lineRule="auto"/>
        <w:ind w:firstLine="420"/>
        <w:jc w:val="right"/>
        <w:rPr>
          <w:rFonts w:asciiTheme="minorEastAsia" w:eastAsiaTheme="minorEastAsia" w:hAnsiTheme="minorEastAsia"/>
          <w:color w:val="000000" w:themeColor="text1"/>
          <w:szCs w:val="21"/>
        </w:rPr>
      </w:pPr>
      <w:r w:rsidRPr="00CC51EF">
        <w:rPr>
          <w:rFonts w:asciiTheme="minorEastAsia" w:eastAsiaTheme="minorEastAsia" w:hAnsiTheme="minorEastAsia" w:hint="eastAsia"/>
          <w:color w:val="000000" w:themeColor="text1"/>
          <w:szCs w:val="21"/>
        </w:rPr>
        <w:t>易方达基金管理有限公司</w:t>
      </w:r>
    </w:p>
    <w:p w:rsidR="001B2ECA" w:rsidRPr="00CC51EF">
      <w:pPr>
        <w:snapToGrid w:val="0"/>
        <w:spacing w:line="360" w:lineRule="auto"/>
        <w:ind w:right="210" w:firstLine="420"/>
        <w:jc w:val="right"/>
        <w:rPr>
          <w:rFonts w:asciiTheme="minorEastAsia" w:eastAsiaTheme="minorEastAsia" w:hAnsiTheme="minorEastAsia"/>
          <w:color w:val="000000" w:themeColor="text1"/>
          <w:szCs w:val="21"/>
        </w:rPr>
      </w:pPr>
      <w:r w:rsidRPr="00CC51EF">
        <w:rPr>
          <w:rFonts w:asciiTheme="minorEastAsia" w:eastAsiaTheme="minorEastAsia" w:hAnsiTheme="minorEastAsia"/>
          <w:color w:val="000000" w:themeColor="text1"/>
        </w:rPr>
        <w:t>2023</w:t>
      </w:r>
      <w:r w:rsidRPr="00CC51EF" w:rsidR="002C200A">
        <w:rPr>
          <w:rFonts w:asciiTheme="minorEastAsia" w:eastAsiaTheme="minorEastAsia" w:hAnsiTheme="minorEastAsia"/>
          <w:color w:val="000000" w:themeColor="text1"/>
        </w:rPr>
        <w:t>年</w:t>
      </w:r>
      <w:r w:rsidRPr="00CC51EF">
        <w:rPr>
          <w:rFonts w:asciiTheme="minorEastAsia" w:eastAsiaTheme="minorEastAsia" w:hAnsiTheme="minorEastAsia"/>
          <w:color w:val="000000" w:themeColor="text1"/>
        </w:rPr>
        <w:t>5</w:t>
      </w:r>
      <w:r w:rsidRPr="00CC51EF" w:rsidR="002C200A">
        <w:rPr>
          <w:rFonts w:asciiTheme="minorEastAsia" w:eastAsiaTheme="minorEastAsia" w:hAnsiTheme="minorEastAsia"/>
          <w:color w:val="000000" w:themeColor="text1"/>
        </w:rPr>
        <w:t>月</w:t>
      </w:r>
      <w:r w:rsidRPr="00CC51EF">
        <w:rPr>
          <w:rFonts w:asciiTheme="minorEastAsia" w:eastAsiaTheme="minorEastAsia" w:hAnsiTheme="minorEastAsia"/>
          <w:color w:val="000000" w:themeColor="text1"/>
        </w:rPr>
        <w:t>10</w:t>
      </w:r>
      <w:r w:rsidRPr="00CC51EF" w:rsidR="002C200A">
        <w:rPr>
          <w:rFonts w:asciiTheme="minorEastAsia" w:eastAsiaTheme="minorEastAsia" w:hAnsiTheme="minorEastAsia"/>
          <w:color w:val="000000" w:themeColor="text1"/>
        </w:rPr>
        <w:t>日</w:t>
      </w:r>
    </w:p>
    <w:p w:rsidR="001B2ECA" w:rsidRPr="00CC51EF">
      <w:pPr>
        <w:pStyle w:val="PlainText"/>
        <w:spacing w:line="400" w:lineRule="exact"/>
        <w:ind w:firstLine="480"/>
        <w:rPr>
          <w:rFonts w:asciiTheme="minorEastAsia" w:eastAsiaTheme="minorEastAsia" w:hAnsiTheme="minorEastAsia"/>
          <w:bCs/>
          <w:color w:val="000000" w:themeColor="text1"/>
          <w:szCs w:val="20"/>
        </w:rPr>
      </w:pPr>
    </w:p>
    <w:p w:rsidR="001B2ECA" w:rsidRPr="00CC51EF">
      <w:pPr>
        <w:pStyle w:val="PlainText"/>
        <w:spacing w:line="400" w:lineRule="exact"/>
        <w:ind w:firstLine="420"/>
        <w:jc w:val="right"/>
        <w:rPr>
          <w:rFonts w:asciiTheme="minorEastAsia" w:eastAsiaTheme="minorEastAsia" w:hAnsiTheme="minorEastAsia"/>
          <w:color w:val="000000" w:themeColor="text1"/>
          <w:sz w:val="21"/>
        </w:rPr>
      </w:pPr>
    </w:p>
    <w:p w:rsidR="001B2ECA" w:rsidRPr="00CC51EF">
      <w:pPr>
        <w:rPr>
          <w:rFonts w:asciiTheme="minorEastAsia" w:eastAsiaTheme="minorEastAsia" w:hAnsiTheme="minorEastAsia"/>
          <w:color w:val="000000" w:themeColor="text1"/>
        </w:rPr>
      </w:pPr>
      <w:bookmarkStart w:id="123" w:name="_Toc38438350"/>
      <w:bookmarkStart w:id="124" w:name="_Toc38438687"/>
      <w:bookmarkStart w:id="125" w:name="_Toc38439024"/>
      <w:bookmarkStart w:id="126" w:name="_Toc38439361"/>
      <w:bookmarkStart w:id="127" w:name="_Toc38439698"/>
      <w:bookmarkStart w:id="128" w:name="_Toc38440035"/>
      <w:bookmarkStart w:id="129" w:name="_Toc38440372"/>
      <w:bookmarkStart w:id="130" w:name="_Toc38440904"/>
      <w:bookmarkStart w:id="131" w:name="_Toc38441236"/>
      <w:bookmarkStart w:id="132" w:name="_Toc38441568"/>
      <w:bookmarkStart w:id="133" w:name="_Toc38441896"/>
      <w:bookmarkStart w:id="134" w:name="_Toc38442228"/>
      <w:bookmarkStart w:id="135" w:name="_Toc38442560"/>
      <w:bookmarkStart w:id="136" w:name="_Toc38442891"/>
      <w:bookmarkStart w:id="137" w:name="_Toc38443222"/>
      <w:bookmarkStart w:id="138" w:name="_Toc38443553"/>
      <w:bookmarkStart w:id="139" w:name="_Toc38443883"/>
      <w:bookmarkStart w:id="140" w:name="_Toc38438351"/>
      <w:bookmarkStart w:id="141" w:name="_Toc38438688"/>
      <w:bookmarkStart w:id="142" w:name="_Toc38439025"/>
      <w:bookmarkStart w:id="143" w:name="_Toc38439362"/>
      <w:bookmarkStart w:id="144" w:name="_Toc38439699"/>
      <w:bookmarkStart w:id="145" w:name="_Toc38440036"/>
      <w:bookmarkStart w:id="146" w:name="_Toc38440373"/>
      <w:bookmarkStart w:id="147" w:name="_Toc38440905"/>
      <w:bookmarkStart w:id="148" w:name="_Toc38441237"/>
      <w:bookmarkStart w:id="149" w:name="_Toc38441569"/>
      <w:bookmarkStart w:id="150" w:name="_Toc38441897"/>
      <w:bookmarkStart w:id="151" w:name="_Toc38442229"/>
      <w:bookmarkStart w:id="152" w:name="_Toc38442561"/>
      <w:bookmarkStart w:id="153" w:name="_Toc38442892"/>
      <w:bookmarkStart w:id="154" w:name="_Toc38443223"/>
      <w:bookmarkStart w:id="155" w:name="_Toc38443554"/>
      <w:bookmarkStart w:id="156" w:name="_Toc38443884"/>
      <w:bookmarkStart w:id="157" w:name="_Toc38438352"/>
      <w:bookmarkStart w:id="158" w:name="_Toc38438689"/>
      <w:bookmarkStart w:id="159" w:name="_Toc38439026"/>
      <w:bookmarkStart w:id="160" w:name="_Toc38439363"/>
      <w:bookmarkStart w:id="161" w:name="_Toc38439700"/>
      <w:bookmarkStart w:id="162" w:name="_Toc38440037"/>
      <w:bookmarkStart w:id="163" w:name="_Toc38440374"/>
      <w:bookmarkStart w:id="164" w:name="_Toc38440906"/>
      <w:bookmarkStart w:id="165" w:name="_Toc38441238"/>
      <w:bookmarkStart w:id="166" w:name="_Toc38441570"/>
      <w:bookmarkStart w:id="167" w:name="_Toc38441898"/>
      <w:bookmarkStart w:id="168" w:name="_Toc38442230"/>
      <w:bookmarkStart w:id="169" w:name="_Toc38442562"/>
      <w:bookmarkStart w:id="170" w:name="_Toc38442893"/>
      <w:bookmarkStart w:id="171" w:name="_Toc38443224"/>
      <w:bookmarkStart w:id="172" w:name="_Toc38443555"/>
      <w:bookmarkStart w:id="173" w:name="_Toc38443885"/>
      <w:bookmarkStart w:id="174" w:name="_Toc38438353"/>
      <w:bookmarkStart w:id="175" w:name="_Toc38438690"/>
      <w:bookmarkStart w:id="176" w:name="_Toc38439027"/>
      <w:bookmarkStart w:id="177" w:name="_Toc38439364"/>
      <w:bookmarkStart w:id="178" w:name="_Toc38439701"/>
      <w:bookmarkStart w:id="179" w:name="_Toc38440038"/>
      <w:bookmarkStart w:id="180" w:name="_Toc38440375"/>
      <w:bookmarkStart w:id="181" w:name="_Toc38440907"/>
      <w:bookmarkStart w:id="182" w:name="_Toc38441239"/>
      <w:bookmarkStart w:id="183" w:name="_Toc38441571"/>
      <w:bookmarkStart w:id="184" w:name="_Toc38441899"/>
      <w:bookmarkStart w:id="185" w:name="_Toc38442231"/>
      <w:bookmarkStart w:id="186" w:name="_Toc38442563"/>
      <w:bookmarkStart w:id="187" w:name="_Toc38442894"/>
      <w:bookmarkStart w:id="188" w:name="_Toc38443225"/>
      <w:bookmarkStart w:id="189" w:name="_Toc38443556"/>
      <w:bookmarkStart w:id="190" w:name="_Toc38443886"/>
      <w:bookmarkStart w:id="191" w:name="_Toc38438354"/>
      <w:bookmarkStart w:id="192" w:name="_Toc38438691"/>
      <w:bookmarkStart w:id="193" w:name="_Toc38439028"/>
      <w:bookmarkStart w:id="194" w:name="_Toc38439365"/>
      <w:bookmarkStart w:id="195" w:name="_Toc38439702"/>
      <w:bookmarkStart w:id="196" w:name="_Toc38440039"/>
      <w:bookmarkStart w:id="197" w:name="_Toc38440376"/>
      <w:bookmarkStart w:id="198" w:name="_Toc38440908"/>
      <w:bookmarkStart w:id="199" w:name="_Toc38441240"/>
      <w:bookmarkStart w:id="200" w:name="_Toc38441572"/>
      <w:bookmarkStart w:id="201" w:name="_Toc38441900"/>
      <w:bookmarkStart w:id="202" w:name="_Toc38442232"/>
      <w:bookmarkStart w:id="203" w:name="_Toc38442564"/>
      <w:bookmarkStart w:id="204" w:name="_Toc38442895"/>
      <w:bookmarkStart w:id="205" w:name="_Toc38443226"/>
      <w:bookmarkStart w:id="206" w:name="_Toc38443557"/>
      <w:bookmarkStart w:id="207" w:name="_Toc38443887"/>
      <w:bookmarkStart w:id="208" w:name="_Toc38438355"/>
      <w:bookmarkStart w:id="209" w:name="_Toc38438692"/>
      <w:bookmarkStart w:id="210" w:name="_Toc38439029"/>
      <w:bookmarkStart w:id="211" w:name="_Toc38439366"/>
      <w:bookmarkStart w:id="212" w:name="_Toc38439703"/>
      <w:bookmarkStart w:id="213" w:name="_Toc38440040"/>
      <w:bookmarkStart w:id="214" w:name="_Toc38440377"/>
      <w:bookmarkStart w:id="215" w:name="_Toc38440909"/>
      <w:bookmarkStart w:id="216" w:name="_Toc38441241"/>
      <w:bookmarkStart w:id="217" w:name="_Toc38441573"/>
      <w:bookmarkStart w:id="218" w:name="_Toc38441901"/>
      <w:bookmarkStart w:id="219" w:name="_Toc38442233"/>
      <w:bookmarkStart w:id="220" w:name="_Toc38442565"/>
      <w:bookmarkStart w:id="221" w:name="_Toc38442896"/>
      <w:bookmarkStart w:id="222" w:name="_Toc38443227"/>
      <w:bookmarkStart w:id="223" w:name="_Toc38443558"/>
      <w:bookmarkStart w:id="224" w:name="_Toc38443888"/>
      <w:bookmarkStart w:id="225" w:name="_Toc38438356"/>
      <w:bookmarkStart w:id="226" w:name="_Toc38438693"/>
      <w:bookmarkStart w:id="227" w:name="_Toc38439030"/>
      <w:bookmarkStart w:id="228" w:name="_Toc38439367"/>
      <w:bookmarkStart w:id="229" w:name="_Toc38439704"/>
      <w:bookmarkStart w:id="230" w:name="_Toc38440041"/>
      <w:bookmarkStart w:id="231" w:name="_Toc38440378"/>
      <w:bookmarkStart w:id="232" w:name="_Toc38440910"/>
      <w:bookmarkStart w:id="233" w:name="_Toc38441242"/>
      <w:bookmarkStart w:id="234" w:name="_Toc38441574"/>
      <w:bookmarkStart w:id="235" w:name="_Toc38441902"/>
      <w:bookmarkStart w:id="236" w:name="_Toc38442234"/>
      <w:bookmarkStart w:id="237" w:name="_Toc38442566"/>
      <w:bookmarkStart w:id="238" w:name="_Toc38442897"/>
      <w:bookmarkStart w:id="239" w:name="_Toc38443228"/>
      <w:bookmarkStart w:id="240" w:name="_Toc38443559"/>
      <w:bookmarkStart w:id="241" w:name="_Toc38443889"/>
      <w:bookmarkStart w:id="242" w:name="_Toc38438357"/>
      <w:bookmarkStart w:id="243" w:name="_Toc38438694"/>
      <w:bookmarkStart w:id="244" w:name="_Toc38439031"/>
      <w:bookmarkStart w:id="245" w:name="_Toc38439368"/>
      <w:bookmarkStart w:id="246" w:name="_Toc38439705"/>
      <w:bookmarkStart w:id="247" w:name="_Toc38440042"/>
      <w:bookmarkStart w:id="248" w:name="_Toc38440379"/>
      <w:bookmarkStart w:id="249" w:name="_Toc38440911"/>
      <w:bookmarkStart w:id="250" w:name="_Toc38441243"/>
      <w:bookmarkStart w:id="251" w:name="_Toc38441575"/>
      <w:bookmarkStart w:id="252" w:name="_Toc38441903"/>
      <w:bookmarkStart w:id="253" w:name="_Toc38442235"/>
      <w:bookmarkStart w:id="254" w:name="_Toc38442567"/>
      <w:bookmarkStart w:id="255" w:name="_Toc38442898"/>
      <w:bookmarkStart w:id="256" w:name="_Toc38443229"/>
      <w:bookmarkStart w:id="257" w:name="_Toc38443560"/>
      <w:bookmarkStart w:id="258" w:name="_Toc38443890"/>
      <w:bookmarkStart w:id="259" w:name="_Toc38438358"/>
      <w:bookmarkStart w:id="260" w:name="_Toc38438695"/>
      <w:bookmarkStart w:id="261" w:name="_Toc38439032"/>
      <w:bookmarkStart w:id="262" w:name="_Toc38439369"/>
      <w:bookmarkStart w:id="263" w:name="_Toc38439706"/>
      <w:bookmarkStart w:id="264" w:name="_Toc38440043"/>
      <w:bookmarkStart w:id="265" w:name="_Toc38440380"/>
      <w:bookmarkStart w:id="266" w:name="_Toc38440912"/>
      <w:bookmarkStart w:id="267" w:name="_Toc38441244"/>
      <w:bookmarkStart w:id="268" w:name="_Toc38441576"/>
      <w:bookmarkStart w:id="269" w:name="_Toc38441904"/>
      <w:bookmarkStart w:id="270" w:name="_Toc38442236"/>
      <w:bookmarkStart w:id="271" w:name="_Toc38442568"/>
      <w:bookmarkStart w:id="272" w:name="_Toc38442899"/>
      <w:bookmarkStart w:id="273" w:name="_Toc38443230"/>
      <w:bookmarkStart w:id="274" w:name="_Toc38443561"/>
      <w:bookmarkStart w:id="275" w:name="_Toc38443891"/>
      <w:bookmarkStart w:id="276" w:name="_Toc38438359"/>
      <w:bookmarkStart w:id="277" w:name="_Toc38438696"/>
      <w:bookmarkStart w:id="278" w:name="_Toc38439033"/>
      <w:bookmarkStart w:id="279" w:name="_Toc38439370"/>
      <w:bookmarkStart w:id="280" w:name="_Toc38439707"/>
      <w:bookmarkStart w:id="281" w:name="_Toc38440044"/>
      <w:bookmarkStart w:id="282" w:name="_Toc38440381"/>
      <w:bookmarkStart w:id="283" w:name="_Toc38440913"/>
      <w:bookmarkStart w:id="284" w:name="_Toc38441245"/>
      <w:bookmarkStart w:id="285" w:name="_Toc38441577"/>
      <w:bookmarkStart w:id="286" w:name="_Toc38441905"/>
      <w:bookmarkStart w:id="287" w:name="_Toc38442237"/>
      <w:bookmarkStart w:id="288" w:name="_Toc38442569"/>
      <w:bookmarkStart w:id="289" w:name="_Toc38442900"/>
      <w:bookmarkStart w:id="290" w:name="_Toc38443231"/>
      <w:bookmarkStart w:id="291" w:name="_Toc38443562"/>
      <w:bookmarkStart w:id="292" w:name="_Toc38443892"/>
      <w:bookmarkStart w:id="293" w:name="_Toc38438360"/>
      <w:bookmarkStart w:id="294" w:name="_Toc38438697"/>
      <w:bookmarkStart w:id="295" w:name="_Toc38439034"/>
      <w:bookmarkStart w:id="296" w:name="_Toc38439371"/>
      <w:bookmarkStart w:id="297" w:name="_Toc38439708"/>
      <w:bookmarkStart w:id="298" w:name="_Toc38440045"/>
      <w:bookmarkStart w:id="299" w:name="_Toc38440382"/>
      <w:bookmarkStart w:id="300" w:name="_Toc38440914"/>
      <w:bookmarkStart w:id="301" w:name="_Toc38441246"/>
      <w:bookmarkStart w:id="302" w:name="_Toc38441578"/>
      <w:bookmarkStart w:id="303" w:name="_Toc38441906"/>
      <w:bookmarkStart w:id="304" w:name="_Toc38442238"/>
      <w:bookmarkStart w:id="305" w:name="_Toc38442570"/>
      <w:bookmarkStart w:id="306" w:name="_Toc38442901"/>
      <w:bookmarkStart w:id="307" w:name="_Toc38443232"/>
      <w:bookmarkStart w:id="308" w:name="_Toc38443563"/>
      <w:bookmarkStart w:id="309" w:name="_Toc38443893"/>
      <w:bookmarkStart w:id="310" w:name="_Toc38438361"/>
      <w:bookmarkStart w:id="311" w:name="_Toc38438698"/>
      <w:bookmarkStart w:id="312" w:name="_Toc38439035"/>
      <w:bookmarkStart w:id="313" w:name="_Toc38439372"/>
      <w:bookmarkStart w:id="314" w:name="_Toc38439709"/>
      <w:bookmarkStart w:id="315" w:name="_Toc38440046"/>
      <w:bookmarkStart w:id="316" w:name="_Toc38440383"/>
      <w:bookmarkStart w:id="317" w:name="_Toc38440915"/>
      <w:bookmarkStart w:id="318" w:name="_Toc38441247"/>
      <w:bookmarkStart w:id="319" w:name="_Toc38441579"/>
      <w:bookmarkStart w:id="320" w:name="_Toc38441907"/>
      <w:bookmarkStart w:id="321" w:name="_Toc38442239"/>
      <w:bookmarkStart w:id="322" w:name="_Toc38442571"/>
      <w:bookmarkStart w:id="323" w:name="_Toc38442902"/>
      <w:bookmarkStart w:id="324" w:name="_Toc38443233"/>
      <w:bookmarkStart w:id="325" w:name="_Toc38443564"/>
      <w:bookmarkStart w:id="326" w:name="_Toc38443894"/>
      <w:bookmarkStart w:id="327" w:name="_Toc38438362"/>
      <w:bookmarkStart w:id="328" w:name="_Toc38438699"/>
      <w:bookmarkStart w:id="329" w:name="_Toc38439036"/>
      <w:bookmarkStart w:id="330" w:name="_Toc38439373"/>
      <w:bookmarkStart w:id="331" w:name="_Toc38439710"/>
      <w:bookmarkStart w:id="332" w:name="_Toc38440047"/>
      <w:bookmarkStart w:id="333" w:name="_Toc38440384"/>
      <w:bookmarkStart w:id="334" w:name="_Toc38440916"/>
      <w:bookmarkStart w:id="335" w:name="_Toc38441248"/>
      <w:bookmarkStart w:id="336" w:name="_Toc38441580"/>
      <w:bookmarkStart w:id="337" w:name="_Toc38441908"/>
      <w:bookmarkStart w:id="338" w:name="_Toc38442240"/>
      <w:bookmarkStart w:id="339" w:name="_Toc38442572"/>
      <w:bookmarkStart w:id="340" w:name="_Toc38442903"/>
      <w:bookmarkStart w:id="341" w:name="_Toc38443234"/>
      <w:bookmarkStart w:id="342" w:name="_Toc38443565"/>
      <w:bookmarkStart w:id="343" w:name="_Toc38443895"/>
      <w:bookmarkStart w:id="344" w:name="_Toc38438363"/>
      <w:bookmarkStart w:id="345" w:name="_Toc38438700"/>
      <w:bookmarkStart w:id="346" w:name="_Toc38439037"/>
      <w:bookmarkStart w:id="347" w:name="_Toc38439374"/>
      <w:bookmarkStart w:id="348" w:name="_Toc38439711"/>
      <w:bookmarkStart w:id="349" w:name="_Toc38440048"/>
      <w:bookmarkStart w:id="350" w:name="_Toc38440385"/>
      <w:bookmarkStart w:id="351" w:name="_Toc38440917"/>
      <w:bookmarkStart w:id="352" w:name="_Toc38441249"/>
      <w:bookmarkStart w:id="353" w:name="_Toc38441581"/>
      <w:bookmarkStart w:id="354" w:name="_Toc38441909"/>
      <w:bookmarkStart w:id="355" w:name="_Toc38442241"/>
      <w:bookmarkStart w:id="356" w:name="_Toc38442573"/>
      <w:bookmarkStart w:id="357" w:name="_Toc38442904"/>
      <w:bookmarkStart w:id="358" w:name="_Toc38443235"/>
      <w:bookmarkStart w:id="359" w:name="_Toc38443566"/>
      <w:bookmarkStart w:id="360" w:name="_Toc38443896"/>
      <w:bookmarkStart w:id="361" w:name="_Toc38438364"/>
      <w:bookmarkStart w:id="362" w:name="_Toc38438701"/>
      <w:bookmarkStart w:id="363" w:name="_Toc38439038"/>
      <w:bookmarkStart w:id="364" w:name="_Toc38439375"/>
      <w:bookmarkStart w:id="365" w:name="_Toc38439712"/>
      <w:bookmarkStart w:id="366" w:name="_Toc38440049"/>
      <w:bookmarkStart w:id="367" w:name="_Toc38440386"/>
      <w:bookmarkStart w:id="368" w:name="_Toc38440918"/>
      <w:bookmarkStart w:id="369" w:name="_Toc38441250"/>
      <w:bookmarkStart w:id="370" w:name="_Toc38441582"/>
      <w:bookmarkStart w:id="371" w:name="_Toc38441910"/>
      <w:bookmarkStart w:id="372" w:name="_Toc38442242"/>
      <w:bookmarkStart w:id="373" w:name="_Toc38442574"/>
      <w:bookmarkStart w:id="374" w:name="_Toc38442905"/>
      <w:bookmarkStart w:id="375" w:name="_Toc38443236"/>
      <w:bookmarkStart w:id="376" w:name="_Toc38443567"/>
      <w:bookmarkStart w:id="377" w:name="_Toc38443897"/>
      <w:bookmarkStart w:id="378" w:name="_Toc38438365"/>
      <w:bookmarkStart w:id="379" w:name="_Toc38438702"/>
      <w:bookmarkStart w:id="380" w:name="_Toc38439039"/>
      <w:bookmarkStart w:id="381" w:name="_Toc38439376"/>
      <w:bookmarkStart w:id="382" w:name="_Toc38439713"/>
      <w:bookmarkStart w:id="383" w:name="_Toc38440050"/>
      <w:bookmarkStart w:id="384" w:name="_Toc38440387"/>
      <w:bookmarkStart w:id="385" w:name="_Toc38440919"/>
      <w:bookmarkStart w:id="386" w:name="_Toc38441251"/>
      <w:bookmarkStart w:id="387" w:name="_Toc38441583"/>
      <w:bookmarkStart w:id="388" w:name="_Toc38441911"/>
      <w:bookmarkStart w:id="389" w:name="_Toc38442243"/>
      <w:bookmarkStart w:id="390" w:name="_Toc38442575"/>
      <w:bookmarkStart w:id="391" w:name="_Toc38442906"/>
      <w:bookmarkStart w:id="392" w:name="_Toc38443237"/>
      <w:bookmarkStart w:id="393" w:name="_Toc38443568"/>
      <w:bookmarkStart w:id="394" w:name="_Toc38443898"/>
      <w:bookmarkStart w:id="395" w:name="_Toc38438366"/>
      <w:bookmarkStart w:id="396" w:name="_Toc38438703"/>
      <w:bookmarkStart w:id="397" w:name="_Toc38439040"/>
      <w:bookmarkStart w:id="398" w:name="_Toc38439377"/>
      <w:bookmarkStart w:id="399" w:name="_Toc38439714"/>
      <w:bookmarkStart w:id="400" w:name="_Toc38440051"/>
      <w:bookmarkStart w:id="401" w:name="_Toc38440388"/>
      <w:bookmarkStart w:id="402" w:name="_Toc38440920"/>
      <w:bookmarkStart w:id="403" w:name="_Toc38441252"/>
      <w:bookmarkStart w:id="404" w:name="_Toc38441584"/>
      <w:bookmarkStart w:id="405" w:name="_Toc38441912"/>
      <w:bookmarkStart w:id="406" w:name="_Toc38442244"/>
      <w:bookmarkStart w:id="407" w:name="_Toc38442576"/>
      <w:bookmarkStart w:id="408" w:name="_Toc38442907"/>
      <w:bookmarkStart w:id="409" w:name="_Toc38443238"/>
      <w:bookmarkStart w:id="410" w:name="_Toc38443569"/>
      <w:bookmarkStart w:id="411" w:name="_Toc38443899"/>
      <w:bookmarkStart w:id="412" w:name="_Toc38438367"/>
      <w:bookmarkStart w:id="413" w:name="_Toc38438704"/>
      <w:bookmarkStart w:id="414" w:name="_Toc38439041"/>
      <w:bookmarkStart w:id="415" w:name="_Toc38439378"/>
      <w:bookmarkStart w:id="416" w:name="_Toc38439715"/>
      <w:bookmarkStart w:id="417" w:name="_Toc38440052"/>
      <w:bookmarkStart w:id="418" w:name="_Toc38440389"/>
      <w:bookmarkStart w:id="419" w:name="_Toc38440921"/>
      <w:bookmarkStart w:id="420" w:name="_Toc38441253"/>
      <w:bookmarkStart w:id="421" w:name="_Toc38441585"/>
      <w:bookmarkStart w:id="422" w:name="_Toc38441913"/>
      <w:bookmarkStart w:id="423" w:name="_Toc38442245"/>
      <w:bookmarkStart w:id="424" w:name="_Toc38442577"/>
      <w:bookmarkStart w:id="425" w:name="_Toc38442908"/>
      <w:bookmarkStart w:id="426" w:name="_Toc38443239"/>
      <w:bookmarkStart w:id="427" w:name="_Toc38443570"/>
      <w:bookmarkStart w:id="428" w:name="_Toc38443900"/>
      <w:bookmarkStart w:id="429" w:name="_Toc38438368"/>
      <w:bookmarkStart w:id="430" w:name="_Toc38438705"/>
      <w:bookmarkStart w:id="431" w:name="_Toc38439042"/>
      <w:bookmarkStart w:id="432" w:name="_Toc38439379"/>
      <w:bookmarkStart w:id="433" w:name="_Toc38439716"/>
      <w:bookmarkStart w:id="434" w:name="_Toc38440053"/>
      <w:bookmarkStart w:id="435" w:name="_Toc38440390"/>
      <w:bookmarkStart w:id="436" w:name="_Toc38440922"/>
      <w:bookmarkStart w:id="437" w:name="_Toc38441254"/>
      <w:bookmarkStart w:id="438" w:name="_Toc38441586"/>
      <w:bookmarkStart w:id="439" w:name="_Toc38441914"/>
      <w:bookmarkStart w:id="440" w:name="_Toc38442246"/>
      <w:bookmarkStart w:id="441" w:name="_Toc38442578"/>
      <w:bookmarkStart w:id="442" w:name="_Toc38442909"/>
      <w:bookmarkStart w:id="443" w:name="_Toc38443240"/>
      <w:bookmarkStart w:id="444" w:name="_Toc38443571"/>
      <w:bookmarkStart w:id="445" w:name="_Toc38443901"/>
      <w:bookmarkStart w:id="446" w:name="_Toc38438369"/>
      <w:bookmarkStart w:id="447" w:name="_Toc38438706"/>
      <w:bookmarkStart w:id="448" w:name="_Toc38439043"/>
      <w:bookmarkStart w:id="449" w:name="_Toc38439380"/>
      <w:bookmarkStart w:id="450" w:name="_Toc38439717"/>
      <w:bookmarkStart w:id="451" w:name="_Toc38440054"/>
      <w:bookmarkStart w:id="452" w:name="_Toc38440391"/>
      <w:bookmarkStart w:id="453" w:name="_Toc38440923"/>
      <w:bookmarkStart w:id="454" w:name="_Toc38441255"/>
      <w:bookmarkStart w:id="455" w:name="_Toc38441587"/>
      <w:bookmarkStart w:id="456" w:name="_Toc38441915"/>
      <w:bookmarkStart w:id="457" w:name="_Toc38442247"/>
      <w:bookmarkStart w:id="458" w:name="_Toc38442579"/>
      <w:bookmarkStart w:id="459" w:name="_Toc38442910"/>
      <w:bookmarkStart w:id="460" w:name="_Toc38443241"/>
      <w:bookmarkStart w:id="461" w:name="_Toc38443572"/>
      <w:bookmarkStart w:id="462" w:name="_Toc38443902"/>
      <w:bookmarkStart w:id="463" w:name="_Toc38438371"/>
      <w:bookmarkStart w:id="464" w:name="_Toc38438708"/>
      <w:bookmarkStart w:id="465" w:name="_Toc38439045"/>
      <w:bookmarkStart w:id="466" w:name="_Toc38439382"/>
      <w:bookmarkStart w:id="467" w:name="_Toc38439719"/>
      <w:bookmarkStart w:id="468" w:name="_Toc38440056"/>
      <w:bookmarkStart w:id="469" w:name="_Toc38440393"/>
      <w:bookmarkStart w:id="470" w:name="_Toc38440925"/>
      <w:bookmarkStart w:id="471" w:name="_Toc38441257"/>
      <w:bookmarkStart w:id="472" w:name="_Toc38441589"/>
      <w:bookmarkStart w:id="473" w:name="_Toc38441917"/>
      <w:bookmarkStart w:id="474" w:name="_Toc38442249"/>
      <w:bookmarkStart w:id="475" w:name="_Toc38442581"/>
      <w:bookmarkStart w:id="476" w:name="_Toc38442912"/>
      <w:bookmarkStart w:id="477" w:name="_Toc38443243"/>
      <w:bookmarkStart w:id="478" w:name="_Toc38443574"/>
      <w:bookmarkStart w:id="479" w:name="_Toc38443904"/>
      <w:bookmarkStart w:id="480" w:name="_Toc38438372"/>
      <w:bookmarkStart w:id="481" w:name="_Toc38438709"/>
      <w:bookmarkStart w:id="482" w:name="_Toc38439046"/>
      <w:bookmarkStart w:id="483" w:name="_Toc38439383"/>
      <w:bookmarkStart w:id="484" w:name="_Toc38439720"/>
      <w:bookmarkStart w:id="485" w:name="_Toc38440057"/>
      <w:bookmarkStart w:id="486" w:name="_Toc38440394"/>
      <w:bookmarkStart w:id="487" w:name="_Toc38440926"/>
      <w:bookmarkStart w:id="488" w:name="_Toc38441258"/>
      <w:bookmarkStart w:id="489" w:name="_Toc38441590"/>
      <w:bookmarkStart w:id="490" w:name="_Toc38441918"/>
      <w:bookmarkStart w:id="491" w:name="_Toc38442250"/>
      <w:bookmarkStart w:id="492" w:name="_Toc38442582"/>
      <w:bookmarkStart w:id="493" w:name="_Toc38442913"/>
      <w:bookmarkStart w:id="494" w:name="_Toc38443244"/>
      <w:bookmarkStart w:id="495" w:name="_Toc38443575"/>
      <w:bookmarkStart w:id="496" w:name="_Toc38443905"/>
      <w:bookmarkStart w:id="497" w:name="_Toc38438373"/>
      <w:bookmarkStart w:id="498" w:name="_Toc38438710"/>
      <w:bookmarkStart w:id="499" w:name="_Toc38439047"/>
      <w:bookmarkStart w:id="500" w:name="_Toc38439384"/>
      <w:bookmarkStart w:id="501" w:name="_Toc38439721"/>
      <w:bookmarkStart w:id="502" w:name="_Toc38440058"/>
      <w:bookmarkStart w:id="503" w:name="_Toc38440395"/>
      <w:bookmarkStart w:id="504" w:name="_Toc38440927"/>
      <w:bookmarkStart w:id="505" w:name="_Toc38441259"/>
      <w:bookmarkStart w:id="506" w:name="_Toc38441591"/>
      <w:bookmarkStart w:id="507" w:name="_Toc38441919"/>
      <w:bookmarkStart w:id="508" w:name="_Toc38442251"/>
      <w:bookmarkStart w:id="509" w:name="_Toc38442583"/>
      <w:bookmarkStart w:id="510" w:name="_Toc38442914"/>
      <w:bookmarkStart w:id="511" w:name="_Toc38443245"/>
      <w:bookmarkStart w:id="512" w:name="_Toc38443576"/>
      <w:bookmarkStart w:id="513" w:name="_Toc38443906"/>
      <w:bookmarkStart w:id="514" w:name="_Toc38438374"/>
      <w:bookmarkStart w:id="515" w:name="_Toc38438711"/>
      <w:bookmarkStart w:id="516" w:name="_Toc38439048"/>
      <w:bookmarkStart w:id="517" w:name="_Toc38439385"/>
      <w:bookmarkStart w:id="518" w:name="_Toc38439722"/>
      <w:bookmarkStart w:id="519" w:name="_Toc38440059"/>
      <w:bookmarkStart w:id="520" w:name="_Toc38440396"/>
      <w:bookmarkStart w:id="521" w:name="_Toc38440928"/>
      <w:bookmarkStart w:id="522" w:name="_Toc38441260"/>
      <w:bookmarkStart w:id="523" w:name="_Toc38441592"/>
      <w:bookmarkStart w:id="524" w:name="_Toc38441920"/>
      <w:bookmarkStart w:id="525" w:name="_Toc38442252"/>
      <w:bookmarkStart w:id="526" w:name="_Toc38442584"/>
      <w:bookmarkStart w:id="527" w:name="_Toc38442915"/>
      <w:bookmarkStart w:id="528" w:name="_Toc38443246"/>
      <w:bookmarkStart w:id="529" w:name="_Toc38443577"/>
      <w:bookmarkStart w:id="530" w:name="_Toc38443907"/>
      <w:bookmarkStart w:id="531" w:name="_Toc38438375"/>
      <w:bookmarkStart w:id="532" w:name="_Toc38438712"/>
      <w:bookmarkStart w:id="533" w:name="_Toc38439049"/>
      <w:bookmarkStart w:id="534" w:name="_Toc38439386"/>
      <w:bookmarkStart w:id="535" w:name="_Toc38439723"/>
      <w:bookmarkStart w:id="536" w:name="_Toc38440060"/>
      <w:bookmarkStart w:id="537" w:name="_Toc38440397"/>
      <w:bookmarkStart w:id="538" w:name="_Toc38440929"/>
      <w:bookmarkStart w:id="539" w:name="_Toc38441261"/>
      <w:bookmarkStart w:id="540" w:name="_Toc38441593"/>
      <w:bookmarkStart w:id="541" w:name="_Toc38441921"/>
      <w:bookmarkStart w:id="542" w:name="_Toc38442253"/>
      <w:bookmarkStart w:id="543" w:name="_Toc38442585"/>
      <w:bookmarkStart w:id="544" w:name="_Toc38442916"/>
      <w:bookmarkStart w:id="545" w:name="_Toc38443247"/>
      <w:bookmarkStart w:id="546" w:name="_Toc38443578"/>
      <w:bookmarkStart w:id="547" w:name="_Toc38443908"/>
      <w:bookmarkStart w:id="548" w:name="_Toc38438376"/>
      <w:bookmarkStart w:id="549" w:name="_Toc38438713"/>
      <w:bookmarkStart w:id="550" w:name="_Toc38439050"/>
      <w:bookmarkStart w:id="551" w:name="_Toc38439387"/>
      <w:bookmarkStart w:id="552" w:name="_Toc38439724"/>
      <w:bookmarkStart w:id="553" w:name="_Toc38440061"/>
      <w:bookmarkStart w:id="554" w:name="_Toc38440398"/>
      <w:bookmarkStart w:id="555" w:name="_Toc38440930"/>
      <w:bookmarkStart w:id="556" w:name="_Toc38441262"/>
      <w:bookmarkStart w:id="557" w:name="_Toc38441594"/>
      <w:bookmarkStart w:id="558" w:name="_Toc38441922"/>
      <w:bookmarkStart w:id="559" w:name="_Toc38442254"/>
      <w:bookmarkStart w:id="560" w:name="_Toc38442586"/>
      <w:bookmarkStart w:id="561" w:name="_Toc38442917"/>
      <w:bookmarkStart w:id="562" w:name="_Toc38443248"/>
      <w:bookmarkStart w:id="563" w:name="_Toc38443579"/>
      <w:bookmarkStart w:id="564" w:name="_Toc38443909"/>
      <w:bookmarkStart w:id="565" w:name="_Toc38438377"/>
      <w:bookmarkStart w:id="566" w:name="_Toc38438714"/>
      <w:bookmarkStart w:id="567" w:name="_Toc38439051"/>
      <w:bookmarkStart w:id="568" w:name="_Toc38439388"/>
      <w:bookmarkStart w:id="569" w:name="_Toc38439725"/>
      <w:bookmarkStart w:id="570" w:name="_Toc38440062"/>
      <w:bookmarkStart w:id="571" w:name="_Toc38440399"/>
      <w:bookmarkStart w:id="572" w:name="_Toc38440931"/>
      <w:bookmarkStart w:id="573" w:name="_Toc38441263"/>
      <w:bookmarkStart w:id="574" w:name="_Toc38441595"/>
      <w:bookmarkStart w:id="575" w:name="_Toc38441923"/>
      <w:bookmarkStart w:id="576" w:name="_Toc38442255"/>
      <w:bookmarkStart w:id="577" w:name="_Toc38442587"/>
      <w:bookmarkStart w:id="578" w:name="_Toc38442918"/>
      <w:bookmarkStart w:id="579" w:name="_Toc38443249"/>
      <w:bookmarkStart w:id="580" w:name="_Toc38443580"/>
      <w:bookmarkStart w:id="581" w:name="_Toc38443910"/>
      <w:bookmarkStart w:id="582" w:name="_Toc38438378"/>
      <w:bookmarkStart w:id="583" w:name="_Toc38438715"/>
      <w:bookmarkStart w:id="584" w:name="_Toc38439052"/>
      <w:bookmarkStart w:id="585" w:name="_Toc38439389"/>
      <w:bookmarkStart w:id="586" w:name="_Toc38439726"/>
      <w:bookmarkStart w:id="587" w:name="_Toc38440063"/>
      <w:bookmarkStart w:id="588" w:name="_Toc38440400"/>
      <w:bookmarkStart w:id="589" w:name="_Toc38440932"/>
      <w:bookmarkStart w:id="590" w:name="_Toc38441264"/>
      <w:bookmarkStart w:id="591" w:name="_Toc38441596"/>
      <w:bookmarkStart w:id="592" w:name="_Toc38441924"/>
      <w:bookmarkStart w:id="593" w:name="_Toc38442256"/>
      <w:bookmarkStart w:id="594" w:name="_Toc38442588"/>
      <w:bookmarkStart w:id="595" w:name="_Toc38442919"/>
      <w:bookmarkStart w:id="596" w:name="_Toc38443250"/>
      <w:bookmarkStart w:id="597" w:name="_Toc38443581"/>
      <w:bookmarkStart w:id="598" w:name="_Toc38443911"/>
      <w:bookmarkStart w:id="599" w:name="_Toc38438379"/>
      <w:bookmarkStart w:id="600" w:name="_Toc38438716"/>
      <w:bookmarkStart w:id="601" w:name="_Toc38439053"/>
      <w:bookmarkStart w:id="602" w:name="_Toc38439390"/>
      <w:bookmarkStart w:id="603" w:name="_Toc38439727"/>
      <w:bookmarkStart w:id="604" w:name="_Toc38440064"/>
      <w:bookmarkStart w:id="605" w:name="_Toc38440401"/>
      <w:bookmarkStart w:id="606" w:name="_Toc38440933"/>
      <w:bookmarkStart w:id="607" w:name="_Toc38441265"/>
      <w:bookmarkStart w:id="608" w:name="_Toc38441597"/>
      <w:bookmarkStart w:id="609" w:name="_Toc38441925"/>
      <w:bookmarkStart w:id="610" w:name="_Toc38442257"/>
      <w:bookmarkStart w:id="611" w:name="_Toc38442589"/>
      <w:bookmarkStart w:id="612" w:name="_Toc38442920"/>
      <w:bookmarkStart w:id="613" w:name="_Toc38443251"/>
      <w:bookmarkStart w:id="614" w:name="_Toc38443582"/>
      <w:bookmarkStart w:id="615" w:name="_Toc38443912"/>
      <w:bookmarkStart w:id="616" w:name="_Toc38438380"/>
      <w:bookmarkStart w:id="617" w:name="_Toc38438717"/>
      <w:bookmarkStart w:id="618" w:name="_Toc38439054"/>
      <w:bookmarkStart w:id="619" w:name="_Toc38439391"/>
      <w:bookmarkStart w:id="620" w:name="_Toc38439728"/>
      <w:bookmarkStart w:id="621" w:name="_Toc38440065"/>
      <w:bookmarkStart w:id="622" w:name="_Toc38440402"/>
      <w:bookmarkStart w:id="623" w:name="_Toc38440934"/>
      <w:bookmarkStart w:id="624" w:name="_Toc38441266"/>
      <w:bookmarkStart w:id="625" w:name="_Toc38441598"/>
      <w:bookmarkStart w:id="626" w:name="_Toc38441926"/>
      <w:bookmarkStart w:id="627" w:name="_Toc38442258"/>
      <w:bookmarkStart w:id="628" w:name="_Toc38442590"/>
      <w:bookmarkStart w:id="629" w:name="_Toc38442921"/>
      <w:bookmarkStart w:id="630" w:name="_Toc38443252"/>
      <w:bookmarkStart w:id="631" w:name="_Toc38443583"/>
      <w:bookmarkStart w:id="632" w:name="_Toc38443913"/>
      <w:bookmarkStart w:id="633" w:name="_Toc38438381"/>
      <w:bookmarkStart w:id="634" w:name="_Toc38438718"/>
      <w:bookmarkStart w:id="635" w:name="_Toc38439055"/>
      <w:bookmarkStart w:id="636" w:name="_Toc38439392"/>
      <w:bookmarkStart w:id="637" w:name="_Toc38439729"/>
      <w:bookmarkStart w:id="638" w:name="_Toc38440066"/>
      <w:bookmarkStart w:id="639" w:name="_Toc38440403"/>
      <w:bookmarkStart w:id="640" w:name="_Toc38440935"/>
      <w:bookmarkStart w:id="641" w:name="_Toc38441267"/>
      <w:bookmarkStart w:id="642" w:name="_Toc38441599"/>
      <w:bookmarkStart w:id="643" w:name="_Toc38441927"/>
      <w:bookmarkStart w:id="644" w:name="_Toc38442259"/>
      <w:bookmarkStart w:id="645" w:name="_Toc38442591"/>
      <w:bookmarkStart w:id="646" w:name="_Toc38442922"/>
      <w:bookmarkStart w:id="647" w:name="_Toc38443253"/>
      <w:bookmarkStart w:id="648" w:name="_Toc38443584"/>
      <w:bookmarkStart w:id="649" w:name="_Toc38443914"/>
      <w:bookmarkStart w:id="650" w:name="_Toc38438382"/>
      <w:bookmarkStart w:id="651" w:name="_Toc38438719"/>
      <w:bookmarkStart w:id="652" w:name="_Toc38439056"/>
      <w:bookmarkStart w:id="653" w:name="_Toc38439393"/>
      <w:bookmarkStart w:id="654" w:name="_Toc38439730"/>
      <w:bookmarkStart w:id="655" w:name="_Toc38440067"/>
      <w:bookmarkStart w:id="656" w:name="_Toc38440404"/>
      <w:bookmarkStart w:id="657" w:name="_Toc38440936"/>
      <w:bookmarkStart w:id="658" w:name="_Toc38441268"/>
      <w:bookmarkStart w:id="659" w:name="_Toc38441600"/>
      <w:bookmarkStart w:id="660" w:name="_Toc38441928"/>
      <w:bookmarkStart w:id="661" w:name="_Toc38442260"/>
      <w:bookmarkStart w:id="662" w:name="_Toc38442592"/>
      <w:bookmarkStart w:id="663" w:name="_Toc38442923"/>
      <w:bookmarkStart w:id="664" w:name="_Toc38443254"/>
      <w:bookmarkStart w:id="665" w:name="_Toc38443585"/>
      <w:bookmarkStart w:id="666" w:name="_Toc38443915"/>
      <w:bookmarkStart w:id="667" w:name="_Toc38438383"/>
      <w:bookmarkStart w:id="668" w:name="_Toc38438720"/>
      <w:bookmarkStart w:id="669" w:name="_Toc38439057"/>
      <w:bookmarkStart w:id="670" w:name="_Toc38439394"/>
      <w:bookmarkStart w:id="671" w:name="_Toc38439731"/>
      <w:bookmarkStart w:id="672" w:name="_Toc38440068"/>
      <w:bookmarkStart w:id="673" w:name="_Toc38440405"/>
      <w:bookmarkStart w:id="674" w:name="_Toc38440937"/>
      <w:bookmarkStart w:id="675" w:name="_Toc38441269"/>
      <w:bookmarkStart w:id="676" w:name="_Toc38441601"/>
      <w:bookmarkStart w:id="677" w:name="_Toc38441929"/>
      <w:bookmarkStart w:id="678" w:name="_Toc38442261"/>
      <w:bookmarkStart w:id="679" w:name="_Toc38442593"/>
      <w:bookmarkStart w:id="680" w:name="_Toc38442924"/>
      <w:bookmarkStart w:id="681" w:name="_Toc38443255"/>
      <w:bookmarkStart w:id="682" w:name="_Toc38443586"/>
      <w:bookmarkStart w:id="683" w:name="_Toc38443916"/>
      <w:bookmarkStart w:id="684" w:name="_Toc38438384"/>
      <w:bookmarkStart w:id="685" w:name="_Toc38438721"/>
      <w:bookmarkStart w:id="686" w:name="_Toc38439058"/>
      <w:bookmarkStart w:id="687" w:name="_Toc38439395"/>
      <w:bookmarkStart w:id="688" w:name="_Toc38439732"/>
      <w:bookmarkStart w:id="689" w:name="_Toc38440069"/>
      <w:bookmarkStart w:id="690" w:name="_Toc38440406"/>
      <w:bookmarkStart w:id="691" w:name="_Toc38440938"/>
      <w:bookmarkStart w:id="692" w:name="_Toc38441270"/>
      <w:bookmarkStart w:id="693" w:name="_Toc38441602"/>
      <w:bookmarkStart w:id="694" w:name="_Toc38441930"/>
      <w:bookmarkStart w:id="695" w:name="_Toc38442262"/>
      <w:bookmarkStart w:id="696" w:name="_Toc38442594"/>
      <w:bookmarkStart w:id="697" w:name="_Toc38442925"/>
      <w:bookmarkStart w:id="698" w:name="_Toc38443256"/>
      <w:bookmarkStart w:id="699" w:name="_Toc38443587"/>
      <w:bookmarkStart w:id="700" w:name="_Toc38443917"/>
      <w:bookmarkStart w:id="701" w:name="_Toc38438385"/>
      <w:bookmarkStart w:id="702" w:name="_Toc38438722"/>
      <w:bookmarkStart w:id="703" w:name="_Toc38439059"/>
      <w:bookmarkStart w:id="704" w:name="_Toc38439396"/>
      <w:bookmarkStart w:id="705" w:name="_Toc38439733"/>
      <w:bookmarkStart w:id="706" w:name="_Toc38440070"/>
      <w:bookmarkStart w:id="707" w:name="_Toc38440407"/>
      <w:bookmarkStart w:id="708" w:name="_Toc38440939"/>
      <w:bookmarkStart w:id="709" w:name="_Toc38441271"/>
      <w:bookmarkStart w:id="710" w:name="_Toc38441603"/>
      <w:bookmarkStart w:id="711" w:name="_Toc38441931"/>
      <w:bookmarkStart w:id="712" w:name="_Toc38442263"/>
      <w:bookmarkStart w:id="713" w:name="_Toc38442595"/>
      <w:bookmarkStart w:id="714" w:name="_Toc38442926"/>
      <w:bookmarkStart w:id="715" w:name="_Toc38443257"/>
      <w:bookmarkStart w:id="716" w:name="_Toc38443588"/>
      <w:bookmarkStart w:id="717" w:name="_Toc38443918"/>
      <w:bookmarkStart w:id="718" w:name="_Toc38438386"/>
      <w:bookmarkStart w:id="719" w:name="_Toc38438723"/>
      <w:bookmarkStart w:id="720" w:name="_Toc38439060"/>
      <w:bookmarkStart w:id="721" w:name="_Toc38439397"/>
      <w:bookmarkStart w:id="722" w:name="_Toc38439734"/>
      <w:bookmarkStart w:id="723" w:name="_Toc38440071"/>
      <w:bookmarkStart w:id="724" w:name="_Toc38440408"/>
      <w:bookmarkStart w:id="725" w:name="_Toc38440940"/>
      <w:bookmarkStart w:id="726" w:name="_Toc38441272"/>
      <w:bookmarkStart w:id="727" w:name="_Toc38441604"/>
      <w:bookmarkStart w:id="728" w:name="_Toc38441932"/>
      <w:bookmarkStart w:id="729" w:name="_Toc38442264"/>
      <w:bookmarkStart w:id="730" w:name="_Toc38442596"/>
      <w:bookmarkStart w:id="731" w:name="_Toc38442927"/>
      <w:bookmarkStart w:id="732" w:name="_Toc38443258"/>
      <w:bookmarkStart w:id="733" w:name="_Toc38443589"/>
      <w:bookmarkStart w:id="734" w:name="_Toc38443919"/>
      <w:bookmarkStart w:id="735" w:name="_Toc38438387"/>
      <w:bookmarkStart w:id="736" w:name="_Toc38438724"/>
      <w:bookmarkStart w:id="737" w:name="_Toc38439061"/>
      <w:bookmarkStart w:id="738" w:name="_Toc38439398"/>
      <w:bookmarkStart w:id="739" w:name="_Toc38439735"/>
      <w:bookmarkStart w:id="740" w:name="_Toc38440072"/>
      <w:bookmarkStart w:id="741" w:name="_Toc38440409"/>
      <w:bookmarkStart w:id="742" w:name="_Toc38440941"/>
      <w:bookmarkStart w:id="743" w:name="_Toc38441273"/>
      <w:bookmarkStart w:id="744" w:name="_Toc38441605"/>
      <w:bookmarkStart w:id="745" w:name="_Toc38441933"/>
      <w:bookmarkStart w:id="746" w:name="_Toc38442265"/>
      <w:bookmarkStart w:id="747" w:name="_Toc38442597"/>
      <w:bookmarkStart w:id="748" w:name="_Toc38442928"/>
      <w:bookmarkStart w:id="749" w:name="_Toc38443259"/>
      <w:bookmarkStart w:id="750" w:name="_Toc38443590"/>
      <w:bookmarkStart w:id="751" w:name="_Toc38443920"/>
      <w:bookmarkStart w:id="752" w:name="_Toc38438388"/>
      <w:bookmarkStart w:id="753" w:name="_Toc38438725"/>
      <w:bookmarkStart w:id="754" w:name="_Toc38439062"/>
      <w:bookmarkStart w:id="755" w:name="_Toc38439399"/>
      <w:bookmarkStart w:id="756" w:name="_Toc38439736"/>
      <w:bookmarkStart w:id="757" w:name="_Toc38440073"/>
      <w:bookmarkStart w:id="758" w:name="_Toc38440410"/>
      <w:bookmarkStart w:id="759" w:name="_Toc38440942"/>
      <w:bookmarkStart w:id="760" w:name="_Toc38441274"/>
      <w:bookmarkStart w:id="761" w:name="_Toc38441606"/>
      <w:bookmarkStart w:id="762" w:name="_Toc38441934"/>
      <w:bookmarkStart w:id="763" w:name="_Toc38442266"/>
      <w:bookmarkStart w:id="764" w:name="_Toc38442598"/>
      <w:bookmarkStart w:id="765" w:name="_Toc38442929"/>
      <w:bookmarkStart w:id="766" w:name="_Toc38443260"/>
      <w:bookmarkStart w:id="767" w:name="_Toc38443591"/>
      <w:bookmarkStart w:id="768" w:name="_Toc38443921"/>
      <w:bookmarkStart w:id="769" w:name="_Toc38438389"/>
      <w:bookmarkStart w:id="770" w:name="_Toc38438726"/>
      <w:bookmarkStart w:id="771" w:name="_Toc38439063"/>
      <w:bookmarkStart w:id="772" w:name="_Toc38439400"/>
      <w:bookmarkStart w:id="773" w:name="_Toc38439737"/>
      <w:bookmarkStart w:id="774" w:name="_Toc38440074"/>
      <w:bookmarkStart w:id="775" w:name="_Toc38440411"/>
      <w:bookmarkStart w:id="776" w:name="_Toc38440943"/>
      <w:bookmarkStart w:id="777" w:name="_Toc38441275"/>
      <w:bookmarkStart w:id="778" w:name="_Toc38441607"/>
      <w:bookmarkStart w:id="779" w:name="_Toc38441935"/>
      <w:bookmarkStart w:id="780" w:name="_Toc38442267"/>
      <w:bookmarkStart w:id="781" w:name="_Toc38442599"/>
      <w:bookmarkStart w:id="782" w:name="_Toc38442930"/>
      <w:bookmarkStart w:id="783" w:name="_Toc38443261"/>
      <w:bookmarkStart w:id="784" w:name="_Toc38443592"/>
      <w:bookmarkStart w:id="785" w:name="_Toc38443922"/>
      <w:bookmarkStart w:id="786" w:name="_Toc38438390"/>
      <w:bookmarkStart w:id="787" w:name="_Toc38438727"/>
      <w:bookmarkStart w:id="788" w:name="_Toc38439064"/>
      <w:bookmarkStart w:id="789" w:name="_Toc38439401"/>
      <w:bookmarkStart w:id="790" w:name="_Toc38439738"/>
      <w:bookmarkStart w:id="791" w:name="_Toc38440075"/>
      <w:bookmarkStart w:id="792" w:name="_Toc38440412"/>
      <w:bookmarkStart w:id="793" w:name="_Toc38440944"/>
      <w:bookmarkStart w:id="794" w:name="_Toc38441276"/>
      <w:bookmarkStart w:id="795" w:name="_Toc38441608"/>
      <w:bookmarkStart w:id="796" w:name="_Toc38441936"/>
      <w:bookmarkStart w:id="797" w:name="_Toc38442268"/>
      <w:bookmarkStart w:id="798" w:name="_Toc38442600"/>
      <w:bookmarkStart w:id="799" w:name="_Toc38442931"/>
      <w:bookmarkStart w:id="800" w:name="_Toc38443262"/>
      <w:bookmarkStart w:id="801" w:name="_Toc38443593"/>
      <w:bookmarkStart w:id="802" w:name="_Toc38443923"/>
      <w:bookmarkStart w:id="803" w:name="_Toc38438391"/>
      <w:bookmarkStart w:id="804" w:name="_Toc38438728"/>
      <w:bookmarkStart w:id="805" w:name="_Toc38439065"/>
      <w:bookmarkStart w:id="806" w:name="_Toc38439402"/>
      <w:bookmarkStart w:id="807" w:name="_Toc38439739"/>
      <w:bookmarkStart w:id="808" w:name="_Toc38440076"/>
      <w:bookmarkStart w:id="809" w:name="_Toc38440413"/>
      <w:bookmarkStart w:id="810" w:name="_Toc38440945"/>
      <w:bookmarkStart w:id="811" w:name="_Toc38441277"/>
      <w:bookmarkStart w:id="812" w:name="_Toc38441609"/>
      <w:bookmarkStart w:id="813" w:name="_Toc38441937"/>
      <w:bookmarkStart w:id="814" w:name="_Toc38442269"/>
      <w:bookmarkStart w:id="815" w:name="_Toc38442601"/>
      <w:bookmarkStart w:id="816" w:name="_Toc38442932"/>
      <w:bookmarkStart w:id="817" w:name="_Toc38443263"/>
      <w:bookmarkStart w:id="818" w:name="_Toc38443594"/>
      <w:bookmarkStart w:id="819" w:name="_Toc38443924"/>
      <w:bookmarkStart w:id="820" w:name="_Toc38438392"/>
      <w:bookmarkStart w:id="821" w:name="_Toc38438729"/>
      <w:bookmarkStart w:id="822" w:name="_Toc38439066"/>
      <w:bookmarkStart w:id="823" w:name="_Toc38439403"/>
      <w:bookmarkStart w:id="824" w:name="_Toc38439740"/>
      <w:bookmarkStart w:id="825" w:name="_Toc38440077"/>
      <w:bookmarkStart w:id="826" w:name="_Toc38440414"/>
      <w:bookmarkStart w:id="827" w:name="_Toc38440946"/>
      <w:bookmarkStart w:id="828" w:name="_Toc38441278"/>
      <w:bookmarkStart w:id="829" w:name="_Toc38441610"/>
      <w:bookmarkStart w:id="830" w:name="_Toc38441938"/>
      <w:bookmarkStart w:id="831" w:name="_Toc38442270"/>
      <w:bookmarkStart w:id="832" w:name="_Toc38442602"/>
      <w:bookmarkStart w:id="833" w:name="_Toc38442933"/>
      <w:bookmarkStart w:id="834" w:name="_Toc38443264"/>
      <w:bookmarkStart w:id="835" w:name="_Toc38443595"/>
      <w:bookmarkStart w:id="836" w:name="_Toc38443925"/>
      <w:bookmarkStart w:id="837" w:name="_Toc38438393"/>
      <w:bookmarkStart w:id="838" w:name="_Toc38438730"/>
      <w:bookmarkStart w:id="839" w:name="_Toc38439067"/>
      <w:bookmarkStart w:id="840" w:name="_Toc38439404"/>
      <w:bookmarkStart w:id="841" w:name="_Toc38439741"/>
      <w:bookmarkStart w:id="842" w:name="_Toc38440078"/>
      <w:bookmarkStart w:id="843" w:name="_Toc38440415"/>
      <w:bookmarkStart w:id="844" w:name="_Toc38440947"/>
      <w:bookmarkStart w:id="845" w:name="_Toc38441279"/>
      <w:bookmarkStart w:id="846" w:name="_Toc38441611"/>
      <w:bookmarkStart w:id="847" w:name="_Toc38441939"/>
      <w:bookmarkStart w:id="848" w:name="_Toc38442271"/>
      <w:bookmarkStart w:id="849" w:name="_Toc38442603"/>
      <w:bookmarkStart w:id="850" w:name="_Toc38442934"/>
      <w:bookmarkStart w:id="851" w:name="_Toc38443265"/>
      <w:bookmarkStart w:id="852" w:name="_Toc38443596"/>
      <w:bookmarkStart w:id="853" w:name="_Toc38443926"/>
      <w:bookmarkStart w:id="854" w:name="_Toc38438394"/>
      <w:bookmarkStart w:id="855" w:name="_Toc38438731"/>
      <w:bookmarkStart w:id="856" w:name="_Toc38439068"/>
      <w:bookmarkStart w:id="857" w:name="_Toc38439405"/>
      <w:bookmarkStart w:id="858" w:name="_Toc38439742"/>
      <w:bookmarkStart w:id="859" w:name="_Toc38440079"/>
      <w:bookmarkStart w:id="860" w:name="_Toc38440416"/>
      <w:bookmarkStart w:id="861" w:name="_Toc38440948"/>
      <w:bookmarkStart w:id="862" w:name="_Toc38441280"/>
      <w:bookmarkStart w:id="863" w:name="_Toc38441612"/>
      <w:bookmarkStart w:id="864" w:name="_Toc38441940"/>
      <w:bookmarkStart w:id="865" w:name="_Toc38442272"/>
      <w:bookmarkStart w:id="866" w:name="_Toc38442604"/>
      <w:bookmarkStart w:id="867" w:name="_Toc38442935"/>
      <w:bookmarkStart w:id="868" w:name="_Toc38443266"/>
      <w:bookmarkStart w:id="869" w:name="_Toc38443597"/>
      <w:bookmarkStart w:id="870" w:name="_Toc38443927"/>
      <w:bookmarkStart w:id="871" w:name="_Toc38438395"/>
      <w:bookmarkStart w:id="872" w:name="_Toc38438732"/>
      <w:bookmarkStart w:id="873" w:name="_Toc38439069"/>
      <w:bookmarkStart w:id="874" w:name="_Toc38439406"/>
      <w:bookmarkStart w:id="875" w:name="_Toc38439743"/>
      <w:bookmarkStart w:id="876" w:name="_Toc38440080"/>
      <w:bookmarkStart w:id="877" w:name="_Toc38440417"/>
      <w:bookmarkStart w:id="878" w:name="_Toc38440949"/>
      <w:bookmarkStart w:id="879" w:name="_Toc38441281"/>
      <w:bookmarkStart w:id="880" w:name="_Toc38441613"/>
      <w:bookmarkStart w:id="881" w:name="_Toc38441941"/>
      <w:bookmarkStart w:id="882" w:name="_Toc38442273"/>
      <w:bookmarkStart w:id="883" w:name="_Toc38442605"/>
      <w:bookmarkStart w:id="884" w:name="_Toc38442936"/>
      <w:bookmarkStart w:id="885" w:name="_Toc38443267"/>
      <w:bookmarkStart w:id="886" w:name="_Toc38443598"/>
      <w:bookmarkStart w:id="887" w:name="_Toc38443928"/>
      <w:bookmarkStart w:id="888" w:name="_Toc38438396"/>
      <w:bookmarkStart w:id="889" w:name="_Toc38438733"/>
      <w:bookmarkStart w:id="890" w:name="_Toc38439070"/>
      <w:bookmarkStart w:id="891" w:name="_Toc38439407"/>
      <w:bookmarkStart w:id="892" w:name="_Toc38439744"/>
      <w:bookmarkStart w:id="893" w:name="_Toc38440081"/>
      <w:bookmarkStart w:id="894" w:name="_Toc38440418"/>
      <w:bookmarkStart w:id="895" w:name="_Toc38440950"/>
      <w:bookmarkStart w:id="896" w:name="_Toc38441282"/>
      <w:bookmarkStart w:id="897" w:name="_Toc38441614"/>
      <w:bookmarkStart w:id="898" w:name="_Toc38441942"/>
      <w:bookmarkStart w:id="899" w:name="_Toc38442274"/>
      <w:bookmarkStart w:id="900" w:name="_Toc38442606"/>
      <w:bookmarkStart w:id="901" w:name="_Toc38442937"/>
      <w:bookmarkStart w:id="902" w:name="_Toc38443268"/>
      <w:bookmarkStart w:id="903" w:name="_Toc38443599"/>
      <w:bookmarkStart w:id="904" w:name="_Toc38443929"/>
      <w:bookmarkStart w:id="905" w:name="_Toc38438397"/>
      <w:bookmarkStart w:id="906" w:name="_Toc38438734"/>
      <w:bookmarkStart w:id="907" w:name="_Toc38439071"/>
      <w:bookmarkStart w:id="908" w:name="_Toc38439408"/>
      <w:bookmarkStart w:id="909" w:name="_Toc38439745"/>
      <w:bookmarkStart w:id="910" w:name="_Toc38440082"/>
      <w:bookmarkStart w:id="911" w:name="_Toc38440419"/>
      <w:bookmarkStart w:id="912" w:name="_Toc38440951"/>
      <w:bookmarkStart w:id="913" w:name="_Toc38441283"/>
      <w:bookmarkStart w:id="914" w:name="_Toc38441615"/>
      <w:bookmarkStart w:id="915" w:name="_Toc38441943"/>
      <w:bookmarkStart w:id="916" w:name="_Toc38442275"/>
      <w:bookmarkStart w:id="917" w:name="_Toc38442607"/>
      <w:bookmarkStart w:id="918" w:name="_Toc38442938"/>
      <w:bookmarkStart w:id="919" w:name="_Toc38443269"/>
      <w:bookmarkStart w:id="920" w:name="_Toc38443600"/>
      <w:bookmarkStart w:id="921" w:name="_Toc38443930"/>
      <w:bookmarkStart w:id="922" w:name="_Toc38438398"/>
      <w:bookmarkStart w:id="923" w:name="_Toc38438735"/>
      <w:bookmarkStart w:id="924" w:name="_Toc38439072"/>
      <w:bookmarkStart w:id="925" w:name="_Toc38439409"/>
      <w:bookmarkStart w:id="926" w:name="_Toc38439746"/>
      <w:bookmarkStart w:id="927" w:name="_Toc38440083"/>
      <w:bookmarkStart w:id="928" w:name="_Toc38440420"/>
      <w:bookmarkStart w:id="929" w:name="_Toc38440952"/>
      <w:bookmarkStart w:id="930" w:name="_Toc38441284"/>
      <w:bookmarkStart w:id="931" w:name="_Toc38441616"/>
      <w:bookmarkStart w:id="932" w:name="_Toc38441944"/>
      <w:bookmarkStart w:id="933" w:name="_Toc38442276"/>
      <w:bookmarkStart w:id="934" w:name="_Toc38442608"/>
      <w:bookmarkStart w:id="935" w:name="_Toc38442939"/>
      <w:bookmarkStart w:id="936" w:name="_Toc38443270"/>
      <w:bookmarkStart w:id="937" w:name="_Toc38443601"/>
      <w:bookmarkStart w:id="938" w:name="_Toc38443931"/>
      <w:bookmarkStart w:id="939" w:name="_Toc38438400"/>
      <w:bookmarkStart w:id="940" w:name="_Toc38438737"/>
      <w:bookmarkStart w:id="941" w:name="_Toc38439074"/>
      <w:bookmarkStart w:id="942" w:name="_Toc38439411"/>
      <w:bookmarkStart w:id="943" w:name="_Toc38439748"/>
      <w:bookmarkStart w:id="944" w:name="_Toc38440085"/>
      <w:bookmarkStart w:id="945" w:name="_Toc38440422"/>
      <w:bookmarkStart w:id="946" w:name="_Toc38440954"/>
      <w:bookmarkStart w:id="947" w:name="_Toc38441286"/>
      <w:bookmarkStart w:id="948" w:name="_Toc38441618"/>
      <w:bookmarkStart w:id="949" w:name="_Toc38441946"/>
      <w:bookmarkStart w:id="950" w:name="_Toc38442278"/>
      <w:bookmarkStart w:id="951" w:name="_Toc38442610"/>
      <w:bookmarkStart w:id="952" w:name="_Toc38442941"/>
      <w:bookmarkStart w:id="953" w:name="_Toc38443272"/>
      <w:bookmarkStart w:id="954" w:name="_Toc38443603"/>
      <w:bookmarkStart w:id="955" w:name="_Toc38443933"/>
      <w:bookmarkStart w:id="956" w:name="_Toc38438401"/>
      <w:bookmarkStart w:id="957" w:name="_Toc38438738"/>
      <w:bookmarkStart w:id="958" w:name="_Toc38439075"/>
      <w:bookmarkStart w:id="959" w:name="_Toc38439412"/>
      <w:bookmarkStart w:id="960" w:name="_Toc38439749"/>
      <w:bookmarkStart w:id="961" w:name="_Toc38440086"/>
      <w:bookmarkStart w:id="962" w:name="_Toc38440423"/>
      <w:bookmarkStart w:id="963" w:name="_Toc38440955"/>
      <w:bookmarkStart w:id="964" w:name="_Toc38441287"/>
      <w:bookmarkStart w:id="965" w:name="_Toc38441619"/>
      <w:bookmarkStart w:id="966" w:name="_Toc38441947"/>
      <w:bookmarkStart w:id="967" w:name="_Toc38442279"/>
      <w:bookmarkStart w:id="968" w:name="_Toc38442611"/>
      <w:bookmarkStart w:id="969" w:name="_Toc38442942"/>
      <w:bookmarkStart w:id="970" w:name="_Toc38443273"/>
      <w:bookmarkStart w:id="971" w:name="_Toc38443604"/>
      <w:bookmarkStart w:id="972" w:name="_Toc38443934"/>
      <w:bookmarkStart w:id="973" w:name="_Toc38438402"/>
      <w:bookmarkStart w:id="974" w:name="_Toc38438739"/>
      <w:bookmarkStart w:id="975" w:name="_Toc38439076"/>
      <w:bookmarkStart w:id="976" w:name="_Toc38439413"/>
      <w:bookmarkStart w:id="977" w:name="_Toc38439750"/>
      <w:bookmarkStart w:id="978" w:name="_Toc38440087"/>
      <w:bookmarkStart w:id="979" w:name="_Toc38440424"/>
      <w:bookmarkStart w:id="980" w:name="_Toc38440956"/>
      <w:bookmarkStart w:id="981" w:name="_Toc38441288"/>
      <w:bookmarkStart w:id="982" w:name="_Toc38441620"/>
      <w:bookmarkStart w:id="983" w:name="_Toc38441948"/>
      <w:bookmarkStart w:id="984" w:name="_Toc38442280"/>
      <w:bookmarkStart w:id="985" w:name="_Toc38442612"/>
      <w:bookmarkStart w:id="986" w:name="_Toc38442943"/>
      <w:bookmarkStart w:id="987" w:name="_Toc38443274"/>
      <w:bookmarkStart w:id="988" w:name="_Toc38443605"/>
      <w:bookmarkStart w:id="989" w:name="_Toc38443935"/>
      <w:bookmarkStart w:id="990" w:name="_Toc38438404"/>
      <w:bookmarkStart w:id="991" w:name="_Toc38438741"/>
      <w:bookmarkStart w:id="992" w:name="_Toc38439078"/>
      <w:bookmarkStart w:id="993" w:name="_Toc38439415"/>
      <w:bookmarkStart w:id="994" w:name="_Toc38439752"/>
      <w:bookmarkStart w:id="995" w:name="_Toc38440089"/>
      <w:bookmarkStart w:id="996" w:name="_Toc38440426"/>
      <w:bookmarkStart w:id="997" w:name="_Toc38440958"/>
      <w:bookmarkStart w:id="998" w:name="_Toc38441290"/>
      <w:bookmarkStart w:id="999" w:name="_Toc38441622"/>
      <w:bookmarkStart w:id="1000" w:name="_Toc38441950"/>
      <w:bookmarkStart w:id="1001" w:name="_Toc38442282"/>
      <w:bookmarkStart w:id="1002" w:name="_Toc38442614"/>
      <w:bookmarkStart w:id="1003" w:name="_Toc38442945"/>
      <w:bookmarkStart w:id="1004" w:name="_Toc38443276"/>
      <w:bookmarkStart w:id="1005" w:name="_Toc38443607"/>
      <w:bookmarkStart w:id="1006" w:name="_Toc38443937"/>
      <w:bookmarkStart w:id="1007" w:name="_Toc38438405"/>
      <w:bookmarkStart w:id="1008" w:name="_Toc38438742"/>
      <w:bookmarkStart w:id="1009" w:name="_Toc38439079"/>
      <w:bookmarkStart w:id="1010" w:name="_Toc38439416"/>
      <w:bookmarkStart w:id="1011" w:name="_Toc38439753"/>
      <w:bookmarkStart w:id="1012" w:name="_Toc38440090"/>
      <w:bookmarkStart w:id="1013" w:name="_Toc38440427"/>
      <w:bookmarkStart w:id="1014" w:name="_Toc38440959"/>
      <w:bookmarkStart w:id="1015" w:name="_Toc38441291"/>
      <w:bookmarkStart w:id="1016" w:name="_Toc38441623"/>
      <w:bookmarkStart w:id="1017" w:name="_Toc38441951"/>
      <w:bookmarkStart w:id="1018" w:name="_Toc38442283"/>
      <w:bookmarkStart w:id="1019" w:name="_Toc38442615"/>
      <w:bookmarkStart w:id="1020" w:name="_Toc38442946"/>
      <w:bookmarkStart w:id="1021" w:name="_Toc38443277"/>
      <w:bookmarkStart w:id="1022" w:name="_Toc38443608"/>
      <w:bookmarkStart w:id="1023" w:name="_Toc38443938"/>
      <w:bookmarkStart w:id="1024" w:name="_Toc38438406"/>
      <w:bookmarkStart w:id="1025" w:name="_Toc38438743"/>
      <w:bookmarkStart w:id="1026" w:name="_Toc38439080"/>
      <w:bookmarkStart w:id="1027" w:name="_Toc38439417"/>
      <w:bookmarkStart w:id="1028" w:name="_Toc38439754"/>
      <w:bookmarkStart w:id="1029" w:name="_Toc38440091"/>
      <w:bookmarkStart w:id="1030" w:name="_Toc38440428"/>
      <w:bookmarkStart w:id="1031" w:name="_Toc38440960"/>
      <w:bookmarkStart w:id="1032" w:name="_Toc38441292"/>
      <w:bookmarkStart w:id="1033" w:name="_Toc38441624"/>
      <w:bookmarkStart w:id="1034" w:name="_Toc38441952"/>
      <w:bookmarkStart w:id="1035" w:name="_Toc38442284"/>
      <w:bookmarkStart w:id="1036" w:name="_Toc38442616"/>
      <w:bookmarkStart w:id="1037" w:name="_Toc38442947"/>
      <w:bookmarkStart w:id="1038" w:name="_Toc38443278"/>
      <w:bookmarkStart w:id="1039" w:name="_Toc38443609"/>
      <w:bookmarkStart w:id="1040" w:name="_Toc38443939"/>
      <w:bookmarkStart w:id="1041" w:name="_Toc38438407"/>
      <w:bookmarkStart w:id="1042" w:name="_Toc38438744"/>
      <w:bookmarkStart w:id="1043" w:name="_Toc38439081"/>
      <w:bookmarkStart w:id="1044" w:name="_Toc38439418"/>
      <w:bookmarkStart w:id="1045" w:name="_Toc38439755"/>
      <w:bookmarkStart w:id="1046" w:name="_Toc38440092"/>
      <w:bookmarkStart w:id="1047" w:name="_Toc38440429"/>
      <w:bookmarkStart w:id="1048" w:name="_Toc38440961"/>
      <w:bookmarkStart w:id="1049" w:name="_Toc38441293"/>
      <w:bookmarkStart w:id="1050" w:name="_Toc38441625"/>
      <w:bookmarkStart w:id="1051" w:name="_Toc38441953"/>
      <w:bookmarkStart w:id="1052" w:name="_Toc38442285"/>
      <w:bookmarkStart w:id="1053" w:name="_Toc38442617"/>
      <w:bookmarkStart w:id="1054" w:name="_Toc38442948"/>
      <w:bookmarkStart w:id="1055" w:name="_Toc38443279"/>
      <w:bookmarkStart w:id="1056" w:name="_Toc38443610"/>
      <w:bookmarkStart w:id="1057" w:name="_Toc38443940"/>
      <w:bookmarkStart w:id="1058" w:name="_Toc38438408"/>
      <w:bookmarkStart w:id="1059" w:name="_Toc38438745"/>
      <w:bookmarkStart w:id="1060" w:name="_Toc38439082"/>
      <w:bookmarkStart w:id="1061" w:name="_Toc38439419"/>
      <w:bookmarkStart w:id="1062" w:name="_Toc38439756"/>
      <w:bookmarkStart w:id="1063" w:name="_Toc38440093"/>
      <w:bookmarkStart w:id="1064" w:name="_Toc38440430"/>
      <w:bookmarkStart w:id="1065" w:name="_Toc38440962"/>
      <w:bookmarkStart w:id="1066" w:name="_Toc38441294"/>
      <w:bookmarkStart w:id="1067" w:name="_Toc38441626"/>
      <w:bookmarkStart w:id="1068" w:name="_Toc38441954"/>
      <w:bookmarkStart w:id="1069" w:name="_Toc38442286"/>
      <w:bookmarkStart w:id="1070" w:name="_Toc38442618"/>
      <w:bookmarkStart w:id="1071" w:name="_Toc38442949"/>
      <w:bookmarkStart w:id="1072" w:name="_Toc38443280"/>
      <w:bookmarkStart w:id="1073" w:name="_Toc38443611"/>
      <w:bookmarkStart w:id="1074" w:name="_Toc38443941"/>
      <w:bookmarkStart w:id="1075" w:name="_Toc38438409"/>
      <w:bookmarkStart w:id="1076" w:name="_Toc38438746"/>
      <w:bookmarkStart w:id="1077" w:name="_Toc38439083"/>
      <w:bookmarkStart w:id="1078" w:name="_Toc38439420"/>
      <w:bookmarkStart w:id="1079" w:name="_Toc38439757"/>
      <w:bookmarkStart w:id="1080" w:name="_Toc38440094"/>
      <w:bookmarkStart w:id="1081" w:name="_Toc38440431"/>
      <w:bookmarkStart w:id="1082" w:name="_Toc38440963"/>
      <w:bookmarkStart w:id="1083" w:name="_Toc38441295"/>
      <w:bookmarkStart w:id="1084" w:name="_Toc38441627"/>
      <w:bookmarkStart w:id="1085" w:name="_Toc38441955"/>
      <w:bookmarkStart w:id="1086" w:name="_Toc38442287"/>
      <w:bookmarkStart w:id="1087" w:name="_Toc38442619"/>
      <w:bookmarkStart w:id="1088" w:name="_Toc38442950"/>
      <w:bookmarkStart w:id="1089" w:name="_Toc38443281"/>
      <w:bookmarkStart w:id="1090" w:name="_Toc38443612"/>
      <w:bookmarkStart w:id="1091" w:name="_Toc38443942"/>
      <w:bookmarkStart w:id="1092" w:name="_Toc38438410"/>
      <w:bookmarkStart w:id="1093" w:name="_Toc38438747"/>
      <w:bookmarkStart w:id="1094" w:name="_Toc38439084"/>
      <w:bookmarkStart w:id="1095" w:name="_Toc38439421"/>
      <w:bookmarkStart w:id="1096" w:name="_Toc38439758"/>
      <w:bookmarkStart w:id="1097" w:name="_Toc38440095"/>
      <w:bookmarkStart w:id="1098" w:name="_Toc38440432"/>
      <w:bookmarkStart w:id="1099" w:name="_Toc38440964"/>
      <w:bookmarkStart w:id="1100" w:name="_Toc38441296"/>
      <w:bookmarkStart w:id="1101" w:name="_Toc38441628"/>
      <w:bookmarkStart w:id="1102" w:name="_Toc38441956"/>
      <w:bookmarkStart w:id="1103" w:name="_Toc38442288"/>
      <w:bookmarkStart w:id="1104" w:name="_Toc38442620"/>
      <w:bookmarkStart w:id="1105" w:name="_Toc38442951"/>
      <w:bookmarkStart w:id="1106" w:name="_Toc38443282"/>
      <w:bookmarkStart w:id="1107" w:name="_Toc38443613"/>
      <w:bookmarkStart w:id="1108" w:name="_Toc38443943"/>
      <w:bookmarkStart w:id="1109" w:name="_Toc38438411"/>
      <w:bookmarkStart w:id="1110" w:name="_Toc38438748"/>
      <w:bookmarkStart w:id="1111" w:name="_Toc38439085"/>
      <w:bookmarkStart w:id="1112" w:name="_Toc38439422"/>
      <w:bookmarkStart w:id="1113" w:name="_Toc38439759"/>
      <w:bookmarkStart w:id="1114" w:name="_Toc38440096"/>
      <w:bookmarkStart w:id="1115" w:name="_Toc38440433"/>
      <w:bookmarkStart w:id="1116" w:name="_Toc38440965"/>
      <w:bookmarkStart w:id="1117" w:name="_Toc38441297"/>
      <w:bookmarkStart w:id="1118" w:name="_Toc38441629"/>
      <w:bookmarkStart w:id="1119" w:name="_Toc38441957"/>
      <w:bookmarkStart w:id="1120" w:name="_Toc38442289"/>
      <w:bookmarkStart w:id="1121" w:name="_Toc38442621"/>
      <w:bookmarkStart w:id="1122" w:name="_Toc38442952"/>
      <w:bookmarkStart w:id="1123" w:name="_Toc38443283"/>
      <w:bookmarkStart w:id="1124" w:name="_Toc38443614"/>
      <w:bookmarkStart w:id="1125" w:name="_Toc38443944"/>
      <w:bookmarkStart w:id="1126" w:name="_Toc38438412"/>
      <w:bookmarkStart w:id="1127" w:name="_Toc38438749"/>
      <w:bookmarkStart w:id="1128" w:name="_Toc38439086"/>
      <w:bookmarkStart w:id="1129" w:name="_Toc38439423"/>
      <w:bookmarkStart w:id="1130" w:name="_Toc38439760"/>
      <w:bookmarkStart w:id="1131" w:name="_Toc38440097"/>
      <w:bookmarkStart w:id="1132" w:name="_Toc38440434"/>
      <w:bookmarkStart w:id="1133" w:name="_Toc38440966"/>
      <w:bookmarkStart w:id="1134" w:name="_Toc38441298"/>
      <w:bookmarkStart w:id="1135" w:name="_Toc38441630"/>
      <w:bookmarkStart w:id="1136" w:name="_Toc38441958"/>
      <w:bookmarkStart w:id="1137" w:name="_Toc38442290"/>
      <w:bookmarkStart w:id="1138" w:name="_Toc38442622"/>
      <w:bookmarkStart w:id="1139" w:name="_Toc38442953"/>
      <w:bookmarkStart w:id="1140" w:name="_Toc38443284"/>
      <w:bookmarkStart w:id="1141" w:name="_Toc38443615"/>
      <w:bookmarkStart w:id="1142" w:name="_Toc38443945"/>
      <w:bookmarkStart w:id="1143" w:name="_Toc38438413"/>
      <w:bookmarkStart w:id="1144" w:name="_Toc38438750"/>
      <w:bookmarkStart w:id="1145" w:name="_Toc38439087"/>
      <w:bookmarkStart w:id="1146" w:name="_Toc38439424"/>
      <w:bookmarkStart w:id="1147" w:name="_Toc38439761"/>
      <w:bookmarkStart w:id="1148" w:name="_Toc38440098"/>
      <w:bookmarkStart w:id="1149" w:name="_Toc38440435"/>
      <w:bookmarkStart w:id="1150" w:name="_Toc38440967"/>
      <w:bookmarkStart w:id="1151" w:name="_Toc38441299"/>
      <w:bookmarkStart w:id="1152" w:name="_Toc38441631"/>
      <w:bookmarkStart w:id="1153" w:name="_Toc38441959"/>
      <w:bookmarkStart w:id="1154" w:name="_Toc38442291"/>
      <w:bookmarkStart w:id="1155" w:name="_Toc38442623"/>
      <w:bookmarkStart w:id="1156" w:name="_Toc38442954"/>
      <w:bookmarkStart w:id="1157" w:name="_Toc38443285"/>
      <w:bookmarkStart w:id="1158" w:name="_Toc38443616"/>
      <w:bookmarkStart w:id="1159" w:name="_Toc38443946"/>
      <w:bookmarkStart w:id="1160" w:name="_Toc38438414"/>
      <w:bookmarkStart w:id="1161" w:name="_Toc38438751"/>
      <w:bookmarkStart w:id="1162" w:name="_Toc38439088"/>
      <w:bookmarkStart w:id="1163" w:name="_Toc38439425"/>
      <w:bookmarkStart w:id="1164" w:name="_Toc38439762"/>
      <w:bookmarkStart w:id="1165" w:name="_Toc38440099"/>
      <w:bookmarkStart w:id="1166" w:name="_Toc38440436"/>
      <w:bookmarkStart w:id="1167" w:name="_Toc38440968"/>
      <w:bookmarkStart w:id="1168" w:name="_Toc38441300"/>
      <w:bookmarkStart w:id="1169" w:name="_Toc38441632"/>
      <w:bookmarkStart w:id="1170" w:name="_Toc38441960"/>
      <w:bookmarkStart w:id="1171" w:name="_Toc38442292"/>
      <w:bookmarkStart w:id="1172" w:name="_Toc38442624"/>
      <w:bookmarkStart w:id="1173" w:name="_Toc38442955"/>
      <w:bookmarkStart w:id="1174" w:name="_Toc38443286"/>
      <w:bookmarkStart w:id="1175" w:name="_Toc38443617"/>
      <w:bookmarkStart w:id="1176" w:name="_Toc38443947"/>
      <w:bookmarkStart w:id="1177" w:name="_Toc38438415"/>
      <w:bookmarkStart w:id="1178" w:name="_Toc38438752"/>
      <w:bookmarkStart w:id="1179" w:name="_Toc38439089"/>
      <w:bookmarkStart w:id="1180" w:name="_Toc38439426"/>
      <w:bookmarkStart w:id="1181" w:name="_Toc38439763"/>
      <w:bookmarkStart w:id="1182" w:name="_Toc38440100"/>
      <w:bookmarkStart w:id="1183" w:name="_Toc38440437"/>
      <w:bookmarkStart w:id="1184" w:name="_Toc38440969"/>
      <w:bookmarkStart w:id="1185" w:name="_Toc38441301"/>
      <w:bookmarkStart w:id="1186" w:name="_Toc38441633"/>
      <w:bookmarkStart w:id="1187" w:name="_Toc38441961"/>
      <w:bookmarkStart w:id="1188" w:name="_Toc38442293"/>
      <w:bookmarkStart w:id="1189" w:name="_Toc38442625"/>
      <w:bookmarkStart w:id="1190" w:name="_Toc38442956"/>
      <w:bookmarkStart w:id="1191" w:name="_Toc38443287"/>
      <w:bookmarkStart w:id="1192" w:name="_Toc38443618"/>
      <w:bookmarkStart w:id="1193" w:name="_Toc38443948"/>
      <w:bookmarkStart w:id="1194" w:name="_Toc38438416"/>
      <w:bookmarkStart w:id="1195" w:name="_Toc38438753"/>
      <w:bookmarkStart w:id="1196" w:name="_Toc38439090"/>
      <w:bookmarkStart w:id="1197" w:name="_Toc38439427"/>
      <w:bookmarkStart w:id="1198" w:name="_Toc38439764"/>
      <w:bookmarkStart w:id="1199" w:name="_Toc38440101"/>
      <w:bookmarkStart w:id="1200" w:name="_Toc38440438"/>
      <w:bookmarkStart w:id="1201" w:name="_Toc38440970"/>
      <w:bookmarkStart w:id="1202" w:name="_Toc38441302"/>
      <w:bookmarkStart w:id="1203" w:name="_Toc38441634"/>
      <w:bookmarkStart w:id="1204" w:name="_Toc38441962"/>
      <w:bookmarkStart w:id="1205" w:name="_Toc38442294"/>
      <w:bookmarkStart w:id="1206" w:name="_Toc38442626"/>
      <w:bookmarkStart w:id="1207" w:name="_Toc38442957"/>
      <w:bookmarkStart w:id="1208" w:name="_Toc38443288"/>
      <w:bookmarkStart w:id="1209" w:name="_Toc38443619"/>
      <w:bookmarkStart w:id="1210" w:name="_Toc38443949"/>
      <w:bookmarkStart w:id="1211" w:name="_Toc38438417"/>
      <w:bookmarkStart w:id="1212" w:name="_Toc38438754"/>
      <w:bookmarkStart w:id="1213" w:name="_Toc38439091"/>
      <w:bookmarkStart w:id="1214" w:name="_Toc38439428"/>
      <w:bookmarkStart w:id="1215" w:name="_Toc38439765"/>
      <w:bookmarkStart w:id="1216" w:name="_Toc38440102"/>
      <w:bookmarkStart w:id="1217" w:name="_Toc38440439"/>
      <w:bookmarkStart w:id="1218" w:name="_Toc38440971"/>
      <w:bookmarkStart w:id="1219" w:name="_Toc38441303"/>
      <w:bookmarkStart w:id="1220" w:name="_Toc38441635"/>
      <w:bookmarkStart w:id="1221" w:name="_Toc38441963"/>
      <w:bookmarkStart w:id="1222" w:name="_Toc38442295"/>
      <w:bookmarkStart w:id="1223" w:name="_Toc38442627"/>
      <w:bookmarkStart w:id="1224" w:name="_Toc38442958"/>
      <w:bookmarkStart w:id="1225" w:name="_Toc38443289"/>
      <w:bookmarkStart w:id="1226" w:name="_Toc38443620"/>
      <w:bookmarkStart w:id="1227" w:name="_Toc38443950"/>
      <w:bookmarkStart w:id="1228" w:name="_Toc38438418"/>
      <w:bookmarkStart w:id="1229" w:name="_Toc38438755"/>
      <w:bookmarkStart w:id="1230" w:name="_Toc38439092"/>
      <w:bookmarkStart w:id="1231" w:name="_Toc38439429"/>
      <w:bookmarkStart w:id="1232" w:name="_Toc38439766"/>
      <w:bookmarkStart w:id="1233" w:name="_Toc38440103"/>
      <w:bookmarkStart w:id="1234" w:name="_Toc38440440"/>
      <w:bookmarkStart w:id="1235" w:name="_Toc38440972"/>
      <w:bookmarkStart w:id="1236" w:name="_Toc38441304"/>
      <w:bookmarkStart w:id="1237" w:name="_Toc38441636"/>
      <w:bookmarkStart w:id="1238" w:name="_Toc38441964"/>
      <w:bookmarkStart w:id="1239" w:name="_Toc38442296"/>
      <w:bookmarkStart w:id="1240" w:name="_Toc38442628"/>
      <w:bookmarkStart w:id="1241" w:name="_Toc38442959"/>
      <w:bookmarkStart w:id="1242" w:name="_Toc38443290"/>
      <w:bookmarkStart w:id="1243" w:name="_Toc38443621"/>
      <w:bookmarkStart w:id="1244" w:name="_Toc38443951"/>
      <w:bookmarkStart w:id="1245" w:name="_Toc38438419"/>
      <w:bookmarkStart w:id="1246" w:name="_Toc38438756"/>
      <w:bookmarkStart w:id="1247" w:name="_Toc38439093"/>
      <w:bookmarkStart w:id="1248" w:name="_Toc38439430"/>
      <w:bookmarkStart w:id="1249" w:name="_Toc38439767"/>
      <w:bookmarkStart w:id="1250" w:name="_Toc38440104"/>
      <w:bookmarkStart w:id="1251" w:name="_Toc38440441"/>
      <w:bookmarkStart w:id="1252" w:name="_Toc38440973"/>
      <w:bookmarkStart w:id="1253" w:name="_Toc38441305"/>
      <w:bookmarkStart w:id="1254" w:name="_Toc38441637"/>
      <w:bookmarkStart w:id="1255" w:name="_Toc38441965"/>
      <w:bookmarkStart w:id="1256" w:name="_Toc38442297"/>
      <w:bookmarkStart w:id="1257" w:name="_Toc38442629"/>
      <w:bookmarkStart w:id="1258" w:name="_Toc38442960"/>
      <w:bookmarkStart w:id="1259" w:name="_Toc38443291"/>
      <w:bookmarkStart w:id="1260" w:name="_Toc38443622"/>
      <w:bookmarkStart w:id="1261" w:name="_Toc38443952"/>
      <w:bookmarkStart w:id="1262" w:name="_Toc38438420"/>
      <w:bookmarkStart w:id="1263" w:name="_Toc38438757"/>
      <w:bookmarkStart w:id="1264" w:name="_Toc38439094"/>
      <w:bookmarkStart w:id="1265" w:name="_Toc38439431"/>
      <w:bookmarkStart w:id="1266" w:name="_Toc38439768"/>
      <w:bookmarkStart w:id="1267" w:name="_Toc38440105"/>
      <w:bookmarkStart w:id="1268" w:name="_Toc38440442"/>
      <w:bookmarkStart w:id="1269" w:name="_Toc38440974"/>
      <w:bookmarkStart w:id="1270" w:name="_Toc38441306"/>
      <w:bookmarkStart w:id="1271" w:name="_Toc38441638"/>
      <w:bookmarkStart w:id="1272" w:name="_Toc38441966"/>
      <w:bookmarkStart w:id="1273" w:name="_Toc38442298"/>
      <w:bookmarkStart w:id="1274" w:name="_Toc38442630"/>
      <w:bookmarkStart w:id="1275" w:name="_Toc38442961"/>
      <w:bookmarkStart w:id="1276" w:name="_Toc38443292"/>
      <w:bookmarkStart w:id="1277" w:name="_Toc38443623"/>
      <w:bookmarkStart w:id="1278" w:name="_Toc38443953"/>
      <w:bookmarkStart w:id="1279" w:name="_Toc38438421"/>
      <w:bookmarkStart w:id="1280" w:name="_Toc38438758"/>
      <w:bookmarkStart w:id="1281" w:name="_Toc38439095"/>
      <w:bookmarkStart w:id="1282" w:name="_Toc38439432"/>
      <w:bookmarkStart w:id="1283" w:name="_Toc38439769"/>
      <w:bookmarkStart w:id="1284" w:name="_Toc38440106"/>
      <w:bookmarkStart w:id="1285" w:name="_Toc38440443"/>
      <w:bookmarkStart w:id="1286" w:name="_Toc38440975"/>
      <w:bookmarkStart w:id="1287" w:name="_Toc38441307"/>
      <w:bookmarkStart w:id="1288" w:name="_Toc38441639"/>
      <w:bookmarkStart w:id="1289" w:name="_Toc38441967"/>
      <w:bookmarkStart w:id="1290" w:name="_Toc38442299"/>
      <w:bookmarkStart w:id="1291" w:name="_Toc38442631"/>
      <w:bookmarkStart w:id="1292" w:name="_Toc38442962"/>
      <w:bookmarkStart w:id="1293" w:name="_Toc38443293"/>
      <w:bookmarkStart w:id="1294" w:name="_Toc38443624"/>
      <w:bookmarkStart w:id="1295" w:name="_Toc38443954"/>
      <w:bookmarkStart w:id="1296" w:name="_Toc38438422"/>
      <w:bookmarkStart w:id="1297" w:name="_Toc38438759"/>
      <w:bookmarkStart w:id="1298" w:name="_Toc38439096"/>
      <w:bookmarkStart w:id="1299" w:name="_Toc38439433"/>
      <w:bookmarkStart w:id="1300" w:name="_Toc38439770"/>
      <w:bookmarkStart w:id="1301" w:name="_Toc38440107"/>
      <w:bookmarkStart w:id="1302" w:name="_Toc38440444"/>
      <w:bookmarkStart w:id="1303" w:name="_Toc38440976"/>
      <w:bookmarkStart w:id="1304" w:name="_Toc38441308"/>
      <w:bookmarkStart w:id="1305" w:name="_Toc38441640"/>
      <w:bookmarkStart w:id="1306" w:name="_Toc38441968"/>
      <w:bookmarkStart w:id="1307" w:name="_Toc38442300"/>
      <w:bookmarkStart w:id="1308" w:name="_Toc38442632"/>
      <w:bookmarkStart w:id="1309" w:name="_Toc38442963"/>
      <w:bookmarkStart w:id="1310" w:name="_Toc38443294"/>
      <w:bookmarkStart w:id="1311" w:name="_Toc38443625"/>
      <w:bookmarkStart w:id="1312" w:name="_Toc38443955"/>
      <w:bookmarkStart w:id="1313" w:name="_Toc38438423"/>
      <w:bookmarkStart w:id="1314" w:name="_Toc38438760"/>
      <w:bookmarkStart w:id="1315" w:name="_Toc38439097"/>
      <w:bookmarkStart w:id="1316" w:name="_Toc38439434"/>
      <w:bookmarkStart w:id="1317" w:name="_Toc38439771"/>
      <w:bookmarkStart w:id="1318" w:name="_Toc38440108"/>
      <w:bookmarkStart w:id="1319" w:name="_Toc38440445"/>
      <w:bookmarkStart w:id="1320" w:name="_Toc38440977"/>
      <w:bookmarkStart w:id="1321" w:name="_Toc38441309"/>
      <w:bookmarkStart w:id="1322" w:name="_Toc38441641"/>
      <w:bookmarkStart w:id="1323" w:name="_Toc38441969"/>
      <w:bookmarkStart w:id="1324" w:name="_Toc38442301"/>
      <w:bookmarkStart w:id="1325" w:name="_Toc38442633"/>
      <w:bookmarkStart w:id="1326" w:name="_Toc38442964"/>
      <w:bookmarkStart w:id="1327" w:name="_Toc38443295"/>
      <w:bookmarkStart w:id="1328" w:name="_Toc38443626"/>
      <w:bookmarkStart w:id="1329" w:name="_Toc38443956"/>
      <w:bookmarkStart w:id="1330" w:name="_Toc38438424"/>
      <w:bookmarkStart w:id="1331" w:name="_Toc38438761"/>
      <w:bookmarkStart w:id="1332" w:name="_Toc38439098"/>
      <w:bookmarkStart w:id="1333" w:name="_Toc38439435"/>
      <w:bookmarkStart w:id="1334" w:name="_Toc38439772"/>
      <w:bookmarkStart w:id="1335" w:name="_Toc38440109"/>
      <w:bookmarkStart w:id="1336" w:name="_Toc38440446"/>
      <w:bookmarkStart w:id="1337" w:name="_Toc38440978"/>
      <w:bookmarkStart w:id="1338" w:name="_Toc38441310"/>
      <w:bookmarkStart w:id="1339" w:name="_Toc38441642"/>
      <w:bookmarkStart w:id="1340" w:name="_Toc38441970"/>
      <w:bookmarkStart w:id="1341" w:name="_Toc38442302"/>
      <w:bookmarkStart w:id="1342" w:name="_Toc38442634"/>
      <w:bookmarkStart w:id="1343" w:name="_Toc38442965"/>
      <w:bookmarkStart w:id="1344" w:name="_Toc38443296"/>
      <w:bookmarkStart w:id="1345" w:name="_Toc38443627"/>
      <w:bookmarkStart w:id="1346" w:name="_Toc38443957"/>
      <w:bookmarkStart w:id="1347" w:name="_Toc38438425"/>
      <w:bookmarkStart w:id="1348" w:name="_Toc38438762"/>
      <w:bookmarkStart w:id="1349" w:name="_Toc38439099"/>
      <w:bookmarkStart w:id="1350" w:name="_Toc38439436"/>
      <w:bookmarkStart w:id="1351" w:name="_Toc38439773"/>
      <w:bookmarkStart w:id="1352" w:name="_Toc38440110"/>
      <w:bookmarkStart w:id="1353" w:name="_Toc38440447"/>
      <w:bookmarkStart w:id="1354" w:name="_Toc38440979"/>
      <w:bookmarkStart w:id="1355" w:name="_Toc38441311"/>
      <w:bookmarkStart w:id="1356" w:name="_Toc38441643"/>
      <w:bookmarkStart w:id="1357" w:name="_Toc38441971"/>
      <w:bookmarkStart w:id="1358" w:name="_Toc38442303"/>
      <w:bookmarkStart w:id="1359" w:name="_Toc38442635"/>
      <w:bookmarkStart w:id="1360" w:name="_Toc38442966"/>
      <w:bookmarkStart w:id="1361" w:name="_Toc38443297"/>
      <w:bookmarkStart w:id="1362" w:name="_Toc38443628"/>
      <w:bookmarkStart w:id="1363" w:name="_Toc38443958"/>
      <w:bookmarkStart w:id="1364" w:name="_Toc38438426"/>
      <w:bookmarkStart w:id="1365" w:name="_Toc38438763"/>
      <w:bookmarkStart w:id="1366" w:name="_Toc38439100"/>
      <w:bookmarkStart w:id="1367" w:name="_Toc38439437"/>
      <w:bookmarkStart w:id="1368" w:name="_Toc38439774"/>
      <w:bookmarkStart w:id="1369" w:name="_Toc38440111"/>
      <w:bookmarkStart w:id="1370" w:name="_Toc38440448"/>
      <w:bookmarkStart w:id="1371" w:name="_Toc38440980"/>
      <w:bookmarkStart w:id="1372" w:name="_Toc38441312"/>
      <w:bookmarkStart w:id="1373" w:name="_Toc38441644"/>
      <w:bookmarkStart w:id="1374" w:name="_Toc38441972"/>
      <w:bookmarkStart w:id="1375" w:name="_Toc38442304"/>
      <w:bookmarkStart w:id="1376" w:name="_Toc38442636"/>
      <w:bookmarkStart w:id="1377" w:name="_Toc38442967"/>
      <w:bookmarkStart w:id="1378" w:name="_Toc38443298"/>
      <w:bookmarkStart w:id="1379" w:name="_Toc38443629"/>
      <w:bookmarkStart w:id="1380" w:name="_Toc38443959"/>
      <w:bookmarkStart w:id="1381" w:name="_Toc38438427"/>
      <w:bookmarkStart w:id="1382" w:name="_Toc38438764"/>
      <w:bookmarkStart w:id="1383" w:name="_Toc38439101"/>
      <w:bookmarkStart w:id="1384" w:name="_Toc38439438"/>
      <w:bookmarkStart w:id="1385" w:name="_Toc38439775"/>
      <w:bookmarkStart w:id="1386" w:name="_Toc38440112"/>
      <w:bookmarkStart w:id="1387" w:name="_Toc38440449"/>
      <w:bookmarkStart w:id="1388" w:name="_Toc38440981"/>
      <w:bookmarkStart w:id="1389" w:name="_Toc38441313"/>
      <w:bookmarkStart w:id="1390" w:name="_Toc38441645"/>
      <w:bookmarkStart w:id="1391" w:name="_Toc38441973"/>
      <w:bookmarkStart w:id="1392" w:name="_Toc38442305"/>
      <w:bookmarkStart w:id="1393" w:name="_Toc38442637"/>
      <w:bookmarkStart w:id="1394" w:name="_Toc38442968"/>
      <w:bookmarkStart w:id="1395" w:name="_Toc38443299"/>
      <w:bookmarkStart w:id="1396" w:name="_Toc38443630"/>
      <w:bookmarkStart w:id="1397" w:name="_Toc38443960"/>
      <w:bookmarkStart w:id="1398" w:name="_Toc38438428"/>
      <w:bookmarkStart w:id="1399" w:name="_Toc38438765"/>
      <w:bookmarkStart w:id="1400" w:name="_Toc38439102"/>
      <w:bookmarkStart w:id="1401" w:name="_Toc38439439"/>
      <w:bookmarkStart w:id="1402" w:name="_Toc38439776"/>
      <w:bookmarkStart w:id="1403" w:name="_Toc38440113"/>
      <w:bookmarkStart w:id="1404" w:name="_Toc38440450"/>
      <w:bookmarkStart w:id="1405" w:name="_Toc38440982"/>
      <w:bookmarkStart w:id="1406" w:name="_Toc38441314"/>
      <w:bookmarkStart w:id="1407" w:name="_Toc38441646"/>
      <w:bookmarkStart w:id="1408" w:name="_Toc38441974"/>
      <w:bookmarkStart w:id="1409" w:name="_Toc38442306"/>
      <w:bookmarkStart w:id="1410" w:name="_Toc38442638"/>
      <w:bookmarkStart w:id="1411" w:name="_Toc38442969"/>
      <w:bookmarkStart w:id="1412" w:name="_Toc38443300"/>
      <w:bookmarkStart w:id="1413" w:name="_Toc38443631"/>
      <w:bookmarkStart w:id="1414" w:name="_Toc38443961"/>
      <w:bookmarkStart w:id="1415" w:name="_Toc38438429"/>
      <w:bookmarkStart w:id="1416" w:name="_Toc38438766"/>
      <w:bookmarkStart w:id="1417" w:name="_Toc38439103"/>
      <w:bookmarkStart w:id="1418" w:name="_Toc38439440"/>
      <w:bookmarkStart w:id="1419" w:name="_Toc38439777"/>
      <w:bookmarkStart w:id="1420" w:name="_Toc38440114"/>
      <w:bookmarkStart w:id="1421" w:name="_Toc38440451"/>
      <w:bookmarkStart w:id="1422" w:name="_Toc38440983"/>
      <w:bookmarkStart w:id="1423" w:name="_Toc38441315"/>
      <w:bookmarkStart w:id="1424" w:name="_Toc38441647"/>
      <w:bookmarkStart w:id="1425" w:name="_Toc38441975"/>
      <w:bookmarkStart w:id="1426" w:name="_Toc38442307"/>
      <w:bookmarkStart w:id="1427" w:name="_Toc38442639"/>
      <w:bookmarkStart w:id="1428" w:name="_Toc38442970"/>
      <w:bookmarkStart w:id="1429" w:name="_Toc38443301"/>
      <w:bookmarkStart w:id="1430" w:name="_Toc38443632"/>
      <w:bookmarkStart w:id="1431" w:name="_Toc38443962"/>
      <w:bookmarkStart w:id="1432" w:name="_Toc38438430"/>
      <w:bookmarkStart w:id="1433" w:name="_Toc38438767"/>
      <w:bookmarkStart w:id="1434" w:name="_Toc38439104"/>
      <w:bookmarkStart w:id="1435" w:name="_Toc38439441"/>
      <w:bookmarkStart w:id="1436" w:name="_Toc38439778"/>
      <w:bookmarkStart w:id="1437" w:name="_Toc38440115"/>
      <w:bookmarkStart w:id="1438" w:name="_Toc38440452"/>
      <w:bookmarkStart w:id="1439" w:name="_Toc38440984"/>
      <w:bookmarkStart w:id="1440" w:name="_Toc38441316"/>
      <w:bookmarkStart w:id="1441" w:name="_Toc38441648"/>
      <w:bookmarkStart w:id="1442" w:name="_Toc38441976"/>
      <w:bookmarkStart w:id="1443" w:name="_Toc38442308"/>
      <w:bookmarkStart w:id="1444" w:name="_Toc38442640"/>
      <w:bookmarkStart w:id="1445" w:name="_Toc38442971"/>
      <w:bookmarkStart w:id="1446" w:name="_Toc38443302"/>
      <w:bookmarkStart w:id="1447" w:name="_Toc38443633"/>
      <w:bookmarkStart w:id="1448" w:name="_Toc38443963"/>
      <w:bookmarkStart w:id="1449" w:name="_Toc38438431"/>
      <w:bookmarkStart w:id="1450" w:name="_Toc38438768"/>
      <w:bookmarkStart w:id="1451" w:name="_Toc38439105"/>
      <w:bookmarkStart w:id="1452" w:name="_Toc38439442"/>
      <w:bookmarkStart w:id="1453" w:name="_Toc38439779"/>
      <w:bookmarkStart w:id="1454" w:name="_Toc38440116"/>
      <w:bookmarkStart w:id="1455" w:name="_Toc38440453"/>
      <w:bookmarkStart w:id="1456" w:name="_Toc38440985"/>
      <w:bookmarkStart w:id="1457" w:name="_Toc38441317"/>
      <w:bookmarkStart w:id="1458" w:name="_Toc38441649"/>
      <w:bookmarkStart w:id="1459" w:name="_Toc38441977"/>
      <w:bookmarkStart w:id="1460" w:name="_Toc38442309"/>
      <w:bookmarkStart w:id="1461" w:name="_Toc38442641"/>
      <w:bookmarkStart w:id="1462" w:name="_Toc38442972"/>
      <w:bookmarkStart w:id="1463" w:name="_Toc38443303"/>
      <w:bookmarkStart w:id="1464" w:name="_Toc38443634"/>
      <w:bookmarkStart w:id="1465" w:name="_Toc38443964"/>
      <w:bookmarkStart w:id="1466" w:name="_Toc38438432"/>
      <w:bookmarkStart w:id="1467" w:name="_Toc38438769"/>
      <w:bookmarkStart w:id="1468" w:name="_Toc38439106"/>
      <w:bookmarkStart w:id="1469" w:name="_Toc38439443"/>
      <w:bookmarkStart w:id="1470" w:name="_Toc38439780"/>
      <w:bookmarkStart w:id="1471" w:name="_Toc38440117"/>
      <w:bookmarkStart w:id="1472" w:name="_Toc38440454"/>
      <w:bookmarkStart w:id="1473" w:name="_Toc38440986"/>
      <w:bookmarkStart w:id="1474" w:name="_Toc38441318"/>
      <w:bookmarkStart w:id="1475" w:name="_Toc38441650"/>
      <w:bookmarkStart w:id="1476" w:name="_Toc38441978"/>
      <w:bookmarkStart w:id="1477" w:name="_Toc38442310"/>
      <w:bookmarkStart w:id="1478" w:name="_Toc38442642"/>
      <w:bookmarkStart w:id="1479" w:name="_Toc38442973"/>
      <w:bookmarkStart w:id="1480" w:name="_Toc38443304"/>
      <w:bookmarkStart w:id="1481" w:name="_Toc38443635"/>
      <w:bookmarkStart w:id="1482" w:name="_Toc38443965"/>
      <w:bookmarkStart w:id="1483" w:name="_Toc38438433"/>
      <w:bookmarkStart w:id="1484" w:name="_Toc38438770"/>
      <w:bookmarkStart w:id="1485" w:name="_Toc38439107"/>
      <w:bookmarkStart w:id="1486" w:name="_Toc38439444"/>
      <w:bookmarkStart w:id="1487" w:name="_Toc38439781"/>
      <w:bookmarkStart w:id="1488" w:name="_Toc38440118"/>
      <w:bookmarkStart w:id="1489" w:name="_Toc38440455"/>
      <w:bookmarkStart w:id="1490" w:name="_Toc38440987"/>
      <w:bookmarkStart w:id="1491" w:name="_Toc38441319"/>
      <w:bookmarkStart w:id="1492" w:name="_Toc38441651"/>
      <w:bookmarkStart w:id="1493" w:name="_Toc38441979"/>
      <w:bookmarkStart w:id="1494" w:name="_Toc38442311"/>
      <w:bookmarkStart w:id="1495" w:name="_Toc38442643"/>
      <w:bookmarkStart w:id="1496" w:name="_Toc38442974"/>
      <w:bookmarkStart w:id="1497" w:name="_Toc38443305"/>
      <w:bookmarkStart w:id="1498" w:name="_Toc38443636"/>
      <w:bookmarkStart w:id="1499" w:name="_Toc38443966"/>
      <w:bookmarkStart w:id="1500" w:name="_Toc38438434"/>
      <w:bookmarkStart w:id="1501" w:name="_Toc38438771"/>
      <w:bookmarkStart w:id="1502" w:name="_Toc38439108"/>
      <w:bookmarkStart w:id="1503" w:name="_Toc38439445"/>
      <w:bookmarkStart w:id="1504" w:name="_Toc38439782"/>
      <w:bookmarkStart w:id="1505" w:name="_Toc38440119"/>
      <w:bookmarkStart w:id="1506" w:name="_Toc38440456"/>
      <w:bookmarkStart w:id="1507" w:name="_Toc38440988"/>
      <w:bookmarkStart w:id="1508" w:name="_Toc38441320"/>
      <w:bookmarkStart w:id="1509" w:name="_Toc38441652"/>
      <w:bookmarkStart w:id="1510" w:name="_Toc38441980"/>
      <w:bookmarkStart w:id="1511" w:name="_Toc38442312"/>
      <w:bookmarkStart w:id="1512" w:name="_Toc38442644"/>
      <w:bookmarkStart w:id="1513" w:name="_Toc38442975"/>
      <w:bookmarkStart w:id="1514" w:name="_Toc38443306"/>
      <w:bookmarkStart w:id="1515" w:name="_Toc38443637"/>
      <w:bookmarkStart w:id="1516" w:name="_Toc38443967"/>
      <w:bookmarkStart w:id="1517" w:name="_Toc38438435"/>
      <w:bookmarkStart w:id="1518" w:name="_Toc38438772"/>
      <w:bookmarkStart w:id="1519" w:name="_Toc38439109"/>
      <w:bookmarkStart w:id="1520" w:name="_Toc38439446"/>
      <w:bookmarkStart w:id="1521" w:name="_Toc38439783"/>
      <w:bookmarkStart w:id="1522" w:name="_Toc38440120"/>
      <w:bookmarkStart w:id="1523" w:name="_Toc38440457"/>
      <w:bookmarkStart w:id="1524" w:name="_Toc38440989"/>
      <w:bookmarkStart w:id="1525" w:name="_Toc38441321"/>
      <w:bookmarkStart w:id="1526" w:name="_Toc38441653"/>
      <w:bookmarkStart w:id="1527" w:name="_Toc38441981"/>
      <w:bookmarkStart w:id="1528" w:name="_Toc38442313"/>
      <w:bookmarkStart w:id="1529" w:name="_Toc38442645"/>
      <w:bookmarkStart w:id="1530" w:name="_Toc38442976"/>
      <w:bookmarkStart w:id="1531" w:name="_Toc38443307"/>
      <w:bookmarkStart w:id="1532" w:name="_Toc38443638"/>
      <w:bookmarkStart w:id="1533" w:name="_Toc38443968"/>
      <w:bookmarkStart w:id="1534" w:name="_Toc38438436"/>
      <w:bookmarkStart w:id="1535" w:name="_Toc38438773"/>
      <w:bookmarkStart w:id="1536" w:name="_Toc38439110"/>
      <w:bookmarkStart w:id="1537" w:name="_Toc38439447"/>
      <w:bookmarkStart w:id="1538" w:name="_Toc38439784"/>
      <w:bookmarkStart w:id="1539" w:name="_Toc38440121"/>
      <w:bookmarkStart w:id="1540" w:name="_Toc38440458"/>
      <w:bookmarkStart w:id="1541" w:name="_Toc38440990"/>
      <w:bookmarkStart w:id="1542" w:name="_Toc38441322"/>
      <w:bookmarkStart w:id="1543" w:name="_Toc38441654"/>
      <w:bookmarkStart w:id="1544" w:name="_Toc38441982"/>
      <w:bookmarkStart w:id="1545" w:name="_Toc38442314"/>
      <w:bookmarkStart w:id="1546" w:name="_Toc38442646"/>
      <w:bookmarkStart w:id="1547" w:name="_Toc38442977"/>
      <w:bookmarkStart w:id="1548" w:name="_Toc38443308"/>
      <w:bookmarkStart w:id="1549" w:name="_Toc38443639"/>
      <w:bookmarkStart w:id="1550" w:name="_Toc38443969"/>
      <w:bookmarkStart w:id="1551" w:name="_Toc38438437"/>
      <w:bookmarkStart w:id="1552" w:name="_Toc38438774"/>
      <w:bookmarkStart w:id="1553" w:name="_Toc38439111"/>
      <w:bookmarkStart w:id="1554" w:name="_Toc38439448"/>
      <w:bookmarkStart w:id="1555" w:name="_Toc38439785"/>
      <w:bookmarkStart w:id="1556" w:name="_Toc38440122"/>
      <w:bookmarkStart w:id="1557" w:name="_Toc38440459"/>
      <w:bookmarkStart w:id="1558" w:name="_Toc38440991"/>
      <w:bookmarkStart w:id="1559" w:name="_Toc38441323"/>
      <w:bookmarkStart w:id="1560" w:name="_Toc38441655"/>
      <w:bookmarkStart w:id="1561" w:name="_Toc38441983"/>
      <w:bookmarkStart w:id="1562" w:name="_Toc38442315"/>
      <w:bookmarkStart w:id="1563" w:name="_Toc38442647"/>
      <w:bookmarkStart w:id="1564" w:name="_Toc38442978"/>
      <w:bookmarkStart w:id="1565" w:name="_Toc38443309"/>
      <w:bookmarkStart w:id="1566" w:name="_Toc38443640"/>
      <w:bookmarkStart w:id="1567" w:name="_Toc38443970"/>
      <w:bookmarkStart w:id="1568" w:name="_Toc38438438"/>
      <w:bookmarkStart w:id="1569" w:name="_Toc38438775"/>
      <w:bookmarkStart w:id="1570" w:name="_Toc38439112"/>
      <w:bookmarkStart w:id="1571" w:name="_Toc38439449"/>
      <w:bookmarkStart w:id="1572" w:name="_Toc38439786"/>
      <w:bookmarkStart w:id="1573" w:name="_Toc38440123"/>
      <w:bookmarkStart w:id="1574" w:name="_Toc38440460"/>
      <w:bookmarkStart w:id="1575" w:name="_Toc38440992"/>
      <w:bookmarkStart w:id="1576" w:name="_Toc38441324"/>
      <w:bookmarkStart w:id="1577" w:name="_Toc38441656"/>
      <w:bookmarkStart w:id="1578" w:name="_Toc38441984"/>
      <w:bookmarkStart w:id="1579" w:name="_Toc38442316"/>
      <w:bookmarkStart w:id="1580" w:name="_Toc38442648"/>
      <w:bookmarkStart w:id="1581" w:name="_Toc38442979"/>
      <w:bookmarkStart w:id="1582" w:name="_Toc38443310"/>
      <w:bookmarkStart w:id="1583" w:name="_Toc38443641"/>
      <w:bookmarkStart w:id="1584" w:name="_Toc38443971"/>
      <w:bookmarkStart w:id="1585" w:name="_Toc38438439"/>
      <w:bookmarkStart w:id="1586" w:name="_Toc38438776"/>
      <w:bookmarkStart w:id="1587" w:name="_Toc38439113"/>
      <w:bookmarkStart w:id="1588" w:name="_Toc38439450"/>
      <w:bookmarkStart w:id="1589" w:name="_Toc38439787"/>
      <w:bookmarkStart w:id="1590" w:name="_Toc38440124"/>
      <w:bookmarkStart w:id="1591" w:name="_Toc38440461"/>
      <w:bookmarkStart w:id="1592" w:name="_Toc38440993"/>
      <w:bookmarkStart w:id="1593" w:name="_Toc38441325"/>
      <w:bookmarkStart w:id="1594" w:name="_Toc38441657"/>
      <w:bookmarkStart w:id="1595" w:name="_Toc38441985"/>
      <w:bookmarkStart w:id="1596" w:name="_Toc38442317"/>
      <w:bookmarkStart w:id="1597" w:name="_Toc38442649"/>
      <w:bookmarkStart w:id="1598" w:name="_Toc38442980"/>
      <w:bookmarkStart w:id="1599" w:name="_Toc38443311"/>
      <w:bookmarkStart w:id="1600" w:name="_Toc38443642"/>
      <w:bookmarkStart w:id="1601" w:name="_Toc38443972"/>
      <w:bookmarkStart w:id="1602" w:name="_Toc38438440"/>
      <w:bookmarkStart w:id="1603" w:name="_Toc38438777"/>
      <w:bookmarkStart w:id="1604" w:name="_Toc38439114"/>
      <w:bookmarkStart w:id="1605" w:name="_Toc38439451"/>
      <w:bookmarkStart w:id="1606" w:name="_Toc38439788"/>
      <w:bookmarkStart w:id="1607" w:name="_Toc38440125"/>
      <w:bookmarkStart w:id="1608" w:name="_Toc38440462"/>
      <w:bookmarkStart w:id="1609" w:name="_Toc38440994"/>
      <w:bookmarkStart w:id="1610" w:name="_Toc38441326"/>
      <w:bookmarkStart w:id="1611" w:name="_Toc38441658"/>
      <w:bookmarkStart w:id="1612" w:name="_Toc38441986"/>
      <w:bookmarkStart w:id="1613" w:name="_Toc38442318"/>
      <w:bookmarkStart w:id="1614" w:name="_Toc38442650"/>
      <w:bookmarkStart w:id="1615" w:name="_Toc38442981"/>
      <w:bookmarkStart w:id="1616" w:name="_Toc38443312"/>
      <w:bookmarkStart w:id="1617" w:name="_Toc38443643"/>
      <w:bookmarkStart w:id="1618" w:name="_Toc38443973"/>
      <w:bookmarkStart w:id="1619" w:name="_Toc38438441"/>
      <w:bookmarkStart w:id="1620" w:name="_Toc38438778"/>
      <w:bookmarkStart w:id="1621" w:name="_Toc38439115"/>
      <w:bookmarkStart w:id="1622" w:name="_Toc38439452"/>
      <w:bookmarkStart w:id="1623" w:name="_Toc38439789"/>
      <w:bookmarkStart w:id="1624" w:name="_Toc38440126"/>
      <w:bookmarkStart w:id="1625" w:name="_Toc38440463"/>
      <w:bookmarkStart w:id="1626" w:name="_Toc38440995"/>
      <w:bookmarkStart w:id="1627" w:name="_Toc38441327"/>
      <w:bookmarkStart w:id="1628" w:name="_Toc38441659"/>
      <w:bookmarkStart w:id="1629" w:name="_Toc38441987"/>
      <w:bookmarkStart w:id="1630" w:name="_Toc38442319"/>
      <w:bookmarkStart w:id="1631" w:name="_Toc38442651"/>
      <w:bookmarkStart w:id="1632" w:name="_Toc38442982"/>
      <w:bookmarkStart w:id="1633" w:name="_Toc38443313"/>
      <w:bookmarkStart w:id="1634" w:name="_Toc38443644"/>
      <w:bookmarkStart w:id="1635" w:name="_Toc38443974"/>
      <w:bookmarkStart w:id="1636" w:name="_Toc38438442"/>
      <w:bookmarkStart w:id="1637" w:name="_Toc38438779"/>
      <w:bookmarkStart w:id="1638" w:name="_Toc38439116"/>
      <w:bookmarkStart w:id="1639" w:name="_Toc38439453"/>
      <w:bookmarkStart w:id="1640" w:name="_Toc38439790"/>
      <w:bookmarkStart w:id="1641" w:name="_Toc38440127"/>
      <w:bookmarkStart w:id="1642" w:name="_Toc38440464"/>
      <w:bookmarkStart w:id="1643" w:name="_Toc38440996"/>
      <w:bookmarkStart w:id="1644" w:name="_Toc38441328"/>
      <w:bookmarkStart w:id="1645" w:name="_Toc38441660"/>
      <w:bookmarkStart w:id="1646" w:name="_Toc38441988"/>
      <w:bookmarkStart w:id="1647" w:name="_Toc38442320"/>
      <w:bookmarkStart w:id="1648" w:name="_Toc38442652"/>
      <w:bookmarkStart w:id="1649" w:name="_Toc38442983"/>
      <w:bookmarkStart w:id="1650" w:name="_Toc38443314"/>
      <w:bookmarkStart w:id="1651" w:name="_Toc38443645"/>
      <w:bookmarkStart w:id="1652" w:name="_Toc38443975"/>
      <w:bookmarkStart w:id="1653" w:name="_Toc38438443"/>
      <w:bookmarkStart w:id="1654" w:name="_Toc38438780"/>
      <w:bookmarkStart w:id="1655" w:name="_Toc38439117"/>
      <w:bookmarkStart w:id="1656" w:name="_Toc38439454"/>
      <w:bookmarkStart w:id="1657" w:name="_Toc38439791"/>
      <w:bookmarkStart w:id="1658" w:name="_Toc38440128"/>
      <w:bookmarkStart w:id="1659" w:name="_Toc38440465"/>
      <w:bookmarkStart w:id="1660" w:name="_Toc38440997"/>
      <w:bookmarkStart w:id="1661" w:name="_Toc38441329"/>
      <w:bookmarkStart w:id="1662" w:name="_Toc38441661"/>
      <w:bookmarkStart w:id="1663" w:name="_Toc38441989"/>
      <w:bookmarkStart w:id="1664" w:name="_Toc38442321"/>
      <w:bookmarkStart w:id="1665" w:name="_Toc38442653"/>
      <w:bookmarkStart w:id="1666" w:name="_Toc38442984"/>
      <w:bookmarkStart w:id="1667" w:name="_Toc38443315"/>
      <w:bookmarkStart w:id="1668" w:name="_Toc38443646"/>
      <w:bookmarkStart w:id="1669" w:name="_Toc38443976"/>
      <w:bookmarkStart w:id="1670" w:name="_Toc38438444"/>
      <w:bookmarkStart w:id="1671" w:name="_Toc38438781"/>
      <w:bookmarkStart w:id="1672" w:name="_Toc38439118"/>
      <w:bookmarkStart w:id="1673" w:name="_Toc38439455"/>
      <w:bookmarkStart w:id="1674" w:name="_Toc38439792"/>
      <w:bookmarkStart w:id="1675" w:name="_Toc38440129"/>
      <w:bookmarkStart w:id="1676" w:name="_Toc38440466"/>
      <w:bookmarkStart w:id="1677" w:name="_Toc38440998"/>
      <w:bookmarkStart w:id="1678" w:name="_Toc38441330"/>
      <w:bookmarkStart w:id="1679" w:name="_Toc38441662"/>
      <w:bookmarkStart w:id="1680" w:name="_Toc38441990"/>
      <w:bookmarkStart w:id="1681" w:name="_Toc38442322"/>
      <w:bookmarkStart w:id="1682" w:name="_Toc38442654"/>
      <w:bookmarkStart w:id="1683" w:name="_Toc38442985"/>
      <w:bookmarkStart w:id="1684" w:name="_Toc38443316"/>
      <w:bookmarkStart w:id="1685" w:name="_Toc38443647"/>
      <w:bookmarkStart w:id="1686" w:name="_Toc38443977"/>
      <w:bookmarkStart w:id="1687" w:name="_Toc38438445"/>
      <w:bookmarkStart w:id="1688" w:name="_Toc38438782"/>
      <w:bookmarkStart w:id="1689" w:name="_Toc38439119"/>
      <w:bookmarkStart w:id="1690" w:name="_Toc38439456"/>
      <w:bookmarkStart w:id="1691" w:name="_Toc38439793"/>
      <w:bookmarkStart w:id="1692" w:name="_Toc38440130"/>
      <w:bookmarkStart w:id="1693" w:name="_Toc38440467"/>
      <w:bookmarkStart w:id="1694" w:name="_Toc38440999"/>
      <w:bookmarkStart w:id="1695" w:name="_Toc38441331"/>
      <w:bookmarkStart w:id="1696" w:name="_Toc38441663"/>
      <w:bookmarkStart w:id="1697" w:name="_Toc38441991"/>
      <w:bookmarkStart w:id="1698" w:name="_Toc38442323"/>
      <w:bookmarkStart w:id="1699" w:name="_Toc38442655"/>
      <w:bookmarkStart w:id="1700" w:name="_Toc38442986"/>
      <w:bookmarkStart w:id="1701" w:name="_Toc38443317"/>
      <w:bookmarkStart w:id="1702" w:name="_Toc38443648"/>
      <w:bookmarkStart w:id="1703" w:name="_Toc38443978"/>
      <w:bookmarkStart w:id="1704" w:name="_Toc38438446"/>
      <w:bookmarkStart w:id="1705" w:name="_Toc38438783"/>
      <w:bookmarkStart w:id="1706" w:name="_Toc38439120"/>
      <w:bookmarkStart w:id="1707" w:name="_Toc38439457"/>
      <w:bookmarkStart w:id="1708" w:name="_Toc38439794"/>
      <w:bookmarkStart w:id="1709" w:name="_Toc38440131"/>
      <w:bookmarkStart w:id="1710" w:name="_Toc38440468"/>
      <w:bookmarkStart w:id="1711" w:name="_Toc38441000"/>
      <w:bookmarkStart w:id="1712" w:name="_Toc38441332"/>
      <w:bookmarkStart w:id="1713" w:name="_Toc38441664"/>
      <w:bookmarkStart w:id="1714" w:name="_Toc38441992"/>
      <w:bookmarkStart w:id="1715" w:name="_Toc38442324"/>
      <w:bookmarkStart w:id="1716" w:name="_Toc38442656"/>
      <w:bookmarkStart w:id="1717" w:name="_Toc38442987"/>
      <w:bookmarkStart w:id="1718" w:name="_Toc38443318"/>
      <w:bookmarkStart w:id="1719" w:name="_Toc38443649"/>
      <w:bookmarkStart w:id="1720" w:name="_Toc38443979"/>
      <w:bookmarkStart w:id="1721" w:name="_Toc38438447"/>
      <w:bookmarkStart w:id="1722" w:name="_Toc38438784"/>
      <w:bookmarkStart w:id="1723" w:name="_Toc38439121"/>
      <w:bookmarkStart w:id="1724" w:name="_Toc38439458"/>
      <w:bookmarkStart w:id="1725" w:name="_Toc38439795"/>
      <w:bookmarkStart w:id="1726" w:name="_Toc38440132"/>
      <w:bookmarkStart w:id="1727" w:name="_Toc38440469"/>
      <w:bookmarkStart w:id="1728" w:name="_Toc38441001"/>
      <w:bookmarkStart w:id="1729" w:name="_Toc38441333"/>
      <w:bookmarkStart w:id="1730" w:name="_Toc38441665"/>
      <w:bookmarkStart w:id="1731" w:name="_Toc38441993"/>
      <w:bookmarkStart w:id="1732" w:name="_Toc38442325"/>
      <w:bookmarkStart w:id="1733" w:name="_Toc38442657"/>
      <w:bookmarkStart w:id="1734" w:name="_Toc38442988"/>
      <w:bookmarkStart w:id="1735" w:name="_Toc38443319"/>
      <w:bookmarkStart w:id="1736" w:name="_Toc38443650"/>
      <w:bookmarkStart w:id="1737" w:name="_Toc38443980"/>
      <w:bookmarkStart w:id="1738" w:name="_Toc38438448"/>
      <w:bookmarkStart w:id="1739" w:name="_Toc38438785"/>
      <w:bookmarkStart w:id="1740" w:name="_Toc38439122"/>
      <w:bookmarkStart w:id="1741" w:name="_Toc38439459"/>
      <w:bookmarkStart w:id="1742" w:name="_Toc38439796"/>
      <w:bookmarkStart w:id="1743" w:name="_Toc38440133"/>
      <w:bookmarkStart w:id="1744" w:name="_Toc38440470"/>
      <w:bookmarkStart w:id="1745" w:name="_Toc38441002"/>
      <w:bookmarkStart w:id="1746" w:name="_Toc38441334"/>
      <w:bookmarkStart w:id="1747" w:name="_Toc38441666"/>
      <w:bookmarkStart w:id="1748" w:name="_Toc38441994"/>
      <w:bookmarkStart w:id="1749" w:name="_Toc38442326"/>
      <w:bookmarkStart w:id="1750" w:name="_Toc38442658"/>
      <w:bookmarkStart w:id="1751" w:name="_Toc38442989"/>
      <w:bookmarkStart w:id="1752" w:name="_Toc38443320"/>
      <w:bookmarkStart w:id="1753" w:name="_Toc38443651"/>
      <w:bookmarkStart w:id="1754" w:name="_Toc38443981"/>
      <w:bookmarkStart w:id="1755" w:name="_Toc38438449"/>
      <w:bookmarkStart w:id="1756" w:name="_Toc38438786"/>
      <w:bookmarkStart w:id="1757" w:name="_Toc38439123"/>
      <w:bookmarkStart w:id="1758" w:name="_Toc38439460"/>
      <w:bookmarkStart w:id="1759" w:name="_Toc38439797"/>
      <w:bookmarkStart w:id="1760" w:name="_Toc38440134"/>
      <w:bookmarkStart w:id="1761" w:name="_Toc38440471"/>
      <w:bookmarkStart w:id="1762" w:name="_Toc38441003"/>
      <w:bookmarkStart w:id="1763" w:name="_Toc38441335"/>
      <w:bookmarkStart w:id="1764" w:name="_Toc38441667"/>
      <w:bookmarkStart w:id="1765" w:name="_Toc38441995"/>
      <w:bookmarkStart w:id="1766" w:name="_Toc38442327"/>
      <w:bookmarkStart w:id="1767" w:name="_Toc38442659"/>
      <w:bookmarkStart w:id="1768" w:name="_Toc38442990"/>
      <w:bookmarkStart w:id="1769" w:name="_Toc38443321"/>
      <w:bookmarkStart w:id="1770" w:name="_Toc38443652"/>
      <w:bookmarkStart w:id="1771" w:name="_Toc38443982"/>
      <w:bookmarkStart w:id="1772" w:name="_Toc38438450"/>
      <w:bookmarkStart w:id="1773" w:name="_Toc38438787"/>
      <w:bookmarkStart w:id="1774" w:name="_Toc38439124"/>
      <w:bookmarkStart w:id="1775" w:name="_Toc38439461"/>
      <w:bookmarkStart w:id="1776" w:name="_Toc38439798"/>
      <w:bookmarkStart w:id="1777" w:name="_Toc38440135"/>
      <w:bookmarkStart w:id="1778" w:name="_Toc38440472"/>
      <w:bookmarkStart w:id="1779" w:name="_Toc38441004"/>
      <w:bookmarkStart w:id="1780" w:name="_Toc38441336"/>
      <w:bookmarkStart w:id="1781" w:name="_Toc38441668"/>
      <w:bookmarkStart w:id="1782" w:name="_Toc38441996"/>
      <w:bookmarkStart w:id="1783" w:name="_Toc38442328"/>
      <w:bookmarkStart w:id="1784" w:name="_Toc38442660"/>
      <w:bookmarkStart w:id="1785" w:name="_Toc38442991"/>
      <w:bookmarkStart w:id="1786" w:name="_Toc38443322"/>
      <w:bookmarkStart w:id="1787" w:name="_Toc38443653"/>
      <w:bookmarkStart w:id="1788" w:name="_Toc38443983"/>
      <w:bookmarkStart w:id="1789" w:name="_Toc38438451"/>
      <w:bookmarkStart w:id="1790" w:name="_Toc38438788"/>
      <w:bookmarkStart w:id="1791" w:name="_Toc38439125"/>
      <w:bookmarkStart w:id="1792" w:name="_Toc38439462"/>
      <w:bookmarkStart w:id="1793" w:name="_Toc38439799"/>
      <w:bookmarkStart w:id="1794" w:name="_Toc38440136"/>
      <w:bookmarkStart w:id="1795" w:name="_Toc38440473"/>
      <w:bookmarkStart w:id="1796" w:name="_Toc38441005"/>
      <w:bookmarkStart w:id="1797" w:name="_Toc38441337"/>
      <w:bookmarkStart w:id="1798" w:name="_Toc38441669"/>
      <w:bookmarkStart w:id="1799" w:name="_Toc38441997"/>
      <w:bookmarkStart w:id="1800" w:name="_Toc38442329"/>
      <w:bookmarkStart w:id="1801" w:name="_Toc38442661"/>
      <w:bookmarkStart w:id="1802" w:name="_Toc38442992"/>
      <w:bookmarkStart w:id="1803" w:name="_Toc38443323"/>
      <w:bookmarkStart w:id="1804" w:name="_Toc38443654"/>
      <w:bookmarkStart w:id="1805" w:name="_Toc38443984"/>
      <w:bookmarkStart w:id="1806" w:name="_Toc38438452"/>
      <w:bookmarkStart w:id="1807" w:name="_Toc38438789"/>
      <w:bookmarkStart w:id="1808" w:name="_Toc38439126"/>
      <w:bookmarkStart w:id="1809" w:name="_Toc38439463"/>
      <w:bookmarkStart w:id="1810" w:name="_Toc38439800"/>
      <w:bookmarkStart w:id="1811" w:name="_Toc38440137"/>
      <w:bookmarkStart w:id="1812" w:name="_Toc38440474"/>
      <w:bookmarkStart w:id="1813" w:name="_Toc38441006"/>
      <w:bookmarkStart w:id="1814" w:name="_Toc38441338"/>
      <w:bookmarkStart w:id="1815" w:name="_Toc38441670"/>
      <w:bookmarkStart w:id="1816" w:name="_Toc38441998"/>
      <w:bookmarkStart w:id="1817" w:name="_Toc38442330"/>
      <w:bookmarkStart w:id="1818" w:name="_Toc38442662"/>
      <w:bookmarkStart w:id="1819" w:name="_Toc38442993"/>
      <w:bookmarkStart w:id="1820" w:name="_Toc38443324"/>
      <w:bookmarkStart w:id="1821" w:name="_Toc38443655"/>
      <w:bookmarkStart w:id="1822" w:name="_Toc38443985"/>
      <w:bookmarkStart w:id="1823" w:name="_Toc38438453"/>
      <w:bookmarkStart w:id="1824" w:name="_Toc38438790"/>
      <w:bookmarkStart w:id="1825" w:name="_Toc38439127"/>
      <w:bookmarkStart w:id="1826" w:name="_Toc38439464"/>
      <w:bookmarkStart w:id="1827" w:name="_Toc38439801"/>
      <w:bookmarkStart w:id="1828" w:name="_Toc38440138"/>
      <w:bookmarkStart w:id="1829" w:name="_Toc38440475"/>
      <w:bookmarkStart w:id="1830" w:name="_Toc38441007"/>
      <w:bookmarkStart w:id="1831" w:name="_Toc38441339"/>
      <w:bookmarkStart w:id="1832" w:name="_Toc38441671"/>
      <w:bookmarkStart w:id="1833" w:name="_Toc38441999"/>
      <w:bookmarkStart w:id="1834" w:name="_Toc38442331"/>
      <w:bookmarkStart w:id="1835" w:name="_Toc38442663"/>
      <w:bookmarkStart w:id="1836" w:name="_Toc38442994"/>
      <w:bookmarkStart w:id="1837" w:name="_Toc38443325"/>
      <w:bookmarkStart w:id="1838" w:name="_Toc38443656"/>
      <w:bookmarkStart w:id="1839" w:name="_Toc38443986"/>
      <w:bookmarkStart w:id="1840" w:name="_Toc38438454"/>
      <w:bookmarkStart w:id="1841" w:name="_Toc38438791"/>
      <w:bookmarkStart w:id="1842" w:name="_Toc38439128"/>
      <w:bookmarkStart w:id="1843" w:name="_Toc38439465"/>
      <w:bookmarkStart w:id="1844" w:name="_Toc38439802"/>
      <w:bookmarkStart w:id="1845" w:name="_Toc38440139"/>
      <w:bookmarkStart w:id="1846" w:name="_Toc38440476"/>
      <w:bookmarkStart w:id="1847" w:name="_Toc38441008"/>
      <w:bookmarkStart w:id="1848" w:name="_Toc38441340"/>
      <w:bookmarkStart w:id="1849" w:name="_Toc38441672"/>
      <w:bookmarkStart w:id="1850" w:name="_Toc38442000"/>
      <w:bookmarkStart w:id="1851" w:name="_Toc38442332"/>
      <w:bookmarkStart w:id="1852" w:name="_Toc38442664"/>
      <w:bookmarkStart w:id="1853" w:name="_Toc38442995"/>
      <w:bookmarkStart w:id="1854" w:name="_Toc38443326"/>
      <w:bookmarkStart w:id="1855" w:name="_Toc38443657"/>
      <w:bookmarkStart w:id="1856" w:name="_Toc38443987"/>
      <w:bookmarkStart w:id="1857" w:name="_Toc38438455"/>
      <w:bookmarkStart w:id="1858" w:name="_Toc38438792"/>
      <w:bookmarkStart w:id="1859" w:name="_Toc38439129"/>
      <w:bookmarkStart w:id="1860" w:name="_Toc38439466"/>
      <w:bookmarkStart w:id="1861" w:name="_Toc38439803"/>
      <w:bookmarkStart w:id="1862" w:name="_Toc38440140"/>
      <w:bookmarkStart w:id="1863" w:name="_Toc38440477"/>
      <w:bookmarkStart w:id="1864" w:name="_Toc38441009"/>
      <w:bookmarkStart w:id="1865" w:name="_Toc38441341"/>
      <w:bookmarkStart w:id="1866" w:name="_Toc38441673"/>
      <w:bookmarkStart w:id="1867" w:name="_Toc38442001"/>
      <w:bookmarkStart w:id="1868" w:name="_Toc38442333"/>
      <w:bookmarkStart w:id="1869" w:name="_Toc38442665"/>
      <w:bookmarkStart w:id="1870" w:name="_Toc38442996"/>
      <w:bookmarkStart w:id="1871" w:name="_Toc38443327"/>
      <w:bookmarkStart w:id="1872" w:name="_Toc38443658"/>
      <w:bookmarkStart w:id="1873" w:name="_Toc38443988"/>
      <w:bookmarkStart w:id="1874" w:name="_Toc38438456"/>
      <w:bookmarkStart w:id="1875" w:name="_Toc38438793"/>
      <w:bookmarkStart w:id="1876" w:name="_Toc38439130"/>
      <w:bookmarkStart w:id="1877" w:name="_Toc38439467"/>
      <w:bookmarkStart w:id="1878" w:name="_Toc38439804"/>
      <w:bookmarkStart w:id="1879" w:name="_Toc38440141"/>
      <w:bookmarkStart w:id="1880" w:name="_Toc38440478"/>
      <w:bookmarkStart w:id="1881" w:name="_Toc38441010"/>
      <w:bookmarkStart w:id="1882" w:name="_Toc38441342"/>
      <w:bookmarkStart w:id="1883" w:name="_Toc38441674"/>
      <w:bookmarkStart w:id="1884" w:name="_Toc38442002"/>
      <w:bookmarkStart w:id="1885" w:name="_Toc38442334"/>
      <w:bookmarkStart w:id="1886" w:name="_Toc38442666"/>
      <w:bookmarkStart w:id="1887" w:name="_Toc38442997"/>
      <w:bookmarkStart w:id="1888" w:name="_Toc38443328"/>
      <w:bookmarkStart w:id="1889" w:name="_Toc38443659"/>
      <w:bookmarkStart w:id="1890" w:name="_Toc38443989"/>
      <w:bookmarkStart w:id="1891" w:name="_Toc38438457"/>
      <w:bookmarkStart w:id="1892" w:name="_Toc38438794"/>
      <w:bookmarkStart w:id="1893" w:name="_Toc38439131"/>
      <w:bookmarkStart w:id="1894" w:name="_Toc38439468"/>
      <w:bookmarkStart w:id="1895" w:name="_Toc38439805"/>
      <w:bookmarkStart w:id="1896" w:name="_Toc38440142"/>
      <w:bookmarkStart w:id="1897" w:name="_Toc38440479"/>
      <w:bookmarkStart w:id="1898" w:name="_Toc38441011"/>
      <w:bookmarkStart w:id="1899" w:name="_Toc38441343"/>
      <w:bookmarkStart w:id="1900" w:name="_Toc38441675"/>
      <w:bookmarkStart w:id="1901" w:name="_Toc38442003"/>
      <w:bookmarkStart w:id="1902" w:name="_Toc38442335"/>
      <w:bookmarkStart w:id="1903" w:name="_Toc38442667"/>
      <w:bookmarkStart w:id="1904" w:name="_Toc38442998"/>
      <w:bookmarkStart w:id="1905" w:name="_Toc38443329"/>
      <w:bookmarkStart w:id="1906" w:name="_Toc38443660"/>
      <w:bookmarkStart w:id="1907" w:name="_Toc38443990"/>
      <w:bookmarkStart w:id="1908" w:name="_Toc38438458"/>
      <w:bookmarkStart w:id="1909" w:name="_Toc38438795"/>
      <w:bookmarkStart w:id="1910" w:name="_Toc38439132"/>
      <w:bookmarkStart w:id="1911" w:name="_Toc38439469"/>
      <w:bookmarkStart w:id="1912" w:name="_Toc38439806"/>
      <w:bookmarkStart w:id="1913" w:name="_Toc38440143"/>
      <w:bookmarkStart w:id="1914" w:name="_Toc38440480"/>
      <w:bookmarkStart w:id="1915" w:name="_Toc38441012"/>
      <w:bookmarkStart w:id="1916" w:name="_Toc38441344"/>
      <w:bookmarkStart w:id="1917" w:name="_Toc38441676"/>
      <w:bookmarkStart w:id="1918" w:name="_Toc38442004"/>
      <w:bookmarkStart w:id="1919" w:name="_Toc38442336"/>
      <w:bookmarkStart w:id="1920" w:name="_Toc38442668"/>
      <w:bookmarkStart w:id="1921" w:name="_Toc38442999"/>
      <w:bookmarkStart w:id="1922" w:name="_Toc38443330"/>
      <w:bookmarkStart w:id="1923" w:name="_Toc38443661"/>
      <w:bookmarkStart w:id="1924" w:name="_Toc3844399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rsidR="00AF379A" w:rsidRPr="00CC51EF">
      <w:pPr>
        <w:rPr>
          <w:rFonts w:asciiTheme="minorEastAsia" w:eastAsiaTheme="minorEastAsia" w:hAnsiTheme="minorEastAsia"/>
          <w:color w:val="000000" w:themeColor="text1"/>
        </w:rPr>
      </w:pPr>
    </w:p>
    <w:sectPr w:rsidSect="00BB2E97">
      <w:footerReference w:type="default" r:id="rId16"/>
      <w:pgSz w:w="11906" w:h="16838"/>
      <w:pgMar w:top="1440" w:right="1800" w:bottom="1440" w:left="1800" w:header="851" w:footer="992" w:gutter="0"/>
      <w:pgNumType w:start="1"/>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pStyle w:val="10"/>
      <w:snapToGrid/>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rsidR="002C200A">
    <w:pPr>
      <w:pStyle w:val="10"/>
      <w:snapToGrid/>
      <w:ind w:right="360" w:firstLine="360"/>
    </w:pPr>
  </w:p>
  <w:p w:rsidR="002C200A">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pStyle w:val="Footer"/>
      <w:jc w:val="center"/>
    </w:pPr>
  </w:p>
  <w:p w:rsidR="002C200A">
    <w:pPr>
      <w:pStyle w:val="10"/>
      <w:snapToGrid/>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9005110"/>
      <w:docPartObj>
        <w:docPartGallery w:val="Page Numbers (Bottom of Page)"/>
        <w:docPartUnique/>
      </w:docPartObj>
    </w:sdtPr>
    <w:sdtEndPr>
      <w:rPr>
        <w:sz w:val="18"/>
        <w:szCs w:val="18"/>
      </w:rPr>
    </w:sdtEndPr>
    <w:sdtContent>
      <w:p w:rsidR="002C200A" w:rsidRPr="005C1144">
        <w:pPr>
          <w:pStyle w:val="Footer"/>
          <w:jc w:val="center"/>
          <w:rPr>
            <w:sz w:val="18"/>
            <w:szCs w:val="18"/>
          </w:rPr>
        </w:pPr>
        <w:r w:rsidRPr="005C1144">
          <w:rPr>
            <w:rFonts w:ascii="Times New Roman" w:hAnsi="Times New Roman"/>
            <w:sz w:val="18"/>
            <w:szCs w:val="18"/>
          </w:rPr>
          <w:fldChar w:fldCharType="begin"/>
        </w:r>
        <w:r w:rsidRPr="005C1144">
          <w:rPr>
            <w:rFonts w:ascii="Times New Roman" w:hAnsi="Times New Roman"/>
            <w:sz w:val="18"/>
            <w:szCs w:val="18"/>
          </w:rPr>
          <w:instrText>PAGE   \* MERGEFORMAT</w:instrText>
        </w:r>
        <w:r w:rsidRPr="005C1144">
          <w:rPr>
            <w:rFonts w:ascii="Times New Roman" w:hAnsi="Times New Roman"/>
            <w:sz w:val="18"/>
            <w:szCs w:val="18"/>
          </w:rPr>
          <w:fldChar w:fldCharType="separate"/>
        </w:r>
        <w:r w:rsidRPr="006516B6" w:rsidR="006516B6">
          <w:rPr>
            <w:rFonts w:ascii="Times New Roman" w:hAnsi="Times New Roman"/>
            <w:noProof/>
            <w:sz w:val="18"/>
            <w:szCs w:val="18"/>
            <w:lang w:val="zh-CN"/>
          </w:rPr>
          <w:t>I</w:t>
        </w:r>
        <w:r w:rsidRPr="005C1144">
          <w:rPr>
            <w:rFonts w:ascii="Times New Roman" w:hAnsi="Times New Roman"/>
            <w:sz w:val="18"/>
            <w:szCs w:val="18"/>
          </w:rPr>
          <w:fldChar w:fldCharType="end"/>
        </w:r>
      </w:p>
    </w:sdtContent>
  </w:sdt>
  <w:p w:rsidR="002C200A">
    <w:pPr>
      <w:pStyle w:val="10"/>
      <w:snapToGrid/>
      <w:ind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pStyle w:val="10"/>
      <w:snapToGrid/>
      <w:ind w:firstLine="360"/>
      <w:jc w:val="center"/>
    </w:pPr>
    <w:r>
      <w:fldChar w:fldCharType="begin"/>
    </w:r>
    <w:r>
      <w:instrText xml:space="preserve"> PAGE   \* MERGEFORMAT </w:instrText>
    </w:r>
    <w:r>
      <w:fldChar w:fldCharType="separate"/>
    </w:r>
    <w:r w:rsidRPr="006516B6" w:rsidR="006516B6">
      <w:rPr>
        <w:noProof/>
        <w:lang w:val="zh-CN"/>
      </w:rPr>
      <w:t>120</w:t>
    </w:r>
    <w:r>
      <w:rPr>
        <w:lang w:val="zh-CN"/>
      </w:rPr>
      <w:fldChar w:fldCharType="end"/>
    </w:r>
  </w:p>
  <w:p w:rsidR="002C200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38B2C5"/>
    <w:multiLevelType w:val="hybridMultilevel"/>
    <w:tmpl w:val="00000000"/>
    <w:lvl w:ilvl="0">
      <w:start w:val="1"/>
      <w:numFmt w:val="chi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defaultTabStop w:val="420"/>
  <w:drawingGridHorizontalSpacing w:val="105"/>
  <w:drawingGridVerticalSpacing w:val="317"/>
  <w:displayHorizont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CA"/>
    <w:rsid w:val="0001369C"/>
    <w:rsid w:val="000326AF"/>
    <w:rsid w:val="00041E23"/>
    <w:rsid w:val="00066993"/>
    <w:rsid w:val="000E64CC"/>
    <w:rsid w:val="001018BC"/>
    <w:rsid w:val="0010533E"/>
    <w:rsid w:val="0011043B"/>
    <w:rsid w:val="001129BA"/>
    <w:rsid w:val="00154C9F"/>
    <w:rsid w:val="001551DD"/>
    <w:rsid w:val="00176AC9"/>
    <w:rsid w:val="001947A3"/>
    <w:rsid w:val="00197273"/>
    <w:rsid w:val="001B2ECA"/>
    <w:rsid w:val="001C41A0"/>
    <w:rsid w:val="001D3124"/>
    <w:rsid w:val="0020712B"/>
    <w:rsid w:val="00231EAE"/>
    <w:rsid w:val="00234326"/>
    <w:rsid w:val="002352AF"/>
    <w:rsid w:val="00241E45"/>
    <w:rsid w:val="00292ADE"/>
    <w:rsid w:val="002C200A"/>
    <w:rsid w:val="002C736E"/>
    <w:rsid w:val="002E49DA"/>
    <w:rsid w:val="002F7388"/>
    <w:rsid w:val="002F793F"/>
    <w:rsid w:val="002F7B03"/>
    <w:rsid w:val="003866C1"/>
    <w:rsid w:val="00395354"/>
    <w:rsid w:val="003A53B1"/>
    <w:rsid w:val="004115CB"/>
    <w:rsid w:val="00452C1C"/>
    <w:rsid w:val="004B63E9"/>
    <w:rsid w:val="004C4E54"/>
    <w:rsid w:val="004D1CDE"/>
    <w:rsid w:val="004D5BE8"/>
    <w:rsid w:val="00513E45"/>
    <w:rsid w:val="00523557"/>
    <w:rsid w:val="005332AB"/>
    <w:rsid w:val="00565469"/>
    <w:rsid w:val="00576D50"/>
    <w:rsid w:val="005C1144"/>
    <w:rsid w:val="00631220"/>
    <w:rsid w:val="006516B6"/>
    <w:rsid w:val="0068288C"/>
    <w:rsid w:val="006B7108"/>
    <w:rsid w:val="006D5BD2"/>
    <w:rsid w:val="006E114C"/>
    <w:rsid w:val="0072046D"/>
    <w:rsid w:val="00752E14"/>
    <w:rsid w:val="007617A5"/>
    <w:rsid w:val="00762CA9"/>
    <w:rsid w:val="0076351E"/>
    <w:rsid w:val="00764B8B"/>
    <w:rsid w:val="00792756"/>
    <w:rsid w:val="007A1C05"/>
    <w:rsid w:val="007A367C"/>
    <w:rsid w:val="007B6C10"/>
    <w:rsid w:val="007D6745"/>
    <w:rsid w:val="007E6E35"/>
    <w:rsid w:val="007F2278"/>
    <w:rsid w:val="0087034C"/>
    <w:rsid w:val="00890F47"/>
    <w:rsid w:val="008A01A2"/>
    <w:rsid w:val="008C1942"/>
    <w:rsid w:val="008C6EE7"/>
    <w:rsid w:val="00917C98"/>
    <w:rsid w:val="00924A17"/>
    <w:rsid w:val="009264D8"/>
    <w:rsid w:val="00934CF7"/>
    <w:rsid w:val="00951DD0"/>
    <w:rsid w:val="009732F0"/>
    <w:rsid w:val="00996AB2"/>
    <w:rsid w:val="009B29C7"/>
    <w:rsid w:val="009C5E01"/>
    <w:rsid w:val="009D1B54"/>
    <w:rsid w:val="009F1894"/>
    <w:rsid w:val="00A22541"/>
    <w:rsid w:val="00AF379A"/>
    <w:rsid w:val="00AF4220"/>
    <w:rsid w:val="00B23E55"/>
    <w:rsid w:val="00B252DA"/>
    <w:rsid w:val="00B57992"/>
    <w:rsid w:val="00BB2E97"/>
    <w:rsid w:val="00BD2B0B"/>
    <w:rsid w:val="00BD4C3C"/>
    <w:rsid w:val="00C03496"/>
    <w:rsid w:val="00CC51EF"/>
    <w:rsid w:val="00CD3E03"/>
    <w:rsid w:val="00CD4BDF"/>
    <w:rsid w:val="00D31CAA"/>
    <w:rsid w:val="00D32882"/>
    <w:rsid w:val="00D60016"/>
    <w:rsid w:val="00D67EF8"/>
    <w:rsid w:val="00D76B86"/>
    <w:rsid w:val="00D9652B"/>
    <w:rsid w:val="00DF5349"/>
    <w:rsid w:val="00E14D05"/>
    <w:rsid w:val="00E67156"/>
    <w:rsid w:val="00E8725A"/>
    <w:rsid w:val="00ED039F"/>
    <w:rsid w:val="00ED1A10"/>
    <w:rsid w:val="00ED635B"/>
    <w:rsid w:val="00EE3EE1"/>
    <w:rsid w:val="00EF38A0"/>
    <w:rsid w:val="00F24F85"/>
    <w:rsid w:val="00F507EA"/>
    <w:rsid w:val="00F72703"/>
    <w:rsid w:val="00F9776D"/>
    <w:rsid w:val="00FA3617"/>
    <w:rsid w:val="00FE37F6"/>
  </w:rsids>
  <w:docVars>
    <w:docVar w:name="KGWebUrl" w:val="http://idp.efunds.com.cn/api/v1/backend/docSyncController/downloadAnnFile.json?force=true&amp;fileName=61520221025010391%E6%98%93%E6%96%B9%E8%BE%BE%E6%88%98%E7%95%A5%E6%96%B0%E5%85%B4%E4%BA%A7%E4%B8%9A%E8%82%A1%E7%A5%A8%E5%9E%8B%E8%AF%81%E5%88%B8%E6%8A%95%E8%B5%84%E5%9F%BA%E9%87%91%E6%9B%B4%E6%96%B0%E7%9A%84%E6%8B%9B%E5%8B%9F%E8%AF%B4%E6%98%8E%E4%B9%A6.docx&amp;fileId=ANN_DOC_26800&amp;t=1666262608006&amp;t=1666262608006"/>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5B1F472-305B-4FD0-861F-A02E825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Cs w:val="22"/>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Title">
    <w:name w:val="Title"/>
    <w:basedOn w:val="Normal"/>
    <w:next w:val="Normal"/>
    <w:link w:val="Char"/>
    <w:uiPriority w:val="10"/>
    <w:qFormat/>
    <w:pPr>
      <w:spacing w:before="300" w:after="200"/>
      <w:contextualSpacing/>
    </w:pPr>
    <w:rPr>
      <w:sz w:val="48"/>
      <w:szCs w:val="48"/>
    </w:rPr>
  </w:style>
  <w:style w:type="character" w:customStyle="1" w:styleId="Char">
    <w:name w:val="标题 Char"/>
    <w:basedOn w:val="DefaultParagraphFont"/>
    <w:link w:val="Title"/>
    <w:uiPriority w:val="10"/>
    <w:rPr>
      <w:sz w:val="48"/>
      <w:szCs w:val="48"/>
    </w:rPr>
  </w:style>
  <w:style w:type="paragraph" w:styleId="Subtitle">
    <w:name w:val="Subtitle"/>
    <w:basedOn w:val="Normal"/>
    <w:next w:val="Normal"/>
    <w:link w:val="Char0"/>
    <w:uiPriority w:val="11"/>
    <w:qFormat/>
    <w:pPr>
      <w:spacing w:before="200" w:after="200"/>
    </w:pPr>
    <w:rPr>
      <w:sz w:val="24"/>
    </w:rPr>
  </w:style>
  <w:style w:type="character" w:customStyle="1" w:styleId="Char0">
    <w:name w:val="副标题 Char"/>
    <w:basedOn w:val="DefaultParagraphFont"/>
    <w:link w:val="Subtitle"/>
    <w:uiPriority w:val="11"/>
    <w:rPr>
      <w:sz w:val="24"/>
      <w:szCs w:val="24"/>
    </w:rPr>
  </w:style>
  <w:style w:type="paragraph" w:styleId="Quote">
    <w:name w:val="Quote"/>
    <w:basedOn w:val="Normal"/>
    <w:next w:val="Normal"/>
    <w:link w:val="Char1"/>
    <w:uiPriority w:val="29"/>
    <w:qFormat/>
    <w:pPr>
      <w:ind w:left="720" w:right="720"/>
    </w:pPr>
    <w:rPr>
      <w:i/>
    </w:rPr>
  </w:style>
  <w:style w:type="character" w:customStyle="1" w:styleId="Char1">
    <w:name w:val="引用 Char"/>
    <w:link w:val="Quote"/>
    <w:uiPriority w:val="29"/>
    <w:rPr>
      <w:i/>
    </w:rPr>
  </w:style>
  <w:style w:type="paragraph" w:styleId="IntenseQuote">
    <w:name w:val="Intense Quote"/>
    <w:basedOn w:val="Normal"/>
    <w:next w:val="Normal"/>
    <w:link w:val="Char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2">
    <w:name w:val="明显引用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PlainTable2">
    <w:name w:val="Plain Table 2"/>
    <w:basedOn w:val="TableNormal"/>
    <w:uiPriority w:val="59"/>
    <w:tblPr>
      <w:tblBorders>
        <w:top w:val="single" w:sz="4" w:space="0" w:color="000000" w:themeColor="text1"/>
        <w:left w:val="nil"/>
        <w:bottom w:val="single" w:sz="4" w:space="0" w:color="000000" w:themeColor="text1"/>
        <w:right w:val="nil"/>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PlainTable3">
    <w:name w:val="Plain Table 3"/>
    <w:basedOn w:val="TableNormal"/>
    <w:uiPriority w:val="99"/>
    <w:tblPr>
      <w:tblStyleRowBandSize w:val="1"/>
      <w:tblStyleColBandSize w:val="1"/>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PlainTable4">
    <w:name w:val="Plain Table 4"/>
    <w:basedOn w:val="TableNormal"/>
    <w:uiPriority w:val="99"/>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PlainTable5">
    <w:name w:val="Plain Table 5"/>
    <w:basedOn w:val="TableNormal"/>
    <w:uiPriority w:val="99"/>
    <w:tblPr>
      <w:tblStyleRowBandSize w:val="1"/>
      <w:tblStyleColBandSize w:val="1"/>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Shade="95" w:themeTint="80"/>
      </w:rPr>
      <w:tblPr/>
      <w:tcPr>
        <w:tcBorders>
          <w:bottom w:val="single" w:sz="12" w:space="0" w:color="7F7F7F" w:themeColor="text1" w:themeTint="80"/>
        </w:tcBorders>
      </w:tcPr>
    </w:tblStylePr>
    <w:tblStylePr w:type="lastRow">
      <w:pPr>
        <w:snapToGrid/>
      </w:pPr>
      <w:rPr>
        <w:b/>
        <w:color w:val="7F7F7F" w:themeColor="text1" w:themeShade="95" w:themeTint="80"/>
      </w:rPr>
    </w:tblStylePr>
    <w:tblStylePr w:type="firstCol">
      <w:pPr>
        <w:snapToGrid/>
      </w:pPr>
      <w:rPr>
        <w:b/>
        <w:color w:val="7F7F7F" w:themeColor="text1" w:themeShade="95" w:themeTint="80"/>
      </w:rPr>
    </w:tblStylePr>
    <w:tblStylePr w:type="lastCol">
      <w:pPr>
        <w:snapToGrid/>
      </w:pPr>
      <w:rPr>
        <w:b/>
        <w:color w:val="7F7F7F" w:themeColor="text1" w:themeShade="95"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Shade="95" w:themeTint="80"/>
        <w:sz w:val="22"/>
      </w:rPr>
      <w:tblPr/>
      <w:tcPr>
        <w:shd w:val="clear" w:color="auto" w:fill="CBCBCB" w:themeFill="text1" w:themeFillTint="34"/>
      </w:tcPr>
    </w:tblStylePr>
    <w:tblStylePr w:type="band2Horz">
      <w:pPr>
        <w:snapToGrid/>
      </w:pPr>
      <w:rPr>
        <w:rFonts w:ascii="Arial" w:hAnsi="Arial"/>
        <w:color w:val="7F7F7F" w:themeColor="text1" w:themeShade="95"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Shade="95" w:themeTint="80"/>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pPr>
        <w:snapToGrid/>
      </w:pPr>
      <w:rPr>
        <w:rFonts w:ascii="Arial" w:hAnsi="Arial"/>
        <w:b/>
        <w:color w:val="7F7F7F" w:themeColor="text1" w:themeShade="95" w:themeTint="80"/>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7F7F7F" w:themeColor="text1" w:themeShade="95" w:themeTint="80"/>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pPr>
        <w:snapToGrid/>
      </w:pPr>
      <w:rPr>
        <w:rFonts w:ascii="Arial" w:hAnsi="Arial"/>
        <w:i/>
        <w:color w:val="7F7F7F" w:themeColor="text1" w:themeShade="95" w:themeTint="80"/>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Shade="95" w:themeTint="80"/>
        <w:sz w:val="22"/>
      </w:rPr>
      <w:tblPr/>
      <w:tcPr>
        <w:shd w:val="clear" w:color="auto" w:fill="F2F2F2" w:themeFill="text1" w:themeFillTint="0D"/>
      </w:tcPr>
    </w:tblStylePr>
    <w:tblStylePr w:type="band2Horz">
      <w:pPr>
        <w:snapToGrid/>
      </w:pPr>
      <w:rPr>
        <w:rFonts w:ascii="Arial" w:hAnsi="Arial"/>
        <w:color w:val="7F7F7F" w:themeColor="text1" w:themeShade="95"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1Light">
    <w:name w:val="List Table 1 Light"/>
    <w:basedOn w:val="TableNormal"/>
    <w:uiPriority w:val="99"/>
    <w:tblPr>
      <w:tblStyleRowBandSize w:val="1"/>
      <w:tblStyleColBandSize w:val="1"/>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Shade="95" w:themeTint="80"/>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pPr>
        <w:snapToGrid/>
      </w:pPr>
      <w:rPr>
        <w:rFonts w:ascii="Arial" w:hAnsi="Arial"/>
        <w:i/>
        <w:color w:val="7F7F7F" w:themeColor="text1" w:themeShade="95" w:themeTint="80"/>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7F7F7F" w:themeColor="text1" w:themeShade="95" w:themeTint="80"/>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pPr>
        <w:snapToGrid/>
      </w:pPr>
      <w:rPr>
        <w:rFonts w:ascii="Arial" w:hAnsi="Arial"/>
        <w:i/>
        <w:color w:val="7F7F7F" w:themeColor="text1" w:themeShade="95" w:themeTint="80"/>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Shade="95" w:themeTint="80"/>
        <w:sz w:val="22"/>
      </w:rPr>
      <w:tblPr/>
      <w:tcPr>
        <w:shd w:val="clear" w:color="auto" w:fill="BFBFBF" w:themeFill="text1" w:themeFillTint="40"/>
      </w:tcPr>
    </w:tblStylePr>
    <w:tblStylePr w:type="band2Horz">
      <w:pPr>
        <w:snapToGrid/>
      </w:pPr>
      <w:rPr>
        <w:rFonts w:ascii="Arial" w:hAnsi="Arial"/>
        <w:color w:val="7F7F7F" w:themeColor="text1" w:themeShade="95"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paragraph" w:styleId="FootnoteText">
    <w:name w:val="footnote text"/>
    <w:basedOn w:val="Normal"/>
    <w:link w:val="Char3"/>
    <w:uiPriority w:val="99"/>
    <w:semiHidden/>
    <w:unhideWhenUsed/>
    <w:pPr>
      <w:spacing w:after="40"/>
    </w:pPr>
    <w:rPr>
      <w:sz w:val="18"/>
    </w:rPr>
  </w:style>
  <w:style w:type="character" w:customStyle="1" w:styleId="Char3">
    <w:name w:val="脚注文本 Char"/>
    <w:link w:val="FootnoteText"/>
    <w:uiPriority w:val="99"/>
    <w:rPr>
      <w:sz w:val="18"/>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11">
    <w:name w:val="标题 11"/>
    <w:basedOn w:val="Normal"/>
    <w:next w:val="Normal"/>
    <w:link w:val="1Char"/>
    <w:qFormat/>
    <w:pPr>
      <w:keepNext/>
      <w:ind w:firstLine="200"/>
      <w:jc w:val="center"/>
      <w:outlineLvl w:val="0"/>
    </w:pPr>
    <w:rPr>
      <w:rFonts w:ascii="黑体" w:eastAsia="黑体"/>
      <w:sz w:val="32"/>
      <w:szCs w:val="32"/>
    </w:rPr>
  </w:style>
  <w:style w:type="paragraph" w:styleId="BodyText">
    <w:name w:val="Body Text"/>
    <w:basedOn w:val="Normal"/>
    <w:pPr>
      <w:numPr>
        <w:ilvl w:val="1"/>
        <w:numId w:val="1"/>
      </w:numPr>
      <w:tabs>
        <w:tab w:val="num" w:pos="0"/>
      </w:tabs>
      <w:ind w:left="0" w:firstLine="540"/>
      <w:jc w:val="left"/>
    </w:pPr>
    <w:rPr>
      <w:rFonts w:ascii="宋体"/>
      <w:sz w:val="24"/>
    </w:rPr>
  </w:style>
  <w:style w:type="paragraph" w:styleId="NormalIndent">
    <w:name w:val="Normal Indent"/>
    <w:basedOn w:val="Normal"/>
    <w:pPr>
      <w:ind w:firstLine="420"/>
    </w:pPr>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right" w:leader="dot" w:pos="8296"/>
      </w:tabs>
      <w:spacing w:line="360" w:lineRule="exact"/>
      <w:jc w:val="left"/>
    </w:pPr>
    <w:rPr>
      <w:rFonts w:ascii="宋体" w:eastAsia="黑体" w:hAnsi="宋体"/>
      <w:caps/>
      <w:color w:val="000000"/>
      <w:sz w:val="24"/>
      <w:szCs w:val="28"/>
    </w:rPr>
  </w:style>
  <w:style w:type="paragraph" w:styleId="TOC2">
    <w:name w:val="toc 2"/>
    <w:basedOn w:val="Normal"/>
    <w:next w:val="Normal"/>
    <w:uiPriority w:val="39"/>
    <w:pPr>
      <w:ind w:left="320" w:firstLine="200"/>
      <w:jc w:val="left"/>
    </w:pPr>
    <w:rPr>
      <w:rFonts w:eastAsia="仿宋_GB2312"/>
      <w:smallCaps/>
      <w:szCs w:val="20"/>
    </w:rPr>
  </w:style>
  <w:style w:type="paragraph" w:customStyle="1" w:styleId="1">
    <w:name w:val="样式 标题 1 + 黑体 非加粗"/>
    <w:basedOn w:val="11"/>
    <w:pPr>
      <w:pageBreakBefore/>
    </w:pPr>
    <w:rPr>
      <w:rFonts w:hAnsi="黑体"/>
      <w:b/>
    </w:rPr>
  </w:style>
  <w:style w:type="paragraph" w:customStyle="1" w:styleId="111">
    <w:name w:val="样式 标题 1 + 段前: 1 行 段后: 1 行"/>
    <w:basedOn w:val="11"/>
    <w:pPr>
      <w:pageBreakBefore/>
    </w:pPr>
    <w:rPr>
      <w:szCs w:val="20"/>
    </w:rPr>
  </w:style>
  <w:style w:type="paragraph" w:customStyle="1" w:styleId="2">
    <w:name w:val="样式 首行缩进:  2 字符"/>
    <w:basedOn w:val="Normal"/>
    <w:pPr>
      <w:spacing w:before="100" w:beforeAutospacing="1" w:after="100" w:afterAutospacing="1" w:line="360" w:lineRule="auto"/>
      <w:ind w:firstLine="480"/>
    </w:pPr>
    <w:rPr>
      <w:szCs w:val="20"/>
    </w:rPr>
  </w:style>
  <w:style w:type="paragraph" w:styleId="PlainText">
    <w:name w:val="Plain Text"/>
    <w:basedOn w:val="Normal"/>
    <w:link w:val="Char7"/>
    <w:pPr>
      <w:ind w:firstLine="200"/>
    </w:pPr>
    <w:rPr>
      <w:rFonts w:ascii="宋体" w:hAnsi="Courier New"/>
      <w:sz w:val="24"/>
      <w:szCs w:val="21"/>
    </w:rPr>
  </w:style>
  <w:style w:type="character" w:styleId="PageNumber">
    <w:name w:val="page number"/>
    <w:basedOn w:val="DefaultParagraphFont"/>
  </w:style>
  <w:style w:type="paragraph" w:customStyle="1" w:styleId="10">
    <w:name w:val="页脚1"/>
    <w:basedOn w:val="Normal"/>
    <w:link w:val="Char6"/>
    <w:uiPriority w:val="99"/>
    <w:pPr>
      <w:tabs>
        <w:tab w:val="center" w:pos="4153"/>
        <w:tab w:val="right" w:pos="8306"/>
      </w:tabs>
      <w:snapToGrid w:val="0"/>
      <w:ind w:firstLine="200"/>
      <w:jc w:val="left"/>
    </w:pPr>
    <w:rPr>
      <w:rFonts w:eastAsia="仿宋_GB2312"/>
      <w:sz w:val="18"/>
      <w:szCs w:val="20"/>
    </w:rPr>
  </w:style>
  <w:style w:type="character" w:customStyle="1" w:styleId="da">
    <w:name w:val="da"/>
    <w:basedOn w:val="DefaultParagraphFont"/>
    <w:qFormat/>
  </w:style>
  <w:style w:type="paragraph" w:styleId="BalloonText">
    <w:name w:val="Balloon Text"/>
    <w:basedOn w:val="Normal"/>
    <w:semiHidden/>
    <w:pPr>
      <w:ind w:firstLine="200"/>
    </w:pPr>
    <w:rPr>
      <w:sz w:val="18"/>
      <w:szCs w:val="18"/>
    </w:rPr>
  </w:style>
  <w:style w:type="paragraph" w:styleId="BodyTextFirstIndent">
    <w:name w:val="Body Text First Indent"/>
    <w:basedOn w:val="BodyText"/>
    <w:link w:val="Char8"/>
    <w:pPr>
      <w:numPr>
        <w:ilvl w:val="0"/>
        <w:numId w:val="0"/>
      </w:numPr>
      <w:tabs>
        <w:tab w:val="clear" w:pos="780"/>
      </w:tabs>
      <w:spacing w:after="120"/>
      <w:ind w:firstLine="420"/>
      <w:jc w:val="both"/>
    </w:pPr>
    <w:rPr>
      <w:rFonts w:ascii="Times New Roman"/>
      <w:sz w:val="21"/>
    </w:rPr>
  </w:style>
  <w:style w:type="character" w:styleId="CommentReference">
    <w:name w:val="annotation reference"/>
    <w:basedOn w:val="DefaultParagraphFont"/>
    <w:qFormat/>
    <w:rPr>
      <w:sz w:val="21"/>
      <w:szCs w:val="21"/>
    </w:rPr>
  </w:style>
  <w:style w:type="paragraph" w:styleId="CommentText">
    <w:name w:val="annotation text"/>
    <w:basedOn w:val="Normal"/>
    <w:link w:val="Char4"/>
    <w:qFormat/>
    <w:pPr>
      <w:jc w:val="left"/>
    </w:pPr>
  </w:style>
  <w:style w:type="character" w:customStyle="1" w:styleId="Char4">
    <w:name w:val="批注文字 Char"/>
    <w:basedOn w:val="DefaultParagraphFont"/>
    <w:link w:val="CommentText"/>
    <w:qFormat/>
    <w:rPr>
      <w:rFonts w:eastAsia="宋体"/>
      <w:sz w:val="21"/>
      <w:szCs w:val="24"/>
      <w:lang w:val="en-US" w:eastAsia="zh-CN" w:bidi="ar-SA"/>
    </w:rPr>
  </w:style>
  <w:style w:type="character" w:styleId="Strong">
    <w:name w:val="Strong"/>
    <w:basedOn w:val="DefaultParagraphFont"/>
    <w:qFormat/>
    <w:rPr>
      <w:b/>
      <w:bCs/>
    </w:rPr>
  </w:style>
  <w:style w:type="character" w:customStyle="1" w:styleId="read">
    <w:name w:val="read"/>
    <w:basedOn w:val="DefaultParagraphFont"/>
  </w:style>
  <w:style w:type="paragraph" w:styleId="CommentSubject">
    <w:name w:val="annotation subject"/>
    <w:basedOn w:val="CommentText"/>
    <w:next w:val="CommentText"/>
    <w:semiHidden/>
    <w:rPr>
      <w:b/>
      <w:bCs/>
    </w:rPr>
  </w:style>
  <w:style w:type="paragraph" w:styleId="TOC3">
    <w:name w:val="toc 3"/>
    <w:basedOn w:val="Normal"/>
    <w:next w:val="Normal"/>
    <w:uiPriority w:val="39"/>
    <w:pPr>
      <w:ind w:left="840"/>
    </w:pPr>
  </w:style>
  <w:style w:type="paragraph" w:styleId="DocumentMap">
    <w:name w:val="Document Map"/>
    <w:basedOn w:val="Normal"/>
    <w:link w:val="Char5"/>
    <w:rPr>
      <w:rFonts w:ascii="宋体"/>
      <w:sz w:val="18"/>
      <w:szCs w:val="18"/>
    </w:rPr>
  </w:style>
  <w:style w:type="character" w:customStyle="1" w:styleId="Char5">
    <w:name w:val="文档结构图 Char"/>
    <w:basedOn w:val="DefaultParagraphFont"/>
    <w:link w:val="DocumentMap"/>
    <w:rPr>
      <w:rFonts w:ascii="宋体"/>
      <w:sz w:val="18"/>
      <w:szCs w:val="18"/>
    </w:rPr>
  </w:style>
  <w:style w:type="paragraph" w:styleId="Revision">
    <w:name w:val="Revision"/>
    <w:hidden/>
    <w:uiPriority w:val="99"/>
    <w:semiHidden/>
    <w:rPr>
      <w:sz w:val="21"/>
      <w:szCs w:val="24"/>
    </w:rPr>
  </w:style>
  <w:style w:type="character" w:customStyle="1" w:styleId="Char6">
    <w:name w:val="页脚 Char"/>
    <w:basedOn w:val="DefaultParagraphFont"/>
    <w:link w:val="10"/>
    <w:uiPriority w:val="99"/>
    <w:rPr>
      <w:rFonts w:eastAsia="仿宋_GB2312"/>
      <w:sz w:val="18"/>
    </w:rPr>
  </w:style>
  <w:style w:type="character" w:styleId="FootnoteReference">
    <w:name w:val="footnote reference"/>
    <w:basedOn w:val="DefaultParagraphFont"/>
    <w:rPr>
      <w:vertAlign w:val="superscript"/>
    </w:rPr>
  </w:style>
  <w:style w:type="character" w:customStyle="1" w:styleId="Char7">
    <w:name w:val="纯文本 Char"/>
    <w:basedOn w:val="DefaultParagraphFont"/>
    <w:link w:val="PlainText"/>
    <w:rPr>
      <w:rFonts w:ascii="宋体" w:hAnsi="Courier New"/>
      <w:sz w:val="24"/>
      <w:szCs w:val="21"/>
    </w:rPr>
  </w:style>
  <w:style w:type="character" w:customStyle="1" w:styleId="Char8">
    <w:name w:val="正文首行缩进 Char"/>
    <w:basedOn w:val="DefaultParagraphFont"/>
    <w:link w:val="BodyTextFirstIndent"/>
    <w:rPr>
      <w:sz w:val="21"/>
      <w:szCs w:val="24"/>
    </w:rPr>
  </w:style>
  <w:style w:type="paragraph" w:styleId="ListParagraph">
    <w:name w:val="List Paragraph"/>
    <w:basedOn w:val="Normal"/>
    <w:uiPriority w:val="34"/>
    <w:qFormat/>
    <w:pPr>
      <w:widowControl/>
      <w:ind w:left="480"/>
    </w:pPr>
    <w:rPr>
      <w:szCs w:val="21"/>
    </w:rPr>
  </w:style>
  <w:style w:type="paragraph" w:styleId="BodyTextIndent">
    <w:name w:val="Body Text Indent"/>
    <w:basedOn w:val="Normal"/>
    <w:link w:val="Char9"/>
    <w:semiHidden/>
    <w:unhideWhenUsed/>
    <w:pPr>
      <w:spacing w:after="120"/>
      <w:ind w:left="420"/>
    </w:pPr>
  </w:style>
  <w:style w:type="character" w:customStyle="1" w:styleId="Char9">
    <w:name w:val="正文文本缩进 Char"/>
    <w:basedOn w:val="DefaultParagraphFont"/>
    <w:link w:val="BodyTextIndent"/>
    <w:semiHidden/>
    <w:rPr>
      <w:sz w:val="21"/>
      <w:szCs w:val="24"/>
    </w:rPr>
  </w:style>
  <w:style w:type="paragraph" w:styleId="BodyTextIndent3">
    <w:name w:val="Body Text Indent 3"/>
    <w:basedOn w:val="Normal"/>
    <w:link w:val="3Char"/>
    <w:semiHidden/>
    <w:unhideWhenUsed/>
    <w:pPr>
      <w:spacing w:after="120"/>
      <w:ind w:left="420"/>
    </w:pPr>
    <w:rPr>
      <w:sz w:val="16"/>
      <w:szCs w:val="16"/>
    </w:rPr>
  </w:style>
  <w:style w:type="character" w:customStyle="1" w:styleId="3Char">
    <w:name w:val="正文文本缩进 3 Char"/>
    <w:basedOn w:val="DefaultParagraphFont"/>
    <w:link w:val="BodyTextIndent3"/>
    <w:semiHidden/>
    <w:rPr>
      <w:sz w:val="16"/>
      <w:szCs w:val="16"/>
    </w:rPr>
  </w:style>
  <w:style w:type="paragraph" w:styleId="HTMLPreformatted">
    <w:name w:val="HTML Preformatted"/>
    <w:basedOn w:val="Normal"/>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
    <w:name w:val="HTML 预设格式 Char"/>
    <w:basedOn w:val="DefaultParagraphFont"/>
    <w:link w:val="HTMLPreformatted"/>
    <w:uiPriority w:val="99"/>
    <w:rPr>
      <w:rFonts w:ascii="宋体" w:hAnsi="宋体"/>
      <w:sz w:val="24"/>
      <w:szCs w:val="24"/>
    </w:rPr>
  </w:style>
  <w:style w:type="paragraph" w:styleId="BodyTextIndent2">
    <w:name w:val="Body Text Indent 2"/>
    <w:basedOn w:val="Normal"/>
    <w:link w:val="2Char"/>
    <w:semiHidden/>
    <w:unhideWhenUsed/>
    <w:pPr>
      <w:spacing w:after="120" w:line="480" w:lineRule="auto"/>
      <w:ind w:left="420"/>
    </w:pPr>
  </w:style>
  <w:style w:type="character" w:customStyle="1" w:styleId="2Char">
    <w:name w:val="正文文本缩进 2 Char"/>
    <w:basedOn w:val="DefaultParagraphFont"/>
    <w:link w:val="BodyTextIndent2"/>
    <w:semiHidden/>
    <w:rPr>
      <w:sz w:val="21"/>
      <w:szCs w:val="24"/>
    </w:rPr>
  </w:style>
  <w:style w:type="character" w:styleId="FollowedHyperlink">
    <w:name w:val="FollowedHyperlink"/>
    <w:basedOn w:val="DefaultParagraphFont"/>
    <w:semiHidden/>
    <w:unhideWhenUsed/>
    <w:rPr>
      <w:color w:val="800080" w:themeColor="followedHyperlink"/>
      <w:u w:val="single"/>
    </w:rPr>
  </w:style>
  <w:style w:type="character" w:customStyle="1" w:styleId="1Char">
    <w:name w:val="标题 1 Char"/>
    <w:basedOn w:val="DefaultParagraphFont"/>
    <w:link w:val="11"/>
    <w:rPr>
      <w:rFonts w:ascii="黑体" w:eastAsia="黑体"/>
      <w:sz w:val="32"/>
      <w:szCs w:val="32"/>
    </w:rPr>
  </w:style>
  <w:style w:type="paragraph" w:styleId="Footer">
    <w:name w:val="footer"/>
    <w:basedOn w:val="Normal"/>
    <w:uiPriority w:val="99"/>
    <w:unhideWhenUsed/>
    <w:rsid w:val="00F72703"/>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DB49-86EA-4447-A051-9FCE56F2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