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8830" w14:textId="77777777" w:rsidR="0082364D" w:rsidRDefault="0082364D">
      <w:pPr>
        <w:spacing w:line="360" w:lineRule="auto"/>
        <w:jc w:val="center"/>
        <w:rPr>
          <w:rFonts w:ascii="宋体" w:hAnsi="宋体"/>
          <w:sz w:val="24"/>
        </w:rPr>
      </w:pPr>
    </w:p>
    <w:p w14:paraId="72E8810F" w14:textId="77777777" w:rsidR="0082364D" w:rsidRDefault="0082364D">
      <w:pPr>
        <w:adjustRightInd w:val="0"/>
        <w:snapToGrid w:val="0"/>
        <w:spacing w:line="360" w:lineRule="auto"/>
        <w:jc w:val="center"/>
        <w:rPr>
          <w:rFonts w:ascii="黑体" w:eastAsia="黑体" w:hAnsi="黑体"/>
          <w:b/>
          <w:color w:val="FF0000"/>
          <w:sz w:val="44"/>
          <w:szCs w:val="20"/>
        </w:rPr>
      </w:pPr>
    </w:p>
    <w:p w14:paraId="5CAC24AB" w14:textId="77777777" w:rsidR="0082364D" w:rsidRDefault="0082364D">
      <w:pPr>
        <w:adjustRightInd w:val="0"/>
        <w:snapToGrid w:val="0"/>
        <w:spacing w:line="360" w:lineRule="auto"/>
        <w:jc w:val="center"/>
        <w:rPr>
          <w:rFonts w:ascii="黑体" w:eastAsia="黑体" w:hAnsi="黑体"/>
          <w:b/>
          <w:color w:val="FF0000"/>
          <w:sz w:val="44"/>
          <w:szCs w:val="20"/>
        </w:rPr>
      </w:pPr>
    </w:p>
    <w:p w14:paraId="530796A7" w14:textId="77777777" w:rsidR="0082364D" w:rsidRDefault="0082364D">
      <w:pPr>
        <w:adjustRightInd w:val="0"/>
        <w:snapToGrid w:val="0"/>
        <w:spacing w:line="360" w:lineRule="auto"/>
        <w:jc w:val="center"/>
        <w:rPr>
          <w:rFonts w:ascii="黑体" w:eastAsia="黑体" w:hAnsi="黑体"/>
          <w:b/>
          <w:color w:val="FF0000"/>
          <w:sz w:val="44"/>
          <w:szCs w:val="20"/>
        </w:rPr>
      </w:pPr>
    </w:p>
    <w:p w14:paraId="652B5909" w14:textId="56F49EFD" w:rsidR="0082364D" w:rsidRDefault="00BF2824">
      <w:pPr>
        <w:adjustRightInd w:val="0"/>
        <w:snapToGrid w:val="0"/>
        <w:spacing w:line="360" w:lineRule="auto"/>
        <w:jc w:val="center"/>
        <w:rPr>
          <w:rFonts w:ascii="黑体" w:eastAsia="黑体" w:hAnsi="黑体"/>
          <w:b/>
          <w:color w:val="FF0000"/>
          <w:sz w:val="44"/>
          <w:szCs w:val="20"/>
        </w:rPr>
      </w:pPr>
      <w:r>
        <w:rPr>
          <w:rFonts w:ascii="黑体" w:eastAsia="黑体" w:hAnsi="黑体" w:hint="eastAsia"/>
          <w:b/>
          <w:color w:val="FF0000"/>
          <w:sz w:val="44"/>
          <w:szCs w:val="20"/>
        </w:rPr>
        <w:t>嘉实纳斯达克100交易型开放式指数</w:t>
      </w:r>
    </w:p>
    <w:p w14:paraId="4B039C57" w14:textId="77777777" w:rsidR="0082364D" w:rsidRDefault="00BF2824">
      <w:pPr>
        <w:adjustRightInd w:val="0"/>
        <w:snapToGrid w:val="0"/>
        <w:spacing w:line="360" w:lineRule="auto"/>
        <w:jc w:val="center"/>
        <w:rPr>
          <w:rFonts w:ascii="黑体" w:eastAsia="黑体" w:hAnsi="黑体"/>
          <w:b/>
          <w:color w:val="FF0000"/>
          <w:sz w:val="44"/>
          <w:szCs w:val="20"/>
        </w:rPr>
      </w:pPr>
      <w:r>
        <w:rPr>
          <w:rFonts w:ascii="黑体" w:eastAsia="黑体" w:hAnsi="黑体" w:hint="eastAsia"/>
          <w:b/>
          <w:color w:val="FF0000"/>
          <w:sz w:val="44"/>
          <w:szCs w:val="20"/>
        </w:rPr>
        <w:t>证券投资基金（QDII）</w:t>
      </w:r>
    </w:p>
    <w:p w14:paraId="649188EC" w14:textId="53A9ECE6" w:rsidR="0082364D" w:rsidRDefault="00BF2824">
      <w:pPr>
        <w:adjustRightInd w:val="0"/>
        <w:snapToGrid w:val="0"/>
        <w:spacing w:line="360" w:lineRule="auto"/>
        <w:jc w:val="center"/>
        <w:rPr>
          <w:rFonts w:ascii="黑体" w:eastAsia="黑体" w:hAnsi="黑体"/>
          <w:sz w:val="44"/>
        </w:rPr>
      </w:pPr>
      <w:r>
        <w:rPr>
          <w:rFonts w:ascii="黑体" w:eastAsia="黑体" w:hAnsi="黑体" w:hint="eastAsia"/>
          <w:b/>
          <w:color w:val="FF0000"/>
          <w:sz w:val="44"/>
          <w:szCs w:val="20"/>
        </w:rPr>
        <w:t>招募说明书</w:t>
      </w:r>
    </w:p>
    <w:p w14:paraId="3E3EC556" w14:textId="77777777" w:rsidR="0082364D" w:rsidRDefault="0082364D">
      <w:pPr>
        <w:spacing w:line="360" w:lineRule="auto"/>
        <w:jc w:val="center"/>
        <w:rPr>
          <w:rFonts w:ascii="黑体" w:eastAsia="黑体" w:hAnsi="黑体"/>
          <w:sz w:val="44"/>
        </w:rPr>
      </w:pPr>
    </w:p>
    <w:p w14:paraId="09255AE6" w14:textId="77777777" w:rsidR="0082364D" w:rsidRDefault="0082364D">
      <w:pPr>
        <w:spacing w:line="360" w:lineRule="auto"/>
        <w:jc w:val="center"/>
        <w:rPr>
          <w:rFonts w:ascii="黑体" w:eastAsia="黑体" w:hAnsi="黑体"/>
          <w:sz w:val="44"/>
        </w:rPr>
      </w:pPr>
    </w:p>
    <w:p w14:paraId="791CD72F" w14:textId="77777777" w:rsidR="0082364D" w:rsidRDefault="0082364D">
      <w:pPr>
        <w:spacing w:line="360" w:lineRule="auto"/>
        <w:jc w:val="center"/>
        <w:rPr>
          <w:rFonts w:ascii="黑体" w:eastAsia="黑体" w:hAnsi="黑体"/>
          <w:sz w:val="44"/>
        </w:rPr>
      </w:pPr>
    </w:p>
    <w:p w14:paraId="627817AA" w14:textId="77777777" w:rsidR="0082364D" w:rsidRDefault="0082364D">
      <w:pPr>
        <w:spacing w:line="360" w:lineRule="auto"/>
        <w:jc w:val="center"/>
        <w:rPr>
          <w:rFonts w:ascii="黑体" w:eastAsia="黑体" w:hAnsi="黑体"/>
          <w:sz w:val="44"/>
        </w:rPr>
      </w:pPr>
    </w:p>
    <w:p w14:paraId="3430BCAF" w14:textId="77777777" w:rsidR="0082364D" w:rsidRDefault="0082364D">
      <w:pPr>
        <w:spacing w:line="360" w:lineRule="auto"/>
        <w:rPr>
          <w:rFonts w:ascii="黑体" w:eastAsia="黑体" w:hAnsi="黑体"/>
          <w:sz w:val="44"/>
        </w:rPr>
      </w:pPr>
    </w:p>
    <w:p w14:paraId="4CC35CF1" w14:textId="77777777" w:rsidR="0082364D" w:rsidRDefault="00BF2824">
      <w:pPr>
        <w:spacing w:line="360" w:lineRule="auto"/>
        <w:jc w:val="center"/>
        <w:rPr>
          <w:rFonts w:ascii="宋体" w:hAnsi="宋体"/>
          <w:b/>
          <w:color w:val="000000"/>
          <w:sz w:val="24"/>
        </w:rPr>
      </w:pPr>
      <w:r>
        <w:rPr>
          <w:rFonts w:ascii="宋体" w:hAnsi="宋体" w:hint="eastAsia"/>
          <w:b/>
          <w:color w:val="000000"/>
          <w:sz w:val="24"/>
        </w:rPr>
        <w:t>基金管理人：嘉实基金管理有限公司</w:t>
      </w:r>
    </w:p>
    <w:p w14:paraId="7DD15B72" w14:textId="018446C0" w:rsidR="0082364D" w:rsidRDefault="00BF2824">
      <w:pPr>
        <w:spacing w:line="360" w:lineRule="auto"/>
        <w:jc w:val="center"/>
        <w:rPr>
          <w:rFonts w:ascii="宋体" w:hAnsi="宋体"/>
          <w:b/>
          <w:color w:val="000000"/>
          <w:sz w:val="24"/>
        </w:rPr>
      </w:pPr>
      <w:r>
        <w:rPr>
          <w:rFonts w:ascii="宋体" w:hAnsi="宋体" w:hint="eastAsia"/>
          <w:b/>
          <w:color w:val="000000"/>
          <w:sz w:val="24"/>
        </w:rPr>
        <w:t>基金托管人：招商银行股份有限公司</w:t>
      </w:r>
    </w:p>
    <w:p w14:paraId="63AE12B5" w14:textId="77777777" w:rsidR="0082364D" w:rsidRDefault="0082364D">
      <w:pPr>
        <w:autoSpaceDE w:val="0"/>
        <w:autoSpaceDN w:val="0"/>
        <w:adjustRightInd w:val="0"/>
        <w:spacing w:line="360" w:lineRule="auto"/>
        <w:ind w:firstLine="198"/>
        <w:jc w:val="center"/>
        <w:rPr>
          <w:rFonts w:ascii="宋体" w:hAnsi="宋体"/>
          <w:b/>
          <w:kern w:val="0"/>
          <w:sz w:val="28"/>
        </w:rPr>
      </w:pPr>
    </w:p>
    <w:p w14:paraId="281091FB" w14:textId="4659750B" w:rsidR="0082364D" w:rsidRDefault="00BF2824">
      <w:pPr>
        <w:spacing w:line="360" w:lineRule="auto"/>
        <w:jc w:val="center"/>
        <w:rPr>
          <w:rFonts w:ascii="黑体" w:eastAsia="黑体" w:hAnsi="黑体"/>
          <w:sz w:val="30"/>
          <w:szCs w:val="30"/>
        </w:rPr>
      </w:pPr>
      <w:r>
        <w:rPr>
          <w:rFonts w:ascii="黑体" w:eastAsia="黑体" w:hAnsi="黑体" w:hint="eastAsia"/>
          <w:sz w:val="30"/>
          <w:szCs w:val="30"/>
        </w:rPr>
        <w:t>二○二三年</w:t>
      </w:r>
      <w:r w:rsidR="00133F89">
        <w:rPr>
          <w:rFonts w:ascii="黑体" w:eastAsia="黑体" w:hAnsi="黑体" w:hint="eastAsia"/>
          <w:sz w:val="30"/>
          <w:szCs w:val="30"/>
        </w:rPr>
        <w:t>五</w:t>
      </w:r>
      <w:r>
        <w:rPr>
          <w:rFonts w:ascii="黑体" w:eastAsia="黑体" w:hAnsi="黑体" w:hint="eastAsia"/>
          <w:sz w:val="30"/>
          <w:szCs w:val="30"/>
        </w:rPr>
        <w:t>月</w:t>
      </w:r>
    </w:p>
    <w:p w14:paraId="1EBD1710" w14:textId="77777777" w:rsidR="0082364D" w:rsidRDefault="00BF2824">
      <w:pPr>
        <w:autoSpaceDE w:val="0"/>
        <w:autoSpaceDN w:val="0"/>
        <w:adjustRightInd w:val="0"/>
        <w:spacing w:line="360" w:lineRule="auto"/>
        <w:ind w:firstLine="198"/>
        <w:jc w:val="center"/>
        <w:rPr>
          <w:rFonts w:ascii="宋体" w:hAnsi="宋体"/>
          <w:b/>
          <w:kern w:val="0"/>
          <w:sz w:val="28"/>
        </w:rPr>
      </w:pPr>
      <w:r>
        <w:rPr>
          <w:rFonts w:ascii="宋体" w:hAnsi="宋体"/>
          <w:b/>
          <w:kern w:val="0"/>
          <w:sz w:val="28"/>
        </w:rPr>
        <w:br w:type="page"/>
      </w:r>
    </w:p>
    <w:p w14:paraId="572A8239" w14:textId="77777777" w:rsidR="0082364D" w:rsidRDefault="00BF2824">
      <w:pPr>
        <w:autoSpaceDE w:val="0"/>
        <w:autoSpaceDN w:val="0"/>
        <w:adjustRightInd w:val="0"/>
        <w:spacing w:line="360" w:lineRule="auto"/>
        <w:ind w:firstLine="198"/>
        <w:jc w:val="center"/>
        <w:rPr>
          <w:rFonts w:ascii="宋体" w:hAnsi="宋体"/>
          <w:kern w:val="0"/>
          <w:sz w:val="28"/>
        </w:rPr>
      </w:pPr>
      <w:r>
        <w:rPr>
          <w:rFonts w:ascii="宋体" w:hAnsi="宋体"/>
          <w:b/>
          <w:kern w:val="0"/>
          <w:sz w:val="28"/>
        </w:rPr>
        <w:lastRenderedPageBreak/>
        <w:t>重要提示</w:t>
      </w:r>
    </w:p>
    <w:p w14:paraId="14D2B481" w14:textId="31A85C6D" w:rsidR="0082364D" w:rsidRDefault="00BF2824">
      <w:pPr>
        <w:autoSpaceDE w:val="0"/>
        <w:autoSpaceDN w:val="0"/>
        <w:adjustRightInd w:val="0"/>
        <w:spacing w:line="360" w:lineRule="auto"/>
        <w:ind w:firstLineChars="200" w:firstLine="420"/>
        <w:rPr>
          <w:rFonts w:ascii="宋体" w:hAnsi="宋体"/>
          <w:kern w:val="0"/>
        </w:rPr>
      </w:pPr>
      <w:r>
        <w:rPr>
          <w:rFonts w:ascii="宋体" w:hAnsi="宋体"/>
          <w:kern w:val="0"/>
        </w:rPr>
        <w:t>本基金经</w:t>
      </w:r>
      <w:r>
        <w:rPr>
          <w:rFonts w:ascii="宋体" w:hAnsi="宋体"/>
          <w:kern w:val="0"/>
          <w:szCs w:val="20"/>
        </w:rPr>
        <w:t>202</w:t>
      </w:r>
      <w:r>
        <w:rPr>
          <w:rFonts w:ascii="宋体" w:hAnsi="宋体" w:hint="eastAsia"/>
          <w:kern w:val="0"/>
          <w:szCs w:val="20"/>
        </w:rPr>
        <w:t>3</w:t>
      </w:r>
      <w:r>
        <w:rPr>
          <w:rFonts w:ascii="宋体" w:hAnsi="宋体"/>
          <w:kern w:val="0"/>
        </w:rPr>
        <w:t>年</w:t>
      </w:r>
      <w:r w:rsidR="00947E9A">
        <w:rPr>
          <w:rFonts w:ascii="宋体" w:hAnsi="宋体" w:hint="eastAsia"/>
          <w:kern w:val="0"/>
        </w:rPr>
        <w:t>4</w:t>
      </w:r>
      <w:r>
        <w:rPr>
          <w:rFonts w:ascii="宋体" w:hAnsi="宋体"/>
          <w:kern w:val="0"/>
        </w:rPr>
        <w:t>月</w:t>
      </w:r>
      <w:r w:rsidR="00947E9A">
        <w:rPr>
          <w:rFonts w:ascii="宋体" w:hAnsi="宋体" w:hint="eastAsia"/>
          <w:kern w:val="0"/>
        </w:rPr>
        <w:t>3</w:t>
      </w:r>
      <w:r>
        <w:rPr>
          <w:rFonts w:ascii="宋体" w:hAnsi="宋体"/>
          <w:kern w:val="0"/>
        </w:rPr>
        <w:t>日中国证券监督管理委员会</w:t>
      </w:r>
      <w:r>
        <w:rPr>
          <w:rFonts w:ascii="宋体" w:hAnsi="宋体" w:hint="eastAsia"/>
          <w:kern w:val="0"/>
          <w:szCs w:val="20"/>
        </w:rPr>
        <w:t>《关于准予嘉实纳斯达克100交易型开放式指数证券投资基金（QDII）注册的批复》（证监许可【202</w:t>
      </w:r>
      <w:r>
        <w:rPr>
          <w:rFonts w:ascii="宋体" w:hAnsi="宋体"/>
          <w:kern w:val="0"/>
          <w:szCs w:val="20"/>
        </w:rPr>
        <w:t>3</w:t>
      </w:r>
      <w:r>
        <w:rPr>
          <w:rFonts w:ascii="宋体" w:hAnsi="宋体" w:hint="eastAsia"/>
          <w:kern w:val="0"/>
          <w:szCs w:val="20"/>
        </w:rPr>
        <w:t>】</w:t>
      </w:r>
      <w:r w:rsidR="00947E9A">
        <w:rPr>
          <w:rFonts w:ascii="宋体" w:hAnsi="宋体" w:hint="eastAsia"/>
          <w:kern w:val="0"/>
          <w:szCs w:val="20"/>
        </w:rPr>
        <w:t>7</w:t>
      </w:r>
      <w:r w:rsidR="00947E9A">
        <w:rPr>
          <w:rFonts w:ascii="宋体" w:hAnsi="宋体"/>
          <w:kern w:val="0"/>
          <w:szCs w:val="20"/>
        </w:rPr>
        <w:t>43</w:t>
      </w:r>
      <w:r>
        <w:rPr>
          <w:rFonts w:ascii="宋体" w:hAnsi="宋体" w:hint="eastAsia"/>
          <w:kern w:val="0"/>
          <w:szCs w:val="20"/>
        </w:rPr>
        <w:t>号）注册</w:t>
      </w:r>
      <w:r>
        <w:rPr>
          <w:rFonts w:ascii="宋体" w:hAnsi="宋体"/>
          <w:kern w:val="0"/>
        </w:rPr>
        <w:t>募集。</w:t>
      </w:r>
    </w:p>
    <w:p w14:paraId="72636CA3" w14:textId="77777777" w:rsidR="0082364D" w:rsidRDefault="00BF2824">
      <w:pPr>
        <w:autoSpaceDE w:val="0"/>
        <w:autoSpaceDN w:val="0"/>
        <w:adjustRightInd w:val="0"/>
        <w:spacing w:line="360" w:lineRule="auto"/>
        <w:ind w:firstLine="420"/>
        <w:rPr>
          <w:rFonts w:ascii="宋体" w:hAnsi="宋体"/>
        </w:rPr>
      </w:pPr>
      <w:r>
        <w:rPr>
          <w:rFonts w:ascii="宋体" w:hAnsi="宋体" w:hint="eastAsia"/>
        </w:rPr>
        <w:t>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投资者认购或申购基金份额时应认真阅读本招募说明书。</w:t>
      </w:r>
    </w:p>
    <w:p w14:paraId="6B4B96C2" w14:textId="77777777" w:rsidR="0082364D" w:rsidRDefault="00BF2824">
      <w:pPr>
        <w:autoSpaceDE w:val="0"/>
        <w:autoSpaceDN w:val="0"/>
        <w:adjustRightInd w:val="0"/>
        <w:spacing w:line="360" w:lineRule="auto"/>
        <w:ind w:firstLine="420"/>
        <w:rPr>
          <w:rFonts w:ascii="宋体" w:hAnsi="宋体"/>
        </w:rPr>
      </w:pPr>
      <w:r>
        <w:rPr>
          <w:rFonts w:ascii="宋体" w:hAnsi="宋体" w:hint="eastAsia"/>
        </w:rPr>
        <w:t>本基金主要投资于境外证券市场，基金净值会因为境外证券市场波动等因素产生波动，投资者根据所持有的基金份额享受基金收益，同时承担相应的投资风险。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本基金境内投资范围包含国债期货、股指期货、股票期权等金融衍生品、资产支持证券等品种，并可根据相关法律法规和基金合同的约定参与融资业务和转融通证券出借业务，可能给本基金带来额外风险。</w:t>
      </w:r>
    </w:p>
    <w:p w14:paraId="5989D3DA" w14:textId="77777777" w:rsidR="0082364D" w:rsidRDefault="00BF2824">
      <w:pPr>
        <w:autoSpaceDE w:val="0"/>
        <w:autoSpaceDN w:val="0"/>
        <w:adjustRightInd w:val="0"/>
        <w:spacing w:line="360" w:lineRule="auto"/>
        <w:ind w:firstLine="420"/>
        <w:rPr>
          <w:rFonts w:ascii="宋体" w:hAnsi="宋体"/>
          <w:color w:val="000000"/>
        </w:rPr>
      </w:pPr>
      <w:r>
        <w:rPr>
          <w:rFonts w:ascii="宋体" w:hAnsi="宋体" w:hint="eastAsia"/>
          <w:color w:val="000000"/>
        </w:rPr>
        <w:t>本基金投资于港股（包含内地与香港股票市场交易互联互通机制下允许投资的香港联合交易所上市的股票（以下简称“港股通标的股票”），下同），会面临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交易日不连贯可能带来的风险（在内地开市香港休市的情形下，港股不能正常交易，港股不能及时卖出，可能带来一定的流动性风险）等。</w:t>
      </w:r>
    </w:p>
    <w:p w14:paraId="17913B79" w14:textId="77777777" w:rsidR="0082364D" w:rsidRDefault="00BF2824">
      <w:pPr>
        <w:autoSpaceDE w:val="0"/>
        <w:autoSpaceDN w:val="0"/>
        <w:adjustRightInd w:val="0"/>
        <w:spacing w:line="360" w:lineRule="auto"/>
        <w:ind w:firstLine="420"/>
        <w:rPr>
          <w:rFonts w:ascii="宋体" w:hAnsi="宋体"/>
          <w:color w:val="000000"/>
        </w:rPr>
      </w:pPr>
      <w:r>
        <w:rPr>
          <w:rFonts w:ascii="宋体" w:hAnsi="宋体" w:hint="eastAsia"/>
          <w:color w:val="000000"/>
        </w:rPr>
        <w:t>本基金可根据投资策略需要或不同配置地市场环境的变化，选择将部分基金资产投资于港股或选择不将基金资产投资于港股，基金资产并非必然投资港股。</w:t>
      </w:r>
    </w:p>
    <w:p w14:paraId="153DA98C" w14:textId="658A4CBE" w:rsidR="0082364D" w:rsidRDefault="00BF2824">
      <w:pPr>
        <w:autoSpaceDE w:val="0"/>
        <w:autoSpaceDN w:val="0"/>
        <w:adjustRightInd w:val="0"/>
        <w:spacing w:line="360" w:lineRule="auto"/>
        <w:ind w:firstLine="420"/>
        <w:rPr>
          <w:rFonts w:ascii="宋体" w:hAnsi="宋体"/>
          <w:color w:val="000000"/>
        </w:rPr>
      </w:pPr>
      <w:r>
        <w:rPr>
          <w:rFonts w:ascii="宋体" w:hAnsi="宋体" w:hint="eastAsia"/>
          <w:color w:val="000000"/>
        </w:rPr>
        <w:t>本基金的投资范围包括存托凭证，除与其他仅投资于境内市场股票的基金所面临的共同风险外，本基金还可能面临存托凭证价格大幅波动甚至出现较大亏损的风险，以及与存托凭证发行机制相关的风险。</w:t>
      </w:r>
    </w:p>
    <w:p w14:paraId="799E2F0E" w14:textId="18779133" w:rsidR="0082364D" w:rsidRDefault="00BF2824">
      <w:pPr>
        <w:autoSpaceDE w:val="0"/>
        <w:autoSpaceDN w:val="0"/>
        <w:adjustRightInd w:val="0"/>
        <w:spacing w:line="360" w:lineRule="auto"/>
        <w:ind w:firstLine="420"/>
        <w:rPr>
          <w:rFonts w:ascii="宋体" w:hAnsi="宋体"/>
          <w:color w:val="000000"/>
        </w:rPr>
      </w:pPr>
      <w:r>
        <w:rPr>
          <w:rFonts w:ascii="宋体" w:hAnsi="宋体" w:hint="eastAsia"/>
          <w:color w:val="000000"/>
        </w:rPr>
        <w:t>本基金为股票型指数基金，跟踪纳斯达克100指数，主要投资于标的指数成份股及备选成份股，其风险收益特征与标的指数所表征的市场组合的风险收益特征相似</w:t>
      </w:r>
      <w:r>
        <w:rPr>
          <w:rFonts w:ascii="宋体" w:hAnsi="宋体"/>
          <w:color w:val="000000"/>
        </w:rPr>
        <w:t>。</w:t>
      </w:r>
      <w:r>
        <w:rPr>
          <w:rFonts w:ascii="宋体" w:hAnsi="宋体" w:hint="eastAsia"/>
          <w:color w:val="000000"/>
        </w:rPr>
        <w:t>投资者投资于</w:t>
      </w:r>
      <w:r>
        <w:rPr>
          <w:rFonts w:ascii="宋体" w:hAnsi="宋体" w:hint="eastAsia"/>
          <w:color w:val="000000"/>
        </w:rPr>
        <w:lastRenderedPageBreak/>
        <w:t>本基金可能面临跟踪误差控制未达约定目标、指数编制机构停止服务、成份股停牌等潜在风险，详见本基金招募说明书“风险揭示”章节。本基金属于股票型基金，其预期收益及预期风险水平高于混合型基金、债券型基金与货币市场基金。本基金投资于境外证券市场上市的股票，需承担汇率风险以及境外市场的风险。</w:t>
      </w:r>
    </w:p>
    <w:p w14:paraId="44802C10"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本基金标的指数为纳斯达克1</w:t>
      </w:r>
      <w:r>
        <w:rPr>
          <w:rFonts w:ascii="宋体" w:hAnsi="宋体"/>
          <w:color w:val="000000"/>
        </w:rPr>
        <w:t>00</w:t>
      </w:r>
      <w:r>
        <w:rPr>
          <w:rFonts w:ascii="宋体" w:hAnsi="宋体" w:hint="eastAsia"/>
          <w:color w:val="000000"/>
        </w:rPr>
        <w:t>指数，旨在衡量在纳斯达克上市的1</w:t>
      </w:r>
      <w:r>
        <w:rPr>
          <w:rFonts w:ascii="宋体" w:hAnsi="宋体"/>
          <w:color w:val="000000"/>
        </w:rPr>
        <w:t>00</w:t>
      </w:r>
      <w:r>
        <w:rPr>
          <w:rFonts w:ascii="宋体" w:hAnsi="宋体" w:hint="eastAsia"/>
          <w:color w:val="000000"/>
        </w:rPr>
        <w:t>家最大的非金融公司的表现。</w:t>
      </w:r>
    </w:p>
    <w:p w14:paraId="042744F2"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（1）证券合资格标准</w:t>
      </w:r>
    </w:p>
    <w:p w14:paraId="718CB74D"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合资格的证券种类：合资格的证券种类通常包括美国存托凭证（ADR）、普通股和追踪股；以房地产投资信托基金(“REIT”)形式成立的公司不符合纳入指数的资格；如果该证券代表非美国发行人的存托凭证，则提及该“发行人”均提及其相关证券，其已发行股份总数是存托银行报告的实际发行的存托股份数量。</w:t>
      </w:r>
    </w:p>
    <w:p w14:paraId="3E60F870"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多类别证券：如果发行人已经上市多类别证券，则所有证券类别均符合资格，但须符合所有其他证券合资格标准。</w:t>
      </w:r>
    </w:p>
    <w:p w14:paraId="2927B715"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合资格交易所：证券发行人的第一美国上市地必须只在纳斯达克全球精选市场或纳斯达克全球市场。</w:t>
      </w:r>
    </w:p>
    <w:p w14:paraId="73A764A9"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地区资格：如果证券发行人在美国境外司法管辖区的法律下建立，则该证券必须在已注册的美国期权市场拥有上市期权，或有资格在已注册的美国期权市场上市期权交易。</w:t>
      </w:r>
    </w:p>
    <w:p w14:paraId="77CDA4E5"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行业或领域资格：采用富时国际有限公司授权使用的行业分类基准(ICB)，证券必须属于非金融类公司(除金融外的任何行业)类别。</w:t>
      </w:r>
    </w:p>
    <w:p w14:paraId="273BEEFD"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市值资格：不设市值资格标准。</w:t>
      </w:r>
    </w:p>
    <w:p w14:paraId="414C14E2"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流动性资格：各证券的日均成交量不少于200,000股(按截至成分股调整参考日所在月的三个日历月计算)。</w:t>
      </w:r>
    </w:p>
    <w:p w14:paraId="1ECA0C0D"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上市时间资格：该证券必须在纳斯达克（纳斯达克全球精选市场、纳斯达克全球市场或纳斯达克资本市场）、纽约证券交易所、美国纽交所或CBOE BZX 等合资格交易所拥有至少三个完整日历月的成交记录，且不包括首次上市月份。资格于成分股选取参考日截止前确定（包括该月）。因分拆事件而纳入指数的证券将不受上市时间资格限制。</w:t>
      </w:r>
    </w:p>
    <w:p w14:paraId="483D226B"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流通量资格标准：不设流通量资格标准。</w:t>
      </w:r>
    </w:p>
    <w:p w14:paraId="6C5E3896"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其他资格标准：证券发行人一般不得处于破产程序中；证券发行人未签订会使其不符合纳入指数资格的最终或其他协议，也不存在指数管理委员会认为即将进行的该等交易。</w:t>
      </w:r>
    </w:p>
    <w:p w14:paraId="75ADCAE6"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（2）成分股选取</w:t>
      </w:r>
    </w:p>
    <w:p w14:paraId="274DD5DD"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lastRenderedPageBreak/>
        <w:t>成分股选取的流程：指数成分股调整每年进行一次，届时所有符合资格的发行人(按市值排名)根据以下标准依序纳入指数。</w:t>
      </w:r>
    </w:p>
    <w:p w14:paraId="70123FF2"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 排名前75的发行人将被选入指数。</w:t>
      </w:r>
    </w:p>
    <w:p w14:paraId="072C1DC1"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 在成分股调整参考日前已成为指数成员，并且跻身前100名的发行人也将被选入指数。</w:t>
      </w:r>
    </w:p>
    <w:p w14:paraId="427E2BE3"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 若符合前两项标准的发行人数量不足100，则剩余位置将首先从上次成分股调整中名列前100或于上次成分股调整后新增的替代或分拆公司，但目前排名为第101-125位的指数成员中按名次填补。</w:t>
      </w:r>
    </w:p>
    <w:p w14:paraId="7D6674D5"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 若通过前三项标准的发行人仍不足100，则剩余位置将按名次由排名前100且截至参考日期未成为指数成员的发行人填补。</w:t>
      </w:r>
    </w:p>
    <w:p w14:paraId="5E9D199F"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（3）成分股加权</w:t>
      </w:r>
    </w:p>
    <w:p w14:paraId="4BECC78C"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成分股加权方案：指数为修正后的市值加权指数。</w:t>
      </w:r>
    </w:p>
    <w:p w14:paraId="713C609E" w14:textId="7EF777B4" w:rsidR="00ED10B3"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有关标的指数具体编制方案及成份股信息详见纳斯达克网站，网址：</w:t>
      </w:r>
      <w:hyperlink r:id="rId8" w:history="1">
        <w:r w:rsidR="00ED10B3" w:rsidRPr="00611EE1">
          <w:rPr>
            <w:rStyle w:val="af6"/>
            <w:rFonts w:ascii="宋体" w:hAnsi="宋体" w:hint="eastAsia"/>
          </w:rPr>
          <w:t>www.nasdaq.com</w:t>
        </w:r>
      </w:hyperlink>
      <w:r>
        <w:rPr>
          <w:rFonts w:ascii="宋体" w:hAnsi="宋体" w:hint="eastAsia"/>
          <w:color w:val="000000"/>
        </w:rPr>
        <w:t>。</w:t>
      </w:r>
    </w:p>
    <w:p w14:paraId="7FE51042"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color w:val="000000"/>
        </w:rPr>
        <w:t>本基金为投资</w:t>
      </w:r>
      <w:r>
        <w:rPr>
          <w:rFonts w:ascii="宋体" w:hAnsi="宋体" w:hint="eastAsia"/>
          <w:color w:val="000000"/>
        </w:rPr>
        <w:t>境外</w:t>
      </w:r>
      <w:r>
        <w:rPr>
          <w:rFonts w:ascii="宋体" w:hAnsi="宋体"/>
          <w:color w:val="000000"/>
        </w:rPr>
        <w:t>市场的 ETF，基金份额的清算交收和境内普通 ETF 存在一定差异，通常情况下，投资人当日申购的基金份额，清算交收完成后方可卖出和赎回。当日买入的基金份额，同日可以赎回和卖出。投资人认购本基金时需具有证券账户，证券账户是指深圳证券交易所 A 股账户或深圳证券交易所证券投资基金账户。使用深圳证券交易所证券投资基金账户只能参与本基金的现金认购和二级市场交易，如投资人需要参与基金的申购、赎回，则应使用深圳证券交易所A股账户。</w:t>
      </w:r>
    </w:p>
    <w:p w14:paraId="11ADB1C9" w14:textId="77777777" w:rsidR="0082364D" w:rsidRDefault="00BF2824">
      <w:pPr>
        <w:autoSpaceDE w:val="0"/>
        <w:autoSpaceDN w:val="0"/>
        <w:adjustRightInd w:val="0"/>
        <w:spacing w:line="360" w:lineRule="auto"/>
        <w:ind w:firstLine="420"/>
        <w:jc w:val="left"/>
        <w:rPr>
          <w:rFonts w:ascii="宋体" w:hAnsi="宋体"/>
          <w:color w:val="000000"/>
        </w:rPr>
      </w:pPr>
      <w:r>
        <w:rPr>
          <w:rFonts w:ascii="宋体" w:hAnsi="宋体" w:hint="eastAsia"/>
          <w:color w:val="000000"/>
        </w:rPr>
        <w:t>本基金以人民币募集和计价，经过换汇后主要投资于境外市场并以外币计价的金融工具，人民币对外币的汇率的波动可能加大基金净值的波动，从而对基金业绩产生影响。</w:t>
      </w:r>
    </w:p>
    <w:p w14:paraId="4F8A1E98" w14:textId="77777777" w:rsidR="0082364D" w:rsidRDefault="00BF2824">
      <w:pPr>
        <w:autoSpaceDE w:val="0"/>
        <w:autoSpaceDN w:val="0"/>
        <w:adjustRightInd w:val="0"/>
        <w:spacing w:line="360" w:lineRule="auto"/>
        <w:ind w:firstLine="420"/>
        <w:jc w:val="left"/>
        <w:rPr>
          <w:rStyle w:val="apple-converted-space"/>
        </w:rPr>
      </w:pPr>
      <w:r>
        <w:rPr>
          <w:rStyle w:val="apple-converted-space"/>
          <w:rFonts w:hint="eastAsia"/>
        </w:rPr>
        <w:t>基金合同生效后，连续</w:t>
      </w:r>
      <w:r>
        <w:rPr>
          <w:rStyle w:val="apple-converted-space"/>
          <w:rFonts w:hint="eastAsia"/>
        </w:rPr>
        <w:t>50</w:t>
      </w:r>
      <w:r>
        <w:rPr>
          <w:rStyle w:val="apple-converted-space"/>
          <w:rFonts w:hint="eastAsia"/>
        </w:rPr>
        <w:t>个工作日出现基金份额持有人数量不满</w:t>
      </w:r>
      <w:r>
        <w:rPr>
          <w:rStyle w:val="apple-converted-space"/>
          <w:rFonts w:hint="eastAsia"/>
        </w:rPr>
        <w:t>200</w:t>
      </w:r>
      <w:r>
        <w:rPr>
          <w:rStyle w:val="apple-converted-space"/>
          <w:rFonts w:hint="eastAsia"/>
        </w:rPr>
        <w:t>人或者基金资产净值低于</w:t>
      </w:r>
      <w:r>
        <w:rPr>
          <w:rStyle w:val="apple-converted-space"/>
          <w:rFonts w:hint="eastAsia"/>
        </w:rPr>
        <w:t>5000</w:t>
      </w:r>
      <w:r>
        <w:rPr>
          <w:rStyle w:val="apple-converted-space"/>
          <w:rFonts w:hint="eastAsia"/>
        </w:rPr>
        <w:t>万元情形的，基金管理人经与基金托管人协商一致，可对本基金进行清算，终止基金合同，无需召开基金份额持有人大会进行表决，故基金份额持有人可能面临基金合同自动终止的风险。</w:t>
      </w:r>
    </w:p>
    <w:p w14:paraId="00C49E5D" w14:textId="77777777" w:rsidR="0082364D" w:rsidRDefault="00BF2824">
      <w:pPr>
        <w:autoSpaceDE w:val="0"/>
        <w:autoSpaceDN w:val="0"/>
        <w:adjustRightInd w:val="0"/>
        <w:spacing w:line="360" w:lineRule="auto"/>
        <w:ind w:firstLine="420"/>
        <w:jc w:val="left"/>
        <w:rPr>
          <w:rStyle w:val="apple-converted-space"/>
        </w:rPr>
      </w:pPr>
      <w:r>
        <w:rPr>
          <w:rStyle w:val="apple-converted-space"/>
          <w:rFonts w:hint="eastAsia"/>
        </w:rPr>
        <w:t>投资者在投资本基金之前，请仔细阅读本基金的招募说明书</w:t>
      </w:r>
      <w:bookmarkStart w:id="0" w:name="_Hlk21902923"/>
      <w:r>
        <w:rPr>
          <w:rStyle w:val="apple-converted-space"/>
          <w:rFonts w:hint="eastAsia"/>
        </w:rPr>
        <w:t>、基金合同和基金产品资料概要</w:t>
      </w:r>
      <w:bookmarkEnd w:id="0"/>
      <w:r>
        <w:rPr>
          <w:rStyle w:val="apple-converted-space"/>
          <w:rFonts w:hint="eastAsia"/>
        </w:rPr>
        <w:t>，全面认识本基金的风险收益特征和产品特性，并充分考虑自身的风险承受能力，理性判断市场，谨慎做出投资决策。</w:t>
      </w:r>
    </w:p>
    <w:p w14:paraId="11FC13E7" w14:textId="77777777" w:rsidR="0082364D" w:rsidRDefault="00BF2824">
      <w:pPr>
        <w:autoSpaceDE w:val="0"/>
        <w:autoSpaceDN w:val="0"/>
        <w:adjustRightInd w:val="0"/>
        <w:spacing w:line="360" w:lineRule="auto"/>
        <w:ind w:firstLine="420"/>
        <w:rPr>
          <w:rFonts w:ascii="宋体" w:hAnsi="宋体"/>
        </w:rPr>
      </w:pPr>
      <w:r>
        <w:rPr>
          <w:rFonts w:ascii="宋体" w:hAnsi="宋体" w:hint="eastAsia"/>
        </w:rPr>
        <w:t>基金的过往业绩并不预示其未来表现。基金管理人承诺以恪尽职守、诚实信用、谨慎勤</w:t>
      </w:r>
      <w:r>
        <w:rPr>
          <w:rFonts w:ascii="宋体" w:hAnsi="宋体" w:hint="eastAsia"/>
        </w:rPr>
        <w:lastRenderedPageBreak/>
        <w:t>勉的原则管理和运用基金财产，但不保证基金一定盈利，也不向投资者保证最低收益或投资本金不受损失。</w:t>
      </w:r>
    </w:p>
    <w:p w14:paraId="0E944EA7" w14:textId="77777777" w:rsidR="0082364D" w:rsidRDefault="00BF2824">
      <w:pPr>
        <w:autoSpaceDE w:val="0"/>
        <w:autoSpaceDN w:val="0"/>
        <w:adjustRightInd w:val="0"/>
        <w:spacing w:line="360" w:lineRule="auto"/>
        <w:ind w:firstLine="420"/>
        <w:rPr>
          <w:rFonts w:ascii="宋体" w:hAnsi="宋体"/>
        </w:rPr>
      </w:pPr>
      <w:r>
        <w:rPr>
          <w:rFonts w:ascii="宋体" w:hAnsi="宋体" w:hint="eastAsia"/>
        </w:rPr>
        <w:t>本基金管理人提醒投资者基金投资的“买者自负”原则，在做出投资决策后，基金运营状况与基金净值变化引致的投资风险，由投资者自行负担。</w:t>
      </w:r>
    </w:p>
    <w:p w14:paraId="6A9A1174" w14:textId="77777777" w:rsidR="0082364D" w:rsidRDefault="00BF2824" w:rsidP="00947E9A">
      <w:pPr>
        <w:wordWrap w:val="0"/>
        <w:autoSpaceDE w:val="0"/>
        <w:autoSpaceDN w:val="0"/>
        <w:adjustRightInd w:val="0"/>
        <w:spacing w:line="360" w:lineRule="auto"/>
        <w:ind w:firstLine="420"/>
        <w:rPr>
          <w:rFonts w:ascii="宋体" w:hAnsi="宋体"/>
        </w:rPr>
      </w:pPr>
      <w:r>
        <w:rPr>
          <w:rFonts w:ascii="宋体" w:hAnsi="宋体" w:hint="eastAsia"/>
        </w:rPr>
        <w:t>基金管理人深知个人信息对投资者的重要性，致力于投资者个人信息的保护。基金管理人承诺按照法律法规和相关监管要求的规定处理投资者的个人信息，包括通过基金管理人直销、销售机构或场内经纪机构购买嘉实基金管理有限公司旗下基金产品的所有个人投资者。基金管理人需处理的机构投资者信息中可能涉及其法定代表人、受益所有人、经办人等个人信息，也将遵守上述承诺进行处理。详情请关注嘉实基金官网（http://www.jsfund.cn/main/include/privacy/index.shtml）披露的“嘉实基金隐私政策”及其后续作出的不时修订。</w:t>
      </w:r>
    </w:p>
    <w:p w14:paraId="339C7ADA" w14:textId="77777777" w:rsidR="0082364D" w:rsidRDefault="0082364D">
      <w:pPr>
        <w:autoSpaceDE w:val="0"/>
        <w:autoSpaceDN w:val="0"/>
        <w:adjustRightInd w:val="0"/>
        <w:spacing w:line="360" w:lineRule="auto"/>
        <w:ind w:firstLine="420"/>
        <w:rPr>
          <w:rFonts w:ascii="宋体" w:hAnsi="宋体"/>
        </w:rPr>
      </w:pPr>
    </w:p>
    <w:p w14:paraId="1521C7FA" w14:textId="77777777" w:rsidR="0082364D" w:rsidRDefault="0082364D">
      <w:pPr>
        <w:spacing w:line="360" w:lineRule="auto"/>
        <w:jc w:val="left"/>
        <w:rPr>
          <w:rFonts w:ascii="宋体" w:hAnsi="宋体"/>
        </w:rPr>
      </w:pPr>
    </w:p>
    <w:p w14:paraId="4C017FEF" w14:textId="77777777" w:rsidR="0082364D" w:rsidRDefault="00BF2824">
      <w:pPr>
        <w:pStyle w:val="10"/>
        <w:jc w:val="center"/>
        <w:rPr>
          <w:rFonts w:ascii="宋体" w:hAnsi="宋体"/>
          <w:sz w:val="28"/>
        </w:rPr>
      </w:pPr>
      <w:r>
        <w:rPr>
          <w:rFonts w:ascii="宋体" w:hAnsi="宋体"/>
        </w:rPr>
        <w:br w:type="page"/>
      </w:r>
      <w:r>
        <w:rPr>
          <w:rFonts w:ascii="宋体" w:hAnsi="宋体" w:hint="eastAsia"/>
          <w:sz w:val="28"/>
        </w:rPr>
        <w:lastRenderedPageBreak/>
        <w:t>目</w:t>
      </w:r>
      <w:r>
        <w:rPr>
          <w:rFonts w:ascii="宋体" w:hAnsi="宋体"/>
          <w:sz w:val="28"/>
        </w:rPr>
        <w:t xml:space="preserve"> </w:t>
      </w:r>
      <w:r>
        <w:rPr>
          <w:rFonts w:ascii="宋体" w:hAnsi="宋体" w:hint="eastAsia"/>
          <w:sz w:val="28"/>
        </w:rPr>
        <w:t>录</w:t>
      </w:r>
    </w:p>
    <w:p w14:paraId="7095E3EA" w14:textId="48003FC2" w:rsidR="0082364D" w:rsidRDefault="00BF2824">
      <w:pPr>
        <w:pStyle w:val="10"/>
        <w:tabs>
          <w:tab w:val="right" w:leader="dot" w:pos="8296"/>
        </w:tabs>
        <w:rPr>
          <w:rFonts w:asciiTheme="minorHAnsi" w:eastAsiaTheme="minorEastAsia" w:hAnsiTheme="minorHAnsi" w:cstheme="minorBidi"/>
          <w:b w:val="0"/>
          <w:bCs w:val="0"/>
          <w:caps w:val="0"/>
          <w:noProof/>
          <w:sz w:val="21"/>
          <w:szCs w:val="22"/>
        </w:rPr>
      </w:pPr>
      <w:r>
        <w:rPr>
          <w:rFonts w:ascii="宋体" w:hAnsi="宋体"/>
          <w:b w:val="0"/>
          <w:caps w:val="0"/>
          <w:sz w:val="21"/>
        </w:rPr>
        <w:fldChar w:fldCharType="begin"/>
      </w:r>
      <w:r>
        <w:rPr>
          <w:rFonts w:ascii="宋体" w:hAnsi="宋体"/>
          <w:b w:val="0"/>
          <w:bCs w:val="0"/>
          <w:caps w:val="0"/>
          <w:sz w:val="21"/>
          <w:szCs w:val="21"/>
        </w:rPr>
        <w:instrText xml:space="preserve"> TOC \o "1-1" \h \z \u </w:instrText>
      </w:r>
      <w:r>
        <w:rPr>
          <w:rFonts w:ascii="宋体" w:hAnsi="宋体"/>
          <w:b w:val="0"/>
          <w:caps w:val="0"/>
          <w:sz w:val="21"/>
        </w:rPr>
        <w:fldChar w:fldCharType="separate"/>
      </w:r>
      <w:hyperlink w:anchor="_Toc108598512" w:history="1">
        <w:r>
          <w:rPr>
            <w:rStyle w:val="af6"/>
            <w:rFonts w:ascii="宋体" w:hAnsi="宋体"/>
            <w:noProof/>
          </w:rPr>
          <w:t>一、绪 言</w:t>
        </w:r>
        <w:r>
          <w:rPr>
            <w:noProof/>
          </w:rPr>
          <w:tab/>
        </w:r>
        <w:r>
          <w:rPr>
            <w:noProof/>
          </w:rPr>
          <w:fldChar w:fldCharType="begin"/>
        </w:r>
        <w:r>
          <w:rPr>
            <w:noProof/>
          </w:rPr>
          <w:instrText xml:space="preserve"> PAGEREF _Toc108598512 \h </w:instrText>
        </w:r>
        <w:r>
          <w:rPr>
            <w:noProof/>
          </w:rPr>
        </w:r>
        <w:r>
          <w:rPr>
            <w:noProof/>
          </w:rPr>
          <w:fldChar w:fldCharType="separate"/>
        </w:r>
        <w:r w:rsidR="001620AD">
          <w:rPr>
            <w:noProof/>
          </w:rPr>
          <w:t>1</w:t>
        </w:r>
        <w:r>
          <w:rPr>
            <w:noProof/>
          </w:rPr>
          <w:fldChar w:fldCharType="end"/>
        </w:r>
      </w:hyperlink>
    </w:p>
    <w:p w14:paraId="41557E05" w14:textId="5022D03B"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13" w:history="1">
        <w:r w:rsidR="00BF2824">
          <w:rPr>
            <w:rStyle w:val="af6"/>
            <w:rFonts w:ascii="宋体" w:hAnsi="宋体"/>
            <w:noProof/>
          </w:rPr>
          <w:t>二、释 义</w:t>
        </w:r>
        <w:r w:rsidR="00BF2824">
          <w:rPr>
            <w:noProof/>
          </w:rPr>
          <w:tab/>
        </w:r>
        <w:r w:rsidR="00BF2824">
          <w:rPr>
            <w:noProof/>
          </w:rPr>
          <w:fldChar w:fldCharType="begin"/>
        </w:r>
        <w:r w:rsidR="00BF2824">
          <w:rPr>
            <w:noProof/>
          </w:rPr>
          <w:instrText xml:space="preserve"> PAGEREF _Toc108598513 \h </w:instrText>
        </w:r>
        <w:r w:rsidR="00BF2824">
          <w:rPr>
            <w:noProof/>
          </w:rPr>
        </w:r>
        <w:r w:rsidR="00BF2824">
          <w:rPr>
            <w:noProof/>
          </w:rPr>
          <w:fldChar w:fldCharType="separate"/>
        </w:r>
        <w:r w:rsidR="001620AD">
          <w:rPr>
            <w:noProof/>
          </w:rPr>
          <w:t>2</w:t>
        </w:r>
        <w:r w:rsidR="00BF2824">
          <w:rPr>
            <w:noProof/>
          </w:rPr>
          <w:fldChar w:fldCharType="end"/>
        </w:r>
      </w:hyperlink>
    </w:p>
    <w:p w14:paraId="07D062F5" w14:textId="2B7D5C9D"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14" w:history="1">
        <w:r w:rsidR="00BF2824">
          <w:rPr>
            <w:rStyle w:val="af6"/>
            <w:rFonts w:ascii="宋体" w:hAnsi="宋体"/>
            <w:noProof/>
          </w:rPr>
          <w:t>三、风险揭示</w:t>
        </w:r>
        <w:r w:rsidR="00BF2824">
          <w:rPr>
            <w:noProof/>
          </w:rPr>
          <w:tab/>
        </w:r>
        <w:r w:rsidR="00BF2824">
          <w:rPr>
            <w:noProof/>
          </w:rPr>
          <w:fldChar w:fldCharType="begin"/>
        </w:r>
        <w:r w:rsidR="00BF2824">
          <w:rPr>
            <w:noProof/>
          </w:rPr>
          <w:instrText xml:space="preserve"> PAGEREF _Toc108598514 \h </w:instrText>
        </w:r>
        <w:r w:rsidR="00BF2824">
          <w:rPr>
            <w:noProof/>
          </w:rPr>
        </w:r>
        <w:r w:rsidR="00BF2824">
          <w:rPr>
            <w:noProof/>
          </w:rPr>
          <w:fldChar w:fldCharType="separate"/>
        </w:r>
        <w:r w:rsidR="001620AD">
          <w:rPr>
            <w:noProof/>
          </w:rPr>
          <w:t>7</w:t>
        </w:r>
        <w:r w:rsidR="00BF2824">
          <w:rPr>
            <w:noProof/>
          </w:rPr>
          <w:fldChar w:fldCharType="end"/>
        </w:r>
      </w:hyperlink>
    </w:p>
    <w:p w14:paraId="6070FC03" w14:textId="1A8C467E"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15" w:history="1">
        <w:r w:rsidR="00BF2824">
          <w:rPr>
            <w:rStyle w:val="af6"/>
            <w:rFonts w:ascii="宋体" w:hAnsi="宋体"/>
            <w:noProof/>
          </w:rPr>
          <w:t>四、基金的投资</w:t>
        </w:r>
        <w:r w:rsidR="00BF2824">
          <w:rPr>
            <w:noProof/>
          </w:rPr>
          <w:tab/>
        </w:r>
        <w:r w:rsidR="00BF2824">
          <w:rPr>
            <w:noProof/>
          </w:rPr>
          <w:fldChar w:fldCharType="begin"/>
        </w:r>
        <w:r w:rsidR="00BF2824">
          <w:rPr>
            <w:noProof/>
          </w:rPr>
          <w:instrText xml:space="preserve"> PAGEREF _Toc108598515 \h </w:instrText>
        </w:r>
        <w:r w:rsidR="00BF2824">
          <w:rPr>
            <w:noProof/>
          </w:rPr>
        </w:r>
        <w:r w:rsidR="00BF2824">
          <w:rPr>
            <w:noProof/>
          </w:rPr>
          <w:fldChar w:fldCharType="separate"/>
        </w:r>
        <w:r w:rsidR="001620AD">
          <w:rPr>
            <w:noProof/>
          </w:rPr>
          <w:t>16</w:t>
        </w:r>
        <w:r w:rsidR="00BF2824">
          <w:rPr>
            <w:noProof/>
          </w:rPr>
          <w:fldChar w:fldCharType="end"/>
        </w:r>
      </w:hyperlink>
    </w:p>
    <w:p w14:paraId="6980E2F8" w14:textId="66C509D3"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16" w:history="1">
        <w:r w:rsidR="00BF2824">
          <w:rPr>
            <w:rStyle w:val="af6"/>
            <w:rFonts w:ascii="宋体" w:hAnsi="宋体"/>
            <w:noProof/>
          </w:rPr>
          <w:t>五、基金管理人</w:t>
        </w:r>
        <w:r w:rsidR="00BF2824">
          <w:rPr>
            <w:noProof/>
          </w:rPr>
          <w:tab/>
        </w:r>
        <w:r w:rsidR="00BF2824">
          <w:rPr>
            <w:noProof/>
          </w:rPr>
          <w:fldChar w:fldCharType="begin"/>
        </w:r>
        <w:r w:rsidR="00BF2824">
          <w:rPr>
            <w:noProof/>
          </w:rPr>
          <w:instrText xml:space="preserve"> PAGEREF _Toc108598516 \h </w:instrText>
        </w:r>
        <w:r w:rsidR="00BF2824">
          <w:rPr>
            <w:noProof/>
          </w:rPr>
        </w:r>
        <w:r w:rsidR="00BF2824">
          <w:rPr>
            <w:noProof/>
          </w:rPr>
          <w:fldChar w:fldCharType="separate"/>
        </w:r>
        <w:r w:rsidR="001620AD">
          <w:rPr>
            <w:noProof/>
          </w:rPr>
          <w:t>26</w:t>
        </w:r>
        <w:r w:rsidR="00BF2824">
          <w:rPr>
            <w:noProof/>
          </w:rPr>
          <w:fldChar w:fldCharType="end"/>
        </w:r>
      </w:hyperlink>
    </w:p>
    <w:p w14:paraId="109022CE" w14:textId="59E94856"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17" w:history="1">
        <w:r w:rsidR="00BF2824">
          <w:rPr>
            <w:rStyle w:val="af6"/>
            <w:rFonts w:ascii="宋体" w:hAnsi="宋体"/>
            <w:noProof/>
          </w:rPr>
          <w:t>六、基金的募集</w:t>
        </w:r>
        <w:r w:rsidR="00BF2824">
          <w:rPr>
            <w:noProof/>
          </w:rPr>
          <w:tab/>
        </w:r>
        <w:r w:rsidR="00BF2824">
          <w:rPr>
            <w:noProof/>
          </w:rPr>
          <w:fldChar w:fldCharType="begin"/>
        </w:r>
        <w:r w:rsidR="00BF2824">
          <w:rPr>
            <w:noProof/>
          </w:rPr>
          <w:instrText xml:space="preserve"> PAGEREF _Toc108598517 \h </w:instrText>
        </w:r>
        <w:r w:rsidR="00BF2824">
          <w:rPr>
            <w:noProof/>
          </w:rPr>
        </w:r>
        <w:r w:rsidR="00BF2824">
          <w:rPr>
            <w:noProof/>
          </w:rPr>
          <w:fldChar w:fldCharType="separate"/>
        </w:r>
        <w:r w:rsidR="001620AD">
          <w:rPr>
            <w:noProof/>
          </w:rPr>
          <w:t>37</w:t>
        </w:r>
        <w:r w:rsidR="00BF2824">
          <w:rPr>
            <w:noProof/>
          </w:rPr>
          <w:fldChar w:fldCharType="end"/>
        </w:r>
      </w:hyperlink>
    </w:p>
    <w:p w14:paraId="04940318" w14:textId="6588DE30"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18" w:history="1">
        <w:r w:rsidR="00BF2824">
          <w:rPr>
            <w:rStyle w:val="af6"/>
            <w:rFonts w:ascii="宋体" w:hAnsi="宋体"/>
            <w:noProof/>
          </w:rPr>
          <w:t>七、基金合同的生效</w:t>
        </w:r>
        <w:r w:rsidR="00BF2824">
          <w:rPr>
            <w:noProof/>
          </w:rPr>
          <w:tab/>
        </w:r>
        <w:r w:rsidR="00BF2824">
          <w:rPr>
            <w:noProof/>
          </w:rPr>
          <w:fldChar w:fldCharType="begin"/>
        </w:r>
        <w:r w:rsidR="00BF2824">
          <w:rPr>
            <w:noProof/>
          </w:rPr>
          <w:instrText xml:space="preserve"> PAGEREF _Toc108598518 \h </w:instrText>
        </w:r>
        <w:r w:rsidR="00BF2824">
          <w:rPr>
            <w:noProof/>
          </w:rPr>
        </w:r>
        <w:r w:rsidR="00BF2824">
          <w:rPr>
            <w:noProof/>
          </w:rPr>
          <w:fldChar w:fldCharType="separate"/>
        </w:r>
        <w:r w:rsidR="001620AD">
          <w:rPr>
            <w:noProof/>
          </w:rPr>
          <w:t>41</w:t>
        </w:r>
        <w:r w:rsidR="00BF2824">
          <w:rPr>
            <w:noProof/>
          </w:rPr>
          <w:fldChar w:fldCharType="end"/>
        </w:r>
      </w:hyperlink>
    </w:p>
    <w:p w14:paraId="3D47636B" w14:textId="4EC0B433"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19" w:history="1">
        <w:r w:rsidR="00BF2824">
          <w:rPr>
            <w:rStyle w:val="af6"/>
            <w:rFonts w:ascii="宋体" w:hAnsi="宋体"/>
            <w:noProof/>
          </w:rPr>
          <w:t>八、基金份额的上市交易</w:t>
        </w:r>
        <w:r w:rsidR="00BF2824">
          <w:rPr>
            <w:noProof/>
          </w:rPr>
          <w:tab/>
        </w:r>
        <w:r w:rsidR="00BF2824">
          <w:rPr>
            <w:noProof/>
          </w:rPr>
          <w:fldChar w:fldCharType="begin"/>
        </w:r>
        <w:r w:rsidR="00BF2824">
          <w:rPr>
            <w:noProof/>
          </w:rPr>
          <w:instrText xml:space="preserve"> PAGEREF _Toc108598519 \h </w:instrText>
        </w:r>
        <w:r w:rsidR="00BF2824">
          <w:rPr>
            <w:noProof/>
          </w:rPr>
        </w:r>
        <w:r w:rsidR="00BF2824">
          <w:rPr>
            <w:noProof/>
          </w:rPr>
          <w:fldChar w:fldCharType="separate"/>
        </w:r>
        <w:r w:rsidR="001620AD">
          <w:rPr>
            <w:noProof/>
          </w:rPr>
          <w:t>42</w:t>
        </w:r>
        <w:r w:rsidR="00BF2824">
          <w:rPr>
            <w:noProof/>
          </w:rPr>
          <w:fldChar w:fldCharType="end"/>
        </w:r>
      </w:hyperlink>
    </w:p>
    <w:p w14:paraId="76BDE672" w14:textId="51CDDD6C"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20" w:history="1">
        <w:r w:rsidR="00BF2824">
          <w:rPr>
            <w:rStyle w:val="af6"/>
            <w:rFonts w:ascii="宋体" w:hAnsi="宋体"/>
            <w:noProof/>
          </w:rPr>
          <w:t>九、基金份额的申购、赎回</w:t>
        </w:r>
        <w:r w:rsidR="00BF2824">
          <w:rPr>
            <w:noProof/>
          </w:rPr>
          <w:tab/>
        </w:r>
        <w:r w:rsidR="00BF2824">
          <w:rPr>
            <w:noProof/>
          </w:rPr>
          <w:fldChar w:fldCharType="begin"/>
        </w:r>
        <w:r w:rsidR="00BF2824">
          <w:rPr>
            <w:noProof/>
          </w:rPr>
          <w:instrText xml:space="preserve"> PAGEREF _Toc108598520 \h </w:instrText>
        </w:r>
        <w:r w:rsidR="00BF2824">
          <w:rPr>
            <w:noProof/>
          </w:rPr>
        </w:r>
        <w:r w:rsidR="00BF2824">
          <w:rPr>
            <w:noProof/>
          </w:rPr>
          <w:fldChar w:fldCharType="separate"/>
        </w:r>
        <w:r w:rsidR="001620AD">
          <w:rPr>
            <w:noProof/>
          </w:rPr>
          <w:t>44</w:t>
        </w:r>
        <w:r w:rsidR="00BF2824">
          <w:rPr>
            <w:noProof/>
          </w:rPr>
          <w:fldChar w:fldCharType="end"/>
        </w:r>
      </w:hyperlink>
    </w:p>
    <w:p w14:paraId="6E3E96CD" w14:textId="61B44A5B"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21" w:history="1">
        <w:r w:rsidR="00BF2824">
          <w:rPr>
            <w:rStyle w:val="af6"/>
            <w:rFonts w:ascii="宋体" w:hAnsi="宋体"/>
            <w:noProof/>
          </w:rPr>
          <w:t>十、基金的费用与税收</w:t>
        </w:r>
        <w:r w:rsidR="00BF2824">
          <w:rPr>
            <w:noProof/>
          </w:rPr>
          <w:tab/>
        </w:r>
        <w:r w:rsidR="00BF2824">
          <w:rPr>
            <w:noProof/>
          </w:rPr>
          <w:fldChar w:fldCharType="begin"/>
        </w:r>
        <w:r w:rsidR="00BF2824">
          <w:rPr>
            <w:noProof/>
          </w:rPr>
          <w:instrText xml:space="preserve"> PAGEREF _Toc108598521 \h </w:instrText>
        </w:r>
        <w:r w:rsidR="00BF2824">
          <w:rPr>
            <w:noProof/>
          </w:rPr>
        </w:r>
        <w:r w:rsidR="00BF2824">
          <w:rPr>
            <w:noProof/>
          </w:rPr>
          <w:fldChar w:fldCharType="separate"/>
        </w:r>
        <w:r w:rsidR="001620AD">
          <w:rPr>
            <w:noProof/>
          </w:rPr>
          <w:t>56</w:t>
        </w:r>
        <w:r w:rsidR="00BF2824">
          <w:rPr>
            <w:noProof/>
          </w:rPr>
          <w:fldChar w:fldCharType="end"/>
        </w:r>
      </w:hyperlink>
    </w:p>
    <w:p w14:paraId="722C2C2F" w14:textId="5C9561E5"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22" w:history="1">
        <w:r w:rsidR="00BF2824">
          <w:rPr>
            <w:rStyle w:val="af6"/>
            <w:rFonts w:ascii="宋体" w:hAnsi="宋体"/>
            <w:noProof/>
          </w:rPr>
          <w:t>十一、基金的财产</w:t>
        </w:r>
        <w:r w:rsidR="00BF2824">
          <w:rPr>
            <w:noProof/>
          </w:rPr>
          <w:tab/>
        </w:r>
        <w:r w:rsidR="00BF2824">
          <w:rPr>
            <w:noProof/>
          </w:rPr>
          <w:fldChar w:fldCharType="begin"/>
        </w:r>
        <w:r w:rsidR="00BF2824">
          <w:rPr>
            <w:noProof/>
          </w:rPr>
          <w:instrText xml:space="preserve"> PAGEREF _Toc108598522 \h </w:instrText>
        </w:r>
        <w:r w:rsidR="00BF2824">
          <w:rPr>
            <w:noProof/>
          </w:rPr>
        </w:r>
        <w:r w:rsidR="00BF2824">
          <w:rPr>
            <w:noProof/>
          </w:rPr>
          <w:fldChar w:fldCharType="separate"/>
        </w:r>
        <w:r w:rsidR="001620AD">
          <w:rPr>
            <w:noProof/>
          </w:rPr>
          <w:t>58</w:t>
        </w:r>
        <w:r w:rsidR="00BF2824">
          <w:rPr>
            <w:noProof/>
          </w:rPr>
          <w:fldChar w:fldCharType="end"/>
        </w:r>
      </w:hyperlink>
    </w:p>
    <w:p w14:paraId="23A7EEB4" w14:textId="69D96A0D"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23" w:history="1">
        <w:r w:rsidR="00BF2824">
          <w:rPr>
            <w:rStyle w:val="af6"/>
            <w:rFonts w:ascii="宋体" w:hAnsi="宋体"/>
            <w:noProof/>
          </w:rPr>
          <w:t>十二、基金资产估值</w:t>
        </w:r>
        <w:r w:rsidR="00BF2824">
          <w:rPr>
            <w:noProof/>
          </w:rPr>
          <w:tab/>
        </w:r>
        <w:r w:rsidR="00BF2824">
          <w:rPr>
            <w:noProof/>
          </w:rPr>
          <w:fldChar w:fldCharType="begin"/>
        </w:r>
        <w:r w:rsidR="00BF2824">
          <w:rPr>
            <w:noProof/>
          </w:rPr>
          <w:instrText xml:space="preserve"> PAGEREF _Toc108598523 \h </w:instrText>
        </w:r>
        <w:r w:rsidR="00BF2824">
          <w:rPr>
            <w:noProof/>
          </w:rPr>
        </w:r>
        <w:r w:rsidR="00BF2824">
          <w:rPr>
            <w:noProof/>
          </w:rPr>
          <w:fldChar w:fldCharType="separate"/>
        </w:r>
        <w:r w:rsidR="001620AD">
          <w:rPr>
            <w:noProof/>
          </w:rPr>
          <w:t>60</w:t>
        </w:r>
        <w:r w:rsidR="00BF2824">
          <w:rPr>
            <w:noProof/>
          </w:rPr>
          <w:fldChar w:fldCharType="end"/>
        </w:r>
      </w:hyperlink>
    </w:p>
    <w:p w14:paraId="7C7D2AF5" w14:textId="54C66916"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24" w:history="1">
        <w:r w:rsidR="00BF2824">
          <w:rPr>
            <w:rStyle w:val="af6"/>
            <w:rFonts w:ascii="宋体" w:hAnsi="宋体"/>
            <w:noProof/>
          </w:rPr>
          <w:t>十三、基金的收益与分配</w:t>
        </w:r>
        <w:r w:rsidR="00BF2824">
          <w:rPr>
            <w:noProof/>
          </w:rPr>
          <w:tab/>
        </w:r>
        <w:r w:rsidR="00BF2824">
          <w:rPr>
            <w:noProof/>
          </w:rPr>
          <w:fldChar w:fldCharType="begin"/>
        </w:r>
        <w:r w:rsidR="00BF2824">
          <w:rPr>
            <w:noProof/>
          </w:rPr>
          <w:instrText xml:space="preserve"> PAGEREF _Toc108598524 \h </w:instrText>
        </w:r>
        <w:r w:rsidR="00BF2824">
          <w:rPr>
            <w:noProof/>
          </w:rPr>
        </w:r>
        <w:r w:rsidR="00BF2824">
          <w:rPr>
            <w:noProof/>
          </w:rPr>
          <w:fldChar w:fldCharType="separate"/>
        </w:r>
        <w:r w:rsidR="001620AD">
          <w:rPr>
            <w:noProof/>
          </w:rPr>
          <w:t>67</w:t>
        </w:r>
        <w:r w:rsidR="00BF2824">
          <w:rPr>
            <w:noProof/>
          </w:rPr>
          <w:fldChar w:fldCharType="end"/>
        </w:r>
      </w:hyperlink>
    </w:p>
    <w:p w14:paraId="68E5E25A" w14:textId="5ABA4E34"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25" w:history="1">
        <w:r w:rsidR="00BF2824">
          <w:rPr>
            <w:rStyle w:val="af6"/>
            <w:rFonts w:ascii="宋体" w:hAnsi="宋体"/>
            <w:noProof/>
          </w:rPr>
          <w:t>十四、基金的会计与审计</w:t>
        </w:r>
        <w:r w:rsidR="00BF2824">
          <w:rPr>
            <w:noProof/>
          </w:rPr>
          <w:tab/>
        </w:r>
        <w:r w:rsidR="00BF2824">
          <w:rPr>
            <w:noProof/>
          </w:rPr>
          <w:fldChar w:fldCharType="begin"/>
        </w:r>
        <w:r w:rsidR="00BF2824">
          <w:rPr>
            <w:noProof/>
          </w:rPr>
          <w:instrText xml:space="preserve"> PAGEREF _Toc108598525 \h </w:instrText>
        </w:r>
        <w:r w:rsidR="00BF2824">
          <w:rPr>
            <w:noProof/>
          </w:rPr>
        </w:r>
        <w:r w:rsidR="00BF2824">
          <w:rPr>
            <w:noProof/>
          </w:rPr>
          <w:fldChar w:fldCharType="separate"/>
        </w:r>
        <w:r w:rsidR="001620AD">
          <w:rPr>
            <w:noProof/>
          </w:rPr>
          <w:t>69</w:t>
        </w:r>
        <w:r w:rsidR="00BF2824">
          <w:rPr>
            <w:noProof/>
          </w:rPr>
          <w:fldChar w:fldCharType="end"/>
        </w:r>
      </w:hyperlink>
    </w:p>
    <w:p w14:paraId="56297F85" w14:textId="3856F93B"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26" w:history="1">
        <w:r w:rsidR="00BF2824">
          <w:rPr>
            <w:rStyle w:val="af6"/>
            <w:rFonts w:ascii="宋体" w:hAnsi="宋体"/>
            <w:noProof/>
          </w:rPr>
          <w:t>十五、基金的信息披露</w:t>
        </w:r>
        <w:r w:rsidR="00BF2824">
          <w:rPr>
            <w:noProof/>
          </w:rPr>
          <w:tab/>
        </w:r>
        <w:r w:rsidR="00BF2824">
          <w:rPr>
            <w:noProof/>
          </w:rPr>
          <w:fldChar w:fldCharType="begin"/>
        </w:r>
        <w:r w:rsidR="00BF2824">
          <w:rPr>
            <w:noProof/>
          </w:rPr>
          <w:instrText xml:space="preserve"> PAGEREF _Toc108598526 \h </w:instrText>
        </w:r>
        <w:r w:rsidR="00BF2824">
          <w:rPr>
            <w:noProof/>
          </w:rPr>
        </w:r>
        <w:r w:rsidR="00BF2824">
          <w:rPr>
            <w:noProof/>
          </w:rPr>
          <w:fldChar w:fldCharType="separate"/>
        </w:r>
        <w:r w:rsidR="001620AD">
          <w:rPr>
            <w:noProof/>
          </w:rPr>
          <w:t>70</w:t>
        </w:r>
        <w:r w:rsidR="00BF2824">
          <w:rPr>
            <w:noProof/>
          </w:rPr>
          <w:fldChar w:fldCharType="end"/>
        </w:r>
      </w:hyperlink>
    </w:p>
    <w:p w14:paraId="110DEF94" w14:textId="7BA42C30"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27" w:history="1">
        <w:r w:rsidR="00BF2824">
          <w:rPr>
            <w:rStyle w:val="af6"/>
            <w:rFonts w:ascii="宋体" w:hAnsi="宋体"/>
            <w:noProof/>
          </w:rPr>
          <w:t>十六、基金合同的变更、终止与基金财产的清算</w:t>
        </w:r>
        <w:r w:rsidR="00BF2824">
          <w:rPr>
            <w:noProof/>
          </w:rPr>
          <w:tab/>
        </w:r>
        <w:r w:rsidR="00BF2824">
          <w:rPr>
            <w:noProof/>
          </w:rPr>
          <w:fldChar w:fldCharType="begin"/>
        </w:r>
        <w:r w:rsidR="00BF2824">
          <w:rPr>
            <w:noProof/>
          </w:rPr>
          <w:instrText xml:space="preserve"> PAGEREF _Toc108598527 \h </w:instrText>
        </w:r>
        <w:r w:rsidR="00BF2824">
          <w:rPr>
            <w:noProof/>
          </w:rPr>
        </w:r>
        <w:r w:rsidR="00BF2824">
          <w:rPr>
            <w:noProof/>
          </w:rPr>
          <w:fldChar w:fldCharType="separate"/>
        </w:r>
        <w:r w:rsidR="001620AD">
          <w:rPr>
            <w:noProof/>
          </w:rPr>
          <w:t>77</w:t>
        </w:r>
        <w:r w:rsidR="00BF2824">
          <w:rPr>
            <w:noProof/>
          </w:rPr>
          <w:fldChar w:fldCharType="end"/>
        </w:r>
      </w:hyperlink>
    </w:p>
    <w:p w14:paraId="5EACC792" w14:textId="644032E2"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28" w:history="1">
        <w:r w:rsidR="00BF2824">
          <w:rPr>
            <w:rStyle w:val="af6"/>
            <w:rFonts w:ascii="宋体" w:hAnsi="宋体"/>
            <w:noProof/>
          </w:rPr>
          <w:t>十七、基金托管人</w:t>
        </w:r>
        <w:r w:rsidR="00BF2824">
          <w:rPr>
            <w:noProof/>
          </w:rPr>
          <w:tab/>
        </w:r>
        <w:r w:rsidR="00BF2824">
          <w:rPr>
            <w:noProof/>
          </w:rPr>
          <w:fldChar w:fldCharType="begin"/>
        </w:r>
        <w:r w:rsidR="00BF2824">
          <w:rPr>
            <w:noProof/>
          </w:rPr>
          <w:instrText xml:space="preserve"> PAGEREF _Toc108598528 \h </w:instrText>
        </w:r>
        <w:r w:rsidR="00BF2824">
          <w:rPr>
            <w:noProof/>
          </w:rPr>
        </w:r>
        <w:r w:rsidR="00BF2824">
          <w:rPr>
            <w:noProof/>
          </w:rPr>
          <w:fldChar w:fldCharType="separate"/>
        </w:r>
        <w:r w:rsidR="001620AD">
          <w:rPr>
            <w:noProof/>
          </w:rPr>
          <w:t>79</w:t>
        </w:r>
        <w:r w:rsidR="00BF2824">
          <w:rPr>
            <w:noProof/>
          </w:rPr>
          <w:fldChar w:fldCharType="end"/>
        </w:r>
      </w:hyperlink>
    </w:p>
    <w:p w14:paraId="25711ED5" w14:textId="0DECF547"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29" w:history="1">
        <w:r w:rsidR="00BF2824">
          <w:rPr>
            <w:rStyle w:val="af6"/>
            <w:rFonts w:ascii="宋体" w:hAnsi="宋体"/>
            <w:noProof/>
          </w:rPr>
          <w:t>十八、境外托管人</w:t>
        </w:r>
        <w:r w:rsidR="00BF2824">
          <w:rPr>
            <w:noProof/>
          </w:rPr>
          <w:tab/>
        </w:r>
        <w:r w:rsidR="00BF2824">
          <w:rPr>
            <w:noProof/>
          </w:rPr>
          <w:fldChar w:fldCharType="begin"/>
        </w:r>
        <w:r w:rsidR="00BF2824">
          <w:rPr>
            <w:noProof/>
          </w:rPr>
          <w:instrText xml:space="preserve"> PAGEREF _Toc108598529 \h </w:instrText>
        </w:r>
        <w:r w:rsidR="00BF2824">
          <w:rPr>
            <w:noProof/>
          </w:rPr>
        </w:r>
        <w:r w:rsidR="00BF2824">
          <w:rPr>
            <w:noProof/>
          </w:rPr>
          <w:fldChar w:fldCharType="separate"/>
        </w:r>
        <w:r w:rsidR="001620AD">
          <w:rPr>
            <w:noProof/>
          </w:rPr>
          <w:t>84</w:t>
        </w:r>
        <w:r w:rsidR="00BF2824">
          <w:rPr>
            <w:noProof/>
          </w:rPr>
          <w:fldChar w:fldCharType="end"/>
        </w:r>
      </w:hyperlink>
    </w:p>
    <w:p w14:paraId="7FB88F57" w14:textId="568A4ADB"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30" w:history="1">
        <w:r w:rsidR="00BF2824">
          <w:rPr>
            <w:rStyle w:val="af6"/>
            <w:rFonts w:ascii="宋体" w:hAnsi="宋体"/>
            <w:noProof/>
          </w:rPr>
          <w:t>十九、相关服务机构</w:t>
        </w:r>
        <w:r w:rsidR="00BF2824">
          <w:rPr>
            <w:noProof/>
          </w:rPr>
          <w:tab/>
        </w:r>
        <w:r w:rsidR="00BF2824">
          <w:rPr>
            <w:noProof/>
          </w:rPr>
          <w:fldChar w:fldCharType="begin"/>
        </w:r>
        <w:r w:rsidR="00BF2824">
          <w:rPr>
            <w:noProof/>
          </w:rPr>
          <w:instrText xml:space="preserve"> PAGEREF _Toc108598530 \h </w:instrText>
        </w:r>
        <w:r w:rsidR="00BF2824">
          <w:rPr>
            <w:noProof/>
          </w:rPr>
        </w:r>
        <w:r w:rsidR="00BF2824">
          <w:rPr>
            <w:noProof/>
          </w:rPr>
          <w:fldChar w:fldCharType="separate"/>
        </w:r>
        <w:r w:rsidR="001620AD">
          <w:rPr>
            <w:noProof/>
          </w:rPr>
          <w:t>87</w:t>
        </w:r>
        <w:r w:rsidR="00BF2824">
          <w:rPr>
            <w:noProof/>
          </w:rPr>
          <w:fldChar w:fldCharType="end"/>
        </w:r>
      </w:hyperlink>
    </w:p>
    <w:p w14:paraId="6660051F" w14:textId="126697E4"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31" w:history="1">
        <w:r w:rsidR="00BF2824">
          <w:rPr>
            <w:rStyle w:val="af6"/>
            <w:rFonts w:ascii="宋体" w:hAnsi="宋体"/>
            <w:noProof/>
          </w:rPr>
          <w:t>二十、基金合同内容摘要</w:t>
        </w:r>
        <w:r w:rsidR="00BF2824">
          <w:rPr>
            <w:noProof/>
          </w:rPr>
          <w:tab/>
        </w:r>
        <w:r w:rsidR="00BF2824">
          <w:rPr>
            <w:noProof/>
          </w:rPr>
          <w:fldChar w:fldCharType="begin"/>
        </w:r>
        <w:r w:rsidR="00BF2824">
          <w:rPr>
            <w:noProof/>
          </w:rPr>
          <w:instrText xml:space="preserve"> PAGEREF _Toc108598531 \h </w:instrText>
        </w:r>
        <w:r w:rsidR="00BF2824">
          <w:rPr>
            <w:noProof/>
          </w:rPr>
        </w:r>
        <w:r w:rsidR="00BF2824">
          <w:rPr>
            <w:noProof/>
          </w:rPr>
          <w:fldChar w:fldCharType="separate"/>
        </w:r>
        <w:r w:rsidR="001620AD">
          <w:rPr>
            <w:noProof/>
          </w:rPr>
          <w:t>90</w:t>
        </w:r>
        <w:r w:rsidR="00BF2824">
          <w:rPr>
            <w:noProof/>
          </w:rPr>
          <w:fldChar w:fldCharType="end"/>
        </w:r>
      </w:hyperlink>
    </w:p>
    <w:p w14:paraId="0CB174AB" w14:textId="04DDC1A0"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32" w:history="1">
        <w:r w:rsidR="00BF2824">
          <w:rPr>
            <w:rStyle w:val="af6"/>
            <w:rFonts w:hAnsi="宋体"/>
            <w:noProof/>
          </w:rPr>
          <w:t>二十一、基金托管协议的内容摘要</w:t>
        </w:r>
        <w:r w:rsidR="00BF2824">
          <w:rPr>
            <w:noProof/>
          </w:rPr>
          <w:tab/>
        </w:r>
        <w:r w:rsidR="00BF2824">
          <w:rPr>
            <w:noProof/>
          </w:rPr>
          <w:fldChar w:fldCharType="begin"/>
        </w:r>
        <w:r w:rsidR="00BF2824">
          <w:rPr>
            <w:noProof/>
          </w:rPr>
          <w:instrText xml:space="preserve"> PAGEREF _Toc108598532 \h </w:instrText>
        </w:r>
        <w:r w:rsidR="00BF2824">
          <w:rPr>
            <w:noProof/>
          </w:rPr>
        </w:r>
        <w:r w:rsidR="00BF2824">
          <w:rPr>
            <w:noProof/>
          </w:rPr>
          <w:fldChar w:fldCharType="separate"/>
        </w:r>
        <w:r w:rsidR="001620AD">
          <w:rPr>
            <w:noProof/>
          </w:rPr>
          <w:t>107</w:t>
        </w:r>
        <w:r w:rsidR="00BF2824">
          <w:rPr>
            <w:noProof/>
          </w:rPr>
          <w:fldChar w:fldCharType="end"/>
        </w:r>
      </w:hyperlink>
    </w:p>
    <w:p w14:paraId="0ED58802" w14:textId="4A59C8A7"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33" w:history="1">
        <w:r w:rsidR="00BF2824">
          <w:rPr>
            <w:rStyle w:val="af6"/>
            <w:rFonts w:ascii="宋体" w:hAnsi="宋体"/>
            <w:noProof/>
          </w:rPr>
          <w:t>二十二、对基金份额持有人的服务</w:t>
        </w:r>
        <w:r w:rsidR="00BF2824">
          <w:rPr>
            <w:noProof/>
          </w:rPr>
          <w:tab/>
        </w:r>
        <w:r w:rsidR="00BF2824">
          <w:rPr>
            <w:noProof/>
          </w:rPr>
          <w:fldChar w:fldCharType="begin"/>
        </w:r>
        <w:r w:rsidR="00BF2824">
          <w:rPr>
            <w:noProof/>
          </w:rPr>
          <w:instrText xml:space="preserve"> PAGEREF _Toc108598533 \h </w:instrText>
        </w:r>
        <w:r w:rsidR="00BF2824">
          <w:rPr>
            <w:noProof/>
          </w:rPr>
        </w:r>
        <w:r w:rsidR="00BF2824">
          <w:rPr>
            <w:noProof/>
          </w:rPr>
          <w:fldChar w:fldCharType="separate"/>
        </w:r>
        <w:r w:rsidR="001620AD">
          <w:rPr>
            <w:noProof/>
          </w:rPr>
          <w:t>128</w:t>
        </w:r>
        <w:r w:rsidR="00BF2824">
          <w:rPr>
            <w:noProof/>
          </w:rPr>
          <w:fldChar w:fldCharType="end"/>
        </w:r>
      </w:hyperlink>
    </w:p>
    <w:p w14:paraId="30CF7DEF" w14:textId="71738AFA"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34" w:history="1">
        <w:r w:rsidR="00BF2824">
          <w:rPr>
            <w:rStyle w:val="af6"/>
            <w:rFonts w:ascii="宋体" w:hAnsi="宋体"/>
            <w:noProof/>
          </w:rPr>
          <w:t>二十三、其他应披露事项</w:t>
        </w:r>
        <w:r w:rsidR="00BF2824">
          <w:rPr>
            <w:noProof/>
          </w:rPr>
          <w:tab/>
        </w:r>
        <w:r w:rsidR="00BF2824">
          <w:rPr>
            <w:noProof/>
          </w:rPr>
          <w:fldChar w:fldCharType="begin"/>
        </w:r>
        <w:r w:rsidR="00BF2824">
          <w:rPr>
            <w:noProof/>
          </w:rPr>
          <w:instrText xml:space="preserve"> PAGEREF _Toc108598534 \h </w:instrText>
        </w:r>
        <w:r w:rsidR="00BF2824">
          <w:rPr>
            <w:noProof/>
          </w:rPr>
        </w:r>
        <w:r w:rsidR="00BF2824">
          <w:rPr>
            <w:noProof/>
          </w:rPr>
          <w:fldChar w:fldCharType="separate"/>
        </w:r>
        <w:r w:rsidR="001620AD">
          <w:rPr>
            <w:noProof/>
          </w:rPr>
          <w:t>129</w:t>
        </w:r>
        <w:r w:rsidR="00BF2824">
          <w:rPr>
            <w:noProof/>
          </w:rPr>
          <w:fldChar w:fldCharType="end"/>
        </w:r>
      </w:hyperlink>
    </w:p>
    <w:p w14:paraId="231EFF0F" w14:textId="78A790A1"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35" w:history="1">
        <w:r w:rsidR="00BF2824">
          <w:rPr>
            <w:rStyle w:val="af6"/>
            <w:rFonts w:ascii="宋体" w:hAnsi="宋体"/>
            <w:noProof/>
          </w:rPr>
          <w:t>二十四、招募说明书存放及查阅方式</w:t>
        </w:r>
        <w:r w:rsidR="00BF2824">
          <w:rPr>
            <w:noProof/>
          </w:rPr>
          <w:tab/>
        </w:r>
        <w:r w:rsidR="00BF2824">
          <w:rPr>
            <w:noProof/>
          </w:rPr>
          <w:fldChar w:fldCharType="begin"/>
        </w:r>
        <w:r w:rsidR="00BF2824">
          <w:rPr>
            <w:noProof/>
          </w:rPr>
          <w:instrText xml:space="preserve"> PAGEREF _Toc108598535 \h </w:instrText>
        </w:r>
        <w:r w:rsidR="00BF2824">
          <w:rPr>
            <w:noProof/>
          </w:rPr>
        </w:r>
        <w:r w:rsidR="00BF2824">
          <w:rPr>
            <w:noProof/>
          </w:rPr>
          <w:fldChar w:fldCharType="separate"/>
        </w:r>
        <w:r w:rsidR="001620AD">
          <w:rPr>
            <w:noProof/>
          </w:rPr>
          <w:t>130</w:t>
        </w:r>
        <w:r w:rsidR="00BF2824">
          <w:rPr>
            <w:noProof/>
          </w:rPr>
          <w:fldChar w:fldCharType="end"/>
        </w:r>
      </w:hyperlink>
    </w:p>
    <w:p w14:paraId="772BB5FE" w14:textId="4F645B69" w:rsidR="0082364D" w:rsidRDefault="00F8226A">
      <w:pPr>
        <w:pStyle w:val="10"/>
        <w:tabs>
          <w:tab w:val="right" w:leader="dot" w:pos="8296"/>
        </w:tabs>
        <w:rPr>
          <w:rFonts w:asciiTheme="minorHAnsi" w:eastAsiaTheme="minorEastAsia" w:hAnsiTheme="minorHAnsi" w:cstheme="minorBidi"/>
          <w:b w:val="0"/>
          <w:bCs w:val="0"/>
          <w:caps w:val="0"/>
          <w:noProof/>
          <w:sz w:val="21"/>
          <w:szCs w:val="22"/>
        </w:rPr>
      </w:pPr>
      <w:hyperlink w:anchor="_Toc108598536" w:history="1">
        <w:r w:rsidR="00BF2824">
          <w:rPr>
            <w:rStyle w:val="af6"/>
            <w:rFonts w:ascii="宋体" w:hAnsi="宋体"/>
            <w:noProof/>
          </w:rPr>
          <w:t>二十五、备查文件</w:t>
        </w:r>
        <w:r w:rsidR="00BF2824">
          <w:rPr>
            <w:noProof/>
          </w:rPr>
          <w:tab/>
        </w:r>
        <w:r w:rsidR="00BF2824">
          <w:rPr>
            <w:noProof/>
          </w:rPr>
          <w:fldChar w:fldCharType="begin"/>
        </w:r>
        <w:r w:rsidR="00BF2824">
          <w:rPr>
            <w:noProof/>
          </w:rPr>
          <w:instrText xml:space="preserve"> PAGEREF _Toc108598536 \h </w:instrText>
        </w:r>
        <w:r w:rsidR="00BF2824">
          <w:rPr>
            <w:noProof/>
          </w:rPr>
        </w:r>
        <w:r w:rsidR="00BF2824">
          <w:rPr>
            <w:noProof/>
          </w:rPr>
          <w:fldChar w:fldCharType="separate"/>
        </w:r>
        <w:r w:rsidR="001620AD">
          <w:rPr>
            <w:noProof/>
          </w:rPr>
          <w:t>131</w:t>
        </w:r>
        <w:r w:rsidR="00BF2824">
          <w:rPr>
            <w:noProof/>
          </w:rPr>
          <w:fldChar w:fldCharType="end"/>
        </w:r>
      </w:hyperlink>
    </w:p>
    <w:p w14:paraId="5E33E159" w14:textId="77777777" w:rsidR="0082364D" w:rsidRDefault="00BF2824">
      <w:pPr>
        <w:rPr>
          <w:rFonts w:ascii="宋体" w:hAnsi="宋体"/>
        </w:rPr>
        <w:sectPr w:rsidR="0082364D">
          <w:headerReference w:type="default" r:id="rId9"/>
          <w:footerReference w:type="even" r:id="rId10"/>
          <w:pgSz w:w="11906" w:h="16838"/>
          <w:pgMar w:top="1440" w:right="1800" w:bottom="1440" w:left="1800" w:header="851" w:footer="992" w:gutter="0"/>
          <w:cols w:space="720"/>
          <w:titlePg/>
          <w:docGrid w:type="lines" w:linePitch="312"/>
        </w:sectPr>
      </w:pPr>
      <w:r>
        <w:rPr>
          <w:rFonts w:ascii="宋体" w:hAnsi="宋体"/>
          <w:caps/>
        </w:rPr>
        <w:fldChar w:fldCharType="end"/>
      </w:r>
    </w:p>
    <w:p w14:paraId="0758F245" w14:textId="77777777" w:rsidR="0082364D" w:rsidRDefault="00BF2824">
      <w:pPr>
        <w:pStyle w:val="1"/>
        <w:spacing w:before="120" w:after="120" w:line="360" w:lineRule="auto"/>
        <w:jc w:val="center"/>
        <w:rPr>
          <w:rFonts w:ascii="宋体" w:hAnsi="宋体"/>
          <w:sz w:val="28"/>
        </w:rPr>
      </w:pPr>
      <w:bookmarkStart w:id="1" w:name="_Toc353291707"/>
      <w:bookmarkStart w:id="2" w:name="_Toc449605659"/>
      <w:bookmarkStart w:id="3" w:name="_Toc283892821"/>
      <w:bookmarkStart w:id="4" w:name="_Toc283892141"/>
      <w:bookmarkStart w:id="5" w:name="_Toc283892769"/>
      <w:bookmarkStart w:id="6" w:name="_Toc108598512"/>
      <w:r>
        <w:rPr>
          <w:rFonts w:ascii="宋体" w:hAnsi="宋体"/>
          <w:sz w:val="28"/>
        </w:rPr>
        <w:lastRenderedPageBreak/>
        <w:t>一、绪 言</w:t>
      </w:r>
      <w:bookmarkEnd w:id="1"/>
      <w:bookmarkEnd w:id="2"/>
      <w:bookmarkEnd w:id="3"/>
      <w:bookmarkEnd w:id="4"/>
      <w:bookmarkEnd w:id="5"/>
      <w:bookmarkEnd w:id="6"/>
    </w:p>
    <w:p w14:paraId="7A52F9DC" w14:textId="3AA5610B" w:rsidR="0082364D" w:rsidRDefault="00BF2824">
      <w:pPr>
        <w:autoSpaceDE w:val="0"/>
        <w:autoSpaceDN w:val="0"/>
        <w:adjustRightInd w:val="0"/>
        <w:spacing w:line="360" w:lineRule="auto"/>
        <w:ind w:firstLine="420"/>
        <w:rPr>
          <w:rFonts w:ascii="宋体" w:hAnsi="宋体"/>
          <w:kern w:val="0"/>
        </w:rPr>
      </w:pPr>
      <w:r>
        <w:rPr>
          <w:rFonts w:ascii="宋体" w:hAnsi="宋体"/>
          <w:kern w:val="0"/>
        </w:rPr>
        <w:t>本招募说明书依据《中华人民共和国证券投资基金法》（以下简称</w:t>
      </w:r>
      <w:r>
        <w:rPr>
          <w:rFonts w:ascii="宋体" w:hAnsi="宋体" w:hint="eastAsia"/>
          <w:kern w:val="0"/>
        </w:rPr>
        <w:t>“</w:t>
      </w:r>
      <w:r>
        <w:rPr>
          <w:rFonts w:ascii="宋体" w:hAnsi="宋体"/>
          <w:kern w:val="0"/>
        </w:rPr>
        <w:t>《基金法》</w:t>
      </w:r>
      <w:r>
        <w:rPr>
          <w:rFonts w:ascii="宋体" w:hAnsi="宋体" w:hint="eastAsia"/>
          <w:kern w:val="0"/>
        </w:rPr>
        <w:t>”</w:t>
      </w:r>
      <w:r>
        <w:rPr>
          <w:rFonts w:ascii="宋体" w:hAnsi="宋体"/>
          <w:kern w:val="0"/>
        </w:rPr>
        <w:t>）、</w:t>
      </w:r>
      <w:r>
        <w:rPr>
          <w:rFonts w:ascii="宋体" w:hAnsi="宋体" w:hint="eastAsia"/>
          <w:kern w:val="0"/>
          <w:szCs w:val="20"/>
        </w:rPr>
        <w:t>《公开募集证券投资基金运作管理办法》</w:t>
      </w:r>
      <w:r>
        <w:rPr>
          <w:rFonts w:ascii="宋体" w:hAnsi="宋体"/>
          <w:kern w:val="0"/>
        </w:rPr>
        <w:t>（以下简称</w:t>
      </w:r>
      <w:r>
        <w:rPr>
          <w:rFonts w:ascii="宋体" w:hAnsi="宋体" w:hint="eastAsia"/>
          <w:kern w:val="0"/>
        </w:rPr>
        <w:t>“</w:t>
      </w:r>
      <w:r>
        <w:rPr>
          <w:rFonts w:ascii="宋体" w:hAnsi="宋体"/>
          <w:kern w:val="0"/>
        </w:rPr>
        <w:t>《运作办法》</w:t>
      </w:r>
      <w:r>
        <w:rPr>
          <w:rFonts w:ascii="宋体" w:hAnsi="宋体" w:hint="eastAsia"/>
          <w:kern w:val="0"/>
        </w:rPr>
        <w:t>”</w:t>
      </w:r>
      <w:r>
        <w:rPr>
          <w:rFonts w:ascii="宋体" w:hAnsi="宋体"/>
          <w:kern w:val="0"/>
        </w:rPr>
        <w:t>）、《</w:t>
      </w:r>
      <w:r>
        <w:rPr>
          <w:rFonts w:ascii="宋体" w:hAnsi="宋体" w:hint="eastAsia"/>
          <w:kern w:val="0"/>
        </w:rPr>
        <w:t>公开募集</w:t>
      </w:r>
      <w:r>
        <w:rPr>
          <w:rFonts w:ascii="宋体" w:hAnsi="宋体"/>
          <w:kern w:val="0"/>
        </w:rPr>
        <w:t>证券投资基金销售</w:t>
      </w:r>
      <w:r>
        <w:rPr>
          <w:rFonts w:ascii="宋体" w:hAnsi="宋体" w:hint="eastAsia"/>
          <w:kern w:val="0"/>
        </w:rPr>
        <w:t>机构监督</w:t>
      </w:r>
      <w:r>
        <w:rPr>
          <w:rFonts w:ascii="宋体" w:hAnsi="宋体"/>
          <w:kern w:val="0"/>
        </w:rPr>
        <w:t>管理办法》（以下简称</w:t>
      </w:r>
      <w:r>
        <w:rPr>
          <w:rFonts w:ascii="宋体" w:hAnsi="宋体" w:hint="eastAsia"/>
          <w:kern w:val="0"/>
        </w:rPr>
        <w:t>“</w:t>
      </w:r>
      <w:r>
        <w:rPr>
          <w:rFonts w:ascii="宋体" w:hAnsi="宋体"/>
          <w:kern w:val="0"/>
        </w:rPr>
        <w:t>《销售办法》</w:t>
      </w:r>
      <w:r>
        <w:rPr>
          <w:rFonts w:ascii="宋体" w:hAnsi="宋体" w:hint="eastAsia"/>
          <w:kern w:val="0"/>
        </w:rPr>
        <w:t>”</w:t>
      </w:r>
      <w:r>
        <w:rPr>
          <w:rFonts w:ascii="宋体" w:hAnsi="宋体"/>
          <w:kern w:val="0"/>
        </w:rPr>
        <w:t>）、《</w:t>
      </w:r>
      <w:bookmarkStart w:id="7" w:name="_Hlk21902964"/>
      <w:r>
        <w:rPr>
          <w:rFonts w:hint="eastAsia"/>
        </w:rPr>
        <w:t>公开募集</w:t>
      </w:r>
      <w:bookmarkEnd w:id="7"/>
      <w:r>
        <w:rPr>
          <w:rFonts w:ascii="宋体" w:hAnsi="宋体"/>
          <w:kern w:val="0"/>
        </w:rPr>
        <w:t>证券投资基金信息披露管理办法》（以下简称</w:t>
      </w:r>
      <w:r>
        <w:rPr>
          <w:rFonts w:ascii="宋体" w:hAnsi="宋体" w:hint="eastAsia"/>
          <w:kern w:val="0"/>
        </w:rPr>
        <w:t>“</w:t>
      </w:r>
      <w:r>
        <w:rPr>
          <w:rFonts w:ascii="宋体" w:hAnsi="宋体"/>
          <w:kern w:val="0"/>
        </w:rPr>
        <w:t>《信息披露办法》</w:t>
      </w:r>
      <w:r>
        <w:rPr>
          <w:rFonts w:ascii="宋体" w:hAnsi="宋体" w:hint="eastAsia"/>
          <w:kern w:val="0"/>
        </w:rPr>
        <w:t>”</w:t>
      </w:r>
      <w:r>
        <w:rPr>
          <w:rFonts w:ascii="宋体" w:hAnsi="宋体"/>
          <w:kern w:val="0"/>
        </w:rPr>
        <w:t>）、</w:t>
      </w:r>
      <w:r>
        <w:rPr>
          <w:rFonts w:ascii="宋体" w:hAnsi="宋体" w:hint="eastAsia"/>
          <w:kern w:val="0"/>
        </w:rPr>
        <w:t>《公开募集开放式证券投资基金流动性风险管理规定》（以下简称“《流动性风险管理规定》”）、《公开募集证券投资基金运作指引第3号——指数基金指引》（以下简称“《指数基金指引》”）、《合格境内机构投资者境外证券投资管理试行办法》（以下简称“《试行办法》”）、《关于实施&lt;合格境内机构投资者境外证券投资管理试行办法&gt;有关问题的通知》（以下简称“《通知》”）、</w:t>
      </w:r>
      <w:r>
        <w:rPr>
          <w:rFonts w:ascii="宋体" w:hAnsi="宋体"/>
          <w:kern w:val="0"/>
        </w:rPr>
        <w:t>《证券投资基金信息披露内容与格式准则第5号&lt;招募说明书的内容与格式&gt;》等有关法律法规以及</w:t>
      </w:r>
      <w:r>
        <w:rPr>
          <w:rFonts w:ascii="宋体" w:hAnsi="宋体" w:hint="eastAsia"/>
          <w:kern w:val="0"/>
          <w:szCs w:val="20"/>
        </w:rPr>
        <w:t>《嘉实纳斯达克100交易型开放式指数证券投资基金（QDII）基金合同》</w:t>
      </w:r>
      <w:r>
        <w:rPr>
          <w:rFonts w:ascii="宋体" w:hAnsi="宋体"/>
          <w:kern w:val="0"/>
        </w:rPr>
        <w:t>编写。</w:t>
      </w:r>
    </w:p>
    <w:p w14:paraId="5C4860FC" w14:textId="77777777" w:rsidR="0082364D" w:rsidRDefault="00BF2824">
      <w:pPr>
        <w:spacing w:line="360" w:lineRule="auto"/>
        <w:ind w:firstLineChars="200" w:firstLine="420"/>
        <w:jc w:val="left"/>
        <w:rPr>
          <w:rFonts w:ascii="宋体" w:hAnsi="宋体"/>
        </w:rPr>
      </w:pPr>
      <w:r>
        <w:rPr>
          <w:rFonts w:ascii="宋体" w:hAnsi="宋体"/>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5FBD8B52" w14:textId="77777777" w:rsidR="0082364D" w:rsidRDefault="00BF2824">
      <w:pPr>
        <w:spacing w:line="360" w:lineRule="auto"/>
        <w:ind w:firstLine="420"/>
        <w:jc w:val="left"/>
        <w:rPr>
          <w:rFonts w:ascii="宋体" w:hAnsi="宋体"/>
        </w:rPr>
      </w:pPr>
      <w:r>
        <w:rPr>
          <w:rFonts w:ascii="宋体" w:hAnsi="宋体"/>
        </w:rPr>
        <w:t>本招募说明书根据本基金的基金合同编写,并经中国证监会</w:t>
      </w:r>
      <w:r>
        <w:rPr>
          <w:rFonts w:ascii="宋体" w:hAnsi="宋体" w:hint="eastAsia"/>
        </w:rPr>
        <w:t>注册</w:t>
      </w:r>
      <w:r>
        <w:rPr>
          <w:rFonts w:ascii="宋体" w:hAnsi="宋体"/>
        </w:rPr>
        <w:t>。基金合同是约定基金当事人之间权利、义务的法律文件。如本招募说明书内容与基金合同有冲突或不一致之处，均以基金合同为准。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0596B896" w14:textId="77777777" w:rsidR="0082364D" w:rsidRDefault="0082364D">
      <w:pPr>
        <w:spacing w:line="360" w:lineRule="auto"/>
        <w:jc w:val="left"/>
        <w:rPr>
          <w:rFonts w:ascii="宋体" w:hAnsi="宋体"/>
        </w:rPr>
      </w:pPr>
    </w:p>
    <w:p w14:paraId="02340646" w14:textId="77777777" w:rsidR="0082364D" w:rsidRDefault="00BF2824">
      <w:pPr>
        <w:widowControl/>
        <w:jc w:val="left"/>
        <w:rPr>
          <w:rFonts w:ascii="宋体" w:hAnsi="宋体"/>
          <w:b/>
          <w:bCs/>
          <w:kern w:val="44"/>
          <w:sz w:val="28"/>
          <w:szCs w:val="44"/>
        </w:rPr>
      </w:pPr>
      <w:bookmarkStart w:id="8" w:name="_Toc283892770"/>
      <w:bookmarkStart w:id="9" w:name="_Toc283892142"/>
      <w:bookmarkStart w:id="10" w:name="_Toc108598513"/>
      <w:bookmarkStart w:id="11" w:name="_Toc353291708"/>
      <w:bookmarkStart w:id="12" w:name="_Toc449605660"/>
      <w:bookmarkStart w:id="13" w:name="_Toc283892822"/>
      <w:r>
        <w:rPr>
          <w:rFonts w:ascii="宋体" w:hAnsi="宋体"/>
          <w:sz w:val="28"/>
        </w:rPr>
        <w:br w:type="page"/>
      </w:r>
    </w:p>
    <w:p w14:paraId="20E14C40" w14:textId="77777777" w:rsidR="0082364D" w:rsidRDefault="00BF2824">
      <w:pPr>
        <w:pStyle w:val="1"/>
        <w:spacing w:before="120" w:after="120" w:line="360" w:lineRule="auto"/>
        <w:jc w:val="center"/>
        <w:rPr>
          <w:rFonts w:ascii="宋体" w:hAnsi="宋体"/>
          <w:sz w:val="28"/>
        </w:rPr>
      </w:pPr>
      <w:r>
        <w:rPr>
          <w:rFonts w:ascii="宋体" w:hAnsi="宋体"/>
          <w:sz w:val="28"/>
        </w:rPr>
        <w:lastRenderedPageBreak/>
        <w:t>二、释 义</w:t>
      </w:r>
      <w:bookmarkEnd w:id="8"/>
      <w:bookmarkEnd w:id="9"/>
      <w:bookmarkEnd w:id="10"/>
      <w:bookmarkEnd w:id="11"/>
      <w:bookmarkEnd w:id="12"/>
      <w:bookmarkEnd w:id="13"/>
    </w:p>
    <w:p w14:paraId="7E36FC27" w14:textId="77777777" w:rsidR="0082364D" w:rsidRDefault="00BF2824">
      <w:pPr>
        <w:spacing w:line="360" w:lineRule="auto"/>
        <w:ind w:firstLine="420"/>
        <w:jc w:val="left"/>
        <w:rPr>
          <w:rFonts w:ascii="宋体" w:hAnsi="宋体"/>
          <w:szCs w:val="21"/>
        </w:rPr>
      </w:pPr>
      <w:r>
        <w:rPr>
          <w:rFonts w:ascii="宋体" w:hAnsi="宋体" w:hint="eastAsia"/>
          <w:szCs w:val="21"/>
        </w:rPr>
        <w:t>除非文意另有所指，本招募说明书中下列词语或简称具有如下含义：</w:t>
      </w:r>
    </w:p>
    <w:p w14:paraId="1E747143" w14:textId="7588C3A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bookmarkStart w:id="14" w:name="_Hlk47299301"/>
      <w:bookmarkStart w:id="15" w:name="_Hlk38651316"/>
      <w:bookmarkStart w:id="16" w:name="_Hlk38651139"/>
      <w:r>
        <w:rPr>
          <w:rFonts w:asciiTheme="minorEastAsia" w:eastAsiaTheme="minorEastAsia" w:hAnsiTheme="minorEastAsia"/>
          <w:bCs/>
          <w:szCs w:val="21"/>
        </w:rPr>
        <w:t>基金</w:t>
      </w:r>
      <w:r>
        <w:rPr>
          <w:rFonts w:asciiTheme="minorEastAsia" w:eastAsiaTheme="minorEastAsia" w:hAnsiTheme="minorEastAsia" w:hint="eastAsia"/>
          <w:bCs/>
          <w:szCs w:val="21"/>
        </w:rPr>
        <w:t>/</w:t>
      </w:r>
      <w:r>
        <w:rPr>
          <w:rFonts w:asciiTheme="minorEastAsia" w:eastAsiaTheme="minorEastAsia" w:hAnsiTheme="minorEastAsia"/>
          <w:bCs/>
          <w:szCs w:val="21"/>
        </w:rPr>
        <w:t>本基金：指嘉实纳斯达克100交易型开放式指数证券投资基金（QDII）</w:t>
      </w:r>
    </w:p>
    <w:p w14:paraId="7429CC03"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基金管理人：指嘉实基金管理有限公司</w:t>
      </w:r>
    </w:p>
    <w:p w14:paraId="02848388" w14:textId="1AC6C3A6"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基金托管人：指</w:t>
      </w:r>
      <w:r>
        <w:rPr>
          <w:rFonts w:asciiTheme="minorEastAsia" w:eastAsiaTheme="minorEastAsia" w:hAnsiTheme="minorEastAsia" w:hint="eastAsia"/>
          <w:bCs/>
          <w:szCs w:val="21"/>
        </w:rPr>
        <w:t>招商银行股份有限公司</w:t>
      </w:r>
    </w:p>
    <w:p w14:paraId="30B6B660" w14:textId="564C7306"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基金合同：指《嘉实纳斯达克100交易型开放式指数证券投资基金（QDII）基金合同》及对基金合同的任何有效修订和补充</w:t>
      </w:r>
    </w:p>
    <w:p w14:paraId="6C7F3CAB"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境外托管人：指符合法律法规规定的条件，根据基金托管人与其签订的合同，为本基金提供境外资产托管服务的境外金融机构</w:t>
      </w:r>
    </w:p>
    <w:p w14:paraId="68475B03" w14:textId="4DE57E1A"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托管协议：指基金管理人与基金托管人就本基金签订之《嘉实纳斯达克100交易型开放式指数证券投资基金（QDII）托管协议》及对该托管协议的任何有效修订和补充</w:t>
      </w:r>
    </w:p>
    <w:p w14:paraId="147B7BB4" w14:textId="78238BE0"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招募说明书：指《嘉实纳斯达克100交易型开放式指数证券投资基金（QDII）招募说明书》及其更新</w:t>
      </w:r>
      <w:r>
        <w:rPr>
          <w:rFonts w:asciiTheme="minorEastAsia" w:eastAsiaTheme="minorEastAsia" w:hAnsiTheme="minorEastAsia" w:hint="eastAsia"/>
          <w:bCs/>
          <w:szCs w:val="21"/>
        </w:rPr>
        <w:t>后的版本</w:t>
      </w:r>
    </w:p>
    <w:p w14:paraId="6045544C" w14:textId="06BA07D1"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基金份额发售公告：指《嘉实纳斯达克100交易型开放式指数证券投资基金（QDII）基金份额发售公告》</w:t>
      </w:r>
    </w:p>
    <w:p w14:paraId="5EBFD261" w14:textId="29CA7EB8"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基金份额上市交易公告书：指《嘉实纳斯达克100交易型开放式指数证券投资基金（QDII）基金份额上市交易公告书》</w:t>
      </w:r>
    </w:p>
    <w:p w14:paraId="7FF6CD38"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法律法规：指中国现行有效并公布实施的法律、行政法规、司法解释、行政规章</w:t>
      </w:r>
      <w:r>
        <w:rPr>
          <w:rFonts w:asciiTheme="minorEastAsia" w:eastAsiaTheme="minorEastAsia" w:hAnsiTheme="minorEastAsia" w:hint="eastAsia"/>
          <w:bCs/>
          <w:szCs w:val="21"/>
        </w:rPr>
        <w:t>、规范性文件</w:t>
      </w:r>
      <w:r>
        <w:rPr>
          <w:rFonts w:asciiTheme="minorEastAsia" w:eastAsiaTheme="minorEastAsia" w:hAnsiTheme="minorEastAsia"/>
          <w:bCs/>
          <w:szCs w:val="21"/>
        </w:rPr>
        <w:t>以及其他对基金合同当事人有约束力的决定、决议、通知等</w:t>
      </w:r>
      <w:r>
        <w:rPr>
          <w:rFonts w:asciiTheme="minorEastAsia" w:eastAsiaTheme="minorEastAsia" w:hAnsiTheme="minorEastAsia" w:hint="eastAsia"/>
          <w:bCs/>
          <w:szCs w:val="21"/>
        </w:rPr>
        <w:t>，包括</w:t>
      </w:r>
      <w:r>
        <w:rPr>
          <w:rFonts w:asciiTheme="minorEastAsia" w:eastAsiaTheme="minorEastAsia" w:hAnsiTheme="minorEastAsia"/>
          <w:bCs/>
          <w:szCs w:val="21"/>
        </w:rPr>
        <w:t>颁布机关对</w:t>
      </w:r>
      <w:r>
        <w:rPr>
          <w:rFonts w:asciiTheme="minorEastAsia" w:eastAsiaTheme="minorEastAsia" w:hAnsiTheme="minorEastAsia" w:hint="eastAsia"/>
          <w:bCs/>
          <w:szCs w:val="21"/>
        </w:rPr>
        <w:t>前述文件</w:t>
      </w:r>
      <w:r>
        <w:rPr>
          <w:rFonts w:asciiTheme="minorEastAsia" w:eastAsiaTheme="minorEastAsia" w:hAnsiTheme="minorEastAsia"/>
          <w:bCs/>
          <w:szCs w:val="21"/>
        </w:rPr>
        <w:t>不时做出的修订</w:t>
      </w:r>
    </w:p>
    <w:p w14:paraId="3A2BD275"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《基金法》：指</w:t>
      </w:r>
      <w:r>
        <w:rPr>
          <w:rFonts w:asciiTheme="minorEastAsia" w:eastAsiaTheme="minorEastAsia" w:hAnsiTheme="minorEastAsia"/>
          <w:szCs w:val="21"/>
        </w:rPr>
        <w:t>2003年10月28日经第十届全国人民代表大会常务委员会第五次会议通过，经</w:t>
      </w:r>
      <w:r>
        <w:rPr>
          <w:rFonts w:asciiTheme="minorEastAsia" w:eastAsiaTheme="minorEastAsia" w:hAnsiTheme="minorEastAsia"/>
          <w:bCs/>
          <w:szCs w:val="21"/>
        </w:rPr>
        <w:t>2012年12月28日第十一届全国人民代表大会常务委员会第三十次会议</w:t>
      </w:r>
      <w:r>
        <w:rPr>
          <w:rFonts w:asciiTheme="minorEastAsia" w:eastAsiaTheme="minorEastAsia" w:hAnsiTheme="minorEastAsia" w:hint="eastAsia"/>
          <w:bCs/>
          <w:szCs w:val="21"/>
        </w:rPr>
        <w:t>修订</w:t>
      </w:r>
      <w:r>
        <w:rPr>
          <w:rFonts w:asciiTheme="minorEastAsia" w:eastAsiaTheme="minorEastAsia" w:hAnsiTheme="minorEastAsia"/>
          <w:bCs/>
          <w:szCs w:val="21"/>
        </w:rPr>
        <w:t>，自2013年6月1日起实施，并经2015年4月24日第十二届全国人民代表大会常务委员会第十四次会议《全国人民代表大会常务委员会关于修改&lt;中华人民共和国港口法&gt;等七部法律的决定》修</w:t>
      </w:r>
      <w:r>
        <w:rPr>
          <w:rFonts w:asciiTheme="minorEastAsia" w:eastAsiaTheme="minorEastAsia" w:hAnsiTheme="minorEastAsia" w:hint="eastAsia"/>
          <w:bCs/>
          <w:szCs w:val="21"/>
        </w:rPr>
        <w:t>正</w:t>
      </w:r>
      <w:r>
        <w:rPr>
          <w:rFonts w:asciiTheme="minorEastAsia" w:eastAsiaTheme="minorEastAsia" w:hAnsiTheme="minorEastAsia"/>
          <w:bCs/>
          <w:szCs w:val="21"/>
        </w:rPr>
        <w:t>的《中华人民共和国证券投资基金法》及颁布机关对其不时做出的修订</w:t>
      </w:r>
    </w:p>
    <w:p w14:paraId="3E35A8BF"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《销售办法》：指中国证监会20</w:t>
      </w:r>
      <w:r>
        <w:rPr>
          <w:rFonts w:asciiTheme="minorEastAsia" w:eastAsiaTheme="minorEastAsia" w:hAnsiTheme="minorEastAsia" w:hint="eastAsia"/>
          <w:bCs/>
          <w:szCs w:val="21"/>
        </w:rPr>
        <w:t>20</w:t>
      </w:r>
      <w:r>
        <w:rPr>
          <w:rFonts w:asciiTheme="minorEastAsia" w:eastAsiaTheme="minorEastAsia" w:hAnsiTheme="minorEastAsia"/>
          <w:bCs/>
          <w:szCs w:val="21"/>
        </w:rPr>
        <w:t>年</w:t>
      </w:r>
      <w:r>
        <w:rPr>
          <w:rFonts w:asciiTheme="minorEastAsia" w:eastAsiaTheme="minorEastAsia" w:hAnsiTheme="minorEastAsia" w:hint="eastAsia"/>
          <w:bCs/>
          <w:szCs w:val="21"/>
        </w:rPr>
        <w:t>8</w:t>
      </w:r>
      <w:r>
        <w:rPr>
          <w:rFonts w:asciiTheme="minorEastAsia" w:eastAsiaTheme="minorEastAsia" w:hAnsiTheme="minorEastAsia"/>
          <w:bCs/>
          <w:szCs w:val="21"/>
        </w:rPr>
        <w:t>月</w:t>
      </w:r>
      <w:r>
        <w:rPr>
          <w:rFonts w:asciiTheme="minorEastAsia" w:eastAsiaTheme="minorEastAsia" w:hAnsiTheme="minorEastAsia" w:hint="eastAsia"/>
          <w:bCs/>
          <w:szCs w:val="21"/>
        </w:rPr>
        <w:t>28</w:t>
      </w:r>
      <w:r>
        <w:rPr>
          <w:rFonts w:asciiTheme="minorEastAsia" w:eastAsiaTheme="minorEastAsia" w:hAnsiTheme="minorEastAsia"/>
          <w:bCs/>
          <w:szCs w:val="21"/>
        </w:rPr>
        <w:t>日颁布、同年</w:t>
      </w:r>
      <w:r>
        <w:rPr>
          <w:rFonts w:asciiTheme="minorEastAsia" w:eastAsiaTheme="minorEastAsia" w:hAnsiTheme="minorEastAsia" w:hint="eastAsia"/>
          <w:bCs/>
          <w:szCs w:val="21"/>
        </w:rPr>
        <w:t>10</w:t>
      </w:r>
      <w:r>
        <w:rPr>
          <w:rFonts w:asciiTheme="minorEastAsia" w:eastAsiaTheme="minorEastAsia" w:hAnsiTheme="minorEastAsia"/>
          <w:bCs/>
          <w:szCs w:val="21"/>
        </w:rPr>
        <w:t>月1日实施的《</w:t>
      </w:r>
      <w:r>
        <w:rPr>
          <w:rFonts w:asciiTheme="minorEastAsia" w:eastAsiaTheme="minorEastAsia" w:hAnsiTheme="minorEastAsia" w:hint="eastAsia"/>
          <w:bCs/>
          <w:szCs w:val="21"/>
        </w:rPr>
        <w:t>公开募集</w:t>
      </w:r>
      <w:r>
        <w:rPr>
          <w:rFonts w:asciiTheme="minorEastAsia" w:eastAsiaTheme="minorEastAsia" w:hAnsiTheme="minorEastAsia"/>
          <w:bCs/>
          <w:szCs w:val="21"/>
        </w:rPr>
        <w:t>证券投资基金销售</w:t>
      </w:r>
      <w:r>
        <w:rPr>
          <w:rFonts w:asciiTheme="minorEastAsia" w:eastAsiaTheme="minorEastAsia" w:hAnsiTheme="minorEastAsia" w:hint="eastAsia"/>
          <w:bCs/>
          <w:szCs w:val="21"/>
        </w:rPr>
        <w:t>机构监督</w:t>
      </w:r>
      <w:r>
        <w:rPr>
          <w:rFonts w:asciiTheme="minorEastAsia" w:eastAsiaTheme="minorEastAsia" w:hAnsiTheme="minorEastAsia"/>
          <w:bCs/>
          <w:szCs w:val="21"/>
        </w:rPr>
        <w:t>管理办法》及颁布机关对其不时做出的修订</w:t>
      </w:r>
    </w:p>
    <w:p w14:paraId="2B9783DA"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《信息披露办法》：指中国证监会2019年7月26日颁布、同年9月1日实施的</w:t>
      </w:r>
      <w:r>
        <w:rPr>
          <w:rFonts w:asciiTheme="minorEastAsia" w:eastAsiaTheme="minorEastAsia" w:hAnsiTheme="minorEastAsia" w:hint="eastAsia"/>
          <w:bCs/>
          <w:szCs w:val="21"/>
        </w:rPr>
        <w:t>，并经2020年3月20日中国证监会《关于修改部分证券期货规章的决定》修订的</w:t>
      </w:r>
      <w:r>
        <w:rPr>
          <w:rFonts w:asciiTheme="minorEastAsia" w:eastAsiaTheme="minorEastAsia" w:hAnsiTheme="minorEastAsia"/>
          <w:bCs/>
          <w:szCs w:val="21"/>
        </w:rPr>
        <w:t>《公开募集证券投资基金信息披露管理办法》及颁布机关对其不时做出的修订</w:t>
      </w:r>
    </w:p>
    <w:p w14:paraId="6EA9FB37"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《运作办法》：指中国证监会2014年7月7日颁布、同年8月8日实施的《公开募集证券投资基金运作管理办法》及颁布机关对其不时做出的修订</w:t>
      </w:r>
    </w:p>
    <w:p w14:paraId="0A174F97"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《流动性风险管理规定》：指中国证监会2017年8月31日颁布、同年10月1日</w:t>
      </w:r>
      <w:r>
        <w:rPr>
          <w:rFonts w:asciiTheme="minorEastAsia" w:eastAsiaTheme="minorEastAsia" w:hAnsiTheme="minorEastAsia" w:hint="eastAsia"/>
          <w:bCs/>
          <w:szCs w:val="21"/>
        </w:rPr>
        <w:lastRenderedPageBreak/>
        <w:t>实施的《公开募集开放式证券投资基金流动性风险管理规定》及颁布机关对其不时做出的修订</w:t>
      </w:r>
    </w:p>
    <w:p w14:paraId="3B5508D5"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《试行办法》：指中国证监会</w:t>
      </w:r>
      <w:r>
        <w:rPr>
          <w:rFonts w:asciiTheme="minorEastAsia" w:eastAsiaTheme="minorEastAsia" w:hAnsiTheme="minorEastAsia"/>
          <w:bCs/>
          <w:szCs w:val="21"/>
        </w:rPr>
        <w:t>2007</w:t>
      </w:r>
      <w:r>
        <w:rPr>
          <w:rFonts w:asciiTheme="minorEastAsia" w:eastAsiaTheme="minorEastAsia" w:hAnsiTheme="minorEastAsia" w:hint="eastAsia"/>
          <w:bCs/>
          <w:szCs w:val="21"/>
        </w:rPr>
        <w:t>年</w:t>
      </w:r>
      <w:r>
        <w:rPr>
          <w:rFonts w:asciiTheme="minorEastAsia" w:eastAsiaTheme="minorEastAsia" w:hAnsiTheme="minorEastAsia"/>
          <w:bCs/>
          <w:szCs w:val="21"/>
        </w:rPr>
        <w:t>6</w:t>
      </w:r>
      <w:r>
        <w:rPr>
          <w:rFonts w:asciiTheme="minorEastAsia" w:eastAsiaTheme="minorEastAsia" w:hAnsiTheme="minorEastAsia" w:hint="eastAsia"/>
          <w:bCs/>
          <w:szCs w:val="21"/>
        </w:rPr>
        <w:t>月</w:t>
      </w:r>
      <w:r>
        <w:rPr>
          <w:rFonts w:asciiTheme="minorEastAsia" w:eastAsiaTheme="minorEastAsia" w:hAnsiTheme="minorEastAsia"/>
          <w:bCs/>
          <w:szCs w:val="21"/>
        </w:rPr>
        <w:t>18</w:t>
      </w:r>
      <w:r>
        <w:rPr>
          <w:rFonts w:asciiTheme="minorEastAsia" w:eastAsiaTheme="minorEastAsia" w:hAnsiTheme="minorEastAsia" w:hint="eastAsia"/>
          <w:bCs/>
          <w:szCs w:val="21"/>
        </w:rPr>
        <w:t>日颁布、同年</w:t>
      </w:r>
      <w:r>
        <w:rPr>
          <w:rFonts w:asciiTheme="minorEastAsia" w:eastAsiaTheme="minorEastAsia" w:hAnsiTheme="minorEastAsia"/>
          <w:bCs/>
          <w:szCs w:val="21"/>
        </w:rPr>
        <w:t>7</w:t>
      </w:r>
      <w:r>
        <w:rPr>
          <w:rFonts w:asciiTheme="minorEastAsia" w:eastAsiaTheme="minorEastAsia" w:hAnsiTheme="minorEastAsia" w:hint="eastAsia"/>
          <w:bCs/>
          <w:szCs w:val="21"/>
        </w:rPr>
        <w:t>月</w:t>
      </w:r>
      <w:r>
        <w:rPr>
          <w:rFonts w:asciiTheme="minorEastAsia" w:eastAsiaTheme="minorEastAsia" w:hAnsiTheme="minorEastAsia"/>
          <w:bCs/>
          <w:szCs w:val="21"/>
        </w:rPr>
        <w:t>5</w:t>
      </w:r>
      <w:r>
        <w:rPr>
          <w:rFonts w:asciiTheme="minorEastAsia" w:eastAsiaTheme="minorEastAsia" w:hAnsiTheme="minorEastAsia" w:hint="eastAsia"/>
          <w:bCs/>
          <w:szCs w:val="21"/>
        </w:rPr>
        <w:t>日实施的《合格境内机构投资者境外证券投资管理试行办法》及颁布机关对其不时做出的修订</w:t>
      </w:r>
    </w:p>
    <w:p w14:paraId="484096F7"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《通知》：指中国证监会</w:t>
      </w:r>
      <w:r>
        <w:rPr>
          <w:rFonts w:asciiTheme="minorEastAsia" w:eastAsiaTheme="minorEastAsia" w:hAnsiTheme="minorEastAsia"/>
          <w:bCs/>
          <w:szCs w:val="21"/>
        </w:rPr>
        <w:t>2007</w:t>
      </w:r>
      <w:r>
        <w:rPr>
          <w:rFonts w:asciiTheme="minorEastAsia" w:eastAsiaTheme="minorEastAsia" w:hAnsiTheme="minorEastAsia" w:hint="eastAsia"/>
          <w:bCs/>
          <w:szCs w:val="21"/>
        </w:rPr>
        <w:t>年</w:t>
      </w:r>
      <w:r>
        <w:rPr>
          <w:rFonts w:asciiTheme="minorEastAsia" w:eastAsiaTheme="minorEastAsia" w:hAnsiTheme="minorEastAsia"/>
          <w:bCs/>
          <w:szCs w:val="21"/>
        </w:rPr>
        <w:t>6</w:t>
      </w:r>
      <w:r>
        <w:rPr>
          <w:rFonts w:asciiTheme="minorEastAsia" w:eastAsiaTheme="minorEastAsia" w:hAnsiTheme="minorEastAsia" w:hint="eastAsia"/>
          <w:bCs/>
          <w:szCs w:val="21"/>
        </w:rPr>
        <w:t>月</w:t>
      </w:r>
      <w:r>
        <w:rPr>
          <w:rFonts w:asciiTheme="minorEastAsia" w:eastAsiaTheme="minorEastAsia" w:hAnsiTheme="minorEastAsia"/>
          <w:bCs/>
          <w:szCs w:val="21"/>
        </w:rPr>
        <w:t>18</w:t>
      </w:r>
      <w:r>
        <w:rPr>
          <w:rFonts w:asciiTheme="minorEastAsia" w:eastAsiaTheme="minorEastAsia" w:hAnsiTheme="minorEastAsia" w:hint="eastAsia"/>
          <w:bCs/>
          <w:szCs w:val="21"/>
        </w:rPr>
        <w:t>日颁布、同年</w:t>
      </w:r>
      <w:r>
        <w:rPr>
          <w:rFonts w:asciiTheme="minorEastAsia" w:eastAsiaTheme="minorEastAsia" w:hAnsiTheme="minorEastAsia"/>
          <w:bCs/>
          <w:szCs w:val="21"/>
        </w:rPr>
        <w:t>7</w:t>
      </w:r>
      <w:r>
        <w:rPr>
          <w:rFonts w:asciiTheme="minorEastAsia" w:eastAsiaTheme="minorEastAsia" w:hAnsiTheme="minorEastAsia" w:hint="eastAsia"/>
          <w:bCs/>
          <w:szCs w:val="21"/>
        </w:rPr>
        <w:t>月</w:t>
      </w:r>
      <w:r>
        <w:rPr>
          <w:rFonts w:asciiTheme="minorEastAsia" w:eastAsiaTheme="minorEastAsia" w:hAnsiTheme="minorEastAsia"/>
          <w:bCs/>
          <w:szCs w:val="21"/>
        </w:rPr>
        <w:t>5</w:t>
      </w:r>
      <w:r>
        <w:rPr>
          <w:rFonts w:asciiTheme="minorEastAsia" w:eastAsiaTheme="minorEastAsia" w:hAnsiTheme="minorEastAsia" w:hint="eastAsia"/>
          <w:bCs/>
          <w:szCs w:val="21"/>
        </w:rPr>
        <w:t>日实施的《关于实施</w:t>
      </w:r>
      <w:r>
        <w:rPr>
          <w:rFonts w:asciiTheme="minorEastAsia" w:eastAsiaTheme="minorEastAsia" w:hAnsiTheme="minorEastAsia"/>
          <w:bCs/>
          <w:szCs w:val="21"/>
        </w:rPr>
        <w:t>&lt;</w:t>
      </w:r>
      <w:r>
        <w:rPr>
          <w:rFonts w:asciiTheme="minorEastAsia" w:eastAsiaTheme="minorEastAsia" w:hAnsiTheme="minorEastAsia" w:hint="eastAsia"/>
          <w:bCs/>
          <w:szCs w:val="21"/>
        </w:rPr>
        <w:t>合格境内机构投资者境外证券投资管理试行办法</w:t>
      </w:r>
      <w:r>
        <w:rPr>
          <w:rFonts w:asciiTheme="minorEastAsia" w:eastAsiaTheme="minorEastAsia" w:hAnsiTheme="minorEastAsia"/>
          <w:bCs/>
          <w:szCs w:val="21"/>
        </w:rPr>
        <w:t>&gt;</w:t>
      </w:r>
      <w:r>
        <w:rPr>
          <w:rFonts w:asciiTheme="minorEastAsia" w:eastAsiaTheme="minorEastAsia" w:hAnsiTheme="minorEastAsia" w:hint="eastAsia"/>
          <w:bCs/>
          <w:szCs w:val="21"/>
        </w:rPr>
        <w:t>有关问题的通知》</w:t>
      </w:r>
    </w:p>
    <w:p w14:paraId="70EC556C"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《指数基金指引》：指中国证监会2021年1月22日颁布、同年2月1日实施的《公开募集证券投资基金运作指引第3号——指数基金指引》及颁布机关对其不时做出的修订</w:t>
      </w:r>
    </w:p>
    <w:p w14:paraId="35960C51"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业务规则：指深圳证券交易所发布实施的《深圳证券交易所证券投资基金交易和申购赎回实施细则》（包括其不时修订），中国证券登记结算有限责任公司发布实施的《中国证券登记结算有限责任公司关于交易所交易型开放式证券投资基金登记结算业务实施细则》（包括其不时修订）及基金管理人、深圳证券交易所、中国证券登记结算有限责任公司、销售机构发布及其不时修订的其他相关规则、规定、通知及指南等</w:t>
      </w:r>
    </w:p>
    <w:p w14:paraId="58635179"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交易型开放式指数证券投资基金：指《</w:t>
      </w:r>
      <w:r>
        <w:rPr>
          <w:rFonts w:asciiTheme="minorEastAsia" w:eastAsiaTheme="minorEastAsia" w:hAnsiTheme="minorEastAsia" w:hint="eastAsia"/>
          <w:bCs/>
          <w:szCs w:val="21"/>
        </w:rPr>
        <w:t>深圳</w:t>
      </w:r>
      <w:r>
        <w:rPr>
          <w:rFonts w:asciiTheme="minorEastAsia" w:eastAsiaTheme="minorEastAsia" w:hAnsiTheme="minorEastAsia"/>
          <w:bCs/>
          <w:szCs w:val="21"/>
        </w:rPr>
        <w:t>证券交易所</w:t>
      </w:r>
      <w:r>
        <w:rPr>
          <w:rFonts w:asciiTheme="minorEastAsia" w:eastAsiaTheme="minorEastAsia" w:hAnsiTheme="minorEastAsia" w:hint="eastAsia"/>
          <w:bCs/>
          <w:szCs w:val="21"/>
        </w:rPr>
        <w:t>证券投资基金交易和申购赎回</w:t>
      </w:r>
      <w:r>
        <w:rPr>
          <w:rFonts w:asciiTheme="minorEastAsia" w:eastAsiaTheme="minorEastAsia" w:hAnsiTheme="minorEastAsia"/>
          <w:bCs/>
          <w:szCs w:val="21"/>
        </w:rPr>
        <w:t>实施细则》定义的</w:t>
      </w:r>
      <w:r>
        <w:rPr>
          <w:rFonts w:asciiTheme="minorEastAsia" w:eastAsiaTheme="minorEastAsia" w:hAnsiTheme="minorEastAsia" w:hint="eastAsia"/>
          <w:bCs/>
          <w:szCs w:val="21"/>
        </w:rPr>
        <w:t>“</w:t>
      </w:r>
      <w:r>
        <w:rPr>
          <w:rFonts w:asciiTheme="minorEastAsia" w:eastAsiaTheme="minorEastAsia" w:hAnsiTheme="minorEastAsia"/>
          <w:bCs/>
          <w:szCs w:val="21"/>
        </w:rPr>
        <w:t>交易型开放式基金</w:t>
      </w:r>
      <w:r>
        <w:rPr>
          <w:rFonts w:asciiTheme="minorEastAsia" w:eastAsiaTheme="minorEastAsia" w:hAnsiTheme="minorEastAsia" w:hint="eastAsia"/>
          <w:bCs/>
          <w:szCs w:val="21"/>
        </w:rPr>
        <w:t>”，简称ETF</w:t>
      </w:r>
    </w:p>
    <w:p w14:paraId="753964D2"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ETF联接基金：指将绝大多数基金财产投资于本基金，与本基金的投资目标类似，</w:t>
      </w:r>
      <w:r>
        <w:rPr>
          <w:rFonts w:asciiTheme="minorEastAsia" w:eastAsiaTheme="minorEastAsia" w:hAnsiTheme="minorEastAsia" w:hint="eastAsia"/>
          <w:bCs/>
          <w:szCs w:val="21"/>
        </w:rPr>
        <w:t>通过投资于本基金</w:t>
      </w:r>
      <w:r>
        <w:rPr>
          <w:rFonts w:asciiTheme="minorEastAsia" w:eastAsiaTheme="minorEastAsia" w:hAnsiTheme="minorEastAsia"/>
          <w:bCs/>
          <w:szCs w:val="21"/>
        </w:rPr>
        <w:t>紧密跟踪</w:t>
      </w:r>
      <w:r>
        <w:rPr>
          <w:rFonts w:asciiTheme="minorEastAsia" w:eastAsiaTheme="minorEastAsia" w:hAnsiTheme="minorEastAsia" w:hint="eastAsia"/>
          <w:bCs/>
          <w:szCs w:val="21"/>
        </w:rPr>
        <w:t>标的</w:t>
      </w:r>
      <w:r>
        <w:rPr>
          <w:rFonts w:asciiTheme="minorEastAsia" w:eastAsiaTheme="minorEastAsia" w:hAnsiTheme="minorEastAsia"/>
          <w:bCs/>
          <w:szCs w:val="21"/>
        </w:rPr>
        <w:t>指数表现</w:t>
      </w:r>
      <w:r>
        <w:rPr>
          <w:rFonts w:asciiTheme="minorEastAsia" w:eastAsiaTheme="minorEastAsia" w:hAnsiTheme="minorEastAsia" w:hint="eastAsia"/>
          <w:bCs/>
          <w:szCs w:val="21"/>
        </w:rPr>
        <w:t>，</w:t>
      </w:r>
      <w:r>
        <w:rPr>
          <w:rFonts w:asciiTheme="minorEastAsia" w:eastAsiaTheme="minorEastAsia" w:hAnsiTheme="minorEastAsia"/>
          <w:bCs/>
          <w:szCs w:val="21"/>
        </w:rPr>
        <w:t>追求跟踪偏离度和跟踪误差最小化，采用开放式运作方式的基金</w:t>
      </w:r>
      <w:r>
        <w:rPr>
          <w:rFonts w:asciiTheme="minorEastAsia" w:eastAsiaTheme="minorEastAsia" w:hAnsiTheme="minorEastAsia" w:hint="eastAsia"/>
          <w:bCs/>
          <w:szCs w:val="21"/>
        </w:rPr>
        <w:t>，简称ETF联接</w:t>
      </w:r>
    </w:p>
    <w:p w14:paraId="35DDD2A3"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中国：指中华人民共和国(仅为基金合同目的不包括香港特别行政区、澳门特别行政区及台湾地区)</w:t>
      </w:r>
    </w:p>
    <w:p w14:paraId="19E684EB"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中国证监会：指中国证券监督管理委员会</w:t>
      </w:r>
    </w:p>
    <w:p w14:paraId="3B85ECB6"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银行业监督管理机构：指中国人民银行和/或中国银</w:t>
      </w:r>
      <w:r>
        <w:rPr>
          <w:rFonts w:asciiTheme="minorEastAsia" w:eastAsiaTheme="minorEastAsia" w:hAnsiTheme="minorEastAsia" w:hint="eastAsia"/>
          <w:bCs/>
          <w:szCs w:val="21"/>
        </w:rPr>
        <w:t>行保险</w:t>
      </w:r>
      <w:r>
        <w:rPr>
          <w:rFonts w:asciiTheme="minorEastAsia" w:eastAsiaTheme="minorEastAsia" w:hAnsiTheme="minorEastAsia"/>
          <w:bCs/>
          <w:szCs w:val="21"/>
        </w:rPr>
        <w:t>监督管理委员会</w:t>
      </w:r>
    </w:p>
    <w:p w14:paraId="1BD6C495"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外管局：指国家外汇管理局或其分支机构</w:t>
      </w:r>
    </w:p>
    <w:p w14:paraId="19404007"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基金合同当事人：指受基金合同约束，根据基金合同享有权利并承担义务的法律主体，包括基金管理人、基金托管人和基金份额持有人</w:t>
      </w:r>
    </w:p>
    <w:p w14:paraId="50E51359"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个人投资者：指依据有关法律法规规定可投资于证券投资基金的自然人</w:t>
      </w:r>
    </w:p>
    <w:p w14:paraId="7F24301E"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机构投资者：指依法可以投资证券投资基金的、在中华人民共和国境内合法登记并存续或经有关政府部门批准设立并存续的企业法人、事业法人、社会团体或其他组织</w:t>
      </w:r>
    </w:p>
    <w:p w14:paraId="2A56F998"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合格境外投资者：指符合</w:t>
      </w:r>
      <w:r>
        <w:rPr>
          <w:rFonts w:asciiTheme="minorEastAsia" w:eastAsiaTheme="minorEastAsia" w:hAnsiTheme="minorEastAsia" w:hint="eastAsia"/>
          <w:bCs/>
          <w:szCs w:val="21"/>
        </w:rPr>
        <w:t>《合格境外机构投资者和人民币合格境外机构投资者境内证券期货投资管理办法》及</w:t>
      </w:r>
      <w:r>
        <w:rPr>
          <w:rFonts w:asciiTheme="minorEastAsia" w:eastAsiaTheme="minorEastAsia" w:hAnsiTheme="minorEastAsia"/>
          <w:bCs/>
          <w:szCs w:val="21"/>
        </w:rPr>
        <w:t>相关法律法规规定</w:t>
      </w:r>
      <w:r>
        <w:rPr>
          <w:rFonts w:asciiTheme="minorEastAsia" w:eastAsiaTheme="minorEastAsia" w:hAnsiTheme="minorEastAsia" w:hint="eastAsia"/>
          <w:bCs/>
          <w:szCs w:val="21"/>
        </w:rPr>
        <w:t>可以使用来自境外的资金投资于在中国境内依法募集的证券投资基金的中国境外的机构投资者，包括合格境外机构投资者和人民币合格境外机构投资者</w:t>
      </w:r>
    </w:p>
    <w:p w14:paraId="65B1F816"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投资人</w:t>
      </w:r>
      <w:r>
        <w:rPr>
          <w:rFonts w:asciiTheme="minorEastAsia" w:eastAsiaTheme="minorEastAsia" w:hAnsiTheme="minorEastAsia" w:hint="eastAsia"/>
          <w:bCs/>
          <w:szCs w:val="21"/>
        </w:rPr>
        <w:t>、</w:t>
      </w:r>
      <w:r>
        <w:rPr>
          <w:rFonts w:asciiTheme="minorEastAsia" w:eastAsiaTheme="minorEastAsia" w:hAnsiTheme="minorEastAsia"/>
          <w:bCs/>
          <w:szCs w:val="21"/>
        </w:rPr>
        <w:t>投资者：指个人投资者、机构投资者</w:t>
      </w:r>
      <w:r>
        <w:rPr>
          <w:rFonts w:asciiTheme="minorEastAsia" w:eastAsiaTheme="minorEastAsia" w:hAnsiTheme="minorEastAsia" w:hint="eastAsia"/>
          <w:bCs/>
          <w:szCs w:val="21"/>
        </w:rPr>
        <w:t>、</w:t>
      </w:r>
      <w:r>
        <w:rPr>
          <w:rFonts w:asciiTheme="minorEastAsia" w:eastAsiaTheme="minorEastAsia" w:hAnsiTheme="minorEastAsia"/>
          <w:bCs/>
          <w:szCs w:val="21"/>
        </w:rPr>
        <w:t>合格境外投资者以及法律法规或中</w:t>
      </w:r>
      <w:r>
        <w:rPr>
          <w:rFonts w:asciiTheme="minorEastAsia" w:eastAsiaTheme="minorEastAsia" w:hAnsiTheme="minorEastAsia"/>
          <w:bCs/>
          <w:szCs w:val="21"/>
        </w:rPr>
        <w:lastRenderedPageBreak/>
        <w:t>国证监会允许购买证券投资基金的其他投资人的合称</w:t>
      </w:r>
    </w:p>
    <w:p w14:paraId="778742D9"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基金份额持有人：指依基金合同和招募说明书合法取得基金份额的投资人</w:t>
      </w:r>
    </w:p>
    <w:p w14:paraId="1B1C7D63"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基金销售业务：指基金管理人或销售机构宣传推介基金，</w:t>
      </w:r>
      <w:r>
        <w:rPr>
          <w:rFonts w:asciiTheme="minorEastAsia" w:eastAsiaTheme="minorEastAsia" w:hAnsiTheme="minorEastAsia"/>
          <w:bCs/>
          <w:szCs w:val="21"/>
        </w:rPr>
        <w:t>开立基金交易账户</w:t>
      </w:r>
      <w:r>
        <w:rPr>
          <w:rFonts w:asciiTheme="minorEastAsia" w:eastAsiaTheme="minorEastAsia" w:hAnsiTheme="minorEastAsia" w:hint="eastAsia"/>
          <w:bCs/>
          <w:szCs w:val="21"/>
        </w:rPr>
        <w:t>，发售基金份额，办理基金份额的申购、赎回、转换、转托管、定期定额投资</w:t>
      </w:r>
      <w:r>
        <w:rPr>
          <w:rFonts w:asciiTheme="minorEastAsia" w:eastAsiaTheme="minorEastAsia" w:hAnsiTheme="minorEastAsia"/>
          <w:bCs/>
          <w:szCs w:val="21"/>
        </w:rPr>
        <w:t>及提供基金交易账户信息查询</w:t>
      </w:r>
      <w:r>
        <w:rPr>
          <w:rFonts w:asciiTheme="minorEastAsia" w:eastAsiaTheme="minorEastAsia" w:hAnsiTheme="minorEastAsia" w:hint="eastAsia"/>
          <w:bCs/>
          <w:szCs w:val="21"/>
        </w:rPr>
        <w:t>等业务</w:t>
      </w:r>
    </w:p>
    <w:p w14:paraId="2F0310DD"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销售机构：</w:t>
      </w:r>
      <w:r>
        <w:rPr>
          <w:rFonts w:asciiTheme="minorEastAsia" w:eastAsiaTheme="minorEastAsia" w:hAnsiTheme="minorEastAsia" w:hint="eastAsia"/>
          <w:bCs/>
          <w:szCs w:val="21"/>
        </w:rPr>
        <w:t>指基金管理人以及符合《销售办法》和中国证监会规定的其他条件，取得公开募集证券投资基金销售业务资格并与基金管理人签订了基金销售服务协议，办理基金销售业务的机构</w:t>
      </w:r>
      <w:r>
        <w:rPr>
          <w:rFonts w:asciiTheme="minorEastAsia" w:eastAsiaTheme="minorEastAsia" w:hAnsiTheme="minorEastAsia"/>
          <w:bCs/>
          <w:szCs w:val="21"/>
        </w:rPr>
        <w:t>，包括发售代理机构和申购赎回代理券商</w:t>
      </w:r>
    </w:p>
    <w:p w14:paraId="23AAB638"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发售代理机构：指符合《销售办法》和中国证监会规定的其他条件，由基金管理人指定的代理本基金发售业务的机构</w:t>
      </w:r>
    </w:p>
    <w:p w14:paraId="671D4434"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申购赎回代理券商：指符合《销售办法》和中国证监会规定的其他条件，由基金管理人指定的办理本基金申购、赎回业务的证券公司，又称为代办证券公司</w:t>
      </w:r>
    </w:p>
    <w:p w14:paraId="68CE7221"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登记结算业务：指根据《中国证券登记结算有限责任公司关于交易所交易型开放式</w:t>
      </w:r>
      <w:r>
        <w:rPr>
          <w:rFonts w:asciiTheme="minorEastAsia" w:eastAsiaTheme="minorEastAsia" w:hAnsiTheme="minorEastAsia" w:hint="eastAsia"/>
          <w:bCs/>
          <w:szCs w:val="21"/>
        </w:rPr>
        <w:t>证券</w:t>
      </w:r>
      <w:r>
        <w:rPr>
          <w:rFonts w:asciiTheme="minorEastAsia" w:eastAsiaTheme="minorEastAsia" w:hAnsiTheme="minorEastAsia"/>
          <w:bCs/>
          <w:szCs w:val="21"/>
        </w:rPr>
        <w:t>投资基金登记结算业务实施细则》及其不时修订以及相关业务规则所定义的基金份额的登记、存管和结算</w:t>
      </w:r>
      <w:r>
        <w:rPr>
          <w:rFonts w:asciiTheme="minorEastAsia" w:eastAsiaTheme="minorEastAsia" w:hAnsiTheme="minorEastAsia" w:hint="eastAsia"/>
          <w:bCs/>
          <w:szCs w:val="21"/>
        </w:rPr>
        <w:t>等</w:t>
      </w:r>
      <w:r>
        <w:rPr>
          <w:rFonts w:asciiTheme="minorEastAsia" w:eastAsiaTheme="minorEastAsia" w:hAnsiTheme="minorEastAsia"/>
          <w:bCs/>
          <w:szCs w:val="21"/>
        </w:rPr>
        <w:t>相关业务</w:t>
      </w:r>
    </w:p>
    <w:p w14:paraId="52FD43C3"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登记结算机构：指办理登记结算业务的机构。本基金的登记结算机构为中国证券登记结算有限责任公司</w:t>
      </w:r>
    </w:p>
    <w:p w14:paraId="591D7FA2"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基金账户：指登记结算机构为投资人开立的、记录其持有的、基金管理人所管理的基金份额余额及其变动情况的账户</w:t>
      </w:r>
    </w:p>
    <w:p w14:paraId="5BB643FD"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基金合同生效日：指基金募集达到法律法规规定及基金合同规定的条件，基金管理人向中国证监会办理</w:t>
      </w:r>
      <w:r>
        <w:rPr>
          <w:rFonts w:asciiTheme="minorEastAsia" w:eastAsiaTheme="minorEastAsia" w:hAnsiTheme="minorEastAsia" w:hint="eastAsia"/>
          <w:bCs/>
          <w:szCs w:val="21"/>
        </w:rPr>
        <w:t>完毕</w:t>
      </w:r>
      <w:r>
        <w:rPr>
          <w:rFonts w:asciiTheme="minorEastAsia" w:eastAsiaTheme="minorEastAsia" w:hAnsiTheme="minorEastAsia"/>
          <w:bCs/>
          <w:szCs w:val="21"/>
        </w:rPr>
        <w:t>基金备案手续，并获得中国证监会书面确认的日期</w:t>
      </w:r>
    </w:p>
    <w:p w14:paraId="7A5B2E74"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基金合同终止日：指基金合同规定的基金合同终止事由出现后，基金财产清算完毕，清算结果报中国证监会备案并予以公告的日期</w:t>
      </w:r>
    </w:p>
    <w:p w14:paraId="17120769"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基金募集期：指自基金份额发售之日起至发售结束之日止的期间，最长不得超过3个月</w:t>
      </w:r>
    </w:p>
    <w:p w14:paraId="29B316F2"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存续期：指基金合同生效至终止之间的不定期期限</w:t>
      </w:r>
    </w:p>
    <w:p w14:paraId="5684068C"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工作日</w:t>
      </w:r>
      <w:r>
        <w:rPr>
          <w:rFonts w:asciiTheme="minorEastAsia" w:eastAsiaTheme="minorEastAsia" w:hAnsiTheme="minorEastAsia"/>
          <w:bCs/>
          <w:szCs w:val="21"/>
        </w:rPr>
        <w:t>：指深圳证券交易所的正常交易日</w:t>
      </w:r>
    </w:p>
    <w:p w14:paraId="21FC1163"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T日：指销售机构在规定时间受理投资人申购、赎回或其他业务申请的开放日</w:t>
      </w:r>
    </w:p>
    <w:p w14:paraId="5E33C55A"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T+n日：指自T日起第n个工作日(不包含T日)</w:t>
      </w:r>
    </w:p>
    <w:p w14:paraId="0326E4FE"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开放日：指为投资人办理基金份额申购、赎回或其他业务的工作日</w:t>
      </w:r>
      <w:r>
        <w:rPr>
          <w:rFonts w:asciiTheme="minorEastAsia" w:eastAsiaTheme="minorEastAsia" w:hAnsiTheme="minorEastAsia" w:hint="eastAsia"/>
          <w:bCs/>
          <w:szCs w:val="21"/>
        </w:rPr>
        <w:t>。深圳证券交易所和本基金的境外主要投资场所同时开放交易的工作日为本基金的开放日</w:t>
      </w:r>
      <w:r>
        <w:rPr>
          <w:rFonts w:asciiTheme="minorEastAsia" w:eastAsiaTheme="minorEastAsia" w:hAnsiTheme="minorEastAsia" w:hint="eastAsia"/>
          <w:szCs w:val="21"/>
        </w:rPr>
        <w:t>（若该工作日为非港股通交易日，则基金管理人有权决定本基金是否开放基金份额申购、赎回或其他业务）</w:t>
      </w:r>
      <w:r>
        <w:rPr>
          <w:rFonts w:asciiTheme="minorEastAsia" w:eastAsiaTheme="minorEastAsia" w:hAnsiTheme="minorEastAsia" w:hint="eastAsia"/>
          <w:bCs/>
          <w:szCs w:val="21"/>
        </w:rPr>
        <w:t>，基金管理人公告暂停申购或赎回时除外</w:t>
      </w:r>
    </w:p>
    <w:p w14:paraId="062B88D8"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开放时间：</w:t>
      </w:r>
      <w:r>
        <w:rPr>
          <w:rFonts w:asciiTheme="minorEastAsia" w:eastAsiaTheme="minorEastAsia" w:hAnsiTheme="minorEastAsia" w:hint="eastAsia"/>
          <w:bCs/>
          <w:szCs w:val="21"/>
        </w:rPr>
        <w:t>指</w:t>
      </w:r>
      <w:r>
        <w:rPr>
          <w:rFonts w:asciiTheme="minorEastAsia" w:eastAsiaTheme="minorEastAsia" w:hAnsiTheme="minorEastAsia"/>
          <w:bCs/>
          <w:szCs w:val="21"/>
        </w:rPr>
        <w:t>开放日基金接受申购、赎回或其他交易的时间段</w:t>
      </w:r>
    </w:p>
    <w:p w14:paraId="4F2D6C29"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lastRenderedPageBreak/>
        <w:t>认购：指在基金募集期内，投资人根据基金合同、招募说明书和相关公告的规定申请购买基金份额的行为</w:t>
      </w:r>
    </w:p>
    <w:p w14:paraId="1C9B3961"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申购：指基金合同生效后，投资人根据基金合同、招募说明书和相关公告的规定申请购买基金份额的行为</w:t>
      </w:r>
    </w:p>
    <w:p w14:paraId="09F4F64A"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赎回：指基金合同生效后，基金份额持有人按基金合同、招募说明书和相关公告规定的条件，要求将基金份额兑换为基金合同和招募说明书约定的赎回对价的行为</w:t>
      </w:r>
    </w:p>
    <w:p w14:paraId="15992344"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申购赎回清单：指由基金管理人编制的用以公告申购对价、赎回对价等信息的文件</w:t>
      </w:r>
    </w:p>
    <w:p w14:paraId="2EEAABE4"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申购对价：指投资人申购基金份额时，按基金合同和招募说明书规定应交付的现金替代、现金差额和/或其他对价</w:t>
      </w:r>
    </w:p>
    <w:p w14:paraId="7BD1088A"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赎回对价：指基金份额持有人赎回基金份额时，基金管理人按基金合同和招募说明书规定应交付给赎回申请人的现金替代、现金差额和/或其他对价</w:t>
      </w:r>
    </w:p>
    <w:p w14:paraId="1D41979D" w14:textId="586C2F9C"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标的指数：指</w:t>
      </w:r>
      <w:r>
        <w:rPr>
          <w:rFonts w:asciiTheme="minorEastAsia" w:eastAsiaTheme="minorEastAsia" w:hAnsiTheme="minorEastAsia" w:hint="eastAsia"/>
          <w:bCs/>
          <w:szCs w:val="21"/>
        </w:rPr>
        <w:t>纳斯达克100指数</w:t>
      </w:r>
      <w:r>
        <w:rPr>
          <w:rFonts w:asciiTheme="minorEastAsia" w:eastAsiaTheme="minorEastAsia" w:hAnsiTheme="minorEastAsia"/>
          <w:bCs/>
          <w:szCs w:val="21"/>
        </w:rPr>
        <w:t>及其未来可能发生的变更，或基金管理人按照基金合同约定更换的其他指数</w:t>
      </w:r>
    </w:p>
    <w:p w14:paraId="786210B6"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组合证券：指本基金标的指数所包含的全部或部分证券</w:t>
      </w:r>
    </w:p>
    <w:p w14:paraId="65281C89"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完全复制法：指一种构建跟踪指数的投资组合的方法。通过购买标的指数中的所有成份证券，并且按照每种成份证券在标的指数中的权重确定购买的比例，以达到复制指数的目的</w:t>
      </w:r>
    </w:p>
    <w:p w14:paraId="4EDBAEE0"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最小申购赎回单位：指本基金申购份额、赎回份额的最低数量，投资人申购或赎回的基金份额数应为最小申购赎回单位的整数倍</w:t>
      </w:r>
    </w:p>
    <w:p w14:paraId="5CD0B1EC"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现金替代：指申购或赎回过程中，投资者按基金合同和招募说明书的规定，用于替代组合证券中</w:t>
      </w:r>
      <w:r>
        <w:rPr>
          <w:rFonts w:asciiTheme="minorEastAsia" w:eastAsiaTheme="minorEastAsia" w:hAnsiTheme="minorEastAsia" w:hint="eastAsia"/>
          <w:bCs/>
          <w:szCs w:val="21"/>
        </w:rPr>
        <w:t>全部或</w:t>
      </w:r>
      <w:r>
        <w:rPr>
          <w:rFonts w:asciiTheme="minorEastAsia" w:eastAsiaTheme="minorEastAsia" w:hAnsiTheme="minorEastAsia"/>
          <w:bCs/>
          <w:szCs w:val="21"/>
        </w:rPr>
        <w:t>部分证券的一定数量的现金</w:t>
      </w:r>
    </w:p>
    <w:p w14:paraId="4D468FD0"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现金差额：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p w14:paraId="2707F9AD"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预估现金部分：指由基金管理人计算并在T日申购赎回清单中公布的当日现金差额的预估值，预估现金部分由申购赎回代理券商（代办证券公司）预先冻结</w:t>
      </w:r>
    </w:p>
    <w:p w14:paraId="780236E3"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元：指人民币元</w:t>
      </w:r>
    </w:p>
    <w:p w14:paraId="0800A8E4"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基金资产总值：指基金拥有的各类</w:t>
      </w:r>
      <w:r>
        <w:rPr>
          <w:rFonts w:asciiTheme="minorEastAsia" w:eastAsiaTheme="minorEastAsia" w:hAnsiTheme="minorEastAsia" w:hint="eastAsia"/>
          <w:bCs/>
          <w:szCs w:val="21"/>
        </w:rPr>
        <w:t>基金、</w:t>
      </w:r>
      <w:r>
        <w:rPr>
          <w:rFonts w:asciiTheme="minorEastAsia" w:eastAsiaTheme="minorEastAsia" w:hAnsiTheme="minorEastAsia"/>
          <w:bCs/>
          <w:szCs w:val="21"/>
        </w:rPr>
        <w:t>有价证券</w:t>
      </w:r>
      <w:r>
        <w:rPr>
          <w:rFonts w:asciiTheme="minorEastAsia" w:eastAsiaTheme="minorEastAsia" w:hAnsiTheme="minorEastAsia" w:hint="eastAsia"/>
          <w:bCs/>
          <w:szCs w:val="21"/>
        </w:rPr>
        <w:t>及票据价值</w:t>
      </w:r>
      <w:r>
        <w:rPr>
          <w:rFonts w:asciiTheme="minorEastAsia" w:eastAsiaTheme="minorEastAsia" w:hAnsiTheme="minorEastAsia"/>
          <w:bCs/>
          <w:szCs w:val="21"/>
        </w:rPr>
        <w:t>、银行存款本息、基金应收款项及其他资产的价值总和</w:t>
      </w:r>
    </w:p>
    <w:p w14:paraId="1C5BE136"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基金资产净值：指基金资产总值减去基金负债后的价值</w:t>
      </w:r>
    </w:p>
    <w:p w14:paraId="0BDB98CE"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基金份额净值：指计算日基金资产净值除以计算日基金份额总数</w:t>
      </w:r>
    </w:p>
    <w:p w14:paraId="0281D58E"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基金资产估值：指计算评估基金资产和负债的价值，以确定基金资产净值和基金份额净值的过程</w:t>
      </w:r>
    </w:p>
    <w:p w14:paraId="49EA5D56"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收益评价日：指基金管理人计算本基金基金</w:t>
      </w:r>
      <w:r>
        <w:rPr>
          <w:rFonts w:asciiTheme="minorEastAsia" w:eastAsiaTheme="minorEastAsia" w:hAnsiTheme="minorEastAsia" w:hint="eastAsia"/>
          <w:bCs/>
          <w:szCs w:val="21"/>
        </w:rPr>
        <w:t>份额</w:t>
      </w:r>
      <w:r>
        <w:rPr>
          <w:rFonts w:asciiTheme="minorEastAsia" w:eastAsiaTheme="minorEastAsia" w:hAnsiTheme="minorEastAsia"/>
          <w:bCs/>
          <w:szCs w:val="21"/>
        </w:rPr>
        <w:t>净值增长率与标的指数同期增长率</w:t>
      </w:r>
      <w:r>
        <w:rPr>
          <w:rFonts w:asciiTheme="minorEastAsia" w:eastAsiaTheme="minorEastAsia" w:hAnsiTheme="minorEastAsia"/>
          <w:bCs/>
          <w:szCs w:val="21"/>
        </w:rPr>
        <w:lastRenderedPageBreak/>
        <w:t>差额之日</w:t>
      </w:r>
    </w:p>
    <w:p w14:paraId="3F0B814A"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基金份额参考净值：指基金管理人或基金管理人委托的指数服务机构在开市后根据申购赎回清单和汇率数据计算，并通过深圳证券交易所发布的基金份额参考净值，简称“IOPV”</w:t>
      </w:r>
    </w:p>
    <w:p w14:paraId="376BC495"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基金份额折算：指基金管理人根据基金运作的需要，在基金资产净值不变的前提下，按照一定比例调整基金份额总额及基金份额净值的行为</w:t>
      </w:r>
    </w:p>
    <w:p w14:paraId="3C6153A8"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基金</w:t>
      </w:r>
      <w:r>
        <w:rPr>
          <w:rFonts w:asciiTheme="minorEastAsia" w:eastAsiaTheme="minorEastAsia" w:hAnsiTheme="minorEastAsia" w:hint="eastAsia"/>
          <w:bCs/>
          <w:szCs w:val="21"/>
        </w:rPr>
        <w:t>份额</w:t>
      </w:r>
      <w:r>
        <w:rPr>
          <w:rFonts w:asciiTheme="minorEastAsia" w:eastAsiaTheme="minorEastAsia" w:hAnsiTheme="minorEastAsia"/>
          <w:bCs/>
          <w:szCs w:val="21"/>
        </w:rPr>
        <w:t>净值增长率：指收益评价日基金份额净值与基金上市前一</w:t>
      </w:r>
      <w:r>
        <w:rPr>
          <w:rFonts w:asciiTheme="minorEastAsia" w:eastAsiaTheme="minorEastAsia" w:hAnsiTheme="minorEastAsia" w:hint="eastAsia"/>
          <w:bCs/>
          <w:szCs w:val="21"/>
        </w:rPr>
        <w:t>交易</w:t>
      </w:r>
      <w:r>
        <w:rPr>
          <w:rFonts w:asciiTheme="minorEastAsia" w:eastAsiaTheme="minorEastAsia" w:hAnsiTheme="minorEastAsia"/>
          <w:bCs/>
          <w:szCs w:val="21"/>
        </w:rPr>
        <w:t>日基金份额净值之比减去1 乘以100%（期间如发生基金份额折算，则以基金份额折算日为初始日重新计算）</w:t>
      </w:r>
    </w:p>
    <w:p w14:paraId="7CD33177"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标的指数同期增长率：指收益评价日标的指数收盘值与基金上市前一</w:t>
      </w:r>
      <w:r>
        <w:rPr>
          <w:rFonts w:asciiTheme="minorEastAsia" w:eastAsiaTheme="minorEastAsia" w:hAnsiTheme="minorEastAsia" w:hint="eastAsia"/>
          <w:bCs/>
          <w:szCs w:val="21"/>
        </w:rPr>
        <w:t>交易</w:t>
      </w:r>
      <w:r>
        <w:rPr>
          <w:rFonts w:asciiTheme="minorEastAsia" w:eastAsiaTheme="minorEastAsia" w:hAnsiTheme="minorEastAsia"/>
          <w:bCs/>
          <w:szCs w:val="21"/>
        </w:rPr>
        <w:t>日标的指数收盘值之比减去1 乘以100%</w:t>
      </w:r>
      <w:r>
        <w:rPr>
          <w:rFonts w:asciiTheme="minorEastAsia" w:eastAsiaTheme="minorEastAsia" w:hAnsiTheme="minorEastAsia" w:hint="eastAsia"/>
          <w:bCs/>
          <w:szCs w:val="21"/>
        </w:rPr>
        <w:t>（使用估值汇率折算）</w:t>
      </w:r>
      <w:r>
        <w:rPr>
          <w:rFonts w:asciiTheme="minorEastAsia" w:eastAsiaTheme="minorEastAsia" w:hAnsiTheme="minorEastAsia"/>
          <w:bCs/>
          <w:szCs w:val="21"/>
        </w:rPr>
        <w:t>（期间如发生基金份额折算，则以基金份额折算日为初始日重新计算）</w:t>
      </w:r>
    </w:p>
    <w:p w14:paraId="4D1D8F7A" w14:textId="77777777" w:rsidR="0082364D" w:rsidRDefault="00BF2824">
      <w:pPr>
        <w:numPr>
          <w:ilvl w:val="0"/>
          <w:numId w:val="2"/>
        </w:numPr>
        <w:adjustRightInd w:val="0"/>
        <w:snapToGrid w:val="0"/>
        <w:spacing w:line="360" w:lineRule="auto"/>
        <w:ind w:left="0" w:firstLine="426"/>
        <w:rPr>
          <w:rFonts w:asciiTheme="minorEastAsia" w:eastAsiaTheme="minorEastAsia" w:hAnsiTheme="minorEastAsia"/>
          <w:bCs/>
          <w:szCs w:val="21"/>
        </w:rPr>
      </w:pPr>
      <w:r>
        <w:rPr>
          <w:rFonts w:asciiTheme="minorEastAsia" w:eastAsiaTheme="minorEastAsia" w:hAnsiTheme="minorEastAsia"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02160EDF" w14:textId="496B5A8C" w:rsidR="0082364D" w:rsidRDefault="00BF2824">
      <w:pPr>
        <w:numPr>
          <w:ilvl w:val="0"/>
          <w:numId w:val="2"/>
        </w:numPr>
        <w:adjustRightInd w:val="0"/>
        <w:snapToGrid w:val="0"/>
        <w:spacing w:line="360" w:lineRule="auto"/>
        <w:ind w:left="0" w:firstLine="426"/>
        <w:rPr>
          <w:rFonts w:asciiTheme="minorEastAsia" w:eastAsiaTheme="minorEastAsia" w:hAnsiTheme="minorEastAsia"/>
          <w:bCs/>
          <w:szCs w:val="21"/>
        </w:rPr>
      </w:pPr>
      <w:r>
        <w:rPr>
          <w:rFonts w:asciiTheme="minorEastAsia" w:eastAsiaTheme="minorEastAsia" w:hAnsiTheme="minorEastAsia" w:hint="eastAsia"/>
          <w:bCs/>
          <w:szCs w:val="21"/>
        </w:rPr>
        <w:t>基金产品资料概要：指《嘉实纳斯达克100交易型开放式指数证券投资基金（QDII）基金产品资料概要》及其更新</w:t>
      </w:r>
    </w:p>
    <w:p w14:paraId="2345226F"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规定媒介：指</w:t>
      </w:r>
      <w:r>
        <w:rPr>
          <w:rFonts w:asciiTheme="minorEastAsia" w:eastAsiaTheme="minorEastAsia" w:hAnsiTheme="minorEastAsia" w:hint="eastAsia"/>
          <w:bCs/>
          <w:szCs w:val="21"/>
        </w:rPr>
        <w:t>符合</w:t>
      </w:r>
      <w:r>
        <w:rPr>
          <w:rFonts w:asciiTheme="minorEastAsia" w:eastAsiaTheme="minorEastAsia" w:hAnsiTheme="minorEastAsia"/>
          <w:bCs/>
          <w:szCs w:val="21"/>
        </w:rPr>
        <w:t>中国证监会</w:t>
      </w:r>
      <w:r>
        <w:rPr>
          <w:rFonts w:asciiTheme="minorEastAsia" w:eastAsiaTheme="minorEastAsia" w:hAnsiTheme="minorEastAsia" w:hint="eastAsia"/>
          <w:bCs/>
          <w:szCs w:val="21"/>
        </w:rPr>
        <w:t>规定条件</w:t>
      </w:r>
      <w:r>
        <w:rPr>
          <w:rFonts w:asciiTheme="minorEastAsia" w:eastAsiaTheme="minorEastAsia" w:hAnsiTheme="minorEastAsia"/>
          <w:bCs/>
          <w:szCs w:val="21"/>
        </w:rPr>
        <w:t>的用以进行信息披露的全国性报刊及</w:t>
      </w:r>
      <w:r>
        <w:rPr>
          <w:rFonts w:asciiTheme="minorEastAsia" w:eastAsiaTheme="minorEastAsia" w:hAnsiTheme="minorEastAsia" w:hint="eastAsia"/>
          <w:bCs/>
          <w:szCs w:val="21"/>
        </w:rPr>
        <w:t>《信息披露办法》规定的</w:t>
      </w:r>
      <w:r>
        <w:rPr>
          <w:rFonts w:asciiTheme="minorEastAsia" w:eastAsiaTheme="minorEastAsia" w:hAnsiTheme="minorEastAsia"/>
          <w:bCs/>
          <w:szCs w:val="21"/>
        </w:rPr>
        <w:t>互联网网站（包括基金管理人网站、基金托管人网站、中国证监会基金电子披露网站）等媒介</w:t>
      </w:r>
    </w:p>
    <w:p w14:paraId="2E46B041"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bCs/>
          <w:szCs w:val="21"/>
        </w:rPr>
        <w:t>不可抗力：指基金合同当事人不能预见、不能避免且不能克服的客观事件</w:t>
      </w:r>
    </w:p>
    <w:p w14:paraId="68E4735F"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港股通：指内地投资者经由内地证券交易所设立的证券交易服务公司，向香港联合交易所进行申报，买卖规定范围内的香港联合交易所上市的股票的交易机制，或有权机构对该交易机制的修改或调整。</w:t>
      </w:r>
    </w:p>
    <w:p w14:paraId="1F2AE179" w14:textId="77777777" w:rsidR="0082364D" w:rsidRDefault="00BF2824">
      <w:pPr>
        <w:numPr>
          <w:ilvl w:val="0"/>
          <w:numId w:val="2"/>
        </w:numPr>
        <w:adjustRightInd w:val="0"/>
        <w:snapToGrid w:val="0"/>
        <w:spacing w:line="360" w:lineRule="auto"/>
        <w:ind w:left="0" w:firstLineChars="177" w:firstLine="372"/>
        <w:rPr>
          <w:rFonts w:asciiTheme="minorEastAsia" w:eastAsiaTheme="minorEastAsia" w:hAnsiTheme="minorEastAsia"/>
          <w:bCs/>
          <w:szCs w:val="21"/>
        </w:rPr>
      </w:pPr>
      <w:r>
        <w:rPr>
          <w:rFonts w:asciiTheme="minorEastAsia" w:eastAsiaTheme="minorEastAsia" w:hAnsiTheme="minorEastAsia" w:hint="eastAsia"/>
          <w:bCs/>
          <w:szCs w:val="21"/>
        </w:rPr>
        <w:t>转融通证券出借业务：简称出借业务，指本基金以一定的费率通过证券交易所综合业务平台向中国证券金融股份有限公司（以下简称证券金融公司）出借证券，证券金融公司到期归还所借证券及相应权益补偿并支付费用的业务</w:t>
      </w:r>
    </w:p>
    <w:p w14:paraId="4B18B041" w14:textId="77777777" w:rsidR="0082364D" w:rsidRDefault="0082364D">
      <w:pPr>
        <w:adjustRightInd w:val="0"/>
        <w:snapToGrid w:val="0"/>
        <w:spacing w:line="360" w:lineRule="auto"/>
        <w:rPr>
          <w:rFonts w:ascii="宋体" w:hAnsi="宋体"/>
          <w:szCs w:val="21"/>
        </w:rPr>
      </w:pPr>
      <w:bookmarkStart w:id="17" w:name="_Hlk47299283"/>
      <w:bookmarkEnd w:id="14"/>
    </w:p>
    <w:bookmarkEnd w:id="15"/>
    <w:p w14:paraId="0D2E8A87" w14:textId="77777777" w:rsidR="0082364D" w:rsidRDefault="00BF2824">
      <w:pPr>
        <w:pStyle w:val="1"/>
        <w:spacing w:before="120" w:after="120" w:line="360" w:lineRule="auto"/>
        <w:jc w:val="center"/>
        <w:rPr>
          <w:rFonts w:ascii="宋体" w:hAnsi="宋体"/>
          <w:sz w:val="28"/>
        </w:rPr>
      </w:pPr>
      <w:r>
        <w:rPr>
          <w:rFonts w:ascii="宋体" w:hAnsi="宋体"/>
          <w:sz w:val="21"/>
          <w:szCs w:val="21"/>
        </w:rPr>
        <w:br w:type="page"/>
      </w:r>
      <w:bookmarkStart w:id="18" w:name="_Toc108598514"/>
      <w:bookmarkStart w:id="19" w:name="_Toc283892143"/>
      <w:bookmarkStart w:id="20" w:name="_Toc449605661"/>
      <w:bookmarkStart w:id="21" w:name="_Toc353291709"/>
      <w:bookmarkStart w:id="22" w:name="_Toc283892771"/>
      <w:bookmarkStart w:id="23" w:name="_Toc283892823"/>
      <w:bookmarkEnd w:id="16"/>
      <w:bookmarkEnd w:id="17"/>
      <w:r>
        <w:rPr>
          <w:rFonts w:ascii="宋体" w:hAnsi="宋体" w:hint="eastAsia"/>
          <w:sz w:val="28"/>
        </w:rPr>
        <w:lastRenderedPageBreak/>
        <w:t>三</w:t>
      </w:r>
      <w:r>
        <w:rPr>
          <w:rFonts w:ascii="宋体" w:hAnsi="宋体"/>
          <w:sz w:val="28"/>
        </w:rPr>
        <w:t>、风险揭示</w:t>
      </w:r>
      <w:bookmarkEnd w:id="18"/>
    </w:p>
    <w:p w14:paraId="4D851982" w14:textId="77777777" w:rsidR="0082364D" w:rsidRDefault="00BF2824">
      <w:pPr>
        <w:spacing w:line="360" w:lineRule="auto"/>
        <w:ind w:firstLineChars="200" w:firstLine="420"/>
        <w:jc w:val="left"/>
        <w:rPr>
          <w:rFonts w:ascii="宋体" w:hAnsi="宋体"/>
        </w:rPr>
      </w:pPr>
      <w:r>
        <w:rPr>
          <w:rFonts w:ascii="宋体" w:hAnsi="宋体"/>
        </w:rPr>
        <w:t>（一）</w:t>
      </w:r>
      <w:r>
        <w:rPr>
          <w:rFonts w:ascii="宋体" w:hAnsi="宋体" w:hint="eastAsia"/>
        </w:rPr>
        <w:t>市场风险</w:t>
      </w:r>
    </w:p>
    <w:p w14:paraId="06308079"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证券市场价格因受各种因素的影响而引起的波动，将对本基金资产产生潜在风险，主要包括：</w:t>
      </w:r>
    </w:p>
    <w:p w14:paraId="0DBD592F"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1、政策风险</w:t>
      </w:r>
    </w:p>
    <w:p w14:paraId="34130E88"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货币政策、财政政策、产业政策等国家政策的变化对证券市场产生一定的影响，导致市场价格波动，影响基金收益而产生风险。</w:t>
      </w:r>
    </w:p>
    <w:p w14:paraId="5A21428F"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2、经济周期风险</w:t>
      </w:r>
    </w:p>
    <w:p w14:paraId="490348E8"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证券市场是国民经济的晴雨表，而经济运行具有周期性的特点。宏观经济运行状况将对证券市场的收益水平产生影响，从而产生风险。</w:t>
      </w:r>
    </w:p>
    <w:p w14:paraId="1E10C7C5"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3、利率风险</w:t>
      </w:r>
    </w:p>
    <w:p w14:paraId="04CCA218"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金融市场利率波动会导致股票市场及债券市场的价格和收益率的变动，同时直接影响企业的融资成本和利润水平。基金投资于货币市场工具，收益水平会受到利率变化的影响。</w:t>
      </w:r>
    </w:p>
    <w:p w14:paraId="397317CF"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4、购买力风险</w:t>
      </w:r>
    </w:p>
    <w:p w14:paraId="0F6536AB"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本基金投资的目的是使基金资产保值增值，如果发生通货膨胀，基金投资于证券所获得的收益可能会被通货膨胀抵消，从而影响基金资产的保值增值。</w:t>
      </w:r>
    </w:p>
    <w:p w14:paraId="38EF0920"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5、上市公司经营风险</w:t>
      </w:r>
    </w:p>
    <w:p w14:paraId="453DE3A5"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上市公司的经营状况受多种因素影响，如市场、技术、竞争、管理、财务等都会导致公司盈利发生变化，从而导致基金投资收益变化。</w:t>
      </w:r>
    </w:p>
    <w:p w14:paraId="725314AB" w14:textId="77777777" w:rsidR="0082364D" w:rsidRDefault="00BF2824">
      <w:pPr>
        <w:spacing w:line="360" w:lineRule="auto"/>
        <w:ind w:firstLineChars="200" w:firstLine="420"/>
        <w:jc w:val="left"/>
        <w:rPr>
          <w:rFonts w:ascii="宋体" w:hAnsi="宋体"/>
        </w:rPr>
      </w:pPr>
      <w:r>
        <w:rPr>
          <w:rFonts w:ascii="宋体" w:hAnsi="宋体" w:hint="eastAsia"/>
        </w:rPr>
        <w:t>（二）信用风险</w:t>
      </w:r>
    </w:p>
    <w:p w14:paraId="784CDB41"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指基金在交易过程发生交收违约，或者基金所投资其他基金所投资的债券违约，导致基金资产损失。</w:t>
      </w:r>
    </w:p>
    <w:p w14:paraId="378445A0" w14:textId="77777777" w:rsidR="0082364D" w:rsidRDefault="00BF2824">
      <w:pPr>
        <w:spacing w:line="360" w:lineRule="auto"/>
        <w:ind w:firstLineChars="200" w:firstLine="420"/>
        <w:jc w:val="left"/>
        <w:rPr>
          <w:rFonts w:ascii="宋体" w:hAnsi="宋体"/>
        </w:rPr>
      </w:pPr>
      <w:r>
        <w:rPr>
          <w:rFonts w:ascii="宋体" w:hAnsi="宋体" w:hint="eastAsia"/>
        </w:rPr>
        <w:t>（三）管理风险</w:t>
      </w:r>
    </w:p>
    <w:p w14:paraId="686FCC16"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在基金管理运作过程中，可能因基金管理人对经济形势和证券市场等判断有误、获取的信息不全等影响基金的收益水平。基金管理人的管理水平、管理手段和管理技术等对基金收益水平存在影响。</w:t>
      </w:r>
    </w:p>
    <w:p w14:paraId="23F55457" w14:textId="77777777" w:rsidR="0082364D" w:rsidRDefault="00BF2824">
      <w:pPr>
        <w:spacing w:line="360" w:lineRule="auto"/>
        <w:ind w:firstLineChars="200" w:firstLine="420"/>
        <w:jc w:val="left"/>
        <w:rPr>
          <w:rFonts w:ascii="宋体" w:hAnsi="宋体"/>
        </w:rPr>
      </w:pPr>
      <w:r>
        <w:rPr>
          <w:rFonts w:ascii="宋体" w:hAnsi="宋体" w:hint="eastAsia"/>
        </w:rPr>
        <w:t>（四）操作或技术风险</w:t>
      </w:r>
    </w:p>
    <w:p w14:paraId="15B15A1C"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指相关当事人在业务各环节操作过程中，因内部控制存在缺陷或者人为因素造成操作</w:t>
      </w:r>
      <w:r>
        <w:rPr>
          <w:rFonts w:ascii="宋体" w:hAnsi="宋体" w:hint="eastAsia"/>
          <w:kern w:val="0"/>
          <w:szCs w:val="21"/>
        </w:rPr>
        <w:lastRenderedPageBreak/>
        <w:t>失误或违反操作规程等引致的风险，例如，越权违规交易、会计部门欺诈、交易错误、IT系统故障等风险。</w:t>
      </w:r>
    </w:p>
    <w:p w14:paraId="4FDAA91B"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在开放式基金的各种交易行为或者后台运作中，可能因为技术系统的故障或者差错而影响交易的正常进行或者导致投资者的利益受到影响。这种技术风险可能来自基金管理公司、登记结算机构、代销机构、证券/期货交易所、证券登记结算机构等等。</w:t>
      </w:r>
    </w:p>
    <w:p w14:paraId="12964ED9" w14:textId="77777777" w:rsidR="0082364D" w:rsidRDefault="00BF2824">
      <w:pPr>
        <w:spacing w:line="360" w:lineRule="auto"/>
        <w:ind w:firstLineChars="200" w:firstLine="420"/>
        <w:jc w:val="left"/>
        <w:rPr>
          <w:rFonts w:ascii="宋体" w:hAnsi="宋体"/>
        </w:rPr>
      </w:pPr>
      <w:r>
        <w:rPr>
          <w:rFonts w:ascii="宋体" w:hAnsi="宋体" w:hint="eastAsia"/>
        </w:rPr>
        <w:t>（五）合规性风险</w:t>
      </w:r>
    </w:p>
    <w:p w14:paraId="2B5B8CBC"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指基金管理或运作过程中，违反国家法律法规的规定，或者基金投资违反法规及基金合同有关规定的风险。</w:t>
      </w:r>
    </w:p>
    <w:p w14:paraId="7232E116" w14:textId="77777777" w:rsidR="0082364D" w:rsidRDefault="00BF2824">
      <w:pPr>
        <w:spacing w:line="360" w:lineRule="auto"/>
        <w:ind w:firstLineChars="200" w:firstLine="420"/>
        <w:jc w:val="left"/>
        <w:rPr>
          <w:rFonts w:ascii="宋体" w:hAnsi="宋体"/>
        </w:rPr>
      </w:pPr>
      <w:r>
        <w:rPr>
          <w:rFonts w:ascii="宋体" w:hAnsi="宋体" w:hint="eastAsia"/>
        </w:rPr>
        <w:t>（六）本基金特有的</w:t>
      </w:r>
      <w:r>
        <w:rPr>
          <w:rFonts w:ascii="宋体" w:hAnsi="宋体"/>
        </w:rPr>
        <w:t>风险</w:t>
      </w:r>
    </w:p>
    <w:p w14:paraId="24F1EC33"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1</w:t>
      </w:r>
      <w:r>
        <w:rPr>
          <w:rFonts w:ascii="宋体" w:hAnsi="宋体"/>
          <w:kern w:val="0"/>
        </w:rPr>
        <w:t>、标的指数回报与股票市场平均回报偏离的风险</w:t>
      </w:r>
    </w:p>
    <w:p w14:paraId="6FFF26E2" w14:textId="77777777" w:rsidR="0082364D" w:rsidRDefault="00BF2824">
      <w:pPr>
        <w:spacing w:line="360" w:lineRule="auto"/>
        <w:ind w:firstLineChars="200" w:firstLine="420"/>
        <w:jc w:val="left"/>
        <w:rPr>
          <w:rFonts w:ascii="宋体" w:hAnsi="宋体"/>
          <w:kern w:val="0"/>
        </w:rPr>
      </w:pPr>
      <w:r>
        <w:rPr>
          <w:rFonts w:ascii="宋体" w:hAnsi="宋体"/>
          <w:kern w:val="0"/>
        </w:rPr>
        <w:t>标的指数并不能完全代表整个股票市场。标的指数成份股的平均回报率与整个股票市场的平均回报率可能存在偏离。</w:t>
      </w:r>
    </w:p>
    <w:p w14:paraId="2A839B72"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2、</w:t>
      </w:r>
      <w:r>
        <w:rPr>
          <w:rFonts w:ascii="宋体" w:hAnsi="宋体"/>
          <w:kern w:val="0"/>
        </w:rPr>
        <w:t>标的指数波动的风险</w:t>
      </w:r>
    </w:p>
    <w:p w14:paraId="15EF3B42" w14:textId="77777777" w:rsidR="0082364D" w:rsidRDefault="00BF2824">
      <w:pPr>
        <w:spacing w:line="360" w:lineRule="auto"/>
        <w:ind w:firstLineChars="200" w:firstLine="420"/>
        <w:jc w:val="left"/>
        <w:rPr>
          <w:rFonts w:ascii="宋体" w:hAnsi="宋体"/>
          <w:kern w:val="0"/>
        </w:rPr>
      </w:pPr>
      <w:r>
        <w:rPr>
          <w:rFonts w:ascii="宋体" w:hAnsi="宋体"/>
          <w:kern w:val="0"/>
        </w:rPr>
        <w:t>标的指数成份股的价格可能受到政治因素、经济因素、上市公司经营状况、投资者心理和交易制度等各种因素的影响而波动，导致指数波动，从而使基金收益水平发生变化，产生风险。</w:t>
      </w:r>
    </w:p>
    <w:p w14:paraId="15C11A76"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3、</w:t>
      </w:r>
      <w:r>
        <w:rPr>
          <w:rFonts w:asciiTheme="minorEastAsia" w:eastAsiaTheme="minorEastAsia" w:hAnsiTheme="minorEastAsia" w:hint="eastAsia"/>
          <w:color w:val="000000" w:themeColor="text1"/>
          <w:szCs w:val="21"/>
        </w:rPr>
        <w:t>跟踪误差控制未达约定目标或</w:t>
      </w:r>
      <w:r>
        <w:rPr>
          <w:rFonts w:ascii="宋体" w:hAnsi="宋体"/>
          <w:kern w:val="0"/>
        </w:rPr>
        <w:t>基金投资组合回报与标的指数回报偏离的风险</w:t>
      </w:r>
    </w:p>
    <w:p w14:paraId="2C20DF49"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基金紧密跟踪标的指数，追求跟踪偏离度和跟踪误差的最小化，本基金力争日均跟踪偏离度的绝对值不超过0.35%，年跟踪误差不超过4%，但因标的指数编制规则调整或其他因素可能导致跟踪误差超过上述范围，本基金净值表现与指数价格走势可能发生较大偏离。</w:t>
      </w:r>
    </w:p>
    <w:p w14:paraId="0422B2C3" w14:textId="77777777" w:rsidR="0082364D" w:rsidRDefault="00BF2824">
      <w:pPr>
        <w:spacing w:line="360" w:lineRule="auto"/>
        <w:ind w:firstLineChars="200" w:firstLine="420"/>
        <w:jc w:val="left"/>
        <w:rPr>
          <w:rFonts w:ascii="宋体" w:hAnsi="宋体"/>
          <w:kern w:val="0"/>
        </w:rPr>
      </w:pPr>
      <w:r>
        <w:rPr>
          <w:rFonts w:ascii="宋体" w:hAnsi="宋体"/>
          <w:kern w:val="0"/>
        </w:rPr>
        <w:t>以下因素可能使基金投资组合的收益率与标的指数的收益率发生偏离</w:t>
      </w:r>
      <w:r>
        <w:rPr>
          <w:rFonts w:ascii="宋体" w:hAnsi="宋体" w:hint="eastAsia"/>
          <w:kern w:val="0"/>
        </w:rPr>
        <w:t>，也可能使基金的跟踪误差控制未达约定目标</w:t>
      </w:r>
      <w:r>
        <w:rPr>
          <w:rFonts w:ascii="宋体" w:hAnsi="宋体"/>
          <w:kern w:val="0"/>
        </w:rPr>
        <w:t>：</w:t>
      </w:r>
    </w:p>
    <w:p w14:paraId="4230A201" w14:textId="77777777" w:rsidR="0082364D" w:rsidRDefault="00BF2824">
      <w:pPr>
        <w:spacing w:line="360" w:lineRule="auto"/>
        <w:ind w:firstLineChars="200" w:firstLine="420"/>
        <w:jc w:val="left"/>
        <w:rPr>
          <w:rFonts w:ascii="宋体" w:hAnsi="宋体"/>
          <w:kern w:val="0"/>
        </w:rPr>
      </w:pPr>
      <w:r>
        <w:rPr>
          <w:rFonts w:ascii="宋体" w:hAnsi="宋体"/>
          <w:kern w:val="0"/>
        </w:rPr>
        <w:t>（1）由于标的指数调整成份股或变更编制方法，使基金在相应的组合调整中产生跟踪偏离度与跟踪误差。</w:t>
      </w:r>
    </w:p>
    <w:p w14:paraId="5EC3DEEC" w14:textId="77777777" w:rsidR="0082364D" w:rsidRDefault="00BF2824">
      <w:pPr>
        <w:spacing w:line="360" w:lineRule="auto"/>
        <w:ind w:firstLineChars="200" w:firstLine="420"/>
        <w:jc w:val="left"/>
        <w:rPr>
          <w:rFonts w:ascii="宋体" w:hAnsi="宋体"/>
          <w:kern w:val="0"/>
        </w:rPr>
      </w:pPr>
      <w:r>
        <w:rPr>
          <w:rFonts w:ascii="宋体" w:hAnsi="宋体"/>
          <w:kern w:val="0"/>
        </w:rPr>
        <w:t>（2）由于标的指数成份股发生配股、增发等行为导致成份股在标的指数中的权重发生变化，使基金在相应的组合调整中产生跟踪偏离度和跟踪误差。</w:t>
      </w:r>
    </w:p>
    <w:p w14:paraId="1B4BE66B" w14:textId="77777777" w:rsidR="0082364D" w:rsidRDefault="00BF2824">
      <w:pPr>
        <w:spacing w:line="360" w:lineRule="auto"/>
        <w:ind w:firstLineChars="200" w:firstLine="420"/>
        <w:jc w:val="left"/>
        <w:rPr>
          <w:rFonts w:ascii="宋体" w:hAnsi="宋体"/>
          <w:kern w:val="0"/>
        </w:rPr>
      </w:pPr>
      <w:r>
        <w:rPr>
          <w:rFonts w:ascii="宋体" w:hAnsi="宋体"/>
          <w:kern w:val="0"/>
        </w:rPr>
        <w:t>（3）成份股派发现金红利、新股市值配售收益将导致基金收益率超过标的指数收益率，产生正的跟踪偏离度。</w:t>
      </w:r>
    </w:p>
    <w:p w14:paraId="49D352D0" w14:textId="77777777" w:rsidR="0082364D" w:rsidRDefault="00BF2824">
      <w:pPr>
        <w:spacing w:line="360" w:lineRule="auto"/>
        <w:ind w:firstLineChars="200" w:firstLine="420"/>
        <w:jc w:val="left"/>
        <w:rPr>
          <w:rFonts w:ascii="宋体" w:hAnsi="宋体"/>
          <w:kern w:val="0"/>
        </w:rPr>
      </w:pPr>
      <w:r>
        <w:rPr>
          <w:rFonts w:ascii="宋体" w:hAnsi="宋体"/>
          <w:kern w:val="0"/>
        </w:rPr>
        <w:t>（4）由于成份股停牌、摘牌或流动性差等原因使基金无法及时调整投资组合或承担冲击成本而产生跟踪偏离度和跟踪误差。</w:t>
      </w:r>
    </w:p>
    <w:p w14:paraId="4B1CDB64" w14:textId="77777777" w:rsidR="0082364D" w:rsidRDefault="00BF2824">
      <w:pPr>
        <w:spacing w:line="360" w:lineRule="auto"/>
        <w:ind w:firstLineChars="200" w:firstLine="420"/>
        <w:jc w:val="left"/>
        <w:rPr>
          <w:rFonts w:ascii="宋体" w:hAnsi="宋体"/>
          <w:kern w:val="0"/>
        </w:rPr>
      </w:pPr>
      <w:r>
        <w:rPr>
          <w:rFonts w:ascii="宋体" w:hAnsi="宋体"/>
          <w:kern w:val="0"/>
        </w:rPr>
        <w:lastRenderedPageBreak/>
        <w:t>（5）由于基金投资过程中的证券交易成本，以及基金管理费和托管费的存在，使基金投资组合与标的指数产生跟踪偏离度与跟踪误差。</w:t>
      </w:r>
    </w:p>
    <w:p w14:paraId="2D195F66" w14:textId="77777777" w:rsidR="0082364D" w:rsidRDefault="00BF2824">
      <w:pPr>
        <w:spacing w:line="360" w:lineRule="auto"/>
        <w:ind w:firstLineChars="200" w:firstLine="420"/>
        <w:jc w:val="left"/>
        <w:rPr>
          <w:rFonts w:ascii="宋体" w:hAnsi="宋体"/>
          <w:kern w:val="0"/>
        </w:rPr>
      </w:pPr>
      <w:r>
        <w:rPr>
          <w:rFonts w:ascii="宋体" w:hAnsi="宋体"/>
          <w:kern w:val="0"/>
        </w:rPr>
        <w:t>（6）在基金指数化投资过程中，基金管理人的管理能力，例如跟踪指数的水平、技术手段、买入卖出的时机选择等，都会对基金的收益产生影响，从而影响基金对标的指数的跟踪程度。</w:t>
      </w:r>
    </w:p>
    <w:p w14:paraId="416D9E40" w14:textId="77777777" w:rsidR="0082364D" w:rsidRDefault="00BF2824">
      <w:pPr>
        <w:spacing w:line="360" w:lineRule="auto"/>
        <w:ind w:firstLineChars="200" w:firstLine="420"/>
        <w:jc w:val="left"/>
        <w:rPr>
          <w:rFonts w:ascii="宋体" w:hAnsi="宋体"/>
          <w:kern w:val="0"/>
        </w:rPr>
      </w:pPr>
      <w:r>
        <w:rPr>
          <w:rFonts w:ascii="宋体" w:hAnsi="宋体"/>
          <w:kern w:val="0"/>
        </w:rPr>
        <w:t>（7）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255CE10E"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4、</w:t>
      </w:r>
      <w:r>
        <w:rPr>
          <w:rFonts w:ascii="宋体" w:hAnsi="宋体"/>
          <w:kern w:val="0"/>
        </w:rPr>
        <w:t>标的指数变更的风险</w:t>
      </w:r>
    </w:p>
    <w:p w14:paraId="7732ADD3" w14:textId="77777777" w:rsidR="0082364D" w:rsidRDefault="00BF2824">
      <w:pPr>
        <w:spacing w:line="360" w:lineRule="auto"/>
        <w:ind w:firstLineChars="200" w:firstLine="420"/>
        <w:jc w:val="left"/>
        <w:rPr>
          <w:rFonts w:ascii="宋体" w:hAnsi="宋体"/>
          <w:kern w:val="0"/>
        </w:rPr>
      </w:pPr>
      <w:r>
        <w:rPr>
          <w:rFonts w:ascii="宋体" w:hAnsi="宋体"/>
          <w:kern w:val="0"/>
        </w:rPr>
        <w:t>尽管可能性很小，但根据基金合同规定，如出现变更标的指数的情形，</w:t>
      </w:r>
      <w:r>
        <w:rPr>
          <w:rFonts w:ascii="宋体" w:hAnsi="宋体" w:hint="eastAsia"/>
          <w:kern w:val="0"/>
        </w:rPr>
        <w:t>本</w:t>
      </w:r>
      <w:r>
        <w:rPr>
          <w:rFonts w:ascii="宋体" w:hAnsi="宋体"/>
          <w:kern w:val="0"/>
        </w:rPr>
        <w:t>基金</w:t>
      </w:r>
      <w:r>
        <w:rPr>
          <w:rFonts w:ascii="宋体" w:hAnsi="宋体" w:hint="eastAsia"/>
          <w:kern w:val="0"/>
        </w:rPr>
        <w:t>将</w:t>
      </w:r>
      <w:r>
        <w:rPr>
          <w:rFonts w:ascii="宋体" w:hAnsi="宋体"/>
          <w:kern w:val="0"/>
        </w:rPr>
        <w:t>变更标的指数。基于原标的指数的投资政策将会改变，投资组合将随之调整，基金的收益风险特征将与新的标的指数保持一致，投资者须承担此项调整带来的风险与成本。</w:t>
      </w:r>
    </w:p>
    <w:p w14:paraId="6E436C63"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5、指数编制机构停止服务的风险</w:t>
      </w:r>
    </w:p>
    <w:p w14:paraId="2BA2122B"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本基金的标的指数由指数编制机构发布并管理和维护，未来指数编制机构可能由于各种原因停止对指数的管理和维护，也有可能终止指数协议，本基金将根据基金合同的约定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投资人将面临更换基金标的指数、转换运作方式，与其他基金合并、或者终止基金合同等风险。</w:t>
      </w:r>
    </w:p>
    <w:p w14:paraId="039FCD5F"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24966F82"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6、成份股停牌的风险</w:t>
      </w:r>
    </w:p>
    <w:p w14:paraId="3A409855"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w:t>
      </w:r>
      <w:r>
        <w:rPr>
          <w:rFonts w:ascii="宋体" w:hAnsi="宋体" w:hint="eastAsia"/>
          <w:kern w:val="0"/>
        </w:rPr>
        <w:lastRenderedPageBreak/>
        <w:t>跟踪偏离、跟踪误差控制未达约定目标的风险。</w:t>
      </w:r>
    </w:p>
    <w:p w14:paraId="5B20C101"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7、</w:t>
      </w:r>
      <w:r>
        <w:rPr>
          <w:rFonts w:ascii="宋体" w:hAnsi="宋体"/>
          <w:kern w:val="0"/>
        </w:rPr>
        <w:t>基金份额二级市场交易价格折溢价的风险</w:t>
      </w:r>
    </w:p>
    <w:p w14:paraId="1299322F" w14:textId="77777777" w:rsidR="0082364D" w:rsidRDefault="00BF2824">
      <w:pPr>
        <w:spacing w:line="360" w:lineRule="auto"/>
        <w:ind w:firstLineChars="200" w:firstLine="420"/>
        <w:jc w:val="left"/>
        <w:rPr>
          <w:rFonts w:ascii="宋体" w:hAnsi="宋体"/>
          <w:kern w:val="0"/>
        </w:rPr>
      </w:pPr>
      <w:r>
        <w:rPr>
          <w:rFonts w:ascii="宋体" w:hAnsi="宋体"/>
          <w:kern w:val="0"/>
        </w:rPr>
        <w:t>尽管基金将通过有效的套利机制使基金份额二级市场交易价格的折溢价控制在一定范围内，但基金份额在证券交易所的交易价格受诸多因素影响，存在不同于基金份额净值的情形，即存在价格折溢价的风险。</w:t>
      </w:r>
    </w:p>
    <w:p w14:paraId="1A27015B"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8</w:t>
      </w:r>
      <w:r>
        <w:rPr>
          <w:rFonts w:ascii="宋体" w:hAnsi="宋体"/>
          <w:kern w:val="0"/>
        </w:rPr>
        <w:t>、参考IOPV决策和IOPV计算错误的风险</w:t>
      </w:r>
    </w:p>
    <w:p w14:paraId="656BB016" w14:textId="77777777" w:rsidR="0082364D" w:rsidRDefault="00BF2824">
      <w:pPr>
        <w:spacing w:line="360" w:lineRule="auto"/>
        <w:ind w:firstLineChars="200" w:firstLine="420"/>
        <w:jc w:val="left"/>
        <w:rPr>
          <w:rFonts w:ascii="宋体" w:hAnsi="宋体"/>
          <w:kern w:val="0"/>
        </w:rPr>
      </w:pPr>
      <w:r>
        <w:rPr>
          <w:rFonts w:ascii="宋体" w:hAnsi="宋体" w:hint="eastAsia"/>
          <w:kern w:val="0"/>
          <w:szCs w:val="21"/>
        </w:rPr>
        <w:t>基金管理人或基金管理人委托的指数服务机构</w:t>
      </w:r>
      <w:r>
        <w:rPr>
          <w:rFonts w:ascii="宋体" w:hAnsi="宋体"/>
          <w:kern w:val="0"/>
        </w:rPr>
        <w:t>在开市后根据申购赎回清单和</w:t>
      </w:r>
      <w:r>
        <w:rPr>
          <w:rFonts w:ascii="宋体" w:hAnsi="宋体" w:hint="eastAsia"/>
          <w:kern w:val="0"/>
        </w:rPr>
        <w:t>汇率数据</w:t>
      </w:r>
      <w:r>
        <w:rPr>
          <w:rFonts w:ascii="宋体" w:hAnsi="宋体"/>
          <w:kern w:val="0"/>
        </w:rPr>
        <w:t>，计算基金份额参考净值（IOPV），</w:t>
      </w:r>
      <w:r>
        <w:rPr>
          <w:rFonts w:ascii="宋体" w:hAnsi="宋体" w:hint="eastAsia"/>
          <w:kern w:val="0"/>
          <w:szCs w:val="21"/>
        </w:rPr>
        <w:t>并将计算结果向深圳证券交易所发送，由深圳证券交易所对外发布，</w:t>
      </w:r>
      <w:r>
        <w:rPr>
          <w:rFonts w:ascii="宋体" w:hAnsi="宋体"/>
          <w:kern w:val="0"/>
        </w:rPr>
        <w:t>供投资者交易、申购、赎回基金份额时参考。IOPV与实时的基金份额净值可能存在差异，IOPV计算还可能出现错误，投资者若参考IOPV进行投资决策可能导致损失，需投资者自行承担。</w:t>
      </w:r>
    </w:p>
    <w:p w14:paraId="6F4F2663"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9、</w:t>
      </w:r>
      <w:r>
        <w:rPr>
          <w:rFonts w:ascii="宋体" w:hAnsi="宋体"/>
          <w:kern w:val="0"/>
        </w:rPr>
        <w:t>退市风险</w:t>
      </w:r>
    </w:p>
    <w:p w14:paraId="4A80A178" w14:textId="77777777" w:rsidR="0082364D" w:rsidRDefault="00BF2824">
      <w:pPr>
        <w:spacing w:line="360" w:lineRule="auto"/>
        <w:ind w:firstLineChars="200" w:firstLine="420"/>
        <w:jc w:val="left"/>
        <w:rPr>
          <w:rFonts w:ascii="宋体" w:hAnsi="宋体"/>
          <w:kern w:val="0"/>
        </w:rPr>
      </w:pPr>
      <w:r>
        <w:rPr>
          <w:rFonts w:ascii="宋体" w:hAnsi="宋体"/>
          <w:kern w:val="0"/>
        </w:rPr>
        <w:t>因基金不再符合证券交易所上市条件被终止上市，或被基金份额持有人大会决议提前终止上市，导致基金份额不能继续进行二级市场交易的风险。</w:t>
      </w:r>
    </w:p>
    <w:p w14:paraId="43BF5C06"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10、</w:t>
      </w:r>
      <w:r>
        <w:rPr>
          <w:rFonts w:ascii="宋体" w:hAnsi="宋体"/>
          <w:kern w:val="0"/>
        </w:rPr>
        <w:t>投资者申购失败的风险</w:t>
      </w:r>
    </w:p>
    <w:p w14:paraId="1F3A2D72" w14:textId="77777777" w:rsidR="0082364D" w:rsidRDefault="00BF2824">
      <w:pPr>
        <w:spacing w:line="360" w:lineRule="auto"/>
        <w:ind w:firstLineChars="200" w:firstLine="420"/>
        <w:jc w:val="left"/>
        <w:rPr>
          <w:rFonts w:ascii="宋体" w:hAnsi="宋体"/>
          <w:kern w:val="0"/>
        </w:rPr>
      </w:pPr>
      <w:r>
        <w:rPr>
          <w:rFonts w:ascii="宋体" w:hAnsi="宋体"/>
          <w:kern w:val="0"/>
        </w:rPr>
        <w:t>基金的申购赎回清单中，可能仅允许对部分成份股使用现金替代，且设置现金替代比例上限，因此，投资者在进行申购时，可能存在因个别成份股涨停、临时停牌等原因而无法买入申购所需的足够的成份股，导致申购失败的风险。</w:t>
      </w:r>
    </w:p>
    <w:p w14:paraId="15EE2B09"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11、</w:t>
      </w:r>
      <w:r>
        <w:rPr>
          <w:rFonts w:ascii="宋体" w:hAnsi="宋体"/>
          <w:kern w:val="0"/>
        </w:rPr>
        <w:t>投资者赎回失败的风险</w:t>
      </w:r>
    </w:p>
    <w:p w14:paraId="6CF5A9B8" w14:textId="77777777" w:rsidR="0082364D" w:rsidRDefault="00BF2824">
      <w:pPr>
        <w:spacing w:line="360" w:lineRule="auto"/>
        <w:ind w:firstLineChars="200" w:firstLine="420"/>
        <w:jc w:val="left"/>
        <w:rPr>
          <w:rFonts w:ascii="宋体" w:hAnsi="宋体"/>
          <w:kern w:val="0"/>
        </w:rPr>
      </w:pPr>
      <w:r>
        <w:rPr>
          <w:rFonts w:ascii="宋体" w:hAnsi="宋体"/>
          <w:kern w:val="0"/>
        </w:rPr>
        <w:t>投资者在提出赎回申请时，如基金组合中不具备足额的符合要求的赎回对价，可能导致赎回失败。</w:t>
      </w:r>
    </w:p>
    <w:p w14:paraId="277CF38D" w14:textId="77777777" w:rsidR="0082364D" w:rsidRDefault="00BF2824">
      <w:pPr>
        <w:spacing w:line="360" w:lineRule="auto"/>
        <w:ind w:firstLineChars="200" w:firstLine="420"/>
        <w:jc w:val="left"/>
        <w:rPr>
          <w:rFonts w:ascii="宋体" w:hAnsi="宋体"/>
          <w:kern w:val="0"/>
        </w:rPr>
      </w:pPr>
      <w:r>
        <w:rPr>
          <w:rFonts w:ascii="宋体" w:hAnsi="宋体"/>
          <w:kern w:val="0"/>
        </w:rPr>
        <w:t>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14:paraId="7F983DDD"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12、流动性风险</w:t>
      </w:r>
    </w:p>
    <w:p w14:paraId="0E8A38BB"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（1）本基金的申购、赎回安排</w:t>
      </w:r>
    </w:p>
    <w:p w14:paraId="67AF11B5" w14:textId="77777777" w:rsidR="0082364D" w:rsidRDefault="00BF2824">
      <w:pPr>
        <w:spacing w:line="360" w:lineRule="auto"/>
        <w:ind w:firstLineChars="200" w:firstLine="420"/>
        <w:jc w:val="left"/>
        <w:rPr>
          <w:rFonts w:ascii="宋体" w:hAnsi="宋体"/>
          <w:kern w:val="0"/>
        </w:rPr>
      </w:pPr>
      <w:bookmarkStart w:id="24" w:name="_Hlk47304489"/>
      <w:r>
        <w:rPr>
          <w:rFonts w:ascii="宋体" w:hAnsi="宋体" w:hint="eastAsia"/>
          <w:kern w:val="0"/>
        </w:rPr>
        <w:t>投资人具体请参见基金合同“第七部分、基金份额的申购与赎回”和本招募说明书“九、基金份额的申购、赎回”，详细了解本基金的申购及赎回安排。</w:t>
      </w:r>
    </w:p>
    <w:bookmarkEnd w:id="24"/>
    <w:p w14:paraId="42473A4D"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（2）拟投资市场及资产的流动性风险评估</w:t>
      </w:r>
    </w:p>
    <w:p w14:paraId="419464E1" w14:textId="367D95C3" w:rsidR="0082364D" w:rsidRDefault="00BF2824">
      <w:pPr>
        <w:spacing w:line="360" w:lineRule="auto"/>
        <w:ind w:firstLineChars="200" w:firstLine="420"/>
        <w:jc w:val="left"/>
        <w:rPr>
          <w:rFonts w:ascii="宋体" w:hAnsi="宋体"/>
          <w:bCs/>
          <w:kern w:val="0"/>
        </w:rPr>
      </w:pPr>
      <w:bookmarkStart w:id="25" w:name="_Hlk108457214"/>
      <w:r>
        <w:rPr>
          <w:rFonts w:ascii="宋体" w:hAnsi="宋体" w:hint="eastAsia"/>
          <w:bCs/>
          <w:kern w:val="0"/>
        </w:rPr>
        <w:t>本基金主要投资于标的指数成份股、备选成份股（含中国存托凭证、美国存托凭证、</w:t>
      </w:r>
      <w:r>
        <w:rPr>
          <w:rFonts w:ascii="宋体" w:hAnsi="宋体" w:hint="eastAsia"/>
          <w:bCs/>
          <w:kern w:val="0"/>
        </w:rPr>
        <w:lastRenderedPageBreak/>
        <w:t>全球存托凭证，下同）。此外，为更好地实现投资目标，本基金可参与其他境外市场投资工具和境内市场投资工具投资。</w:t>
      </w:r>
    </w:p>
    <w:p w14:paraId="74EEDB76" w14:textId="77777777" w:rsidR="0082364D" w:rsidRDefault="00BF2824">
      <w:pPr>
        <w:spacing w:line="360" w:lineRule="auto"/>
        <w:ind w:firstLineChars="200" w:firstLine="420"/>
        <w:jc w:val="left"/>
        <w:rPr>
          <w:rFonts w:ascii="宋体" w:hAnsi="宋体"/>
          <w:bCs/>
          <w:kern w:val="0"/>
        </w:rPr>
      </w:pPr>
      <w:r>
        <w:rPr>
          <w:rFonts w:ascii="宋体" w:hAnsi="宋体" w:hint="eastAsia"/>
          <w:bCs/>
          <w:kern w:val="0"/>
        </w:rPr>
        <w:t>境外市场投资工具包括在已与中国证监会签署双边监管合作谅解备忘录的国家或地区证券监管机构登记注册的公募基金（包括开放式基金和交易型开放式基金（ETF））；香港联合交易所上市的股票（含港股通标的股票）；已与中国证监会签署双边监管合作谅解备忘录的国家或地区证券市场挂牌交易的普通股、优先股、全球存托凭证和美国存托凭证、房地产信托凭证；政府债券、公司债券、可转换债券、住房按揭支持证券、资产支持证券以及经中国证监会认可的国际金融组织发行的证券；银行存款、可转让存单、银行承兑汇票、银行票据、商业票据、回购协议、短期政府债券等货币市场工具；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其中，对于非成份股、备选成份股的投资部分，本基金若投资于香港市场的，可通过合格境内机构投资者（QDII）境外投资额度或内地与香港股票市场交易互联互通机制进行投资。</w:t>
      </w:r>
    </w:p>
    <w:p w14:paraId="0B2F3AEA" w14:textId="77777777" w:rsidR="0082364D" w:rsidRDefault="00BF2824">
      <w:pPr>
        <w:spacing w:line="360" w:lineRule="auto"/>
        <w:ind w:firstLineChars="200" w:firstLine="420"/>
        <w:jc w:val="left"/>
        <w:rPr>
          <w:rFonts w:ascii="宋体" w:hAnsi="宋体"/>
          <w:bCs/>
          <w:kern w:val="0"/>
        </w:rPr>
      </w:pPr>
      <w:r>
        <w:rPr>
          <w:rFonts w:ascii="宋体" w:hAnsi="宋体" w:hint="eastAsia"/>
          <w:bCs/>
          <w:kern w:val="0"/>
        </w:rPr>
        <w:t>境内市场投资工具包括国内依法发行上市的其他股票（包括主板、创业板及其他中国证监会允许基金投资的股票）、中国存托凭证、债券（包括国债、央行票据、金融债、企业债、公司债、中期票据、短期融资券、超短期融资券、次级债、地方政府债券、可转换债券（含可分离交易可转债）、可交换债券及其他经中国证监会允许投资的债券）、货币市场工具、同业存单、债券回购、资产支持证券、银行存款、股指期货、国债期货、股票期权以及法律法规或中国证监会允许基金投资的其他金融工具（但须符合中国证监会的相关规定）。本基金可根据相关法律法规和基金合同的约定，参与融资业务和转融通证券出借业务。</w:t>
      </w:r>
    </w:p>
    <w:p w14:paraId="2DF3EBFD" w14:textId="77777777" w:rsidR="0082364D" w:rsidRDefault="00BF2824">
      <w:pPr>
        <w:spacing w:line="360" w:lineRule="auto"/>
        <w:ind w:firstLineChars="200" w:firstLine="420"/>
        <w:jc w:val="left"/>
        <w:rPr>
          <w:rFonts w:ascii="宋体" w:hAnsi="宋体"/>
          <w:bCs/>
          <w:kern w:val="0"/>
        </w:rPr>
      </w:pPr>
      <w:r>
        <w:rPr>
          <w:rFonts w:ascii="宋体" w:hAnsi="宋体" w:hint="eastAsia"/>
          <w:bCs/>
          <w:kern w:val="0"/>
        </w:rPr>
        <w:t>如法律法规或监管机构以后允许基金投资其他品种，基金管理人在履行适当程序后，可以将其纳入本基金的投资范围。</w:t>
      </w:r>
    </w:p>
    <w:p w14:paraId="5B83D7D5" w14:textId="603A396E" w:rsidR="0082364D" w:rsidRDefault="00BF2824">
      <w:pPr>
        <w:spacing w:line="360" w:lineRule="auto"/>
        <w:ind w:firstLineChars="200" w:firstLine="420"/>
        <w:jc w:val="left"/>
        <w:rPr>
          <w:rFonts w:ascii="宋体" w:hAnsi="宋体"/>
          <w:bCs/>
          <w:kern w:val="0"/>
        </w:rPr>
      </w:pPr>
      <w:r>
        <w:rPr>
          <w:rFonts w:ascii="宋体" w:hAnsi="宋体" w:hint="eastAsia"/>
          <w:bCs/>
          <w:kern w:val="0"/>
        </w:rPr>
        <w:t>本基金投资于标的指数成份股及备选成份股的比例不低于基金资产净值的90%，且不低于非现金基金资产的80%，因法律法规的规定而受限制的情形除外。股指期货、股票期权和国债期货及其他金融工具的投资比例符合法律法规和监管机构的规定。</w:t>
      </w:r>
    </w:p>
    <w:bookmarkEnd w:id="25"/>
    <w:p w14:paraId="6BFBE241" w14:textId="34BA29E5" w:rsidR="0082364D" w:rsidRDefault="00BF2824">
      <w:pPr>
        <w:spacing w:line="360" w:lineRule="auto"/>
        <w:ind w:firstLineChars="200" w:firstLine="420"/>
        <w:jc w:val="left"/>
        <w:rPr>
          <w:rFonts w:ascii="宋体" w:hAnsi="宋体"/>
          <w:kern w:val="0"/>
        </w:rPr>
      </w:pPr>
      <w:r>
        <w:rPr>
          <w:rFonts w:ascii="宋体" w:hAnsi="宋体" w:hint="eastAsia"/>
          <w:kern w:val="0"/>
        </w:rPr>
        <w:t>本基金主要投资于标的指数成份股及备选成份股，经考察纳斯达克100指数的成份股数量、日均成交量以及日均成交金额，该指数将具有充足的流动性可满足本基金投资的要</w:t>
      </w:r>
      <w:r>
        <w:rPr>
          <w:rFonts w:ascii="宋体" w:hAnsi="宋体" w:hint="eastAsia"/>
          <w:kern w:val="0"/>
        </w:rPr>
        <w:lastRenderedPageBreak/>
        <w:t>求；本基金在组合构建过程中，将根据开放日申购和赎回情况，决定投资标的指数成份股及备选成份股的时间和方式。一般情况下，上述投资标的流动性较好，但不排除在特定阶段、特定市场环境下特定投资标的出现流动性较差的情况，如因成份股流动性严重不足等特殊情形导致基金无法完全投资于成份股时，基金管理人将根据市场情况，并结合经验判断，采取其他指数投资技术适当调整基金投资组合，以期有效控制本基金的流动性风险。</w:t>
      </w:r>
    </w:p>
    <w:p w14:paraId="3923BC78"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（3）实施备用的流动性风险管理工具的情形、程序及对投资者的潜在影响：</w:t>
      </w:r>
    </w:p>
    <w:p w14:paraId="2B020DF4"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本基金备用流动性风险管理工具包括但不限于暂停接受赎回申请、延缓支付赎回对价、暂停基金估值以及中国证监会认定的其他措施。</w:t>
      </w:r>
    </w:p>
    <w:p w14:paraId="08DE12A0"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①暂停接受赎回申请</w:t>
      </w:r>
    </w:p>
    <w:p w14:paraId="4A7D3474"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投资人具体请参见基金合同“第七部分、基金份额的申购与赎回”中的“八、暂停赎回或延缓支付赎回对价的情形”，详细了解本基金暂停接受赎回申请的情形及程序。在此情形下，投资人的赎回申请可能被拒绝。</w:t>
      </w:r>
    </w:p>
    <w:p w14:paraId="4052260D"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②延缓支付赎回对价</w:t>
      </w:r>
    </w:p>
    <w:p w14:paraId="2A8A8762"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投资人具体请参见基金合同“第七部分、基金份额的申购与赎回”中的“八、暂停赎回或延缓支付赎回对价的情形”，详细了解本基金延缓支付赎回对价的情形及程序。在此情形下，投资人接收赎回对价的时间将可能比一般正常情形下有所延迟。</w:t>
      </w:r>
    </w:p>
    <w:p w14:paraId="1F787918"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③暂停基金估值</w:t>
      </w:r>
    </w:p>
    <w:p w14:paraId="6BCA53ED"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投资人具体请参见基金合同“第十五部分、基金资产估值”中的“七、暂停估值的情形”，详细了解本基金暂停估值的情形及程序。</w:t>
      </w:r>
    </w:p>
    <w:p w14:paraId="4C028C81"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（4）对ETF基金投资人而言，ETF可在二级市场进行买卖，因此也可能面临因市场交易量不足而造成的流动性问题，带来基金在二级市场的流动性风险。</w:t>
      </w:r>
    </w:p>
    <w:p w14:paraId="18D50FCD" w14:textId="77777777" w:rsidR="0082364D" w:rsidRDefault="00BF2824">
      <w:pPr>
        <w:spacing w:line="360" w:lineRule="auto"/>
        <w:ind w:firstLineChars="200" w:firstLine="420"/>
        <w:jc w:val="left"/>
        <w:rPr>
          <w:rFonts w:ascii="宋体" w:hAnsi="宋体"/>
          <w:kern w:val="0"/>
        </w:rPr>
      </w:pPr>
      <w:r>
        <w:rPr>
          <w:rFonts w:ascii="宋体" w:hAnsi="宋体" w:hint="eastAsia"/>
          <w:kern w:val="0"/>
        </w:rPr>
        <w:t>13、</w:t>
      </w:r>
      <w:r>
        <w:rPr>
          <w:rFonts w:ascii="宋体" w:hAnsi="宋体"/>
          <w:kern w:val="0"/>
        </w:rPr>
        <w:t>基金收益分配后基金份额净值低于面值的风险</w:t>
      </w:r>
    </w:p>
    <w:p w14:paraId="40CBE445" w14:textId="77777777" w:rsidR="0082364D" w:rsidRDefault="00BF2824">
      <w:pPr>
        <w:spacing w:line="360" w:lineRule="auto"/>
        <w:ind w:firstLineChars="200" w:firstLine="420"/>
        <w:jc w:val="left"/>
        <w:rPr>
          <w:rFonts w:ascii="宋体" w:hAnsi="宋体"/>
          <w:kern w:val="0"/>
        </w:rPr>
      </w:pPr>
      <w:r>
        <w:rPr>
          <w:rFonts w:ascii="宋体" w:hAnsi="宋体"/>
          <w:kern w:val="0"/>
        </w:rPr>
        <w:t>本基金</w:t>
      </w:r>
      <w:r>
        <w:rPr>
          <w:rFonts w:ascii="宋体" w:hAnsi="宋体" w:hint="eastAsia"/>
          <w:bCs/>
          <w:kern w:val="0"/>
        </w:rPr>
        <w:t>以</w:t>
      </w:r>
      <w:r>
        <w:rPr>
          <w:rFonts w:ascii="宋体" w:hAnsi="宋体"/>
          <w:kern w:val="0"/>
        </w:rPr>
        <w:t>使收益分配后</w:t>
      </w:r>
      <w:r>
        <w:rPr>
          <w:rFonts w:ascii="宋体" w:hAnsi="宋体" w:hint="eastAsia"/>
          <w:kern w:val="0"/>
        </w:rPr>
        <w:t>基金份额净值增长率</w:t>
      </w:r>
      <w:r>
        <w:rPr>
          <w:rFonts w:ascii="宋体" w:hAnsi="宋体"/>
          <w:kern w:val="0"/>
        </w:rPr>
        <w:t>尽可能贴近</w:t>
      </w:r>
      <w:r>
        <w:rPr>
          <w:rFonts w:ascii="宋体" w:hAnsi="宋体" w:hint="eastAsia"/>
          <w:kern w:val="0"/>
        </w:rPr>
        <w:t>标的指数同期增长率</w:t>
      </w:r>
      <w:r>
        <w:rPr>
          <w:rFonts w:ascii="宋体" w:hAnsi="宋体"/>
          <w:bCs/>
          <w:kern w:val="0"/>
        </w:rPr>
        <w:t>为原则确定收益分配数额</w:t>
      </w:r>
      <w:r>
        <w:rPr>
          <w:rFonts w:ascii="宋体" w:hAnsi="宋体" w:hint="eastAsia"/>
          <w:bCs/>
          <w:kern w:val="0"/>
        </w:rPr>
        <w:t>，</w:t>
      </w:r>
      <w:r>
        <w:rPr>
          <w:rFonts w:ascii="宋体" w:hAnsi="宋体"/>
          <w:kern w:val="0"/>
        </w:rPr>
        <w:t>基于本基金的性质和特点，本基金收益分配不以弥补亏损为前提，收益分配后可能存在基金份额净值低于面值的风险。</w:t>
      </w:r>
    </w:p>
    <w:p w14:paraId="6900F8C4"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rPr>
        <w:t>14、</w:t>
      </w:r>
      <w:r>
        <w:rPr>
          <w:rFonts w:ascii="宋体" w:hAnsi="宋体" w:hint="eastAsia"/>
          <w:kern w:val="0"/>
          <w:szCs w:val="21"/>
        </w:rPr>
        <w:t>第三方机构服务的风险</w:t>
      </w:r>
    </w:p>
    <w:p w14:paraId="65545EE7"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基金的多项服务委托第三方机构办理，存在以下风险：</w:t>
      </w:r>
    </w:p>
    <w:p w14:paraId="70C9ACBD"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（1）申购赎回代理券商因多种原因，导致代理申购、赎回业务受到限制、暂停或终止，由此影响对投资者申购赎回服务的风险。</w:t>
      </w:r>
    </w:p>
    <w:p w14:paraId="03F4D34A"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（2）登记结算机构可能调整结算制度，如实施货银对付制度，对投资者基金份额、组</w:t>
      </w:r>
      <w:r>
        <w:rPr>
          <w:rFonts w:ascii="宋体" w:hAnsi="宋体" w:hint="eastAsia"/>
          <w:kern w:val="0"/>
          <w:szCs w:val="21"/>
        </w:rPr>
        <w:lastRenderedPageBreak/>
        <w:t>合证券及资金的结算方式发生变化，制度调整可能给投资者带来理解偏差的风险。同样的风险还可能来自于证券交易所及其他代理机构。</w:t>
      </w:r>
    </w:p>
    <w:p w14:paraId="625A5E7A" w14:textId="77777777" w:rsidR="0082364D" w:rsidRDefault="00BF2824">
      <w:pPr>
        <w:spacing w:line="360" w:lineRule="auto"/>
        <w:ind w:firstLineChars="200" w:firstLine="420"/>
        <w:jc w:val="left"/>
        <w:rPr>
          <w:rFonts w:ascii="宋体" w:hAnsi="宋体"/>
          <w:kern w:val="0"/>
          <w:szCs w:val="21"/>
        </w:rPr>
      </w:pPr>
      <w:r>
        <w:rPr>
          <w:rFonts w:ascii="宋体" w:hAnsi="宋体" w:hint="eastAsia"/>
          <w:kern w:val="0"/>
          <w:szCs w:val="21"/>
        </w:rPr>
        <w:t>（3）证券交易所、登记结算机构、基金托管人、申购赎回代理券商及其他代理机构可能违约，导致基金或投资者利益受损的风险。</w:t>
      </w:r>
    </w:p>
    <w:p w14:paraId="3FE748AF" w14:textId="77777777" w:rsidR="0082364D" w:rsidRDefault="00BF2824">
      <w:pPr>
        <w:spacing w:line="360" w:lineRule="auto"/>
        <w:ind w:firstLineChars="200" w:firstLine="420"/>
        <w:jc w:val="left"/>
        <w:rPr>
          <w:rFonts w:ascii="宋体" w:hAnsi="宋体"/>
          <w:lang w:val="zh-CN"/>
        </w:rPr>
      </w:pPr>
      <w:r>
        <w:rPr>
          <w:rFonts w:ascii="宋体" w:hAnsi="宋体" w:hint="eastAsia"/>
          <w:lang w:val="zh-CN"/>
        </w:rPr>
        <w:t>15、衍生品投资风险</w:t>
      </w:r>
    </w:p>
    <w:p w14:paraId="26DC3DAA" w14:textId="77777777" w:rsidR="0082364D" w:rsidRDefault="00BF2824">
      <w:pPr>
        <w:spacing w:line="360" w:lineRule="auto"/>
        <w:ind w:firstLineChars="200" w:firstLine="420"/>
        <w:jc w:val="left"/>
        <w:rPr>
          <w:rFonts w:ascii="宋体" w:hAnsi="宋体"/>
          <w:lang w:val="zh-CN"/>
        </w:rPr>
      </w:pPr>
      <w:r>
        <w:rPr>
          <w:rFonts w:ascii="宋体" w:hAnsi="宋体" w:hint="eastAsia"/>
          <w:lang w:val="zh-CN"/>
        </w:rPr>
        <w:t>衍生品所特有的风险在于增加组合的杠杆率，放大收益或损失，例如，支付少量保证金或期权费可以获得大量的期货或期权所代表的基础资产的风险敞口，尤其在市场面临突发事件时，可能会导致投资亏损高于初始投资金额，从而对基金收益带来不利影响。此外衍生品的交易可能不够活跃，在市场变化时，可能因无法及时找到交易对手或交易对手方压低报价导致基金资产的额外损失。</w:t>
      </w:r>
    </w:p>
    <w:p w14:paraId="6A365F4C" w14:textId="77777777" w:rsidR="0082364D" w:rsidRDefault="00BF2824">
      <w:pPr>
        <w:spacing w:line="360" w:lineRule="auto"/>
        <w:ind w:firstLineChars="200" w:firstLine="420"/>
        <w:jc w:val="left"/>
        <w:rPr>
          <w:rFonts w:ascii="宋体" w:hAnsi="宋体"/>
          <w:lang w:val="zh-CN"/>
        </w:rPr>
      </w:pPr>
      <w:r>
        <w:rPr>
          <w:rFonts w:ascii="宋体" w:hAnsi="宋体" w:hint="eastAsia"/>
          <w:lang w:val="zh-CN"/>
        </w:rPr>
        <w:t>16、证券借贷/正回购/逆回购风险</w:t>
      </w:r>
    </w:p>
    <w:p w14:paraId="42F2DDD2" w14:textId="77777777" w:rsidR="0082364D" w:rsidRDefault="00BF2824">
      <w:pPr>
        <w:spacing w:line="360" w:lineRule="auto"/>
        <w:ind w:firstLineChars="200" w:firstLine="420"/>
        <w:jc w:val="left"/>
        <w:rPr>
          <w:rFonts w:ascii="宋体" w:hAnsi="宋体"/>
          <w:lang w:val="zh-CN"/>
        </w:rPr>
      </w:pPr>
      <w:r>
        <w:rPr>
          <w:rFonts w:ascii="宋体" w:hAnsi="宋体" w:hint="eastAsia"/>
          <w:lang w:val="zh-CN"/>
        </w:rPr>
        <w:t>证券借贷/正回购/逆回购风险的主要风险在于交易对手风险，具体讲，对于证券借贷，交易期满时借方未如约偿还所借证券，或在交易期间未如约支付已借出证券产生的所有股息、利息和分红；对于正回购，交易期满时买方未如约卖回已买入证券，或在交易期间未如约支付售出证券产生的所有股息、利息和分红；对于逆回购，交易期满时卖方未如约买回已售出证券。</w:t>
      </w:r>
    </w:p>
    <w:p w14:paraId="7A349AC0" w14:textId="7CA42D9E" w:rsidR="0082364D" w:rsidRDefault="00BF2824">
      <w:pPr>
        <w:spacing w:line="360" w:lineRule="auto"/>
        <w:ind w:firstLineChars="200" w:firstLine="420"/>
        <w:jc w:val="left"/>
        <w:rPr>
          <w:rFonts w:ascii="宋体" w:hAnsi="宋体"/>
          <w:bCs/>
        </w:rPr>
      </w:pPr>
      <w:r>
        <w:rPr>
          <w:rFonts w:ascii="宋体" w:hAnsi="宋体"/>
        </w:rPr>
        <w:t>17</w:t>
      </w:r>
      <w:r>
        <w:rPr>
          <w:rFonts w:ascii="宋体" w:hAnsi="宋体" w:hint="eastAsia"/>
        </w:rPr>
        <w:t>、境内</w:t>
      </w:r>
      <w:r>
        <w:rPr>
          <w:rFonts w:ascii="宋体" w:hAnsi="宋体" w:hint="eastAsia"/>
          <w:bCs/>
        </w:rPr>
        <w:t>资产支持证券投资风险</w:t>
      </w:r>
    </w:p>
    <w:p w14:paraId="2A1E5A1A" w14:textId="4CAAF61F" w:rsidR="0082364D" w:rsidRDefault="00BF2824">
      <w:pPr>
        <w:spacing w:line="360" w:lineRule="auto"/>
        <w:ind w:firstLineChars="200" w:firstLine="420"/>
        <w:jc w:val="left"/>
        <w:rPr>
          <w:rFonts w:ascii="宋体" w:hAnsi="宋体"/>
          <w:bCs/>
        </w:rPr>
      </w:pPr>
      <w:r>
        <w:rPr>
          <w:rFonts w:ascii="宋体" w:hAnsi="宋体" w:hint="eastAsia"/>
          <w:bCs/>
        </w:rPr>
        <w:t>本基金投资资产支持证券，资产本身质量的变化将影响到未来产生现金流的确定性和稳定性。另外证券化过程中也存在信用评级风险、风险隔离风险、法律风险等。</w:t>
      </w:r>
    </w:p>
    <w:p w14:paraId="697370AF" w14:textId="4CC838B1"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8</w:t>
      </w:r>
      <w:r>
        <w:rPr>
          <w:rFonts w:ascii="宋体" w:hAnsi="宋体" w:hint="eastAsia"/>
          <w:bCs/>
        </w:rPr>
        <w:t>、存托凭证投资风险</w:t>
      </w:r>
    </w:p>
    <w:p w14:paraId="0CB6D03B" w14:textId="0B3D1243" w:rsidR="0082364D" w:rsidRDefault="00BF2824">
      <w:pPr>
        <w:spacing w:line="360" w:lineRule="auto"/>
        <w:ind w:firstLineChars="200" w:firstLine="420"/>
        <w:jc w:val="left"/>
        <w:rPr>
          <w:rFonts w:ascii="宋体" w:hAnsi="宋体"/>
          <w:bCs/>
        </w:rPr>
      </w:pPr>
      <w:r>
        <w:rPr>
          <w:rFonts w:ascii="宋体" w:hAnsi="宋体" w:hint="eastAsia"/>
          <w:bCs/>
        </w:rPr>
        <w:t>本基金的投资范围包括存托凭证，除与其他仅投资于境内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5C5F1510"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9</w:t>
      </w:r>
      <w:r>
        <w:rPr>
          <w:rFonts w:ascii="宋体" w:hAnsi="宋体" w:hint="eastAsia"/>
          <w:bCs/>
        </w:rPr>
        <w:t>、境内参与融资及转融通证券出借业务的风险</w:t>
      </w:r>
    </w:p>
    <w:p w14:paraId="46B7F867" w14:textId="77777777" w:rsidR="0082364D" w:rsidRDefault="00BF2824">
      <w:pPr>
        <w:spacing w:line="360" w:lineRule="auto"/>
        <w:ind w:firstLineChars="200" w:firstLine="420"/>
        <w:jc w:val="left"/>
        <w:rPr>
          <w:rFonts w:ascii="宋体" w:hAnsi="宋体"/>
        </w:rPr>
      </w:pPr>
      <w:r>
        <w:rPr>
          <w:rFonts w:ascii="宋体" w:hAnsi="宋体" w:hint="eastAsia"/>
          <w:bCs/>
        </w:rPr>
        <w:t>本基金可参与融资及转融通证券出借业务。本基金参与融资业务在放大收益的同时也</w:t>
      </w:r>
      <w:r>
        <w:rPr>
          <w:rFonts w:ascii="宋体" w:hAnsi="宋体" w:hint="eastAsia"/>
          <w:bCs/>
        </w:rPr>
        <w:lastRenderedPageBreak/>
        <w:t>放大了风险，类似于期货交易，融资业务在交易过程中需要全程监控其担保金的比例，以保证其不低于所要求的维持担保比率，这种“盯市”的方式对本基金流动性的管理提出了更高的要求。本基金参与转融通证券出借业务可能面临相应的流动性风险、信用风险及市场风险。</w:t>
      </w:r>
    </w:p>
    <w:p w14:paraId="1AC16F59" w14:textId="77777777" w:rsidR="0082364D" w:rsidRDefault="00BF2824">
      <w:pPr>
        <w:spacing w:line="360" w:lineRule="auto"/>
        <w:ind w:firstLineChars="200" w:firstLine="420"/>
        <w:jc w:val="left"/>
        <w:rPr>
          <w:rFonts w:ascii="宋体" w:hAnsi="宋体"/>
          <w:lang w:val="zh-CN"/>
        </w:rPr>
      </w:pPr>
      <w:r>
        <w:rPr>
          <w:rFonts w:ascii="宋体" w:hAnsi="宋体" w:hint="eastAsia"/>
        </w:rPr>
        <w:t>（七）</w:t>
      </w:r>
      <w:r>
        <w:rPr>
          <w:rFonts w:ascii="宋体" w:hAnsi="宋体" w:hint="eastAsia"/>
          <w:lang w:val="zh-CN"/>
        </w:rPr>
        <w:t>境外投资风险</w:t>
      </w:r>
    </w:p>
    <w:p w14:paraId="09D95A57" w14:textId="77777777" w:rsidR="0082364D" w:rsidRDefault="00BF2824">
      <w:pPr>
        <w:spacing w:line="360" w:lineRule="auto"/>
        <w:ind w:firstLineChars="200" w:firstLine="420"/>
        <w:jc w:val="left"/>
        <w:rPr>
          <w:rFonts w:ascii="宋体" w:hAnsi="宋体"/>
          <w:lang w:val="zh-CN"/>
        </w:rPr>
      </w:pPr>
      <w:r>
        <w:rPr>
          <w:rFonts w:ascii="宋体" w:hAnsi="宋体"/>
          <w:lang w:val="zh-CN"/>
        </w:rPr>
        <w:t>1、境外市场风险</w:t>
      </w:r>
    </w:p>
    <w:p w14:paraId="726B6723" w14:textId="77777777" w:rsidR="0082364D" w:rsidRDefault="00BF2824">
      <w:pPr>
        <w:spacing w:line="360" w:lineRule="auto"/>
        <w:ind w:firstLineChars="200" w:firstLine="420"/>
        <w:jc w:val="left"/>
        <w:rPr>
          <w:rFonts w:ascii="宋体" w:hAnsi="宋体"/>
          <w:lang w:val="zh-CN"/>
        </w:rPr>
      </w:pPr>
      <w:r>
        <w:rPr>
          <w:rFonts w:ascii="宋体" w:hAnsi="宋体" w:hint="eastAsia"/>
          <w:lang w:val="zh-CN"/>
        </w:rPr>
        <w:t>由于本基金投资于境外证券市场，各国或地区处于不同产业景气循环周期位置，将对基金的投资绩效产生影响。境外证券市场可能对于特定事件、该国或地区特有的政治因素、法律法规、市场状况、经济发展趋势的反应较境内证券市场有诸多不同。本基金拟投资美国、香港等境外证券市场，</w:t>
      </w:r>
      <w:r>
        <w:rPr>
          <w:rFonts w:ascii="宋体" w:hAnsi="宋体" w:hint="eastAsia"/>
        </w:rPr>
        <w:t>基金净值会因为境外证券市场波动等因素产生波动</w:t>
      </w:r>
      <w:r>
        <w:rPr>
          <w:rFonts w:ascii="宋体" w:hAnsi="宋体" w:hint="eastAsia"/>
          <w:lang w:val="zh-CN"/>
        </w:rPr>
        <w:t>。以上所述因素可能带来市场的急剧波动，从而带来投资风险的增加。</w:t>
      </w:r>
      <w:r>
        <w:rPr>
          <w:rFonts w:ascii="宋体" w:hAnsi="宋体"/>
          <w:lang w:val="zh-CN"/>
        </w:rPr>
        <w:t xml:space="preserve"> </w:t>
      </w:r>
    </w:p>
    <w:p w14:paraId="1D609803" w14:textId="77777777" w:rsidR="0082364D" w:rsidRDefault="00BF2824">
      <w:pPr>
        <w:spacing w:line="360" w:lineRule="auto"/>
        <w:ind w:firstLineChars="200" w:firstLine="420"/>
        <w:jc w:val="left"/>
        <w:rPr>
          <w:rFonts w:ascii="宋体" w:hAnsi="宋体"/>
          <w:lang w:val="zh-CN"/>
        </w:rPr>
      </w:pPr>
      <w:r>
        <w:rPr>
          <w:rFonts w:ascii="宋体" w:hAnsi="宋体"/>
          <w:lang w:val="zh-CN"/>
        </w:rPr>
        <w:t>2</w:t>
      </w:r>
      <w:r>
        <w:rPr>
          <w:rFonts w:ascii="宋体" w:hAnsi="宋体" w:hint="eastAsia"/>
          <w:lang w:val="zh-CN"/>
        </w:rPr>
        <w:t>、政治风险</w:t>
      </w:r>
    </w:p>
    <w:p w14:paraId="1DB46CF4" w14:textId="77777777" w:rsidR="0082364D" w:rsidRDefault="00BF2824">
      <w:pPr>
        <w:spacing w:line="360" w:lineRule="auto"/>
        <w:ind w:firstLineChars="200" w:firstLine="420"/>
        <w:jc w:val="left"/>
        <w:rPr>
          <w:rFonts w:ascii="宋体" w:hAnsi="宋体"/>
          <w:lang w:val="zh-CN"/>
        </w:rPr>
      </w:pPr>
      <w:r>
        <w:rPr>
          <w:rFonts w:ascii="宋体" w:hAnsi="宋体" w:hint="eastAsia"/>
          <w:lang w:val="zh-CN"/>
        </w:rPr>
        <w:t>基金所投资的国家</w:t>
      </w:r>
      <w:r>
        <w:rPr>
          <w:rFonts w:ascii="宋体" w:hAnsi="宋体"/>
          <w:lang w:val="zh-CN"/>
        </w:rPr>
        <w:t>/地区因政治局势变化(如罢工、暴动、战争等)或法令的变动,可能导致市场的较大波动,从而给本基金的投资收益造成直接或间接的影响。此外,基金所投资的国家/地区可能会不时采取某些管制措施,如资本或外汇管制、对公司或行业的国有化以及征收高额税收等,从而对基金收益以及基金资产带来不利影响。</w:t>
      </w:r>
    </w:p>
    <w:p w14:paraId="2DC49985" w14:textId="77777777" w:rsidR="0082364D" w:rsidRDefault="00BF2824">
      <w:pPr>
        <w:spacing w:line="360" w:lineRule="auto"/>
        <w:ind w:firstLineChars="200" w:firstLine="420"/>
        <w:jc w:val="left"/>
        <w:rPr>
          <w:rFonts w:ascii="宋体" w:hAnsi="宋体"/>
          <w:lang w:val="zh-CN"/>
        </w:rPr>
      </w:pPr>
      <w:r>
        <w:rPr>
          <w:rFonts w:ascii="宋体" w:hAnsi="宋体"/>
          <w:lang w:val="zh-CN"/>
        </w:rPr>
        <w:t>3</w:t>
      </w:r>
      <w:r>
        <w:rPr>
          <w:rFonts w:ascii="宋体" w:hAnsi="宋体" w:hint="eastAsia"/>
          <w:lang w:val="zh-CN"/>
        </w:rPr>
        <w:t>、汇率风险</w:t>
      </w:r>
    </w:p>
    <w:p w14:paraId="6A4244BA" w14:textId="77777777" w:rsidR="0082364D" w:rsidRDefault="00BF2824">
      <w:pPr>
        <w:autoSpaceDE w:val="0"/>
        <w:autoSpaceDN w:val="0"/>
        <w:adjustRightInd w:val="0"/>
        <w:spacing w:line="360" w:lineRule="auto"/>
        <w:ind w:firstLine="420"/>
        <w:jc w:val="left"/>
        <w:rPr>
          <w:rFonts w:ascii="宋体" w:hAnsi="宋体"/>
          <w:color w:val="000000"/>
        </w:rPr>
      </w:pPr>
      <w:r>
        <w:rPr>
          <w:rFonts w:asciiTheme="minorEastAsia" w:eastAsiaTheme="minorEastAsia" w:hAnsiTheme="minorEastAsia" w:hint="eastAsia"/>
          <w:bCs/>
          <w:color w:val="000000" w:themeColor="text1"/>
          <w:szCs w:val="21"/>
        </w:rPr>
        <w:t>本基金投资的海外市场金融品种以外币计价，如果所投资市场的货币相对于人民币贬值，将对基金收益产生不利影响；此外，外币对人民币的汇率大幅波动也可能加大人民币份额基金净值波动的幅度。由于本基金外币份额的净值计算与汇率挂钩，外币对人民币的汇率大幅波动也可能加大外币份额净值波动的幅度</w:t>
      </w:r>
      <w:r>
        <w:rPr>
          <w:rFonts w:ascii="宋体" w:hAnsi="宋体"/>
          <w:lang w:val="zh-CN"/>
        </w:rPr>
        <w:t>。</w:t>
      </w:r>
    </w:p>
    <w:p w14:paraId="0B53835E" w14:textId="77777777" w:rsidR="0082364D" w:rsidRDefault="00BF2824">
      <w:pPr>
        <w:spacing w:line="360" w:lineRule="auto"/>
        <w:ind w:firstLineChars="200" w:firstLine="420"/>
        <w:jc w:val="left"/>
        <w:rPr>
          <w:rFonts w:ascii="宋体" w:hAnsi="宋体"/>
          <w:lang w:val="zh-CN"/>
        </w:rPr>
      </w:pPr>
      <w:r>
        <w:rPr>
          <w:rFonts w:ascii="宋体" w:hAnsi="宋体"/>
          <w:lang w:val="zh-CN"/>
        </w:rPr>
        <w:t>4</w:t>
      </w:r>
      <w:r>
        <w:rPr>
          <w:rFonts w:ascii="宋体" w:hAnsi="宋体" w:hint="eastAsia"/>
          <w:lang w:val="zh-CN"/>
        </w:rPr>
        <w:t>、会计核算风险</w:t>
      </w:r>
    </w:p>
    <w:p w14:paraId="1DE360ED" w14:textId="77777777" w:rsidR="0082364D" w:rsidRDefault="00BF2824">
      <w:pPr>
        <w:spacing w:line="360" w:lineRule="auto"/>
        <w:ind w:firstLineChars="200" w:firstLine="420"/>
        <w:jc w:val="left"/>
        <w:rPr>
          <w:rFonts w:ascii="宋体" w:hAnsi="宋体"/>
          <w:lang w:val="zh-CN"/>
        </w:rPr>
      </w:pPr>
      <w:r>
        <w:rPr>
          <w:rFonts w:ascii="宋体" w:hAnsi="宋体" w:hint="eastAsia"/>
          <w:lang w:val="zh-CN"/>
        </w:rPr>
        <w:t>会计核算风险主要是指由于会计核算及会计管理上违规操作形成的风险或错误。由于各个国家</w:t>
      </w:r>
      <w:r>
        <w:rPr>
          <w:rFonts w:ascii="宋体" w:hAnsi="宋体"/>
          <w:lang w:val="zh-CN"/>
        </w:rPr>
        <w:t>/地区对上市公司日常经营活动的会计处理、财务报表披露等会计核算标准的规定存在一定差异,可能导致基金经理对公司盈利能力、投资价值的判断产生偏差,从而</w:t>
      </w:r>
      <w:r>
        <w:rPr>
          <w:rFonts w:ascii="宋体" w:hAnsi="宋体" w:hint="eastAsia"/>
          <w:lang w:val="zh-CN"/>
        </w:rPr>
        <w:t>给本基金投资带来潜在风险。同时基金管理人在计算、整理、制证、填单、登账、编表、</w:t>
      </w:r>
      <w:r>
        <w:rPr>
          <w:rFonts w:ascii="宋体" w:hAnsi="宋体"/>
          <w:lang w:val="zh-CN"/>
        </w:rPr>
        <w:t xml:space="preserve"> </w:t>
      </w:r>
      <w:r>
        <w:rPr>
          <w:rFonts w:ascii="宋体" w:hAnsi="宋体" w:hint="eastAsia"/>
          <w:lang w:val="zh-CN"/>
        </w:rPr>
        <w:t>保管及其相关业务处理中</w:t>
      </w:r>
      <w:r>
        <w:rPr>
          <w:rFonts w:ascii="宋体" w:hAnsi="宋体"/>
          <w:lang w:val="zh-CN"/>
        </w:rPr>
        <w:t>,可能由于客观原因与非主观故意造成行为过失,从而对基金收益造成影响。</w:t>
      </w:r>
    </w:p>
    <w:p w14:paraId="370A2B48" w14:textId="77777777" w:rsidR="0082364D" w:rsidRDefault="00BF2824">
      <w:pPr>
        <w:spacing w:line="360" w:lineRule="auto"/>
        <w:ind w:firstLineChars="200" w:firstLine="420"/>
        <w:jc w:val="left"/>
        <w:rPr>
          <w:rFonts w:ascii="宋体" w:hAnsi="宋体"/>
          <w:lang w:val="zh-CN"/>
        </w:rPr>
      </w:pPr>
      <w:r>
        <w:rPr>
          <w:rFonts w:ascii="宋体" w:hAnsi="宋体"/>
          <w:lang w:val="zh-CN"/>
        </w:rPr>
        <w:t>5</w:t>
      </w:r>
      <w:r>
        <w:rPr>
          <w:rFonts w:ascii="宋体" w:hAnsi="宋体" w:hint="eastAsia"/>
          <w:lang w:val="zh-CN"/>
        </w:rPr>
        <w:t>、税收风险</w:t>
      </w:r>
    </w:p>
    <w:p w14:paraId="1C2B3210" w14:textId="77777777" w:rsidR="0082364D" w:rsidRDefault="00BF2824">
      <w:pPr>
        <w:spacing w:line="360" w:lineRule="auto"/>
        <w:ind w:firstLineChars="200" w:firstLine="420"/>
        <w:jc w:val="left"/>
        <w:rPr>
          <w:rFonts w:ascii="宋体" w:hAnsi="宋体"/>
          <w:lang w:val="zh-CN"/>
        </w:rPr>
      </w:pPr>
      <w:r>
        <w:rPr>
          <w:rFonts w:ascii="宋体" w:hAnsi="宋体" w:hint="eastAsia"/>
          <w:lang w:val="zh-CN"/>
        </w:rPr>
        <w:t>在投资各国或地区市场时，因各国、地区税务法律法规的不同，可能会就股息、利</w:t>
      </w:r>
      <w:r>
        <w:rPr>
          <w:rFonts w:ascii="宋体" w:hAnsi="宋体" w:hint="eastAsia"/>
          <w:lang w:val="zh-CN"/>
        </w:rPr>
        <w:lastRenderedPageBreak/>
        <w:t>息、资本利得等收益向各国、地区税务机构缴纳税金，包括预扣税，该行为可能会使得资产回报受到一定影响。此外</w:t>
      </w:r>
      <w:r>
        <w:rPr>
          <w:rFonts w:ascii="宋体" w:hAnsi="宋体"/>
          <w:lang w:val="zh-CN"/>
        </w:rPr>
        <w:t xml:space="preserve">,各个国家/地区的税收规定可能发生变化, </w:t>
      </w:r>
      <w:r>
        <w:rPr>
          <w:rFonts w:ascii="宋体" w:hAnsi="宋体" w:hint="eastAsia"/>
          <w:lang w:val="zh-CN"/>
        </w:rPr>
        <w:t>或者实施具有追溯力的修订</w:t>
      </w:r>
      <w:r>
        <w:rPr>
          <w:rFonts w:ascii="宋体" w:hAnsi="宋体"/>
          <w:lang w:val="zh-CN"/>
        </w:rPr>
        <w:t>,从而导致基金向该国家/地区缴纳在基金销售、估值或者出售投资当日并未预计的额外税项。</w:t>
      </w:r>
    </w:p>
    <w:p w14:paraId="402C5F89" w14:textId="77777777" w:rsidR="0082364D" w:rsidRDefault="00BF2824">
      <w:pPr>
        <w:spacing w:line="360" w:lineRule="auto"/>
        <w:ind w:firstLineChars="200" w:firstLine="420"/>
        <w:jc w:val="left"/>
        <w:rPr>
          <w:rFonts w:ascii="宋体" w:hAnsi="宋体"/>
          <w:bCs/>
        </w:rPr>
      </w:pPr>
      <w:r>
        <w:rPr>
          <w:rFonts w:ascii="宋体" w:hAnsi="宋体" w:hint="eastAsia"/>
        </w:rPr>
        <w:t>（八）</w:t>
      </w:r>
      <w:r>
        <w:rPr>
          <w:rFonts w:ascii="宋体" w:hAnsi="宋体" w:hint="eastAsia"/>
          <w:bCs/>
        </w:rPr>
        <w:t>引入境外托管人的风险</w:t>
      </w:r>
    </w:p>
    <w:p w14:paraId="0159EECE" w14:textId="77777777" w:rsidR="0082364D" w:rsidRDefault="00BF2824">
      <w:pPr>
        <w:spacing w:line="360" w:lineRule="auto"/>
        <w:ind w:firstLineChars="200" w:firstLine="420"/>
        <w:jc w:val="left"/>
        <w:rPr>
          <w:rFonts w:ascii="宋体" w:hAnsi="宋体"/>
        </w:rPr>
      </w:pPr>
      <w:r>
        <w:rPr>
          <w:rFonts w:ascii="宋体" w:hAnsi="宋体" w:hint="eastAsia"/>
        </w:rPr>
        <w:t>本基金由境外托管人提供境外资产托管服务，存在因适用法律不同导致基金资产损失的风险：由于境外所适用法律法规与中国法律法规有所不同的原因，可能导致本基金的某些投资及运作行为在境外受到限制或合同不能正常执行，从而使得基金资产面临损失风险。</w:t>
      </w:r>
    </w:p>
    <w:p w14:paraId="722AF4C1" w14:textId="77777777" w:rsidR="0082364D" w:rsidRDefault="00BF2824">
      <w:pPr>
        <w:spacing w:line="360" w:lineRule="auto"/>
        <w:ind w:firstLineChars="200" w:firstLine="420"/>
        <w:jc w:val="left"/>
        <w:rPr>
          <w:rFonts w:ascii="宋体" w:hAnsi="宋体"/>
        </w:rPr>
      </w:pPr>
      <w:r>
        <w:rPr>
          <w:rFonts w:ascii="宋体" w:hAnsi="宋体" w:hint="eastAsia"/>
        </w:rPr>
        <w:t>（九）基金合同自动终止的风险</w:t>
      </w:r>
    </w:p>
    <w:p w14:paraId="74FC787D" w14:textId="77777777" w:rsidR="0082364D" w:rsidRDefault="00BF2824">
      <w:pPr>
        <w:spacing w:line="360" w:lineRule="auto"/>
        <w:ind w:firstLineChars="200" w:firstLine="420"/>
        <w:jc w:val="left"/>
        <w:rPr>
          <w:rFonts w:ascii="宋体" w:hAnsi="宋体"/>
        </w:rPr>
      </w:pPr>
      <w:r>
        <w:rPr>
          <w:rFonts w:ascii="宋体" w:hAnsi="宋体" w:hint="eastAsia"/>
        </w:rPr>
        <w:t>基金合同生效后，连续50个工作日出现基金份额持有人数量不满200人或者基金资产净值低于5000万元情形的，基金管理人经与基金托管人协商一致，可对本基金进行清算，终止基金合同，无需召开基金份额持有人大会进行表决，故基金份额持有人面临基金合同自动终止的风险。</w:t>
      </w:r>
    </w:p>
    <w:p w14:paraId="14A739D7" w14:textId="77777777" w:rsidR="0082364D" w:rsidRDefault="00BF2824">
      <w:pPr>
        <w:spacing w:line="360" w:lineRule="auto"/>
        <w:ind w:firstLineChars="200" w:firstLine="420"/>
        <w:jc w:val="left"/>
        <w:rPr>
          <w:rFonts w:ascii="宋体" w:hAnsi="宋体"/>
        </w:rPr>
      </w:pPr>
      <w:r>
        <w:rPr>
          <w:rFonts w:ascii="宋体" w:hAnsi="宋体" w:hint="eastAsia"/>
        </w:rPr>
        <w:t>（十）其他</w:t>
      </w:r>
      <w:r>
        <w:rPr>
          <w:rFonts w:ascii="宋体" w:hAnsi="宋体"/>
        </w:rPr>
        <w:t>风险</w:t>
      </w:r>
    </w:p>
    <w:p w14:paraId="6E62AC44" w14:textId="77777777" w:rsidR="0082364D" w:rsidRDefault="00BF2824">
      <w:pPr>
        <w:spacing w:line="360" w:lineRule="auto"/>
        <w:ind w:firstLineChars="200" w:firstLine="420"/>
        <w:jc w:val="left"/>
        <w:rPr>
          <w:rFonts w:ascii="宋体" w:hAnsi="宋体"/>
          <w:kern w:val="0"/>
        </w:rPr>
      </w:pPr>
      <w:r>
        <w:rPr>
          <w:rFonts w:ascii="宋体" w:hAnsi="宋体"/>
          <w:kern w:val="0"/>
        </w:rPr>
        <w:t>战争、自然灾害等不可抗力可能导致基金财产有遭受损失的风险。基金管理人、基金托管人、证券交易所、登记结算机构和销售代理机构等可能因不可抗力无法正常工作，从而影响基金的各项业务按正常时限完成。</w:t>
      </w:r>
    </w:p>
    <w:p w14:paraId="5A77B1A0" w14:textId="77777777" w:rsidR="0082364D" w:rsidRDefault="0082364D">
      <w:pPr>
        <w:spacing w:line="360" w:lineRule="auto"/>
        <w:ind w:firstLineChars="200" w:firstLine="420"/>
        <w:jc w:val="left"/>
        <w:rPr>
          <w:rFonts w:ascii="宋体" w:hAnsi="宋体"/>
        </w:rPr>
      </w:pPr>
    </w:p>
    <w:p w14:paraId="3CE629F5" w14:textId="77777777" w:rsidR="0082364D" w:rsidRDefault="00BF2824">
      <w:pPr>
        <w:pStyle w:val="1"/>
        <w:spacing w:before="120" w:after="120" w:line="360" w:lineRule="auto"/>
        <w:jc w:val="center"/>
        <w:rPr>
          <w:rFonts w:ascii="宋体" w:hAnsi="宋体"/>
          <w:sz w:val="28"/>
        </w:rPr>
      </w:pPr>
      <w:r>
        <w:rPr>
          <w:rFonts w:ascii="宋体" w:hAnsi="宋体"/>
          <w:sz w:val="28"/>
          <w:szCs w:val="28"/>
        </w:rPr>
        <w:br w:type="page"/>
      </w:r>
      <w:bookmarkStart w:id="26" w:name="_Toc108598515"/>
      <w:r>
        <w:rPr>
          <w:rFonts w:ascii="宋体" w:hAnsi="宋体" w:hint="eastAsia"/>
          <w:sz w:val="28"/>
        </w:rPr>
        <w:lastRenderedPageBreak/>
        <w:t>四</w:t>
      </w:r>
      <w:r>
        <w:rPr>
          <w:rFonts w:ascii="宋体" w:hAnsi="宋体"/>
          <w:sz w:val="28"/>
        </w:rPr>
        <w:t>、基金的投资</w:t>
      </w:r>
      <w:bookmarkEnd w:id="26"/>
    </w:p>
    <w:p w14:paraId="64E465E2" w14:textId="77777777" w:rsidR="0082364D" w:rsidRDefault="00BF2824">
      <w:pPr>
        <w:spacing w:line="360" w:lineRule="auto"/>
        <w:ind w:firstLineChars="200" w:firstLine="420"/>
        <w:jc w:val="left"/>
        <w:rPr>
          <w:rFonts w:ascii="宋体" w:hAnsi="宋体"/>
          <w:bCs/>
        </w:rPr>
      </w:pPr>
      <w:bookmarkStart w:id="27" w:name="_Hlk47304812"/>
      <w:bookmarkStart w:id="28" w:name="_Hlk128086443"/>
      <w:r>
        <w:rPr>
          <w:rFonts w:ascii="宋体" w:hAnsi="宋体" w:hint="eastAsia"/>
          <w:bCs/>
        </w:rPr>
        <w:t>（一）</w:t>
      </w:r>
      <w:r>
        <w:rPr>
          <w:rFonts w:ascii="宋体" w:hAnsi="宋体"/>
          <w:bCs/>
        </w:rPr>
        <w:t>投资目标</w:t>
      </w:r>
    </w:p>
    <w:p w14:paraId="29256CB0" w14:textId="0FA2F6F7" w:rsidR="0082364D" w:rsidRDefault="00BF2824">
      <w:pPr>
        <w:spacing w:line="360" w:lineRule="auto"/>
        <w:ind w:firstLineChars="200" w:firstLine="420"/>
        <w:jc w:val="left"/>
        <w:rPr>
          <w:rFonts w:ascii="宋体" w:hAnsi="宋体"/>
          <w:bCs/>
        </w:rPr>
      </w:pPr>
      <w:r>
        <w:rPr>
          <w:rFonts w:ascii="宋体" w:hAnsi="宋体" w:hint="eastAsia"/>
          <w:bCs/>
        </w:rPr>
        <w:t>本基金紧密跟踪标的指数，追求跟踪偏离度和跟踪误差的最小化，本基金力争日均跟踪偏离度的绝对值不超过0.35%，年跟踪误差不超过4%。</w:t>
      </w:r>
    </w:p>
    <w:p w14:paraId="1BC770C2" w14:textId="77777777" w:rsidR="0082364D" w:rsidRDefault="00BF2824">
      <w:pPr>
        <w:spacing w:line="360" w:lineRule="auto"/>
        <w:ind w:firstLineChars="200" w:firstLine="420"/>
        <w:jc w:val="left"/>
        <w:rPr>
          <w:rFonts w:ascii="宋体" w:hAnsi="宋体"/>
          <w:bCs/>
        </w:rPr>
      </w:pPr>
      <w:r>
        <w:rPr>
          <w:rFonts w:ascii="宋体" w:hAnsi="宋体" w:hint="eastAsia"/>
          <w:bCs/>
        </w:rPr>
        <w:t>（二）</w:t>
      </w:r>
      <w:r>
        <w:rPr>
          <w:rFonts w:ascii="宋体" w:hAnsi="宋体"/>
          <w:bCs/>
        </w:rPr>
        <w:t>投资范围</w:t>
      </w:r>
    </w:p>
    <w:p w14:paraId="4D3D8DA1" w14:textId="77777777" w:rsidR="0082364D" w:rsidRDefault="00BF2824">
      <w:pPr>
        <w:spacing w:line="360" w:lineRule="auto"/>
        <w:ind w:firstLineChars="200" w:firstLine="420"/>
        <w:jc w:val="left"/>
        <w:rPr>
          <w:rFonts w:ascii="宋体" w:hAnsi="宋体"/>
          <w:bCs/>
        </w:rPr>
      </w:pPr>
      <w:r>
        <w:rPr>
          <w:rFonts w:ascii="宋体" w:hAnsi="宋体" w:hint="eastAsia"/>
          <w:bCs/>
        </w:rPr>
        <w:t>本基金主要投资于标的指数成份股、备选成份股（含中国存托凭证、美国存托凭证、全球存托凭证，下同）。此外，为更好地实现投资目标，本基金可参与其他境外市场投资工具和境内市场投资工具投资。</w:t>
      </w:r>
    </w:p>
    <w:p w14:paraId="4D6F3A72" w14:textId="77777777" w:rsidR="0082364D" w:rsidRDefault="00BF2824">
      <w:pPr>
        <w:spacing w:line="360" w:lineRule="auto"/>
        <w:ind w:firstLineChars="200" w:firstLine="420"/>
        <w:jc w:val="left"/>
        <w:rPr>
          <w:rFonts w:ascii="宋体" w:hAnsi="宋体"/>
          <w:bCs/>
        </w:rPr>
      </w:pPr>
      <w:r>
        <w:rPr>
          <w:rFonts w:ascii="宋体" w:hAnsi="宋体" w:hint="eastAsia"/>
          <w:bCs/>
        </w:rPr>
        <w:t>境外市场投资工具包括在已与中国证监会签署双边监管合作谅解备忘录的国家或地区证券监管机构登记注册的公募基金（包括开放式基金和交易型开放式基金（ETF））；香港联合交易所上市的股票（含港股通标的股票）；已与中国证监会签署双边监管合作谅解备忘录的国家或地区证券市场挂牌交易的普通股、优先股、全球存托凭证和美国存托凭证、房地产信托凭证；政府债券、公司债券、可转换债券、住房按揭支持证券、资产支持证券以及经中国证监会认可的国际金融组织发行的证券；银行存款、可转让存单、银行承兑汇票、银行票据、商业票据、回购协议、短期政府债券等货币市场工具；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其中，对于非成份股、备选成份股的投资部分，本基金若投资于香港市场的，可通过合格境内机构投资者（QDII）境外投资额度或内地与香港股票市场交易互联互通机制进行投资。</w:t>
      </w:r>
    </w:p>
    <w:p w14:paraId="3F2202E7" w14:textId="77777777" w:rsidR="0082364D" w:rsidRDefault="00BF2824">
      <w:pPr>
        <w:spacing w:line="360" w:lineRule="auto"/>
        <w:ind w:firstLineChars="200" w:firstLine="420"/>
        <w:jc w:val="left"/>
        <w:rPr>
          <w:rFonts w:ascii="宋体" w:hAnsi="宋体"/>
          <w:bCs/>
        </w:rPr>
      </w:pPr>
      <w:r>
        <w:rPr>
          <w:rFonts w:ascii="宋体" w:hAnsi="宋体" w:hint="eastAsia"/>
          <w:bCs/>
        </w:rPr>
        <w:t>境内市场投资工具包括国内依法发行上市的其他股票（包括主板、创业板及其他中国证监会允许基金投资的股票）、中国存托凭证、债券（包括国债、央行票据、金融债、企业债、公司债、中期票据、短期融资券、超短期融资券、次级债、地方政府债券、可转换债券（含可分离交易可转债）、可交换债券及其他经中国证监会允许投资的债券）、货币市场工具、同业存单、债券回购、资产支持证券、银行存款、股指期货、国债期货、股票期权以及法律法规或中国证监会允许基金投资的其他金融工具（但须符合中国证监会的相关规定）。本基金可根据相关法律法规和基金合同的约定，参与融资业务和转融通证券出借业务。</w:t>
      </w:r>
    </w:p>
    <w:p w14:paraId="16D62971" w14:textId="77777777" w:rsidR="0082364D" w:rsidRDefault="00BF2824">
      <w:pPr>
        <w:spacing w:line="360" w:lineRule="auto"/>
        <w:ind w:firstLineChars="200" w:firstLine="420"/>
        <w:jc w:val="left"/>
        <w:rPr>
          <w:rFonts w:ascii="宋体" w:hAnsi="宋体"/>
          <w:bCs/>
        </w:rPr>
      </w:pPr>
      <w:r>
        <w:rPr>
          <w:rFonts w:ascii="宋体" w:hAnsi="宋体" w:hint="eastAsia"/>
          <w:bCs/>
        </w:rPr>
        <w:lastRenderedPageBreak/>
        <w:t>如法律法规或监管机构以后允许基金投资其他品种，基金管理人在履行适当程序后，可以将其纳入本基金的投资范围。</w:t>
      </w:r>
    </w:p>
    <w:p w14:paraId="713C9CEF" w14:textId="152A7A6A" w:rsidR="0082364D" w:rsidRDefault="00BF2824">
      <w:pPr>
        <w:spacing w:line="360" w:lineRule="auto"/>
        <w:ind w:firstLineChars="200" w:firstLine="420"/>
        <w:jc w:val="left"/>
        <w:rPr>
          <w:rFonts w:ascii="宋体" w:hAnsi="宋体"/>
          <w:bCs/>
        </w:rPr>
      </w:pPr>
      <w:r>
        <w:rPr>
          <w:rFonts w:ascii="宋体" w:hAnsi="宋体" w:hint="eastAsia"/>
          <w:bCs/>
        </w:rPr>
        <w:t>本基金投资于标的指数成份股及备选成份股的比例不低于基金资产净值的90%，且不低于非现金基金资产的80%，因法律法规的规定而受限制的情形除外。股指期货、股票期权和国债期货及其他金融工具的投资比例符合法律法规和监管机构的规定。</w:t>
      </w:r>
    </w:p>
    <w:p w14:paraId="3D5D7622" w14:textId="77777777" w:rsidR="0082364D" w:rsidRDefault="00BF2824">
      <w:pPr>
        <w:spacing w:line="360" w:lineRule="auto"/>
        <w:ind w:firstLineChars="200" w:firstLine="420"/>
        <w:jc w:val="left"/>
        <w:rPr>
          <w:rFonts w:ascii="宋体" w:hAnsi="宋体"/>
          <w:bCs/>
        </w:rPr>
      </w:pPr>
      <w:r>
        <w:rPr>
          <w:rFonts w:ascii="宋体" w:hAnsi="宋体" w:hint="eastAsia"/>
          <w:bCs/>
        </w:rPr>
        <w:t>（三）</w:t>
      </w:r>
      <w:r>
        <w:rPr>
          <w:rFonts w:ascii="宋体" w:hAnsi="宋体"/>
          <w:bCs/>
        </w:rPr>
        <w:t>投资策略</w:t>
      </w:r>
    </w:p>
    <w:p w14:paraId="4589D330" w14:textId="77777777" w:rsidR="0082364D" w:rsidRDefault="00BF2824">
      <w:pPr>
        <w:spacing w:line="360" w:lineRule="auto"/>
        <w:ind w:firstLineChars="200" w:firstLine="420"/>
        <w:jc w:val="left"/>
        <w:rPr>
          <w:rFonts w:ascii="宋体" w:hAnsi="宋体"/>
          <w:bCs/>
        </w:rPr>
      </w:pPr>
      <w:r>
        <w:rPr>
          <w:rFonts w:ascii="宋体" w:hAnsi="宋体" w:hint="eastAsia"/>
          <w:bCs/>
        </w:rPr>
        <w:t>本基金主要采用完全复制策略及适当的替代性策略以更好地跟踪标的指数，实现基金投资目标。本基金力争日均跟踪偏离度的绝对值不超过0.35%，年跟踪误差不超过4%。</w:t>
      </w:r>
    </w:p>
    <w:p w14:paraId="5377B44C" w14:textId="77777777" w:rsidR="0082364D" w:rsidRDefault="00BF2824">
      <w:pPr>
        <w:spacing w:line="360" w:lineRule="auto"/>
        <w:ind w:firstLineChars="200" w:firstLine="420"/>
        <w:jc w:val="left"/>
        <w:rPr>
          <w:rFonts w:ascii="宋体" w:hAnsi="宋体"/>
          <w:bCs/>
        </w:rPr>
      </w:pPr>
      <w:r>
        <w:rPr>
          <w:rFonts w:ascii="宋体" w:hAnsi="宋体" w:hint="eastAsia"/>
          <w:bCs/>
        </w:rPr>
        <w:t>1、完全复制策略</w:t>
      </w:r>
    </w:p>
    <w:p w14:paraId="324CBBF9" w14:textId="77777777" w:rsidR="0082364D" w:rsidRDefault="00BF2824">
      <w:pPr>
        <w:spacing w:line="360" w:lineRule="auto"/>
        <w:ind w:firstLineChars="200" w:firstLine="420"/>
        <w:jc w:val="left"/>
        <w:rPr>
          <w:rFonts w:ascii="宋体" w:hAnsi="宋体"/>
          <w:bCs/>
        </w:rPr>
      </w:pPr>
      <w:r>
        <w:rPr>
          <w:rFonts w:ascii="宋体" w:hAnsi="宋体" w:hint="eastAsia"/>
          <w:bCs/>
        </w:rPr>
        <w:t>本基金主要采取完全复制法，即按照标的指数成份股及其权重构建基金的股票投资组合，并根据标的指数成份股及其权重的变动对股票投资组合进行相应的调整。</w:t>
      </w:r>
    </w:p>
    <w:p w14:paraId="44D41CAB" w14:textId="77777777" w:rsidR="0082364D" w:rsidRDefault="00BF2824">
      <w:pPr>
        <w:spacing w:line="360" w:lineRule="auto"/>
        <w:ind w:firstLineChars="200" w:firstLine="420"/>
        <w:jc w:val="left"/>
        <w:rPr>
          <w:rFonts w:ascii="宋体" w:hAnsi="宋体"/>
          <w:bCs/>
        </w:rPr>
      </w:pPr>
      <w:r>
        <w:rPr>
          <w:rFonts w:ascii="宋体" w:hAnsi="宋体" w:hint="eastAsia"/>
          <w:bCs/>
        </w:rPr>
        <w:t>2、替代性策略</w:t>
      </w:r>
    </w:p>
    <w:p w14:paraId="185CA477" w14:textId="77777777" w:rsidR="0082364D" w:rsidRDefault="00BF2824">
      <w:pPr>
        <w:spacing w:line="360" w:lineRule="auto"/>
        <w:ind w:firstLineChars="200" w:firstLine="420"/>
        <w:jc w:val="left"/>
        <w:rPr>
          <w:rFonts w:ascii="宋体" w:hAnsi="宋体"/>
          <w:bCs/>
        </w:rPr>
      </w:pPr>
      <w:r>
        <w:rPr>
          <w:rFonts w:ascii="宋体" w:hAnsi="宋体" w:hint="eastAsia"/>
          <w:bCs/>
        </w:rPr>
        <w:t>对于出现市场流动性不足、因法律法规原因个别成份股被限制投资等情况，导致本基金无法获得足够数量的股票时，基金管理人有权通过投资成份股、非成份股、成份股个股衍生品等进行替代。</w:t>
      </w:r>
    </w:p>
    <w:p w14:paraId="351E22A0" w14:textId="77777777" w:rsidR="0082364D" w:rsidRDefault="00BF2824">
      <w:pPr>
        <w:spacing w:line="360" w:lineRule="auto"/>
        <w:ind w:firstLineChars="200" w:firstLine="420"/>
        <w:jc w:val="left"/>
        <w:rPr>
          <w:rFonts w:ascii="宋体" w:hAnsi="宋体"/>
          <w:bCs/>
        </w:rPr>
      </w:pPr>
      <w:r>
        <w:rPr>
          <w:rFonts w:ascii="宋体" w:hAnsi="宋体" w:hint="eastAsia"/>
          <w:bCs/>
        </w:rPr>
        <w:t>3、衍生品投资策略</w:t>
      </w:r>
    </w:p>
    <w:p w14:paraId="60233335" w14:textId="77777777" w:rsidR="0082364D" w:rsidRDefault="00BF2824">
      <w:pPr>
        <w:spacing w:line="360" w:lineRule="auto"/>
        <w:ind w:firstLineChars="200" w:firstLine="420"/>
        <w:jc w:val="left"/>
        <w:rPr>
          <w:rFonts w:ascii="宋体" w:hAnsi="宋体"/>
          <w:bCs/>
        </w:rPr>
      </w:pPr>
      <w:r>
        <w:rPr>
          <w:rFonts w:ascii="宋体" w:hAnsi="宋体" w:hint="eastAsia"/>
          <w:bCs/>
        </w:rPr>
        <w:t>为了更好地实现投资目标，基金还有权投资于远期合约、互换及经中国证监会认可的境外交易所上市交易的权证、期权、期货等金融衍生产品。</w:t>
      </w:r>
    </w:p>
    <w:p w14:paraId="4170655A" w14:textId="77777777" w:rsidR="0082364D" w:rsidRDefault="00BF2824">
      <w:pPr>
        <w:spacing w:line="360" w:lineRule="auto"/>
        <w:ind w:firstLineChars="200" w:firstLine="420"/>
        <w:jc w:val="left"/>
        <w:rPr>
          <w:rFonts w:ascii="宋体" w:hAnsi="宋体"/>
          <w:bCs/>
        </w:rPr>
      </w:pPr>
      <w:r>
        <w:rPr>
          <w:rFonts w:ascii="宋体" w:hAnsi="宋体" w:hint="eastAsia"/>
          <w:bCs/>
        </w:rPr>
        <w:t>本基金投资期货、期权将根据风险管理的原则，主要选择流动性好、交易活跃的衍生品合约，以提高投资效率，从而更好地跟踪标的指数。</w:t>
      </w:r>
    </w:p>
    <w:p w14:paraId="0FECF328" w14:textId="77777777" w:rsidR="0082364D" w:rsidRDefault="00BF2824">
      <w:pPr>
        <w:spacing w:line="360" w:lineRule="auto"/>
        <w:ind w:firstLineChars="200" w:firstLine="420"/>
        <w:jc w:val="left"/>
        <w:rPr>
          <w:rFonts w:ascii="宋体" w:hAnsi="宋体"/>
          <w:bCs/>
        </w:rPr>
      </w:pPr>
      <w:r>
        <w:rPr>
          <w:rFonts w:ascii="宋体" w:hAnsi="宋体" w:hint="eastAsia"/>
          <w:bCs/>
        </w:rPr>
        <w:t>在股指期货投资上，本基金日常会根据市场情况进行投资决策，主要通过买入股指期货替代现货策略、套期保值策略等实现对标的指数的跟踪。同时，投资股指期货也可以提高产品的资金效率，与基金申购赎回机制相匹配，使基金组合有较为充足的现金，更好地进行流动性管理。</w:t>
      </w:r>
    </w:p>
    <w:p w14:paraId="1039079F" w14:textId="77777777" w:rsidR="0082364D" w:rsidRDefault="00BF2824">
      <w:pPr>
        <w:spacing w:line="360" w:lineRule="auto"/>
        <w:ind w:firstLineChars="200" w:firstLine="420"/>
        <w:jc w:val="left"/>
        <w:rPr>
          <w:rFonts w:ascii="宋体" w:hAnsi="宋体"/>
          <w:bCs/>
        </w:rPr>
      </w:pPr>
      <w:r>
        <w:rPr>
          <w:rFonts w:ascii="宋体" w:hAnsi="宋体" w:hint="eastAsia"/>
          <w:bCs/>
        </w:rPr>
        <w:t>在国债期货投资上，本基金将根据风险管理、套期保值的原则，充分考虑国债期货的流动性和风险收益特征，在风险可控的前提下，适度参与国债期货投资。</w:t>
      </w:r>
    </w:p>
    <w:p w14:paraId="76E61A2D" w14:textId="77777777" w:rsidR="0082364D" w:rsidRDefault="00BF2824">
      <w:pPr>
        <w:spacing w:line="360" w:lineRule="auto"/>
        <w:ind w:firstLineChars="200" w:firstLine="420"/>
        <w:jc w:val="left"/>
        <w:rPr>
          <w:rFonts w:ascii="宋体" w:hAnsi="宋体"/>
          <w:bCs/>
        </w:rPr>
      </w:pPr>
      <w:r>
        <w:rPr>
          <w:rFonts w:ascii="宋体" w:hAnsi="宋体" w:hint="eastAsia"/>
          <w:bCs/>
        </w:rPr>
        <w:t>在股票期权投资上，本基金以套期保值为主要目的，将根据风险管理的原则，充分考虑股票期权的流动性和风险收益特征，在风险可控的前提下，采取备兑开仓、delta中性等策略适度参与股票期权投资。</w:t>
      </w:r>
    </w:p>
    <w:p w14:paraId="7487321F" w14:textId="77777777" w:rsidR="0082364D" w:rsidRDefault="00BF2824">
      <w:pPr>
        <w:spacing w:line="360" w:lineRule="auto"/>
        <w:ind w:firstLineChars="200" w:firstLine="420"/>
        <w:jc w:val="left"/>
        <w:rPr>
          <w:rFonts w:ascii="宋体" w:hAnsi="宋体"/>
          <w:bCs/>
        </w:rPr>
      </w:pPr>
      <w:r>
        <w:rPr>
          <w:rFonts w:ascii="宋体" w:hAnsi="宋体" w:hint="eastAsia"/>
          <w:bCs/>
        </w:rPr>
        <w:t>为了更好地跟踪标的指数，本基金还将通过投资外汇期货来管理基金投资以及应对申</w:t>
      </w:r>
      <w:r>
        <w:rPr>
          <w:rFonts w:ascii="宋体" w:hAnsi="宋体" w:hint="eastAsia"/>
          <w:bCs/>
        </w:rPr>
        <w:lastRenderedPageBreak/>
        <w:t>购赎回过程中的汇率风险。</w:t>
      </w:r>
    </w:p>
    <w:p w14:paraId="019AC02F" w14:textId="77777777" w:rsidR="0082364D" w:rsidRDefault="00BF2824">
      <w:pPr>
        <w:spacing w:line="360" w:lineRule="auto"/>
        <w:ind w:firstLineChars="200" w:firstLine="420"/>
        <w:jc w:val="left"/>
        <w:rPr>
          <w:rFonts w:ascii="宋体" w:hAnsi="宋体"/>
          <w:bCs/>
        </w:rPr>
      </w:pPr>
      <w:r>
        <w:rPr>
          <w:rFonts w:ascii="宋体" w:hAnsi="宋体" w:hint="eastAsia"/>
          <w:bCs/>
        </w:rPr>
        <w:t>4、债券投资策略</w:t>
      </w:r>
    </w:p>
    <w:p w14:paraId="28CB745D" w14:textId="77777777" w:rsidR="0082364D" w:rsidRDefault="00BF2824">
      <w:pPr>
        <w:spacing w:line="360" w:lineRule="auto"/>
        <w:ind w:firstLineChars="200" w:firstLine="420"/>
        <w:jc w:val="left"/>
        <w:rPr>
          <w:rFonts w:ascii="宋体" w:hAnsi="宋体"/>
          <w:bCs/>
        </w:rPr>
      </w:pPr>
      <w:r>
        <w:rPr>
          <w:rFonts w:ascii="宋体" w:hAnsi="宋体" w:hint="eastAsia"/>
          <w:bCs/>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203BCA7C" w14:textId="77777777" w:rsidR="0082364D" w:rsidRDefault="00BF2824">
      <w:pPr>
        <w:spacing w:line="360" w:lineRule="auto"/>
        <w:ind w:firstLineChars="200" w:firstLine="420"/>
        <w:jc w:val="left"/>
        <w:rPr>
          <w:rFonts w:ascii="宋体" w:hAnsi="宋体"/>
          <w:bCs/>
        </w:rPr>
      </w:pPr>
      <w:r>
        <w:rPr>
          <w:rFonts w:ascii="宋体" w:hAnsi="宋体" w:hint="eastAsia"/>
          <w:bCs/>
        </w:rPr>
        <w:t>5、可转换债券投资策略</w:t>
      </w:r>
    </w:p>
    <w:p w14:paraId="30D3CCF4" w14:textId="77777777" w:rsidR="0082364D" w:rsidRDefault="00BF2824">
      <w:pPr>
        <w:spacing w:line="360" w:lineRule="auto"/>
        <w:ind w:firstLineChars="200" w:firstLine="420"/>
        <w:jc w:val="left"/>
        <w:rPr>
          <w:rFonts w:ascii="宋体" w:hAnsi="宋体"/>
          <w:bCs/>
        </w:rPr>
      </w:pPr>
      <w:r>
        <w:rPr>
          <w:rFonts w:ascii="宋体" w:hAnsi="宋体" w:hint="eastAsia"/>
          <w:bCs/>
        </w:rPr>
        <w:t>可转换债券投资方面，兼具权益类证券与固定收益类证券的特性。本基金一方面将对发债主体的信用基本面进行深入挖掘以明确该可转换债券的债底保护，防范信用风险，另一方面，还会进一步分析标的公司的盈利和成长能力以确定可转换债券中长期的上涨空间。本基金将借鉴信用债的基本面研究，从行业基本面、公司的行业地位、竞争优势、财务稳健性、盈利能力、治理结构等方面进行考察，精选财务稳健、信用违约风险小的可转换债券进行投资。本基金将在定量分析与主动研究相结合的基础上，结合可转换债券定价模型、交易价格以及其转股价值，对可转换债券是否转股制定投资策略以及选择合适的转换时机。</w:t>
      </w:r>
    </w:p>
    <w:p w14:paraId="486A7CED" w14:textId="77777777" w:rsidR="0082364D" w:rsidRDefault="00BF2824">
      <w:pPr>
        <w:spacing w:line="360" w:lineRule="auto"/>
        <w:ind w:firstLineChars="200" w:firstLine="420"/>
        <w:jc w:val="left"/>
        <w:rPr>
          <w:rFonts w:ascii="宋体" w:hAnsi="宋体"/>
          <w:bCs/>
        </w:rPr>
      </w:pPr>
      <w:r>
        <w:rPr>
          <w:rFonts w:ascii="宋体" w:hAnsi="宋体" w:hint="eastAsia"/>
          <w:bCs/>
        </w:rPr>
        <w:t>6、资产支持证券投资策略</w:t>
      </w:r>
    </w:p>
    <w:p w14:paraId="38476ED8" w14:textId="77777777" w:rsidR="0082364D" w:rsidRDefault="00BF2824">
      <w:pPr>
        <w:spacing w:line="360" w:lineRule="auto"/>
        <w:ind w:firstLineChars="200" w:firstLine="420"/>
        <w:jc w:val="left"/>
        <w:rPr>
          <w:rFonts w:ascii="宋体" w:hAnsi="宋体"/>
          <w:bCs/>
        </w:rPr>
      </w:pPr>
      <w:r>
        <w:rPr>
          <w:rFonts w:ascii="宋体" w:hAnsi="宋体" w:hint="eastAsia"/>
          <w:bCs/>
        </w:rPr>
        <w:t>本基金将选择相对价值低估的资产支持证券类属或个券进行投资，并通过期限和品种的分散投资降低组合投资资产支持证券的信用风险、提前偿付风险、利率风险和流动性风险等。同时，依靠纪律化的投资流程和一体化的风险预算机制控制并提高投资组合的风险调整收益。</w:t>
      </w:r>
    </w:p>
    <w:p w14:paraId="2774356E" w14:textId="77777777" w:rsidR="0082364D" w:rsidRDefault="00BF2824">
      <w:pPr>
        <w:spacing w:line="360" w:lineRule="auto"/>
        <w:ind w:firstLineChars="200" w:firstLine="420"/>
        <w:jc w:val="left"/>
        <w:rPr>
          <w:rFonts w:ascii="宋体" w:hAnsi="宋体"/>
          <w:bCs/>
        </w:rPr>
      </w:pPr>
      <w:r>
        <w:rPr>
          <w:rFonts w:ascii="宋体" w:hAnsi="宋体" w:hint="eastAsia"/>
          <w:bCs/>
        </w:rPr>
        <w:t>7、境内外存托凭证投资策略</w:t>
      </w:r>
    </w:p>
    <w:p w14:paraId="30327216" w14:textId="77777777" w:rsidR="0082364D" w:rsidRDefault="00BF2824">
      <w:pPr>
        <w:spacing w:line="360" w:lineRule="auto"/>
        <w:ind w:firstLineChars="200" w:firstLine="420"/>
        <w:jc w:val="left"/>
        <w:rPr>
          <w:rFonts w:ascii="宋体" w:hAnsi="宋体"/>
          <w:bCs/>
        </w:rPr>
      </w:pPr>
      <w:r>
        <w:rPr>
          <w:rFonts w:ascii="宋体" w:hAnsi="宋体" w:hint="eastAsia"/>
          <w:bCs/>
        </w:rPr>
        <w:t>本基金将根据本基金的投资目标和股票投资策略，基于对基础证券投资价值的深入研究判断，进行境内外存托凭证的投资。</w:t>
      </w:r>
    </w:p>
    <w:p w14:paraId="1A4F8784" w14:textId="77777777" w:rsidR="0082364D" w:rsidRDefault="00BF2824">
      <w:pPr>
        <w:spacing w:line="360" w:lineRule="auto"/>
        <w:ind w:firstLineChars="200" w:firstLine="420"/>
        <w:jc w:val="left"/>
        <w:rPr>
          <w:rFonts w:ascii="宋体" w:hAnsi="宋体"/>
          <w:bCs/>
        </w:rPr>
      </w:pPr>
      <w:r>
        <w:rPr>
          <w:rFonts w:ascii="宋体" w:hAnsi="宋体" w:hint="eastAsia"/>
          <w:bCs/>
        </w:rPr>
        <w:t>8、参与融资及转融通证券出借业务策略</w:t>
      </w:r>
    </w:p>
    <w:p w14:paraId="780E9E67" w14:textId="77777777" w:rsidR="0082364D" w:rsidRDefault="00BF2824">
      <w:pPr>
        <w:spacing w:line="360" w:lineRule="auto"/>
        <w:ind w:firstLineChars="200" w:firstLine="420"/>
        <w:jc w:val="left"/>
        <w:rPr>
          <w:rFonts w:ascii="宋体" w:hAnsi="宋体"/>
          <w:bCs/>
        </w:rPr>
      </w:pPr>
      <w:r>
        <w:rPr>
          <w:rFonts w:ascii="宋体" w:hAnsi="宋体" w:hint="eastAsia"/>
          <w:bCs/>
        </w:rPr>
        <w:t>为更好地实现投资目标，在加强风险防范并遵守审慎原则的前提下，本基金可根据投资管理的需要参与融资及转融通证券出借业务。本基金将在分析市场情况、投资者类型与结构、本基金历史申赎数据、出借证券流动性情况等因素，合理确定出借证券的范围、期限和比例。若相关融资及转融通业务的法律法规发生变化，本基金将从其最新规定。</w:t>
      </w:r>
    </w:p>
    <w:p w14:paraId="63DFD23F" w14:textId="77777777" w:rsidR="0082364D" w:rsidRDefault="00BF2824">
      <w:pPr>
        <w:spacing w:line="360" w:lineRule="auto"/>
        <w:ind w:firstLineChars="200" w:firstLine="420"/>
        <w:jc w:val="left"/>
        <w:rPr>
          <w:rFonts w:ascii="宋体" w:hAnsi="宋体"/>
          <w:bCs/>
        </w:rPr>
      </w:pPr>
      <w:r>
        <w:rPr>
          <w:rFonts w:ascii="宋体" w:hAnsi="宋体" w:hint="eastAsia"/>
          <w:bCs/>
        </w:rPr>
        <w:t>9、对于非成份股、备选成份股的投资部分，本基金若投资于香港市场的，可通过合格境内机构投资者（QDII）境外投资额度或内地与香港股票市场交易互联互通机制进行投资。</w:t>
      </w:r>
    </w:p>
    <w:p w14:paraId="1C91AC68" w14:textId="77777777" w:rsidR="0082364D" w:rsidRDefault="00BF2824">
      <w:pPr>
        <w:spacing w:line="360" w:lineRule="auto"/>
        <w:ind w:firstLineChars="200" w:firstLine="420"/>
        <w:jc w:val="left"/>
        <w:rPr>
          <w:rFonts w:ascii="宋体" w:hAnsi="宋体"/>
          <w:bCs/>
        </w:rPr>
      </w:pPr>
      <w:r>
        <w:rPr>
          <w:rFonts w:ascii="宋体" w:hAnsi="宋体" w:hint="eastAsia"/>
          <w:bCs/>
        </w:rPr>
        <w:lastRenderedPageBreak/>
        <w:t>10、境外市场基金投资策略</w:t>
      </w:r>
    </w:p>
    <w:p w14:paraId="1B8FCC61" w14:textId="77777777" w:rsidR="0082364D" w:rsidRDefault="00BF2824">
      <w:pPr>
        <w:spacing w:line="360" w:lineRule="auto"/>
        <w:ind w:firstLineChars="200" w:firstLine="420"/>
        <w:jc w:val="left"/>
        <w:rPr>
          <w:rFonts w:ascii="宋体" w:hAnsi="宋体"/>
          <w:bCs/>
        </w:rPr>
      </w:pPr>
      <w:r>
        <w:rPr>
          <w:rFonts w:ascii="宋体" w:hAnsi="宋体" w:hint="eastAsia"/>
          <w:bCs/>
        </w:rPr>
        <w:t>为实现流动性管理和更好地追踪标的指数等目标，本基金可参与投资与本基金具有相似投资目标、投资策略或追踪与本基金标的指数相同指数的公募基金（包括开放式基金和交易型开放式基金（ETF）），本基金还可参与其他境外市场基金投资。</w:t>
      </w:r>
    </w:p>
    <w:p w14:paraId="76A05A5C" w14:textId="77777777" w:rsidR="0082364D" w:rsidRDefault="00BF2824">
      <w:pPr>
        <w:spacing w:line="360" w:lineRule="auto"/>
        <w:ind w:firstLineChars="200" w:firstLine="420"/>
        <w:jc w:val="left"/>
        <w:rPr>
          <w:rFonts w:ascii="宋体" w:hAnsi="宋体"/>
          <w:bCs/>
        </w:rPr>
      </w:pPr>
      <w:r>
        <w:rPr>
          <w:rFonts w:ascii="宋体" w:hAnsi="宋体" w:hint="eastAsia"/>
          <w:bCs/>
        </w:rPr>
        <w:t>11、此外，为更好地实现投资目标，增加基金收益，弥补基金运作成本，本基金在控制风险的前提下还将参与境外回购交易、境外证券借贷交易等投资。</w:t>
      </w:r>
    </w:p>
    <w:p w14:paraId="5A7907F4" w14:textId="4BF94611" w:rsidR="0082364D" w:rsidRDefault="00BF2824">
      <w:pPr>
        <w:spacing w:line="360" w:lineRule="auto"/>
        <w:ind w:firstLineChars="200" w:firstLine="420"/>
        <w:jc w:val="left"/>
        <w:rPr>
          <w:rFonts w:ascii="宋体" w:hAnsi="宋体"/>
          <w:bCs/>
        </w:rPr>
      </w:pPr>
      <w:r>
        <w:rPr>
          <w:rFonts w:ascii="宋体" w:hAnsi="宋体" w:hint="eastAsia"/>
          <w:bCs/>
        </w:rPr>
        <w:t>未来，随着证券市场投资工具的发展和丰富，本基金还将积极寻求其他投资机会，如法律法规或监管机构以后允许基金投资其他品种，本基金可在履行适当程序后相应调整和更新相关投资策略，并在招募说明书更新中公告。</w:t>
      </w:r>
    </w:p>
    <w:p w14:paraId="7032FB2C" w14:textId="77777777" w:rsidR="0082364D" w:rsidRDefault="00BF2824">
      <w:pPr>
        <w:spacing w:line="360" w:lineRule="auto"/>
        <w:ind w:firstLineChars="200" w:firstLine="420"/>
        <w:jc w:val="left"/>
        <w:rPr>
          <w:rFonts w:ascii="宋体" w:hAnsi="宋体"/>
          <w:bCs/>
        </w:rPr>
      </w:pPr>
      <w:r>
        <w:rPr>
          <w:rFonts w:ascii="宋体" w:hAnsi="宋体" w:hint="eastAsia"/>
          <w:bCs/>
        </w:rPr>
        <w:t>（四）</w:t>
      </w:r>
      <w:r>
        <w:rPr>
          <w:rFonts w:ascii="宋体" w:hAnsi="宋体"/>
          <w:bCs/>
        </w:rPr>
        <w:t>标的指数和业绩比较基准</w:t>
      </w:r>
    </w:p>
    <w:p w14:paraId="6EDAB786" w14:textId="25572AC9" w:rsidR="0082364D" w:rsidRDefault="00BF2824">
      <w:pPr>
        <w:spacing w:line="360" w:lineRule="auto"/>
        <w:ind w:firstLineChars="200" w:firstLine="420"/>
        <w:jc w:val="left"/>
        <w:rPr>
          <w:rFonts w:ascii="宋体" w:hAnsi="宋体"/>
          <w:bCs/>
        </w:rPr>
      </w:pPr>
      <w:r>
        <w:rPr>
          <w:rFonts w:ascii="宋体" w:hAnsi="宋体"/>
          <w:bCs/>
        </w:rPr>
        <w:t>本基金的标的指数为</w:t>
      </w:r>
      <w:r>
        <w:rPr>
          <w:rFonts w:ascii="宋体" w:hAnsi="宋体" w:hint="eastAsia"/>
          <w:bCs/>
        </w:rPr>
        <w:t>纳斯达克100指数</w:t>
      </w:r>
      <w:r>
        <w:rPr>
          <w:rFonts w:ascii="宋体" w:hAnsi="宋体"/>
          <w:bCs/>
        </w:rPr>
        <w:t>，业绩比较基准为</w:t>
      </w:r>
      <w:r>
        <w:rPr>
          <w:rFonts w:ascii="宋体" w:hAnsi="宋体" w:hint="eastAsia"/>
          <w:bCs/>
        </w:rPr>
        <w:t>经估值汇率调整后的纳斯达克100指数收益率</w:t>
      </w:r>
      <w:r>
        <w:rPr>
          <w:rFonts w:ascii="宋体" w:hAnsi="宋体"/>
          <w:bCs/>
        </w:rPr>
        <w:t>。</w:t>
      </w:r>
    </w:p>
    <w:p w14:paraId="57BF894A" w14:textId="77777777" w:rsidR="0082364D" w:rsidRDefault="00BF2824">
      <w:pPr>
        <w:spacing w:line="360" w:lineRule="auto"/>
        <w:ind w:firstLineChars="200" w:firstLine="420"/>
        <w:jc w:val="left"/>
        <w:rPr>
          <w:rFonts w:ascii="宋体" w:hAnsi="宋体"/>
          <w:bCs/>
        </w:rPr>
      </w:pPr>
      <w:r>
        <w:rPr>
          <w:rFonts w:ascii="宋体" w:hAnsi="宋体" w:hint="eastAsia"/>
          <w:bCs/>
        </w:rPr>
        <w:t>未来若出现标的指数不符合要求（因成份股价格波动等指数编制方法变动之外的因素致使标的指数不符合要求的情形除外）、指数编制机构退出、指数编制机构终止指数协议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14:paraId="6A02AE3A" w14:textId="77777777" w:rsidR="0082364D" w:rsidRDefault="00BF2824">
      <w:pPr>
        <w:spacing w:line="360" w:lineRule="auto"/>
        <w:ind w:firstLineChars="200" w:firstLine="420"/>
        <w:jc w:val="left"/>
        <w:rPr>
          <w:rFonts w:ascii="宋体" w:hAnsi="宋体"/>
          <w:bCs/>
        </w:rPr>
      </w:pPr>
      <w:r>
        <w:rPr>
          <w:rFonts w:ascii="宋体" w:hAnsi="宋体" w:hint="eastAsia"/>
          <w:bCs/>
        </w:rPr>
        <w:t>自指数编制机构停止标的指数的编制及发布至解决方案确定期间，基金管理人应按照指数编制机构提供的最近一个交易日的指数信息遵循基金份额持有人利益优先原则维持基金投资运作。</w:t>
      </w:r>
    </w:p>
    <w:p w14:paraId="03E2D8D1" w14:textId="77777777" w:rsidR="0082364D" w:rsidRDefault="00BF2824">
      <w:pPr>
        <w:spacing w:line="360" w:lineRule="auto"/>
        <w:ind w:firstLineChars="200" w:firstLine="420"/>
        <w:jc w:val="left"/>
        <w:rPr>
          <w:rFonts w:ascii="宋体" w:hAnsi="宋体"/>
          <w:bCs/>
        </w:rPr>
      </w:pPr>
      <w:r>
        <w:rPr>
          <w:rFonts w:ascii="宋体" w:hAnsi="宋体" w:hint="eastAsia"/>
          <w:bCs/>
        </w:rPr>
        <w:t>（五）</w:t>
      </w:r>
      <w:r>
        <w:rPr>
          <w:rFonts w:ascii="宋体" w:hAnsi="宋体"/>
          <w:bCs/>
        </w:rPr>
        <w:t>风险收益特征</w:t>
      </w:r>
    </w:p>
    <w:p w14:paraId="30A47310" w14:textId="77777777" w:rsidR="0082364D" w:rsidRDefault="00BF2824">
      <w:pPr>
        <w:spacing w:line="360" w:lineRule="auto"/>
        <w:ind w:firstLineChars="200" w:firstLine="420"/>
        <w:jc w:val="left"/>
        <w:rPr>
          <w:rFonts w:ascii="宋体" w:hAnsi="宋体"/>
          <w:bCs/>
        </w:rPr>
      </w:pPr>
      <w:r>
        <w:rPr>
          <w:rFonts w:ascii="宋体" w:hAnsi="宋体" w:hint="eastAsia"/>
          <w:bCs/>
        </w:rPr>
        <w:t>本基金属于股票型基金，其预期收益及预期风险水平高于混合型基金、债券型基金与货币市场基金。本基金投资于境外证券市场上市的股票，需承担汇率风险以及境外市场的风险。</w:t>
      </w:r>
    </w:p>
    <w:p w14:paraId="2FDEFBF0" w14:textId="1C11334B" w:rsidR="0082364D" w:rsidRDefault="00BF2824">
      <w:pPr>
        <w:spacing w:line="360" w:lineRule="auto"/>
        <w:ind w:firstLineChars="200" w:firstLine="420"/>
        <w:jc w:val="left"/>
        <w:rPr>
          <w:rFonts w:ascii="宋体" w:hAnsi="宋体"/>
          <w:bCs/>
        </w:rPr>
      </w:pPr>
      <w:r>
        <w:rPr>
          <w:rFonts w:ascii="宋体" w:hAnsi="宋体" w:hint="eastAsia"/>
          <w:bCs/>
        </w:rPr>
        <w:t>本基金为股票型指数基金，跟踪纳斯达克100指数，主要投资于标的指数成份股及备选成份股，其风险收益特征与标的指数所表征的市场组合的风险收益特征相似。</w:t>
      </w:r>
    </w:p>
    <w:p w14:paraId="1873F8D6" w14:textId="77777777" w:rsidR="0082364D" w:rsidRDefault="00BF2824">
      <w:pPr>
        <w:spacing w:line="360" w:lineRule="auto"/>
        <w:ind w:firstLineChars="200" w:firstLine="420"/>
        <w:jc w:val="left"/>
        <w:rPr>
          <w:rFonts w:ascii="宋体" w:hAnsi="宋体"/>
          <w:bCs/>
        </w:rPr>
      </w:pPr>
      <w:r>
        <w:rPr>
          <w:rFonts w:ascii="宋体" w:hAnsi="宋体" w:hint="eastAsia"/>
          <w:bCs/>
        </w:rPr>
        <w:t>（六）</w:t>
      </w:r>
      <w:r>
        <w:rPr>
          <w:rFonts w:ascii="宋体" w:hAnsi="宋体"/>
          <w:bCs/>
        </w:rPr>
        <w:t>投资限制</w:t>
      </w:r>
    </w:p>
    <w:p w14:paraId="341DEAA2"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组合限制</w:t>
      </w:r>
    </w:p>
    <w:p w14:paraId="7ABF07DD" w14:textId="77777777" w:rsidR="0082364D" w:rsidRDefault="00BF2824">
      <w:pPr>
        <w:spacing w:line="360" w:lineRule="auto"/>
        <w:ind w:firstLineChars="200" w:firstLine="420"/>
        <w:jc w:val="left"/>
        <w:rPr>
          <w:rFonts w:ascii="宋体" w:hAnsi="宋体"/>
          <w:bCs/>
        </w:rPr>
      </w:pPr>
      <w:r>
        <w:rPr>
          <w:rFonts w:ascii="宋体" w:hAnsi="宋体"/>
          <w:bCs/>
        </w:rPr>
        <w:t>基金的投资组合应遵循以下限制：</w:t>
      </w:r>
    </w:p>
    <w:p w14:paraId="0D9DA046" w14:textId="77777777" w:rsidR="0082364D" w:rsidRDefault="00BF2824">
      <w:pPr>
        <w:spacing w:line="360" w:lineRule="auto"/>
        <w:ind w:firstLineChars="200" w:firstLine="420"/>
        <w:jc w:val="left"/>
        <w:rPr>
          <w:rFonts w:ascii="宋体" w:hAnsi="宋体"/>
          <w:bCs/>
        </w:rPr>
      </w:pPr>
      <w:bookmarkStart w:id="29" w:name="_Hlk125985385"/>
      <w:r>
        <w:rPr>
          <w:rFonts w:ascii="宋体" w:hAnsi="宋体" w:hint="eastAsia"/>
          <w:bCs/>
        </w:rPr>
        <w:lastRenderedPageBreak/>
        <w:t>（</w:t>
      </w:r>
      <w:r>
        <w:rPr>
          <w:rFonts w:ascii="宋体" w:hAnsi="宋体"/>
          <w:bCs/>
        </w:rPr>
        <w:t>1</w:t>
      </w:r>
      <w:r>
        <w:rPr>
          <w:rFonts w:ascii="宋体" w:hAnsi="宋体" w:hint="eastAsia"/>
          <w:bCs/>
        </w:rPr>
        <w:t>）本基金投资于标的指数成份股及备选成份股的比例不低于基金资产净值的90%，且不低于非现金基金资产的80%，因法律法规的规定而受限制的情形除外；</w:t>
      </w:r>
    </w:p>
    <w:p w14:paraId="731A61FC"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2</w:t>
      </w:r>
      <w:r>
        <w:rPr>
          <w:rFonts w:ascii="宋体" w:hAnsi="宋体" w:hint="eastAsia"/>
          <w:bCs/>
        </w:rPr>
        <w:t>）本基金资产总值不超过基金资产净值的</w:t>
      </w:r>
      <w:r>
        <w:rPr>
          <w:rFonts w:ascii="宋体" w:hAnsi="宋体"/>
          <w:bCs/>
        </w:rPr>
        <w:t>140%</w:t>
      </w:r>
      <w:r>
        <w:rPr>
          <w:rFonts w:ascii="宋体" w:hAnsi="宋体" w:hint="eastAsia"/>
          <w:bCs/>
        </w:rPr>
        <w:t>；</w:t>
      </w:r>
    </w:p>
    <w:p w14:paraId="562E0877"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3</w:t>
      </w:r>
      <w:r>
        <w:rPr>
          <w:rFonts w:ascii="宋体" w:hAnsi="宋体" w:hint="eastAsia"/>
          <w:bCs/>
        </w:rPr>
        <w:t>）本基金境外投资组合应遵循以下限制：</w:t>
      </w:r>
    </w:p>
    <w:p w14:paraId="3F07AA40" w14:textId="77777777" w:rsidR="0082364D" w:rsidRDefault="00BF2824">
      <w:pPr>
        <w:spacing w:line="360" w:lineRule="auto"/>
        <w:ind w:firstLineChars="200" w:firstLine="420"/>
        <w:jc w:val="left"/>
        <w:rPr>
          <w:rFonts w:ascii="宋体" w:hAnsi="宋体"/>
          <w:bCs/>
        </w:rPr>
      </w:pPr>
      <w:r>
        <w:rPr>
          <w:rFonts w:ascii="宋体" w:hAnsi="宋体"/>
          <w:bCs/>
        </w:rPr>
        <w:t>1</w:t>
      </w:r>
      <w:r>
        <w:rPr>
          <w:rFonts w:ascii="宋体" w:hAnsi="宋体" w:hint="eastAsia"/>
          <w:bCs/>
        </w:rPr>
        <w:t>）本基金持有同一家银行的存款不得超过基金资产净值的</w:t>
      </w:r>
      <w:r>
        <w:rPr>
          <w:rFonts w:ascii="宋体" w:hAnsi="宋体"/>
          <w:bCs/>
        </w:rPr>
        <w:t>20%</w:t>
      </w:r>
      <w:r>
        <w:rPr>
          <w:rFonts w:ascii="宋体" w:hAnsi="宋体" w:hint="eastAsia"/>
          <w:bCs/>
        </w:rPr>
        <w:t>，其中银行应当是中资商业银行在境外设立的分行或在最近一个会计年度达到中国证监会认可的信用评级机构评级的境外银行，但在基金托管账户的存款不受此限制。</w:t>
      </w:r>
    </w:p>
    <w:p w14:paraId="241B3E1B" w14:textId="77777777" w:rsidR="0082364D" w:rsidRDefault="00BF2824">
      <w:pPr>
        <w:spacing w:line="360" w:lineRule="auto"/>
        <w:ind w:firstLineChars="200" w:firstLine="420"/>
        <w:jc w:val="left"/>
        <w:rPr>
          <w:rFonts w:ascii="宋体" w:hAnsi="宋体"/>
          <w:bCs/>
        </w:rPr>
      </w:pPr>
      <w:r>
        <w:rPr>
          <w:rFonts w:ascii="宋体" w:hAnsi="宋体"/>
          <w:bCs/>
        </w:rPr>
        <w:t>2</w:t>
      </w:r>
      <w:r>
        <w:rPr>
          <w:rFonts w:ascii="宋体" w:hAnsi="宋体" w:hint="eastAsia"/>
          <w:bCs/>
        </w:rPr>
        <w:t>）本基金持有与中国证监会签署双边监管合作谅解备忘录国家或地区以外的其他国家或地区证券市场挂牌交易的证券资产不得超过基金资产净值的</w:t>
      </w:r>
      <w:r>
        <w:rPr>
          <w:rFonts w:ascii="宋体" w:hAnsi="宋体"/>
          <w:bCs/>
        </w:rPr>
        <w:t>10%</w:t>
      </w:r>
      <w:r>
        <w:rPr>
          <w:rFonts w:ascii="宋体" w:hAnsi="宋体" w:hint="eastAsia"/>
          <w:bCs/>
        </w:rPr>
        <w:t>，其中持有任一国家或地区市场的证券资产不得超过基金资产净值的</w:t>
      </w:r>
      <w:r>
        <w:rPr>
          <w:rFonts w:ascii="宋体" w:hAnsi="宋体"/>
          <w:bCs/>
        </w:rPr>
        <w:t>3%</w:t>
      </w:r>
      <w:r>
        <w:rPr>
          <w:rFonts w:ascii="宋体" w:hAnsi="宋体" w:hint="eastAsia"/>
          <w:bCs/>
        </w:rPr>
        <w:t>。</w:t>
      </w:r>
    </w:p>
    <w:p w14:paraId="442A5804" w14:textId="77777777" w:rsidR="0082364D" w:rsidRDefault="00BF2824">
      <w:pPr>
        <w:spacing w:line="360" w:lineRule="auto"/>
        <w:ind w:firstLineChars="200" w:firstLine="420"/>
        <w:jc w:val="left"/>
        <w:rPr>
          <w:rFonts w:ascii="宋体" w:hAnsi="宋体"/>
          <w:bCs/>
        </w:rPr>
      </w:pPr>
      <w:r>
        <w:rPr>
          <w:rFonts w:ascii="宋体" w:hAnsi="宋体"/>
          <w:bCs/>
        </w:rPr>
        <w:t>3</w:t>
      </w:r>
      <w:r>
        <w:rPr>
          <w:rFonts w:ascii="宋体" w:hAnsi="宋体" w:hint="eastAsia"/>
          <w:bCs/>
        </w:rPr>
        <w:t>）基金持有非流动性资产市值不得超过基金资产净值的</w:t>
      </w:r>
      <w:r>
        <w:rPr>
          <w:rFonts w:ascii="宋体" w:hAnsi="宋体"/>
          <w:bCs/>
        </w:rPr>
        <w:t>10%</w:t>
      </w:r>
      <w:r>
        <w:rPr>
          <w:rFonts w:ascii="宋体" w:hAnsi="宋体" w:hint="eastAsia"/>
          <w:bCs/>
        </w:rPr>
        <w:t>。其中，非流动性资产是指法律或基金合同规定的流通受限证券以及中国证监会认定的其他资产。</w:t>
      </w:r>
    </w:p>
    <w:p w14:paraId="277F72DD" w14:textId="77777777" w:rsidR="0082364D" w:rsidRDefault="00BF2824">
      <w:pPr>
        <w:spacing w:line="360" w:lineRule="auto"/>
        <w:ind w:firstLineChars="200" w:firstLine="420"/>
        <w:jc w:val="left"/>
        <w:rPr>
          <w:rFonts w:ascii="宋体" w:hAnsi="宋体"/>
          <w:bCs/>
        </w:rPr>
      </w:pPr>
      <w:r>
        <w:rPr>
          <w:rFonts w:ascii="宋体" w:hAnsi="宋体"/>
          <w:bCs/>
        </w:rPr>
        <w:t>4</w:t>
      </w:r>
      <w:r>
        <w:rPr>
          <w:rFonts w:ascii="宋体" w:hAnsi="宋体" w:hint="eastAsia"/>
          <w:bCs/>
        </w:rPr>
        <w:t>）本基金持有境外基金的市值合计不得超过基金资产净值的</w:t>
      </w:r>
      <w:r>
        <w:rPr>
          <w:rFonts w:ascii="宋体" w:hAnsi="宋体"/>
          <w:bCs/>
        </w:rPr>
        <w:t>10%</w:t>
      </w:r>
      <w:r>
        <w:rPr>
          <w:rFonts w:ascii="宋体" w:hAnsi="宋体" w:hint="eastAsia"/>
          <w:bCs/>
        </w:rPr>
        <w:t>，但持有货币市场基金不受此限制。</w:t>
      </w:r>
    </w:p>
    <w:p w14:paraId="5F6640DB" w14:textId="77777777" w:rsidR="0082364D" w:rsidRDefault="00BF2824">
      <w:pPr>
        <w:spacing w:line="360" w:lineRule="auto"/>
        <w:ind w:firstLineChars="200" w:firstLine="420"/>
        <w:jc w:val="left"/>
        <w:rPr>
          <w:rFonts w:ascii="宋体" w:hAnsi="宋体"/>
          <w:bCs/>
        </w:rPr>
      </w:pPr>
      <w:r>
        <w:rPr>
          <w:rFonts w:ascii="宋体" w:hAnsi="宋体"/>
          <w:bCs/>
        </w:rPr>
        <w:t>5</w:t>
      </w:r>
      <w:r>
        <w:rPr>
          <w:rFonts w:ascii="宋体" w:hAnsi="宋体" w:hint="eastAsia"/>
          <w:bCs/>
        </w:rPr>
        <w:t>）本基金管理人管理的全部基金（含本基金）持有任何一只境外基金，不得超过该境外基金总份额的</w:t>
      </w:r>
      <w:r>
        <w:rPr>
          <w:rFonts w:ascii="宋体" w:hAnsi="宋体"/>
          <w:bCs/>
        </w:rPr>
        <w:t>20%</w:t>
      </w:r>
      <w:r>
        <w:rPr>
          <w:rFonts w:ascii="宋体" w:hAnsi="宋体" w:hint="eastAsia"/>
          <w:bCs/>
        </w:rPr>
        <w:t>。</w:t>
      </w:r>
    </w:p>
    <w:p w14:paraId="70D2F0B7" w14:textId="77777777" w:rsidR="0082364D" w:rsidRDefault="00BF2824">
      <w:pPr>
        <w:spacing w:line="360" w:lineRule="auto"/>
        <w:ind w:firstLineChars="200" w:firstLine="420"/>
        <w:jc w:val="left"/>
        <w:rPr>
          <w:rFonts w:ascii="宋体" w:hAnsi="宋体"/>
          <w:bCs/>
        </w:rPr>
      </w:pPr>
      <w:r>
        <w:rPr>
          <w:rFonts w:ascii="宋体" w:hAnsi="宋体"/>
          <w:bCs/>
        </w:rPr>
        <w:t>6</w:t>
      </w:r>
      <w:r>
        <w:rPr>
          <w:rFonts w:ascii="宋体" w:hAnsi="宋体" w:hint="eastAsia"/>
          <w:bCs/>
        </w:rPr>
        <w:t>）本基金的金融衍生品全部敞口不得高于基金资产净值的</w:t>
      </w:r>
      <w:r>
        <w:rPr>
          <w:rFonts w:ascii="宋体" w:hAnsi="宋体"/>
          <w:bCs/>
        </w:rPr>
        <w:t>100%</w:t>
      </w:r>
      <w:r>
        <w:rPr>
          <w:rFonts w:ascii="宋体" w:hAnsi="宋体" w:hint="eastAsia"/>
          <w:bCs/>
        </w:rPr>
        <w:t>。</w:t>
      </w:r>
    </w:p>
    <w:p w14:paraId="6769908B" w14:textId="77777777" w:rsidR="0082364D" w:rsidRDefault="00BF2824">
      <w:pPr>
        <w:spacing w:line="360" w:lineRule="auto"/>
        <w:ind w:firstLineChars="200" w:firstLine="420"/>
        <w:jc w:val="left"/>
        <w:rPr>
          <w:rFonts w:ascii="宋体" w:hAnsi="宋体"/>
          <w:bCs/>
        </w:rPr>
      </w:pPr>
      <w:r>
        <w:rPr>
          <w:rFonts w:ascii="宋体" w:hAnsi="宋体"/>
          <w:bCs/>
        </w:rPr>
        <w:t>7</w:t>
      </w:r>
      <w:r>
        <w:rPr>
          <w:rFonts w:ascii="宋体" w:hAnsi="宋体" w:hint="eastAsia"/>
          <w:bCs/>
        </w:rPr>
        <w:t>）本基金投资期货支付的初始保证金、投资期权支付或收取的期权费、投资柜台交易衍生品支付的初始费用的总额不得高于基金资产净值的</w:t>
      </w:r>
      <w:r>
        <w:rPr>
          <w:rFonts w:ascii="宋体" w:hAnsi="宋体"/>
          <w:bCs/>
        </w:rPr>
        <w:t>10%</w:t>
      </w:r>
      <w:r>
        <w:rPr>
          <w:rFonts w:ascii="宋体" w:hAnsi="宋体" w:hint="eastAsia"/>
          <w:bCs/>
        </w:rPr>
        <w:t>。</w:t>
      </w:r>
    </w:p>
    <w:p w14:paraId="57DB0C45" w14:textId="77777777" w:rsidR="0082364D" w:rsidRDefault="00BF2824">
      <w:pPr>
        <w:spacing w:line="360" w:lineRule="auto"/>
        <w:ind w:firstLineChars="200" w:firstLine="420"/>
        <w:jc w:val="left"/>
        <w:rPr>
          <w:rFonts w:ascii="宋体" w:hAnsi="宋体"/>
          <w:bCs/>
        </w:rPr>
      </w:pPr>
      <w:r>
        <w:rPr>
          <w:rFonts w:ascii="宋体" w:hAnsi="宋体"/>
          <w:bCs/>
        </w:rPr>
        <w:t>8</w:t>
      </w:r>
      <w:r>
        <w:rPr>
          <w:rFonts w:ascii="宋体" w:hAnsi="宋体" w:hint="eastAsia"/>
          <w:bCs/>
        </w:rPr>
        <w:t>）本基金投资于远期合约、互换等柜台交易金融衍生品，应当符合以下要求：所有参与交易的对手方（中资商业银行除外）应当具有不低于中国证监会认可的信用评级机构评级；交易对手方应当至少每个工作日对交易进行估值，并且基金可在任何时候以公允价值终止交易；任一交易对手方的市值计价敞口不得超过基金资产净值的</w:t>
      </w:r>
      <w:r>
        <w:rPr>
          <w:rFonts w:ascii="宋体" w:hAnsi="宋体"/>
          <w:bCs/>
        </w:rPr>
        <w:t>20%</w:t>
      </w:r>
      <w:r>
        <w:rPr>
          <w:rFonts w:ascii="宋体" w:hAnsi="宋体" w:hint="eastAsia"/>
          <w:bCs/>
        </w:rPr>
        <w:t>。</w:t>
      </w:r>
    </w:p>
    <w:p w14:paraId="0972A2DD" w14:textId="77777777" w:rsidR="0082364D" w:rsidRDefault="00BF2824">
      <w:pPr>
        <w:spacing w:line="360" w:lineRule="auto"/>
        <w:ind w:firstLineChars="200" w:firstLine="420"/>
        <w:jc w:val="left"/>
        <w:rPr>
          <w:rFonts w:ascii="宋体" w:hAnsi="宋体"/>
          <w:bCs/>
        </w:rPr>
      </w:pPr>
      <w:r>
        <w:rPr>
          <w:rFonts w:ascii="宋体" w:hAnsi="宋体"/>
          <w:bCs/>
        </w:rPr>
        <w:t>9</w:t>
      </w:r>
      <w:r>
        <w:rPr>
          <w:rFonts w:ascii="宋体" w:hAnsi="宋体" w:hint="eastAsia"/>
          <w:bCs/>
        </w:rPr>
        <w:t>）本基金可以参与证券借贷交易，并且应当遵守下列规定：</w:t>
      </w:r>
    </w:p>
    <w:p w14:paraId="0DDEAC10" w14:textId="77777777" w:rsidR="0082364D" w:rsidRDefault="00BF2824">
      <w:pPr>
        <w:spacing w:line="360" w:lineRule="auto"/>
        <w:ind w:firstLineChars="200" w:firstLine="420"/>
        <w:jc w:val="left"/>
        <w:rPr>
          <w:rFonts w:ascii="宋体" w:hAnsi="宋体"/>
          <w:bCs/>
        </w:rPr>
      </w:pPr>
      <w:r>
        <w:rPr>
          <w:rFonts w:ascii="宋体" w:hAnsi="宋体"/>
          <w:bCs/>
        </w:rPr>
        <w:t>i</w:t>
      </w:r>
      <w:r>
        <w:rPr>
          <w:rFonts w:ascii="宋体" w:hAnsi="宋体" w:hint="eastAsia"/>
          <w:bCs/>
        </w:rPr>
        <w:t>）所有参与交易的对手方（中资商业银行除外）应当具有中国证监会认可的信用评级机构评级。</w:t>
      </w:r>
    </w:p>
    <w:p w14:paraId="327BA8FF" w14:textId="77777777" w:rsidR="0082364D" w:rsidRDefault="00BF2824">
      <w:pPr>
        <w:spacing w:line="360" w:lineRule="auto"/>
        <w:ind w:firstLineChars="200" w:firstLine="420"/>
        <w:jc w:val="left"/>
        <w:rPr>
          <w:rFonts w:ascii="宋体" w:hAnsi="宋体"/>
          <w:bCs/>
        </w:rPr>
      </w:pPr>
      <w:r>
        <w:rPr>
          <w:rFonts w:ascii="宋体" w:hAnsi="宋体"/>
          <w:bCs/>
        </w:rPr>
        <w:t>ii</w:t>
      </w:r>
      <w:r>
        <w:rPr>
          <w:rFonts w:ascii="宋体" w:hAnsi="宋体" w:hint="eastAsia"/>
          <w:bCs/>
        </w:rPr>
        <w:t>）应当采取市值计价制度进行调整以确保担保物市值不低于已借出证券市值的</w:t>
      </w:r>
      <w:r>
        <w:rPr>
          <w:rFonts w:ascii="宋体" w:hAnsi="宋体"/>
          <w:bCs/>
        </w:rPr>
        <w:t>102%</w:t>
      </w:r>
      <w:r>
        <w:rPr>
          <w:rFonts w:ascii="宋体" w:hAnsi="宋体" w:hint="eastAsia"/>
          <w:bCs/>
        </w:rPr>
        <w:t>。</w:t>
      </w:r>
    </w:p>
    <w:p w14:paraId="4D0F078B" w14:textId="77777777" w:rsidR="0082364D" w:rsidRDefault="00BF2824">
      <w:pPr>
        <w:spacing w:line="360" w:lineRule="auto"/>
        <w:ind w:firstLineChars="200" w:firstLine="420"/>
        <w:jc w:val="left"/>
        <w:rPr>
          <w:rFonts w:ascii="宋体" w:hAnsi="宋体"/>
          <w:bCs/>
        </w:rPr>
      </w:pPr>
      <w:r>
        <w:rPr>
          <w:rFonts w:ascii="宋体" w:hAnsi="宋体"/>
          <w:bCs/>
        </w:rPr>
        <w:t>iii</w:t>
      </w:r>
      <w:r>
        <w:rPr>
          <w:rFonts w:ascii="宋体" w:hAnsi="宋体" w:hint="eastAsia"/>
          <w:bCs/>
        </w:rPr>
        <w:t>）借方应当在交易期内及时向本基金支付已借出证券产生的所有股息、利息和分红。一旦借方违约，本基金根据协议和有关法律有权保留和处置担保物以满足索赔需要。</w:t>
      </w:r>
    </w:p>
    <w:p w14:paraId="54A12F38" w14:textId="77777777" w:rsidR="0082364D" w:rsidRDefault="00BF2824">
      <w:pPr>
        <w:spacing w:line="360" w:lineRule="auto"/>
        <w:ind w:firstLineChars="200" w:firstLine="420"/>
        <w:jc w:val="left"/>
        <w:rPr>
          <w:rFonts w:ascii="宋体" w:hAnsi="宋体"/>
          <w:bCs/>
        </w:rPr>
      </w:pPr>
      <w:r>
        <w:rPr>
          <w:rFonts w:ascii="宋体" w:hAnsi="宋体"/>
          <w:bCs/>
        </w:rPr>
        <w:lastRenderedPageBreak/>
        <w:t>iv</w:t>
      </w:r>
      <w:r>
        <w:rPr>
          <w:rFonts w:ascii="宋体" w:hAnsi="宋体" w:hint="eastAsia"/>
          <w:bCs/>
        </w:rPr>
        <w:t>）除中国证监会另有规定外，担保物可以是以下金融工具或品种：</w:t>
      </w:r>
    </w:p>
    <w:p w14:paraId="469D5B5F" w14:textId="77777777" w:rsidR="0082364D" w:rsidRDefault="00BF2824">
      <w:pPr>
        <w:spacing w:line="360" w:lineRule="auto"/>
        <w:ind w:firstLineChars="200" w:firstLine="420"/>
        <w:jc w:val="left"/>
        <w:rPr>
          <w:rFonts w:ascii="宋体" w:hAnsi="宋体"/>
          <w:bCs/>
        </w:rPr>
      </w:pPr>
      <w:r>
        <w:rPr>
          <w:rFonts w:ascii="宋体" w:hAnsi="宋体"/>
          <w:bCs/>
        </w:rPr>
        <w:t xml:space="preserve">a) </w:t>
      </w:r>
      <w:r>
        <w:rPr>
          <w:rFonts w:ascii="宋体" w:hAnsi="宋体" w:hint="eastAsia"/>
          <w:bCs/>
        </w:rPr>
        <w:t>现金。</w:t>
      </w:r>
    </w:p>
    <w:p w14:paraId="1DC73829" w14:textId="77777777" w:rsidR="0082364D" w:rsidRDefault="00BF2824">
      <w:pPr>
        <w:spacing w:line="360" w:lineRule="auto"/>
        <w:ind w:firstLineChars="200" w:firstLine="420"/>
        <w:jc w:val="left"/>
        <w:rPr>
          <w:rFonts w:ascii="宋体" w:hAnsi="宋体"/>
          <w:bCs/>
        </w:rPr>
      </w:pPr>
      <w:r>
        <w:rPr>
          <w:rFonts w:ascii="宋体" w:hAnsi="宋体"/>
          <w:bCs/>
        </w:rPr>
        <w:t xml:space="preserve">b) </w:t>
      </w:r>
      <w:r>
        <w:rPr>
          <w:rFonts w:ascii="宋体" w:hAnsi="宋体" w:hint="eastAsia"/>
          <w:bCs/>
        </w:rPr>
        <w:t>存款证明。</w:t>
      </w:r>
    </w:p>
    <w:p w14:paraId="7EC23EE7" w14:textId="77777777" w:rsidR="0082364D" w:rsidRDefault="00BF2824">
      <w:pPr>
        <w:spacing w:line="360" w:lineRule="auto"/>
        <w:ind w:firstLineChars="200" w:firstLine="420"/>
        <w:jc w:val="left"/>
        <w:rPr>
          <w:rFonts w:ascii="宋体" w:hAnsi="宋体"/>
          <w:bCs/>
        </w:rPr>
      </w:pPr>
      <w:r>
        <w:rPr>
          <w:rFonts w:ascii="宋体" w:hAnsi="宋体"/>
          <w:bCs/>
        </w:rPr>
        <w:t xml:space="preserve">c) </w:t>
      </w:r>
      <w:r>
        <w:rPr>
          <w:rFonts w:ascii="宋体" w:hAnsi="宋体" w:hint="eastAsia"/>
          <w:bCs/>
        </w:rPr>
        <w:t>商业票据。</w:t>
      </w:r>
    </w:p>
    <w:p w14:paraId="7CF42517" w14:textId="77777777" w:rsidR="0082364D" w:rsidRDefault="00BF2824">
      <w:pPr>
        <w:spacing w:line="360" w:lineRule="auto"/>
        <w:ind w:firstLineChars="200" w:firstLine="420"/>
        <w:jc w:val="left"/>
        <w:rPr>
          <w:rFonts w:ascii="宋体" w:hAnsi="宋体"/>
          <w:bCs/>
        </w:rPr>
      </w:pPr>
      <w:r>
        <w:rPr>
          <w:rFonts w:ascii="宋体" w:hAnsi="宋体"/>
          <w:bCs/>
        </w:rPr>
        <w:t xml:space="preserve">d) </w:t>
      </w:r>
      <w:r>
        <w:rPr>
          <w:rFonts w:ascii="宋体" w:hAnsi="宋体" w:hint="eastAsia"/>
          <w:bCs/>
        </w:rPr>
        <w:t>政府债券。</w:t>
      </w:r>
    </w:p>
    <w:p w14:paraId="3D3FE941" w14:textId="77777777" w:rsidR="0082364D" w:rsidRDefault="00BF2824">
      <w:pPr>
        <w:spacing w:line="360" w:lineRule="auto"/>
        <w:ind w:firstLineChars="200" w:firstLine="420"/>
        <w:jc w:val="left"/>
        <w:rPr>
          <w:rFonts w:ascii="宋体" w:hAnsi="宋体"/>
          <w:bCs/>
        </w:rPr>
      </w:pPr>
      <w:r>
        <w:rPr>
          <w:rFonts w:ascii="宋体" w:hAnsi="宋体"/>
          <w:bCs/>
        </w:rPr>
        <w:t xml:space="preserve">e) </w:t>
      </w:r>
      <w:r>
        <w:rPr>
          <w:rFonts w:ascii="宋体" w:hAnsi="宋体" w:hint="eastAsia"/>
          <w:bCs/>
        </w:rPr>
        <w:t>中资商业银行或由不低于中国证监会认可的信用评级机构评级的境外金融机构（作为交易对手方或其关联方的除外）出具的不可撤销信用证。</w:t>
      </w:r>
    </w:p>
    <w:p w14:paraId="57E42CDE" w14:textId="77777777" w:rsidR="0082364D" w:rsidRDefault="00BF2824">
      <w:pPr>
        <w:spacing w:line="360" w:lineRule="auto"/>
        <w:ind w:firstLineChars="200" w:firstLine="420"/>
        <w:jc w:val="left"/>
        <w:rPr>
          <w:rFonts w:ascii="宋体" w:hAnsi="宋体"/>
          <w:bCs/>
        </w:rPr>
      </w:pPr>
      <w:r>
        <w:rPr>
          <w:rFonts w:ascii="宋体" w:hAnsi="宋体"/>
          <w:bCs/>
        </w:rPr>
        <w:t>v</w:t>
      </w:r>
      <w:r>
        <w:rPr>
          <w:rFonts w:ascii="宋体" w:hAnsi="宋体" w:hint="eastAsia"/>
          <w:bCs/>
        </w:rPr>
        <w:t>）本基金有权在任何时候终止证券借贷交易并在正常市场惯例的合理期限内要求归还任一或所有已借出的证券。</w:t>
      </w:r>
    </w:p>
    <w:p w14:paraId="679A1AB6" w14:textId="77777777" w:rsidR="0082364D" w:rsidRDefault="00BF2824">
      <w:pPr>
        <w:spacing w:line="360" w:lineRule="auto"/>
        <w:ind w:firstLineChars="200" w:firstLine="420"/>
        <w:jc w:val="left"/>
        <w:rPr>
          <w:rFonts w:ascii="宋体" w:hAnsi="宋体"/>
          <w:bCs/>
        </w:rPr>
      </w:pPr>
      <w:r>
        <w:rPr>
          <w:rFonts w:ascii="宋体" w:hAnsi="宋体"/>
          <w:bCs/>
        </w:rPr>
        <w:t>vi</w:t>
      </w:r>
      <w:r>
        <w:rPr>
          <w:rFonts w:ascii="宋体" w:hAnsi="宋体" w:hint="eastAsia"/>
          <w:bCs/>
        </w:rPr>
        <w:t>）基金管理人应当对基金参与证券借贷交易中发生的任何损失负相应责任。</w:t>
      </w:r>
    </w:p>
    <w:p w14:paraId="1DFF9EB2" w14:textId="77777777" w:rsidR="0082364D" w:rsidRDefault="00BF2824">
      <w:pPr>
        <w:spacing w:line="360" w:lineRule="auto"/>
        <w:ind w:firstLineChars="200" w:firstLine="420"/>
        <w:jc w:val="left"/>
        <w:rPr>
          <w:rFonts w:ascii="宋体" w:hAnsi="宋体"/>
          <w:bCs/>
        </w:rPr>
      </w:pPr>
      <w:r>
        <w:rPr>
          <w:rFonts w:ascii="宋体" w:hAnsi="宋体"/>
          <w:bCs/>
        </w:rPr>
        <w:t>10</w:t>
      </w:r>
      <w:r>
        <w:rPr>
          <w:rFonts w:ascii="宋体" w:hAnsi="宋体" w:hint="eastAsia"/>
          <w:bCs/>
        </w:rPr>
        <w:t>）本基金可以根据正常市场惯例参与正回购交易、逆回购交易，并且应当遵守下列规定：</w:t>
      </w:r>
    </w:p>
    <w:p w14:paraId="7277DFB0" w14:textId="77777777" w:rsidR="0082364D" w:rsidRDefault="00BF2824">
      <w:pPr>
        <w:spacing w:line="360" w:lineRule="auto"/>
        <w:ind w:firstLineChars="200" w:firstLine="420"/>
        <w:jc w:val="left"/>
        <w:rPr>
          <w:rFonts w:ascii="宋体" w:hAnsi="宋体"/>
          <w:bCs/>
        </w:rPr>
      </w:pPr>
      <w:r>
        <w:rPr>
          <w:rFonts w:ascii="宋体" w:hAnsi="宋体"/>
          <w:bCs/>
        </w:rPr>
        <w:t>i</w:t>
      </w:r>
      <w:r>
        <w:rPr>
          <w:rFonts w:ascii="宋体" w:hAnsi="宋体" w:hint="eastAsia"/>
          <w:bCs/>
        </w:rPr>
        <w:t>）所有参与正回购交易的对手方（中资商业银行除外）应当具有中国证监会认可的信用评级机构信用评级。</w:t>
      </w:r>
    </w:p>
    <w:p w14:paraId="7BCD58A6" w14:textId="77777777" w:rsidR="0082364D" w:rsidRDefault="00BF2824">
      <w:pPr>
        <w:spacing w:line="360" w:lineRule="auto"/>
        <w:ind w:firstLineChars="200" w:firstLine="420"/>
        <w:jc w:val="left"/>
        <w:rPr>
          <w:rFonts w:ascii="宋体" w:hAnsi="宋体"/>
          <w:bCs/>
        </w:rPr>
      </w:pPr>
      <w:r>
        <w:rPr>
          <w:rFonts w:ascii="宋体" w:hAnsi="宋体"/>
          <w:bCs/>
        </w:rPr>
        <w:t>ii</w:t>
      </w:r>
      <w:r>
        <w:rPr>
          <w:rFonts w:ascii="宋体" w:hAnsi="宋体" w:hint="eastAsia"/>
          <w:bCs/>
        </w:rPr>
        <w:t>）参与正回购交易，应当采取市值计价制度对卖出收益进行调整以确保现金不低于已售出证券市值的</w:t>
      </w:r>
      <w:r>
        <w:rPr>
          <w:rFonts w:ascii="宋体" w:hAnsi="宋体"/>
          <w:bCs/>
        </w:rPr>
        <w:t>102%</w:t>
      </w:r>
      <w:r>
        <w:rPr>
          <w:rFonts w:ascii="宋体" w:hAnsi="宋体" w:hint="eastAsia"/>
          <w:bCs/>
        </w:rPr>
        <w:t>。一旦买方违约，本基金根据协议和有关法律有权保留或处置卖出收益以满足索赔需要。</w:t>
      </w:r>
    </w:p>
    <w:p w14:paraId="0FCEBFEF" w14:textId="77777777" w:rsidR="0082364D" w:rsidRDefault="00BF2824">
      <w:pPr>
        <w:spacing w:line="360" w:lineRule="auto"/>
        <w:ind w:firstLineChars="200" w:firstLine="420"/>
        <w:jc w:val="left"/>
        <w:rPr>
          <w:rFonts w:ascii="宋体" w:hAnsi="宋体"/>
          <w:bCs/>
        </w:rPr>
      </w:pPr>
      <w:r>
        <w:rPr>
          <w:rFonts w:ascii="宋体" w:hAnsi="宋体"/>
          <w:bCs/>
        </w:rPr>
        <w:t>iii</w:t>
      </w:r>
      <w:r>
        <w:rPr>
          <w:rFonts w:ascii="宋体" w:hAnsi="宋体" w:hint="eastAsia"/>
          <w:bCs/>
        </w:rPr>
        <w:t>）买方应当在正回购交易期内及时向本基金支付售出证券产生的所有股息、利息和分红。</w:t>
      </w:r>
    </w:p>
    <w:p w14:paraId="09A5EF65" w14:textId="77777777" w:rsidR="0082364D" w:rsidRDefault="00BF2824">
      <w:pPr>
        <w:spacing w:line="360" w:lineRule="auto"/>
        <w:ind w:firstLineChars="200" w:firstLine="420"/>
        <w:jc w:val="left"/>
        <w:rPr>
          <w:rFonts w:ascii="宋体" w:hAnsi="宋体"/>
          <w:bCs/>
        </w:rPr>
      </w:pPr>
      <w:r>
        <w:rPr>
          <w:rFonts w:ascii="宋体" w:hAnsi="宋体"/>
          <w:bCs/>
        </w:rPr>
        <w:t>iv</w:t>
      </w:r>
      <w:r>
        <w:rPr>
          <w:rFonts w:ascii="宋体" w:hAnsi="宋体" w:hint="eastAsia"/>
          <w:bCs/>
        </w:rPr>
        <w:t>）参与逆回购交易，应当对购入证券采取市值计价制度进行调整以确保已购入证券市值不低于支付现金的</w:t>
      </w:r>
      <w:r>
        <w:rPr>
          <w:rFonts w:ascii="宋体" w:hAnsi="宋体"/>
          <w:bCs/>
        </w:rPr>
        <w:t>102%</w:t>
      </w:r>
      <w:r>
        <w:rPr>
          <w:rFonts w:ascii="宋体" w:hAnsi="宋体" w:hint="eastAsia"/>
          <w:bCs/>
        </w:rPr>
        <w:t>。一旦卖方违约，本基金根据协议和有关法律有权保留或处置已购入证券以满足索赔需要。</w:t>
      </w:r>
    </w:p>
    <w:p w14:paraId="3DDDB8AE" w14:textId="77777777" w:rsidR="0082364D" w:rsidRDefault="00BF2824">
      <w:pPr>
        <w:spacing w:line="360" w:lineRule="auto"/>
        <w:ind w:firstLineChars="200" w:firstLine="420"/>
        <w:jc w:val="left"/>
        <w:rPr>
          <w:rFonts w:ascii="宋体" w:hAnsi="宋体"/>
          <w:bCs/>
        </w:rPr>
      </w:pPr>
      <w:r>
        <w:rPr>
          <w:rFonts w:ascii="宋体" w:hAnsi="宋体"/>
          <w:bCs/>
        </w:rPr>
        <w:t>v</w:t>
      </w:r>
      <w:r>
        <w:rPr>
          <w:rFonts w:ascii="宋体" w:hAnsi="宋体" w:hint="eastAsia"/>
          <w:bCs/>
        </w:rPr>
        <w:t>）基金管理人应当对基金参与证券正回购交易、逆回购交易中发生的任何损失负相应责任。</w:t>
      </w:r>
    </w:p>
    <w:p w14:paraId="7E02AD85" w14:textId="77777777" w:rsidR="0082364D" w:rsidRDefault="00BF2824">
      <w:pPr>
        <w:spacing w:line="360" w:lineRule="auto"/>
        <w:ind w:firstLineChars="200" w:firstLine="420"/>
        <w:jc w:val="left"/>
        <w:rPr>
          <w:rFonts w:ascii="宋体" w:hAnsi="宋体"/>
          <w:bCs/>
        </w:rPr>
      </w:pPr>
      <w:r>
        <w:rPr>
          <w:rFonts w:ascii="宋体" w:hAnsi="宋体"/>
          <w:bCs/>
        </w:rPr>
        <w:t>11</w:t>
      </w:r>
      <w:r>
        <w:rPr>
          <w:rFonts w:ascii="宋体" w:hAnsi="宋体" w:hint="eastAsia"/>
          <w:bCs/>
        </w:rPr>
        <w:t>）本基金参与证券借贷交易、正回购交易，所有已借出而未归还证券总市值或所有已售出而未回购证券总市值均不得超过基金总资产的</w:t>
      </w:r>
      <w:r>
        <w:rPr>
          <w:rFonts w:ascii="宋体" w:hAnsi="宋体"/>
          <w:bCs/>
        </w:rPr>
        <w:t>50%</w:t>
      </w:r>
      <w:r>
        <w:rPr>
          <w:rFonts w:ascii="宋体" w:hAnsi="宋体" w:hint="eastAsia"/>
          <w:bCs/>
        </w:rPr>
        <w:t>。前项比例限制计算，基金因参与证券借贷交易、正回购交易而持有的担保物、现金不得计入基金总资产。</w:t>
      </w:r>
    </w:p>
    <w:p w14:paraId="47C7BE01" w14:textId="77777777" w:rsidR="0082364D" w:rsidRDefault="00BF2824">
      <w:pPr>
        <w:spacing w:line="360" w:lineRule="auto"/>
        <w:ind w:firstLineChars="200" w:firstLine="420"/>
        <w:jc w:val="left"/>
        <w:rPr>
          <w:rFonts w:ascii="宋体" w:hAnsi="宋体"/>
          <w:bCs/>
        </w:rPr>
      </w:pPr>
      <w:r>
        <w:rPr>
          <w:rFonts w:ascii="宋体" w:hAnsi="宋体"/>
          <w:bCs/>
        </w:rPr>
        <w:t>12</w:t>
      </w:r>
      <w:r>
        <w:rPr>
          <w:rFonts w:ascii="宋体" w:hAnsi="宋体" w:hint="eastAsia"/>
          <w:bCs/>
        </w:rPr>
        <w:t>）为应付赎回、交易清算等临时用途，借入现金的比例不得超过基金资产净值的</w:t>
      </w:r>
      <w:r>
        <w:rPr>
          <w:rFonts w:ascii="宋体" w:hAnsi="宋体"/>
          <w:bCs/>
        </w:rPr>
        <w:t>10%</w:t>
      </w:r>
      <w:r>
        <w:rPr>
          <w:rFonts w:ascii="宋体" w:hAnsi="宋体" w:hint="eastAsia"/>
          <w:bCs/>
        </w:rPr>
        <w:t>。</w:t>
      </w:r>
    </w:p>
    <w:p w14:paraId="54D0FB69"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4</w:t>
      </w:r>
      <w:r>
        <w:rPr>
          <w:rFonts w:ascii="宋体" w:hAnsi="宋体" w:hint="eastAsia"/>
          <w:bCs/>
        </w:rPr>
        <w:t>）本基金境内投资组合应遵循以下限制：</w:t>
      </w:r>
    </w:p>
    <w:p w14:paraId="7049DD2F" w14:textId="77777777" w:rsidR="0082364D" w:rsidRDefault="00BF2824">
      <w:pPr>
        <w:spacing w:line="360" w:lineRule="auto"/>
        <w:ind w:firstLineChars="200" w:firstLine="420"/>
        <w:jc w:val="left"/>
        <w:rPr>
          <w:rFonts w:ascii="宋体" w:hAnsi="宋体"/>
          <w:bCs/>
        </w:rPr>
      </w:pPr>
      <w:r>
        <w:rPr>
          <w:rFonts w:ascii="宋体" w:hAnsi="宋体"/>
          <w:bCs/>
        </w:rPr>
        <w:lastRenderedPageBreak/>
        <w:t>1</w:t>
      </w:r>
      <w:r>
        <w:rPr>
          <w:rFonts w:ascii="宋体" w:hAnsi="宋体" w:hint="eastAsia"/>
          <w:bCs/>
        </w:rPr>
        <w:t>）本基金进入全国银行间同业市场进行债券回购的资金余额不得超过基金资产净值的</w:t>
      </w:r>
      <w:r>
        <w:rPr>
          <w:rFonts w:ascii="宋体" w:hAnsi="宋体"/>
          <w:bCs/>
        </w:rPr>
        <w:t>40%</w:t>
      </w:r>
      <w:r>
        <w:rPr>
          <w:rFonts w:ascii="宋体" w:hAnsi="宋体" w:hint="eastAsia"/>
          <w:bCs/>
        </w:rPr>
        <w:t>，进入全国银行间同业市场进行债券回购的最长期限为</w:t>
      </w:r>
      <w:r>
        <w:rPr>
          <w:rFonts w:ascii="宋体" w:hAnsi="宋体"/>
          <w:bCs/>
        </w:rPr>
        <w:t xml:space="preserve">1 </w:t>
      </w:r>
      <w:r>
        <w:rPr>
          <w:rFonts w:ascii="宋体" w:hAnsi="宋体" w:hint="eastAsia"/>
          <w:bCs/>
        </w:rPr>
        <w:t>年，债券回购到期后不得展期；</w:t>
      </w:r>
    </w:p>
    <w:p w14:paraId="5CB73F72" w14:textId="77777777" w:rsidR="0082364D" w:rsidRDefault="00BF2824">
      <w:pPr>
        <w:spacing w:line="360" w:lineRule="auto"/>
        <w:ind w:firstLineChars="200" w:firstLine="420"/>
        <w:jc w:val="left"/>
        <w:rPr>
          <w:rFonts w:ascii="宋体" w:hAnsi="宋体"/>
          <w:bCs/>
        </w:rPr>
      </w:pPr>
      <w:r>
        <w:rPr>
          <w:rFonts w:ascii="宋体" w:hAnsi="宋体"/>
          <w:bCs/>
        </w:rPr>
        <w:t>2</w:t>
      </w:r>
      <w:r>
        <w:rPr>
          <w:rFonts w:ascii="宋体" w:hAnsi="宋体" w:hint="eastAsia"/>
          <w:bCs/>
        </w:rPr>
        <w:t>）本基金投资于同一原始权益人的各类资产支持证券的比例，不得超过基金资产净值的10％；</w:t>
      </w:r>
    </w:p>
    <w:p w14:paraId="7D09DD7D" w14:textId="77777777" w:rsidR="0082364D" w:rsidRDefault="00BF2824">
      <w:pPr>
        <w:spacing w:line="360" w:lineRule="auto"/>
        <w:ind w:firstLineChars="200" w:firstLine="420"/>
        <w:jc w:val="left"/>
        <w:rPr>
          <w:rFonts w:ascii="宋体" w:hAnsi="宋体"/>
          <w:bCs/>
        </w:rPr>
      </w:pPr>
      <w:r>
        <w:rPr>
          <w:rFonts w:ascii="宋体" w:hAnsi="宋体"/>
          <w:bCs/>
        </w:rPr>
        <w:t>3</w:t>
      </w:r>
      <w:r>
        <w:rPr>
          <w:rFonts w:ascii="宋体" w:hAnsi="宋体" w:hint="eastAsia"/>
          <w:bCs/>
        </w:rPr>
        <w:t>）本基金持有的全部资产支持证券，其市值不得超过基金资产净值的20％；</w:t>
      </w:r>
    </w:p>
    <w:p w14:paraId="7E8305E2" w14:textId="77777777" w:rsidR="0082364D" w:rsidRDefault="00BF2824">
      <w:pPr>
        <w:spacing w:line="360" w:lineRule="auto"/>
        <w:ind w:firstLineChars="200" w:firstLine="420"/>
        <w:jc w:val="left"/>
        <w:rPr>
          <w:rFonts w:ascii="宋体" w:hAnsi="宋体"/>
          <w:bCs/>
        </w:rPr>
      </w:pPr>
      <w:r>
        <w:rPr>
          <w:rFonts w:ascii="宋体" w:hAnsi="宋体"/>
          <w:bCs/>
        </w:rPr>
        <w:t>4</w:t>
      </w:r>
      <w:r>
        <w:rPr>
          <w:rFonts w:ascii="宋体" w:hAnsi="宋体" w:hint="eastAsia"/>
          <w:bCs/>
        </w:rPr>
        <w:t>）本基金持有的同一(指同一信用级别)资产支持证券的比例，不得超过该资产支持证券规模的10％；</w:t>
      </w:r>
    </w:p>
    <w:p w14:paraId="0385AA83" w14:textId="77777777" w:rsidR="0082364D" w:rsidRDefault="00BF2824">
      <w:pPr>
        <w:spacing w:line="360" w:lineRule="auto"/>
        <w:ind w:firstLineChars="200" w:firstLine="420"/>
        <w:jc w:val="left"/>
        <w:rPr>
          <w:rFonts w:ascii="宋体" w:hAnsi="宋体"/>
          <w:bCs/>
        </w:rPr>
      </w:pPr>
      <w:r>
        <w:rPr>
          <w:rFonts w:ascii="宋体" w:hAnsi="宋体"/>
          <w:bCs/>
        </w:rPr>
        <w:t>5</w:t>
      </w:r>
      <w:r>
        <w:rPr>
          <w:rFonts w:ascii="宋体" w:hAnsi="宋体" w:hint="eastAsia"/>
          <w:bCs/>
        </w:rPr>
        <w:t>）本基金管理人管理的全部基金投资于同一原始权益人的各类资产支持证券，不得超过其各类资产支持证券合计规模的10％；</w:t>
      </w:r>
    </w:p>
    <w:p w14:paraId="39EB1D5C" w14:textId="77777777" w:rsidR="0082364D" w:rsidRDefault="00BF2824">
      <w:pPr>
        <w:spacing w:line="360" w:lineRule="auto"/>
        <w:ind w:firstLineChars="200" w:firstLine="420"/>
        <w:jc w:val="left"/>
        <w:rPr>
          <w:rFonts w:ascii="宋体" w:hAnsi="宋体"/>
          <w:bCs/>
        </w:rPr>
      </w:pPr>
      <w:r>
        <w:rPr>
          <w:rFonts w:ascii="宋体" w:hAnsi="宋体"/>
          <w:bCs/>
        </w:rPr>
        <w:t>6</w:t>
      </w:r>
      <w:r>
        <w:rPr>
          <w:rFonts w:ascii="宋体" w:hAnsi="宋体" w:hint="eastAsia"/>
          <w:bCs/>
        </w:rPr>
        <w:t>）本基金应投资于信用级别评级为BBB以上(含BBB)的资产支持证券。基金持有资产支持证券期间，如果其信用等级下降、不再符合投资标准，应在评级报告发布之日起3个月内予以全部卖出；</w:t>
      </w:r>
    </w:p>
    <w:p w14:paraId="0BD22DFD" w14:textId="77777777" w:rsidR="0082364D" w:rsidRDefault="00BF2824">
      <w:pPr>
        <w:spacing w:line="360" w:lineRule="auto"/>
        <w:ind w:firstLineChars="200" w:firstLine="420"/>
        <w:jc w:val="left"/>
        <w:rPr>
          <w:rFonts w:ascii="宋体" w:hAnsi="宋体"/>
          <w:bCs/>
        </w:rPr>
      </w:pPr>
      <w:r>
        <w:rPr>
          <w:rFonts w:ascii="宋体" w:hAnsi="宋体"/>
          <w:bCs/>
        </w:rPr>
        <w:t>7</w:t>
      </w:r>
      <w:r>
        <w:rPr>
          <w:rFonts w:ascii="宋体" w:hAnsi="宋体" w:hint="eastAsia"/>
          <w:bCs/>
        </w:rPr>
        <w:t>）基金财产参与股票发行申购，本基金所申报的金额不超过本基金的总资产，本基金所申报的股票数量不超过拟发行股票公司本次发行股票的总量；</w:t>
      </w:r>
    </w:p>
    <w:p w14:paraId="193AF50A" w14:textId="77777777" w:rsidR="0082364D" w:rsidRDefault="00BF2824">
      <w:pPr>
        <w:spacing w:line="360" w:lineRule="auto"/>
        <w:ind w:firstLineChars="200" w:firstLine="420"/>
        <w:jc w:val="left"/>
        <w:rPr>
          <w:rFonts w:ascii="宋体" w:hAnsi="宋体"/>
          <w:bCs/>
        </w:rPr>
      </w:pPr>
      <w:r>
        <w:rPr>
          <w:rFonts w:ascii="宋体" w:hAnsi="宋体"/>
          <w:bCs/>
        </w:rPr>
        <w:t>8</w:t>
      </w:r>
      <w:r>
        <w:rPr>
          <w:rFonts w:ascii="宋体" w:hAnsi="宋体" w:hint="eastAsia"/>
          <w:bCs/>
        </w:rPr>
        <w:t>）本基金投资中国存托凭证的比例限制依照境内上市交易的股票执行；</w:t>
      </w:r>
    </w:p>
    <w:p w14:paraId="05D747F8" w14:textId="77777777" w:rsidR="0082364D" w:rsidRDefault="00BF2824">
      <w:pPr>
        <w:spacing w:line="360" w:lineRule="auto"/>
        <w:ind w:firstLineChars="200" w:firstLine="420"/>
        <w:jc w:val="left"/>
        <w:rPr>
          <w:rFonts w:ascii="宋体" w:hAnsi="宋体"/>
          <w:bCs/>
        </w:rPr>
      </w:pPr>
      <w:r>
        <w:rPr>
          <w:rFonts w:ascii="宋体" w:hAnsi="宋体"/>
          <w:bCs/>
        </w:rPr>
        <w:t>9</w:t>
      </w:r>
      <w:r>
        <w:rPr>
          <w:rFonts w:ascii="宋体" w:hAnsi="宋体" w:hint="eastAsia"/>
          <w:bCs/>
        </w:rPr>
        <w:t>）本基金若参与股指期货交易，应当符合下列投资限制：</w:t>
      </w:r>
    </w:p>
    <w:p w14:paraId="2EF0A593" w14:textId="77777777" w:rsidR="0082364D" w:rsidRDefault="00BF2824">
      <w:pPr>
        <w:spacing w:line="360" w:lineRule="auto"/>
        <w:ind w:firstLineChars="200" w:firstLine="420"/>
        <w:jc w:val="left"/>
        <w:rPr>
          <w:rFonts w:ascii="宋体" w:hAnsi="宋体"/>
          <w:bCs/>
        </w:rPr>
      </w:pPr>
      <w:r>
        <w:rPr>
          <w:rFonts w:ascii="宋体" w:hAnsi="宋体" w:hint="eastAsia"/>
          <w:bCs/>
        </w:rPr>
        <w:t>①本基金在任何交易日日终，持有的买入股指期货合约价值，不得超过基金资产净值的10%；</w:t>
      </w:r>
    </w:p>
    <w:p w14:paraId="610CBFE2" w14:textId="77777777" w:rsidR="0082364D" w:rsidRDefault="00BF2824">
      <w:pPr>
        <w:spacing w:line="360" w:lineRule="auto"/>
        <w:ind w:firstLineChars="200" w:firstLine="420"/>
        <w:jc w:val="left"/>
        <w:rPr>
          <w:rFonts w:ascii="宋体" w:hAnsi="宋体"/>
          <w:bCs/>
        </w:rPr>
      </w:pPr>
      <w:r>
        <w:rPr>
          <w:rFonts w:ascii="宋体" w:hAnsi="宋体" w:hint="eastAsia"/>
          <w:bCs/>
        </w:rPr>
        <w:t>②本基金在任何交易日日终，持有的买入股指期货、国债期货合约价值与有价证券市值之和，不得超过基金资产净值的100%。</w:t>
      </w:r>
    </w:p>
    <w:p w14:paraId="412A25E1" w14:textId="77777777" w:rsidR="0082364D" w:rsidRDefault="00BF2824">
      <w:pPr>
        <w:spacing w:line="360" w:lineRule="auto"/>
        <w:ind w:firstLineChars="200" w:firstLine="420"/>
        <w:jc w:val="left"/>
        <w:rPr>
          <w:rFonts w:ascii="宋体" w:hAnsi="宋体"/>
          <w:bCs/>
        </w:rPr>
      </w:pPr>
      <w:r>
        <w:rPr>
          <w:rFonts w:ascii="宋体" w:hAnsi="宋体" w:hint="eastAsia"/>
          <w:bCs/>
        </w:rPr>
        <w:t>其中，有价证券指股票、债券（不含到期日在一年以内的政府债券）、资产支持证券、买入返售金融资产（不含质押式回购）等；</w:t>
      </w:r>
    </w:p>
    <w:p w14:paraId="08FC0E58" w14:textId="77777777" w:rsidR="0082364D" w:rsidRDefault="00BF2824">
      <w:pPr>
        <w:spacing w:line="360" w:lineRule="auto"/>
        <w:ind w:firstLineChars="200" w:firstLine="420"/>
        <w:jc w:val="left"/>
        <w:rPr>
          <w:rFonts w:ascii="宋体" w:hAnsi="宋体"/>
          <w:bCs/>
        </w:rPr>
      </w:pPr>
      <w:r>
        <w:rPr>
          <w:rFonts w:ascii="宋体" w:hAnsi="宋体" w:hint="eastAsia"/>
          <w:bCs/>
        </w:rPr>
        <w:t>③本基金在任何交易日日终，持有的卖出股指期货合约价值不得超过基金持有的股票总市值的20%。</w:t>
      </w:r>
    </w:p>
    <w:p w14:paraId="48BF0522" w14:textId="77777777" w:rsidR="0082364D" w:rsidRDefault="00BF2824">
      <w:pPr>
        <w:spacing w:line="360" w:lineRule="auto"/>
        <w:ind w:firstLineChars="200" w:firstLine="420"/>
        <w:jc w:val="left"/>
        <w:rPr>
          <w:rFonts w:ascii="宋体" w:hAnsi="宋体"/>
          <w:bCs/>
        </w:rPr>
      </w:pPr>
      <w:r>
        <w:rPr>
          <w:rFonts w:ascii="宋体" w:hAnsi="宋体" w:hint="eastAsia"/>
          <w:bCs/>
        </w:rPr>
        <w:t>④本基金所持有的股票市值和买入、卖出股指期货合约价值，合计（轧差计算）应当符合基金合同关于股票投资比例的有关约定；</w:t>
      </w:r>
    </w:p>
    <w:p w14:paraId="6334C7E9" w14:textId="77777777" w:rsidR="0082364D" w:rsidRDefault="00BF2824">
      <w:pPr>
        <w:spacing w:line="360" w:lineRule="auto"/>
        <w:ind w:firstLineChars="200" w:firstLine="420"/>
        <w:jc w:val="left"/>
        <w:rPr>
          <w:rFonts w:ascii="宋体" w:hAnsi="宋体"/>
          <w:bCs/>
        </w:rPr>
      </w:pPr>
      <w:r>
        <w:rPr>
          <w:rFonts w:ascii="宋体" w:hAnsi="宋体" w:hint="eastAsia"/>
          <w:bCs/>
        </w:rPr>
        <w:t>⑤本基金在任何交易日内交易（不包括平仓）的股指期货合约的成交金额不得超过上一交易日基金资产净值的20%；</w:t>
      </w:r>
    </w:p>
    <w:p w14:paraId="7AE61852" w14:textId="77777777" w:rsidR="0082364D" w:rsidRDefault="00BF2824">
      <w:pPr>
        <w:spacing w:line="360" w:lineRule="auto"/>
        <w:ind w:firstLineChars="200" w:firstLine="420"/>
        <w:jc w:val="left"/>
        <w:rPr>
          <w:rFonts w:ascii="宋体" w:hAnsi="宋体"/>
          <w:bCs/>
        </w:rPr>
      </w:pPr>
      <w:r>
        <w:rPr>
          <w:rFonts w:ascii="宋体" w:hAnsi="宋体" w:hint="eastAsia"/>
          <w:bCs/>
        </w:rPr>
        <w:t>⑥每个交易日日终，在扣除股指期货和国债期货合约需缴纳的交易保证金后，本基金</w:t>
      </w:r>
      <w:r>
        <w:rPr>
          <w:rFonts w:ascii="宋体" w:hAnsi="宋体" w:hint="eastAsia"/>
          <w:bCs/>
        </w:rPr>
        <w:lastRenderedPageBreak/>
        <w:t>应当保持不低于交易保证金一倍的现金；</w:t>
      </w:r>
    </w:p>
    <w:p w14:paraId="68400A75"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0</w:t>
      </w:r>
      <w:r>
        <w:rPr>
          <w:rFonts w:ascii="宋体" w:hAnsi="宋体" w:hint="eastAsia"/>
          <w:bCs/>
        </w:rPr>
        <w:t>）本基金若参与国债期货交易，应当符合下列投资限制：</w:t>
      </w:r>
    </w:p>
    <w:p w14:paraId="7BDE1054" w14:textId="77777777" w:rsidR="0082364D" w:rsidRDefault="00BF2824">
      <w:pPr>
        <w:spacing w:line="360" w:lineRule="auto"/>
        <w:ind w:firstLineChars="200" w:firstLine="420"/>
        <w:jc w:val="left"/>
        <w:rPr>
          <w:rFonts w:ascii="宋体" w:hAnsi="宋体"/>
          <w:bCs/>
        </w:rPr>
      </w:pPr>
      <w:r>
        <w:rPr>
          <w:rFonts w:ascii="宋体" w:hAnsi="宋体" w:hint="eastAsia"/>
          <w:bCs/>
        </w:rPr>
        <w:t>①本基金在任何交易日日终，持有的买入国债期货合约价值，不得超过基金资产净值的15%；</w:t>
      </w:r>
    </w:p>
    <w:p w14:paraId="112560F4" w14:textId="77777777" w:rsidR="0082364D" w:rsidRDefault="00BF2824">
      <w:pPr>
        <w:spacing w:line="360" w:lineRule="auto"/>
        <w:ind w:firstLineChars="200" w:firstLine="420"/>
        <w:jc w:val="left"/>
        <w:rPr>
          <w:rFonts w:ascii="宋体" w:hAnsi="宋体"/>
          <w:bCs/>
        </w:rPr>
      </w:pPr>
      <w:r>
        <w:rPr>
          <w:rFonts w:ascii="宋体" w:hAnsi="宋体" w:hint="eastAsia"/>
          <w:bCs/>
        </w:rPr>
        <w:t xml:space="preserve">②本基金在任何交易日日终，在扣除股指期货和国债期货合约需缴纳的交易保证金后，应当保持不低于交易保证金一倍的现金； </w:t>
      </w:r>
    </w:p>
    <w:p w14:paraId="62051C9F" w14:textId="77777777" w:rsidR="0082364D" w:rsidRDefault="00BF2824">
      <w:pPr>
        <w:spacing w:line="360" w:lineRule="auto"/>
        <w:ind w:firstLineChars="200" w:firstLine="420"/>
        <w:jc w:val="left"/>
        <w:rPr>
          <w:rFonts w:ascii="宋体" w:hAnsi="宋体"/>
          <w:bCs/>
        </w:rPr>
      </w:pPr>
      <w:r>
        <w:rPr>
          <w:rFonts w:ascii="宋体" w:hAnsi="宋体" w:hint="eastAsia"/>
          <w:bCs/>
        </w:rPr>
        <w:t>③本基金在任何交易日日终，持有的买入股指期货、国债期货合约价值与有价证券市值之和，不得超过基金资产净值的100%。</w:t>
      </w:r>
    </w:p>
    <w:p w14:paraId="7927F180" w14:textId="77777777" w:rsidR="0082364D" w:rsidRDefault="00BF2824">
      <w:pPr>
        <w:spacing w:line="360" w:lineRule="auto"/>
        <w:ind w:firstLineChars="200" w:firstLine="420"/>
        <w:jc w:val="left"/>
        <w:rPr>
          <w:rFonts w:ascii="宋体" w:hAnsi="宋体"/>
          <w:bCs/>
        </w:rPr>
      </w:pPr>
      <w:r>
        <w:rPr>
          <w:rFonts w:ascii="宋体" w:hAnsi="宋体" w:hint="eastAsia"/>
          <w:bCs/>
        </w:rPr>
        <w:t>其中，有价证券指股票、债券（不含到期日在一年以内的政府债券）、资产支持证券、买入返售金融资产（不含质押式回购）等；</w:t>
      </w:r>
    </w:p>
    <w:p w14:paraId="0C68B15E" w14:textId="77777777" w:rsidR="0082364D" w:rsidRDefault="00BF2824">
      <w:pPr>
        <w:spacing w:line="360" w:lineRule="auto"/>
        <w:ind w:firstLineChars="200" w:firstLine="420"/>
        <w:jc w:val="left"/>
        <w:rPr>
          <w:rFonts w:ascii="宋体" w:hAnsi="宋体"/>
          <w:bCs/>
        </w:rPr>
      </w:pPr>
      <w:r>
        <w:rPr>
          <w:rFonts w:ascii="宋体" w:hAnsi="宋体" w:hint="eastAsia"/>
          <w:bCs/>
        </w:rPr>
        <w:t>④本基金在任何交易日日终，持有的卖出国债期货合约价值不得超过基金持有的债券总市值的30%；</w:t>
      </w:r>
    </w:p>
    <w:p w14:paraId="27690BFC" w14:textId="77777777" w:rsidR="0082364D" w:rsidRDefault="00BF2824">
      <w:pPr>
        <w:spacing w:line="360" w:lineRule="auto"/>
        <w:ind w:firstLineChars="200" w:firstLine="420"/>
        <w:jc w:val="left"/>
        <w:rPr>
          <w:rFonts w:ascii="宋体" w:hAnsi="宋体"/>
          <w:bCs/>
        </w:rPr>
      </w:pPr>
      <w:r>
        <w:rPr>
          <w:rFonts w:ascii="宋体" w:hAnsi="宋体" w:hint="eastAsia"/>
          <w:bCs/>
        </w:rPr>
        <w:t>⑤本基金所持有的债券(不含到期日在一年以内的政府债券)市值和买入、卖出国债期货合约价值，合计(轧差计算)应当符合基金合同关于债券投资比例的有关约定；</w:t>
      </w:r>
    </w:p>
    <w:p w14:paraId="03FD9C2A" w14:textId="77777777" w:rsidR="0082364D" w:rsidRDefault="00BF2824">
      <w:pPr>
        <w:spacing w:line="360" w:lineRule="auto"/>
        <w:ind w:firstLineChars="200" w:firstLine="420"/>
        <w:jc w:val="left"/>
        <w:rPr>
          <w:rFonts w:ascii="宋体" w:hAnsi="宋体"/>
          <w:bCs/>
        </w:rPr>
      </w:pPr>
      <w:r>
        <w:rPr>
          <w:rFonts w:ascii="宋体" w:hAnsi="宋体" w:hint="eastAsia"/>
          <w:bCs/>
        </w:rPr>
        <w:t>⑥本基金在任何交易日内交易（不包括平仓）的国债期货合约的成交金额不得超过上一交易日基金资产净值的30%；</w:t>
      </w:r>
    </w:p>
    <w:p w14:paraId="335CB407"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1</w:t>
      </w:r>
      <w:r>
        <w:rPr>
          <w:rFonts w:ascii="宋体" w:hAnsi="宋体" w:hint="eastAsia"/>
          <w:bCs/>
        </w:rPr>
        <w:t>）本基金若参与股票期权交易，应当符合下列投资限制：</w:t>
      </w:r>
    </w:p>
    <w:p w14:paraId="06732FF0" w14:textId="77777777" w:rsidR="0082364D" w:rsidRDefault="00BF2824">
      <w:pPr>
        <w:spacing w:line="360" w:lineRule="auto"/>
        <w:ind w:firstLineChars="200" w:firstLine="420"/>
        <w:jc w:val="left"/>
        <w:rPr>
          <w:rFonts w:ascii="宋体" w:hAnsi="宋体"/>
          <w:bCs/>
        </w:rPr>
      </w:pPr>
      <w:r>
        <w:rPr>
          <w:rFonts w:ascii="宋体" w:hAnsi="宋体" w:hint="eastAsia"/>
          <w:bCs/>
        </w:rPr>
        <w:t>①基金因未平仓的期权合约支付和收取的权利金总额不得超过基金资产净值的10%；</w:t>
      </w:r>
    </w:p>
    <w:p w14:paraId="0C02B0EE" w14:textId="77777777" w:rsidR="0082364D" w:rsidRDefault="00BF2824">
      <w:pPr>
        <w:spacing w:line="360" w:lineRule="auto"/>
        <w:ind w:firstLineChars="200" w:firstLine="420"/>
        <w:jc w:val="left"/>
        <w:rPr>
          <w:rFonts w:ascii="宋体" w:hAnsi="宋体"/>
          <w:bCs/>
        </w:rPr>
      </w:pPr>
      <w:r>
        <w:rPr>
          <w:rFonts w:ascii="宋体" w:hAnsi="宋体" w:hint="eastAsia"/>
          <w:bCs/>
        </w:rPr>
        <w:t>②开仓卖出认购期权的，应持有足额标的证券；开仓卖出认沽期权的，应持有合约行权所需的全额现金或交易所规则认可的可冲抵期权保证金的现金等价物；</w:t>
      </w:r>
    </w:p>
    <w:p w14:paraId="5E4A4A6A" w14:textId="77777777" w:rsidR="0082364D" w:rsidRDefault="00BF2824">
      <w:pPr>
        <w:spacing w:line="360" w:lineRule="auto"/>
        <w:ind w:firstLineChars="200" w:firstLine="420"/>
        <w:jc w:val="left"/>
        <w:rPr>
          <w:rFonts w:ascii="宋体" w:hAnsi="宋体"/>
          <w:bCs/>
        </w:rPr>
      </w:pPr>
      <w:r>
        <w:rPr>
          <w:rFonts w:ascii="宋体" w:hAnsi="宋体" w:hint="eastAsia"/>
          <w:bCs/>
        </w:rPr>
        <w:t>③未平仓的期权合约面值不得超过基金资产净值的20%。其中，合约面值按照行权价乘以合约乘数计算；</w:t>
      </w:r>
    </w:p>
    <w:p w14:paraId="6315A7F0" w14:textId="77777777" w:rsidR="0082364D" w:rsidRDefault="00BF2824">
      <w:pPr>
        <w:spacing w:line="360" w:lineRule="auto"/>
        <w:ind w:firstLineChars="200" w:firstLine="420"/>
        <w:jc w:val="left"/>
        <w:rPr>
          <w:rFonts w:ascii="宋体" w:hAnsi="宋体"/>
          <w:bCs/>
        </w:rPr>
      </w:pPr>
      <w:r>
        <w:rPr>
          <w:rFonts w:ascii="宋体" w:hAnsi="宋体"/>
          <w:bCs/>
        </w:rPr>
        <w:t>12</w:t>
      </w:r>
      <w:r>
        <w:rPr>
          <w:rFonts w:ascii="宋体" w:hAnsi="宋体" w:hint="eastAsia"/>
          <w:bCs/>
        </w:rPr>
        <w:t>）本基金参与融资业务后，在任何交易日日终，持有的融资买入股票与其他有价证券市值之和，不得超过基金资产净值的 95%；</w:t>
      </w:r>
    </w:p>
    <w:p w14:paraId="50D87D73" w14:textId="77777777" w:rsidR="0082364D" w:rsidRDefault="00BF2824">
      <w:pPr>
        <w:spacing w:line="360" w:lineRule="auto"/>
        <w:ind w:firstLineChars="200" w:firstLine="420"/>
        <w:jc w:val="left"/>
        <w:rPr>
          <w:rFonts w:ascii="宋体" w:hAnsi="宋体"/>
          <w:bCs/>
        </w:rPr>
      </w:pPr>
      <w:r>
        <w:rPr>
          <w:rFonts w:ascii="宋体" w:hAnsi="宋体"/>
          <w:bCs/>
        </w:rPr>
        <w:t>13</w:t>
      </w:r>
      <w:r>
        <w:rPr>
          <w:rFonts w:ascii="宋体" w:hAnsi="宋体" w:hint="eastAsia"/>
          <w:bCs/>
        </w:rPr>
        <w:t>）本基金参与转融通证券出借业务，应当符合下列投资限制：</w:t>
      </w:r>
    </w:p>
    <w:p w14:paraId="1C5187C3" w14:textId="77777777" w:rsidR="0082364D" w:rsidRDefault="00BF2824">
      <w:pPr>
        <w:spacing w:line="360" w:lineRule="auto"/>
        <w:ind w:firstLineChars="200" w:firstLine="420"/>
        <w:jc w:val="left"/>
        <w:rPr>
          <w:rFonts w:ascii="宋体" w:hAnsi="宋体"/>
          <w:bCs/>
        </w:rPr>
      </w:pPr>
      <w:r>
        <w:rPr>
          <w:rFonts w:ascii="宋体" w:hAnsi="宋体" w:hint="eastAsia"/>
          <w:bCs/>
        </w:rPr>
        <w:t>①出借证券资产不得超过基金资产净值的30%，出借期限在10个交易日以上的出借证券应纳入《流动性风险管理规定》所述流动性受限证券的范围；</w:t>
      </w:r>
    </w:p>
    <w:p w14:paraId="7ED1F54A" w14:textId="77777777" w:rsidR="0082364D" w:rsidRDefault="00BF2824">
      <w:pPr>
        <w:spacing w:line="360" w:lineRule="auto"/>
        <w:ind w:firstLineChars="200" w:firstLine="420"/>
        <w:jc w:val="left"/>
        <w:rPr>
          <w:rFonts w:ascii="宋体" w:hAnsi="宋体"/>
          <w:bCs/>
        </w:rPr>
      </w:pPr>
      <w:r>
        <w:rPr>
          <w:rFonts w:ascii="宋体" w:hAnsi="宋体" w:hint="eastAsia"/>
          <w:bCs/>
        </w:rPr>
        <w:t>②本基金参与出借业务的单只证券不得超过基金持有该证券总量的30%；</w:t>
      </w:r>
    </w:p>
    <w:p w14:paraId="57BC1397" w14:textId="77777777" w:rsidR="0082364D" w:rsidRDefault="00BF2824">
      <w:pPr>
        <w:spacing w:line="360" w:lineRule="auto"/>
        <w:ind w:firstLineChars="200" w:firstLine="420"/>
        <w:jc w:val="left"/>
        <w:rPr>
          <w:rFonts w:ascii="宋体" w:hAnsi="宋体"/>
          <w:bCs/>
        </w:rPr>
      </w:pPr>
      <w:r>
        <w:rPr>
          <w:rFonts w:ascii="宋体" w:hAnsi="宋体" w:hint="eastAsia"/>
          <w:bCs/>
        </w:rPr>
        <w:t>③最近6个月内日均基金资产净值不得低于2亿元；</w:t>
      </w:r>
    </w:p>
    <w:p w14:paraId="65485D7F" w14:textId="77777777" w:rsidR="0082364D" w:rsidRDefault="00BF2824">
      <w:pPr>
        <w:spacing w:line="360" w:lineRule="auto"/>
        <w:ind w:firstLineChars="200" w:firstLine="420"/>
        <w:jc w:val="left"/>
        <w:rPr>
          <w:rFonts w:ascii="宋体" w:hAnsi="宋体"/>
          <w:bCs/>
        </w:rPr>
      </w:pPr>
      <w:r>
        <w:rPr>
          <w:rFonts w:ascii="宋体" w:hAnsi="宋体" w:hint="eastAsia"/>
          <w:bCs/>
        </w:rPr>
        <w:t>④证券出借的平均剩余期限不得超过30天，平均剩余期限按照市值加权平均计算；</w:t>
      </w:r>
    </w:p>
    <w:p w14:paraId="2437C295" w14:textId="77777777" w:rsidR="0082364D" w:rsidRDefault="00BF2824">
      <w:pPr>
        <w:spacing w:line="360" w:lineRule="auto"/>
        <w:ind w:firstLineChars="200" w:firstLine="420"/>
        <w:jc w:val="left"/>
        <w:rPr>
          <w:rFonts w:ascii="宋体" w:hAnsi="宋体"/>
          <w:bCs/>
        </w:rPr>
      </w:pPr>
      <w:r>
        <w:rPr>
          <w:rFonts w:ascii="宋体" w:hAnsi="宋体" w:hint="eastAsia"/>
          <w:bCs/>
        </w:rPr>
        <w:lastRenderedPageBreak/>
        <w:t>因证券市场波动、上市公司合并、基金规模变动等基金管理人之外的因素致使基金投资不符合上述规定的，基金管理人不得新增出借业务；</w:t>
      </w:r>
    </w:p>
    <w:p w14:paraId="0A3081C2" w14:textId="77777777" w:rsidR="0082364D" w:rsidRDefault="00BF2824">
      <w:pPr>
        <w:spacing w:line="360" w:lineRule="auto"/>
        <w:ind w:firstLineChars="200" w:firstLine="420"/>
        <w:jc w:val="left"/>
        <w:rPr>
          <w:rFonts w:ascii="宋体" w:hAnsi="宋体"/>
          <w:bCs/>
        </w:rPr>
      </w:pPr>
      <w:r>
        <w:rPr>
          <w:rFonts w:ascii="宋体" w:hAnsi="宋体"/>
          <w:bCs/>
        </w:rPr>
        <w:t>14</w:t>
      </w:r>
      <w:r>
        <w:rPr>
          <w:rFonts w:ascii="宋体" w:hAnsi="宋体" w:hint="eastAsia"/>
          <w:bCs/>
        </w:rPr>
        <w:t>）本基金主动投资于流动性受限资产的市值合计不得超过基金资产净值的</w:t>
      </w:r>
      <w:r>
        <w:rPr>
          <w:rFonts w:ascii="宋体" w:hAnsi="宋体"/>
          <w:bCs/>
        </w:rPr>
        <w:t>15%</w:t>
      </w:r>
      <w:r>
        <w:rPr>
          <w:rFonts w:ascii="宋体" w:hAnsi="宋体" w:hint="eastAsia"/>
          <w:bCs/>
        </w:rPr>
        <w:t>；因证券市场波动、上市公司股票停牌、基金规模变动等基金管理人之外的因素致使基金不符合该比例限制的，基金管理人不得主动新增流动性受限资产的投资；</w:t>
      </w:r>
    </w:p>
    <w:p w14:paraId="01EEA8BA" w14:textId="77777777" w:rsidR="0082364D" w:rsidRDefault="00BF2824">
      <w:pPr>
        <w:spacing w:line="360" w:lineRule="auto"/>
        <w:ind w:firstLineChars="200" w:firstLine="420"/>
        <w:jc w:val="left"/>
        <w:rPr>
          <w:rFonts w:ascii="宋体" w:hAnsi="宋体"/>
          <w:bCs/>
        </w:rPr>
      </w:pPr>
      <w:r>
        <w:rPr>
          <w:rFonts w:ascii="宋体" w:hAnsi="宋体"/>
          <w:bCs/>
        </w:rPr>
        <w:t>15</w:t>
      </w:r>
      <w:r>
        <w:rPr>
          <w:rFonts w:ascii="宋体" w:hAnsi="宋体" w:hint="eastAsia"/>
          <w:bCs/>
        </w:rPr>
        <w:t>）本基金与私募类证券资管产品及中国证监会认定的其他主体为交易对手开展逆回购交易的，可接受质押品的资质要求应当与基金合同约定的投资范围保持一致；</w:t>
      </w:r>
    </w:p>
    <w:p w14:paraId="3BCB925B"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5</w:t>
      </w:r>
      <w:r>
        <w:rPr>
          <w:rFonts w:ascii="宋体" w:hAnsi="宋体" w:hint="eastAsia"/>
          <w:bCs/>
        </w:rPr>
        <w:t>）法律法规及中国证监会规定的和《基金合同》约定的其他投资限制。</w:t>
      </w:r>
    </w:p>
    <w:p w14:paraId="0BBA7C0A" w14:textId="77777777" w:rsidR="0082364D" w:rsidRDefault="00BF2824">
      <w:pPr>
        <w:spacing w:line="360" w:lineRule="auto"/>
        <w:ind w:firstLineChars="200" w:firstLine="420"/>
        <w:jc w:val="left"/>
        <w:rPr>
          <w:rFonts w:ascii="宋体" w:hAnsi="宋体"/>
          <w:bCs/>
        </w:rPr>
      </w:pPr>
      <w:bookmarkStart w:id="30" w:name="_Hlk108365043"/>
      <w:r>
        <w:rPr>
          <w:rFonts w:ascii="宋体" w:hAnsi="宋体" w:hint="eastAsia"/>
          <w:bCs/>
        </w:rPr>
        <w:t>对于上述第（</w:t>
      </w:r>
      <w:r>
        <w:rPr>
          <w:rFonts w:ascii="宋体" w:hAnsi="宋体"/>
          <w:bCs/>
        </w:rPr>
        <w:t>3</w:t>
      </w:r>
      <w:r>
        <w:rPr>
          <w:rFonts w:ascii="宋体" w:hAnsi="宋体" w:hint="eastAsia"/>
          <w:bCs/>
        </w:rPr>
        <w:t>）条第</w:t>
      </w:r>
      <w:r>
        <w:rPr>
          <w:rFonts w:ascii="宋体" w:hAnsi="宋体"/>
          <w:bCs/>
        </w:rPr>
        <w:t>1</w:t>
      </w:r>
      <w:r>
        <w:rPr>
          <w:rFonts w:ascii="宋体" w:hAnsi="宋体" w:hint="eastAsia"/>
          <w:bCs/>
        </w:rPr>
        <w:t>）、</w:t>
      </w:r>
      <w:r>
        <w:rPr>
          <w:rFonts w:ascii="宋体" w:hAnsi="宋体"/>
          <w:bCs/>
        </w:rPr>
        <w:t>2</w:t>
      </w:r>
      <w:r>
        <w:rPr>
          <w:rFonts w:ascii="宋体" w:hAnsi="宋体" w:hint="eastAsia"/>
          <w:bCs/>
        </w:rPr>
        <w:t>）、</w:t>
      </w:r>
      <w:r>
        <w:rPr>
          <w:rFonts w:ascii="宋体" w:hAnsi="宋体"/>
          <w:bCs/>
        </w:rPr>
        <w:t>3</w:t>
      </w:r>
      <w:r>
        <w:rPr>
          <w:rFonts w:ascii="宋体" w:hAnsi="宋体" w:hint="eastAsia"/>
          <w:bCs/>
        </w:rPr>
        <w:t>）、</w:t>
      </w:r>
      <w:r>
        <w:rPr>
          <w:rFonts w:ascii="宋体" w:hAnsi="宋体"/>
          <w:bCs/>
        </w:rPr>
        <w:t>4</w:t>
      </w:r>
      <w:r>
        <w:rPr>
          <w:rFonts w:ascii="宋体" w:hAnsi="宋体" w:hint="eastAsia"/>
          <w:bCs/>
        </w:rPr>
        <w:t>）、</w:t>
      </w:r>
      <w:r>
        <w:rPr>
          <w:rFonts w:ascii="宋体" w:hAnsi="宋体"/>
          <w:bCs/>
        </w:rPr>
        <w:t>5</w:t>
      </w:r>
      <w:r>
        <w:rPr>
          <w:rFonts w:ascii="宋体" w:hAnsi="宋体" w:hint="eastAsia"/>
          <w:bCs/>
        </w:rPr>
        <w:t>）项，若基金超过规定的投资比例限制，应当在超过比例后</w:t>
      </w:r>
      <w:r>
        <w:rPr>
          <w:rFonts w:ascii="宋体" w:hAnsi="宋体"/>
          <w:bCs/>
        </w:rPr>
        <w:t xml:space="preserve">30 </w:t>
      </w:r>
      <w:r>
        <w:rPr>
          <w:rFonts w:ascii="宋体" w:hAnsi="宋体" w:hint="eastAsia"/>
          <w:bCs/>
        </w:rPr>
        <w:t>个工作日内采用合理的商业措施减仓以符合投资比例限制要求。对于上述第（</w:t>
      </w:r>
      <w:r>
        <w:rPr>
          <w:rFonts w:ascii="宋体" w:hAnsi="宋体"/>
          <w:bCs/>
        </w:rPr>
        <w:t>1</w:t>
      </w:r>
      <w:r>
        <w:rPr>
          <w:rFonts w:ascii="宋体" w:hAnsi="宋体" w:hint="eastAsia"/>
          <w:bCs/>
        </w:rPr>
        <w:t>）条、第（</w:t>
      </w:r>
      <w:r>
        <w:rPr>
          <w:rFonts w:ascii="宋体" w:hAnsi="宋体"/>
          <w:bCs/>
        </w:rPr>
        <w:t>2</w:t>
      </w:r>
      <w:r>
        <w:rPr>
          <w:rFonts w:ascii="宋体" w:hAnsi="宋体" w:hint="eastAsia"/>
          <w:bCs/>
        </w:rPr>
        <w:t>）条、第（</w:t>
      </w:r>
      <w:r>
        <w:rPr>
          <w:rFonts w:ascii="宋体" w:hAnsi="宋体"/>
          <w:bCs/>
        </w:rPr>
        <w:t>4</w:t>
      </w:r>
      <w:r>
        <w:rPr>
          <w:rFonts w:ascii="宋体" w:hAnsi="宋体" w:hint="eastAsia"/>
          <w:bCs/>
        </w:rPr>
        <w:t>）条第</w:t>
      </w:r>
      <w:r>
        <w:rPr>
          <w:rFonts w:ascii="宋体" w:hAnsi="宋体"/>
          <w:bCs/>
        </w:rPr>
        <w:t>1</w:t>
      </w:r>
      <w:r>
        <w:rPr>
          <w:rFonts w:ascii="宋体" w:hAnsi="宋体" w:hint="eastAsia"/>
          <w:bCs/>
        </w:rPr>
        <w:t>）-5）项及第7）-</w:t>
      </w:r>
      <w:r>
        <w:rPr>
          <w:rFonts w:ascii="宋体" w:hAnsi="宋体"/>
          <w:bCs/>
        </w:rPr>
        <w:t>12</w:t>
      </w:r>
      <w:r>
        <w:rPr>
          <w:rFonts w:ascii="宋体" w:hAnsi="宋体" w:hint="eastAsia"/>
          <w:bCs/>
        </w:rPr>
        <w:t>）项，因证券、期货市场波动、证券发行人合并、基金规模变动、标的指数成份股调整、标的指数成份股流动性限制等基金管理人之外的因素致使基金投资比例不符合上述规定投资比例的，基金管理人应当在所涉境内证券可交易之日起</w:t>
      </w:r>
      <w:r>
        <w:rPr>
          <w:rFonts w:ascii="宋体" w:hAnsi="宋体"/>
          <w:bCs/>
        </w:rPr>
        <w:t>10</w:t>
      </w:r>
      <w:r>
        <w:rPr>
          <w:rFonts w:ascii="宋体" w:hAnsi="宋体" w:hint="eastAsia"/>
          <w:bCs/>
        </w:rPr>
        <w:t>个交易日内进行调整，所涉境外证券可交易之日起30个交易日内进行调整，但中国证监会规定的特殊情形除外。法律法规或监管部门另有规定的，从其规定。</w:t>
      </w:r>
    </w:p>
    <w:bookmarkEnd w:id="30"/>
    <w:p w14:paraId="0C3540FC" w14:textId="77777777" w:rsidR="0082364D" w:rsidRDefault="00BF2824">
      <w:pPr>
        <w:spacing w:line="360" w:lineRule="auto"/>
        <w:ind w:firstLineChars="200" w:firstLine="420"/>
        <w:jc w:val="left"/>
        <w:rPr>
          <w:rFonts w:ascii="宋体" w:hAnsi="宋体"/>
          <w:bCs/>
        </w:rPr>
      </w:pPr>
      <w:r>
        <w:rPr>
          <w:rFonts w:ascii="宋体" w:hAnsi="宋体"/>
          <w:bCs/>
        </w:rPr>
        <w:t>基金管理人应当自基金合同生效之日起6个月内使基金的投资组合比例符合基金合同的有关约定。</w:t>
      </w:r>
      <w:r>
        <w:rPr>
          <w:rFonts w:ascii="宋体" w:hAnsi="宋体" w:hint="eastAsia"/>
          <w:bCs/>
        </w:rPr>
        <w:t>在上述</w:t>
      </w:r>
      <w:r>
        <w:rPr>
          <w:rFonts w:ascii="宋体" w:hAnsi="宋体"/>
          <w:bCs/>
        </w:rPr>
        <w:t>期间</w:t>
      </w:r>
      <w:r>
        <w:rPr>
          <w:rFonts w:ascii="宋体" w:hAnsi="宋体" w:hint="eastAsia"/>
          <w:bCs/>
        </w:rPr>
        <w:t>内</w:t>
      </w:r>
      <w:r>
        <w:rPr>
          <w:rFonts w:ascii="宋体" w:hAnsi="宋体"/>
          <w:bCs/>
        </w:rPr>
        <w:t>，本基金的投资范围、投资策略应当符合基金合同的约定。基金托管人对基金的投资的监督与检查自基金合同生效之日起开始。</w:t>
      </w:r>
    </w:p>
    <w:p w14:paraId="720AC39C" w14:textId="77777777" w:rsidR="0082364D" w:rsidRDefault="00BF2824">
      <w:pPr>
        <w:spacing w:line="360" w:lineRule="auto"/>
        <w:ind w:firstLineChars="200" w:firstLine="420"/>
        <w:jc w:val="left"/>
        <w:rPr>
          <w:rFonts w:ascii="宋体" w:hAnsi="宋体"/>
          <w:bCs/>
        </w:rPr>
      </w:pPr>
      <w:r>
        <w:rPr>
          <w:rFonts w:ascii="宋体" w:hAnsi="宋体" w:hint="eastAsia"/>
          <w:bCs/>
        </w:rPr>
        <w:t>对于因交易对手违约、境外证券经纪机构破产等情形给基金财产造成损失的，基金管理人应从维护投资者利益出发，向交易对手、境外证券经纪机构主张权利，尽可能将由此给基金财产造成的损失降到最低。</w:t>
      </w:r>
    </w:p>
    <w:p w14:paraId="21FF1D21" w14:textId="77777777" w:rsidR="0082364D" w:rsidRDefault="00BF2824">
      <w:pPr>
        <w:spacing w:line="360" w:lineRule="auto"/>
        <w:ind w:firstLineChars="200" w:firstLine="420"/>
        <w:jc w:val="left"/>
        <w:rPr>
          <w:rFonts w:ascii="宋体" w:hAnsi="宋体"/>
          <w:bCs/>
        </w:rPr>
      </w:pPr>
      <w:r>
        <w:rPr>
          <w:rFonts w:ascii="宋体" w:hAnsi="宋体" w:hint="eastAsia"/>
          <w:bCs/>
        </w:rPr>
        <w:t>2、</w:t>
      </w:r>
      <w:r>
        <w:rPr>
          <w:rFonts w:ascii="宋体" w:hAnsi="宋体"/>
          <w:bCs/>
        </w:rPr>
        <w:t>禁止行为</w:t>
      </w:r>
    </w:p>
    <w:p w14:paraId="530D2C5D" w14:textId="77777777" w:rsidR="0082364D" w:rsidRDefault="00BF2824">
      <w:pPr>
        <w:spacing w:line="360" w:lineRule="auto"/>
        <w:ind w:firstLineChars="200" w:firstLine="420"/>
        <w:jc w:val="left"/>
        <w:rPr>
          <w:rFonts w:ascii="宋体" w:hAnsi="宋体"/>
          <w:bCs/>
        </w:rPr>
      </w:pPr>
      <w:r>
        <w:rPr>
          <w:rFonts w:ascii="宋体" w:hAnsi="宋体"/>
          <w:bCs/>
        </w:rPr>
        <w:t>为维护基金份额持有人的合法权益，基金财产不得用于下列投资或者活动：</w:t>
      </w:r>
    </w:p>
    <w:p w14:paraId="3B6BE086" w14:textId="77777777" w:rsidR="0082364D" w:rsidRDefault="00BF2824">
      <w:pPr>
        <w:spacing w:line="360" w:lineRule="auto"/>
        <w:ind w:firstLineChars="200" w:firstLine="420"/>
        <w:jc w:val="left"/>
        <w:rPr>
          <w:rFonts w:ascii="宋体" w:hAnsi="宋体"/>
          <w:bCs/>
        </w:rPr>
      </w:pPr>
      <w:r>
        <w:rPr>
          <w:rFonts w:ascii="宋体" w:hAnsi="宋体" w:hint="eastAsia"/>
          <w:bCs/>
        </w:rPr>
        <w:t>（1）购买不动产；</w:t>
      </w:r>
    </w:p>
    <w:p w14:paraId="34914E5F" w14:textId="77777777" w:rsidR="0082364D" w:rsidRDefault="00BF2824">
      <w:pPr>
        <w:spacing w:line="360" w:lineRule="auto"/>
        <w:ind w:firstLineChars="200" w:firstLine="420"/>
        <w:jc w:val="left"/>
        <w:rPr>
          <w:rFonts w:ascii="宋体" w:hAnsi="宋体"/>
          <w:bCs/>
        </w:rPr>
      </w:pPr>
      <w:r>
        <w:rPr>
          <w:rFonts w:ascii="宋体" w:hAnsi="宋体" w:hint="eastAsia"/>
          <w:bCs/>
        </w:rPr>
        <w:t>（2）购买房地产抵押按揭；</w:t>
      </w:r>
    </w:p>
    <w:p w14:paraId="4578563F" w14:textId="77777777" w:rsidR="0082364D" w:rsidRDefault="00BF2824">
      <w:pPr>
        <w:spacing w:line="360" w:lineRule="auto"/>
        <w:ind w:firstLineChars="200" w:firstLine="420"/>
        <w:jc w:val="left"/>
        <w:rPr>
          <w:rFonts w:ascii="宋体" w:hAnsi="宋体"/>
          <w:bCs/>
        </w:rPr>
      </w:pPr>
      <w:r>
        <w:rPr>
          <w:rFonts w:ascii="宋体" w:hAnsi="宋体" w:hint="eastAsia"/>
          <w:bCs/>
        </w:rPr>
        <w:t>（3）购买贵重金属或代表贵重金属的凭证；</w:t>
      </w:r>
    </w:p>
    <w:p w14:paraId="34919085" w14:textId="77777777" w:rsidR="0082364D" w:rsidRDefault="00BF2824">
      <w:pPr>
        <w:spacing w:line="360" w:lineRule="auto"/>
        <w:ind w:firstLineChars="200" w:firstLine="420"/>
        <w:jc w:val="left"/>
        <w:rPr>
          <w:rFonts w:ascii="宋体" w:hAnsi="宋体"/>
          <w:bCs/>
        </w:rPr>
      </w:pPr>
      <w:r>
        <w:rPr>
          <w:rFonts w:ascii="宋体" w:hAnsi="宋体" w:hint="eastAsia"/>
          <w:bCs/>
        </w:rPr>
        <w:t>（4）购买实物商品；</w:t>
      </w:r>
    </w:p>
    <w:p w14:paraId="4F620BCB" w14:textId="77777777" w:rsidR="0082364D" w:rsidRDefault="00BF2824">
      <w:pPr>
        <w:spacing w:line="360" w:lineRule="auto"/>
        <w:ind w:firstLineChars="200" w:firstLine="420"/>
        <w:jc w:val="left"/>
        <w:rPr>
          <w:rFonts w:ascii="宋体" w:hAnsi="宋体"/>
          <w:bCs/>
        </w:rPr>
      </w:pPr>
      <w:r>
        <w:rPr>
          <w:rFonts w:ascii="宋体" w:hAnsi="宋体" w:hint="eastAsia"/>
          <w:bCs/>
        </w:rPr>
        <w:t>（5）除应付赎回、交易清算等临时用途以外，借入现金；</w:t>
      </w:r>
    </w:p>
    <w:p w14:paraId="7F6B3D8A" w14:textId="77777777" w:rsidR="0082364D" w:rsidRDefault="00BF2824">
      <w:pPr>
        <w:spacing w:line="360" w:lineRule="auto"/>
        <w:ind w:firstLineChars="200" w:firstLine="420"/>
        <w:jc w:val="left"/>
        <w:rPr>
          <w:rFonts w:ascii="宋体" w:hAnsi="宋体"/>
          <w:bCs/>
        </w:rPr>
      </w:pPr>
      <w:r>
        <w:rPr>
          <w:rFonts w:ascii="宋体" w:hAnsi="宋体" w:hint="eastAsia"/>
          <w:bCs/>
        </w:rPr>
        <w:t>（6）利用融资购买证券，但投资金融衍生品除外；</w:t>
      </w:r>
    </w:p>
    <w:p w14:paraId="5024CC52" w14:textId="77777777" w:rsidR="0082364D" w:rsidRDefault="00BF2824">
      <w:pPr>
        <w:spacing w:line="360" w:lineRule="auto"/>
        <w:ind w:firstLineChars="200" w:firstLine="420"/>
        <w:jc w:val="left"/>
        <w:rPr>
          <w:rFonts w:ascii="宋体" w:hAnsi="宋体"/>
          <w:bCs/>
        </w:rPr>
      </w:pPr>
      <w:r>
        <w:rPr>
          <w:rFonts w:ascii="宋体" w:hAnsi="宋体" w:hint="eastAsia"/>
          <w:bCs/>
        </w:rPr>
        <w:lastRenderedPageBreak/>
        <w:t>（7）参与未持有基础资产的卖空交易；</w:t>
      </w:r>
    </w:p>
    <w:p w14:paraId="2EBF42ED" w14:textId="77777777" w:rsidR="0082364D" w:rsidRDefault="00BF2824">
      <w:pPr>
        <w:spacing w:line="360" w:lineRule="auto"/>
        <w:ind w:firstLineChars="200" w:firstLine="420"/>
        <w:jc w:val="left"/>
        <w:rPr>
          <w:rFonts w:ascii="宋体" w:hAnsi="宋体"/>
          <w:bCs/>
        </w:rPr>
      </w:pPr>
      <w:r>
        <w:rPr>
          <w:rFonts w:ascii="宋体" w:hAnsi="宋体" w:hint="eastAsia"/>
          <w:bCs/>
        </w:rPr>
        <w:t>（8）购买证券用于控制或影响发行该证券的机构或其管理层；</w:t>
      </w:r>
    </w:p>
    <w:p w14:paraId="7A774F77"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9</w:t>
      </w:r>
      <w:r>
        <w:rPr>
          <w:rFonts w:ascii="宋体" w:hAnsi="宋体" w:hint="eastAsia"/>
          <w:bCs/>
        </w:rPr>
        <w:t>）直接投资与实物商品相关的衍生品；</w:t>
      </w:r>
    </w:p>
    <w:p w14:paraId="4E309279" w14:textId="77777777" w:rsidR="0082364D" w:rsidRDefault="00BF2824">
      <w:pPr>
        <w:spacing w:line="360" w:lineRule="auto"/>
        <w:ind w:firstLineChars="200" w:firstLine="420"/>
        <w:jc w:val="left"/>
        <w:rPr>
          <w:rFonts w:ascii="宋体" w:hAnsi="宋体"/>
          <w:bCs/>
        </w:rPr>
      </w:pPr>
      <w:r>
        <w:rPr>
          <w:rFonts w:ascii="宋体" w:hAnsi="宋体"/>
          <w:bCs/>
        </w:rPr>
        <w:t>（10）承销证券；</w:t>
      </w:r>
    </w:p>
    <w:p w14:paraId="38700ABE" w14:textId="77777777" w:rsidR="0082364D" w:rsidRDefault="00BF2824">
      <w:pPr>
        <w:spacing w:line="360" w:lineRule="auto"/>
        <w:ind w:firstLineChars="200" w:firstLine="420"/>
        <w:jc w:val="left"/>
        <w:rPr>
          <w:rFonts w:ascii="宋体" w:hAnsi="宋体"/>
          <w:bCs/>
        </w:rPr>
      </w:pPr>
      <w:r>
        <w:rPr>
          <w:rFonts w:ascii="宋体" w:hAnsi="宋体"/>
          <w:bCs/>
        </w:rPr>
        <w:t>（11）违反规定向他人贷款或者提供担保；</w:t>
      </w:r>
    </w:p>
    <w:p w14:paraId="3D58EC3F" w14:textId="77777777" w:rsidR="0082364D" w:rsidRDefault="00BF2824">
      <w:pPr>
        <w:spacing w:line="360" w:lineRule="auto"/>
        <w:ind w:firstLineChars="200" w:firstLine="420"/>
        <w:jc w:val="left"/>
        <w:rPr>
          <w:rFonts w:ascii="宋体" w:hAnsi="宋体"/>
          <w:bCs/>
        </w:rPr>
      </w:pPr>
      <w:r>
        <w:rPr>
          <w:rFonts w:ascii="宋体" w:hAnsi="宋体"/>
          <w:bCs/>
        </w:rPr>
        <w:t>（12）从事承担无限责任的投资；</w:t>
      </w:r>
    </w:p>
    <w:p w14:paraId="176C02D5"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13</w:t>
      </w:r>
      <w:r>
        <w:rPr>
          <w:rFonts w:ascii="宋体" w:hAnsi="宋体" w:hint="eastAsia"/>
          <w:bCs/>
        </w:rPr>
        <w:t>）</w:t>
      </w:r>
      <w:r>
        <w:rPr>
          <w:rFonts w:ascii="宋体" w:hAnsi="宋体"/>
          <w:bCs/>
        </w:rPr>
        <w:t>向其基金管理人、基金托管人出资</w:t>
      </w:r>
      <w:r>
        <w:rPr>
          <w:rFonts w:ascii="宋体" w:hAnsi="宋体" w:hint="eastAsia"/>
          <w:bCs/>
        </w:rPr>
        <w:t>；</w:t>
      </w:r>
    </w:p>
    <w:p w14:paraId="25B565F8" w14:textId="77777777" w:rsidR="0082364D" w:rsidRDefault="00BF2824">
      <w:pPr>
        <w:spacing w:line="360" w:lineRule="auto"/>
        <w:ind w:firstLineChars="200" w:firstLine="420"/>
        <w:jc w:val="left"/>
        <w:rPr>
          <w:rFonts w:ascii="宋体" w:hAnsi="宋体"/>
          <w:bCs/>
        </w:rPr>
      </w:pPr>
      <w:r>
        <w:rPr>
          <w:rFonts w:ascii="宋体" w:hAnsi="宋体"/>
          <w:bCs/>
        </w:rPr>
        <w:t>（14）从事内幕交易、操纵证券交易价格及其他不正当的证券交易活动；</w:t>
      </w:r>
    </w:p>
    <w:p w14:paraId="3B15A499" w14:textId="77777777" w:rsidR="0082364D" w:rsidRDefault="00BF2824">
      <w:pPr>
        <w:spacing w:line="360" w:lineRule="auto"/>
        <w:ind w:firstLineChars="200" w:firstLine="420"/>
        <w:jc w:val="left"/>
        <w:rPr>
          <w:rFonts w:ascii="宋体" w:hAnsi="宋体"/>
          <w:bCs/>
        </w:rPr>
      </w:pPr>
      <w:r>
        <w:rPr>
          <w:rFonts w:ascii="宋体" w:hAnsi="宋体"/>
          <w:bCs/>
        </w:rPr>
        <w:t>（15）法律</w:t>
      </w:r>
      <w:r>
        <w:rPr>
          <w:rFonts w:ascii="宋体" w:hAnsi="宋体" w:hint="eastAsia"/>
          <w:bCs/>
        </w:rPr>
        <w:t>、行政</w:t>
      </w:r>
      <w:r>
        <w:rPr>
          <w:rFonts w:ascii="宋体" w:hAnsi="宋体"/>
          <w:bCs/>
        </w:rPr>
        <w:t>法规</w:t>
      </w:r>
      <w:r>
        <w:rPr>
          <w:rFonts w:ascii="宋体" w:hAnsi="宋体" w:hint="eastAsia"/>
          <w:bCs/>
        </w:rPr>
        <w:t>和</w:t>
      </w:r>
      <w:r>
        <w:rPr>
          <w:rFonts w:ascii="宋体" w:hAnsi="宋体"/>
          <w:bCs/>
        </w:rPr>
        <w:t>中国证监会规定禁止的其他活动。</w:t>
      </w:r>
    </w:p>
    <w:p w14:paraId="485862B0" w14:textId="77777777" w:rsidR="0082364D" w:rsidRDefault="00BF2824">
      <w:pPr>
        <w:spacing w:line="360" w:lineRule="auto"/>
        <w:ind w:firstLineChars="200" w:firstLine="420"/>
        <w:jc w:val="left"/>
        <w:rPr>
          <w:rFonts w:ascii="宋体" w:hAnsi="宋体"/>
          <w:bCs/>
        </w:rPr>
      </w:pPr>
      <w:r>
        <w:rPr>
          <w:rFonts w:ascii="宋体" w:hAnsi="宋体"/>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w:t>
      </w:r>
      <w:r>
        <w:rPr>
          <w:rFonts w:ascii="宋体" w:hAnsi="宋体" w:hint="eastAsia"/>
          <w:bCs/>
        </w:rPr>
        <w:t>（含三分之二）</w:t>
      </w:r>
      <w:r>
        <w:rPr>
          <w:rFonts w:ascii="宋体" w:hAnsi="宋体"/>
          <w:bCs/>
        </w:rPr>
        <w:t>的独立董事通过。基金管理人董事会应至少每半年对关联交易事项进行审查。</w:t>
      </w:r>
    </w:p>
    <w:p w14:paraId="01CEE35E" w14:textId="11E78A81" w:rsidR="0082364D" w:rsidRDefault="00BF2824">
      <w:pPr>
        <w:spacing w:line="360" w:lineRule="auto"/>
        <w:ind w:firstLineChars="200" w:firstLine="420"/>
        <w:jc w:val="left"/>
        <w:rPr>
          <w:rFonts w:ascii="宋体" w:hAnsi="宋体"/>
          <w:bCs/>
        </w:rPr>
      </w:pPr>
      <w:r>
        <w:rPr>
          <w:rFonts w:ascii="宋体" w:hAnsi="宋体" w:hint="eastAsia"/>
          <w:bCs/>
        </w:rPr>
        <w:t>3、法律法规或监管部门对基金合同所述投资比例、投资限制、组合限制、禁止行为等作出强制性调整的，本基金应当按照法律法规或监管部门的规定执行。</w:t>
      </w:r>
      <w:bookmarkEnd w:id="29"/>
      <w:r>
        <w:rPr>
          <w:rFonts w:ascii="宋体" w:hAnsi="宋体" w:hint="eastAsia"/>
          <w:bCs/>
        </w:rPr>
        <w:t xml:space="preserve"> </w:t>
      </w:r>
    </w:p>
    <w:p w14:paraId="78F53010" w14:textId="77777777" w:rsidR="0082364D" w:rsidRDefault="00BF2824">
      <w:pPr>
        <w:spacing w:line="360" w:lineRule="auto"/>
        <w:ind w:firstLineChars="200" w:firstLine="420"/>
        <w:jc w:val="left"/>
        <w:rPr>
          <w:rFonts w:ascii="宋体" w:hAnsi="宋体"/>
          <w:bCs/>
        </w:rPr>
      </w:pPr>
      <w:r>
        <w:rPr>
          <w:rFonts w:ascii="宋体" w:hAnsi="宋体" w:hint="eastAsia"/>
          <w:bCs/>
        </w:rPr>
        <w:t>（七）基金管理人代表基金行使相关权利的处理原则及方法</w:t>
      </w:r>
    </w:p>
    <w:p w14:paraId="7141C861" w14:textId="77777777" w:rsidR="0082364D" w:rsidRDefault="00BF2824">
      <w:pPr>
        <w:spacing w:line="360" w:lineRule="auto"/>
        <w:ind w:firstLineChars="200" w:firstLine="420"/>
        <w:jc w:val="left"/>
        <w:rPr>
          <w:rFonts w:ascii="宋体" w:hAnsi="宋体"/>
          <w:bCs/>
        </w:rPr>
      </w:pPr>
      <w:r>
        <w:rPr>
          <w:rFonts w:ascii="宋体" w:hAnsi="宋体" w:hint="eastAsia"/>
          <w:bCs/>
        </w:rPr>
        <w:t>1、基金管理人按照国家有关规定代表基金独立行使相关权利，保护基金份额持有人的利益；</w:t>
      </w:r>
    </w:p>
    <w:p w14:paraId="03B117AB" w14:textId="77777777" w:rsidR="0082364D" w:rsidRDefault="00BF2824">
      <w:pPr>
        <w:spacing w:line="360" w:lineRule="auto"/>
        <w:ind w:firstLineChars="200" w:firstLine="420"/>
        <w:jc w:val="left"/>
        <w:rPr>
          <w:rFonts w:ascii="宋体" w:hAnsi="宋体"/>
          <w:bCs/>
        </w:rPr>
      </w:pPr>
      <w:r>
        <w:rPr>
          <w:rFonts w:ascii="宋体" w:hAnsi="宋体" w:hint="eastAsia"/>
          <w:bCs/>
        </w:rPr>
        <w:t>2、不谋求对上市公司的控股，不参与所投资上市公司的经营管理；</w:t>
      </w:r>
    </w:p>
    <w:p w14:paraId="3BE5BA49" w14:textId="77777777" w:rsidR="0082364D" w:rsidRDefault="00BF2824">
      <w:pPr>
        <w:spacing w:line="360" w:lineRule="auto"/>
        <w:ind w:firstLineChars="200" w:firstLine="420"/>
        <w:jc w:val="left"/>
        <w:rPr>
          <w:rFonts w:ascii="宋体" w:hAnsi="宋体"/>
          <w:bCs/>
        </w:rPr>
      </w:pPr>
      <w:r>
        <w:rPr>
          <w:rFonts w:ascii="宋体" w:hAnsi="宋体" w:hint="eastAsia"/>
          <w:bCs/>
        </w:rPr>
        <w:t xml:space="preserve">3、有利于基金财产的安全与增值； </w:t>
      </w:r>
    </w:p>
    <w:p w14:paraId="77286113" w14:textId="77777777" w:rsidR="0082364D" w:rsidRDefault="00BF2824">
      <w:pPr>
        <w:spacing w:line="360" w:lineRule="auto"/>
        <w:ind w:firstLineChars="200" w:firstLine="420"/>
        <w:jc w:val="left"/>
        <w:rPr>
          <w:rFonts w:ascii="宋体" w:hAnsi="宋体"/>
          <w:bCs/>
        </w:rPr>
      </w:pPr>
      <w:r>
        <w:rPr>
          <w:rFonts w:ascii="宋体" w:hAnsi="宋体" w:hint="eastAsia"/>
          <w:bCs/>
        </w:rPr>
        <w:t>4、不通过关联交易为自身、雇员、授权代理人或任何存在利害关系的第三人牟取任何不当利益。</w:t>
      </w:r>
    </w:p>
    <w:p w14:paraId="63211EF2" w14:textId="77777777" w:rsidR="0082364D" w:rsidRDefault="0082364D">
      <w:pPr>
        <w:spacing w:line="360" w:lineRule="auto"/>
        <w:ind w:firstLineChars="200" w:firstLine="420"/>
        <w:jc w:val="left"/>
        <w:rPr>
          <w:rFonts w:ascii="宋体" w:hAnsi="宋体"/>
          <w:bCs/>
        </w:rPr>
      </w:pPr>
    </w:p>
    <w:bookmarkEnd w:id="27"/>
    <w:p w14:paraId="08AD0C4C" w14:textId="77777777" w:rsidR="0082364D" w:rsidRDefault="0082364D">
      <w:pPr>
        <w:spacing w:line="360" w:lineRule="auto"/>
        <w:ind w:firstLineChars="200" w:firstLine="420"/>
        <w:rPr>
          <w:rFonts w:ascii="宋体" w:hAnsi="宋体"/>
        </w:rPr>
      </w:pPr>
    </w:p>
    <w:bookmarkEnd w:id="28"/>
    <w:p w14:paraId="71BD860A" w14:textId="77777777" w:rsidR="0082364D" w:rsidRDefault="00BF2824">
      <w:pPr>
        <w:pStyle w:val="1"/>
        <w:spacing w:before="120" w:after="120" w:line="360" w:lineRule="auto"/>
        <w:jc w:val="center"/>
        <w:rPr>
          <w:rFonts w:ascii="宋体" w:hAnsi="宋体"/>
          <w:sz w:val="28"/>
        </w:rPr>
      </w:pPr>
      <w:r>
        <w:rPr>
          <w:rFonts w:ascii="宋体" w:hAnsi="宋体"/>
          <w:sz w:val="28"/>
          <w:szCs w:val="28"/>
        </w:rPr>
        <w:br w:type="page"/>
      </w:r>
      <w:bookmarkStart w:id="31" w:name="_Toc108598516"/>
      <w:r>
        <w:rPr>
          <w:rFonts w:ascii="宋体" w:hAnsi="宋体" w:hint="eastAsia"/>
          <w:sz w:val="28"/>
        </w:rPr>
        <w:lastRenderedPageBreak/>
        <w:t>五</w:t>
      </w:r>
      <w:r>
        <w:rPr>
          <w:rFonts w:ascii="宋体" w:hAnsi="宋体"/>
          <w:sz w:val="28"/>
        </w:rPr>
        <w:t>、基金管理人</w:t>
      </w:r>
      <w:bookmarkEnd w:id="19"/>
      <w:bookmarkEnd w:id="20"/>
      <w:bookmarkEnd w:id="21"/>
      <w:bookmarkEnd w:id="22"/>
      <w:bookmarkEnd w:id="23"/>
      <w:bookmarkEnd w:id="31"/>
    </w:p>
    <w:p w14:paraId="0ECC23F3" w14:textId="77777777" w:rsidR="0082364D" w:rsidRDefault="00BF2824">
      <w:pPr>
        <w:spacing w:line="360" w:lineRule="auto"/>
        <w:ind w:firstLineChars="100" w:firstLine="210"/>
        <w:rPr>
          <w:rFonts w:ascii="宋体" w:hAnsi="宋体"/>
          <w:color w:val="000000"/>
          <w:szCs w:val="21"/>
        </w:rPr>
      </w:pPr>
      <w:r>
        <w:rPr>
          <w:rFonts w:ascii="宋体" w:hAnsi="宋体" w:hint="eastAsia"/>
        </w:rPr>
        <w:t>（一）基金管理人概况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82364D" w14:paraId="2E485FE8" w14:textId="77777777">
        <w:tc>
          <w:tcPr>
            <w:tcW w:w="1413" w:type="dxa"/>
          </w:tcPr>
          <w:p w14:paraId="488BCD8F" w14:textId="77777777" w:rsidR="0082364D" w:rsidRDefault="00BF2824">
            <w:pPr>
              <w:spacing w:line="360" w:lineRule="auto"/>
              <w:jc w:val="center"/>
              <w:rPr>
                <w:rFonts w:asciiTheme="minorEastAsia" w:hAnsiTheme="minorEastAsia" w:cs="Arial"/>
              </w:rPr>
            </w:pPr>
            <w:r>
              <w:rPr>
                <w:rFonts w:asciiTheme="minorEastAsia" w:hAnsiTheme="minorEastAsia" w:cs="Arial"/>
              </w:rPr>
              <w:t>名称</w:t>
            </w:r>
          </w:p>
        </w:tc>
        <w:tc>
          <w:tcPr>
            <w:tcW w:w="7109" w:type="dxa"/>
          </w:tcPr>
          <w:p w14:paraId="3659CE34" w14:textId="77777777" w:rsidR="0082364D" w:rsidRDefault="00BF2824">
            <w:pPr>
              <w:spacing w:line="360" w:lineRule="auto"/>
              <w:rPr>
                <w:rFonts w:asciiTheme="minorEastAsia" w:hAnsiTheme="minorEastAsia" w:cs="Arial"/>
              </w:rPr>
            </w:pPr>
            <w:r>
              <w:rPr>
                <w:rFonts w:asciiTheme="minorEastAsia" w:hAnsiTheme="minorEastAsia" w:cs="Arial"/>
              </w:rPr>
              <w:t>嘉实基金管理有限公司</w:t>
            </w:r>
          </w:p>
        </w:tc>
      </w:tr>
      <w:tr w:rsidR="0082364D" w14:paraId="2CE290AA" w14:textId="77777777">
        <w:tc>
          <w:tcPr>
            <w:tcW w:w="1413" w:type="dxa"/>
          </w:tcPr>
          <w:p w14:paraId="299417E8" w14:textId="77777777" w:rsidR="0082364D" w:rsidRDefault="00BF2824">
            <w:pPr>
              <w:spacing w:line="360" w:lineRule="auto"/>
              <w:jc w:val="center"/>
              <w:rPr>
                <w:rFonts w:asciiTheme="minorEastAsia" w:hAnsiTheme="minorEastAsia" w:cs="Arial"/>
              </w:rPr>
            </w:pPr>
            <w:r>
              <w:rPr>
                <w:rFonts w:asciiTheme="minorEastAsia" w:hAnsiTheme="minorEastAsia" w:cs="Arial"/>
              </w:rPr>
              <w:t>注册地址</w:t>
            </w:r>
          </w:p>
        </w:tc>
        <w:tc>
          <w:tcPr>
            <w:tcW w:w="7109" w:type="dxa"/>
          </w:tcPr>
          <w:p w14:paraId="3165E3D8" w14:textId="77777777" w:rsidR="0082364D" w:rsidRDefault="00BF2824">
            <w:pPr>
              <w:spacing w:line="360" w:lineRule="auto"/>
              <w:rPr>
                <w:rFonts w:asciiTheme="minorEastAsia" w:hAnsiTheme="minorEastAsia" w:cs="Arial"/>
              </w:rPr>
            </w:pPr>
            <w:r>
              <w:rPr>
                <w:rFonts w:asciiTheme="minorEastAsia" w:hAnsiTheme="minorEastAsia" w:hint="eastAsia"/>
              </w:rPr>
              <w:t>中国（上海）自由贸易试验区陆家嘴环路1318号1806A单元</w:t>
            </w:r>
          </w:p>
        </w:tc>
      </w:tr>
      <w:tr w:rsidR="0082364D" w14:paraId="3CC13D36" w14:textId="77777777">
        <w:tc>
          <w:tcPr>
            <w:tcW w:w="1413" w:type="dxa"/>
          </w:tcPr>
          <w:p w14:paraId="0AD49045" w14:textId="77777777" w:rsidR="0082364D" w:rsidRDefault="00BF2824">
            <w:pPr>
              <w:spacing w:line="360" w:lineRule="auto"/>
              <w:jc w:val="center"/>
              <w:rPr>
                <w:rFonts w:asciiTheme="minorEastAsia" w:hAnsiTheme="minorEastAsia" w:cs="Arial"/>
              </w:rPr>
            </w:pPr>
            <w:r>
              <w:rPr>
                <w:rFonts w:asciiTheme="minorEastAsia" w:hAnsiTheme="minorEastAsia" w:cs="Arial"/>
              </w:rPr>
              <w:t>办公地址</w:t>
            </w:r>
          </w:p>
        </w:tc>
        <w:tc>
          <w:tcPr>
            <w:tcW w:w="7109" w:type="dxa"/>
          </w:tcPr>
          <w:p w14:paraId="17AF579F" w14:textId="77777777" w:rsidR="0082364D" w:rsidRDefault="00BF2824">
            <w:pPr>
              <w:spacing w:line="360" w:lineRule="auto"/>
              <w:rPr>
                <w:rFonts w:asciiTheme="minorEastAsia" w:hAnsiTheme="minorEastAsia" w:cs="Arial"/>
              </w:rPr>
            </w:pPr>
            <w:r>
              <w:rPr>
                <w:rFonts w:asciiTheme="minorEastAsia" w:hAnsiTheme="minorEastAsia" w:cs="Arial" w:hint="eastAsia"/>
              </w:rPr>
              <w:t>北京市朝阳区建国门外大街21号北京国际俱乐部C座写字楼12A层</w:t>
            </w:r>
          </w:p>
        </w:tc>
      </w:tr>
      <w:tr w:rsidR="0082364D" w14:paraId="204A57CA" w14:textId="77777777">
        <w:tc>
          <w:tcPr>
            <w:tcW w:w="1413" w:type="dxa"/>
          </w:tcPr>
          <w:p w14:paraId="5C562146" w14:textId="77777777" w:rsidR="0082364D" w:rsidRDefault="00BF2824">
            <w:pPr>
              <w:spacing w:line="360" w:lineRule="auto"/>
              <w:jc w:val="center"/>
              <w:rPr>
                <w:rFonts w:asciiTheme="minorEastAsia" w:hAnsiTheme="minorEastAsia" w:cs="Arial"/>
                <w:sz w:val="32"/>
                <w:szCs w:val="32"/>
              </w:rPr>
            </w:pPr>
            <w:r>
              <w:rPr>
                <w:rFonts w:asciiTheme="minorEastAsia" w:hAnsiTheme="minorEastAsia" w:cs="Arial"/>
              </w:rPr>
              <w:t>法定代表人</w:t>
            </w:r>
          </w:p>
        </w:tc>
        <w:tc>
          <w:tcPr>
            <w:tcW w:w="7109" w:type="dxa"/>
          </w:tcPr>
          <w:p w14:paraId="6F476068" w14:textId="77777777" w:rsidR="0082364D" w:rsidRDefault="00BF2824">
            <w:pPr>
              <w:spacing w:line="360" w:lineRule="auto"/>
              <w:rPr>
                <w:rFonts w:asciiTheme="minorEastAsia" w:hAnsiTheme="minorEastAsia" w:cs="Arial"/>
              </w:rPr>
            </w:pPr>
            <w:r>
              <w:rPr>
                <w:rFonts w:asciiTheme="minorEastAsia" w:hAnsiTheme="minorEastAsia" w:hint="eastAsia"/>
              </w:rPr>
              <w:t>经雷</w:t>
            </w:r>
          </w:p>
        </w:tc>
      </w:tr>
      <w:tr w:rsidR="0082364D" w14:paraId="016027D0" w14:textId="77777777">
        <w:tc>
          <w:tcPr>
            <w:tcW w:w="1413" w:type="dxa"/>
          </w:tcPr>
          <w:p w14:paraId="5F16AA56" w14:textId="77777777" w:rsidR="0082364D" w:rsidRDefault="00BF2824">
            <w:pPr>
              <w:spacing w:line="360" w:lineRule="auto"/>
              <w:jc w:val="center"/>
              <w:rPr>
                <w:rFonts w:asciiTheme="minorEastAsia" w:hAnsiTheme="minorEastAsia" w:cs="Arial"/>
              </w:rPr>
            </w:pPr>
            <w:r>
              <w:rPr>
                <w:rFonts w:asciiTheme="minorEastAsia" w:hAnsiTheme="minorEastAsia" w:cs="Arial"/>
              </w:rPr>
              <w:t>成立日期</w:t>
            </w:r>
          </w:p>
        </w:tc>
        <w:tc>
          <w:tcPr>
            <w:tcW w:w="7109" w:type="dxa"/>
          </w:tcPr>
          <w:p w14:paraId="039189CD" w14:textId="77777777" w:rsidR="0082364D" w:rsidRDefault="00BF2824">
            <w:pPr>
              <w:tabs>
                <w:tab w:val="center" w:pos="3657"/>
              </w:tabs>
              <w:spacing w:line="360" w:lineRule="auto"/>
              <w:rPr>
                <w:rFonts w:asciiTheme="minorEastAsia" w:hAnsiTheme="minorEastAsia" w:cs="Arial"/>
              </w:rPr>
            </w:pPr>
            <w:r>
              <w:rPr>
                <w:rFonts w:asciiTheme="minorEastAsia" w:hAnsiTheme="minorEastAsia" w:cs="Arial"/>
              </w:rPr>
              <w:t>1999年3月25日</w:t>
            </w:r>
            <w:r>
              <w:rPr>
                <w:rFonts w:asciiTheme="minorEastAsia" w:hAnsiTheme="minorEastAsia" w:cs="Arial"/>
              </w:rPr>
              <w:tab/>
            </w:r>
          </w:p>
        </w:tc>
      </w:tr>
      <w:tr w:rsidR="0082364D" w14:paraId="2D36DB13" w14:textId="77777777">
        <w:tc>
          <w:tcPr>
            <w:tcW w:w="1413" w:type="dxa"/>
          </w:tcPr>
          <w:p w14:paraId="60E3FBBA" w14:textId="77777777" w:rsidR="0082364D" w:rsidRDefault="00BF2824">
            <w:pPr>
              <w:spacing w:line="360" w:lineRule="auto"/>
              <w:jc w:val="center"/>
              <w:rPr>
                <w:rFonts w:asciiTheme="minorEastAsia" w:hAnsiTheme="minorEastAsia" w:cs="Arial"/>
              </w:rPr>
            </w:pPr>
            <w:r>
              <w:rPr>
                <w:rFonts w:asciiTheme="minorEastAsia" w:hAnsiTheme="minorEastAsia" w:cs="Arial"/>
              </w:rPr>
              <w:t>注册资本</w:t>
            </w:r>
          </w:p>
        </w:tc>
        <w:tc>
          <w:tcPr>
            <w:tcW w:w="7109" w:type="dxa"/>
          </w:tcPr>
          <w:p w14:paraId="253CEC02" w14:textId="77777777" w:rsidR="0082364D" w:rsidRDefault="00BF2824">
            <w:pPr>
              <w:spacing w:line="360" w:lineRule="auto"/>
              <w:rPr>
                <w:rFonts w:asciiTheme="minorEastAsia" w:hAnsiTheme="minorEastAsia" w:cs="Arial"/>
              </w:rPr>
            </w:pPr>
            <w:r>
              <w:rPr>
                <w:rFonts w:asciiTheme="minorEastAsia" w:hAnsiTheme="minorEastAsia" w:cs="Arial"/>
              </w:rPr>
              <w:t>1</w:t>
            </w:r>
            <w:r>
              <w:rPr>
                <w:rFonts w:asciiTheme="minorEastAsia" w:hAnsiTheme="minorEastAsia" w:cs="Arial" w:hint="eastAsia"/>
              </w:rPr>
              <w:t>.5</w:t>
            </w:r>
            <w:r>
              <w:rPr>
                <w:rFonts w:asciiTheme="minorEastAsia" w:hAnsiTheme="minorEastAsia" w:cs="Arial"/>
              </w:rPr>
              <w:t>亿元</w:t>
            </w:r>
          </w:p>
        </w:tc>
      </w:tr>
      <w:tr w:rsidR="0082364D" w14:paraId="58F49C28" w14:textId="77777777">
        <w:tc>
          <w:tcPr>
            <w:tcW w:w="1413" w:type="dxa"/>
          </w:tcPr>
          <w:p w14:paraId="2C7F3348" w14:textId="77777777" w:rsidR="0082364D" w:rsidRDefault="00BF2824">
            <w:pPr>
              <w:spacing w:line="360" w:lineRule="auto"/>
              <w:jc w:val="center"/>
              <w:rPr>
                <w:rFonts w:asciiTheme="minorEastAsia" w:hAnsiTheme="minorEastAsia" w:cs="Arial"/>
              </w:rPr>
            </w:pPr>
            <w:r>
              <w:rPr>
                <w:rFonts w:asciiTheme="minorEastAsia" w:hAnsiTheme="minorEastAsia" w:cs="Arial"/>
              </w:rPr>
              <w:t>股权结构</w:t>
            </w:r>
          </w:p>
        </w:tc>
        <w:tc>
          <w:tcPr>
            <w:tcW w:w="7109" w:type="dxa"/>
          </w:tcPr>
          <w:p w14:paraId="26DF20A8" w14:textId="77777777" w:rsidR="0082364D" w:rsidRDefault="00BF2824">
            <w:pPr>
              <w:spacing w:line="360" w:lineRule="auto"/>
              <w:rPr>
                <w:rFonts w:asciiTheme="minorEastAsia" w:hAnsiTheme="minorEastAsia" w:cs="Arial"/>
              </w:rPr>
            </w:pPr>
            <w:r>
              <w:rPr>
                <w:rFonts w:asciiTheme="minorEastAsia" w:hAnsiTheme="minorEastAsia" w:cs="Arial"/>
              </w:rPr>
              <w:t>中诚信托有限责任公司4</w:t>
            </w:r>
            <w:r>
              <w:rPr>
                <w:rFonts w:asciiTheme="minorEastAsia" w:hAnsiTheme="minorEastAsia" w:cs="Arial" w:hint="eastAsia"/>
              </w:rPr>
              <w:t>0</w:t>
            </w:r>
            <w:r>
              <w:rPr>
                <w:rFonts w:asciiTheme="minorEastAsia" w:hAnsiTheme="minorEastAsia" w:cs="Arial"/>
              </w:rPr>
              <w:t>%</w:t>
            </w:r>
            <w:r>
              <w:rPr>
                <w:rFonts w:asciiTheme="minorEastAsia" w:hAnsiTheme="minorEastAsia" w:cs="Arial" w:hint="eastAsia"/>
              </w:rPr>
              <w:t>，</w:t>
            </w:r>
            <w:r>
              <w:rPr>
                <w:rFonts w:asciiTheme="minorEastAsia" w:hAnsiTheme="minorEastAsia" w:cs="Arial"/>
              </w:rPr>
              <w:t xml:space="preserve">DWS Investments Singapore Limited </w:t>
            </w:r>
            <w:r>
              <w:rPr>
                <w:rFonts w:asciiTheme="minorEastAsia" w:hAnsiTheme="minorEastAsia" w:cs="Arial" w:hint="eastAsia"/>
              </w:rPr>
              <w:t>30</w:t>
            </w:r>
            <w:r>
              <w:rPr>
                <w:rFonts w:asciiTheme="minorEastAsia" w:hAnsiTheme="minorEastAsia" w:cs="Arial"/>
              </w:rPr>
              <w:t>%，立信投资有限责任公司3</w:t>
            </w:r>
            <w:r>
              <w:rPr>
                <w:rFonts w:asciiTheme="minorEastAsia" w:hAnsiTheme="minorEastAsia" w:cs="Arial" w:hint="eastAsia"/>
              </w:rPr>
              <w:t>0</w:t>
            </w:r>
            <w:r>
              <w:rPr>
                <w:rFonts w:asciiTheme="minorEastAsia" w:hAnsiTheme="minorEastAsia" w:cs="Arial"/>
              </w:rPr>
              <w:t>%。</w:t>
            </w:r>
          </w:p>
        </w:tc>
      </w:tr>
      <w:tr w:rsidR="0082364D" w14:paraId="5B7EE8F5" w14:textId="77777777">
        <w:tc>
          <w:tcPr>
            <w:tcW w:w="1413" w:type="dxa"/>
          </w:tcPr>
          <w:p w14:paraId="3B177D2E" w14:textId="77777777" w:rsidR="0082364D" w:rsidRDefault="00BF2824">
            <w:pPr>
              <w:spacing w:line="360" w:lineRule="auto"/>
              <w:jc w:val="center"/>
              <w:rPr>
                <w:rFonts w:asciiTheme="minorEastAsia" w:hAnsiTheme="minorEastAsia" w:cs="Arial"/>
              </w:rPr>
            </w:pPr>
            <w:r>
              <w:rPr>
                <w:rFonts w:asciiTheme="minorEastAsia" w:hAnsiTheme="minorEastAsia" w:cs="Arial"/>
              </w:rPr>
              <w:t>存续期间</w:t>
            </w:r>
          </w:p>
        </w:tc>
        <w:tc>
          <w:tcPr>
            <w:tcW w:w="7109" w:type="dxa"/>
          </w:tcPr>
          <w:p w14:paraId="0F2A0E9A" w14:textId="77777777" w:rsidR="0082364D" w:rsidRDefault="00BF2824">
            <w:pPr>
              <w:spacing w:line="360" w:lineRule="auto"/>
              <w:rPr>
                <w:rFonts w:asciiTheme="minorEastAsia" w:hAnsiTheme="minorEastAsia" w:cs="Arial"/>
              </w:rPr>
            </w:pPr>
            <w:r>
              <w:rPr>
                <w:rFonts w:asciiTheme="minorEastAsia" w:hAnsiTheme="minorEastAsia" w:cs="Arial"/>
              </w:rPr>
              <w:t xml:space="preserve">持续经营 </w:t>
            </w:r>
          </w:p>
        </w:tc>
      </w:tr>
      <w:tr w:rsidR="0082364D" w14:paraId="48902DEF" w14:textId="77777777">
        <w:tc>
          <w:tcPr>
            <w:tcW w:w="1413" w:type="dxa"/>
          </w:tcPr>
          <w:p w14:paraId="2EBBF5FE" w14:textId="77777777" w:rsidR="0082364D" w:rsidRDefault="00BF2824">
            <w:pPr>
              <w:spacing w:line="360" w:lineRule="auto"/>
              <w:jc w:val="center"/>
              <w:rPr>
                <w:rFonts w:asciiTheme="minorEastAsia" w:hAnsiTheme="minorEastAsia" w:cs="Arial"/>
              </w:rPr>
            </w:pPr>
            <w:r>
              <w:rPr>
                <w:rFonts w:asciiTheme="minorEastAsia" w:hAnsiTheme="minorEastAsia" w:cs="Arial"/>
              </w:rPr>
              <w:t>电话</w:t>
            </w:r>
          </w:p>
        </w:tc>
        <w:tc>
          <w:tcPr>
            <w:tcW w:w="7109" w:type="dxa"/>
          </w:tcPr>
          <w:p w14:paraId="7BD8D5D4" w14:textId="77777777" w:rsidR="0082364D" w:rsidRDefault="00BF2824">
            <w:pPr>
              <w:spacing w:line="360" w:lineRule="auto"/>
              <w:rPr>
                <w:rFonts w:asciiTheme="minorEastAsia" w:hAnsiTheme="minorEastAsia" w:cs="Arial"/>
              </w:rPr>
            </w:pPr>
            <w:r>
              <w:rPr>
                <w:rFonts w:asciiTheme="minorEastAsia" w:hAnsiTheme="minorEastAsia" w:cs="Arial"/>
              </w:rPr>
              <w:t>（010）65</w:t>
            </w:r>
            <w:r>
              <w:rPr>
                <w:rFonts w:asciiTheme="minorEastAsia" w:hAnsiTheme="minorEastAsia" w:cs="Arial" w:hint="eastAsia"/>
              </w:rPr>
              <w:t>215588</w:t>
            </w:r>
          </w:p>
        </w:tc>
      </w:tr>
      <w:tr w:rsidR="0082364D" w14:paraId="2F42D35D" w14:textId="77777777">
        <w:tc>
          <w:tcPr>
            <w:tcW w:w="1413" w:type="dxa"/>
          </w:tcPr>
          <w:p w14:paraId="5E3F16D8" w14:textId="77777777" w:rsidR="0082364D" w:rsidRDefault="00BF2824">
            <w:pPr>
              <w:spacing w:line="360" w:lineRule="auto"/>
              <w:jc w:val="center"/>
              <w:rPr>
                <w:rFonts w:asciiTheme="minorEastAsia" w:hAnsiTheme="minorEastAsia" w:cs="Arial"/>
              </w:rPr>
            </w:pPr>
            <w:r>
              <w:rPr>
                <w:rFonts w:asciiTheme="minorEastAsia" w:hAnsiTheme="minorEastAsia" w:cs="Arial"/>
              </w:rPr>
              <w:t>传真</w:t>
            </w:r>
          </w:p>
        </w:tc>
        <w:tc>
          <w:tcPr>
            <w:tcW w:w="7109" w:type="dxa"/>
          </w:tcPr>
          <w:p w14:paraId="355C4153" w14:textId="77777777" w:rsidR="0082364D" w:rsidRDefault="00BF2824">
            <w:pPr>
              <w:spacing w:line="360" w:lineRule="auto"/>
              <w:rPr>
                <w:rFonts w:asciiTheme="minorEastAsia" w:hAnsiTheme="minorEastAsia" w:cs="Arial"/>
              </w:rPr>
            </w:pPr>
            <w:r>
              <w:rPr>
                <w:rFonts w:asciiTheme="minorEastAsia" w:hAnsiTheme="minorEastAsia" w:cs="Arial"/>
              </w:rPr>
              <w:t>（010）65185678</w:t>
            </w:r>
          </w:p>
        </w:tc>
      </w:tr>
      <w:tr w:rsidR="0082364D" w14:paraId="7232196F" w14:textId="77777777">
        <w:tc>
          <w:tcPr>
            <w:tcW w:w="1413" w:type="dxa"/>
          </w:tcPr>
          <w:p w14:paraId="31B351D4" w14:textId="77777777" w:rsidR="0082364D" w:rsidRDefault="00BF2824">
            <w:pPr>
              <w:spacing w:line="360" w:lineRule="auto"/>
              <w:jc w:val="center"/>
              <w:rPr>
                <w:rFonts w:asciiTheme="minorEastAsia" w:hAnsiTheme="minorEastAsia" w:cs="Arial"/>
              </w:rPr>
            </w:pPr>
            <w:r>
              <w:rPr>
                <w:rFonts w:asciiTheme="minorEastAsia" w:hAnsiTheme="minorEastAsia" w:cs="Arial"/>
              </w:rPr>
              <w:t>联系人</w:t>
            </w:r>
          </w:p>
        </w:tc>
        <w:tc>
          <w:tcPr>
            <w:tcW w:w="7109" w:type="dxa"/>
          </w:tcPr>
          <w:p w14:paraId="475710F3" w14:textId="77777777" w:rsidR="0082364D" w:rsidRDefault="00BF2824">
            <w:pPr>
              <w:spacing w:line="360" w:lineRule="auto"/>
              <w:rPr>
                <w:rFonts w:asciiTheme="minorEastAsia" w:hAnsiTheme="minorEastAsia" w:cs="Arial"/>
              </w:rPr>
            </w:pPr>
            <w:r>
              <w:rPr>
                <w:rFonts w:asciiTheme="minorEastAsia" w:hAnsiTheme="minorEastAsia" w:cs="Arial"/>
              </w:rPr>
              <w:t>胡勇钦</w:t>
            </w:r>
          </w:p>
        </w:tc>
      </w:tr>
    </w:tbl>
    <w:p w14:paraId="0706AB64" w14:textId="77777777" w:rsidR="0082364D" w:rsidRDefault="00BF2824">
      <w:pPr>
        <w:spacing w:line="360" w:lineRule="auto"/>
        <w:ind w:firstLine="420"/>
        <w:rPr>
          <w:rFonts w:ascii="宋体" w:hAnsi="宋体"/>
          <w:color w:val="000000"/>
        </w:rPr>
      </w:pPr>
      <w:r>
        <w:rPr>
          <w:rFonts w:ascii="宋体" w:hAnsi="宋体" w:hint="eastAsia"/>
          <w:color w:val="000000"/>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务等资格。</w:t>
      </w:r>
    </w:p>
    <w:p w14:paraId="25E9DCBE" w14:textId="77777777" w:rsidR="0082364D" w:rsidRDefault="00BF2824">
      <w:pPr>
        <w:spacing w:line="360" w:lineRule="auto"/>
        <w:ind w:firstLine="480"/>
        <w:rPr>
          <w:rFonts w:ascii="宋体" w:hAnsi="宋体"/>
          <w:color w:val="000000"/>
        </w:rPr>
      </w:pPr>
      <w:r>
        <w:rPr>
          <w:rFonts w:ascii="宋体" w:hAnsi="宋体" w:hint="eastAsia"/>
          <w:color w:val="000000"/>
        </w:rPr>
        <w:t>（二）主要人员情况</w:t>
      </w:r>
    </w:p>
    <w:p w14:paraId="17C62E75" w14:textId="77777777" w:rsidR="0082364D" w:rsidRDefault="00BF2824">
      <w:pPr>
        <w:spacing w:line="360" w:lineRule="auto"/>
        <w:ind w:firstLine="480"/>
        <w:rPr>
          <w:rFonts w:ascii="宋体" w:hAnsi="宋体" w:cs="Arial"/>
          <w:color w:val="000000"/>
          <w:szCs w:val="21"/>
        </w:rPr>
      </w:pPr>
      <w:r>
        <w:rPr>
          <w:rFonts w:ascii="宋体" w:hAnsi="宋体" w:cs="Arial" w:hint="eastAsia"/>
          <w:color w:val="000000"/>
          <w:szCs w:val="21"/>
        </w:rPr>
        <w:t>1、基金管理人董事、监事、总经理及其他高级管理人员基本情况</w:t>
      </w:r>
    </w:p>
    <w:p w14:paraId="7B167C50"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14:paraId="28AC0E49"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党委委员、副总裁。现任中诚信托有限责任公司党委委员、总裁。</w:t>
      </w:r>
    </w:p>
    <w:p w14:paraId="6BACDEDC"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lastRenderedPageBreak/>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14:paraId="61EE7DAE"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Mark H.Cullen先生，董事，澳大利亚籍，澳大利亚莫纳什大学经济政治专业学士。曾任贝恩(Bain &amp; Company)期货与商品部负责人，德意志银行（纽约）全球股票投资部首席运营官，德意志资产管理（纽约）全球首席运营官，德意志银行（伦敦）首席运营官，德意志银行全球审计主管，DWS总裁兼首席执行官及执行委员会成员。现任DWS Management GmbH全球首席运营官。</w:t>
      </w:r>
    </w:p>
    <w:p w14:paraId="15585B73"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Holger Wilhelm Naumann先生，董事，德国籍。曾任DWS欧洲、中东和非洲地区的全球运营负责人兼首席运营官，并担任 DWS Investment GmbH（法兰克福）管理委员会发言人，主动资产管理全球首席运营官，RREEF德国负责人，并曾负责DWS（法兰克福）的业务发展与控制。现任DWS亚太区负责人。</w:t>
      </w:r>
    </w:p>
    <w:p w14:paraId="79B8F914"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14:paraId="48387E35"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神州数码信息服务股份有限公司独立董事、北京中关村银行股份有限公司独立董事、上海仁会生物制药股份有限公司独立董事。</w:t>
      </w:r>
    </w:p>
    <w:p w14:paraId="3A4EA087"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汤欣先生，独立董事，法学博士，清华大学法学院教授、博士生导师，清华大学商法研究中心主任、清华大学全球私募股权研究院副院长。曾兼任中国证监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贵州银行股份有限公司独立董事。</w:t>
      </w:r>
    </w:p>
    <w:p w14:paraId="75713CBF"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王瑞华先生，独立董事，博士，会计学教授、博士生导师，中央财经大学粤港澳大湾区（黄埔）研究院执行院长。曾任中央财经大学商学院院长兼MBA教育中心主任，担任全国工</w:t>
      </w:r>
      <w:r w:rsidRPr="00F8226A">
        <w:rPr>
          <w:rFonts w:ascii="宋体" w:hAnsi="宋体" w:cs="Arial" w:hint="eastAsia"/>
          <w:color w:val="000000"/>
          <w:szCs w:val="21"/>
        </w:rPr>
        <w:lastRenderedPageBreak/>
        <w:t>商管理专业学位研究生教育指导委员会委员、中国管理现代化研究会理事、中国上市公司协会独立董事委员会委员。北京银行股份有限公司独立董事、安徽古井贡酒股份有限公司独立董事、京东科技控股股份有限公司独立董事、中邮证券有限责任公司独立董事。</w:t>
      </w:r>
    </w:p>
    <w:p w14:paraId="14346632"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陈重先生，独立董事，博士，中共党员，明石投资管理有限公司副董事长，兼任明石创新技术集团股份有限公司董事、四川发展龙蟒股份有限公司董事。曾任中国企业联合会研究部副主任、主任，常务副理事长、党委副书记；重庆市人民政府副秘书长（分管金融工作）；新华基金管理股份有限公司董事长。重庆银行股份有限公司外部监事、爱美客技术发展股份有限公司监事会主席、豆神教育科技（北京）股份有限公司独立董事、四川省投资集团股份有限责任公司外部董事、重庆国际信托股份有限公司独立董事。</w:t>
      </w:r>
    </w:p>
    <w:p w14:paraId="39415AEA"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14:paraId="1B49992E"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沈树忠先生，监事长，正高级会计师，管理学硕士。曾任中国糖业酒类集团公司财务部科员、财务部副经理、审计部经理、财务部经理、财务总监、副总经理、常务副总经理（主持工作）、法定代表人；兼任北京华堂商场有限公司董事、中日合资成都伊藤洋华堂商场有限公司副董事长、酒鬼酒股份有限公司董事。现任中诚信托有限责任公司财务总监。</w:t>
      </w:r>
    </w:p>
    <w:p w14:paraId="718628D7"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穆群先生，监事，经济师，硕士研究生。曾任西安电子科技大学助教，长安信息产业（集团）股份有限公司董事会秘书，北京德恒有限责任公司财务主管。2001年11月至今任立信投资有限公司财务总监。</w:t>
      </w:r>
    </w:p>
    <w:p w14:paraId="42D9A39C"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14:paraId="326679E7"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14:paraId="205F71C8"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lastRenderedPageBreak/>
        <w:t>张峰先生，副总经理、硕士研究生。曾任职于国家计委，曾任嘉实基金管理有限公司督察长、副总经理兼首席市场官，国泰基金管理有限公司总经理，嘉实财富管理有限公司总经理。现任公司Smart-Beta和指数投资部负责人，公司副总经理。</w:t>
      </w:r>
    </w:p>
    <w:p w14:paraId="089CB77D"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程剑先生，副总经理、硕士研究生。2006年7月至2022年4月，历任海通证券股份有限公司固定收益部业务员、研究策略部经理及固定收益部总经理助理、副总经理。2022年 4月加入嘉实基金管理有限公司，现任机构业务联席首席投资官兼启航解决方案战队负责人、公司副总经理。</w:t>
      </w:r>
    </w:p>
    <w:p w14:paraId="7F37E1DD"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14:paraId="1DE0E8FA"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郭松先生，督察长，硕士研究生。曾任职于国家外汇管理局、中汇储投资有限责任公司、国新国际投资有限公司。2019年12月加入嘉实基金管理有限公司，现任公司督察长。</w:t>
      </w:r>
    </w:p>
    <w:p w14:paraId="585684E1" w14:textId="77777777" w:rsidR="00F8226A" w:rsidRPr="00F8226A" w:rsidRDefault="00F8226A" w:rsidP="00F8226A">
      <w:pPr>
        <w:spacing w:line="360" w:lineRule="auto"/>
        <w:ind w:firstLine="480"/>
        <w:rPr>
          <w:rFonts w:ascii="宋体" w:hAnsi="宋体" w:cs="Arial" w:hint="eastAsia"/>
          <w:color w:val="000000"/>
          <w:szCs w:val="21"/>
        </w:rPr>
      </w:pPr>
      <w:r w:rsidRPr="00F8226A">
        <w:rPr>
          <w:rFonts w:ascii="宋体" w:hAnsi="宋体" w:cs="Arial" w:hint="eastAsia"/>
          <w:color w:val="000000"/>
          <w:szCs w:val="21"/>
        </w:rPr>
        <w:t>李明先生，财务总监，大学本科。曾任职于北京商品交易所、首创证券经纪有限责任公司。2000年12月至今任嘉实基金管理有限公司首席财务官。</w:t>
      </w:r>
    </w:p>
    <w:p w14:paraId="5B6593C5" w14:textId="0852104D" w:rsidR="0082364D" w:rsidRDefault="00F8226A">
      <w:pPr>
        <w:spacing w:line="360" w:lineRule="auto"/>
        <w:ind w:firstLine="480"/>
        <w:rPr>
          <w:rFonts w:ascii="宋体" w:hAnsi="宋体"/>
          <w:color w:val="000000"/>
        </w:rPr>
      </w:pPr>
      <w:r w:rsidRPr="00F8226A">
        <w:rPr>
          <w:rFonts w:ascii="宋体" w:hAnsi="宋体" w:cs="Arial" w:hint="eastAsia"/>
          <w:color w:val="000000"/>
          <w:szCs w:val="21"/>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14:paraId="62E2E666" w14:textId="77777777" w:rsidR="0082364D" w:rsidRDefault="00BF2824">
      <w:pPr>
        <w:spacing w:line="360" w:lineRule="auto"/>
        <w:ind w:firstLine="480"/>
        <w:rPr>
          <w:rFonts w:ascii="宋体" w:hAnsi="宋体"/>
          <w:color w:val="000000"/>
        </w:rPr>
      </w:pPr>
      <w:r>
        <w:rPr>
          <w:rFonts w:ascii="宋体" w:hAnsi="宋体" w:hint="eastAsia"/>
          <w:color w:val="000000"/>
        </w:rPr>
        <w:t>2、首席风险官及投资总监</w:t>
      </w:r>
    </w:p>
    <w:p w14:paraId="3573DD19" w14:textId="77777777" w:rsidR="005B33B2" w:rsidRPr="005B33B2" w:rsidRDefault="005B33B2" w:rsidP="005B33B2">
      <w:pPr>
        <w:spacing w:line="360" w:lineRule="auto"/>
        <w:ind w:firstLine="480"/>
        <w:rPr>
          <w:rFonts w:ascii="宋体" w:hAnsi="宋体" w:hint="eastAsia"/>
          <w:color w:val="000000"/>
        </w:rPr>
      </w:pPr>
      <w:r w:rsidRPr="005B33B2">
        <w:rPr>
          <w:rFonts w:ascii="宋体" w:hAnsi="宋体" w:hint="eastAsia"/>
          <w:color w:val="000000"/>
        </w:rPr>
        <w:t>张敏女士，首席风险官，博士研究生。曾任德邦证券有限责任公司投资经理助理。2010年3月加入嘉实基金管理有限公司，曾任风险管理部副总监、风险管理部总监。</w:t>
      </w:r>
    </w:p>
    <w:p w14:paraId="38F5E8F7" w14:textId="77777777" w:rsidR="005B33B2" w:rsidRPr="005B33B2" w:rsidRDefault="005B33B2" w:rsidP="005B33B2">
      <w:pPr>
        <w:spacing w:line="360" w:lineRule="auto"/>
        <w:ind w:firstLine="480"/>
        <w:rPr>
          <w:rFonts w:ascii="宋体" w:hAnsi="宋体" w:hint="eastAsia"/>
          <w:color w:val="000000"/>
        </w:rPr>
      </w:pPr>
      <w:r w:rsidRPr="005B33B2">
        <w:rPr>
          <w:rFonts w:ascii="宋体" w:hAnsi="宋体" w:hint="eastAsia"/>
          <w:color w:val="000000"/>
        </w:rPr>
        <w:t>归凯先生，成长风格投资总监，硕士研究生。曾任国都证券研究所研究员、投资经理。2014年5月加入嘉实基金管理有限公司，曾任机构投资部投资经理、策略组投资总监。</w:t>
      </w:r>
    </w:p>
    <w:p w14:paraId="4CF72040" w14:textId="77777777" w:rsidR="005B33B2" w:rsidRPr="005B33B2" w:rsidRDefault="005B33B2" w:rsidP="005B33B2">
      <w:pPr>
        <w:spacing w:line="360" w:lineRule="auto"/>
        <w:ind w:firstLine="480"/>
        <w:rPr>
          <w:rFonts w:ascii="宋体" w:hAnsi="宋体" w:hint="eastAsia"/>
          <w:color w:val="000000"/>
        </w:rPr>
      </w:pPr>
      <w:r w:rsidRPr="005B33B2">
        <w:rPr>
          <w:rFonts w:ascii="宋体" w:hAnsi="宋体" w:hint="eastAsia"/>
          <w:color w:val="000000"/>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14:paraId="3F9D0CE5" w14:textId="77777777" w:rsidR="005B33B2" w:rsidRPr="005B33B2" w:rsidRDefault="005B33B2" w:rsidP="005B33B2">
      <w:pPr>
        <w:spacing w:line="360" w:lineRule="auto"/>
        <w:ind w:firstLine="480"/>
        <w:rPr>
          <w:rFonts w:ascii="宋体" w:hAnsi="宋体" w:hint="eastAsia"/>
          <w:color w:val="000000"/>
        </w:rPr>
      </w:pPr>
      <w:r w:rsidRPr="005B33B2">
        <w:rPr>
          <w:rFonts w:ascii="宋体" w:hAnsi="宋体" w:hint="eastAsia"/>
          <w:color w:val="000000"/>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w:t>
      </w:r>
      <w:r w:rsidRPr="005B33B2">
        <w:rPr>
          <w:rFonts w:ascii="宋体" w:hAnsi="宋体" w:hint="eastAsia"/>
          <w:color w:val="000000"/>
        </w:rPr>
        <w:lastRenderedPageBreak/>
        <w:t>副总监，圆信永丰基金首席投资官。2019年2月加入嘉实基金管理有限公司，曾任上海GARP投资策略组投资总监。</w:t>
      </w:r>
    </w:p>
    <w:p w14:paraId="07047846" w14:textId="77777777" w:rsidR="005B33B2" w:rsidRPr="005B33B2" w:rsidRDefault="005B33B2" w:rsidP="005B33B2">
      <w:pPr>
        <w:spacing w:line="360" w:lineRule="auto"/>
        <w:ind w:firstLine="480"/>
        <w:rPr>
          <w:rFonts w:ascii="宋体" w:hAnsi="宋体" w:hint="eastAsia"/>
          <w:color w:val="000000"/>
        </w:rPr>
      </w:pPr>
      <w:r w:rsidRPr="005B33B2">
        <w:rPr>
          <w:rFonts w:ascii="宋体" w:hAnsi="宋体" w:hint="eastAsia"/>
          <w:color w:val="000000"/>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14:paraId="5186C90E" w14:textId="77777777" w:rsidR="005B33B2" w:rsidRPr="005B33B2" w:rsidRDefault="005B33B2" w:rsidP="005B33B2">
      <w:pPr>
        <w:spacing w:line="360" w:lineRule="auto"/>
        <w:ind w:firstLine="480"/>
        <w:rPr>
          <w:rFonts w:ascii="宋体" w:hAnsi="宋体" w:hint="eastAsia"/>
          <w:color w:val="000000"/>
        </w:rPr>
      </w:pPr>
      <w:r w:rsidRPr="005B33B2">
        <w:rPr>
          <w:rFonts w:ascii="宋体" w:hAnsi="宋体" w:hint="eastAsia"/>
          <w:color w:val="000000"/>
        </w:rPr>
        <w:t>胡永青先生，投资总监（固收+），硕士研究生。曾任天安保险固定收益组合经理，信诚基金投资经理，国泰基金固定收益部总监助理、基金经理。2013年11月加入嘉实基金管理有限公司，曾任策略组组长。</w:t>
      </w:r>
    </w:p>
    <w:p w14:paraId="00E9FA1B" w14:textId="6570529D" w:rsidR="0082364D" w:rsidRDefault="005B33B2">
      <w:pPr>
        <w:spacing w:line="360" w:lineRule="auto"/>
        <w:ind w:firstLine="480"/>
        <w:rPr>
          <w:rFonts w:ascii="宋体" w:hAnsi="宋体"/>
          <w:color w:val="000000"/>
        </w:rPr>
      </w:pPr>
      <w:r w:rsidRPr="005B33B2">
        <w:rPr>
          <w:rFonts w:ascii="宋体" w:hAnsi="宋体" w:hint="eastAsia"/>
          <w:color w:val="000000"/>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14:paraId="44FE7690" w14:textId="77777777" w:rsidR="001F0E4A" w:rsidRDefault="00BF2824" w:rsidP="001F0E4A">
      <w:pPr>
        <w:spacing w:line="360" w:lineRule="auto"/>
        <w:ind w:firstLine="480"/>
        <w:rPr>
          <w:rFonts w:ascii="宋体" w:hAnsi="宋体"/>
          <w:color w:val="000000"/>
        </w:rPr>
      </w:pPr>
      <w:r>
        <w:rPr>
          <w:rFonts w:ascii="宋体" w:hAnsi="宋体" w:hint="eastAsia"/>
          <w:color w:val="000000"/>
        </w:rPr>
        <w:t>3、基金经理</w:t>
      </w:r>
    </w:p>
    <w:p w14:paraId="68BD0475" w14:textId="7F5022C9" w:rsidR="0082364D" w:rsidRDefault="00994286" w:rsidP="001F0E4A">
      <w:pPr>
        <w:spacing w:line="360" w:lineRule="auto"/>
        <w:ind w:firstLine="480"/>
        <w:rPr>
          <w:rFonts w:ascii="宋体" w:hAnsi="宋体"/>
          <w:color w:val="000000"/>
        </w:rPr>
      </w:pPr>
      <w:r w:rsidRPr="00994286">
        <w:rPr>
          <w:rFonts w:ascii="宋体" w:hAnsi="宋体" w:hint="eastAsia"/>
          <w:color w:val="000000"/>
        </w:rPr>
        <w:t>张钟玉女士，硕士研究生，13年证券从业经历，具有基金从业资格。中国国籍。曾任大成基金管理有限公司研究员、数量分析师、基金经理。2021年9月加入嘉实基金管理有限公司指数投资部。2015年2月28日至2021年9月2日任大成核心双动力混合型证券投资基金基金经理，2015年2月28日至2021年9月2日任深证成长40交易型开放式指数证券投资基金基金经理，2015年2月28日至2021年9月2日任大成深证成长40交易型开放式指数证券投资基金联接基金基金经理，2015年2月28日至2021年9月2日任大成中证500深市交易型开放式指数证券投资基金基金经理，2015年2月28日至2021年9月2日任大成沪深300指数证券投资基金基金经理，2019年2月28日至2021年9月2日任大成MSCI中国A股质优价值100交易型开放式指数证券投资基金基金经理，2019年2月28日至2021年9月2日任大成MSCI中国A股质优价值100交易型开放式指数证券投资基金联接基金基金经理。2022年1月25日至2022年12月26日任嘉实创业板交易型开放式指数证券投资基金基金经理、2022年1月27日至2022年9月20日任嘉实中关村A股交易型开放式指数证券投资基金基金经理、2022年1月25日至今任嘉实恒生中国企业指数证券投资基金(QDII-LOF)基金经理、2022年1月27日至今任嘉实中证金融地产交易型开放式指数证券投资基金基金经理、2022年1月27日至今任嘉实中证金融地产交易型开放式指数证券投资基金联接基金基金经理、2022年4月13日至今任嘉实上海金交易型开放式证券投资基金基金经理、2022年5月18日至今任嘉实上证科创板新一代信息技术交易型开放式指数证券投资基金基金经理、2022年9月15日至今任嘉实纳斯达克100指数型发起式证券投资基金</w:t>
      </w:r>
      <w:r w:rsidRPr="00994286">
        <w:rPr>
          <w:rFonts w:ascii="宋体" w:hAnsi="宋体" w:hint="eastAsia"/>
          <w:color w:val="000000"/>
        </w:rPr>
        <w:lastRenderedPageBreak/>
        <w:t>（QDII）基金经理、2022年10月20日至今任嘉实中证全指证券公司指数型发起式证券投资基金基金经理、2022年11月24日至今任嘉实创业板增强策略交易型开放式指数证券投资基金基金经理、2022年12月29日至今任嘉实中证内地运输主题交易型开放式指数证券投资基金基金经理、2023年3月2日至今任嘉实上海金交易型开放式证券投资基金发起式联接基金基金经理、2023年4月12日至今任嘉实恒生中国企业交易型开放式指数证券投资基金（QDII）基金经理、2023年4月12日至今任嘉实黄金证券投资基金（LOF）基金经理、2023年4月27</w:t>
      </w:r>
      <w:r>
        <w:rPr>
          <w:rFonts w:ascii="宋体" w:hAnsi="宋体" w:hint="eastAsia"/>
          <w:color w:val="000000"/>
        </w:rPr>
        <w:t>日至今任嘉实国证通信交易型开放式指数证券投资基金基金经理</w:t>
      </w:r>
      <w:r w:rsidR="001F0E4A" w:rsidRPr="001F0E4A">
        <w:rPr>
          <w:rFonts w:ascii="宋体" w:hAnsi="宋体" w:hint="eastAsia"/>
          <w:color w:val="000000"/>
        </w:rPr>
        <w:t>。</w:t>
      </w:r>
    </w:p>
    <w:p w14:paraId="3660E49E" w14:textId="77777777" w:rsidR="0082364D" w:rsidRDefault="00BF2824">
      <w:pPr>
        <w:spacing w:line="360" w:lineRule="auto"/>
        <w:ind w:firstLineChars="200" w:firstLine="420"/>
        <w:rPr>
          <w:rFonts w:ascii="宋体" w:hAnsi="宋体"/>
          <w:color w:val="000000"/>
        </w:rPr>
      </w:pPr>
      <w:r>
        <w:rPr>
          <w:rFonts w:ascii="宋体" w:hAnsi="宋体" w:hint="eastAsia"/>
        </w:rPr>
        <w:t>4</w:t>
      </w:r>
      <w:r>
        <w:rPr>
          <w:rFonts w:ascii="宋体" w:hAnsi="宋体" w:hint="eastAsia"/>
          <w:color w:val="000000"/>
        </w:rPr>
        <w:t>、Smart-Beta及指数投资决策委员会</w:t>
      </w:r>
    </w:p>
    <w:p w14:paraId="3E2F56F8" w14:textId="67499DB1" w:rsidR="0082364D" w:rsidRDefault="005B33B2">
      <w:pPr>
        <w:spacing w:line="360" w:lineRule="auto"/>
        <w:ind w:firstLineChars="200" w:firstLine="420"/>
        <w:rPr>
          <w:rFonts w:ascii="宋体" w:hAnsi="宋体"/>
          <w:color w:val="000000"/>
        </w:rPr>
      </w:pPr>
      <w:r w:rsidRPr="005B33B2">
        <w:rPr>
          <w:rFonts w:ascii="宋体" w:hAnsi="宋体" w:hint="eastAsia"/>
          <w:color w:val="000000"/>
        </w:rPr>
        <w:t>Smart-Beta及指数投资决策委员会的成员包括：Smart-Beta和指数投资板块负责人张峰先生，公司总经理经雷先生，指数投资部负</w:t>
      </w:r>
      <w:r>
        <w:rPr>
          <w:rFonts w:ascii="宋体" w:hAnsi="宋体" w:hint="eastAsia"/>
          <w:color w:val="000000"/>
        </w:rPr>
        <w:t>责人刘珈吟女士，指数基金经理何如女士，增强风格投资总监刘斌先生</w:t>
      </w:r>
      <w:r w:rsidR="00BF2824">
        <w:rPr>
          <w:rFonts w:ascii="宋体" w:hAnsi="宋体" w:hint="eastAsia"/>
          <w:color w:val="000000"/>
        </w:rPr>
        <w:t>。</w:t>
      </w:r>
    </w:p>
    <w:p w14:paraId="39282C34" w14:textId="77777777" w:rsidR="0082364D" w:rsidRDefault="00BF2824">
      <w:pPr>
        <w:spacing w:line="360" w:lineRule="auto"/>
        <w:ind w:firstLine="480"/>
        <w:rPr>
          <w:rFonts w:ascii="宋体" w:hAnsi="宋体"/>
          <w:color w:val="000000"/>
        </w:rPr>
      </w:pPr>
      <w:r>
        <w:rPr>
          <w:rFonts w:ascii="宋体" w:hAnsi="宋体"/>
          <w:color w:val="000000"/>
        </w:rPr>
        <w:t>5</w:t>
      </w:r>
      <w:r>
        <w:rPr>
          <w:rFonts w:ascii="宋体" w:hAnsi="宋体" w:hint="eastAsia"/>
          <w:color w:val="000000"/>
        </w:rPr>
        <w:t>、上述人员之间均不存在近亲属关系。</w:t>
      </w:r>
    </w:p>
    <w:p w14:paraId="5534A500" w14:textId="77777777" w:rsidR="0082364D" w:rsidRDefault="00BF2824">
      <w:pPr>
        <w:spacing w:line="360" w:lineRule="auto"/>
        <w:ind w:firstLine="420"/>
        <w:rPr>
          <w:rFonts w:ascii="宋体" w:hAnsi="宋体"/>
          <w:color w:val="000000"/>
        </w:rPr>
      </w:pPr>
      <w:r>
        <w:rPr>
          <w:rFonts w:ascii="宋体" w:hAnsi="宋体" w:hint="eastAsia"/>
          <w:color w:val="000000"/>
        </w:rPr>
        <w:t>（三）基金管理人的职责</w:t>
      </w:r>
    </w:p>
    <w:p w14:paraId="5FAAD03B"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1、依法募集资金，办理或者委托经中国证监会认定的其他机构代为办理基金份额的发售、申购、赎回、转换和登记事宜；</w:t>
      </w:r>
    </w:p>
    <w:p w14:paraId="37036277" w14:textId="77777777" w:rsidR="0082364D" w:rsidRDefault="00BF2824">
      <w:pPr>
        <w:spacing w:line="360" w:lineRule="auto"/>
        <w:ind w:firstLineChars="200" w:firstLine="420"/>
        <w:rPr>
          <w:rFonts w:ascii="宋体" w:hAnsi="宋体"/>
          <w:color w:val="000000"/>
        </w:rPr>
      </w:pPr>
      <w:r>
        <w:rPr>
          <w:rFonts w:ascii="宋体" w:hAnsi="宋体" w:hint="eastAsia"/>
          <w:color w:val="000000"/>
        </w:rPr>
        <w:t>2、办理基金备案手续；</w:t>
      </w:r>
    </w:p>
    <w:p w14:paraId="17E552D0" w14:textId="77777777" w:rsidR="0082364D" w:rsidRDefault="00BF2824">
      <w:pPr>
        <w:spacing w:line="360" w:lineRule="auto"/>
        <w:ind w:firstLineChars="200" w:firstLine="420"/>
        <w:rPr>
          <w:rFonts w:ascii="宋体" w:hAnsi="宋体"/>
          <w:color w:val="000000"/>
        </w:rPr>
      </w:pPr>
      <w:r>
        <w:rPr>
          <w:rFonts w:ascii="宋体" w:hAnsi="宋体" w:hint="eastAsia"/>
          <w:color w:val="000000"/>
        </w:rPr>
        <w:t>3、对所管理的不同基金资产分别管理、分别记账，进行证券投资；</w:t>
      </w:r>
    </w:p>
    <w:p w14:paraId="53A6B866" w14:textId="77777777" w:rsidR="0082364D" w:rsidRDefault="00BF2824">
      <w:pPr>
        <w:spacing w:line="360" w:lineRule="auto"/>
        <w:ind w:firstLineChars="200" w:firstLine="420"/>
        <w:rPr>
          <w:rFonts w:ascii="宋体" w:hAnsi="宋体"/>
          <w:color w:val="000000"/>
        </w:rPr>
      </w:pPr>
      <w:r>
        <w:rPr>
          <w:rFonts w:ascii="宋体" w:hAnsi="宋体" w:hint="eastAsia"/>
          <w:color w:val="000000"/>
        </w:rPr>
        <w:t>4、按照基金合同的约定确定基金收益分配方案，及时向基金份额持有人分配收益；</w:t>
      </w:r>
    </w:p>
    <w:p w14:paraId="3DFCFBCB" w14:textId="77777777" w:rsidR="0082364D" w:rsidRDefault="00BF2824">
      <w:pPr>
        <w:spacing w:line="360" w:lineRule="auto"/>
        <w:ind w:firstLineChars="200" w:firstLine="420"/>
        <w:rPr>
          <w:rFonts w:ascii="宋体" w:hAnsi="宋体"/>
          <w:color w:val="000000"/>
        </w:rPr>
      </w:pPr>
      <w:r>
        <w:rPr>
          <w:rFonts w:ascii="宋体" w:hAnsi="宋体" w:hint="eastAsia"/>
          <w:color w:val="000000"/>
        </w:rPr>
        <w:t>5、进行基金会计核算并编制基金财务会计报告；</w:t>
      </w:r>
    </w:p>
    <w:p w14:paraId="2D547350" w14:textId="77777777" w:rsidR="0082364D" w:rsidRDefault="00BF2824">
      <w:pPr>
        <w:spacing w:line="360" w:lineRule="auto"/>
        <w:ind w:firstLineChars="200" w:firstLine="420"/>
        <w:rPr>
          <w:rFonts w:ascii="宋体" w:hAnsi="宋体"/>
          <w:color w:val="000000"/>
        </w:rPr>
      </w:pPr>
      <w:r>
        <w:rPr>
          <w:rFonts w:ascii="宋体" w:hAnsi="宋体" w:hint="eastAsia"/>
          <w:color w:val="000000"/>
        </w:rPr>
        <w:t>6、编制季度报告、中期报告和年度报告；</w:t>
      </w:r>
    </w:p>
    <w:p w14:paraId="1BD8925D" w14:textId="77777777" w:rsidR="0082364D" w:rsidRDefault="00BF2824">
      <w:pPr>
        <w:spacing w:line="360" w:lineRule="auto"/>
        <w:ind w:firstLineChars="200" w:firstLine="420"/>
        <w:rPr>
          <w:rFonts w:ascii="宋体" w:hAnsi="宋体"/>
          <w:color w:val="000000"/>
        </w:rPr>
      </w:pPr>
      <w:r>
        <w:rPr>
          <w:rFonts w:ascii="宋体" w:hAnsi="宋体" w:hint="eastAsia"/>
          <w:color w:val="000000"/>
        </w:rPr>
        <w:t>7、计算并公告基金净值信息，确定基金份额申购、赎回对价，编制申购赎回清单；</w:t>
      </w:r>
    </w:p>
    <w:p w14:paraId="5E73CC81" w14:textId="77777777" w:rsidR="0082364D" w:rsidRDefault="00BF2824">
      <w:pPr>
        <w:spacing w:line="360" w:lineRule="auto"/>
        <w:ind w:firstLineChars="200" w:firstLine="420"/>
        <w:rPr>
          <w:rFonts w:ascii="宋体" w:hAnsi="宋体"/>
          <w:color w:val="000000"/>
        </w:rPr>
      </w:pPr>
      <w:r>
        <w:rPr>
          <w:rFonts w:ascii="宋体" w:hAnsi="宋体" w:hint="eastAsia"/>
          <w:color w:val="000000"/>
        </w:rPr>
        <w:t>8、办理与基金资产管理业务活动有关的信息披露事项；</w:t>
      </w:r>
    </w:p>
    <w:p w14:paraId="1B795F16" w14:textId="77777777" w:rsidR="0082364D" w:rsidRDefault="00BF2824">
      <w:pPr>
        <w:spacing w:line="360" w:lineRule="auto"/>
        <w:ind w:firstLineChars="200" w:firstLine="420"/>
        <w:rPr>
          <w:rFonts w:ascii="宋体" w:hAnsi="宋体"/>
          <w:color w:val="000000"/>
        </w:rPr>
      </w:pPr>
      <w:r>
        <w:rPr>
          <w:rFonts w:ascii="宋体" w:hAnsi="宋体" w:hint="eastAsia"/>
          <w:color w:val="000000"/>
        </w:rPr>
        <w:t>9、召集基金份额持有人大会；</w:t>
      </w:r>
    </w:p>
    <w:p w14:paraId="1A4189E3"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10、保存基金资产管理业务活动的记录、账册、报表和其他相关资料；</w:t>
      </w:r>
    </w:p>
    <w:p w14:paraId="5F539A76"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11、以基金管理人名义，代表基金份额持有人利益行使诉讼权利或者实施其他法律行为；</w:t>
      </w:r>
    </w:p>
    <w:p w14:paraId="25598845"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12、有关法律法规和中国证监会规定的其他职责。</w:t>
      </w:r>
    </w:p>
    <w:p w14:paraId="76CD8C04" w14:textId="77777777" w:rsidR="0082364D" w:rsidRDefault="00BF2824">
      <w:pPr>
        <w:spacing w:line="360" w:lineRule="auto"/>
        <w:ind w:firstLineChars="200" w:firstLine="420"/>
        <w:rPr>
          <w:rFonts w:ascii="宋体" w:hAnsi="宋体"/>
          <w:color w:val="000000"/>
        </w:rPr>
      </w:pPr>
      <w:r>
        <w:rPr>
          <w:rFonts w:ascii="宋体" w:hAnsi="宋体" w:hint="eastAsia"/>
          <w:color w:val="000000"/>
        </w:rPr>
        <w:t>（四）基金管理人的承诺</w:t>
      </w:r>
    </w:p>
    <w:p w14:paraId="46816432"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1、本基金管理人承诺严格遵守相关法律法规、基金合同和中国证监会的有关规定，建立健全内部控制制度，采取有效措施，防止违反有关法律法规、基金合同和中国证监会有关规定的行为发生。</w:t>
      </w:r>
    </w:p>
    <w:p w14:paraId="6CEDBDFC" w14:textId="77777777" w:rsidR="0082364D" w:rsidRDefault="00BF2824">
      <w:pPr>
        <w:spacing w:line="360" w:lineRule="auto"/>
        <w:ind w:firstLineChars="200" w:firstLine="420"/>
        <w:rPr>
          <w:rFonts w:ascii="宋体" w:hAnsi="宋体"/>
          <w:color w:val="000000"/>
        </w:rPr>
      </w:pPr>
      <w:r>
        <w:rPr>
          <w:rFonts w:ascii="宋体" w:hAnsi="宋体" w:hint="eastAsia"/>
          <w:color w:val="000000"/>
        </w:rPr>
        <w:lastRenderedPageBreak/>
        <w:t>2、本基金管理人承诺严格遵守《中华人民共和国证券法》（以下简称“《证券法》”）、《基金法》及有关法律法规，建立健全的内部控制制度，采取有效措施，防止下列行为发生：</w:t>
      </w:r>
    </w:p>
    <w:p w14:paraId="779E54FE"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（1）将其固有财产或者他人财产混同于基金资产从事证券投资；</w:t>
      </w:r>
    </w:p>
    <w:p w14:paraId="102F9C92" w14:textId="77777777" w:rsidR="0082364D" w:rsidRDefault="00BF2824">
      <w:pPr>
        <w:spacing w:line="360" w:lineRule="auto"/>
        <w:ind w:firstLineChars="200" w:firstLine="420"/>
        <w:rPr>
          <w:rFonts w:ascii="宋体" w:hAnsi="宋体"/>
          <w:color w:val="000000"/>
        </w:rPr>
      </w:pPr>
      <w:r>
        <w:rPr>
          <w:rFonts w:ascii="宋体" w:hAnsi="宋体" w:hint="eastAsia"/>
          <w:color w:val="000000"/>
        </w:rPr>
        <w:t>（2）不公平地对待其管理的不同基金资产；</w:t>
      </w:r>
    </w:p>
    <w:p w14:paraId="0D96501A" w14:textId="77777777" w:rsidR="0082364D" w:rsidRDefault="00BF2824">
      <w:pPr>
        <w:spacing w:line="360" w:lineRule="auto"/>
        <w:ind w:firstLineChars="200" w:firstLine="420"/>
        <w:rPr>
          <w:rFonts w:ascii="宋体" w:hAnsi="宋体"/>
          <w:color w:val="000000"/>
        </w:rPr>
      </w:pPr>
      <w:r>
        <w:rPr>
          <w:rFonts w:ascii="宋体" w:hAnsi="宋体" w:hint="eastAsia"/>
          <w:color w:val="000000"/>
        </w:rPr>
        <w:t>（3）利用基金资产为基金份额持有人以外的第三人牟取利益；</w:t>
      </w:r>
    </w:p>
    <w:p w14:paraId="5A8BBEB9" w14:textId="77777777" w:rsidR="0082364D" w:rsidRDefault="00BF2824">
      <w:pPr>
        <w:spacing w:line="360" w:lineRule="auto"/>
        <w:ind w:firstLineChars="200" w:firstLine="420"/>
        <w:rPr>
          <w:rFonts w:ascii="宋体" w:hAnsi="宋体"/>
          <w:color w:val="000000"/>
        </w:rPr>
      </w:pPr>
      <w:r>
        <w:rPr>
          <w:rFonts w:ascii="宋体" w:hAnsi="宋体" w:hint="eastAsia"/>
          <w:color w:val="000000"/>
        </w:rPr>
        <w:t>（4）向基金份额持有人违规承诺收益或者承担损失；</w:t>
      </w:r>
    </w:p>
    <w:p w14:paraId="3E20B1C6" w14:textId="77777777" w:rsidR="0082364D" w:rsidRDefault="00BF2824">
      <w:pPr>
        <w:spacing w:line="360" w:lineRule="auto"/>
        <w:ind w:firstLineChars="200" w:firstLine="420"/>
        <w:rPr>
          <w:rFonts w:ascii="宋体" w:hAnsi="宋体"/>
          <w:color w:val="000000"/>
        </w:rPr>
      </w:pPr>
      <w:r>
        <w:rPr>
          <w:rFonts w:ascii="宋体" w:hAnsi="宋体" w:hint="eastAsia"/>
          <w:color w:val="000000"/>
        </w:rPr>
        <w:t>（5）法律法规或中国证监会规定禁止的其他行为。</w:t>
      </w:r>
    </w:p>
    <w:p w14:paraId="0750C85C" w14:textId="77777777" w:rsidR="0082364D" w:rsidRDefault="00BF2824">
      <w:pPr>
        <w:spacing w:line="360" w:lineRule="auto"/>
        <w:ind w:firstLineChars="200" w:firstLine="420"/>
        <w:rPr>
          <w:rFonts w:ascii="宋体" w:hAnsi="宋体"/>
          <w:color w:val="000000"/>
        </w:rPr>
      </w:pPr>
      <w:r>
        <w:rPr>
          <w:rFonts w:ascii="宋体" w:hAnsi="宋体" w:hint="eastAsia"/>
          <w:color w:val="000000"/>
        </w:rPr>
        <w:t>3、本基金管理人承诺加强人员管理，强化职业操守，督促和约束员工遵守国家有关法律法规及行业规范，诚实信用、勤勉尽责，不得将基金资产用于以下投资或活动：</w:t>
      </w:r>
    </w:p>
    <w:p w14:paraId="41231337" w14:textId="77777777" w:rsidR="0082364D" w:rsidRDefault="00BF2824">
      <w:pPr>
        <w:spacing w:line="360" w:lineRule="auto"/>
        <w:ind w:firstLineChars="200" w:firstLine="420"/>
        <w:rPr>
          <w:rFonts w:ascii="宋体" w:hAnsi="宋体"/>
          <w:color w:val="000000"/>
        </w:rPr>
      </w:pPr>
      <w:bookmarkStart w:id="32" w:name="_Hlk108463774"/>
      <w:r>
        <w:rPr>
          <w:rFonts w:ascii="宋体" w:hAnsi="宋体" w:hint="eastAsia"/>
          <w:color w:val="000000"/>
        </w:rPr>
        <w:t>（1）购买不动产；</w:t>
      </w:r>
    </w:p>
    <w:p w14:paraId="79A4FBBF" w14:textId="77777777" w:rsidR="0082364D" w:rsidRDefault="00BF2824">
      <w:pPr>
        <w:spacing w:line="360" w:lineRule="auto"/>
        <w:ind w:firstLineChars="200" w:firstLine="420"/>
        <w:rPr>
          <w:rFonts w:ascii="宋体" w:hAnsi="宋体"/>
          <w:color w:val="000000"/>
        </w:rPr>
      </w:pPr>
      <w:r>
        <w:rPr>
          <w:rFonts w:ascii="宋体" w:hAnsi="宋体" w:hint="eastAsia"/>
          <w:color w:val="000000"/>
        </w:rPr>
        <w:t>（2）购买房地产抵押按揭；</w:t>
      </w:r>
    </w:p>
    <w:p w14:paraId="495AB543" w14:textId="77777777" w:rsidR="0082364D" w:rsidRDefault="00BF2824">
      <w:pPr>
        <w:spacing w:line="360" w:lineRule="auto"/>
        <w:ind w:firstLineChars="200" w:firstLine="420"/>
        <w:rPr>
          <w:rFonts w:ascii="宋体" w:hAnsi="宋体"/>
          <w:color w:val="000000"/>
        </w:rPr>
      </w:pPr>
      <w:r>
        <w:rPr>
          <w:rFonts w:ascii="宋体" w:hAnsi="宋体" w:hint="eastAsia"/>
          <w:color w:val="000000"/>
        </w:rPr>
        <w:t>（3）购买贵重金属或代表贵重金属的凭证；</w:t>
      </w:r>
    </w:p>
    <w:p w14:paraId="37E8B451" w14:textId="77777777" w:rsidR="0082364D" w:rsidRDefault="00BF2824">
      <w:pPr>
        <w:spacing w:line="360" w:lineRule="auto"/>
        <w:ind w:firstLineChars="200" w:firstLine="420"/>
        <w:rPr>
          <w:rFonts w:ascii="宋体" w:hAnsi="宋体"/>
          <w:color w:val="000000"/>
        </w:rPr>
      </w:pPr>
      <w:r>
        <w:rPr>
          <w:rFonts w:ascii="宋体" w:hAnsi="宋体" w:hint="eastAsia"/>
          <w:color w:val="000000"/>
        </w:rPr>
        <w:t>（4）购买实物商品；</w:t>
      </w:r>
    </w:p>
    <w:p w14:paraId="755A4D42" w14:textId="77777777" w:rsidR="0082364D" w:rsidRDefault="00BF2824">
      <w:pPr>
        <w:spacing w:line="360" w:lineRule="auto"/>
        <w:ind w:firstLineChars="200" w:firstLine="420"/>
        <w:rPr>
          <w:rFonts w:ascii="宋体" w:hAnsi="宋体"/>
          <w:color w:val="000000"/>
        </w:rPr>
      </w:pPr>
      <w:r>
        <w:rPr>
          <w:rFonts w:ascii="宋体" w:hAnsi="宋体" w:hint="eastAsia"/>
          <w:color w:val="000000"/>
        </w:rPr>
        <w:t>（5）除应付赎回、交易清算等临时用途以外，借入现金；</w:t>
      </w:r>
    </w:p>
    <w:p w14:paraId="2452C1E8" w14:textId="77777777" w:rsidR="0082364D" w:rsidRDefault="00BF2824">
      <w:pPr>
        <w:spacing w:line="360" w:lineRule="auto"/>
        <w:ind w:firstLineChars="200" w:firstLine="420"/>
        <w:rPr>
          <w:rFonts w:ascii="宋体" w:hAnsi="宋体"/>
          <w:color w:val="000000"/>
        </w:rPr>
      </w:pPr>
      <w:r>
        <w:rPr>
          <w:rFonts w:ascii="宋体" w:hAnsi="宋体" w:hint="eastAsia"/>
          <w:color w:val="000000"/>
        </w:rPr>
        <w:t>（6）利用融资购买证券，但投资金融衍生品除外；</w:t>
      </w:r>
    </w:p>
    <w:p w14:paraId="15E5AE89" w14:textId="77777777" w:rsidR="0082364D" w:rsidRDefault="00BF2824">
      <w:pPr>
        <w:spacing w:line="360" w:lineRule="auto"/>
        <w:ind w:firstLineChars="200" w:firstLine="420"/>
        <w:rPr>
          <w:rFonts w:ascii="宋体" w:hAnsi="宋体"/>
          <w:color w:val="000000"/>
        </w:rPr>
      </w:pPr>
      <w:r>
        <w:rPr>
          <w:rFonts w:ascii="宋体" w:hAnsi="宋体" w:hint="eastAsia"/>
          <w:color w:val="000000"/>
        </w:rPr>
        <w:t>（7）参与未持有基础资产的卖空交易；</w:t>
      </w:r>
    </w:p>
    <w:p w14:paraId="27657BAA" w14:textId="77777777" w:rsidR="0082364D" w:rsidRDefault="00BF2824">
      <w:pPr>
        <w:spacing w:line="360" w:lineRule="auto"/>
        <w:ind w:firstLineChars="200" w:firstLine="420"/>
        <w:rPr>
          <w:rFonts w:ascii="宋体" w:hAnsi="宋体"/>
          <w:color w:val="000000"/>
        </w:rPr>
      </w:pPr>
      <w:r>
        <w:rPr>
          <w:rFonts w:ascii="宋体" w:hAnsi="宋体" w:hint="eastAsia"/>
          <w:color w:val="000000"/>
        </w:rPr>
        <w:t>（8）购买证券用于控制或影响发行该证券的机构或其管理层；</w:t>
      </w:r>
    </w:p>
    <w:p w14:paraId="7B45DD94" w14:textId="77777777" w:rsidR="0082364D" w:rsidRDefault="00BF2824">
      <w:pPr>
        <w:spacing w:line="360" w:lineRule="auto"/>
        <w:ind w:firstLineChars="200" w:firstLine="420"/>
        <w:rPr>
          <w:rFonts w:ascii="宋体" w:hAnsi="宋体"/>
          <w:color w:val="000000"/>
        </w:rPr>
      </w:pPr>
      <w:r>
        <w:rPr>
          <w:rFonts w:ascii="宋体" w:hAnsi="宋体" w:hint="eastAsia"/>
          <w:color w:val="000000"/>
        </w:rPr>
        <w:t>（9）直接投资与实物商品相关的衍生品；</w:t>
      </w:r>
    </w:p>
    <w:p w14:paraId="42527924" w14:textId="77777777" w:rsidR="0082364D" w:rsidRDefault="00BF2824">
      <w:pPr>
        <w:spacing w:line="360" w:lineRule="auto"/>
        <w:ind w:firstLineChars="200" w:firstLine="420"/>
        <w:rPr>
          <w:rFonts w:ascii="宋体" w:hAnsi="宋体"/>
          <w:color w:val="000000"/>
        </w:rPr>
      </w:pPr>
      <w:r>
        <w:rPr>
          <w:rFonts w:ascii="宋体" w:hAnsi="宋体" w:hint="eastAsia"/>
          <w:color w:val="000000"/>
        </w:rPr>
        <w:t>（</w:t>
      </w:r>
      <w:r>
        <w:rPr>
          <w:rFonts w:ascii="宋体" w:hAnsi="宋体"/>
          <w:color w:val="000000"/>
        </w:rPr>
        <w:t>10</w:t>
      </w:r>
      <w:r>
        <w:rPr>
          <w:rFonts w:ascii="宋体" w:hAnsi="宋体" w:hint="eastAsia"/>
          <w:color w:val="000000"/>
        </w:rPr>
        <w:t>）承销证券；</w:t>
      </w:r>
    </w:p>
    <w:p w14:paraId="70FE3603" w14:textId="77777777" w:rsidR="0082364D" w:rsidRDefault="00BF2824">
      <w:pPr>
        <w:spacing w:line="360" w:lineRule="auto"/>
        <w:ind w:firstLineChars="200" w:firstLine="420"/>
        <w:rPr>
          <w:rFonts w:ascii="宋体" w:hAnsi="宋体"/>
          <w:color w:val="000000"/>
        </w:rPr>
      </w:pPr>
      <w:r>
        <w:rPr>
          <w:rFonts w:ascii="宋体" w:hAnsi="宋体" w:hint="eastAsia"/>
          <w:color w:val="000000"/>
        </w:rPr>
        <w:t>（</w:t>
      </w:r>
      <w:r>
        <w:rPr>
          <w:rFonts w:ascii="宋体" w:hAnsi="宋体"/>
          <w:color w:val="000000"/>
        </w:rPr>
        <w:t>11</w:t>
      </w:r>
      <w:r>
        <w:rPr>
          <w:rFonts w:ascii="宋体" w:hAnsi="宋体" w:hint="eastAsia"/>
          <w:color w:val="000000"/>
        </w:rPr>
        <w:t>）违反规定向他人贷款或者提供担保；</w:t>
      </w:r>
    </w:p>
    <w:p w14:paraId="636B0C6C" w14:textId="77777777" w:rsidR="0082364D" w:rsidRDefault="00BF2824">
      <w:pPr>
        <w:spacing w:line="360" w:lineRule="auto"/>
        <w:ind w:firstLineChars="200" w:firstLine="420"/>
        <w:rPr>
          <w:rFonts w:ascii="宋体" w:hAnsi="宋体"/>
          <w:color w:val="000000"/>
        </w:rPr>
      </w:pPr>
      <w:r>
        <w:rPr>
          <w:rFonts w:ascii="宋体" w:hAnsi="宋体" w:hint="eastAsia"/>
          <w:color w:val="000000"/>
        </w:rPr>
        <w:t>（</w:t>
      </w:r>
      <w:r>
        <w:rPr>
          <w:rFonts w:ascii="宋体" w:hAnsi="宋体"/>
          <w:color w:val="000000"/>
        </w:rPr>
        <w:t>12</w:t>
      </w:r>
      <w:r>
        <w:rPr>
          <w:rFonts w:ascii="宋体" w:hAnsi="宋体" w:hint="eastAsia"/>
          <w:color w:val="000000"/>
        </w:rPr>
        <w:t>）从事承担无限责任的投资；</w:t>
      </w:r>
    </w:p>
    <w:p w14:paraId="1CC8647A" w14:textId="77777777" w:rsidR="0082364D" w:rsidRDefault="00BF2824">
      <w:pPr>
        <w:spacing w:line="360" w:lineRule="auto"/>
        <w:ind w:firstLineChars="200" w:firstLine="420"/>
        <w:rPr>
          <w:rFonts w:ascii="宋体" w:hAnsi="宋体"/>
          <w:color w:val="000000"/>
        </w:rPr>
      </w:pPr>
      <w:r>
        <w:rPr>
          <w:rFonts w:ascii="宋体" w:hAnsi="宋体" w:hint="eastAsia"/>
          <w:color w:val="000000"/>
        </w:rPr>
        <w:t>（</w:t>
      </w:r>
      <w:r>
        <w:rPr>
          <w:rFonts w:ascii="宋体" w:hAnsi="宋体"/>
          <w:color w:val="000000"/>
        </w:rPr>
        <w:t>13</w:t>
      </w:r>
      <w:r>
        <w:rPr>
          <w:rFonts w:ascii="宋体" w:hAnsi="宋体" w:hint="eastAsia"/>
          <w:color w:val="000000"/>
        </w:rPr>
        <w:t>）向其基金管理人、基金托管人出资；</w:t>
      </w:r>
    </w:p>
    <w:p w14:paraId="4EC35C9C" w14:textId="77777777" w:rsidR="0082364D" w:rsidRDefault="00BF2824">
      <w:pPr>
        <w:spacing w:line="360" w:lineRule="auto"/>
        <w:ind w:firstLineChars="200" w:firstLine="420"/>
        <w:rPr>
          <w:rFonts w:ascii="宋体" w:hAnsi="宋体"/>
          <w:color w:val="000000"/>
        </w:rPr>
      </w:pPr>
      <w:r>
        <w:rPr>
          <w:rFonts w:ascii="宋体" w:hAnsi="宋体" w:hint="eastAsia"/>
          <w:color w:val="000000"/>
        </w:rPr>
        <w:t>（</w:t>
      </w:r>
      <w:r>
        <w:rPr>
          <w:rFonts w:ascii="宋体" w:hAnsi="宋体"/>
          <w:color w:val="000000"/>
        </w:rPr>
        <w:t>14</w:t>
      </w:r>
      <w:r>
        <w:rPr>
          <w:rFonts w:ascii="宋体" w:hAnsi="宋体" w:hint="eastAsia"/>
          <w:color w:val="000000"/>
        </w:rPr>
        <w:t>）从事内幕交易、操纵证券交易价格及其他不正当的证券交易活动；</w:t>
      </w:r>
    </w:p>
    <w:p w14:paraId="37C4A0AB" w14:textId="77777777" w:rsidR="0082364D" w:rsidRDefault="00BF2824">
      <w:pPr>
        <w:spacing w:line="360" w:lineRule="auto"/>
        <w:ind w:firstLineChars="200" w:firstLine="420"/>
        <w:rPr>
          <w:rFonts w:ascii="宋体" w:hAnsi="宋体"/>
          <w:color w:val="000000"/>
        </w:rPr>
      </w:pPr>
      <w:r>
        <w:rPr>
          <w:rFonts w:ascii="宋体" w:hAnsi="宋体" w:hint="eastAsia"/>
          <w:color w:val="000000"/>
        </w:rPr>
        <w:t>（</w:t>
      </w:r>
      <w:r>
        <w:rPr>
          <w:rFonts w:ascii="宋体" w:hAnsi="宋体"/>
          <w:color w:val="000000"/>
        </w:rPr>
        <w:t>15</w:t>
      </w:r>
      <w:r>
        <w:rPr>
          <w:rFonts w:ascii="宋体" w:hAnsi="宋体" w:hint="eastAsia"/>
          <w:color w:val="000000"/>
        </w:rPr>
        <w:t>）法律、行政法规和中国证监会规定禁止的其他活动。</w:t>
      </w:r>
    </w:p>
    <w:p w14:paraId="0D548B5A" w14:textId="77777777" w:rsidR="0082364D" w:rsidRDefault="00BF2824">
      <w:pPr>
        <w:spacing w:line="360" w:lineRule="auto"/>
        <w:ind w:firstLineChars="200" w:firstLine="420"/>
        <w:rPr>
          <w:rFonts w:ascii="宋体" w:hAnsi="宋体"/>
          <w:color w:val="000000"/>
        </w:rPr>
      </w:pPr>
      <w:r>
        <w:rPr>
          <w:rFonts w:ascii="宋体" w:hAnsi="宋体" w:hint="eastAsia"/>
          <w:color w:val="000000"/>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w:t>
      </w:r>
      <w:r>
        <w:rPr>
          <w:rFonts w:ascii="宋体" w:hAnsi="宋体" w:hint="eastAsia"/>
          <w:color w:val="000000"/>
        </w:rPr>
        <w:lastRenderedPageBreak/>
        <w:t>年对关联交易事项进行审查。</w:t>
      </w:r>
    </w:p>
    <w:bookmarkEnd w:id="32"/>
    <w:p w14:paraId="7F72BD41" w14:textId="77777777" w:rsidR="0082364D" w:rsidRDefault="00BF2824">
      <w:pPr>
        <w:spacing w:line="360" w:lineRule="auto"/>
        <w:ind w:firstLineChars="200" w:firstLine="420"/>
        <w:rPr>
          <w:rFonts w:ascii="宋体" w:hAnsi="宋体"/>
          <w:color w:val="000000"/>
        </w:rPr>
      </w:pPr>
      <w:r>
        <w:rPr>
          <w:rFonts w:ascii="宋体" w:hAnsi="宋体" w:hint="eastAsia"/>
          <w:color w:val="000000"/>
        </w:rPr>
        <w:t>4、基金经理承诺</w:t>
      </w:r>
    </w:p>
    <w:p w14:paraId="6FD36457"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（1）依照有关法律法规和基金合同的规定，本着谨慎的原则为基金份额持有人谋取最大利益；</w:t>
      </w:r>
    </w:p>
    <w:p w14:paraId="1BBD5605" w14:textId="77777777" w:rsidR="0082364D" w:rsidRDefault="00BF2824">
      <w:pPr>
        <w:spacing w:line="360" w:lineRule="auto"/>
        <w:ind w:firstLineChars="200" w:firstLine="420"/>
        <w:rPr>
          <w:rFonts w:ascii="宋体" w:hAnsi="宋体"/>
          <w:color w:val="000000"/>
        </w:rPr>
      </w:pPr>
      <w:r>
        <w:rPr>
          <w:rFonts w:ascii="宋体" w:hAnsi="宋体" w:hint="eastAsia"/>
          <w:color w:val="000000"/>
        </w:rPr>
        <w:t>（2）不利用职务之便为自己及其代理人、受雇人或任何第三人谋取利益；</w:t>
      </w:r>
    </w:p>
    <w:p w14:paraId="4999AD65" w14:textId="5914F4FC" w:rsidR="0082364D" w:rsidRDefault="00BF2824">
      <w:pPr>
        <w:spacing w:line="360" w:lineRule="auto"/>
        <w:ind w:firstLineChars="200" w:firstLine="420"/>
        <w:rPr>
          <w:rFonts w:ascii="宋体" w:hAnsi="宋体"/>
          <w:color w:val="000000"/>
        </w:rPr>
      </w:pPr>
      <w:r>
        <w:rPr>
          <w:rFonts w:ascii="宋体" w:hAnsi="宋体" w:hint="eastAsia"/>
          <w:color w:val="000000"/>
        </w:rPr>
        <w:t>（3）不违反现行有效的有关法律法规、规章、基金合同和中国证监会的有关规定，泄</w:t>
      </w:r>
      <w:r w:rsidR="001F0E4A">
        <w:rPr>
          <w:rFonts w:ascii="宋体" w:hAnsi="宋体" w:hint="eastAsia"/>
          <w:color w:val="000000"/>
        </w:rPr>
        <w:t>露</w:t>
      </w:r>
      <w:r>
        <w:rPr>
          <w:rFonts w:ascii="宋体" w:hAnsi="宋体" w:hint="eastAsia"/>
          <w:color w:val="000000"/>
        </w:rPr>
        <w:t>在任职期间知悉的有关证券、基金的商业秘密、尚未依法公开的基金投资内容、基金投资计划等信息；</w:t>
      </w:r>
    </w:p>
    <w:p w14:paraId="279DE2A5" w14:textId="77777777" w:rsidR="0082364D" w:rsidRDefault="00BF2824">
      <w:pPr>
        <w:spacing w:line="360" w:lineRule="auto"/>
        <w:ind w:firstLineChars="200" w:firstLine="420"/>
        <w:rPr>
          <w:rFonts w:ascii="宋体" w:hAnsi="宋体"/>
          <w:color w:val="000000"/>
        </w:rPr>
      </w:pPr>
      <w:r>
        <w:rPr>
          <w:rFonts w:ascii="宋体" w:hAnsi="宋体" w:hint="eastAsia"/>
          <w:color w:val="000000"/>
        </w:rPr>
        <w:t>（4）不从事损害基金资产和基金份额持有人利益的证券交易及其他活动。</w:t>
      </w:r>
    </w:p>
    <w:p w14:paraId="6F0C9D72" w14:textId="77777777" w:rsidR="0082364D" w:rsidRDefault="00BF2824">
      <w:pPr>
        <w:spacing w:line="360" w:lineRule="auto"/>
        <w:ind w:firstLineChars="200" w:firstLine="420"/>
        <w:rPr>
          <w:rFonts w:ascii="宋体" w:hAnsi="宋体"/>
          <w:color w:val="000000"/>
        </w:rPr>
      </w:pPr>
      <w:r>
        <w:rPr>
          <w:rFonts w:ascii="宋体" w:hAnsi="宋体" w:hint="eastAsia"/>
          <w:color w:val="000000"/>
        </w:rPr>
        <w:t>（五）基金管理人的内部控制制度</w:t>
      </w:r>
    </w:p>
    <w:p w14:paraId="5200FF85"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1、内部控制制度概述</w:t>
      </w:r>
    </w:p>
    <w:p w14:paraId="0B577ABE" w14:textId="77777777" w:rsidR="0082364D" w:rsidRDefault="00BF2824">
      <w:pPr>
        <w:spacing w:line="360" w:lineRule="auto"/>
        <w:ind w:firstLineChars="200" w:firstLine="420"/>
        <w:rPr>
          <w:rFonts w:ascii="宋体" w:hAnsi="宋体"/>
          <w:color w:val="000000"/>
        </w:rPr>
      </w:pPr>
      <w:r>
        <w:rPr>
          <w:rFonts w:ascii="宋体" w:hAnsi="宋体" w:hint="eastAsia"/>
          <w:color w:val="000000"/>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360C944E" w14:textId="77777777" w:rsidR="0082364D" w:rsidRDefault="00BF2824">
      <w:pPr>
        <w:spacing w:line="360" w:lineRule="auto"/>
        <w:ind w:firstLineChars="200" w:firstLine="420"/>
        <w:rPr>
          <w:rFonts w:ascii="宋体" w:hAnsi="宋体"/>
          <w:color w:val="000000"/>
        </w:rPr>
      </w:pPr>
      <w:r>
        <w:rPr>
          <w:rFonts w:ascii="宋体" w:hAnsi="宋体" w:hint="eastAsia"/>
          <w:color w:val="000000"/>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14:paraId="1BA2408A" w14:textId="77777777" w:rsidR="0082364D" w:rsidRDefault="00BF2824">
      <w:pPr>
        <w:spacing w:line="360" w:lineRule="auto"/>
        <w:ind w:firstLineChars="200" w:firstLine="420"/>
        <w:rPr>
          <w:rFonts w:ascii="宋体" w:hAnsi="宋体"/>
          <w:color w:val="000000"/>
        </w:rPr>
      </w:pPr>
      <w:r>
        <w:rPr>
          <w:rFonts w:ascii="宋体" w:hAnsi="宋体" w:hint="eastAsia"/>
          <w:color w:val="000000"/>
        </w:rPr>
        <w:t>2、内部控制的原则</w:t>
      </w:r>
    </w:p>
    <w:p w14:paraId="3A92BD8F"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（1）健全性原则：内部控制包括公司的各项业务、各个部门或机构和各级人员，并涵盖到决策、执行、监督、反馈等各个环节；</w:t>
      </w:r>
    </w:p>
    <w:p w14:paraId="2A7EDF1B" w14:textId="77777777" w:rsidR="0082364D" w:rsidRDefault="00BF2824">
      <w:pPr>
        <w:spacing w:line="360" w:lineRule="auto"/>
        <w:ind w:firstLineChars="200" w:firstLine="420"/>
        <w:rPr>
          <w:rFonts w:ascii="宋体" w:hAnsi="宋体"/>
          <w:color w:val="000000"/>
        </w:rPr>
      </w:pPr>
      <w:r>
        <w:rPr>
          <w:rFonts w:ascii="宋体" w:hAnsi="宋体" w:hint="eastAsia"/>
          <w:color w:val="000000"/>
        </w:rPr>
        <w:t>（2）有效性原则：通过科学的内控手段和方法，建立合理的内控程序，维护内控制度的有效执行；</w:t>
      </w:r>
    </w:p>
    <w:p w14:paraId="6041E593" w14:textId="77777777" w:rsidR="0082364D" w:rsidRDefault="00BF2824">
      <w:pPr>
        <w:spacing w:line="360" w:lineRule="auto"/>
        <w:ind w:firstLineChars="200" w:firstLine="420"/>
        <w:rPr>
          <w:rFonts w:ascii="宋体" w:hAnsi="宋体"/>
          <w:color w:val="000000"/>
        </w:rPr>
      </w:pPr>
      <w:r>
        <w:rPr>
          <w:rFonts w:ascii="宋体" w:hAnsi="宋体" w:hint="eastAsia"/>
          <w:color w:val="000000"/>
        </w:rPr>
        <w:t>（3）独立性原则：公司各机构、部门和岗位在职能上必须保持相对独立；</w:t>
      </w:r>
    </w:p>
    <w:p w14:paraId="5B111F47" w14:textId="77777777" w:rsidR="0082364D" w:rsidRDefault="00BF2824">
      <w:pPr>
        <w:spacing w:line="360" w:lineRule="auto"/>
        <w:ind w:firstLineChars="200" w:firstLine="420"/>
        <w:rPr>
          <w:rFonts w:ascii="宋体" w:hAnsi="宋体"/>
          <w:color w:val="000000"/>
        </w:rPr>
      </w:pPr>
      <w:r>
        <w:rPr>
          <w:rFonts w:ascii="宋体" w:hAnsi="宋体" w:hint="eastAsia"/>
          <w:color w:val="000000"/>
        </w:rPr>
        <w:t>（4）相互制约原则：组织结构体现职责明确、相互制约的原则，各部门有明确的授权分工，操作相互独立；</w:t>
      </w:r>
    </w:p>
    <w:p w14:paraId="3AE9CFB1" w14:textId="77777777" w:rsidR="0082364D" w:rsidRDefault="00BF2824">
      <w:pPr>
        <w:spacing w:line="360" w:lineRule="auto"/>
        <w:ind w:firstLineChars="200" w:firstLine="420"/>
        <w:rPr>
          <w:rFonts w:ascii="宋体" w:hAnsi="宋体"/>
          <w:color w:val="000000"/>
        </w:rPr>
      </w:pPr>
      <w:r>
        <w:rPr>
          <w:rFonts w:ascii="宋体" w:hAnsi="宋体" w:hint="eastAsia"/>
          <w:color w:val="000000"/>
        </w:rPr>
        <w:t>（5）成本效益原则：运用科学化的经营管理方法降低运作成本，提高经济效益，以合理的控制成本达到最佳的内部控制效果。</w:t>
      </w:r>
    </w:p>
    <w:p w14:paraId="36D19E88" w14:textId="77777777" w:rsidR="0082364D" w:rsidRDefault="00BF2824">
      <w:pPr>
        <w:spacing w:line="360" w:lineRule="auto"/>
        <w:ind w:firstLineChars="200" w:firstLine="420"/>
        <w:rPr>
          <w:rFonts w:ascii="宋体" w:hAnsi="宋体"/>
          <w:color w:val="000000"/>
        </w:rPr>
      </w:pPr>
      <w:r>
        <w:rPr>
          <w:rFonts w:ascii="宋体" w:hAnsi="宋体" w:hint="eastAsia"/>
          <w:color w:val="000000"/>
        </w:rPr>
        <w:t>3、内部控制组织体系</w:t>
      </w:r>
    </w:p>
    <w:p w14:paraId="22BB8A18" w14:textId="77777777" w:rsidR="0082364D" w:rsidRDefault="00BF2824">
      <w:pPr>
        <w:spacing w:line="360" w:lineRule="auto"/>
        <w:ind w:firstLineChars="200" w:firstLine="420"/>
        <w:rPr>
          <w:rFonts w:ascii="宋体" w:hAnsi="宋体"/>
          <w:color w:val="000000"/>
        </w:rPr>
      </w:pPr>
      <w:r>
        <w:rPr>
          <w:rFonts w:ascii="宋体" w:hAnsi="宋体" w:hint="eastAsia"/>
          <w:color w:val="000000"/>
        </w:rPr>
        <w:lastRenderedPageBreak/>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14:paraId="0FAD8786" w14:textId="77777777" w:rsidR="0082364D" w:rsidRDefault="00BF2824">
      <w:pPr>
        <w:spacing w:line="360" w:lineRule="auto"/>
        <w:ind w:firstLineChars="200" w:firstLine="420"/>
        <w:rPr>
          <w:rFonts w:ascii="宋体" w:hAnsi="宋体"/>
          <w:color w:val="000000"/>
        </w:rPr>
      </w:pPr>
      <w:r>
        <w:rPr>
          <w:rFonts w:ascii="宋体" w:hAnsi="宋体" w:hint="eastAsia"/>
          <w:color w:val="000000"/>
        </w:rPr>
        <w:t>（2）Smart Beta及指数投资决策委员会由公司总经理、部门负责人及资深基金经理组成，负责指导基金资产的运作、确定基本的投资策略和投资组合的原则。</w:t>
      </w:r>
    </w:p>
    <w:p w14:paraId="0F34DA21" w14:textId="77777777" w:rsidR="0082364D" w:rsidRDefault="00BF2824">
      <w:pPr>
        <w:spacing w:line="360" w:lineRule="auto"/>
        <w:ind w:firstLineChars="200" w:firstLine="420"/>
        <w:rPr>
          <w:rFonts w:ascii="宋体" w:hAnsi="宋体"/>
          <w:color w:val="000000"/>
        </w:rPr>
      </w:pPr>
      <w:r>
        <w:rPr>
          <w:rFonts w:ascii="宋体" w:hAnsi="宋体" w:hint="eastAsia"/>
          <w:color w:val="000000"/>
        </w:rPr>
        <w:t>（3）风险控制委员会为公司风险管理的最高决策机构，由公司总经理、督察长及相关总监组成，负责全面评估公司经营管理过程中的各项风险，并提出防范化解措施。</w:t>
      </w:r>
    </w:p>
    <w:p w14:paraId="79A0CB2C" w14:textId="77777777" w:rsidR="0082364D" w:rsidRDefault="00BF2824">
      <w:pPr>
        <w:spacing w:line="360" w:lineRule="auto"/>
        <w:ind w:firstLineChars="200" w:firstLine="420"/>
        <w:rPr>
          <w:rFonts w:ascii="宋体" w:hAnsi="宋体"/>
          <w:color w:val="000000"/>
        </w:rPr>
      </w:pPr>
      <w:r>
        <w:rPr>
          <w:rFonts w:ascii="宋体" w:hAnsi="宋体" w:hint="eastAsia"/>
          <w:color w:val="000000"/>
        </w:rPr>
        <w:t>（4）督察长积极对公司各项制度、业务的合法合规性及公司内部控制制度的执行情况进行监察、稽核，定期和不定期向董事会报告公司内部控制执行情况。</w:t>
      </w:r>
    </w:p>
    <w:p w14:paraId="289F571D" w14:textId="77777777" w:rsidR="0082364D" w:rsidRDefault="00BF2824">
      <w:pPr>
        <w:spacing w:line="360" w:lineRule="auto"/>
        <w:ind w:firstLineChars="200" w:firstLine="420"/>
        <w:rPr>
          <w:rFonts w:ascii="宋体" w:hAnsi="宋体"/>
          <w:color w:val="000000"/>
        </w:rPr>
      </w:pPr>
      <w:r>
        <w:rPr>
          <w:rFonts w:ascii="宋体" w:hAnsi="宋体" w:hint="eastAsia"/>
          <w:color w:val="000000"/>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14:paraId="03DDBE64" w14:textId="77777777" w:rsidR="0082364D" w:rsidRDefault="00BF2824">
      <w:pPr>
        <w:spacing w:line="360" w:lineRule="auto"/>
        <w:ind w:firstLineChars="200" w:firstLine="420"/>
        <w:rPr>
          <w:rFonts w:ascii="宋体" w:hAnsi="宋体"/>
          <w:color w:val="000000"/>
        </w:rPr>
      </w:pPr>
      <w:r>
        <w:rPr>
          <w:rFonts w:ascii="宋体" w:hAnsi="宋体" w:hint="eastAsia"/>
          <w:color w:val="000000"/>
        </w:rPr>
        <w:t>（6）业务部门：部门负责人为所在部门的风险控制第一责任人，对本部门业务范围内的风险负有管控及时报告的义务。</w:t>
      </w:r>
    </w:p>
    <w:p w14:paraId="6CDDC769" w14:textId="77777777" w:rsidR="0082364D" w:rsidRDefault="00BF2824">
      <w:pPr>
        <w:spacing w:line="360" w:lineRule="auto"/>
        <w:ind w:firstLineChars="200" w:firstLine="420"/>
        <w:rPr>
          <w:rFonts w:ascii="宋体" w:hAnsi="宋体"/>
          <w:color w:val="000000"/>
        </w:rPr>
      </w:pPr>
      <w:r>
        <w:rPr>
          <w:rFonts w:ascii="宋体" w:hAnsi="宋体" w:hint="eastAsia"/>
          <w:color w:val="000000"/>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1337F31F" w14:textId="77777777" w:rsidR="0082364D" w:rsidRDefault="00BF2824">
      <w:pPr>
        <w:spacing w:line="360" w:lineRule="auto"/>
        <w:ind w:firstLineChars="200" w:firstLine="420"/>
        <w:rPr>
          <w:rFonts w:ascii="宋体" w:hAnsi="宋体"/>
          <w:color w:val="000000"/>
        </w:rPr>
      </w:pPr>
      <w:r>
        <w:rPr>
          <w:rFonts w:ascii="宋体" w:hAnsi="宋体" w:hint="eastAsia"/>
          <w:color w:val="000000"/>
        </w:rPr>
        <w:t>4、内部控制措施</w:t>
      </w:r>
    </w:p>
    <w:p w14:paraId="647695FF" w14:textId="77777777" w:rsidR="0082364D" w:rsidRDefault="00BF2824">
      <w:pPr>
        <w:spacing w:line="360" w:lineRule="auto"/>
        <w:ind w:firstLineChars="200" w:firstLine="420"/>
        <w:rPr>
          <w:rFonts w:ascii="宋体" w:hAnsi="宋体"/>
          <w:color w:val="000000"/>
        </w:rPr>
      </w:pPr>
      <w:r>
        <w:rPr>
          <w:rFonts w:ascii="宋体" w:hAnsi="宋体" w:hint="eastAsia"/>
          <w:color w:val="000000"/>
        </w:rPr>
        <w:t>公司确立“制度上控制风险、技术上量化风险”，积极吸收或采用先进的风险控制技术和手段，进行内部控制和风险管理。</w:t>
      </w:r>
    </w:p>
    <w:p w14:paraId="34653825"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（1）公司逐步健全法人治理结构，充分发挥独立董事和监事会的监督职能，严禁不正当关联交易、利益输送和内部人控制现象的发生，保护投资者利益和公司合法权益。</w:t>
      </w:r>
    </w:p>
    <w:p w14:paraId="2A27BB7C" w14:textId="77777777" w:rsidR="0082364D" w:rsidRDefault="00BF2824">
      <w:pPr>
        <w:spacing w:line="360" w:lineRule="auto"/>
        <w:ind w:firstLineChars="200" w:firstLine="420"/>
        <w:rPr>
          <w:rFonts w:ascii="宋体" w:hAnsi="宋体"/>
          <w:color w:val="000000"/>
        </w:rPr>
      </w:pPr>
      <w:r>
        <w:rPr>
          <w:rFonts w:ascii="宋体" w:hAnsi="宋体" w:hint="eastAsia"/>
          <w:color w:val="000000"/>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515047EE" w14:textId="77777777" w:rsidR="0082364D" w:rsidRDefault="00BF2824">
      <w:pPr>
        <w:spacing w:line="360" w:lineRule="auto"/>
        <w:ind w:firstLineChars="200" w:firstLine="420"/>
        <w:rPr>
          <w:rFonts w:ascii="宋体" w:hAnsi="宋体"/>
          <w:color w:val="000000"/>
        </w:rPr>
      </w:pPr>
      <w:r>
        <w:rPr>
          <w:rFonts w:ascii="宋体" w:hAnsi="宋体" w:hint="eastAsia"/>
          <w:color w:val="000000"/>
        </w:rPr>
        <w:t>（3）公司设立了顺序递进、权责统一、严密有效的内控防线：</w:t>
      </w:r>
    </w:p>
    <w:p w14:paraId="0FE46508" w14:textId="77777777" w:rsidR="0082364D" w:rsidRDefault="00BF2824">
      <w:pPr>
        <w:spacing w:line="360" w:lineRule="auto"/>
        <w:ind w:firstLineChars="200" w:firstLine="420"/>
        <w:rPr>
          <w:rFonts w:ascii="宋体" w:hAnsi="宋体"/>
          <w:color w:val="000000"/>
        </w:rPr>
      </w:pPr>
      <w:r>
        <w:rPr>
          <w:rFonts w:ascii="宋体" w:hAnsi="宋体" w:hint="eastAsia"/>
          <w:color w:val="000000"/>
        </w:rPr>
        <w:t>①各岗位职责明确，有详细的岗位说明书和业务流程，各岗位人员在上岗前均应知悉并</w:t>
      </w:r>
      <w:r>
        <w:rPr>
          <w:rFonts w:ascii="宋体" w:hAnsi="宋体" w:hint="eastAsia"/>
          <w:color w:val="000000"/>
        </w:rPr>
        <w:lastRenderedPageBreak/>
        <w:t>以书面方式承诺遵守，在授权范围内承担责任；</w:t>
      </w:r>
    </w:p>
    <w:p w14:paraId="4804A924" w14:textId="77777777" w:rsidR="0082364D" w:rsidRDefault="00BF2824">
      <w:pPr>
        <w:spacing w:line="360" w:lineRule="auto"/>
        <w:ind w:firstLineChars="200" w:firstLine="420"/>
        <w:rPr>
          <w:rFonts w:ascii="宋体" w:hAnsi="宋体"/>
          <w:color w:val="000000"/>
        </w:rPr>
      </w:pPr>
      <w:r>
        <w:rPr>
          <w:rFonts w:ascii="宋体" w:hAnsi="宋体" w:hint="eastAsia"/>
          <w:color w:val="000000"/>
        </w:rPr>
        <w:t>②建立重要业务处理凭据传递和信息沟通制度，相关部门和岗位之间相互监督制衡。</w:t>
      </w:r>
    </w:p>
    <w:p w14:paraId="75D99D9F" w14:textId="77777777" w:rsidR="0082364D" w:rsidRDefault="00BF2824">
      <w:pPr>
        <w:spacing w:line="360" w:lineRule="auto"/>
        <w:ind w:firstLineChars="200" w:firstLine="420"/>
        <w:rPr>
          <w:rFonts w:ascii="宋体" w:hAnsi="宋体"/>
          <w:color w:val="000000"/>
        </w:rPr>
      </w:pPr>
      <w:r>
        <w:rPr>
          <w:rFonts w:ascii="宋体" w:hAnsi="宋体" w:hint="eastAsia"/>
          <w:color w:val="000000"/>
        </w:rPr>
        <w:t>（4）公司建立有效的人力资源管理制度，健全激励约束机制，确保公司人员具备与岗位要求相适应的职业操守和专业胜任能力。</w:t>
      </w:r>
    </w:p>
    <w:p w14:paraId="3880CAE8" w14:textId="77777777" w:rsidR="0082364D" w:rsidRDefault="00BF2824">
      <w:pPr>
        <w:spacing w:line="360" w:lineRule="auto"/>
        <w:ind w:firstLineChars="200" w:firstLine="420"/>
        <w:rPr>
          <w:rFonts w:ascii="宋体" w:hAnsi="宋体"/>
          <w:color w:val="000000"/>
        </w:rPr>
      </w:pPr>
      <w:r>
        <w:rPr>
          <w:rFonts w:ascii="宋体" w:hAnsi="宋体" w:hint="eastAsia"/>
          <w:color w:val="000000"/>
        </w:rPr>
        <w:t>（5）公司建立科学严密的风险评估体系，对公司内外部风险进行识别、评估和分析，及时防范和化解风险。</w:t>
      </w:r>
    </w:p>
    <w:p w14:paraId="3FF500B8" w14:textId="77777777" w:rsidR="0082364D" w:rsidRDefault="00BF2824">
      <w:pPr>
        <w:spacing w:line="360" w:lineRule="auto"/>
        <w:ind w:firstLineChars="200" w:firstLine="420"/>
        <w:rPr>
          <w:rFonts w:ascii="宋体" w:hAnsi="宋体"/>
          <w:color w:val="000000"/>
        </w:rPr>
      </w:pPr>
      <w:r>
        <w:rPr>
          <w:rFonts w:ascii="宋体" w:hAnsi="宋体" w:hint="eastAsia"/>
          <w:color w:val="000000"/>
        </w:rPr>
        <w:t>（6）授权控制应当贯穿于公司经营活动的始终，授权控制的主要内容包括：</w:t>
      </w:r>
    </w:p>
    <w:p w14:paraId="352975E6" w14:textId="77777777" w:rsidR="0082364D" w:rsidRDefault="00BF2824">
      <w:pPr>
        <w:spacing w:line="360" w:lineRule="auto"/>
        <w:ind w:firstLineChars="200" w:firstLine="420"/>
        <w:rPr>
          <w:rFonts w:ascii="宋体" w:hAnsi="宋体"/>
          <w:color w:val="000000"/>
        </w:rPr>
      </w:pPr>
      <w:r>
        <w:rPr>
          <w:rFonts w:ascii="宋体" w:hAnsi="宋体" w:hint="eastAsia"/>
          <w:color w:val="000000"/>
        </w:rPr>
        <w:t>①股东会、董事会、监事会和管理层充分了解和履行各自的职权，建立健全公司授权标准和程序，确保授权制度的贯彻执行；</w:t>
      </w:r>
    </w:p>
    <w:p w14:paraId="129CD758" w14:textId="77777777" w:rsidR="0082364D" w:rsidRDefault="00BF2824">
      <w:pPr>
        <w:spacing w:line="360" w:lineRule="auto"/>
        <w:ind w:firstLineChars="200" w:firstLine="420"/>
        <w:rPr>
          <w:rFonts w:ascii="宋体" w:hAnsi="宋体"/>
          <w:color w:val="000000"/>
        </w:rPr>
      </w:pPr>
      <w:r>
        <w:rPr>
          <w:rFonts w:ascii="宋体" w:hAnsi="宋体" w:hint="eastAsia"/>
          <w:color w:val="000000"/>
        </w:rPr>
        <w:t>②公司各部门、分公司及员工在规定授权范围内行使相应的职责；</w:t>
      </w:r>
    </w:p>
    <w:p w14:paraId="25FDF5D4" w14:textId="77777777" w:rsidR="0082364D" w:rsidRDefault="00BF2824">
      <w:pPr>
        <w:spacing w:line="360" w:lineRule="auto"/>
        <w:ind w:firstLineChars="200" w:firstLine="420"/>
        <w:rPr>
          <w:rFonts w:ascii="宋体" w:hAnsi="宋体"/>
          <w:color w:val="000000"/>
        </w:rPr>
      </w:pPr>
      <w:r>
        <w:rPr>
          <w:rFonts w:ascii="宋体" w:hAnsi="宋体" w:hint="eastAsia"/>
          <w:color w:val="000000"/>
        </w:rPr>
        <w:t>③重大业务授权采取书面形式，授权书应当明确授权内容和时效；</w:t>
      </w:r>
    </w:p>
    <w:p w14:paraId="1ACC9BF6" w14:textId="77777777" w:rsidR="0082364D" w:rsidRDefault="00BF2824">
      <w:pPr>
        <w:spacing w:line="360" w:lineRule="auto"/>
        <w:ind w:firstLineChars="200" w:firstLine="420"/>
        <w:rPr>
          <w:rFonts w:ascii="宋体" w:hAnsi="宋体"/>
          <w:color w:val="000000"/>
        </w:rPr>
      </w:pPr>
      <w:r>
        <w:rPr>
          <w:rFonts w:ascii="宋体" w:hAnsi="宋体" w:hint="eastAsia"/>
          <w:color w:val="000000"/>
        </w:rPr>
        <w:t>④对已获授权的部门和人员建立有效的评价和反馈机制，对已不适用的授权应及时修改或取消授权。</w:t>
      </w:r>
    </w:p>
    <w:p w14:paraId="3687ECF5" w14:textId="77777777" w:rsidR="0082364D" w:rsidRDefault="00BF2824">
      <w:pPr>
        <w:spacing w:line="360" w:lineRule="auto"/>
        <w:ind w:firstLineChars="200" w:firstLine="420"/>
        <w:rPr>
          <w:rFonts w:ascii="宋体" w:hAnsi="宋体"/>
          <w:color w:val="000000"/>
        </w:rPr>
      </w:pPr>
      <w:r>
        <w:rPr>
          <w:rFonts w:ascii="宋体" w:hAnsi="宋体" w:hint="eastAsia"/>
          <w:color w:val="000000"/>
        </w:rPr>
        <w:t>（7）建立完善的基金财务核算与基金资产估值系统和资产分离制度，基金资产与公司自有资产、其他委托资产以及不同基金的资产之间实行独立运作，分别核算，及时、准确和完整地反映基金资产的状况。</w:t>
      </w:r>
    </w:p>
    <w:p w14:paraId="179A3C83" w14:textId="77777777" w:rsidR="0082364D" w:rsidRDefault="00BF2824">
      <w:pPr>
        <w:spacing w:line="360" w:lineRule="auto"/>
        <w:ind w:firstLineChars="200" w:firstLine="420"/>
        <w:rPr>
          <w:rFonts w:ascii="宋体" w:hAnsi="宋体"/>
          <w:color w:val="000000"/>
        </w:rPr>
      </w:pPr>
      <w:r>
        <w:rPr>
          <w:rFonts w:ascii="宋体" w:hAnsi="宋体" w:hint="eastAsia"/>
          <w:color w:val="000000"/>
        </w:rPr>
        <w:t>（8）建立科学、严格的岗位分离制度，明确划分各岗位职责，投资和交易、交易和清算、基金会计和公司会计等重要岗位不得有人员的重叠。投资、研究、交易、IT等重要业务部门和岗位进行物理隔离。</w:t>
      </w:r>
    </w:p>
    <w:p w14:paraId="13102856" w14:textId="77777777" w:rsidR="0082364D" w:rsidRDefault="00BF2824">
      <w:pPr>
        <w:spacing w:line="360" w:lineRule="auto"/>
        <w:ind w:firstLineChars="200" w:firstLine="420"/>
        <w:rPr>
          <w:rFonts w:ascii="宋体" w:hAnsi="宋体"/>
          <w:color w:val="000000"/>
        </w:rPr>
      </w:pPr>
      <w:r>
        <w:rPr>
          <w:rFonts w:ascii="宋体" w:hAnsi="宋体" w:hint="eastAsia"/>
          <w:color w:val="000000"/>
        </w:rPr>
        <w:t>（9）建立和维护信息管理系统，严格信息管理，保证客户资料等信息安全、真实和完整。积极维护信息沟通渠道的畅通，建立清晰的报告系统，各级领导、部门及员工均有明确的报告途径。</w:t>
      </w:r>
    </w:p>
    <w:p w14:paraId="6DE82E4D"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（10）建立和完善客户服务标准，加强基金销售管理，规范基金宣传推介，不得有不正当销售行为和不正当竞争行为。</w:t>
      </w:r>
    </w:p>
    <w:p w14:paraId="7F452F9D"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（11）制订切实有效的应急应变措施，建立危机处理机制和程序，对发生严重影响基金份额持有人利益、可能引起系统性风险、严重影响社会稳定的突发事件，按照预案妥善处理。</w:t>
      </w:r>
    </w:p>
    <w:p w14:paraId="1C408CC1" w14:textId="77777777" w:rsidR="0082364D" w:rsidRDefault="00BF2824">
      <w:pPr>
        <w:spacing w:line="360" w:lineRule="auto"/>
        <w:ind w:firstLineChars="200" w:firstLine="420"/>
        <w:rPr>
          <w:rFonts w:ascii="宋体" w:hAnsi="宋体"/>
          <w:color w:val="000000"/>
        </w:rPr>
      </w:pPr>
      <w:r>
        <w:rPr>
          <w:rFonts w:ascii="宋体" w:hAnsi="宋体" w:hint="eastAsia"/>
          <w:color w:val="000000"/>
          <w:lang w:val="zh-CN"/>
        </w:rPr>
        <w:t>（</w:t>
      </w:r>
      <w:r>
        <w:rPr>
          <w:rFonts w:ascii="宋体" w:hAnsi="宋体" w:hint="eastAsia"/>
          <w:color w:val="000000"/>
        </w:rPr>
        <w:t>12</w:t>
      </w:r>
      <w:r>
        <w:rPr>
          <w:rFonts w:ascii="宋体" w:hAnsi="宋体" w:hint="eastAsia"/>
          <w:color w:val="000000"/>
          <w:lang w:val="zh-CN"/>
        </w:rPr>
        <w:t>）公司建立健全内控制度，督察长、合规管理部门对公司内部控制制度的执行情况进行持续的监督，保证内部控制制度落实；定期评价内部控制的有效性并适时改进。</w:t>
      </w:r>
    </w:p>
    <w:p w14:paraId="73647F2F" w14:textId="77777777" w:rsidR="0082364D" w:rsidRDefault="00BF2824">
      <w:pPr>
        <w:spacing w:line="360" w:lineRule="auto"/>
        <w:ind w:firstLineChars="200" w:firstLine="420"/>
        <w:rPr>
          <w:rFonts w:ascii="宋体" w:hAnsi="宋体"/>
          <w:color w:val="000000"/>
          <w:lang w:val="zh-CN"/>
        </w:rPr>
      </w:pPr>
      <w:r>
        <w:rPr>
          <w:rFonts w:ascii="宋体" w:hAnsi="宋体" w:hint="eastAsia"/>
          <w:color w:val="000000"/>
          <w:lang w:val="zh-CN"/>
        </w:rPr>
        <w:t>①对公司各项制度、业务的合法合规性进行监控核查，确保公司各项制度、业务符合有关法律、行政法规、部门规章及行业监管规则；</w:t>
      </w:r>
    </w:p>
    <w:p w14:paraId="71701B51" w14:textId="77777777" w:rsidR="0082364D" w:rsidRDefault="00BF2824">
      <w:pPr>
        <w:spacing w:line="360" w:lineRule="auto"/>
        <w:ind w:firstLineChars="200" w:firstLine="420"/>
        <w:rPr>
          <w:rFonts w:ascii="宋体" w:hAnsi="宋体"/>
          <w:color w:val="000000"/>
        </w:rPr>
      </w:pPr>
      <w:r>
        <w:rPr>
          <w:rFonts w:ascii="宋体" w:hAnsi="宋体" w:hint="eastAsia"/>
          <w:color w:val="000000"/>
          <w:lang w:val="zh-CN"/>
        </w:rPr>
        <w:lastRenderedPageBreak/>
        <w:t>②对内部风险控制制度的持续监督。合规管理部门持续完善“风险责任授权体系”机制</w:t>
      </w:r>
      <w:r>
        <w:rPr>
          <w:rFonts w:ascii="宋体" w:hAnsi="宋体" w:hint="eastAsia"/>
          <w:color w:val="000000"/>
        </w:rPr>
        <w:t>，</w:t>
      </w:r>
      <w:r>
        <w:rPr>
          <w:rFonts w:ascii="宋体" w:hAnsi="宋体" w:hint="eastAsia"/>
          <w:color w:val="000000"/>
          <w:lang w:val="zh-CN"/>
        </w:rPr>
        <w:t>组织相关业务部门、岗位共同识别风险点，界定风险责任人，确保所有识别出的关键风险点均有对应控制措施，及时防范和化解风险；</w:t>
      </w:r>
    </w:p>
    <w:p w14:paraId="74D4EC55" w14:textId="77777777" w:rsidR="0082364D" w:rsidRDefault="00BF2824">
      <w:pPr>
        <w:spacing w:line="360" w:lineRule="auto"/>
        <w:ind w:firstLineChars="200" w:firstLine="420"/>
        <w:rPr>
          <w:rFonts w:ascii="宋体" w:hAnsi="宋体"/>
          <w:color w:val="000000"/>
        </w:rPr>
      </w:pPr>
      <w:r>
        <w:rPr>
          <w:rFonts w:ascii="宋体" w:hAnsi="宋体" w:hint="eastAsia"/>
          <w:color w:val="000000"/>
          <w:lang w:val="zh-CN"/>
        </w:rPr>
        <w:t>③督察长按照公司规定，向董事会、经营管理主要负责人报告</w:t>
      </w:r>
      <w:r>
        <w:rPr>
          <w:rFonts w:ascii="宋体" w:hAnsi="宋体" w:hint="eastAsia"/>
          <w:color w:val="000000"/>
        </w:rPr>
        <w:t>公司</w:t>
      </w:r>
      <w:r>
        <w:rPr>
          <w:rFonts w:ascii="宋体" w:hAnsi="宋体" w:hint="eastAsia"/>
          <w:color w:val="000000"/>
          <w:lang w:val="zh-CN"/>
        </w:rPr>
        <w:t>经营管理的合法合规情况和合规管理工作开展情况。</w:t>
      </w:r>
    </w:p>
    <w:p w14:paraId="277B671A" w14:textId="77777777" w:rsidR="0082364D" w:rsidRDefault="00BF2824">
      <w:pPr>
        <w:spacing w:line="360" w:lineRule="auto"/>
        <w:ind w:firstLineChars="200" w:firstLine="420"/>
        <w:rPr>
          <w:rFonts w:ascii="宋体" w:hAnsi="宋体"/>
          <w:color w:val="000000"/>
        </w:rPr>
      </w:pPr>
      <w:r>
        <w:rPr>
          <w:rFonts w:ascii="宋体" w:hAnsi="宋体" w:hint="eastAsia"/>
          <w:color w:val="000000"/>
        </w:rPr>
        <w:t>5、基金管理人关于内部控制的声明</w:t>
      </w:r>
    </w:p>
    <w:p w14:paraId="442F0B6A" w14:textId="77777777" w:rsidR="0082364D" w:rsidRDefault="00BF2824">
      <w:pPr>
        <w:spacing w:line="360" w:lineRule="auto"/>
        <w:ind w:firstLineChars="200" w:firstLine="420"/>
        <w:rPr>
          <w:rFonts w:ascii="宋体" w:hAnsi="宋体"/>
          <w:color w:val="000000"/>
        </w:rPr>
      </w:pPr>
      <w:r>
        <w:rPr>
          <w:rFonts w:ascii="宋体" w:hAnsi="宋体" w:hint="eastAsia"/>
          <w:color w:val="000000"/>
        </w:rPr>
        <w:t>（1）基金管理人承诺以上关于内部控制的披露真实、准确；</w:t>
      </w:r>
    </w:p>
    <w:p w14:paraId="5BD5B979" w14:textId="77777777" w:rsidR="0082364D" w:rsidRDefault="00BF2824">
      <w:pPr>
        <w:widowControl/>
        <w:shd w:val="clear" w:color="auto" w:fill="FFFFFF"/>
        <w:spacing w:line="480" w:lineRule="atLeast"/>
        <w:ind w:firstLine="480"/>
        <w:jc w:val="left"/>
        <w:rPr>
          <w:rFonts w:ascii="宋体" w:hAnsi="宋体"/>
          <w:kern w:val="0"/>
          <w:szCs w:val="21"/>
        </w:rPr>
      </w:pPr>
      <w:r>
        <w:rPr>
          <w:rFonts w:ascii="宋体" w:hAnsi="宋体" w:hint="eastAsia"/>
          <w:color w:val="000000"/>
        </w:rPr>
        <w:t>（2）基金管理人承诺根据市场变化和基金管理人发展不断完善内部控制体系和内部控制制度。</w:t>
      </w:r>
    </w:p>
    <w:p w14:paraId="31393A3D" w14:textId="77777777" w:rsidR="0082364D" w:rsidRDefault="00BF2824">
      <w:pPr>
        <w:pStyle w:val="1"/>
        <w:spacing w:before="120" w:after="120" w:line="360" w:lineRule="auto"/>
        <w:jc w:val="center"/>
        <w:rPr>
          <w:rFonts w:ascii="宋体" w:hAnsi="宋体"/>
          <w:sz w:val="28"/>
        </w:rPr>
      </w:pPr>
      <w:bookmarkStart w:id="33" w:name="_Toc283892144"/>
      <w:bookmarkStart w:id="34" w:name="_Toc283892824"/>
      <w:bookmarkStart w:id="35" w:name="_Toc283892772"/>
      <w:r>
        <w:rPr>
          <w:rFonts w:ascii="宋体" w:hAnsi="宋体"/>
          <w:sz w:val="28"/>
          <w:szCs w:val="28"/>
        </w:rPr>
        <w:br w:type="page"/>
      </w:r>
      <w:bookmarkStart w:id="36" w:name="_Toc449605664"/>
      <w:bookmarkStart w:id="37" w:name="_Toc353291716"/>
      <w:bookmarkStart w:id="38" w:name="_Toc283892146"/>
      <w:bookmarkStart w:id="39" w:name="_Toc283892774"/>
      <w:bookmarkStart w:id="40" w:name="_Toc283892826"/>
      <w:bookmarkStart w:id="41" w:name="_Toc108598517"/>
      <w:bookmarkEnd w:id="33"/>
      <w:bookmarkEnd w:id="34"/>
      <w:bookmarkEnd w:id="35"/>
      <w:r>
        <w:rPr>
          <w:rFonts w:ascii="宋体" w:hAnsi="宋体"/>
          <w:sz w:val="28"/>
        </w:rPr>
        <w:lastRenderedPageBreak/>
        <w:t>六、基金的募集</w:t>
      </w:r>
      <w:bookmarkEnd w:id="36"/>
      <w:bookmarkEnd w:id="37"/>
      <w:bookmarkEnd w:id="38"/>
      <w:bookmarkEnd w:id="39"/>
      <w:bookmarkEnd w:id="40"/>
      <w:bookmarkEnd w:id="41"/>
    </w:p>
    <w:p w14:paraId="7B7C037C" w14:textId="3C18644B" w:rsidR="0082364D" w:rsidRDefault="00BF2824">
      <w:pPr>
        <w:spacing w:line="360" w:lineRule="auto"/>
        <w:jc w:val="left"/>
        <w:rPr>
          <w:rFonts w:ascii="宋体" w:hAnsi="宋体"/>
        </w:rPr>
      </w:pPr>
      <w:r>
        <w:rPr>
          <w:rFonts w:ascii="宋体" w:hAnsi="宋体"/>
        </w:rPr>
        <w:t xml:space="preserve">    本基金由基金管理人依照《基金法》、《运作办法》、《销售办法》、基金合同及其他法律法规的相关规定、并经中国证券监督管理委员会</w:t>
      </w:r>
      <w:r>
        <w:rPr>
          <w:rFonts w:ascii="宋体" w:hAnsi="宋体"/>
          <w:kern w:val="0"/>
          <w:szCs w:val="20"/>
        </w:rPr>
        <w:t>2023</w:t>
      </w:r>
      <w:r>
        <w:rPr>
          <w:rFonts w:ascii="宋体" w:hAnsi="宋体"/>
          <w:kern w:val="0"/>
        </w:rPr>
        <w:t>年</w:t>
      </w:r>
      <w:r w:rsidR="001F0E4A">
        <w:rPr>
          <w:rFonts w:ascii="宋体" w:hAnsi="宋体"/>
          <w:kern w:val="0"/>
          <w:szCs w:val="20"/>
        </w:rPr>
        <w:t>4</w:t>
      </w:r>
      <w:r>
        <w:rPr>
          <w:rFonts w:ascii="宋体" w:hAnsi="宋体"/>
          <w:kern w:val="0"/>
        </w:rPr>
        <w:t>月</w:t>
      </w:r>
      <w:r w:rsidR="001F0E4A">
        <w:rPr>
          <w:rFonts w:ascii="宋体" w:hAnsi="宋体"/>
          <w:kern w:val="0"/>
          <w:szCs w:val="20"/>
        </w:rPr>
        <w:t>3</w:t>
      </w:r>
      <w:r>
        <w:rPr>
          <w:rFonts w:ascii="宋体" w:hAnsi="宋体"/>
          <w:kern w:val="0"/>
        </w:rPr>
        <w:t>日中国证券监督管理委员会</w:t>
      </w:r>
      <w:r>
        <w:rPr>
          <w:rFonts w:ascii="宋体" w:hAnsi="宋体" w:hint="eastAsia"/>
          <w:kern w:val="0"/>
          <w:szCs w:val="20"/>
        </w:rPr>
        <w:t>《关于准予嘉实纳斯达克100交易型开放式指数证券投资基金（QDII）注册的批复》（证监许可【202</w:t>
      </w:r>
      <w:r>
        <w:rPr>
          <w:rFonts w:ascii="宋体" w:hAnsi="宋体"/>
          <w:kern w:val="0"/>
          <w:szCs w:val="20"/>
        </w:rPr>
        <w:t>3</w:t>
      </w:r>
      <w:r>
        <w:rPr>
          <w:rFonts w:ascii="宋体" w:hAnsi="宋体" w:hint="eastAsia"/>
          <w:kern w:val="0"/>
          <w:szCs w:val="20"/>
        </w:rPr>
        <w:t>】</w:t>
      </w:r>
      <w:r w:rsidR="001F0E4A">
        <w:rPr>
          <w:rFonts w:ascii="宋体" w:hAnsi="宋体"/>
          <w:kern w:val="0"/>
          <w:szCs w:val="20"/>
        </w:rPr>
        <w:t>743</w:t>
      </w:r>
      <w:r>
        <w:rPr>
          <w:rFonts w:ascii="宋体" w:hAnsi="宋体" w:hint="eastAsia"/>
          <w:kern w:val="0"/>
          <w:szCs w:val="20"/>
        </w:rPr>
        <w:t>号）</w:t>
      </w:r>
      <w:r>
        <w:rPr>
          <w:rFonts w:ascii="宋体" w:hAnsi="宋体" w:hint="eastAsia"/>
        </w:rPr>
        <w:t>注册</w:t>
      </w:r>
      <w:r>
        <w:rPr>
          <w:rFonts w:ascii="宋体" w:hAnsi="宋体"/>
        </w:rPr>
        <w:t>募集。</w:t>
      </w:r>
    </w:p>
    <w:p w14:paraId="5F9E9745" w14:textId="77777777" w:rsidR="0082364D" w:rsidRDefault="00BF2824">
      <w:pPr>
        <w:spacing w:line="360" w:lineRule="auto"/>
        <w:ind w:firstLine="480"/>
        <w:rPr>
          <w:color w:val="000000"/>
        </w:rPr>
      </w:pPr>
      <w:r>
        <w:rPr>
          <w:rFonts w:ascii="宋体" w:hAnsi="宋体"/>
          <w:color w:val="000000"/>
        </w:rPr>
        <w:t>（一）基金运作方式</w:t>
      </w:r>
      <w:r>
        <w:rPr>
          <w:rFonts w:ascii="宋体" w:hAnsi="宋体" w:hint="eastAsia"/>
          <w:color w:val="000000"/>
        </w:rPr>
        <w:t>、</w:t>
      </w:r>
      <w:r>
        <w:rPr>
          <w:rFonts w:ascii="宋体" w:hAnsi="宋体"/>
          <w:color w:val="000000"/>
        </w:rPr>
        <w:t>类型</w:t>
      </w:r>
      <w:r>
        <w:rPr>
          <w:rFonts w:ascii="宋体" w:hAnsi="宋体" w:hint="eastAsia"/>
          <w:color w:val="000000"/>
        </w:rPr>
        <w:t>、标的指数</w:t>
      </w:r>
    </w:p>
    <w:p w14:paraId="621E0935" w14:textId="77777777" w:rsidR="0082364D" w:rsidRDefault="00BF2824">
      <w:pPr>
        <w:spacing w:line="360" w:lineRule="auto"/>
        <w:ind w:firstLineChars="200" w:firstLine="420"/>
        <w:jc w:val="left"/>
        <w:rPr>
          <w:rFonts w:ascii="宋体" w:hAnsi="宋体"/>
        </w:rPr>
      </w:pPr>
      <w:r>
        <w:rPr>
          <w:rFonts w:ascii="宋体" w:hAnsi="宋体"/>
        </w:rPr>
        <w:t>1、基金的类别：股票型</w:t>
      </w:r>
      <w:r>
        <w:rPr>
          <w:rFonts w:ascii="宋体" w:hAnsi="宋体" w:hint="eastAsia"/>
        </w:rPr>
        <w:t>指数证券投资基金、QDII基金</w:t>
      </w:r>
    </w:p>
    <w:p w14:paraId="3554199C" w14:textId="77777777" w:rsidR="0082364D" w:rsidRDefault="00BF2824">
      <w:pPr>
        <w:spacing w:line="360" w:lineRule="auto"/>
        <w:ind w:firstLineChars="200" w:firstLine="420"/>
        <w:jc w:val="left"/>
        <w:rPr>
          <w:rFonts w:ascii="宋体" w:hAnsi="宋体"/>
        </w:rPr>
      </w:pPr>
      <w:r>
        <w:rPr>
          <w:rFonts w:ascii="宋体" w:hAnsi="宋体"/>
        </w:rPr>
        <w:t>2、基金的运作方式：交易型开放式</w:t>
      </w:r>
    </w:p>
    <w:p w14:paraId="766749F7" w14:textId="0FC27B39" w:rsidR="0082364D" w:rsidRDefault="00BF2824">
      <w:pPr>
        <w:spacing w:line="360" w:lineRule="auto"/>
        <w:ind w:firstLineChars="200" w:firstLine="420"/>
        <w:jc w:val="left"/>
        <w:rPr>
          <w:rFonts w:ascii="宋体" w:hAnsi="宋体"/>
        </w:rPr>
      </w:pPr>
      <w:r>
        <w:rPr>
          <w:rFonts w:ascii="宋体" w:hAnsi="宋体" w:hint="eastAsia"/>
        </w:rPr>
        <w:t>3、基金的标的指数：纳斯达克100指数</w:t>
      </w:r>
    </w:p>
    <w:p w14:paraId="738D6FD4" w14:textId="77777777" w:rsidR="0082364D" w:rsidRDefault="00BF2824">
      <w:pPr>
        <w:spacing w:line="360" w:lineRule="auto"/>
        <w:ind w:firstLine="480"/>
        <w:rPr>
          <w:color w:val="000000"/>
        </w:rPr>
      </w:pPr>
      <w:r>
        <w:rPr>
          <w:rFonts w:ascii="宋体" w:hAnsi="宋体"/>
          <w:color w:val="000000"/>
        </w:rPr>
        <w:t>（二）基金存续期</w:t>
      </w:r>
    </w:p>
    <w:p w14:paraId="140815D3" w14:textId="77777777" w:rsidR="0082364D" w:rsidRDefault="00BF2824">
      <w:pPr>
        <w:spacing w:line="360" w:lineRule="auto"/>
        <w:ind w:firstLineChars="200" w:firstLine="420"/>
        <w:jc w:val="left"/>
        <w:rPr>
          <w:rFonts w:ascii="宋体" w:hAnsi="宋体"/>
        </w:rPr>
      </w:pPr>
      <w:r>
        <w:rPr>
          <w:rFonts w:ascii="宋体" w:hAnsi="宋体"/>
        </w:rPr>
        <w:t>不定期</w:t>
      </w:r>
    </w:p>
    <w:p w14:paraId="1539F23B" w14:textId="77777777" w:rsidR="0082364D" w:rsidRDefault="00BF2824">
      <w:pPr>
        <w:spacing w:line="360" w:lineRule="auto"/>
        <w:ind w:firstLine="480"/>
        <w:rPr>
          <w:rFonts w:ascii="宋体" w:hAnsi="宋体"/>
          <w:color w:val="000000"/>
        </w:rPr>
      </w:pPr>
      <w:r>
        <w:rPr>
          <w:rFonts w:ascii="宋体" w:hAnsi="宋体" w:hint="eastAsia"/>
          <w:color w:val="000000"/>
        </w:rPr>
        <w:t>（</w:t>
      </w:r>
      <w:r>
        <w:rPr>
          <w:rFonts w:ascii="宋体" w:hAnsi="宋体"/>
          <w:color w:val="000000"/>
        </w:rPr>
        <w:t>三</w:t>
      </w:r>
      <w:r>
        <w:rPr>
          <w:rFonts w:ascii="宋体" w:hAnsi="宋体" w:hint="eastAsia"/>
          <w:color w:val="000000"/>
        </w:rPr>
        <w:t>）</w:t>
      </w:r>
      <w:r>
        <w:rPr>
          <w:rFonts w:ascii="宋体" w:hAnsi="宋体"/>
          <w:color w:val="000000"/>
        </w:rPr>
        <w:t>基金份额的募集期限、募集方式及场所、募集对象</w:t>
      </w:r>
    </w:p>
    <w:p w14:paraId="6B0E8C36" w14:textId="77777777" w:rsidR="0082364D" w:rsidRDefault="00BF2824">
      <w:pPr>
        <w:spacing w:line="360" w:lineRule="auto"/>
        <w:ind w:firstLineChars="200" w:firstLine="420"/>
        <w:jc w:val="left"/>
        <w:rPr>
          <w:rFonts w:ascii="宋体" w:hAnsi="宋体"/>
        </w:rPr>
      </w:pPr>
      <w:r>
        <w:rPr>
          <w:rFonts w:ascii="宋体" w:hAnsi="宋体"/>
        </w:rPr>
        <w:t>1、募集期限：本基金的募集期限不超过3个月,</w:t>
      </w:r>
      <w:r>
        <w:rPr>
          <w:rFonts w:ascii="宋体" w:hAnsi="宋体"/>
          <w:kern w:val="0"/>
        </w:rPr>
        <w:t>具体发售时间见基金份额发售公告。</w:t>
      </w:r>
      <w:r>
        <w:rPr>
          <w:rFonts w:ascii="宋体" w:hAnsi="宋体"/>
        </w:rPr>
        <w:t xml:space="preserve"> </w:t>
      </w:r>
    </w:p>
    <w:p w14:paraId="2825D819" w14:textId="77777777" w:rsidR="0082364D" w:rsidRDefault="00BF2824">
      <w:pPr>
        <w:spacing w:line="360" w:lineRule="auto"/>
        <w:ind w:firstLineChars="200" w:firstLine="420"/>
        <w:jc w:val="left"/>
        <w:rPr>
          <w:rFonts w:ascii="宋体" w:hAnsi="宋体"/>
          <w:bCs/>
        </w:rPr>
      </w:pPr>
      <w:r>
        <w:rPr>
          <w:rFonts w:ascii="宋体" w:hAnsi="宋体"/>
        </w:rPr>
        <w:t>2、募集方式：</w:t>
      </w:r>
      <w:bookmarkStart w:id="42" w:name="_Hlk47342317"/>
      <w:r>
        <w:rPr>
          <w:rFonts w:ascii="宋体" w:hAnsi="宋体"/>
          <w:bCs/>
        </w:rPr>
        <w:t>投资者可选择网上现金认购、网下现金认购</w:t>
      </w:r>
      <w:r>
        <w:rPr>
          <w:rFonts w:ascii="宋体" w:hAnsi="宋体" w:hint="eastAsia"/>
          <w:bCs/>
        </w:rPr>
        <w:t>两</w:t>
      </w:r>
      <w:r>
        <w:rPr>
          <w:rFonts w:ascii="宋体" w:hAnsi="宋体"/>
          <w:bCs/>
        </w:rPr>
        <w:t>种方式认购本基金。</w:t>
      </w:r>
    </w:p>
    <w:p w14:paraId="4EE000E3" w14:textId="77777777" w:rsidR="0082364D" w:rsidRDefault="00BF2824">
      <w:pPr>
        <w:spacing w:line="360" w:lineRule="auto"/>
        <w:ind w:firstLineChars="200" w:firstLine="420"/>
        <w:jc w:val="left"/>
        <w:rPr>
          <w:rFonts w:ascii="宋体" w:hAnsi="宋体"/>
          <w:bCs/>
        </w:rPr>
      </w:pPr>
      <w:r>
        <w:rPr>
          <w:rFonts w:ascii="宋体" w:hAnsi="宋体"/>
          <w:bCs/>
        </w:rPr>
        <w:t>网上现金认购是指投资者通过基金管理人指定的发售代理机构用</w:t>
      </w:r>
      <w:r>
        <w:rPr>
          <w:rFonts w:ascii="宋体" w:hAnsi="宋体" w:hint="eastAsia"/>
          <w:bCs/>
        </w:rPr>
        <w:t>深圳</w:t>
      </w:r>
      <w:r>
        <w:rPr>
          <w:rFonts w:ascii="宋体" w:hAnsi="宋体"/>
          <w:bCs/>
        </w:rPr>
        <w:t>证券交易所网上系统以现金进行的认购。网下现金认购是指投资者通过基金管理人及其指定的发售代理机构以现金进行的认购。</w:t>
      </w:r>
    </w:p>
    <w:p w14:paraId="028EDB16" w14:textId="77777777" w:rsidR="0082364D" w:rsidRDefault="00BF2824">
      <w:pPr>
        <w:spacing w:line="360" w:lineRule="auto"/>
        <w:ind w:firstLineChars="200" w:firstLine="420"/>
        <w:jc w:val="left"/>
        <w:rPr>
          <w:rFonts w:ascii="宋体" w:hAnsi="宋体"/>
          <w:shd w:val="pct10" w:color="auto" w:fill="FFFFFF"/>
        </w:rPr>
      </w:pPr>
      <w:r>
        <w:rPr>
          <w:rFonts w:ascii="宋体" w:hAnsi="宋体" w:hint="eastAsia"/>
        </w:rPr>
        <w:t>销售机构对认购申请的受理并不代表该申请一定成功，而仅代表销售机构确实接收到认购申请。投资者按照基金合同的约定提交认购申请并交纳认购基金份额的款项时，基金合同成立；基金管理人按照规定办理完毕基金募集的备案手续，并获中国证监会书面确认之日起，基金合同生效。认购的确认以登记结算机构</w:t>
      </w:r>
      <w:r>
        <w:rPr>
          <w:rFonts w:ascii="宋体" w:hAnsi="宋体"/>
        </w:rPr>
        <w:t>的确认结果</w:t>
      </w:r>
      <w:r>
        <w:rPr>
          <w:rFonts w:ascii="宋体" w:hAnsi="宋体" w:hint="eastAsia"/>
        </w:rPr>
        <w:t>以及基金合同生效</w:t>
      </w:r>
      <w:r>
        <w:rPr>
          <w:rFonts w:ascii="宋体" w:hAnsi="宋体"/>
        </w:rPr>
        <w:t>为准</w:t>
      </w:r>
      <w:r>
        <w:rPr>
          <w:rFonts w:ascii="宋体" w:hAnsi="宋体" w:hint="eastAsia"/>
        </w:rPr>
        <w:t>。对于认购申请及认购份额的确认情况，投资者应及时查询并妥善行使合法权利</w:t>
      </w:r>
      <w:r>
        <w:rPr>
          <w:rFonts w:ascii="宋体" w:hAnsi="宋体"/>
        </w:rPr>
        <w:t>。</w:t>
      </w:r>
    </w:p>
    <w:bookmarkEnd w:id="42"/>
    <w:p w14:paraId="3D778D92" w14:textId="77777777" w:rsidR="0082364D" w:rsidRDefault="00BF2824">
      <w:pPr>
        <w:spacing w:line="360" w:lineRule="auto"/>
        <w:ind w:firstLineChars="200" w:firstLine="420"/>
        <w:jc w:val="left"/>
        <w:rPr>
          <w:rFonts w:ascii="宋体" w:hAnsi="宋体"/>
        </w:rPr>
      </w:pPr>
      <w:r>
        <w:rPr>
          <w:rFonts w:ascii="宋体" w:hAnsi="宋体"/>
        </w:rPr>
        <w:t>3、募集场所：</w:t>
      </w:r>
    </w:p>
    <w:p w14:paraId="2E7EE4D2" w14:textId="77777777" w:rsidR="0082364D" w:rsidRDefault="00BF2824">
      <w:pPr>
        <w:spacing w:line="360" w:lineRule="auto"/>
        <w:ind w:firstLineChars="200" w:firstLine="420"/>
        <w:jc w:val="left"/>
        <w:rPr>
          <w:rFonts w:ascii="宋体" w:hAnsi="宋体"/>
        </w:rPr>
      </w:pPr>
      <w:r>
        <w:rPr>
          <w:rFonts w:ascii="宋体" w:hAnsi="宋体"/>
        </w:rPr>
        <w:t>投资者应当在基金管理人及其指定发售代理机构办理基金发售业务的营业场所，或者按基金管理人或发售代理机构提供的方式办理基金份额的认购。</w:t>
      </w:r>
    </w:p>
    <w:p w14:paraId="551D2168" w14:textId="77777777" w:rsidR="0082364D" w:rsidRDefault="00BF2824">
      <w:pPr>
        <w:spacing w:line="360" w:lineRule="auto"/>
        <w:ind w:firstLineChars="200" w:firstLine="420"/>
        <w:jc w:val="left"/>
        <w:rPr>
          <w:rFonts w:ascii="宋体" w:hAnsi="宋体"/>
        </w:rPr>
      </w:pPr>
      <w:r>
        <w:rPr>
          <w:rFonts w:ascii="宋体" w:hAnsi="宋体"/>
        </w:rPr>
        <w:t>基金管理人、发售代理机构办理基金发售业务的具体情况和联系方式，请参见基金份额发售公告。</w:t>
      </w:r>
    </w:p>
    <w:p w14:paraId="599779CE" w14:textId="77777777" w:rsidR="0082364D" w:rsidRDefault="00BF2824">
      <w:pPr>
        <w:spacing w:line="360" w:lineRule="auto"/>
        <w:ind w:firstLineChars="200" w:firstLine="420"/>
        <w:jc w:val="left"/>
        <w:rPr>
          <w:rFonts w:ascii="宋体" w:hAnsi="宋体"/>
        </w:rPr>
      </w:pPr>
      <w:r>
        <w:rPr>
          <w:rFonts w:ascii="宋体" w:hAnsi="宋体"/>
          <w:color w:val="000000"/>
        </w:rPr>
        <w:t>基金管理人可以根据情况增加、减少或调整基金的</w:t>
      </w:r>
      <w:r>
        <w:rPr>
          <w:rFonts w:ascii="宋体" w:hAnsi="宋体" w:hint="eastAsia"/>
          <w:color w:val="000000"/>
        </w:rPr>
        <w:t>销售</w:t>
      </w:r>
      <w:r>
        <w:rPr>
          <w:rFonts w:ascii="宋体" w:hAnsi="宋体"/>
          <w:color w:val="000000"/>
        </w:rPr>
        <w:t>机构</w:t>
      </w:r>
      <w:r>
        <w:rPr>
          <w:rFonts w:ascii="宋体" w:hAnsi="宋体" w:hint="eastAsia"/>
          <w:color w:val="000000"/>
        </w:rPr>
        <w:t>，并在基金管理人网站公示</w:t>
      </w:r>
      <w:r>
        <w:rPr>
          <w:rFonts w:ascii="宋体" w:hAnsi="宋体"/>
          <w:color w:val="000000"/>
        </w:rPr>
        <w:t>。</w:t>
      </w:r>
      <w:r>
        <w:rPr>
          <w:rFonts w:ascii="宋体" w:hAnsi="宋体"/>
          <w:kern w:val="0"/>
        </w:rPr>
        <w:t>发售代理机构可以根据情况增加或者减少其销售城市、网点。</w:t>
      </w:r>
    </w:p>
    <w:p w14:paraId="2328CAAD" w14:textId="77777777" w:rsidR="0082364D" w:rsidRDefault="00BF2824">
      <w:pPr>
        <w:spacing w:line="360" w:lineRule="auto"/>
        <w:ind w:firstLineChars="200" w:firstLine="420"/>
        <w:jc w:val="left"/>
        <w:rPr>
          <w:rFonts w:ascii="宋体" w:hAnsi="宋体"/>
        </w:rPr>
      </w:pPr>
      <w:r>
        <w:rPr>
          <w:rFonts w:ascii="宋体" w:hAnsi="宋体"/>
        </w:rPr>
        <w:lastRenderedPageBreak/>
        <w:t>4、募集对象：符合法律法规规定的</w:t>
      </w:r>
      <w:r>
        <w:rPr>
          <w:rFonts w:ascii="宋体" w:hAnsi="宋体" w:hint="eastAsia"/>
        </w:rPr>
        <w:t>可投资于证券投资基金的个人投资者、机构投资者</w:t>
      </w:r>
      <w:r>
        <w:rPr>
          <w:rFonts w:ascii="宋体" w:hAnsi="宋体" w:hint="eastAsia"/>
          <w:kern w:val="0"/>
        </w:rPr>
        <w:t>、</w:t>
      </w:r>
      <w:r>
        <w:rPr>
          <w:rFonts w:ascii="宋体" w:hAnsi="宋体"/>
          <w:kern w:val="0"/>
        </w:rPr>
        <w:t>合格境外投资者以及法律法规或中国证监会允许购买证券投资基金的其他投资者</w:t>
      </w:r>
      <w:r>
        <w:rPr>
          <w:rFonts w:ascii="宋体" w:hAnsi="宋体" w:hint="eastAsia"/>
        </w:rPr>
        <w:t>。</w:t>
      </w:r>
    </w:p>
    <w:p w14:paraId="6EF40578" w14:textId="77777777" w:rsidR="0082364D" w:rsidRDefault="00BF2824">
      <w:pPr>
        <w:spacing w:line="360" w:lineRule="auto"/>
        <w:ind w:firstLine="480"/>
        <w:rPr>
          <w:color w:val="000000"/>
        </w:rPr>
      </w:pPr>
      <w:r>
        <w:rPr>
          <w:rFonts w:ascii="宋体" w:hAnsi="宋体"/>
          <w:color w:val="000000"/>
        </w:rPr>
        <w:t>（四）募集目标</w:t>
      </w:r>
    </w:p>
    <w:p w14:paraId="2282B665" w14:textId="77777777" w:rsidR="0082364D" w:rsidRDefault="00BF2824">
      <w:pPr>
        <w:spacing w:line="360" w:lineRule="auto"/>
        <w:ind w:firstLineChars="200" w:firstLine="420"/>
        <w:jc w:val="left"/>
        <w:rPr>
          <w:rFonts w:ascii="宋体" w:hAnsi="宋体"/>
        </w:rPr>
      </w:pPr>
      <w:r>
        <w:rPr>
          <w:rFonts w:ascii="宋体" w:hAnsi="宋体"/>
        </w:rPr>
        <w:t>本基金的最低募集份额总额为2亿份，基金募集金额不少于2亿元。</w:t>
      </w:r>
    </w:p>
    <w:p w14:paraId="0B9C0674" w14:textId="77777777" w:rsidR="0082364D" w:rsidRDefault="00BF2824">
      <w:pPr>
        <w:spacing w:line="360" w:lineRule="auto"/>
        <w:ind w:firstLineChars="200" w:firstLine="420"/>
        <w:jc w:val="left"/>
        <w:rPr>
          <w:rFonts w:ascii="宋体" w:hAnsi="宋体"/>
        </w:rPr>
      </w:pPr>
      <w:r>
        <w:rPr>
          <w:rFonts w:ascii="宋体" w:hAnsi="宋体" w:hint="eastAsia"/>
        </w:rPr>
        <w:t>本基金可依据中国证监会和外管局核准的额度（外汇额度需折算为人民币）或本基金的实际情况设定募集规模上限，并在基金份额发售公告或其他相关公告中列示。基金合同生效后，基金的资产规模不受募集规模上限限制，但基金管理人有权根据基金的外汇额度（外汇额度需折算为人民币）或本基金的实际情况控制基金申购规模并暂停基金的申购，具体参见基金管理人届时发布的公告。</w:t>
      </w:r>
    </w:p>
    <w:p w14:paraId="7BB047BC" w14:textId="77777777" w:rsidR="0082364D" w:rsidRDefault="00BF2824">
      <w:pPr>
        <w:spacing w:line="360" w:lineRule="auto"/>
        <w:ind w:firstLine="480"/>
        <w:rPr>
          <w:color w:val="000000"/>
        </w:rPr>
      </w:pPr>
      <w:r>
        <w:rPr>
          <w:rFonts w:ascii="宋体" w:hAnsi="宋体"/>
          <w:color w:val="000000"/>
        </w:rPr>
        <w:t>（五）基金的认购份额面值、认购价格</w:t>
      </w:r>
    </w:p>
    <w:p w14:paraId="34BCEEF5" w14:textId="77777777" w:rsidR="0082364D" w:rsidRDefault="00BF2824">
      <w:pPr>
        <w:spacing w:line="360" w:lineRule="auto"/>
        <w:ind w:firstLineChars="200" w:firstLine="420"/>
        <w:jc w:val="left"/>
        <w:rPr>
          <w:rFonts w:ascii="宋体" w:hAnsi="宋体"/>
        </w:rPr>
      </w:pPr>
      <w:r>
        <w:rPr>
          <w:rFonts w:ascii="宋体" w:hAnsi="宋体"/>
        </w:rPr>
        <w:t>本基金以人民币发售</w:t>
      </w:r>
      <w:r>
        <w:rPr>
          <w:rFonts w:ascii="宋体" w:hAnsi="宋体" w:hint="eastAsia"/>
        </w:rPr>
        <w:t>，</w:t>
      </w:r>
      <w:r>
        <w:rPr>
          <w:rFonts w:ascii="宋体" w:hAnsi="宋体"/>
        </w:rPr>
        <w:t>本基金每份基金份额初始面值为1.00元，按初始面值发售。</w:t>
      </w:r>
    </w:p>
    <w:p w14:paraId="4F2809FD" w14:textId="77777777" w:rsidR="0082364D" w:rsidRDefault="00BF2824">
      <w:pPr>
        <w:spacing w:line="360" w:lineRule="auto"/>
        <w:ind w:firstLine="480"/>
        <w:rPr>
          <w:color w:val="000000"/>
        </w:rPr>
      </w:pPr>
      <w:r>
        <w:rPr>
          <w:rFonts w:ascii="宋体" w:hAnsi="宋体"/>
          <w:color w:val="000000"/>
        </w:rPr>
        <w:t>（六）认购程序</w:t>
      </w:r>
    </w:p>
    <w:p w14:paraId="4E1418B5" w14:textId="77777777" w:rsidR="0082364D" w:rsidRDefault="00BF2824">
      <w:pPr>
        <w:autoSpaceDE w:val="0"/>
        <w:autoSpaceDN w:val="0"/>
        <w:adjustRightInd w:val="0"/>
        <w:spacing w:line="360" w:lineRule="auto"/>
        <w:ind w:firstLineChars="192" w:firstLine="403"/>
        <w:rPr>
          <w:rFonts w:ascii="宋体" w:hAnsi="宋体"/>
          <w:kern w:val="0"/>
        </w:rPr>
      </w:pPr>
      <w:r>
        <w:rPr>
          <w:rFonts w:ascii="宋体" w:hAnsi="宋体"/>
          <w:kern w:val="0"/>
        </w:rPr>
        <w:t>投资者认购时间安排、认购时应提交的文件和办理的手续，详见本基金的基金份额发售公告。</w:t>
      </w:r>
    </w:p>
    <w:p w14:paraId="7404C3DF" w14:textId="77777777" w:rsidR="0082364D" w:rsidRDefault="00BF2824">
      <w:pPr>
        <w:spacing w:line="360" w:lineRule="auto"/>
        <w:ind w:firstLine="480"/>
        <w:rPr>
          <w:color w:val="000000"/>
        </w:rPr>
      </w:pPr>
      <w:r>
        <w:rPr>
          <w:rFonts w:ascii="宋体" w:hAnsi="宋体"/>
          <w:color w:val="000000"/>
        </w:rPr>
        <w:t>（七）认购费用</w:t>
      </w:r>
    </w:p>
    <w:p w14:paraId="75DB4655" w14:textId="77777777" w:rsidR="0082364D" w:rsidRDefault="00BF2824">
      <w:pPr>
        <w:spacing w:line="360" w:lineRule="auto"/>
        <w:ind w:firstLineChars="200" w:firstLine="420"/>
        <w:jc w:val="left"/>
        <w:rPr>
          <w:rFonts w:ascii="宋体" w:hAnsi="宋体"/>
        </w:rPr>
      </w:pPr>
      <w:r>
        <w:rPr>
          <w:rFonts w:ascii="宋体" w:hAnsi="宋体"/>
        </w:rPr>
        <w:t>认购费用由投资者承担,不高于0.8%,认购费率如下表所示：</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82364D" w14:paraId="287A6D8E" w14:textId="77777777">
        <w:trPr>
          <w:jc w:val="center"/>
        </w:trPr>
        <w:tc>
          <w:tcPr>
            <w:tcW w:w="2840" w:type="dxa"/>
          </w:tcPr>
          <w:p w14:paraId="782622B0" w14:textId="77777777" w:rsidR="0082364D" w:rsidRDefault="00BF2824">
            <w:pPr>
              <w:autoSpaceDE w:val="0"/>
              <w:autoSpaceDN w:val="0"/>
              <w:jc w:val="center"/>
              <w:rPr>
                <w:rFonts w:ascii="宋体" w:hAnsi="宋体"/>
                <w:b/>
                <w:kern w:val="0"/>
              </w:rPr>
            </w:pPr>
            <w:r>
              <w:rPr>
                <w:rFonts w:ascii="宋体" w:hAnsi="宋体"/>
                <w:b/>
                <w:kern w:val="0"/>
              </w:rPr>
              <w:t>认购份额</w:t>
            </w:r>
          </w:p>
        </w:tc>
        <w:tc>
          <w:tcPr>
            <w:tcW w:w="2841" w:type="dxa"/>
          </w:tcPr>
          <w:p w14:paraId="6A0DA4DC" w14:textId="77777777" w:rsidR="0082364D" w:rsidRDefault="00BF2824">
            <w:pPr>
              <w:autoSpaceDE w:val="0"/>
              <w:autoSpaceDN w:val="0"/>
              <w:ind w:leftChars="-57" w:left="-2" w:hangingChars="56" w:hanging="118"/>
              <w:jc w:val="center"/>
              <w:rPr>
                <w:rFonts w:ascii="宋体" w:hAnsi="宋体"/>
                <w:b/>
                <w:kern w:val="0"/>
              </w:rPr>
            </w:pPr>
            <w:r>
              <w:rPr>
                <w:rFonts w:ascii="宋体" w:hAnsi="宋体"/>
                <w:b/>
                <w:kern w:val="0"/>
              </w:rPr>
              <w:t>认购费率</w:t>
            </w:r>
          </w:p>
        </w:tc>
      </w:tr>
      <w:tr w:rsidR="0082364D" w14:paraId="7E6D3624" w14:textId="77777777">
        <w:trPr>
          <w:jc w:val="center"/>
        </w:trPr>
        <w:tc>
          <w:tcPr>
            <w:tcW w:w="2840" w:type="dxa"/>
          </w:tcPr>
          <w:p w14:paraId="7BC9AE0F" w14:textId="77777777" w:rsidR="0082364D" w:rsidRDefault="00BF2824">
            <w:pPr>
              <w:autoSpaceDE w:val="0"/>
              <w:autoSpaceDN w:val="0"/>
              <w:jc w:val="center"/>
              <w:rPr>
                <w:rFonts w:ascii="宋体" w:hAnsi="宋体"/>
              </w:rPr>
            </w:pPr>
            <w:r>
              <w:rPr>
                <w:rFonts w:hint="eastAsia"/>
              </w:rPr>
              <w:t>S</w:t>
            </w:r>
            <w:r>
              <w:rPr>
                <w:rFonts w:hint="eastAsia"/>
              </w:rPr>
              <w:t>＜</w:t>
            </w:r>
            <w:r>
              <w:rPr>
                <w:rFonts w:hint="eastAsia"/>
              </w:rPr>
              <w:t>50</w:t>
            </w:r>
            <w:r>
              <w:rPr>
                <w:rFonts w:hint="eastAsia"/>
              </w:rPr>
              <w:t>万份</w:t>
            </w:r>
          </w:p>
        </w:tc>
        <w:tc>
          <w:tcPr>
            <w:tcW w:w="2841" w:type="dxa"/>
          </w:tcPr>
          <w:p w14:paraId="1ACB2593" w14:textId="77777777" w:rsidR="0082364D" w:rsidRDefault="00BF2824">
            <w:pPr>
              <w:autoSpaceDE w:val="0"/>
              <w:autoSpaceDN w:val="0"/>
              <w:ind w:leftChars="-57" w:left="-2" w:hangingChars="56" w:hanging="118"/>
              <w:jc w:val="center"/>
              <w:rPr>
                <w:rFonts w:ascii="宋体" w:hAnsi="宋体"/>
              </w:rPr>
            </w:pPr>
            <w:r>
              <w:rPr>
                <w:rFonts w:hint="eastAsia"/>
              </w:rPr>
              <w:t>0.8%</w:t>
            </w:r>
          </w:p>
        </w:tc>
      </w:tr>
      <w:tr w:rsidR="0082364D" w14:paraId="515786F3" w14:textId="77777777">
        <w:trPr>
          <w:jc w:val="center"/>
        </w:trPr>
        <w:tc>
          <w:tcPr>
            <w:tcW w:w="2840" w:type="dxa"/>
          </w:tcPr>
          <w:p w14:paraId="3EC30DB2" w14:textId="77777777" w:rsidR="0082364D" w:rsidRDefault="00BF2824">
            <w:pPr>
              <w:autoSpaceDE w:val="0"/>
              <w:autoSpaceDN w:val="0"/>
              <w:jc w:val="center"/>
              <w:rPr>
                <w:rFonts w:ascii="宋体" w:hAnsi="宋体"/>
              </w:rPr>
            </w:pPr>
            <w:r>
              <w:rPr>
                <w:rFonts w:hint="eastAsia"/>
              </w:rPr>
              <w:t>50</w:t>
            </w:r>
            <w:r>
              <w:rPr>
                <w:rFonts w:hint="eastAsia"/>
              </w:rPr>
              <w:t>万份≤</w:t>
            </w:r>
            <w:r>
              <w:t>S</w:t>
            </w:r>
            <w:r>
              <w:rPr>
                <w:rFonts w:hint="eastAsia"/>
              </w:rPr>
              <w:t>＜</w:t>
            </w:r>
            <w:r>
              <w:rPr>
                <w:rFonts w:hint="eastAsia"/>
              </w:rPr>
              <w:t>100</w:t>
            </w:r>
            <w:r>
              <w:rPr>
                <w:rFonts w:hint="eastAsia"/>
              </w:rPr>
              <w:t>万份</w:t>
            </w:r>
          </w:p>
        </w:tc>
        <w:tc>
          <w:tcPr>
            <w:tcW w:w="2841" w:type="dxa"/>
          </w:tcPr>
          <w:p w14:paraId="5BF14100" w14:textId="77777777" w:rsidR="0082364D" w:rsidRDefault="00BF2824">
            <w:pPr>
              <w:autoSpaceDE w:val="0"/>
              <w:autoSpaceDN w:val="0"/>
              <w:ind w:leftChars="-57" w:left="-2" w:hangingChars="56" w:hanging="118"/>
              <w:jc w:val="center"/>
              <w:rPr>
                <w:rFonts w:ascii="宋体" w:hAnsi="宋体"/>
              </w:rPr>
            </w:pPr>
            <w:r>
              <w:rPr>
                <w:rFonts w:hint="eastAsia"/>
              </w:rPr>
              <w:t>0.5%</w:t>
            </w:r>
          </w:p>
        </w:tc>
      </w:tr>
      <w:tr w:rsidR="0082364D" w14:paraId="0E06E166" w14:textId="77777777">
        <w:trPr>
          <w:jc w:val="center"/>
        </w:trPr>
        <w:tc>
          <w:tcPr>
            <w:tcW w:w="2840" w:type="dxa"/>
          </w:tcPr>
          <w:p w14:paraId="25E0EBF9" w14:textId="77777777" w:rsidR="0082364D" w:rsidRDefault="00BF2824">
            <w:pPr>
              <w:autoSpaceDE w:val="0"/>
              <w:autoSpaceDN w:val="0"/>
              <w:jc w:val="center"/>
              <w:rPr>
                <w:rFonts w:ascii="宋体" w:hAnsi="宋体"/>
              </w:rPr>
            </w:pPr>
            <w:r>
              <w:t>S</w:t>
            </w:r>
            <w:r>
              <w:rPr>
                <w:rFonts w:hint="eastAsia"/>
              </w:rPr>
              <w:t>≥</w:t>
            </w:r>
            <w:r>
              <w:rPr>
                <w:rFonts w:hint="eastAsia"/>
              </w:rPr>
              <w:t>100</w:t>
            </w:r>
            <w:r>
              <w:rPr>
                <w:rFonts w:hint="eastAsia"/>
              </w:rPr>
              <w:t>万份</w:t>
            </w:r>
          </w:p>
        </w:tc>
        <w:tc>
          <w:tcPr>
            <w:tcW w:w="2841" w:type="dxa"/>
          </w:tcPr>
          <w:p w14:paraId="40C9852D" w14:textId="77777777" w:rsidR="0082364D" w:rsidRDefault="00BF2824">
            <w:pPr>
              <w:autoSpaceDE w:val="0"/>
              <w:autoSpaceDN w:val="0"/>
              <w:ind w:leftChars="-57" w:left="-2" w:hangingChars="56" w:hanging="118"/>
              <w:jc w:val="center"/>
              <w:rPr>
                <w:rFonts w:ascii="宋体" w:hAnsi="宋体"/>
              </w:rPr>
            </w:pPr>
            <w:r>
              <w:rPr>
                <w:rFonts w:hint="eastAsia"/>
              </w:rPr>
              <w:t>按笔收取，</w:t>
            </w:r>
            <w:r>
              <w:rPr>
                <w:rFonts w:hint="eastAsia"/>
              </w:rPr>
              <w:t>1000</w:t>
            </w:r>
            <w:r>
              <w:rPr>
                <w:rFonts w:hint="eastAsia"/>
              </w:rPr>
              <w:t>元</w:t>
            </w:r>
            <w:r>
              <w:rPr>
                <w:rFonts w:hint="eastAsia"/>
              </w:rPr>
              <w:t>/</w:t>
            </w:r>
            <w:r>
              <w:rPr>
                <w:rFonts w:hint="eastAsia"/>
              </w:rPr>
              <w:t>笔</w:t>
            </w:r>
          </w:p>
        </w:tc>
      </w:tr>
    </w:tbl>
    <w:p w14:paraId="3901B58F" w14:textId="77777777" w:rsidR="0082364D" w:rsidRDefault="00BF2824">
      <w:pPr>
        <w:spacing w:line="360" w:lineRule="auto"/>
        <w:ind w:firstLineChars="200" w:firstLine="420"/>
        <w:jc w:val="left"/>
        <w:rPr>
          <w:rFonts w:ascii="宋体" w:hAnsi="宋体"/>
        </w:rPr>
      </w:pPr>
      <w:r>
        <w:rPr>
          <w:rFonts w:ascii="宋体" w:hAnsi="宋体"/>
        </w:rPr>
        <w:t>基金管理人办理网下现金认购时按照上表所示费率收取认购费用。发售代理机构办理网上现金认购、网下现金认购时可参照上述费率结构收取一定的佣金。认购费用用于本基金的市场推广、销售、登记结算等募集期间发生的各项费用，不列入基金资产。</w:t>
      </w:r>
    </w:p>
    <w:p w14:paraId="119F0EEF" w14:textId="77777777" w:rsidR="0082364D" w:rsidRDefault="00BF2824">
      <w:pPr>
        <w:spacing w:line="360" w:lineRule="auto"/>
        <w:ind w:firstLine="480"/>
        <w:rPr>
          <w:color w:val="000000"/>
        </w:rPr>
      </w:pPr>
      <w:r>
        <w:rPr>
          <w:rFonts w:ascii="宋体" w:hAnsi="宋体"/>
          <w:color w:val="000000"/>
        </w:rPr>
        <w:t>（八）网上现金认购</w:t>
      </w:r>
    </w:p>
    <w:p w14:paraId="1E0CB474" w14:textId="77777777" w:rsidR="0082364D" w:rsidRDefault="00BF2824">
      <w:pPr>
        <w:spacing w:line="360" w:lineRule="auto"/>
        <w:ind w:firstLineChars="200" w:firstLine="420"/>
        <w:jc w:val="left"/>
        <w:rPr>
          <w:rFonts w:ascii="宋体" w:hAnsi="宋体"/>
        </w:rPr>
      </w:pPr>
      <w:r>
        <w:rPr>
          <w:rFonts w:ascii="宋体" w:hAnsi="宋体"/>
        </w:rPr>
        <w:t>1、认购时间：详见基金份额发售公告。</w:t>
      </w:r>
    </w:p>
    <w:p w14:paraId="68738082" w14:textId="77777777" w:rsidR="0082364D" w:rsidRDefault="00BF2824">
      <w:pPr>
        <w:spacing w:line="360" w:lineRule="auto"/>
        <w:ind w:firstLineChars="200" w:firstLine="420"/>
        <w:jc w:val="left"/>
        <w:rPr>
          <w:rFonts w:ascii="宋体" w:hAnsi="宋体"/>
          <w:shd w:val="pct10" w:color="auto" w:fill="FFFFFF"/>
        </w:rPr>
      </w:pPr>
      <w:r>
        <w:rPr>
          <w:rFonts w:ascii="宋体" w:hAnsi="宋体"/>
        </w:rPr>
        <w:t>2、认购限额：网上现金认购以基金份额申请。单一账户每笔认购份额需为1,000份或其整数倍。投资者可以多次认购,累计认购份额不设上限。</w:t>
      </w:r>
    </w:p>
    <w:p w14:paraId="3215E82C" w14:textId="77777777" w:rsidR="0082364D" w:rsidRDefault="00BF2824">
      <w:pPr>
        <w:spacing w:line="360" w:lineRule="auto"/>
        <w:ind w:firstLineChars="200" w:firstLine="420"/>
        <w:jc w:val="left"/>
        <w:rPr>
          <w:rFonts w:ascii="宋体" w:hAnsi="宋体"/>
        </w:rPr>
      </w:pPr>
      <w:r>
        <w:rPr>
          <w:rFonts w:ascii="宋体" w:hAnsi="宋体"/>
        </w:rPr>
        <w:t>3、认购申请：投资者在认购本基金时,需按发售代理机构的规定备足认购资金,办理认购手续。</w:t>
      </w:r>
      <w:r>
        <w:rPr>
          <w:rFonts w:ascii="宋体" w:hAnsi="宋体" w:hint="eastAsia"/>
        </w:rPr>
        <w:t>投资者在基金份额募集期间可以重复认购，认购申报提交后，不得撤销。</w:t>
      </w:r>
    </w:p>
    <w:p w14:paraId="0D78BDDF" w14:textId="77777777" w:rsidR="0082364D" w:rsidRDefault="00BF2824">
      <w:pPr>
        <w:spacing w:line="360" w:lineRule="auto"/>
        <w:ind w:firstLineChars="200" w:firstLine="420"/>
        <w:jc w:val="left"/>
        <w:rPr>
          <w:rFonts w:ascii="宋体" w:hAnsi="宋体"/>
        </w:rPr>
      </w:pPr>
      <w:r>
        <w:rPr>
          <w:rFonts w:ascii="宋体" w:hAnsi="宋体"/>
        </w:rPr>
        <w:t>4、认购佣金和认购金额的计算</w:t>
      </w:r>
    </w:p>
    <w:p w14:paraId="6C18DE57" w14:textId="77777777" w:rsidR="0082364D" w:rsidRDefault="00BF2824">
      <w:pPr>
        <w:spacing w:line="360" w:lineRule="auto"/>
        <w:ind w:firstLineChars="200" w:firstLine="420"/>
        <w:jc w:val="left"/>
        <w:rPr>
          <w:rFonts w:ascii="宋体" w:hAnsi="宋体"/>
          <w:szCs w:val="21"/>
        </w:rPr>
      </w:pPr>
      <w:r>
        <w:rPr>
          <w:rFonts w:ascii="宋体" w:hAnsi="宋体"/>
        </w:rPr>
        <w:t>认购金额＝认购价格 ×认购份额×</w:t>
      </w:r>
      <w:r>
        <w:rPr>
          <w:rFonts w:ascii="宋体" w:hAnsi="宋体" w:hint="eastAsia"/>
          <w:szCs w:val="21"/>
        </w:rPr>
        <w:t>（</w:t>
      </w:r>
      <w:r>
        <w:rPr>
          <w:rFonts w:ascii="宋体" w:hAnsi="宋体"/>
        </w:rPr>
        <w:t>1＋</w:t>
      </w:r>
      <w:r>
        <w:rPr>
          <w:rFonts w:ascii="宋体" w:hAnsi="宋体" w:hint="eastAsia"/>
        </w:rPr>
        <w:t>认购费率</w:t>
      </w:r>
      <w:r>
        <w:rPr>
          <w:rFonts w:ascii="宋体" w:hAnsi="宋体" w:hint="eastAsia"/>
          <w:szCs w:val="21"/>
        </w:rPr>
        <w:t>）</w:t>
      </w:r>
    </w:p>
    <w:p w14:paraId="111690A4" w14:textId="77777777" w:rsidR="0082364D" w:rsidRDefault="00BF2824">
      <w:pPr>
        <w:spacing w:line="360" w:lineRule="auto"/>
        <w:ind w:firstLineChars="200" w:firstLine="420"/>
        <w:jc w:val="left"/>
        <w:rPr>
          <w:rFonts w:ascii="宋体" w:hAnsi="宋体"/>
        </w:rPr>
      </w:pPr>
      <w:r>
        <w:rPr>
          <w:rFonts w:ascii="宋体" w:hAnsi="宋体" w:hint="eastAsia"/>
        </w:rPr>
        <w:lastRenderedPageBreak/>
        <w:t>（或若适用固定费用的，认购金额＝认购价格×认购份额＋固定费用）</w:t>
      </w:r>
    </w:p>
    <w:p w14:paraId="29B79FBF" w14:textId="77777777" w:rsidR="0082364D" w:rsidRDefault="00BF2824">
      <w:pPr>
        <w:spacing w:line="360" w:lineRule="auto"/>
        <w:ind w:firstLineChars="200" w:firstLine="420"/>
        <w:jc w:val="left"/>
        <w:rPr>
          <w:rFonts w:ascii="宋体" w:hAnsi="宋体"/>
        </w:rPr>
      </w:pPr>
      <w:r>
        <w:rPr>
          <w:rFonts w:ascii="宋体" w:hAnsi="宋体"/>
        </w:rPr>
        <w:t>认购佣金＝认购价格 ×认购份额×</w:t>
      </w:r>
      <w:r>
        <w:rPr>
          <w:rFonts w:ascii="宋体" w:hAnsi="宋体" w:hint="eastAsia"/>
        </w:rPr>
        <w:t>认购费率</w:t>
      </w:r>
    </w:p>
    <w:p w14:paraId="047836C3" w14:textId="77777777" w:rsidR="0082364D" w:rsidRDefault="00BF2824">
      <w:pPr>
        <w:spacing w:line="360" w:lineRule="auto"/>
        <w:ind w:firstLineChars="200" w:firstLine="420"/>
        <w:jc w:val="left"/>
        <w:rPr>
          <w:rFonts w:ascii="宋体" w:hAnsi="宋体"/>
        </w:rPr>
      </w:pPr>
      <w:r>
        <w:rPr>
          <w:rFonts w:ascii="宋体" w:hAnsi="宋体" w:hint="eastAsia"/>
        </w:rPr>
        <w:t>（或若适用固定费用的，认购佣金＝固定费用）</w:t>
      </w:r>
    </w:p>
    <w:p w14:paraId="12D97830" w14:textId="77777777" w:rsidR="0082364D" w:rsidRDefault="00BF2824">
      <w:pPr>
        <w:spacing w:line="360" w:lineRule="auto"/>
        <w:ind w:firstLineChars="200" w:firstLine="420"/>
        <w:jc w:val="left"/>
        <w:rPr>
          <w:rFonts w:ascii="宋体" w:hAnsi="宋体"/>
        </w:rPr>
      </w:pPr>
      <w:r>
        <w:rPr>
          <w:rFonts w:ascii="宋体" w:hAnsi="宋体"/>
        </w:rPr>
        <w:t>5、清算交收：</w:t>
      </w:r>
      <w:r>
        <w:rPr>
          <w:rFonts w:ascii="宋体" w:hAnsi="宋体" w:hint="eastAsia"/>
        </w:rPr>
        <w:t>投资者提交的认购委托，由登记结算机构进行有效认购款项的清算交收。</w:t>
      </w:r>
    </w:p>
    <w:p w14:paraId="3BE47665" w14:textId="77777777" w:rsidR="0082364D" w:rsidRDefault="00BF2824">
      <w:pPr>
        <w:spacing w:line="360" w:lineRule="auto"/>
        <w:ind w:firstLineChars="200" w:firstLine="420"/>
        <w:jc w:val="left"/>
        <w:rPr>
          <w:color w:val="000000"/>
        </w:rPr>
      </w:pPr>
      <w:r>
        <w:rPr>
          <w:rFonts w:ascii="宋体" w:hAnsi="宋体"/>
          <w:color w:val="000000"/>
        </w:rPr>
        <w:t>（九）网下现金认购</w:t>
      </w:r>
    </w:p>
    <w:p w14:paraId="469ED9EE" w14:textId="77777777" w:rsidR="0082364D" w:rsidRDefault="00BF2824">
      <w:pPr>
        <w:spacing w:line="360" w:lineRule="auto"/>
        <w:ind w:firstLineChars="200" w:firstLine="420"/>
        <w:jc w:val="left"/>
        <w:rPr>
          <w:rFonts w:ascii="宋体" w:hAnsi="宋体"/>
        </w:rPr>
      </w:pPr>
      <w:r>
        <w:rPr>
          <w:rFonts w:ascii="宋体" w:hAnsi="宋体"/>
        </w:rPr>
        <w:t>1、认购时间：详见基金份额发售公告。</w:t>
      </w:r>
    </w:p>
    <w:p w14:paraId="571B661D" w14:textId="77777777" w:rsidR="0082364D" w:rsidRDefault="00BF2824">
      <w:pPr>
        <w:spacing w:line="360" w:lineRule="auto"/>
        <w:ind w:firstLineChars="200" w:firstLine="420"/>
        <w:jc w:val="left"/>
        <w:rPr>
          <w:rFonts w:ascii="宋体" w:hAnsi="宋体"/>
        </w:rPr>
      </w:pPr>
      <w:r>
        <w:rPr>
          <w:rFonts w:ascii="宋体" w:hAnsi="宋体"/>
        </w:rPr>
        <w:t>2、认购限额：网下现金认购以基金份额申请。</w:t>
      </w:r>
      <w:r>
        <w:rPr>
          <w:rFonts w:ascii="宋体" w:hAnsi="宋体"/>
          <w:color w:val="000000"/>
        </w:rPr>
        <w:t>投资者通过发售代理机构办理网下现金认购的，每笔认购份额须为1,000份或其整数倍，</w:t>
      </w:r>
      <w:r>
        <w:rPr>
          <w:rFonts w:ascii="宋体" w:hAnsi="宋体"/>
        </w:rPr>
        <w:t>投资者通过基金管理人办理网下现金认购的,每笔认购份额须在5万份以上</w:t>
      </w:r>
      <w:r>
        <w:rPr>
          <w:rFonts w:ascii="宋体" w:hAnsi="宋体" w:hint="eastAsia"/>
        </w:rPr>
        <w:t>（</w:t>
      </w:r>
      <w:r>
        <w:rPr>
          <w:rFonts w:ascii="宋体" w:hAnsi="宋体"/>
        </w:rPr>
        <w:t>含5万份</w:t>
      </w:r>
      <w:r>
        <w:rPr>
          <w:rFonts w:ascii="宋体" w:hAnsi="宋体" w:hint="eastAsia"/>
        </w:rPr>
        <w:t>）</w:t>
      </w:r>
      <w:r>
        <w:rPr>
          <w:rFonts w:ascii="宋体" w:hAnsi="宋体"/>
        </w:rPr>
        <w:t>。投资者可以多次认购,累计认购份额不设上限。</w:t>
      </w:r>
    </w:p>
    <w:p w14:paraId="51293A87" w14:textId="77777777" w:rsidR="0082364D" w:rsidRDefault="00BF2824">
      <w:pPr>
        <w:spacing w:line="360" w:lineRule="auto"/>
        <w:ind w:firstLineChars="200" w:firstLine="420"/>
        <w:jc w:val="left"/>
        <w:rPr>
          <w:rFonts w:ascii="宋体" w:hAnsi="宋体"/>
        </w:rPr>
      </w:pPr>
      <w:r>
        <w:rPr>
          <w:rFonts w:ascii="宋体" w:hAnsi="宋体"/>
        </w:rPr>
        <w:t>3、</w:t>
      </w:r>
      <w:r>
        <w:rPr>
          <w:rFonts w:ascii="宋体" w:hAnsi="宋体"/>
          <w:color w:val="000000"/>
        </w:rPr>
        <w:t>通过基金管理人进行网下现金认购的投资者，认购申请一经受理不得撤销</w:t>
      </w:r>
      <w:r>
        <w:rPr>
          <w:rFonts w:ascii="宋体" w:hAnsi="宋体"/>
        </w:rPr>
        <w:t>，投资者在认购本基金时,需按基金管理人的规定办理相关认购手续,并备足认购资金，认购金额和利息折算的份额</w:t>
      </w:r>
      <w:r>
        <w:rPr>
          <w:rFonts w:ascii="宋体" w:hAnsi="宋体"/>
          <w:color w:val="000000"/>
        </w:rPr>
        <w:t>的计算公式为：</w:t>
      </w:r>
      <w:r>
        <w:rPr>
          <w:rFonts w:ascii="宋体" w:hAnsi="宋体"/>
        </w:rPr>
        <w:t xml:space="preserve"> </w:t>
      </w:r>
    </w:p>
    <w:p w14:paraId="35B73EA3" w14:textId="77777777" w:rsidR="0082364D" w:rsidRDefault="00BF2824">
      <w:pPr>
        <w:spacing w:line="360" w:lineRule="auto"/>
        <w:ind w:firstLineChars="200" w:firstLine="420"/>
        <w:jc w:val="left"/>
        <w:rPr>
          <w:rFonts w:ascii="宋体" w:hAnsi="宋体"/>
        </w:rPr>
      </w:pPr>
      <w:r>
        <w:rPr>
          <w:rFonts w:ascii="宋体" w:hAnsi="宋体"/>
        </w:rPr>
        <w:t>认购金额＝认购价格×认购份额×（1＋认购费率）</w:t>
      </w:r>
    </w:p>
    <w:p w14:paraId="51EAB4C7" w14:textId="77777777" w:rsidR="0082364D" w:rsidRDefault="00BF2824">
      <w:pPr>
        <w:spacing w:line="360" w:lineRule="auto"/>
        <w:ind w:firstLineChars="200" w:firstLine="420"/>
        <w:jc w:val="left"/>
        <w:rPr>
          <w:rFonts w:ascii="宋体" w:hAnsi="宋体"/>
        </w:rPr>
      </w:pPr>
      <w:r>
        <w:rPr>
          <w:rFonts w:ascii="宋体" w:hAnsi="宋体" w:hint="eastAsia"/>
        </w:rPr>
        <w:t>（或若适用固定费用的，认购金额＝认购价格×认购份额＋固定费用）</w:t>
      </w:r>
    </w:p>
    <w:p w14:paraId="34260DA9" w14:textId="77777777" w:rsidR="0082364D" w:rsidRDefault="00BF2824">
      <w:pPr>
        <w:spacing w:line="360" w:lineRule="auto"/>
        <w:ind w:firstLineChars="200" w:firstLine="420"/>
        <w:jc w:val="left"/>
        <w:rPr>
          <w:rFonts w:ascii="宋体" w:hAnsi="宋体"/>
        </w:rPr>
      </w:pPr>
      <w:r>
        <w:rPr>
          <w:rFonts w:ascii="宋体" w:hAnsi="宋体"/>
        </w:rPr>
        <w:t>认购费用＝认购价格×认购份额×认购费率</w:t>
      </w:r>
    </w:p>
    <w:p w14:paraId="32E6DE4B" w14:textId="77777777" w:rsidR="0082364D" w:rsidRDefault="00BF2824">
      <w:pPr>
        <w:spacing w:line="360" w:lineRule="auto"/>
        <w:ind w:firstLineChars="200" w:firstLine="420"/>
        <w:jc w:val="left"/>
        <w:rPr>
          <w:rFonts w:ascii="宋体" w:hAnsi="宋体"/>
        </w:rPr>
      </w:pPr>
      <w:r>
        <w:rPr>
          <w:rFonts w:ascii="宋体" w:hAnsi="宋体" w:hint="eastAsia"/>
        </w:rPr>
        <w:t>（或若适用固定费用的，认购费用＝固定费用）</w:t>
      </w:r>
    </w:p>
    <w:p w14:paraId="5DEAAB2D" w14:textId="77777777" w:rsidR="0082364D" w:rsidRDefault="00BF2824">
      <w:pPr>
        <w:spacing w:line="360" w:lineRule="auto"/>
        <w:ind w:firstLineChars="200" w:firstLine="420"/>
        <w:jc w:val="left"/>
        <w:rPr>
          <w:rFonts w:ascii="宋体" w:hAnsi="宋体"/>
        </w:rPr>
      </w:pPr>
      <w:r>
        <w:rPr>
          <w:rFonts w:ascii="宋体" w:hAnsi="宋体"/>
        </w:rPr>
        <w:t>利息折算的份额＝利息/认购价格</w:t>
      </w:r>
    </w:p>
    <w:p w14:paraId="0EB5C594" w14:textId="77777777" w:rsidR="0082364D" w:rsidRDefault="00BF2824">
      <w:pPr>
        <w:spacing w:line="360" w:lineRule="auto"/>
        <w:ind w:firstLineChars="200" w:firstLine="420"/>
        <w:jc w:val="left"/>
        <w:rPr>
          <w:rFonts w:ascii="宋体" w:hAnsi="宋体"/>
        </w:rPr>
      </w:pPr>
      <w:r>
        <w:rPr>
          <w:rFonts w:ascii="宋体" w:hAnsi="宋体"/>
        </w:rPr>
        <w:t>通过发售代理机构进行网下现金认购的认购金额的计算同通过发售代理机构进行网上现金认购的认购金额的计算。</w:t>
      </w:r>
    </w:p>
    <w:p w14:paraId="6E696547" w14:textId="77777777" w:rsidR="0082364D" w:rsidRDefault="00BF2824">
      <w:pPr>
        <w:spacing w:line="360" w:lineRule="auto"/>
        <w:ind w:firstLineChars="200" w:firstLine="420"/>
        <w:jc w:val="left"/>
        <w:rPr>
          <w:rFonts w:ascii="宋体" w:hAnsi="宋体"/>
        </w:rPr>
      </w:pPr>
      <w:r>
        <w:rPr>
          <w:rFonts w:ascii="宋体" w:hAnsi="宋体" w:hint="eastAsia"/>
        </w:rPr>
        <w:t>4、清算交收：通过基金管理人提交的网下现金认购申请，由基金管理人进行有效认购款项的清算交收。通过发售代理机构提交的网下现金认购申请，由登记结算机构进行有效认购款项的清算交收。</w:t>
      </w:r>
    </w:p>
    <w:p w14:paraId="5C5F3C91" w14:textId="77777777" w:rsidR="0082364D" w:rsidRDefault="00BF2824">
      <w:pPr>
        <w:spacing w:line="360" w:lineRule="auto"/>
        <w:ind w:firstLineChars="200" w:firstLine="420"/>
        <w:jc w:val="left"/>
      </w:pPr>
      <w:r>
        <w:rPr>
          <w:rFonts w:ascii="宋体" w:hAnsi="宋体"/>
        </w:rPr>
        <w:t>（十）募集资金利息的处理方式</w:t>
      </w:r>
    </w:p>
    <w:p w14:paraId="4CA3768B" w14:textId="77777777" w:rsidR="0082364D" w:rsidRDefault="00BF2824">
      <w:pPr>
        <w:spacing w:line="360" w:lineRule="auto"/>
        <w:ind w:firstLineChars="200" w:firstLine="420"/>
        <w:jc w:val="left"/>
        <w:rPr>
          <w:rFonts w:ascii="宋体" w:hAnsi="宋体"/>
        </w:rPr>
      </w:pPr>
      <w:r>
        <w:rPr>
          <w:rFonts w:ascii="宋体" w:hAnsi="宋体"/>
        </w:rPr>
        <w:t>通过基金管理人进行网下现金认购</w:t>
      </w:r>
      <w:r>
        <w:rPr>
          <w:rFonts w:ascii="宋体" w:hAnsi="宋体" w:hint="eastAsia"/>
        </w:rPr>
        <w:t>及</w:t>
      </w:r>
      <w:r>
        <w:rPr>
          <w:rFonts w:ascii="宋体" w:hAnsi="宋体"/>
        </w:rPr>
        <w:t>网上现金认购的有效认购资金在募集期间产生的利息将折算为基金份额归基金份额持有人所有，其中利息以基金管理人</w:t>
      </w:r>
      <w:r>
        <w:rPr>
          <w:rFonts w:ascii="宋体" w:hAnsi="宋体" w:hint="eastAsia"/>
        </w:rPr>
        <w:t>和/或登记结算机构</w:t>
      </w:r>
      <w:r>
        <w:rPr>
          <w:rFonts w:ascii="宋体" w:hAnsi="宋体"/>
        </w:rPr>
        <w:t>的记录为准。</w:t>
      </w:r>
    </w:p>
    <w:p w14:paraId="3607939B" w14:textId="77777777" w:rsidR="0082364D" w:rsidRDefault="00BF2824">
      <w:pPr>
        <w:spacing w:line="360" w:lineRule="auto"/>
        <w:ind w:firstLineChars="200" w:firstLine="420"/>
        <w:jc w:val="left"/>
      </w:pPr>
      <w:r>
        <w:rPr>
          <w:rFonts w:ascii="宋体" w:hAnsi="宋体"/>
        </w:rPr>
        <w:t>（十</w:t>
      </w:r>
      <w:r>
        <w:rPr>
          <w:rFonts w:ascii="宋体" w:hAnsi="宋体" w:hint="eastAsia"/>
        </w:rPr>
        <w:t>一</w:t>
      </w:r>
      <w:r>
        <w:rPr>
          <w:rFonts w:ascii="宋体" w:hAnsi="宋体"/>
        </w:rPr>
        <w:t>）募集期间的资金与费用</w:t>
      </w:r>
    </w:p>
    <w:p w14:paraId="5BB6645E" w14:textId="77777777" w:rsidR="0082364D" w:rsidRDefault="00BF2824">
      <w:pPr>
        <w:spacing w:line="360" w:lineRule="auto"/>
        <w:ind w:firstLineChars="200" w:firstLine="420"/>
        <w:jc w:val="left"/>
        <w:rPr>
          <w:rFonts w:ascii="宋体" w:hAnsi="宋体"/>
          <w:color w:val="000000"/>
        </w:rPr>
      </w:pPr>
      <w:r>
        <w:rPr>
          <w:rFonts w:ascii="宋体" w:hAnsi="宋体"/>
          <w:color w:val="000000"/>
        </w:rPr>
        <w:t>基金募集期间募集的资金应当存入专门账户，在基金募集行为结束前，任何人不得动</w:t>
      </w:r>
      <w:r>
        <w:rPr>
          <w:rFonts w:ascii="宋体" w:hAnsi="宋体"/>
          <w:color w:val="000000"/>
        </w:rPr>
        <w:lastRenderedPageBreak/>
        <w:t>用。</w:t>
      </w:r>
    </w:p>
    <w:p w14:paraId="7F3559CA" w14:textId="77777777" w:rsidR="0082364D" w:rsidRDefault="00BF2824">
      <w:pPr>
        <w:spacing w:line="360" w:lineRule="auto"/>
        <w:ind w:firstLineChars="200" w:firstLine="420"/>
        <w:jc w:val="left"/>
        <w:rPr>
          <w:rFonts w:ascii="宋体" w:hAnsi="宋体"/>
        </w:rPr>
      </w:pPr>
      <w:r>
        <w:rPr>
          <w:rFonts w:ascii="宋体" w:hAnsi="宋体"/>
        </w:rPr>
        <w:t>基金募集期间的信息披露费、会计师费、律师费以及其他费用,不得从基金财产中列支。</w:t>
      </w:r>
      <w:bookmarkStart w:id="43" w:name="_Toc283892775"/>
      <w:bookmarkStart w:id="44" w:name="_Toc283892827"/>
      <w:bookmarkStart w:id="45" w:name="_Toc283892147"/>
    </w:p>
    <w:p w14:paraId="3CC28CF3" w14:textId="77777777" w:rsidR="0082364D" w:rsidRDefault="00BF2824">
      <w:pPr>
        <w:spacing w:line="360" w:lineRule="auto"/>
        <w:ind w:firstLineChars="200" w:firstLine="420"/>
        <w:jc w:val="left"/>
        <w:rPr>
          <w:rFonts w:ascii="宋体" w:hAnsi="宋体"/>
        </w:rPr>
      </w:pPr>
      <w:r>
        <w:rPr>
          <w:rFonts w:ascii="宋体" w:hAnsi="宋体" w:hint="eastAsia"/>
        </w:rPr>
        <w:t>（十二）</w:t>
      </w:r>
      <w:r>
        <w:rPr>
          <w:rFonts w:ascii="宋体" w:hAnsi="宋体"/>
        </w:rPr>
        <w:t>ETF联接基金</w:t>
      </w:r>
    </w:p>
    <w:p w14:paraId="0EA615C8" w14:textId="77777777" w:rsidR="0082364D" w:rsidRDefault="00BF2824">
      <w:pPr>
        <w:spacing w:line="360" w:lineRule="auto"/>
        <w:ind w:firstLineChars="200" w:firstLine="420"/>
        <w:jc w:val="left"/>
        <w:rPr>
          <w:rFonts w:ascii="宋体" w:hAnsi="宋体"/>
          <w:bCs/>
        </w:rPr>
      </w:pPr>
      <w:r>
        <w:rPr>
          <w:rFonts w:ascii="宋体" w:hAnsi="宋体" w:hint="eastAsia"/>
          <w:bCs/>
        </w:rPr>
        <w:t>若未来基金管理人在</w:t>
      </w:r>
      <w:r>
        <w:rPr>
          <w:rFonts w:ascii="宋体" w:hAnsi="宋体"/>
          <w:bCs/>
        </w:rPr>
        <w:t>本基金基金合同生效后管理本基金的联接基金，该ETF联接基金将投资于本基金，与本基金跟踪同一标的指数。</w:t>
      </w:r>
    </w:p>
    <w:p w14:paraId="1666D585" w14:textId="77777777" w:rsidR="0082364D" w:rsidRDefault="00BF2824">
      <w:pPr>
        <w:spacing w:line="360" w:lineRule="auto"/>
        <w:ind w:firstLineChars="200" w:firstLine="420"/>
        <w:jc w:val="left"/>
        <w:rPr>
          <w:rFonts w:ascii="宋体" w:hAnsi="宋体"/>
        </w:rPr>
      </w:pPr>
      <w:r>
        <w:rPr>
          <w:rFonts w:ascii="宋体" w:hAnsi="宋体" w:hint="eastAsia"/>
        </w:rPr>
        <w:t>（十三）在不违反法律法规规定且对基金份额持有人利益无实质不利影响的前提下，基金管理人可根据基金发展需要，经与基金托管人协商一致并履行相关程序后，为本基金增设基金份额类别，或开通场外申购、赎回相关业务并制定、公布相应的交易规则等，无须召开基金份额持有人大会审议。有关基金份额类别的具体规则等相关事项届时将另行公告。</w:t>
      </w:r>
    </w:p>
    <w:p w14:paraId="021A1035" w14:textId="77777777" w:rsidR="0082364D" w:rsidRDefault="0082364D">
      <w:pPr>
        <w:spacing w:line="360" w:lineRule="auto"/>
        <w:ind w:firstLineChars="200" w:firstLine="420"/>
        <w:jc w:val="left"/>
        <w:rPr>
          <w:rFonts w:ascii="宋体" w:hAnsi="宋体"/>
        </w:rPr>
      </w:pPr>
    </w:p>
    <w:p w14:paraId="3CEC8045" w14:textId="77777777" w:rsidR="0082364D" w:rsidRDefault="00BF2824">
      <w:pPr>
        <w:pStyle w:val="1"/>
        <w:spacing w:before="120" w:after="120" w:line="360" w:lineRule="auto"/>
        <w:jc w:val="center"/>
        <w:rPr>
          <w:rFonts w:ascii="宋体" w:hAnsi="宋体"/>
          <w:sz w:val="28"/>
        </w:rPr>
      </w:pPr>
      <w:r>
        <w:rPr>
          <w:rFonts w:ascii="宋体" w:hAnsi="宋体"/>
          <w:sz w:val="28"/>
          <w:szCs w:val="28"/>
        </w:rPr>
        <w:br w:type="page"/>
      </w:r>
      <w:bookmarkStart w:id="46" w:name="_Toc353291717"/>
      <w:bookmarkStart w:id="47" w:name="_Toc108598518"/>
      <w:bookmarkStart w:id="48" w:name="_Toc449605665"/>
      <w:r>
        <w:rPr>
          <w:rFonts w:ascii="宋体" w:hAnsi="宋体"/>
          <w:sz w:val="28"/>
        </w:rPr>
        <w:lastRenderedPageBreak/>
        <w:t>七、基金合同的生效</w:t>
      </w:r>
      <w:bookmarkEnd w:id="43"/>
      <w:bookmarkEnd w:id="44"/>
      <w:bookmarkEnd w:id="45"/>
      <w:bookmarkEnd w:id="46"/>
      <w:bookmarkEnd w:id="47"/>
      <w:bookmarkEnd w:id="48"/>
    </w:p>
    <w:p w14:paraId="5801A7B1" w14:textId="77777777" w:rsidR="0082364D" w:rsidRDefault="00BF2824">
      <w:pPr>
        <w:spacing w:line="360" w:lineRule="auto"/>
        <w:ind w:firstLineChars="200" w:firstLine="420"/>
        <w:jc w:val="left"/>
        <w:rPr>
          <w:rFonts w:ascii="宋体" w:hAnsi="宋体"/>
        </w:rPr>
      </w:pPr>
      <w:bookmarkStart w:id="49" w:name="_Hlk38651945"/>
      <w:r>
        <w:rPr>
          <w:rFonts w:ascii="宋体" w:hAnsi="宋体" w:hint="eastAsia"/>
        </w:rPr>
        <w:t>（一）基金备案的条件</w:t>
      </w:r>
    </w:p>
    <w:p w14:paraId="528B0CDD" w14:textId="77777777" w:rsidR="0082364D" w:rsidRDefault="00BF2824">
      <w:pPr>
        <w:spacing w:line="360" w:lineRule="auto"/>
        <w:ind w:firstLineChars="200" w:firstLine="420"/>
        <w:jc w:val="left"/>
        <w:rPr>
          <w:rFonts w:ascii="宋体" w:hAnsi="宋体"/>
          <w:bCs/>
        </w:rPr>
      </w:pPr>
      <w:r>
        <w:rPr>
          <w:rFonts w:ascii="宋体" w:hAnsi="宋体"/>
          <w:bCs/>
        </w:rPr>
        <w:t>本基金自基金份额发售之日起3个月内，在基金募集份额总额不少于2亿份，基金募集金额不少于2亿元人民币且基金份额有效认购人数不少于200人的条件下，</w:t>
      </w:r>
      <w:r>
        <w:rPr>
          <w:rFonts w:ascii="宋体" w:hAnsi="宋体" w:hint="eastAsia"/>
          <w:bCs/>
        </w:rPr>
        <w:t>基金</w:t>
      </w:r>
      <w:r>
        <w:rPr>
          <w:rFonts w:ascii="宋体" w:hAnsi="宋体"/>
          <w:bCs/>
        </w:rPr>
        <w:t>募集期届满或基金管理人依据法律法规及招募说明书可以决定停止基金发售，并在募集结束之日起10日内聘请法定验资机构验资，自收到验资报告之日起10日内，向中国证监会办理基金备案手续。</w:t>
      </w:r>
    </w:p>
    <w:p w14:paraId="3B7952C7" w14:textId="77777777" w:rsidR="0082364D" w:rsidRDefault="00BF2824">
      <w:pPr>
        <w:spacing w:line="360" w:lineRule="auto"/>
        <w:ind w:firstLineChars="200" w:firstLine="420"/>
        <w:jc w:val="left"/>
        <w:rPr>
          <w:rFonts w:ascii="宋体" w:hAnsi="宋体"/>
          <w:bCs/>
        </w:rPr>
      </w:pPr>
      <w:r>
        <w:rPr>
          <w:rFonts w:ascii="宋体" w:hAnsi="宋体"/>
          <w:bCs/>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r>
        <w:rPr>
          <w:rFonts w:ascii="宋体" w:hAnsi="宋体" w:hint="eastAsia"/>
          <w:bCs/>
        </w:rPr>
        <w:t>基金管理人应将基金募集期间募集的资金存入专门账户，在基金募集行为结束前，任何人不得动用。</w:t>
      </w:r>
    </w:p>
    <w:p w14:paraId="386963A0" w14:textId="77777777" w:rsidR="0082364D" w:rsidRDefault="00BF2824">
      <w:pPr>
        <w:spacing w:line="360" w:lineRule="auto"/>
        <w:ind w:firstLineChars="200" w:firstLine="420"/>
        <w:jc w:val="left"/>
        <w:rPr>
          <w:rFonts w:ascii="宋体" w:hAnsi="宋体"/>
        </w:rPr>
      </w:pPr>
      <w:r>
        <w:rPr>
          <w:rFonts w:ascii="宋体" w:hAnsi="宋体" w:hint="eastAsia"/>
        </w:rPr>
        <w:t>（二）基金合同不能生效时募集资金的处理方式</w:t>
      </w:r>
    </w:p>
    <w:p w14:paraId="3E1FC7F8" w14:textId="77777777" w:rsidR="0082364D" w:rsidRDefault="00BF2824">
      <w:pPr>
        <w:spacing w:line="360" w:lineRule="auto"/>
        <w:ind w:firstLineChars="200" w:firstLine="420"/>
        <w:jc w:val="left"/>
        <w:rPr>
          <w:rFonts w:ascii="宋体" w:hAnsi="宋体"/>
          <w:bCs/>
        </w:rPr>
      </w:pPr>
      <w:r>
        <w:rPr>
          <w:rFonts w:ascii="宋体" w:hAnsi="宋体"/>
          <w:bCs/>
        </w:rPr>
        <w:t>如果募集期限届满，未满足</w:t>
      </w:r>
      <w:r>
        <w:rPr>
          <w:rFonts w:ascii="宋体" w:hAnsi="宋体" w:hint="eastAsia"/>
          <w:bCs/>
        </w:rPr>
        <w:t>基金</w:t>
      </w:r>
      <w:r>
        <w:rPr>
          <w:rFonts w:ascii="宋体" w:hAnsi="宋体"/>
          <w:bCs/>
        </w:rPr>
        <w:t>备案条件，基金管理人应当承担下列责任：</w:t>
      </w:r>
    </w:p>
    <w:p w14:paraId="64473C93" w14:textId="77777777" w:rsidR="0082364D" w:rsidRDefault="00BF2824">
      <w:pPr>
        <w:spacing w:line="360" w:lineRule="auto"/>
        <w:ind w:firstLineChars="200" w:firstLine="420"/>
        <w:jc w:val="left"/>
        <w:rPr>
          <w:rFonts w:ascii="宋体" w:hAnsi="宋体"/>
          <w:bCs/>
        </w:rPr>
      </w:pPr>
      <w:r>
        <w:rPr>
          <w:rFonts w:ascii="宋体" w:hAnsi="宋体"/>
          <w:bCs/>
        </w:rPr>
        <w:t>1、以其固有财产承担因募集行为而产生的债务和费用；</w:t>
      </w:r>
    </w:p>
    <w:p w14:paraId="1BEBB82F" w14:textId="77777777" w:rsidR="0082364D" w:rsidRDefault="00BF2824">
      <w:pPr>
        <w:spacing w:line="360" w:lineRule="auto"/>
        <w:ind w:firstLineChars="200" w:firstLine="420"/>
        <w:jc w:val="left"/>
        <w:rPr>
          <w:rFonts w:ascii="宋体" w:hAnsi="宋体"/>
          <w:bCs/>
        </w:rPr>
      </w:pPr>
      <w:r>
        <w:rPr>
          <w:rFonts w:ascii="宋体" w:hAnsi="宋体"/>
          <w:bCs/>
        </w:rPr>
        <w:t>2、在基金募集期限届满后30日内返还投资者已缴纳的款项</w:t>
      </w:r>
      <w:r>
        <w:rPr>
          <w:rFonts w:ascii="宋体" w:hAnsi="宋体" w:hint="eastAsia"/>
          <w:bCs/>
        </w:rPr>
        <w:t>，</w:t>
      </w:r>
      <w:r>
        <w:rPr>
          <w:rFonts w:ascii="宋体" w:hAnsi="宋体"/>
          <w:bCs/>
        </w:rPr>
        <w:t>并加计银行同期活期存款利息</w:t>
      </w:r>
      <w:r>
        <w:rPr>
          <w:rFonts w:ascii="宋体" w:hAnsi="宋体" w:hint="eastAsia"/>
          <w:bCs/>
        </w:rPr>
        <w:t>。</w:t>
      </w:r>
    </w:p>
    <w:p w14:paraId="3D05A250" w14:textId="77777777" w:rsidR="0082364D" w:rsidRDefault="00BF2824">
      <w:pPr>
        <w:spacing w:line="360" w:lineRule="auto"/>
        <w:ind w:firstLineChars="200" w:firstLine="420"/>
        <w:jc w:val="left"/>
        <w:rPr>
          <w:rFonts w:ascii="宋体" w:hAnsi="宋体"/>
          <w:bCs/>
        </w:rPr>
      </w:pPr>
      <w:r>
        <w:rPr>
          <w:rFonts w:ascii="宋体" w:hAnsi="宋体"/>
          <w:bCs/>
        </w:rPr>
        <w:t>如基金募集失败，基金管理人、基金托管人及销售机构不得请求报酬。基金管理人、基金托管人和销售机构为基金募集支付之一切费用应由各方各自承担。</w:t>
      </w:r>
    </w:p>
    <w:p w14:paraId="1C30BC98" w14:textId="77777777" w:rsidR="0082364D" w:rsidRDefault="00BF2824">
      <w:pPr>
        <w:spacing w:line="360" w:lineRule="auto"/>
        <w:ind w:firstLineChars="200" w:firstLine="420"/>
        <w:jc w:val="left"/>
        <w:rPr>
          <w:rFonts w:ascii="宋体" w:hAnsi="宋体"/>
        </w:rPr>
      </w:pPr>
      <w:r>
        <w:rPr>
          <w:rFonts w:ascii="宋体" w:hAnsi="宋体" w:hint="eastAsia"/>
        </w:rPr>
        <w:t>（三）基金存续期内的基金份额持有人数量和资产规模</w:t>
      </w:r>
    </w:p>
    <w:p w14:paraId="14BFCB6B" w14:textId="77777777" w:rsidR="0082364D" w:rsidRDefault="00BF2824">
      <w:pPr>
        <w:spacing w:line="360" w:lineRule="auto"/>
        <w:ind w:firstLineChars="200" w:firstLine="420"/>
        <w:jc w:val="left"/>
        <w:rPr>
          <w:rFonts w:ascii="宋体" w:hAnsi="宋体"/>
          <w:bCs/>
        </w:rPr>
      </w:pPr>
      <w:r>
        <w:rPr>
          <w:rFonts w:ascii="宋体" w:hAnsi="宋体" w:hint="eastAsia"/>
          <w:bCs/>
        </w:rPr>
        <w:t>基金合同生效后，连续20个工作日出现基金份额持有人数量不满200人或者基金资产净值低于5000万元情形的，基金管理人应当在定期报告中予以披露；连续50个工作日出现前述情形的，基金管理人经与基金托管人协商一致，可对本基金进行清算，终止基金合同，无需召开基金份额持有人大会进行表决。</w:t>
      </w:r>
    </w:p>
    <w:p w14:paraId="1CEB8431" w14:textId="77777777" w:rsidR="0082364D" w:rsidRDefault="00BF2824">
      <w:pPr>
        <w:spacing w:line="360" w:lineRule="auto"/>
        <w:ind w:firstLineChars="200" w:firstLine="420"/>
        <w:jc w:val="left"/>
        <w:rPr>
          <w:rFonts w:ascii="宋体" w:hAnsi="宋体"/>
          <w:bCs/>
        </w:rPr>
      </w:pPr>
      <w:r>
        <w:rPr>
          <w:rFonts w:ascii="宋体" w:hAnsi="宋体"/>
          <w:bCs/>
        </w:rPr>
        <w:t>法律法规或</w:t>
      </w:r>
      <w:r>
        <w:rPr>
          <w:rFonts w:ascii="宋体" w:hAnsi="宋体" w:hint="eastAsia"/>
          <w:bCs/>
        </w:rPr>
        <w:t>中国</w:t>
      </w:r>
      <w:r>
        <w:rPr>
          <w:rFonts w:ascii="宋体" w:hAnsi="宋体"/>
          <w:bCs/>
        </w:rPr>
        <w:t>证监会另有规定时，从其规定。</w:t>
      </w:r>
    </w:p>
    <w:p w14:paraId="123B07BF" w14:textId="77777777" w:rsidR="0082364D" w:rsidRDefault="00BF2824">
      <w:pPr>
        <w:pStyle w:val="1"/>
        <w:spacing w:before="120" w:after="120" w:line="360" w:lineRule="auto"/>
        <w:jc w:val="center"/>
        <w:rPr>
          <w:rFonts w:ascii="宋体" w:hAnsi="宋体"/>
          <w:sz w:val="28"/>
        </w:rPr>
      </w:pPr>
      <w:bookmarkStart w:id="50" w:name="_Toc283892149"/>
      <w:bookmarkStart w:id="51" w:name="_Toc283892777"/>
      <w:bookmarkStart w:id="52" w:name="_Toc283892829"/>
      <w:bookmarkStart w:id="53" w:name="_Toc449605666"/>
      <w:r>
        <w:rPr>
          <w:rFonts w:ascii="宋体" w:hAnsi="宋体"/>
          <w:sz w:val="28"/>
          <w:szCs w:val="28"/>
        </w:rPr>
        <w:br w:type="page"/>
      </w:r>
      <w:bookmarkStart w:id="54" w:name="_Toc108598519"/>
      <w:bookmarkStart w:id="55" w:name="_Toc353291718"/>
      <w:r>
        <w:rPr>
          <w:rFonts w:ascii="宋体" w:hAnsi="宋体"/>
          <w:sz w:val="28"/>
        </w:rPr>
        <w:lastRenderedPageBreak/>
        <w:t>八、基金份额的</w:t>
      </w:r>
      <w:r>
        <w:rPr>
          <w:rFonts w:ascii="宋体" w:hAnsi="宋体" w:hint="eastAsia"/>
          <w:sz w:val="28"/>
          <w:szCs w:val="28"/>
        </w:rPr>
        <w:t>上市</w:t>
      </w:r>
      <w:r>
        <w:rPr>
          <w:rFonts w:ascii="宋体" w:hAnsi="宋体"/>
          <w:sz w:val="28"/>
        </w:rPr>
        <w:t>交易</w:t>
      </w:r>
      <w:bookmarkEnd w:id="50"/>
      <w:bookmarkEnd w:id="51"/>
      <w:bookmarkEnd w:id="52"/>
      <w:bookmarkEnd w:id="53"/>
      <w:bookmarkEnd w:id="54"/>
      <w:bookmarkEnd w:id="55"/>
    </w:p>
    <w:p w14:paraId="7DA4E9D9" w14:textId="77777777" w:rsidR="0082364D" w:rsidRDefault="00BF2824">
      <w:pPr>
        <w:spacing w:line="360" w:lineRule="auto"/>
        <w:ind w:firstLineChars="200" w:firstLine="420"/>
        <w:jc w:val="left"/>
        <w:rPr>
          <w:rFonts w:ascii="宋体" w:hAnsi="宋体"/>
        </w:rPr>
      </w:pPr>
      <w:r>
        <w:rPr>
          <w:rFonts w:ascii="宋体" w:hAnsi="宋体"/>
        </w:rPr>
        <w:t>（一）基金份额的上市</w:t>
      </w:r>
    </w:p>
    <w:p w14:paraId="3AAC2444" w14:textId="77777777" w:rsidR="0082364D" w:rsidRDefault="00BF2824">
      <w:pPr>
        <w:spacing w:line="360" w:lineRule="auto"/>
        <w:ind w:firstLineChars="200" w:firstLine="420"/>
        <w:jc w:val="left"/>
        <w:rPr>
          <w:rFonts w:ascii="宋体" w:hAnsi="宋体"/>
          <w:bCs/>
        </w:rPr>
      </w:pPr>
      <w:r>
        <w:rPr>
          <w:rFonts w:ascii="宋体" w:hAnsi="宋体"/>
          <w:bCs/>
        </w:rPr>
        <w:t>基金合同生效后，本基金具备下列条件的，基金管理人可依据《</w:t>
      </w:r>
      <w:r>
        <w:rPr>
          <w:rFonts w:ascii="宋体" w:hAnsi="宋体" w:hint="eastAsia"/>
          <w:bCs/>
        </w:rPr>
        <w:t>深圳</w:t>
      </w:r>
      <w:r>
        <w:rPr>
          <w:rFonts w:ascii="宋体" w:hAnsi="宋体"/>
          <w:bCs/>
        </w:rPr>
        <w:t>证券交易所证券投资基金上市规则》，向</w:t>
      </w:r>
      <w:r>
        <w:rPr>
          <w:rFonts w:ascii="宋体" w:hAnsi="宋体" w:hint="eastAsia"/>
          <w:bCs/>
        </w:rPr>
        <w:t>深圳</w:t>
      </w:r>
      <w:r>
        <w:rPr>
          <w:rFonts w:ascii="宋体" w:hAnsi="宋体"/>
          <w:bCs/>
        </w:rPr>
        <w:t>证券交易所申请基金份额上市：</w:t>
      </w:r>
    </w:p>
    <w:p w14:paraId="78F8170C" w14:textId="77777777" w:rsidR="0082364D" w:rsidRDefault="00BF2824">
      <w:pPr>
        <w:spacing w:line="360" w:lineRule="auto"/>
        <w:ind w:firstLineChars="200" w:firstLine="420"/>
        <w:jc w:val="left"/>
        <w:rPr>
          <w:rFonts w:ascii="宋体" w:hAnsi="宋体"/>
          <w:bCs/>
        </w:rPr>
      </w:pPr>
      <w:r>
        <w:rPr>
          <w:rFonts w:ascii="宋体" w:hAnsi="宋体" w:hint="eastAsia"/>
          <w:bCs/>
        </w:rPr>
        <w:t>1、本基金场内资产净值不少于2亿元；</w:t>
      </w:r>
    </w:p>
    <w:p w14:paraId="60991919" w14:textId="77777777" w:rsidR="0082364D" w:rsidRDefault="00BF2824">
      <w:pPr>
        <w:spacing w:line="360" w:lineRule="auto"/>
        <w:ind w:firstLineChars="200" w:firstLine="420"/>
        <w:jc w:val="left"/>
        <w:rPr>
          <w:rFonts w:ascii="宋体" w:hAnsi="宋体"/>
          <w:bCs/>
        </w:rPr>
      </w:pPr>
      <w:r>
        <w:rPr>
          <w:rFonts w:ascii="宋体" w:hAnsi="宋体" w:hint="eastAsia"/>
          <w:bCs/>
        </w:rPr>
        <w:t>2、本基金场内份额持有人不少于1000人；</w:t>
      </w:r>
    </w:p>
    <w:p w14:paraId="6C64CA17" w14:textId="77777777" w:rsidR="0082364D" w:rsidRDefault="00BF2824">
      <w:pPr>
        <w:spacing w:line="360" w:lineRule="auto"/>
        <w:ind w:firstLineChars="200" w:firstLine="420"/>
        <w:jc w:val="left"/>
        <w:rPr>
          <w:rFonts w:ascii="宋体" w:hAnsi="宋体"/>
          <w:bCs/>
        </w:rPr>
      </w:pPr>
      <w:r>
        <w:rPr>
          <w:rFonts w:ascii="宋体" w:hAnsi="宋体"/>
          <w:bCs/>
        </w:rPr>
        <w:t>3、</w:t>
      </w:r>
      <w:r>
        <w:rPr>
          <w:rFonts w:ascii="宋体" w:hAnsi="宋体" w:hint="eastAsia"/>
          <w:bCs/>
        </w:rPr>
        <w:t>符合深圳证券交易所</w:t>
      </w:r>
      <w:r>
        <w:rPr>
          <w:rFonts w:ascii="宋体" w:hAnsi="宋体"/>
          <w:bCs/>
        </w:rPr>
        <w:t>规定的其他条件。</w:t>
      </w:r>
    </w:p>
    <w:p w14:paraId="71A9D7C7" w14:textId="77777777" w:rsidR="0082364D" w:rsidRDefault="00BF2824">
      <w:pPr>
        <w:spacing w:line="360" w:lineRule="auto"/>
        <w:ind w:firstLineChars="200" w:firstLine="420"/>
        <w:jc w:val="left"/>
        <w:rPr>
          <w:rFonts w:ascii="宋体" w:hAnsi="宋体"/>
        </w:rPr>
      </w:pPr>
      <w:r>
        <w:rPr>
          <w:rFonts w:ascii="宋体" w:hAnsi="宋体"/>
        </w:rPr>
        <w:t>（二）基金份额的上市交易</w:t>
      </w:r>
    </w:p>
    <w:p w14:paraId="1BC7DE36" w14:textId="77777777" w:rsidR="0082364D" w:rsidRDefault="00BF2824">
      <w:pPr>
        <w:spacing w:line="360" w:lineRule="auto"/>
        <w:ind w:firstLineChars="200" w:firstLine="420"/>
        <w:jc w:val="left"/>
        <w:rPr>
          <w:rFonts w:ascii="宋体" w:hAnsi="宋体"/>
          <w:bCs/>
        </w:rPr>
      </w:pPr>
      <w:r>
        <w:rPr>
          <w:rFonts w:ascii="宋体" w:hAnsi="宋体" w:hint="eastAsia"/>
          <w:bCs/>
        </w:rPr>
        <w:t>基金份额在深圳证券交易所的上市交易，应遵照《深圳证券交易所交易规则》、《深圳证券交易所证券投资基金上市规则》、《深圳证券交易所证券投资基金交易和申购赎回实施细则》等有关规定</w:t>
      </w:r>
      <w:r>
        <w:rPr>
          <w:rFonts w:ascii="宋体" w:hAnsi="宋体"/>
          <w:bCs/>
        </w:rPr>
        <w:t>。</w:t>
      </w:r>
    </w:p>
    <w:p w14:paraId="5DA48D44" w14:textId="77777777" w:rsidR="0082364D" w:rsidRDefault="00BF2824">
      <w:pPr>
        <w:spacing w:line="360" w:lineRule="auto"/>
        <w:ind w:firstLineChars="200" w:firstLine="420"/>
        <w:jc w:val="left"/>
        <w:rPr>
          <w:rFonts w:ascii="宋体" w:hAnsi="宋体"/>
          <w:bCs/>
        </w:rPr>
      </w:pPr>
      <w:r>
        <w:rPr>
          <w:rFonts w:ascii="宋体" w:hAnsi="宋体"/>
          <w:bCs/>
        </w:rPr>
        <w:t>在确定上市交易的时间后，基金管理人应依据法律法规规定在规定媒介上刊登基金份额上市交易公告书</w:t>
      </w:r>
      <w:r>
        <w:rPr>
          <w:rFonts w:ascii="宋体" w:hAnsi="宋体" w:hint="eastAsia"/>
          <w:bCs/>
        </w:rPr>
        <w:t>及其提示性公告</w:t>
      </w:r>
      <w:r>
        <w:rPr>
          <w:rFonts w:ascii="宋体" w:hAnsi="宋体"/>
          <w:bCs/>
        </w:rPr>
        <w:t>。</w:t>
      </w:r>
    </w:p>
    <w:p w14:paraId="0CCC46C4" w14:textId="77777777" w:rsidR="0082364D" w:rsidRDefault="00BF2824">
      <w:pPr>
        <w:spacing w:line="360" w:lineRule="auto"/>
        <w:ind w:firstLineChars="200" w:firstLine="420"/>
        <w:jc w:val="left"/>
        <w:rPr>
          <w:rFonts w:ascii="宋体" w:hAnsi="宋体"/>
        </w:rPr>
      </w:pPr>
      <w:r>
        <w:rPr>
          <w:rFonts w:ascii="宋体" w:hAnsi="宋体"/>
        </w:rPr>
        <w:t>（三）</w:t>
      </w:r>
      <w:r>
        <w:rPr>
          <w:rFonts w:ascii="宋体" w:hAnsi="宋体" w:hint="eastAsia"/>
        </w:rPr>
        <w:t>基金份额参考净值（</w:t>
      </w:r>
      <w:r>
        <w:rPr>
          <w:rFonts w:ascii="宋体" w:hAnsi="宋体"/>
        </w:rPr>
        <w:t>IOPV</w:t>
      </w:r>
      <w:r>
        <w:rPr>
          <w:rFonts w:ascii="宋体" w:hAnsi="宋体" w:hint="eastAsia"/>
        </w:rPr>
        <w:t>）</w:t>
      </w:r>
      <w:r>
        <w:rPr>
          <w:rFonts w:ascii="宋体" w:hAnsi="宋体"/>
        </w:rPr>
        <w:t>的计算</w:t>
      </w:r>
      <w:r>
        <w:rPr>
          <w:rFonts w:ascii="宋体" w:hAnsi="宋体" w:hint="eastAsia"/>
        </w:rPr>
        <w:t>与公告</w:t>
      </w:r>
    </w:p>
    <w:p w14:paraId="13C3979C" w14:textId="77777777" w:rsidR="0082364D" w:rsidRDefault="00BF2824">
      <w:pPr>
        <w:spacing w:line="360" w:lineRule="auto"/>
        <w:ind w:firstLineChars="200" w:firstLine="420"/>
        <w:rPr>
          <w:rFonts w:ascii="宋体" w:hAnsi="宋体"/>
          <w:bCs/>
          <w:color w:val="000000"/>
        </w:rPr>
      </w:pPr>
      <w:r>
        <w:rPr>
          <w:rFonts w:ascii="宋体" w:hAnsi="宋体" w:hint="eastAsia"/>
          <w:bCs/>
          <w:color w:val="000000"/>
        </w:rPr>
        <w:t>基金管理人在每一交易日开市前公告当日的申购赎回清单，基金管理人或基金管理人委托的指数服务机构在开市后根据申购赎回清单和汇率数据，计算基金份额参考净值（IOPV），并将计算结果向深圳证券交易所发送，由深圳证券交易所对外发布，仅供投资者交易、申购、赎回基金份额时参考。</w:t>
      </w:r>
    </w:p>
    <w:p w14:paraId="519BFD4F" w14:textId="77777777" w:rsidR="0082364D" w:rsidRDefault="00BF2824">
      <w:pPr>
        <w:spacing w:line="360" w:lineRule="auto"/>
        <w:ind w:firstLineChars="200" w:firstLine="420"/>
        <w:rPr>
          <w:rFonts w:ascii="宋体" w:hAnsi="宋体"/>
          <w:color w:val="000000"/>
        </w:rPr>
      </w:pPr>
      <w:r>
        <w:rPr>
          <w:rFonts w:ascii="宋体" w:hAnsi="宋体"/>
          <w:color w:val="000000"/>
        </w:rPr>
        <w:t>1、基金份额参考净值计算公式为：</w:t>
      </w:r>
    </w:p>
    <w:p w14:paraId="68519E08" w14:textId="77777777" w:rsidR="0082364D" w:rsidRDefault="00BF2824">
      <w:pPr>
        <w:spacing w:line="360" w:lineRule="auto"/>
        <w:ind w:firstLineChars="200" w:firstLine="420"/>
        <w:rPr>
          <w:rFonts w:ascii="宋体" w:hAnsi="宋体"/>
          <w:color w:val="000000"/>
        </w:rPr>
      </w:pPr>
      <w:r>
        <w:rPr>
          <w:rFonts w:ascii="宋体" w:hAnsi="宋体" w:hint="eastAsia"/>
          <w:color w:val="000000"/>
        </w:rPr>
        <w:t>基金份额参考净值＝</w:t>
      </w:r>
      <w:bookmarkStart w:id="56" w:name="_Hlk127135837"/>
      <w:r>
        <w:rPr>
          <w:rFonts w:ascii="宋体" w:hAnsi="宋体" w:hint="eastAsia"/>
          <w:color w:val="000000"/>
        </w:rPr>
        <w:t>（申购赎回清单中必须现金替代成份证券的替代金额</w:t>
      </w:r>
      <w:r>
        <w:rPr>
          <w:rFonts w:ascii="宋体" w:hAnsi="宋体"/>
          <w:color w:val="000000"/>
        </w:rPr>
        <w:t>+</w:t>
      </w:r>
      <w:r>
        <w:rPr>
          <w:rFonts w:ascii="宋体" w:hAnsi="宋体" w:hint="eastAsia"/>
          <w:color w:val="000000"/>
        </w:rPr>
        <w:t>申购赎回清单中可以现金替代成</w:t>
      </w:r>
      <w:r>
        <w:rPr>
          <w:rFonts w:ascii="宋体" w:hAnsi="宋体"/>
          <w:color w:val="000000"/>
        </w:rPr>
        <w:t>份</w:t>
      </w:r>
      <w:r>
        <w:rPr>
          <w:rFonts w:ascii="宋体" w:hAnsi="宋体" w:hint="eastAsia"/>
          <w:color w:val="000000"/>
        </w:rPr>
        <w:t>证券的数量、经调整的</w:t>
      </w:r>
      <w:r>
        <w:rPr>
          <w:rFonts w:ascii="宋体" w:hAnsi="宋体"/>
          <w:color w:val="000000"/>
        </w:rPr>
        <w:t>T-1</w:t>
      </w:r>
      <w:r>
        <w:rPr>
          <w:rFonts w:ascii="宋体" w:hAnsi="宋体" w:hint="eastAsia"/>
          <w:color w:val="000000"/>
        </w:rPr>
        <w:t>日预计开盘价、</w:t>
      </w:r>
      <w:r>
        <w:rPr>
          <w:rFonts w:ascii="宋体" w:hAnsi="宋体"/>
          <w:color w:val="000000"/>
        </w:rPr>
        <w:t>T-1</w:t>
      </w:r>
      <w:r>
        <w:rPr>
          <w:rFonts w:ascii="宋体" w:hAnsi="宋体" w:hint="eastAsia"/>
          <w:color w:val="000000"/>
        </w:rPr>
        <w:t>日标的指数涨跌幅以及人民币汇率的乘积之和</w:t>
      </w:r>
      <w:r>
        <w:rPr>
          <w:rFonts w:ascii="宋体" w:hAnsi="宋体"/>
          <w:color w:val="000000"/>
        </w:rPr>
        <w:t>+</w:t>
      </w:r>
      <w:r>
        <w:rPr>
          <w:rFonts w:ascii="宋体" w:hAnsi="宋体" w:hint="eastAsia"/>
          <w:color w:val="000000"/>
        </w:rPr>
        <w:t>申购赎回清单中的预估现金部分）</w:t>
      </w:r>
      <w:r>
        <w:rPr>
          <w:rFonts w:ascii="宋体" w:hAnsi="宋体"/>
          <w:color w:val="000000"/>
        </w:rPr>
        <w:t>/</w:t>
      </w:r>
      <w:r>
        <w:rPr>
          <w:rFonts w:ascii="宋体" w:hAnsi="宋体" w:hint="eastAsia"/>
          <w:color w:val="000000"/>
        </w:rPr>
        <w:t>最小申购、赎回单位对应的基金份额。</w:t>
      </w:r>
      <w:bookmarkEnd w:id="56"/>
      <w:r>
        <w:rPr>
          <w:rFonts w:ascii="宋体" w:hAnsi="宋体"/>
          <w:color w:val="000000"/>
        </w:rPr>
        <w:t xml:space="preserve"> </w:t>
      </w:r>
    </w:p>
    <w:p w14:paraId="1E288D0C" w14:textId="77777777" w:rsidR="0082364D" w:rsidRDefault="00BF2824">
      <w:pPr>
        <w:spacing w:line="360" w:lineRule="auto"/>
        <w:ind w:firstLineChars="200" w:firstLine="420"/>
        <w:rPr>
          <w:rFonts w:ascii="宋体" w:hAnsi="宋体"/>
          <w:color w:val="000000"/>
        </w:rPr>
      </w:pPr>
      <w:r>
        <w:rPr>
          <w:rFonts w:ascii="宋体" w:hAnsi="宋体"/>
          <w:color w:val="000000"/>
        </w:rPr>
        <w:t>2、基金份额参考净值的计算以四舍五入的方法保留小数点后4位。</w:t>
      </w:r>
    </w:p>
    <w:p w14:paraId="6A59D776" w14:textId="77777777" w:rsidR="0082364D" w:rsidRDefault="00BF2824">
      <w:pPr>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深圳证券交易所和</w:t>
      </w:r>
      <w:r>
        <w:rPr>
          <w:rFonts w:ascii="宋体" w:hAnsi="宋体"/>
          <w:color w:val="000000"/>
        </w:rPr>
        <w:t>基金管理人可以调整基金份额参考净值的计算方法，并予以公告。</w:t>
      </w:r>
    </w:p>
    <w:p w14:paraId="13ABA881" w14:textId="77777777" w:rsidR="0082364D" w:rsidRDefault="00BF2824">
      <w:pPr>
        <w:spacing w:line="360" w:lineRule="auto"/>
        <w:ind w:firstLineChars="200" w:firstLine="420"/>
        <w:jc w:val="left"/>
        <w:rPr>
          <w:rFonts w:ascii="宋体" w:hAnsi="宋体"/>
        </w:rPr>
      </w:pPr>
      <w:r>
        <w:rPr>
          <w:rFonts w:ascii="宋体" w:hAnsi="宋体"/>
        </w:rPr>
        <w:t>（四）</w:t>
      </w:r>
      <w:r>
        <w:rPr>
          <w:rFonts w:ascii="宋体" w:hAnsi="宋体" w:hint="eastAsia"/>
        </w:rPr>
        <w:t>停复牌、暂停上市、恢复上市或终止上市的情形和处理方式</w:t>
      </w:r>
    </w:p>
    <w:p w14:paraId="3B6C2026" w14:textId="77777777" w:rsidR="0082364D" w:rsidRDefault="00BF2824">
      <w:pPr>
        <w:spacing w:line="360" w:lineRule="auto"/>
        <w:ind w:firstLineChars="200" w:firstLine="420"/>
        <w:jc w:val="left"/>
        <w:rPr>
          <w:rFonts w:ascii="宋体" w:hAnsi="宋体"/>
          <w:bCs/>
        </w:rPr>
      </w:pPr>
      <w:r>
        <w:rPr>
          <w:rFonts w:ascii="宋体" w:hAnsi="宋体" w:hint="eastAsia"/>
          <w:bCs/>
        </w:rPr>
        <w:t>本基金份额在深圳证券交易所上市后，如遇停复牌、暂停上市、恢复上市或终止上市的情形，按照《深圳证券交易所证券投资基金上市规则》的相关规定执行。</w:t>
      </w:r>
    </w:p>
    <w:p w14:paraId="3E1A2FFD" w14:textId="77777777" w:rsidR="0082364D" w:rsidRDefault="00BF2824">
      <w:pPr>
        <w:spacing w:line="360" w:lineRule="auto"/>
        <w:ind w:firstLineChars="200" w:firstLine="420"/>
        <w:jc w:val="left"/>
        <w:rPr>
          <w:rFonts w:ascii="宋体" w:hAnsi="宋体"/>
          <w:bCs/>
        </w:rPr>
      </w:pPr>
      <w:r>
        <w:rPr>
          <w:rFonts w:ascii="宋体" w:hAnsi="宋体" w:hint="eastAsia"/>
          <w:bCs/>
        </w:rPr>
        <w:t>若本基金发生深圳证券交易所相关规则所规定的因不再具备上市条件而应当终止上市</w:t>
      </w:r>
      <w:r>
        <w:rPr>
          <w:rFonts w:ascii="宋体" w:hAnsi="宋体" w:hint="eastAsia"/>
          <w:bCs/>
        </w:rPr>
        <w:lastRenderedPageBreak/>
        <w:t>的情形时，本基金可由交易型开放式基金变更为跟踪标的指数的非上市开放式指数基金，而无需召开基金份额持有人大会审议。届时，基金管理人可变更本基金的登记结算机构、相应调整申购赎回业务规则、提前制定基金终止上市后场内份额的处理规则并公告，同时，基金管理人可按照《信息披露办法》的规定，公告变更后的基金合同及招募说明书。若届时本基金管理人已有以该指数作为标的指数的指数基金，则基金管理人将本着维护基金份额持有人合法权益的原则，履行适当的程序后与该指数基金合并或选取其他合适的指数作为标的指数。</w:t>
      </w:r>
    </w:p>
    <w:p w14:paraId="0DAFE31E" w14:textId="77777777" w:rsidR="0082364D" w:rsidRDefault="00BF2824">
      <w:pPr>
        <w:spacing w:line="360" w:lineRule="auto"/>
        <w:ind w:firstLineChars="200" w:firstLine="420"/>
        <w:jc w:val="left"/>
        <w:rPr>
          <w:rFonts w:ascii="宋体" w:hAnsi="宋体"/>
        </w:rPr>
      </w:pPr>
      <w:r>
        <w:rPr>
          <w:rFonts w:ascii="宋体" w:hAnsi="宋体"/>
        </w:rPr>
        <w:t>（五）</w:t>
      </w:r>
      <w:r>
        <w:rPr>
          <w:rFonts w:ascii="宋体" w:hAnsi="宋体" w:hint="eastAsia"/>
        </w:rPr>
        <w:t>在不违反法律法规及不损害基金份额持有人利益的前提下，本基金可以申请在其他证券交易所（含境外证券交易所）上市交易，而无需召开基金份额持有人大会审议。</w:t>
      </w:r>
    </w:p>
    <w:p w14:paraId="2FA8A016" w14:textId="77777777" w:rsidR="0082364D" w:rsidRDefault="00BF2824">
      <w:pPr>
        <w:spacing w:line="360" w:lineRule="auto"/>
        <w:ind w:firstLineChars="200" w:firstLine="420"/>
        <w:jc w:val="left"/>
        <w:rPr>
          <w:rFonts w:ascii="宋体" w:hAnsi="宋体"/>
        </w:rPr>
      </w:pPr>
      <w:bookmarkStart w:id="57" w:name="_Hlk47305784"/>
      <w:r>
        <w:rPr>
          <w:rFonts w:ascii="宋体" w:hAnsi="宋体"/>
        </w:rPr>
        <w:t>（六）</w:t>
      </w:r>
      <w:r>
        <w:rPr>
          <w:rFonts w:ascii="宋体" w:hAnsi="宋体" w:hint="eastAsia"/>
        </w:rPr>
        <w:t>法律法规、监管部门和深圳证券交易所对上市交易另有规定的从其规定，法律法规及监管部门对业务规则内容进行调整的，基金合同相应予以修改（如需），并按照新规定执行，且此项修改无须召开基金份额持有人大会审议。</w:t>
      </w:r>
    </w:p>
    <w:p w14:paraId="73122995" w14:textId="77777777" w:rsidR="0082364D" w:rsidRDefault="00BF2824">
      <w:pPr>
        <w:spacing w:line="360" w:lineRule="auto"/>
        <w:ind w:firstLineChars="200" w:firstLine="420"/>
        <w:jc w:val="left"/>
        <w:rPr>
          <w:rFonts w:ascii="宋体" w:hAnsi="宋体"/>
        </w:rPr>
      </w:pPr>
      <w:r>
        <w:rPr>
          <w:rFonts w:ascii="宋体" w:hAnsi="宋体" w:hint="eastAsia"/>
        </w:rPr>
        <w:t>（七）若深圳证券交易所、中国证券登记结算有限责任公司增加了基金上市交易的新功能，基金管理人可以在履行适当的程序后增加相应功能，无需召开基金份额持有人大会审议。</w:t>
      </w:r>
    </w:p>
    <w:bookmarkEnd w:id="57"/>
    <w:p w14:paraId="1AD21ECF" w14:textId="77777777" w:rsidR="0082364D" w:rsidRDefault="0082364D">
      <w:pPr>
        <w:spacing w:line="360" w:lineRule="auto"/>
        <w:jc w:val="left"/>
        <w:rPr>
          <w:rFonts w:ascii="宋体" w:hAnsi="宋体"/>
          <w:b/>
        </w:rPr>
      </w:pPr>
    </w:p>
    <w:p w14:paraId="09F4B169" w14:textId="77777777" w:rsidR="0082364D" w:rsidRDefault="00BF2824">
      <w:pPr>
        <w:pStyle w:val="1"/>
        <w:spacing w:before="120" w:after="120" w:line="360" w:lineRule="auto"/>
        <w:jc w:val="center"/>
        <w:rPr>
          <w:rFonts w:ascii="宋体" w:hAnsi="宋体"/>
          <w:sz w:val="28"/>
        </w:rPr>
      </w:pPr>
      <w:bookmarkStart w:id="58" w:name="_Toc283892778"/>
      <w:bookmarkStart w:id="59" w:name="_Toc283892830"/>
      <w:bookmarkStart w:id="60" w:name="_Toc283892150"/>
      <w:r>
        <w:rPr>
          <w:rFonts w:ascii="宋体" w:hAnsi="宋体"/>
          <w:sz w:val="28"/>
          <w:szCs w:val="28"/>
        </w:rPr>
        <w:br w:type="page"/>
      </w:r>
      <w:bookmarkStart w:id="61" w:name="_Toc353291719"/>
      <w:bookmarkStart w:id="62" w:name="_Toc449605667"/>
      <w:bookmarkStart w:id="63" w:name="_Toc108598520"/>
      <w:r>
        <w:rPr>
          <w:rFonts w:ascii="宋体" w:hAnsi="宋体"/>
          <w:sz w:val="28"/>
        </w:rPr>
        <w:lastRenderedPageBreak/>
        <w:t>九、基金份额的申购、赎回</w:t>
      </w:r>
      <w:bookmarkEnd w:id="58"/>
      <w:bookmarkEnd w:id="59"/>
      <w:bookmarkEnd w:id="60"/>
      <w:bookmarkEnd w:id="61"/>
      <w:bookmarkEnd w:id="62"/>
      <w:bookmarkEnd w:id="63"/>
    </w:p>
    <w:p w14:paraId="0B46C431" w14:textId="77777777" w:rsidR="0082364D" w:rsidRDefault="00BF2824">
      <w:pPr>
        <w:spacing w:line="360" w:lineRule="auto"/>
        <w:ind w:firstLineChars="200" w:firstLine="420"/>
        <w:jc w:val="left"/>
      </w:pPr>
      <w:r>
        <w:rPr>
          <w:rFonts w:ascii="宋体" w:hAnsi="宋体"/>
        </w:rPr>
        <w:t>（一）申购和赎回场所</w:t>
      </w:r>
    </w:p>
    <w:p w14:paraId="34E1445F" w14:textId="77777777" w:rsidR="0082364D" w:rsidRDefault="00BF2824">
      <w:pPr>
        <w:spacing w:line="360" w:lineRule="auto"/>
        <w:ind w:firstLineChars="200" w:firstLine="420"/>
        <w:jc w:val="left"/>
        <w:rPr>
          <w:rFonts w:ascii="宋体" w:hAnsi="宋体"/>
          <w:bCs/>
        </w:rPr>
      </w:pPr>
      <w:r>
        <w:rPr>
          <w:rFonts w:ascii="宋体" w:hAnsi="宋体"/>
          <w:bCs/>
        </w:rPr>
        <w:t>投资者应当在申购赎回代理券商办理基金申购、赎回业务的营业场所或按申购赎回代理券商提供的其他方式办理基金的申购和赎回业务。</w:t>
      </w:r>
    </w:p>
    <w:p w14:paraId="4108CFAC" w14:textId="77777777" w:rsidR="0082364D" w:rsidRDefault="00BF2824">
      <w:pPr>
        <w:spacing w:line="360" w:lineRule="auto"/>
        <w:ind w:firstLineChars="200" w:firstLine="420"/>
        <w:jc w:val="left"/>
        <w:rPr>
          <w:rFonts w:ascii="宋体" w:hAnsi="宋体"/>
        </w:rPr>
      </w:pPr>
      <w:r>
        <w:rPr>
          <w:rFonts w:ascii="宋体" w:hAnsi="宋体"/>
          <w:bCs/>
        </w:rPr>
        <w:t>基金管理人在开始办理申购、赎回业务前公告申购赎回代理券商的名单，并可依据实际情况增加或减少申购赎回代理券商，并在</w:t>
      </w:r>
      <w:r>
        <w:rPr>
          <w:rFonts w:ascii="宋体" w:hAnsi="宋体" w:hint="eastAsia"/>
          <w:bCs/>
        </w:rPr>
        <w:t>基金管理人</w:t>
      </w:r>
      <w:r>
        <w:rPr>
          <w:rFonts w:ascii="宋体" w:hAnsi="宋体"/>
          <w:bCs/>
        </w:rPr>
        <w:t>网站公示。</w:t>
      </w:r>
    </w:p>
    <w:p w14:paraId="0A13C730" w14:textId="77777777" w:rsidR="0082364D" w:rsidRDefault="00BF2824">
      <w:pPr>
        <w:spacing w:line="360" w:lineRule="auto"/>
        <w:ind w:firstLineChars="200" w:firstLine="420"/>
        <w:jc w:val="left"/>
      </w:pPr>
      <w:r>
        <w:rPr>
          <w:rFonts w:ascii="宋体" w:hAnsi="宋体"/>
        </w:rPr>
        <w:t>（二）申购和赎回的开放日及时间</w:t>
      </w:r>
    </w:p>
    <w:p w14:paraId="33CD3DC7" w14:textId="77777777" w:rsidR="0082364D" w:rsidRDefault="00BF2824">
      <w:pPr>
        <w:spacing w:line="360" w:lineRule="auto"/>
        <w:ind w:firstLineChars="200" w:firstLine="420"/>
        <w:jc w:val="left"/>
        <w:rPr>
          <w:rFonts w:ascii="宋体" w:hAnsi="宋体"/>
          <w:bCs/>
        </w:rPr>
      </w:pPr>
      <w:r>
        <w:rPr>
          <w:rFonts w:ascii="宋体" w:hAnsi="宋体"/>
          <w:bCs/>
        </w:rPr>
        <w:t>1、开放日及开放时间</w:t>
      </w:r>
    </w:p>
    <w:p w14:paraId="63C7BDC1" w14:textId="77777777" w:rsidR="0082364D" w:rsidRDefault="00BF2824">
      <w:pPr>
        <w:spacing w:line="360" w:lineRule="auto"/>
        <w:ind w:firstLineChars="200" w:firstLine="420"/>
        <w:jc w:val="left"/>
        <w:rPr>
          <w:rFonts w:ascii="宋体" w:hAnsi="宋体"/>
          <w:bCs/>
        </w:rPr>
      </w:pPr>
      <w:r>
        <w:rPr>
          <w:rFonts w:ascii="宋体" w:hAnsi="宋体"/>
          <w:bCs/>
        </w:rPr>
        <w:t>投资人</w:t>
      </w:r>
      <w:r>
        <w:rPr>
          <w:rFonts w:ascii="宋体" w:hAnsi="宋体" w:hint="eastAsia"/>
          <w:bCs/>
        </w:rPr>
        <w:t>可</w:t>
      </w:r>
      <w:r>
        <w:rPr>
          <w:rFonts w:ascii="宋体" w:hAnsi="宋体"/>
          <w:bCs/>
        </w:rPr>
        <w:t>在开放日</w:t>
      </w:r>
      <w:r>
        <w:rPr>
          <w:rFonts w:ascii="宋体" w:hAnsi="宋体" w:hint="eastAsia"/>
          <w:bCs/>
        </w:rPr>
        <w:t>的开放时间</w:t>
      </w:r>
      <w:r>
        <w:rPr>
          <w:rFonts w:ascii="宋体" w:hAnsi="宋体"/>
          <w:bCs/>
        </w:rPr>
        <w:t>办理基金份额的申购和赎回</w:t>
      </w:r>
      <w:r>
        <w:rPr>
          <w:rFonts w:ascii="宋体" w:hAnsi="宋体" w:hint="eastAsia"/>
        </w:rPr>
        <w:t>（若该工作日为非港股通交易日，则基金管理人有权决定本基金是否开放基金份额申购、赎回或其他业务）</w:t>
      </w:r>
      <w:r>
        <w:rPr>
          <w:rFonts w:ascii="宋体" w:hAnsi="宋体"/>
          <w:bCs/>
        </w:rPr>
        <w:t>，</w:t>
      </w:r>
      <w:r>
        <w:rPr>
          <w:rFonts w:ascii="宋体" w:hAnsi="宋体" w:hint="eastAsia"/>
          <w:bCs/>
        </w:rPr>
        <w:t>具体办理时间为深圳证券交易所和境外主要投资场所的共同交易日的交易时间</w:t>
      </w:r>
      <w:r>
        <w:rPr>
          <w:rFonts w:ascii="宋体" w:hAnsi="宋体"/>
          <w:bCs/>
        </w:rPr>
        <w:t>，但基金管理人根据法律法规、中国证监会的要求或基金合同的规定公告暂停申购、赎回时除外。</w:t>
      </w:r>
    </w:p>
    <w:p w14:paraId="00C77361" w14:textId="77777777" w:rsidR="0082364D" w:rsidRDefault="00BF2824">
      <w:pPr>
        <w:spacing w:line="360" w:lineRule="auto"/>
        <w:ind w:firstLineChars="200" w:firstLine="420"/>
        <w:jc w:val="left"/>
        <w:rPr>
          <w:rFonts w:ascii="宋体" w:hAnsi="宋体"/>
          <w:bCs/>
        </w:rPr>
      </w:pPr>
      <w:r>
        <w:rPr>
          <w:rFonts w:ascii="宋体" w:hAnsi="宋体"/>
          <w:bCs/>
        </w:rPr>
        <w:t>基金合同生效后，若出现新的证券</w:t>
      </w:r>
      <w:r>
        <w:rPr>
          <w:rFonts w:ascii="宋体" w:hAnsi="宋体" w:hint="eastAsia"/>
          <w:bCs/>
        </w:rPr>
        <w:t>/期货</w:t>
      </w:r>
      <w:r>
        <w:rPr>
          <w:rFonts w:ascii="宋体" w:hAnsi="宋体"/>
          <w:bCs/>
        </w:rPr>
        <w:t>交易市场、证券</w:t>
      </w:r>
      <w:r>
        <w:rPr>
          <w:rFonts w:ascii="宋体" w:hAnsi="宋体" w:hint="eastAsia"/>
          <w:bCs/>
        </w:rPr>
        <w:t>/期货</w:t>
      </w:r>
      <w:r>
        <w:rPr>
          <w:rFonts w:ascii="宋体" w:hAnsi="宋体"/>
          <w:bCs/>
        </w:rPr>
        <w:t>交易所交易时间变更或其他特殊情况，基金管理人将视情况对前述开放日及开放时间进行相应的调整，但应在实施日前依照《信息披露办法》的有关规定在规定媒介上公告。</w:t>
      </w:r>
    </w:p>
    <w:p w14:paraId="7EA1F0AE" w14:textId="77777777" w:rsidR="0082364D" w:rsidRDefault="00BF2824">
      <w:pPr>
        <w:spacing w:line="360" w:lineRule="auto"/>
        <w:ind w:firstLineChars="200" w:firstLine="420"/>
        <w:jc w:val="left"/>
        <w:rPr>
          <w:rFonts w:ascii="宋体" w:hAnsi="宋体"/>
          <w:bCs/>
        </w:rPr>
      </w:pPr>
      <w:r>
        <w:rPr>
          <w:rFonts w:ascii="宋体" w:hAnsi="宋体"/>
          <w:bCs/>
        </w:rPr>
        <w:t>2、申购、赎回开始日及业务办理时间</w:t>
      </w:r>
    </w:p>
    <w:p w14:paraId="259B3601" w14:textId="77777777" w:rsidR="0082364D" w:rsidRDefault="00BF2824">
      <w:pPr>
        <w:spacing w:line="360" w:lineRule="auto"/>
        <w:ind w:firstLineChars="200" w:firstLine="420"/>
        <w:jc w:val="left"/>
        <w:rPr>
          <w:rFonts w:ascii="宋体" w:hAnsi="宋体"/>
          <w:bCs/>
        </w:rPr>
      </w:pPr>
      <w:r>
        <w:rPr>
          <w:rFonts w:ascii="宋体" w:hAnsi="宋体" w:hint="eastAsia"/>
          <w:bCs/>
        </w:rPr>
        <w:t>基金合同生效后，基金管理人在满足监管要求的情况下，根据本基金运作的需要决定本基金开始办理申购的具体日期，具体业务办理时间在申购开始公告中规定。</w:t>
      </w:r>
    </w:p>
    <w:p w14:paraId="4E738DDE" w14:textId="77777777" w:rsidR="0082364D" w:rsidRDefault="00BF2824">
      <w:pPr>
        <w:spacing w:line="360" w:lineRule="auto"/>
        <w:ind w:firstLineChars="200" w:firstLine="420"/>
        <w:jc w:val="left"/>
        <w:rPr>
          <w:rFonts w:ascii="宋体" w:hAnsi="宋体"/>
          <w:bCs/>
        </w:rPr>
      </w:pPr>
      <w:r>
        <w:rPr>
          <w:rFonts w:ascii="宋体" w:hAnsi="宋体" w:hint="eastAsia"/>
          <w:bCs/>
        </w:rPr>
        <w:t>基金合同生效后，基金管理人在满足监管要求的情况下，根据本基金运作的需要决定本基金开始办理赎回的具体日期，具体业务办理时间在赎回开始公告中规定。</w:t>
      </w:r>
    </w:p>
    <w:p w14:paraId="42165EC1" w14:textId="77777777" w:rsidR="0082364D" w:rsidRDefault="00BF2824">
      <w:pPr>
        <w:spacing w:line="360" w:lineRule="auto"/>
        <w:ind w:firstLineChars="200" w:firstLine="420"/>
        <w:jc w:val="left"/>
        <w:rPr>
          <w:rFonts w:ascii="宋体" w:hAnsi="宋体"/>
          <w:bCs/>
        </w:rPr>
      </w:pPr>
      <w:r>
        <w:rPr>
          <w:rFonts w:ascii="宋体" w:hAnsi="宋体"/>
          <w:bCs/>
        </w:rPr>
        <w:t>本基金可在基金上市交易之前开始办理申购、赎回，在基金申请上市期间，可暂停办理申购、赎回；具体申购、赎回业务办理时间在申购、赎回开始公告中规定。</w:t>
      </w:r>
    </w:p>
    <w:p w14:paraId="6F3DFB89" w14:textId="77777777" w:rsidR="0082364D" w:rsidRDefault="00BF2824">
      <w:pPr>
        <w:spacing w:line="360" w:lineRule="auto"/>
        <w:ind w:firstLineChars="200" w:firstLine="420"/>
        <w:jc w:val="left"/>
        <w:rPr>
          <w:rFonts w:ascii="宋体" w:hAnsi="宋体"/>
          <w:bCs/>
        </w:rPr>
      </w:pPr>
      <w:r>
        <w:rPr>
          <w:rFonts w:ascii="宋体" w:hAnsi="宋体"/>
          <w:bCs/>
        </w:rPr>
        <w:t>在确定申购开始与赎回开始时间后，基金管理人应在</w:t>
      </w:r>
      <w:r>
        <w:rPr>
          <w:rFonts w:ascii="宋体" w:hAnsi="宋体" w:hint="eastAsia"/>
          <w:bCs/>
        </w:rPr>
        <w:t>开始办理</w:t>
      </w:r>
      <w:r>
        <w:rPr>
          <w:rFonts w:ascii="宋体" w:hAnsi="宋体"/>
          <w:bCs/>
        </w:rPr>
        <w:t>申购、赎回</w:t>
      </w:r>
      <w:r>
        <w:rPr>
          <w:rFonts w:ascii="宋体" w:hAnsi="宋体" w:hint="eastAsia"/>
          <w:bCs/>
        </w:rPr>
        <w:t>开放日</w:t>
      </w:r>
      <w:r>
        <w:rPr>
          <w:rFonts w:ascii="宋体" w:hAnsi="宋体"/>
          <w:bCs/>
        </w:rPr>
        <w:t>前依照《信息披露办法》的有关规定在规定媒介上公告申购与赎回的开始时间。</w:t>
      </w:r>
    </w:p>
    <w:p w14:paraId="37E7A66A" w14:textId="77777777" w:rsidR="0082364D" w:rsidRDefault="00BF2824">
      <w:pPr>
        <w:spacing w:line="360" w:lineRule="auto"/>
        <w:ind w:firstLineChars="200" w:firstLine="420"/>
        <w:jc w:val="left"/>
        <w:rPr>
          <w:rFonts w:ascii="宋体" w:hAnsi="宋体"/>
          <w:bCs/>
        </w:rPr>
      </w:pPr>
      <w:r>
        <w:rPr>
          <w:rFonts w:ascii="宋体" w:hAnsi="宋体"/>
          <w:bCs/>
        </w:rPr>
        <w:t>基金管理人不得在基金合同约定之外的日期或者时间办理基金份额的申购、赎回。投资人在基金合同约定之外的日期和时间提出申购、赎回申请且登记</w:t>
      </w:r>
      <w:r>
        <w:rPr>
          <w:rFonts w:ascii="宋体" w:hAnsi="宋体" w:hint="eastAsia"/>
          <w:bCs/>
        </w:rPr>
        <w:t>结算</w:t>
      </w:r>
      <w:r>
        <w:rPr>
          <w:rFonts w:ascii="宋体" w:hAnsi="宋体"/>
          <w:bCs/>
        </w:rPr>
        <w:t>机构确认接</w:t>
      </w:r>
      <w:r>
        <w:rPr>
          <w:rFonts w:ascii="宋体" w:hAnsi="宋体" w:hint="eastAsia"/>
          <w:bCs/>
        </w:rPr>
        <w:t>收</w:t>
      </w:r>
      <w:r>
        <w:rPr>
          <w:rFonts w:ascii="宋体" w:hAnsi="宋体"/>
          <w:bCs/>
        </w:rPr>
        <w:t>的，</w:t>
      </w:r>
      <w:r>
        <w:rPr>
          <w:rFonts w:ascii="宋体" w:hAnsi="宋体" w:hint="eastAsia"/>
          <w:bCs/>
        </w:rPr>
        <w:t>视为投资人在下一开放日提出的申购、赎回申请，并按照下一开放日的申请处理</w:t>
      </w:r>
      <w:r>
        <w:rPr>
          <w:rFonts w:ascii="宋体" w:hAnsi="宋体"/>
          <w:bCs/>
        </w:rPr>
        <w:t>。</w:t>
      </w:r>
    </w:p>
    <w:p w14:paraId="4CE7FCDC" w14:textId="77777777" w:rsidR="0082364D" w:rsidRDefault="00BF2824">
      <w:pPr>
        <w:spacing w:line="360" w:lineRule="auto"/>
        <w:ind w:firstLineChars="200" w:firstLine="420"/>
        <w:jc w:val="left"/>
      </w:pPr>
      <w:r>
        <w:rPr>
          <w:rFonts w:ascii="宋体" w:hAnsi="宋体"/>
        </w:rPr>
        <w:t>（三）申购和赎回的数额限制</w:t>
      </w:r>
    </w:p>
    <w:p w14:paraId="7ADC6147" w14:textId="77777777" w:rsidR="0082364D" w:rsidRDefault="00BF2824">
      <w:pPr>
        <w:spacing w:line="360" w:lineRule="auto"/>
        <w:ind w:firstLineChars="200" w:firstLine="420"/>
        <w:jc w:val="left"/>
        <w:rPr>
          <w:rFonts w:ascii="宋体" w:hAnsi="宋体"/>
        </w:rPr>
      </w:pPr>
      <w:r>
        <w:rPr>
          <w:rFonts w:ascii="宋体" w:hAnsi="宋体" w:hint="eastAsia"/>
        </w:rPr>
        <w:t>1、投资人申购、赎回的基金份额需为最小申购赎回单位的整数倍。本基金最小申购赎</w:t>
      </w:r>
      <w:r>
        <w:rPr>
          <w:rFonts w:ascii="宋体" w:hAnsi="宋体" w:hint="eastAsia"/>
        </w:rPr>
        <w:lastRenderedPageBreak/>
        <w:t>回单位请参考届时发布的申购、赎回相关公告以及申购赎回清单。基金管理人可根据基金运作情况、市场变化以及投资者需求等因素，对基金的最小申购赎回单位进行调整并提前公告。</w:t>
      </w:r>
    </w:p>
    <w:p w14:paraId="738CED6E" w14:textId="77777777" w:rsidR="0082364D" w:rsidRDefault="00BF2824">
      <w:pPr>
        <w:spacing w:line="360" w:lineRule="auto"/>
        <w:ind w:firstLineChars="200" w:firstLine="420"/>
        <w:jc w:val="left"/>
        <w:rPr>
          <w:rFonts w:ascii="宋体" w:hAnsi="宋体"/>
        </w:rPr>
      </w:pPr>
      <w:r>
        <w:rPr>
          <w:rFonts w:ascii="宋体" w:hAnsi="宋体" w:hint="eastAsia"/>
        </w:rPr>
        <w:t>2、当接受申购申请对存量基金份额持有人利益构成潜在重大不利影响时，基金管理人应当采取设定单一投资者申购份额上限、拒绝大额申购、暂停基金申购等措施，切实保护存量基金份额持有人的合法权益。基金管理人基于投资运作与风险控制的需要，可采取上述措施对基金规模予以控制。具体见基金管理人相关公告。</w:t>
      </w:r>
    </w:p>
    <w:p w14:paraId="007D92EB" w14:textId="77777777" w:rsidR="0082364D" w:rsidRDefault="00BF2824">
      <w:pPr>
        <w:spacing w:line="360" w:lineRule="auto"/>
        <w:ind w:firstLineChars="200" w:firstLine="420"/>
        <w:jc w:val="left"/>
        <w:rPr>
          <w:rFonts w:ascii="宋体" w:hAnsi="宋体"/>
        </w:rPr>
      </w:pPr>
      <w:r>
        <w:rPr>
          <w:rFonts w:ascii="宋体" w:hAnsi="宋体" w:hint="eastAsia"/>
        </w:rPr>
        <w:t>3、基金管理人可以根据市场情况、市场变化以及投资者需求等因素，在法律法规允许的情况下，调整申购和赎回的数量或比例限制。基金管理人必须在调整前依照《信息披露办法》的有关规定在规定媒介上公告。</w:t>
      </w:r>
    </w:p>
    <w:p w14:paraId="6C7A01E2" w14:textId="77777777" w:rsidR="0082364D" w:rsidRDefault="00BF2824">
      <w:pPr>
        <w:spacing w:line="360" w:lineRule="auto"/>
        <w:ind w:firstLineChars="200" w:firstLine="420"/>
        <w:jc w:val="left"/>
        <w:rPr>
          <w:rFonts w:ascii="宋体" w:hAnsi="宋体"/>
        </w:rPr>
      </w:pPr>
      <w:r>
        <w:rPr>
          <w:rFonts w:ascii="宋体" w:hAnsi="宋体" w:hint="eastAsia"/>
        </w:rPr>
        <w:t>4、根据基金管理人及本基金的外汇额度（外汇额度需折算为人民币）或本基金的实际情况，基金管理人可控制基金申购规模并暂停基金的申购。具体见基金管理人相关公告。</w:t>
      </w:r>
    </w:p>
    <w:p w14:paraId="1FA72401" w14:textId="77777777" w:rsidR="0082364D" w:rsidRDefault="00BF2824">
      <w:pPr>
        <w:spacing w:line="360" w:lineRule="auto"/>
        <w:ind w:firstLineChars="200" w:firstLine="420"/>
        <w:jc w:val="left"/>
      </w:pPr>
      <w:r>
        <w:rPr>
          <w:rFonts w:ascii="宋体" w:hAnsi="宋体"/>
        </w:rPr>
        <w:t>（四）申购和赎回的原则</w:t>
      </w:r>
    </w:p>
    <w:p w14:paraId="6A1D04C4" w14:textId="77777777" w:rsidR="0082364D" w:rsidRDefault="00BF2824">
      <w:pPr>
        <w:spacing w:line="360" w:lineRule="auto"/>
        <w:ind w:firstLineChars="200" w:firstLine="420"/>
        <w:jc w:val="left"/>
        <w:rPr>
          <w:rFonts w:ascii="宋体" w:hAnsi="宋体"/>
        </w:rPr>
      </w:pPr>
      <w:r>
        <w:rPr>
          <w:rFonts w:ascii="宋体" w:hAnsi="宋体" w:hint="eastAsia"/>
        </w:rPr>
        <w:t>1、基金采用份额申购和份额赎回的方式，即申购和赎回均以份额申请。</w:t>
      </w:r>
    </w:p>
    <w:p w14:paraId="764CBB33" w14:textId="77777777" w:rsidR="0082364D" w:rsidRDefault="00BF2824">
      <w:pPr>
        <w:spacing w:line="360" w:lineRule="auto"/>
        <w:ind w:firstLineChars="200" w:firstLine="420"/>
        <w:jc w:val="left"/>
        <w:rPr>
          <w:rFonts w:ascii="宋体" w:hAnsi="宋体"/>
        </w:rPr>
      </w:pPr>
      <w:r>
        <w:rPr>
          <w:rFonts w:ascii="宋体" w:hAnsi="宋体" w:hint="eastAsia"/>
        </w:rPr>
        <w:t>2、基金的申购对价、赎回对价包括现金替代、现金差额及其他对价；在条件允许的情况下基金管理人可以调整基金的申购赎回方式及申购对价、赎回对价组成。</w:t>
      </w:r>
    </w:p>
    <w:p w14:paraId="78B69839" w14:textId="77777777" w:rsidR="0082364D" w:rsidRDefault="00BF2824">
      <w:pPr>
        <w:spacing w:line="360" w:lineRule="auto"/>
        <w:ind w:firstLineChars="200" w:firstLine="420"/>
        <w:jc w:val="left"/>
        <w:rPr>
          <w:rFonts w:ascii="宋体" w:hAnsi="宋体"/>
        </w:rPr>
      </w:pPr>
      <w:r>
        <w:rPr>
          <w:rFonts w:ascii="宋体" w:hAnsi="宋体" w:hint="eastAsia"/>
        </w:rPr>
        <w:t>3、申购、赎回申请提交后不得撤销。</w:t>
      </w:r>
    </w:p>
    <w:p w14:paraId="0FFAB6ED" w14:textId="77777777" w:rsidR="0082364D" w:rsidRDefault="00BF2824">
      <w:pPr>
        <w:spacing w:line="360" w:lineRule="auto"/>
        <w:ind w:firstLineChars="200" w:firstLine="420"/>
        <w:jc w:val="left"/>
        <w:rPr>
          <w:rFonts w:ascii="宋体" w:hAnsi="宋体"/>
        </w:rPr>
      </w:pPr>
      <w:r>
        <w:rPr>
          <w:rFonts w:ascii="宋体" w:hAnsi="宋体" w:hint="eastAsia"/>
        </w:rPr>
        <w:t>4、申购、赎回应遵守业务规则的规定。</w:t>
      </w:r>
    </w:p>
    <w:p w14:paraId="20484B16" w14:textId="77777777" w:rsidR="0082364D" w:rsidRDefault="00BF2824">
      <w:pPr>
        <w:spacing w:line="360" w:lineRule="auto"/>
        <w:ind w:firstLineChars="200" w:firstLine="420"/>
        <w:jc w:val="left"/>
        <w:rPr>
          <w:rFonts w:ascii="宋体" w:hAnsi="宋体"/>
        </w:rPr>
      </w:pPr>
      <w:r>
        <w:rPr>
          <w:rFonts w:ascii="宋体" w:hAnsi="宋体" w:hint="eastAsia"/>
        </w:rPr>
        <w:t>5、本基金申购、赎回的币种为人民币；基金管理人可以在不违反法律法规规定的情况下，增加其他币种的申购、赎回，其他币种申购、赎回的具体规则届时将另行公告。</w:t>
      </w:r>
    </w:p>
    <w:p w14:paraId="10754C2F" w14:textId="77777777" w:rsidR="0082364D" w:rsidRDefault="00BF2824">
      <w:pPr>
        <w:spacing w:line="360" w:lineRule="auto"/>
        <w:ind w:firstLineChars="200" w:firstLine="420"/>
        <w:jc w:val="left"/>
        <w:rPr>
          <w:rFonts w:ascii="宋体" w:hAnsi="宋体"/>
        </w:rPr>
      </w:pPr>
      <w:r>
        <w:rPr>
          <w:rFonts w:ascii="宋体" w:hAnsi="宋体" w:hint="eastAsia"/>
        </w:rPr>
        <w:t>6、办理申购、赎回业务时，应当遵循基金份额持有人利益优先原则，确保投资者的合法权益不受损害并得到公平对待。</w:t>
      </w:r>
    </w:p>
    <w:p w14:paraId="7EF85B98" w14:textId="77777777" w:rsidR="0082364D" w:rsidRDefault="00BF2824">
      <w:pPr>
        <w:spacing w:line="360" w:lineRule="auto"/>
        <w:ind w:firstLineChars="200" w:firstLine="420"/>
        <w:jc w:val="left"/>
        <w:rPr>
          <w:rFonts w:ascii="宋体" w:hAnsi="宋体"/>
        </w:rPr>
      </w:pPr>
      <w:r>
        <w:rPr>
          <w:rFonts w:ascii="宋体" w:hAnsi="宋体" w:hint="eastAsia"/>
        </w:rPr>
        <w:t>基金管理人可在不违反法律法规且对持有人利益无实质性不利影响的情况下，或依据深圳证券交易所或登记结算机构相关规则及其变更调整，对上述原则进行调整。基金管理人必须在新规则开始实施前依照《信息披露办法》的有关规定在规定媒介上公告。</w:t>
      </w:r>
    </w:p>
    <w:p w14:paraId="18DEE316" w14:textId="77777777" w:rsidR="0082364D" w:rsidRDefault="00BF2824">
      <w:pPr>
        <w:spacing w:line="360" w:lineRule="auto"/>
        <w:ind w:firstLineChars="200" w:firstLine="420"/>
        <w:jc w:val="left"/>
      </w:pPr>
      <w:r>
        <w:rPr>
          <w:rFonts w:ascii="宋体" w:hAnsi="宋体"/>
        </w:rPr>
        <w:t>（五）申购和赎回的程序</w:t>
      </w:r>
    </w:p>
    <w:p w14:paraId="39BA890D" w14:textId="77777777" w:rsidR="0082364D" w:rsidRDefault="00BF2824">
      <w:pPr>
        <w:spacing w:line="360" w:lineRule="auto"/>
        <w:ind w:firstLineChars="200" w:firstLine="420"/>
        <w:jc w:val="left"/>
        <w:rPr>
          <w:rFonts w:ascii="宋体" w:hAnsi="宋体"/>
        </w:rPr>
      </w:pPr>
      <w:r>
        <w:rPr>
          <w:rFonts w:ascii="宋体" w:hAnsi="宋体" w:hint="eastAsia"/>
        </w:rPr>
        <w:t>1、申购和赎回的申请方式</w:t>
      </w:r>
    </w:p>
    <w:p w14:paraId="44288B31" w14:textId="77777777" w:rsidR="0082364D" w:rsidRDefault="00BF2824">
      <w:pPr>
        <w:spacing w:line="360" w:lineRule="auto"/>
        <w:ind w:firstLineChars="200" w:firstLine="420"/>
        <w:jc w:val="left"/>
        <w:rPr>
          <w:rFonts w:ascii="宋体" w:hAnsi="宋体"/>
        </w:rPr>
      </w:pPr>
      <w:r>
        <w:rPr>
          <w:rFonts w:ascii="宋体" w:hAnsi="宋体" w:hint="eastAsia"/>
        </w:rPr>
        <w:t>投资人必须根据申购赎回代理券商或基金管理人规定的程序，在开放日的具体业务办理时间内提出申购或赎回的申请。</w:t>
      </w:r>
    </w:p>
    <w:p w14:paraId="6270BDFA" w14:textId="77777777" w:rsidR="0082364D" w:rsidRDefault="00BF2824">
      <w:pPr>
        <w:spacing w:line="360" w:lineRule="auto"/>
        <w:ind w:firstLineChars="200" w:firstLine="420"/>
        <w:jc w:val="left"/>
        <w:rPr>
          <w:rFonts w:ascii="宋体" w:hAnsi="宋体"/>
        </w:rPr>
      </w:pPr>
      <w:r>
        <w:rPr>
          <w:rFonts w:ascii="宋体" w:hAnsi="宋体" w:hint="eastAsia"/>
        </w:rPr>
        <w:t>投资人在提交申购申请时须按申购赎回清单的规定备足申购对价，投资人在提交赎回</w:t>
      </w:r>
      <w:r>
        <w:rPr>
          <w:rFonts w:ascii="宋体" w:hAnsi="宋体" w:hint="eastAsia"/>
        </w:rPr>
        <w:lastRenderedPageBreak/>
        <w:t>申请时须持有足够的基金份额余额和现金，否则所提交的申购、赎回申请无效。</w:t>
      </w:r>
    </w:p>
    <w:p w14:paraId="1A34FE3C" w14:textId="77777777" w:rsidR="0082364D" w:rsidRDefault="00BF2824">
      <w:pPr>
        <w:spacing w:line="360" w:lineRule="auto"/>
        <w:ind w:firstLineChars="200" w:firstLine="420"/>
        <w:jc w:val="left"/>
        <w:rPr>
          <w:rFonts w:ascii="宋体" w:hAnsi="宋体"/>
        </w:rPr>
      </w:pPr>
      <w:r>
        <w:rPr>
          <w:rFonts w:ascii="宋体" w:hAnsi="宋体" w:hint="eastAsia"/>
        </w:rPr>
        <w:t>2、申购和赎回申请的确认</w:t>
      </w:r>
    </w:p>
    <w:p w14:paraId="7E09F22D" w14:textId="77777777" w:rsidR="0082364D" w:rsidRDefault="00BF2824">
      <w:pPr>
        <w:spacing w:line="360" w:lineRule="auto"/>
        <w:ind w:firstLineChars="200" w:firstLine="420"/>
        <w:jc w:val="left"/>
        <w:rPr>
          <w:rFonts w:ascii="宋体" w:hAnsi="宋体"/>
        </w:rPr>
      </w:pPr>
      <w:r>
        <w:rPr>
          <w:rFonts w:ascii="宋体" w:hAnsi="宋体" w:hint="eastAsia"/>
        </w:rPr>
        <w:t>本基金申购申请、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5E9C92E5" w14:textId="77777777" w:rsidR="0082364D" w:rsidRDefault="00BF2824">
      <w:pPr>
        <w:spacing w:line="360" w:lineRule="auto"/>
        <w:ind w:firstLineChars="200" w:firstLine="420"/>
        <w:jc w:val="left"/>
        <w:rPr>
          <w:rFonts w:ascii="宋体" w:hAnsi="宋体"/>
        </w:rPr>
      </w:pPr>
      <w:r>
        <w:rPr>
          <w:rFonts w:ascii="宋体" w:hAnsi="宋体"/>
        </w:rPr>
        <w:t>3、申购和赎回的清算交收与登记</w:t>
      </w:r>
    </w:p>
    <w:p w14:paraId="37BC406C" w14:textId="77777777" w:rsidR="0082364D" w:rsidRDefault="00BF2824">
      <w:pPr>
        <w:pStyle w:val="af8"/>
        <w:widowControl/>
        <w:rPr>
          <w:rFonts w:hAnsi="宋体"/>
        </w:rPr>
      </w:pPr>
      <w:r>
        <w:rPr>
          <w:rFonts w:hAnsi="宋体"/>
        </w:rPr>
        <w:t>本基金申购赎回过程中涉及的基金份额、现金替代、现金差额及其他对价的清算交收适用</w:t>
      </w:r>
      <w:r>
        <w:rPr>
          <w:rFonts w:hAnsi="宋体" w:hint="eastAsia"/>
        </w:rPr>
        <w:t>相关业务规则</w:t>
      </w:r>
      <w:r>
        <w:rPr>
          <w:rFonts w:hAnsi="宋体"/>
        </w:rPr>
        <w:t>和参与各方相关协议</w:t>
      </w:r>
      <w:r>
        <w:rPr>
          <w:rFonts w:hAnsi="宋体" w:hint="eastAsia"/>
        </w:rPr>
        <w:t>及其不时修订</w:t>
      </w:r>
      <w:r>
        <w:rPr>
          <w:rFonts w:hAnsi="宋体"/>
        </w:rPr>
        <w:t>的有关规定。</w:t>
      </w:r>
    </w:p>
    <w:p w14:paraId="4C0031EC" w14:textId="77777777" w:rsidR="0082364D" w:rsidRDefault="00BF2824">
      <w:pPr>
        <w:pStyle w:val="af8"/>
        <w:widowControl/>
        <w:rPr>
          <w:rFonts w:hAnsi="宋体"/>
        </w:rPr>
      </w:pPr>
      <w:r>
        <w:rPr>
          <w:rFonts w:hAnsi="宋体" w:hint="eastAsia"/>
        </w:rPr>
        <w:t>本基金现金申购业务中的现金替代采用逐笔全额结算（T日日间 RTGS交收+T日日终逐笔全额非担保交收）处理；现金赎回业务中的现金替代采用代收代付处理；现金申购、赎回业务涉及的现金差额和现金替代退补款采用代收代付处理。</w:t>
      </w:r>
    </w:p>
    <w:p w14:paraId="3E87F789" w14:textId="77777777" w:rsidR="0082364D" w:rsidRDefault="00BF2824">
      <w:pPr>
        <w:pStyle w:val="af8"/>
        <w:widowControl/>
        <w:rPr>
          <w:rFonts w:hAnsi="宋体"/>
        </w:rPr>
      </w:pPr>
      <w:r>
        <w:rPr>
          <w:rFonts w:hAnsi="宋体"/>
        </w:rPr>
        <w:t>投资者T</w:t>
      </w:r>
      <w:r>
        <w:rPr>
          <w:rFonts w:hAnsi="宋体" w:hint="eastAsia"/>
        </w:rPr>
        <w:t>日现金申购后，正常情况下，如选择采用</w:t>
      </w:r>
      <w:r>
        <w:rPr>
          <w:rFonts w:hAnsi="宋体"/>
        </w:rPr>
        <w:t>RTGS</w:t>
      </w:r>
      <w:r>
        <w:rPr>
          <w:rFonts w:hAnsi="宋体" w:hint="eastAsia"/>
        </w:rPr>
        <w:t>交收且申购资金足额的，登记结算机构在</w:t>
      </w:r>
      <w:r>
        <w:rPr>
          <w:rFonts w:hAnsi="宋体"/>
        </w:rPr>
        <w:t>T</w:t>
      </w:r>
      <w:r>
        <w:rPr>
          <w:rFonts w:hAnsi="宋体" w:hint="eastAsia"/>
        </w:rPr>
        <w:t>日日间实时办理基金份额及现金替代的清算交收；</w:t>
      </w:r>
      <w:r>
        <w:rPr>
          <w:rFonts w:hAnsi="宋体"/>
        </w:rPr>
        <w:t>T</w:t>
      </w:r>
      <w:r>
        <w:rPr>
          <w:rFonts w:hAnsi="宋体" w:hint="eastAsia"/>
        </w:rPr>
        <w:t>日日间资金不足或不选择</w:t>
      </w:r>
      <w:r>
        <w:rPr>
          <w:rFonts w:hAnsi="宋体"/>
        </w:rPr>
        <w:t>RTGS</w:t>
      </w:r>
      <w:r>
        <w:rPr>
          <w:rFonts w:hAnsi="宋体" w:hint="eastAsia"/>
        </w:rPr>
        <w:t>交收的，登记结算机构在</w:t>
      </w:r>
      <w:r>
        <w:rPr>
          <w:rFonts w:hAnsi="宋体"/>
        </w:rPr>
        <w:t xml:space="preserve">T </w:t>
      </w:r>
      <w:r>
        <w:rPr>
          <w:rFonts w:hAnsi="宋体" w:hint="eastAsia"/>
        </w:rPr>
        <w:t>日收市后办理基金份额及现金替代的清算交收，并将结果发送给基金管理人、申购赎回代理券商和基金托管人。基金管理人在</w:t>
      </w:r>
      <w:r>
        <w:rPr>
          <w:rFonts w:hAnsi="宋体"/>
        </w:rPr>
        <w:t>T+2</w:t>
      </w:r>
      <w:r>
        <w:rPr>
          <w:rFonts w:hAnsi="宋体" w:hint="eastAsia"/>
        </w:rPr>
        <w:t>日办理现金差额的清算，在</w:t>
      </w:r>
      <w:r>
        <w:rPr>
          <w:rFonts w:hAnsi="宋体"/>
        </w:rPr>
        <w:t>T+3</w:t>
      </w:r>
      <w:r>
        <w:rPr>
          <w:rFonts w:hAnsi="宋体" w:hint="eastAsia"/>
        </w:rPr>
        <w:t>日办理现金差额的交收。</w:t>
      </w:r>
    </w:p>
    <w:p w14:paraId="01302395" w14:textId="77777777" w:rsidR="0082364D" w:rsidRDefault="00BF2824">
      <w:pPr>
        <w:pStyle w:val="af8"/>
        <w:widowControl/>
        <w:rPr>
          <w:rFonts w:hAnsi="宋体"/>
        </w:rPr>
      </w:pPr>
      <w:r>
        <w:rPr>
          <w:rFonts w:hAnsi="宋体" w:hint="eastAsia"/>
        </w:rPr>
        <w:t>投资者T日提交的现金赎回申请受理后，登记结算机构在T日收市后为投资者办理基金份额的清算，在T日办理基金份额的交收，并将结果发送给基金管理人、申购赎回代理券商和基金托管人。基金管理人在T+</w:t>
      </w:r>
      <w:r>
        <w:rPr>
          <w:rFonts w:hAnsi="宋体"/>
        </w:rPr>
        <w:t>2</w:t>
      </w:r>
      <w:r>
        <w:rPr>
          <w:rFonts w:hAnsi="宋体" w:hint="eastAsia"/>
        </w:rPr>
        <w:t>日办理现金差额的清算，在T+</w:t>
      </w:r>
      <w:r>
        <w:rPr>
          <w:rFonts w:hAnsi="宋体"/>
        </w:rPr>
        <w:t>3</w:t>
      </w:r>
      <w:r>
        <w:rPr>
          <w:rFonts w:hAnsi="宋体" w:hint="eastAsia"/>
        </w:rPr>
        <w:t>日办理现金差额的交收。赎回的现金替代款将自有效赎回申请之日起10个工作日内划往基金份额持有人账户。</w:t>
      </w:r>
    </w:p>
    <w:p w14:paraId="2ED1B251" w14:textId="77777777" w:rsidR="0082364D" w:rsidRDefault="00BF2824">
      <w:pPr>
        <w:pStyle w:val="af8"/>
        <w:widowControl/>
        <w:rPr>
          <w:rFonts w:hAnsi="宋体"/>
        </w:rPr>
      </w:pPr>
      <w:r>
        <w:rPr>
          <w:rFonts w:hAnsi="宋体" w:hint="eastAsia"/>
        </w:rPr>
        <w:t>外管局相关规定有变更或本基金境外投资主要市场的交易清算规则有变更时，申购赎回现金替代款支付时间将相应调整。当基金境外投资主要市场休市或暂停交易时，赎回现金替代款支付的时间顺延。</w:t>
      </w:r>
    </w:p>
    <w:p w14:paraId="3DB2A731" w14:textId="77777777" w:rsidR="0082364D" w:rsidRDefault="00BF2824">
      <w:pPr>
        <w:pStyle w:val="af8"/>
        <w:widowControl/>
        <w:rPr>
          <w:rFonts w:hAnsi="宋体"/>
        </w:rPr>
      </w:pPr>
      <w:r>
        <w:rPr>
          <w:rFonts w:hAnsi="宋体" w:hint="eastAsia"/>
        </w:rPr>
        <w:t>对于因申购赎回代理券商交收资金不足，导致投资者现金申购失败的情形，按照申购赎回代理券商的相关规则处理。</w:t>
      </w:r>
    </w:p>
    <w:p w14:paraId="09C4D902" w14:textId="77777777" w:rsidR="0082364D" w:rsidRDefault="00BF2824">
      <w:pPr>
        <w:pStyle w:val="af8"/>
        <w:rPr>
          <w:rFonts w:hAnsi="宋体"/>
        </w:rPr>
      </w:pPr>
      <w:r>
        <w:rPr>
          <w:rFonts w:hAnsi="宋体" w:hint="eastAsia"/>
        </w:rPr>
        <w:t>如果登记结算机构和基金管理人在清算交收时发现不能正常履约的情形，则依据业务规则和参与各方相关协议及其不时修订的有关规定进行处理。</w:t>
      </w:r>
    </w:p>
    <w:p w14:paraId="5FC5E78F" w14:textId="77777777" w:rsidR="0082364D" w:rsidRDefault="00BF2824">
      <w:pPr>
        <w:pStyle w:val="af8"/>
        <w:rPr>
          <w:rFonts w:hAnsi="宋体"/>
        </w:rPr>
      </w:pPr>
      <w:r>
        <w:rPr>
          <w:rFonts w:hAnsi="宋体" w:hint="eastAsia"/>
        </w:rPr>
        <w:t>基金管理人、深圳证券交易所、登记结算机构可在法律法规允许的范围内，对基金份额申购赎回的程序以及清算交收和登记的办理时间、方式、处理规则等进行调整，基金管理人应最迟于开始实施前依照《信息披露办法》的有关规定在规定媒介上公告。</w:t>
      </w:r>
    </w:p>
    <w:p w14:paraId="46513DE1" w14:textId="77777777" w:rsidR="0082364D" w:rsidRDefault="00BF2824">
      <w:pPr>
        <w:spacing w:line="360" w:lineRule="auto"/>
        <w:ind w:firstLineChars="200" w:firstLine="420"/>
        <w:jc w:val="left"/>
      </w:pPr>
      <w:r>
        <w:rPr>
          <w:rFonts w:ascii="宋体" w:hAnsi="宋体"/>
        </w:rPr>
        <w:lastRenderedPageBreak/>
        <w:t>（六）申购、赎回的对价、费用</w:t>
      </w:r>
    </w:p>
    <w:p w14:paraId="35BFADEA" w14:textId="77777777" w:rsidR="0082364D" w:rsidRDefault="00BF2824">
      <w:pPr>
        <w:spacing w:line="360" w:lineRule="auto"/>
        <w:ind w:firstLineChars="200" w:firstLine="420"/>
        <w:jc w:val="left"/>
        <w:rPr>
          <w:rFonts w:ascii="宋体" w:hAnsi="宋体"/>
          <w:bCs/>
          <w:szCs w:val="21"/>
        </w:rPr>
      </w:pPr>
      <w:r>
        <w:rPr>
          <w:rFonts w:ascii="宋体" w:hAnsi="宋体" w:hint="eastAsia"/>
          <w:bCs/>
          <w:szCs w:val="21"/>
        </w:rPr>
        <w:t>1、申购对价是指投资者申购基金份额时应交付的现金替代、现金差额及其他对价。赎回对价是指基金份额持有人赎回基金份额时，基金管理人应交付的现金替代、现金差额及其他对价。申购对价、赎回对价根据申购赎回清单和投资者申购、赎回的基金份额数额确定。</w:t>
      </w:r>
    </w:p>
    <w:p w14:paraId="157FC74C" w14:textId="77777777" w:rsidR="0082364D" w:rsidRDefault="00BF2824">
      <w:pPr>
        <w:spacing w:line="360" w:lineRule="auto"/>
        <w:ind w:firstLineChars="200" w:firstLine="420"/>
        <w:jc w:val="left"/>
        <w:rPr>
          <w:rFonts w:ascii="宋体" w:hAnsi="宋体"/>
          <w:bCs/>
          <w:szCs w:val="21"/>
        </w:rPr>
      </w:pPr>
      <w:r>
        <w:rPr>
          <w:rFonts w:ascii="宋体" w:hAnsi="宋体" w:hint="eastAsia"/>
          <w:bCs/>
          <w:szCs w:val="21"/>
        </w:rPr>
        <w:t>2、投资者在申购或赎回基金份额时，申购赎回代理券商可按照不超过0</w:t>
      </w:r>
      <w:r>
        <w:rPr>
          <w:rFonts w:ascii="宋体" w:hAnsi="宋体"/>
          <w:bCs/>
          <w:szCs w:val="21"/>
        </w:rPr>
        <w:t>.5</w:t>
      </w:r>
      <w:r>
        <w:rPr>
          <w:rFonts w:ascii="宋体" w:hAnsi="宋体" w:hint="eastAsia"/>
          <w:bCs/>
          <w:szCs w:val="21"/>
        </w:rPr>
        <w:t>%的标准收取佣金，其中包含证券交易所、登记结算机构等收取的相关费用。</w:t>
      </w:r>
    </w:p>
    <w:p w14:paraId="620D678E" w14:textId="77777777" w:rsidR="0082364D" w:rsidRDefault="00BF2824">
      <w:pPr>
        <w:spacing w:line="360" w:lineRule="auto"/>
        <w:ind w:firstLineChars="200" w:firstLine="420"/>
        <w:jc w:val="left"/>
        <w:rPr>
          <w:rFonts w:ascii="宋体" w:hAnsi="宋体"/>
        </w:rPr>
      </w:pPr>
      <w:r>
        <w:rPr>
          <w:rFonts w:ascii="宋体" w:hAnsi="宋体" w:hint="eastAsia"/>
          <w:bCs/>
          <w:szCs w:val="21"/>
        </w:rPr>
        <w:t>3、本基金基金份额净值的计算，保留到小数点后4位，小数点后第5位四舍五入，由此产生的收益或损失由基金财产承担。T 日的基金份额净值在T+1日计算，并在T+2日内公告，计算公式为计算日基金资产净值除以计算日发售在外的基金份额总数。遇特殊情况，经履行适当程序，可以适当延迟计算或公告。申购赎回清单由基金管理人编制。T日的申购赎回清单在当日深圳证券交易所开市前公告。申购赎回清单的内容与格式详见《招募说明书》。未来，若市场情况发生变化，或相关业务规则发生变化，基金管理人可以在不违反相关法律法规的情况下对基金份额净值、申购赎回清单的计算和公告时间进行调整并提前公告。</w:t>
      </w:r>
    </w:p>
    <w:bookmarkEnd w:id="49"/>
    <w:p w14:paraId="374A8E39" w14:textId="77777777" w:rsidR="0082364D" w:rsidRDefault="00BF2824">
      <w:pPr>
        <w:spacing w:line="360" w:lineRule="auto"/>
        <w:ind w:firstLineChars="200" w:firstLine="420"/>
        <w:jc w:val="left"/>
      </w:pPr>
      <w:r>
        <w:rPr>
          <w:rFonts w:ascii="宋体" w:hAnsi="宋体"/>
        </w:rPr>
        <w:t>（七）申购赎回清单的内容与格式</w:t>
      </w:r>
    </w:p>
    <w:p w14:paraId="05F634D6" w14:textId="77777777" w:rsidR="0082364D" w:rsidRDefault="00BF2824">
      <w:pPr>
        <w:spacing w:line="360" w:lineRule="auto"/>
        <w:ind w:firstLineChars="200" w:firstLine="420"/>
        <w:rPr>
          <w:rFonts w:ascii="宋体" w:hAnsi="宋体"/>
        </w:rPr>
      </w:pPr>
      <w:r>
        <w:rPr>
          <w:rFonts w:ascii="宋体" w:hAnsi="宋体" w:hint="eastAsia"/>
        </w:rPr>
        <w:t>1、申购赎回清单的内容</w:t>
      </w:r>
    </w:p>
    <w:p w14:paraId="5155A698" w14:textId="77777777" w:rsidR="0082364D" w:rsidRDefault="00BF2824">
      <w:pPr>
        <w:spacing w:line="360" w:lineRule="auto"/>
        <w:ind w:firstLineChars="200" w:firstLine="420"/>
        <w:rPr>
          <w:rFonts w:ascii="宋体" w:hAnsi="宋体"/>
        </w:rPr>
      </w:pPr>
      <w:r>
        <w:rPr>
          <w:rFonts w:ascii="宋体" w:hAnsi="宋体"/>
        </w:rPr>
        <w:t xml:space="preserve">T </w:t>
      </w:r>
      <w:r>
        <w:rPr>
          <w:rFonts w:ascii="宋体" w:hAnsi="宋体" w:hint="eastAsia"/>
        </w:rPr>
        <w:t>日申购赎回清单公告内容包括最小申购、赎回单位所对应的申赎现金、组合证券内各成份证券数据、现金替代、</w:t>
      </w:r>
      <w:r>
        <w:rPr>
          <w:rFonts w:ascii="宋体" w:hAnsi="宋体"/>
        </w:rPr>
        <w:t xml:space="preserve">T </w:t>
      </w:r>
      <w:r>
        <w:rPr>
          <w:rFonts w:ascii="宋体" w:hAnsi="宋体" w:hint="eastAsia"/>
        </w:rPr>
        <w:t>日预估现金部分、</w:t>
      </w:r>
      <w:r>
        <w:rPr>
          <w:rFonts w:ascii="宋体" w:hAnsi="宋体"/>
        </w:rPr>
        <w:t xml:space="preserve">T-2 </w:t>
      </w:r>
      <w:r>
        <w:rPr>
          <w:rFonts w:ascii="宋体" w:hAnsi="宋体" w:hint="eastAsia"/>
        </w:rPr>
        <w:t>日现金差额、</w:t>
      </w:r>
      <w:r>
        <w:rPr>
          <w:rFonts w:ascii="宋体" w:hAnsi="宋体"/>
        </w:rPr>
        <w:t xml:space="preserve">T-2 </w:t>
      </w:r>
      <w:r>
        <w:rPr>
          <w:rFonts w:ascii="宋体" w:hAnsi="宋体" w:hint="eastAsia"/>
        </w:rPr>
        <w:t>日基金份额净值、</w:t>
      </w:r>
      <w:r>
        <w:rPr>
          <w:rFonts w:ascii="宋体" w:hAnsi="宋体"/>
        </w:rPr>
        <w:t xml:space="preserve">T-2 </w:t>
      </w:r>
      <w:r>
        <w:rPr>
          <w:rFonts w:ascii="宋体" w:hAnsi="宋体" w:hint="eastAsia"/>
        </w:rPr>
        <w:t>日最小申购、赎回单位资产净值、申购份额上限和赎回份额上限以及其他相关内容。</w:t>
      </w:r>
    </w:p>
    <w:p w14:paraId="5DE4FF8A" w14:textId="77777777" w:rsidR="0082364D" w:rsidRDefault="00BF2824">
      <w:pPr>
        <w:spacing w:line="360" w:lineRule="auto"/>
        <w:ind w:firstLineChars="200" w:firstLine="420"/>
        <w:rPr>
          <w:rFonts w:ascii="宋体" w:hAnsi="宋体"/>
        </w:rPr>
      </w:pPr>
      <w:r>
        <w:rPr>
          <w:rFonts w:ascii="宋体" w:hAnsi="宋体" w:hint="eastAsia"/>
        </w:rPr>
        <w:t>2、申赎现金</w:t>
      </w:r>
    </w:p>
    <w:p w14:paraId="352C47AC" w14:textId="77777777" w:rsidR="0082364D" w:rsidRDefault="00BF2824">
      <w:pPr>
        <w:spacing w:line="360" w:lineRule="auto"/>
        <w:ind w:firstLineChars="200" w:firstLine="420"/>
        <w:rPr>
          <w:rFonts w:ascii="宋体" w:hAnsi="宋体"/>
        </w:rPr>
      </w:pPr>
      <w:r>
        <w:rPr>
          <w:rFonts w:ascii="宋体" w:hAnsi="宋体" w:hint="eastAsia"/>
        </w:rPr>
        <w:t>“申赎现金”不属于组合成份证券，是为了便于登记结算机构的清算交收安排，在申购赎回清单中增加的虚拟证券。“申赎现金”的现金替代标志为“必须”，但含义与组合成份证券的必须现金替代不同，“申赎现金”的申购替代金额为最小申购单位所对应的成份证券的必须现金替代与可以现金替代金额之和，赎回替代金额固定为0。</w:t>
      </w:r>
    </w:p>
    <w:p w14:paraId="7EC65298" w14:textId="77777777" w:rsidR="0082364D" w:rsidRDefault="00BF2824">
      <w:pPr>
        <w:spacing w:line="360" w:lineRule="auto"/>
        <w:ind w:firstLineChars="200" w:firstLine="420"/>
        <w:rPr>
          <w:rFonts w:ascii="宋体" w:hAnsi="宋体"/>
        </w:rPr>
      </w:pPr>
      <w:r>
        <w:rPr>
          <w:rFonts w:ascii="宋体" w:hAnsi="宋体"/>
        </w:rPr>
        <w:t>3</w:t>
      </w:r>
      <w:r>
        <w:rPr>
          <w:rFonts w:ascii="宋体" w:hAnsi="宋体" w:hint="eastAsia"/>
        </w:rPr>
        <w:t>、组合证券相关内容</w:t>
      </w:r>
    </w:p>
    <w:p w14:paraId="195B8B81" w14:textId="77777777" w:rsidR="0082364D" w:rsidRDefault="00BF2824">
      <w:pPr>
        <w:spacing w:line="360" w:lineRule="auto"/>
        <w:ind w:firstLine="435"/>
        <w:rPr>
          <w:rFonts w:ascii="宋体" w:hAnsi="宋体"/>
        </w:rPr>
      </w:pPr>
      <w:r>
        <w:rPr>
          <w:rFonts w:ascii="宋体" w:hAnsi="宋体"/>
        </w:rPr>
        <w:t>组合证券是指基金标的指数所包含的全部或部分证券。申购赎回清单将公告最小申购赎回单位所对应的各成份证券名称、证券代码及数量。</w:t>
      </w:r>
    </w:p>
    <w:p w14:paraId="6803981F" w14:textId="77777777" w:rsidR="0082364D" w:rsidRDefault="00BF2824">
      <w:pPr>
        <w:spacing w:line="360" w:lineRule="auto"/>
        <w:ind w:firstLine="435"/>
        <w:rPr>
          <w:rFonts w:ascii="宋体" w:hAnsi="宋体"/>
        </w:rPr>
      </w:pPr>
      <w:r>
        <w:rPr>
          <w:rFonts w:ascii="宋体" w:hAnsi="宋体"/>
        </w:rPr>
        <w:t>4</w:t>
      </w:r>
      <w:r>
        <w:rPr>
          <w:rFonts w:ascii="宋体" w:hAnsi="宋体" w:hint="eastAsia"/>
        </w:rPr>
        <w:t>、现金替代相关内容</w:t>
      </w:r>
    </w:p>
    <w:p w14:paraId="6CEFC94E" w14:textId="77777777" w:rsidR="0082364D" w:rsidRDefault="00BF2824">
      <w:pPr>
        <w:spacing w:line="360" w:lineRule="auto"/>
        <w:ind w:firstLine="435"/>
        <w:rPr>
          <w:rFonts w:ascii="宋体" w:hAnsi="宋体"/>
        </w:rPr>
      </w:pPr>
      <w:r>
        <w:rPr>
          <w:rFonts w:ascii="宋体" w:hAnsi="宋体" w:hint="eastAsia"/>
        </w:rPr>
        <w:t>现金替代指申购或赎回过程中，投资人按基金合同和招募说明书的规定，用于替代组合</w:t>
      </w:r>
      <w:r>
        <w:rPr>
          <w:rFonts w:ascii="宋体" w:hAnsi="宋体" w:hint="eastAsia"/>
        </w:rPr>
        <w:lastRenderedPageBreak/>
        <w:t>证券中全部或部分证券的一定数量的现金。</w:t>
      </w:r>
    </w:p>
    <w:p w14:paraId="460AB2B1" w14:textId="77777777" w:rsidR="0082364D" w:rsidRDefault="00BF2824">
      <w:pPr>
        <w:spacing w:line="360" w:lineRule="auto"/>
        <w:ind w:firstLine="435"/>
        <w:rPr>
          <w:rFonts w:ascii="宋体" w:hAnsi="宋体"/>
        </w:rPr>
      </w:pPr>
      <w:r>
        <w:rPr>
          <w:rFonts w:ascii="宋体" w:hAnsi="宋体" w:hint="eastAsia"/>
        </w:rPr>
        <w:t>（1）现金替代分为</w:t>
      </w:r>
      <w:r>
        <w:rPr>
          <w:rFonts w:ascii="宋体" w:hAnsi="宋体"/>
        </w:rPr>
        <w:t>2</w:t>
      </w:r>
      <w:r>
        <w:rPr>
          <w:rFonts w:ascii="宋体" w:hAnsi="宋体" w:hint="eastAsia"/>
        </w:rPr>
        <w:t>种类型：可以现金替代（标志为“允许”）和必须现金替代（标志为“必须”）。</w:t>
      </w:r>
    </w:p>
    <w:p w14:paraId="237605CC" w14:textId="77777777" w:rsidR="0082364D" w:rsidRDefault="00BF2824">
      <w:pPr>
        <w:spacing w:line="360" w:lineRule="auto"/>
        <w:ind w:firstLine="435"/>
        <w:rPr>
          <w:rFonts w:ascii="宋体" w:hAnsi="宋体"/>
        </w:rPr>
      </w:pPr>
      <w:r>
        <w:rPr>
          <w:rFonts w:ascii="宋体" w:hAnsi="宋体" w:hint="eastAsia"/>
        </w:rPr>
        <w:t>可以现金替代是指在申购、赎回基金份额时，允许使用现金作为全部或部分该成份证券的替代，替代金额按代理买卖原则确定。</w:t>
      </w:r>
    </w:p>
    <w:p w14:paraId="01C92041" w14:textId="77777777" w:rsidR="0082364D" w:rsidRDefault="00BF2824">
      <w:pPr>
        <w:spacing w:line="360" w:lineRule="auto"/>
        <w:ind w:firstLine="435"/>
        <w:rPr>
          <w:rFonts w:ascii="宋体" w:hAnsi="宋体"/>
        </w:rPr>
      </w:pPr>
      <w:r>
        <w:rPr>
          <w:rFonts w:ascii="宋体" w:hAnsi="宋体" w:hint="eastAsia"/>
        </w:rPr>
        <w:t>必须现金替代是指在申购、赎回基金份额时，该成份证券必须使用现金作为替代，采取固定替代金额。</w:t>
      </w:r>
    </w:p>
    <w:p w14:paraId="1BE7197C" w14:textId="77777777" w:rsidR="0082364D" w:rsidRDefault="00BF2824">
      <w:pPr>
        <w:spacing w:line="360" w:lineRule="auto"/>
        <w:ind w:firstLine="435"/>
        <w:rPr>
          <w:rFonts w:ascii="宋体" w:hAnsi="宋体"/>
        </w:rPr>
      </w:pPr>
      <w:r>
        <w:rPr>
          <w:rFonts w:ascii="宋体" w:hAnsi="宋体" w:hint="eastAsia"/>
        </w:rPr>
        <w:t>（2）可以</w:t>
      </w:r>
      <w:r>
        <w:rPr>
          <w:rFonts w:ascii="宋体" w:hAnsi="宋体"/>
        </w:rPr>
        <w:t>现金替代</w:t>
      </w:r>
    </w:p>
    <w:p w14:paraId="0BC9628C" w14:textId="77777777" w:rsidR="0082364D" w:rsidRDefault="00BF2824">
      <w:pPr>
        <w:spacing w:line="360" w:lineRule="auto"/>
        <w:ind w:firstLine="435"/>
        <w:rPr>
          <w:rFonts w:ascii="宋体" w:hAnsi="宋体"/>
        </w:rPr>
      </w:pPr>
      <w:r>
        <w:rPr>
          <w:rFonts w:ascii="宋体" w:hAnsi="宋体" w:hint="eastAsia"/>
        </w:rPr>
        <w:t>①适用情形：可以现金替代的证券是指基金管理人认为需要在投资者申购或赎回时代投资者买入或卖出的证券。</w:t>
      </w:r>
    </w:p>
    <w:p w14:paraId="47D65DB1" w14:textId="77777777" w:rsidR="0082364D" w:rsidRDefault="00BF2824">
      <w:pPr>
        <w:spacing w:line="360" w:lineRule="auto"/>
        <w:ind w:firstLine="435"/>
        <w:rPr>
          <w:rFonts w:ascii="宋体" w:hAnsi="宋体"/>
        </w:rPr>
      </w:pPr>
      <w:r>
        <w:rPr>
          <w:rFonts w:ascii="宋体" w:hAnsi="宋体" w:hint="eastAsia"/>
        </w:rPr>
        <w:t>②申购替代金额：</w:t>
      </w:r>
      <w:r>
        <w:rPr>
          <w:rFonts w:ascii="宋体" w:hAnsi="宋体"/>
        </w:rPr>
        <w:t xml:space="preserve"> </w:t>
      </w:r>
    </w:p>
    <w:p w14:paraId="05D5180F" w14:textId="77777777" w:rsidR="0082364D" w:rsidRDefault="00BF2824">
      <w:pPr>
        <w:spacing w:line="360" w:lineRule="auto"/>
        <w:ind w:firstLine="435"/>
        <w:rPr>
          <w:rFonts w:ascii="宋体" w:hAnsi="宋体"/>
        </w:rPr>
      </w:pPr>
      <w:r>
        <w:rPr>
          <w:rFonts w:ascii="宋体" w:hAnsi="宋体" w:hint="eastAsia"/>
        </w:rPr>
        <w:t>替代金额</w:t>
      </w:r>
      <w:r>
        <w:rPr>
          <w:rFonts w:ascii="宋体" w:hAnsi="宋体"/>
        </w:rPr>
        <w:t>=</w:t>
      </w:r>
      <w:r>
        <w:rPr>
          <w:rFonts w:ascii="宋体" w:hAnsi="宋体" w:hint="eastAsia"/>
        </w:rPr>
        <w:t>替代证券数量×该证券经调整后的</w:t>
      </w:r>
      <w:r>
        <w:rPr>
          <w:rFonts w:ascii="宋体" w:hAnsi="宋体"/>
        </w:rPr>
        <w:t>T-2</w:t>
      </w:r>
      <w:r>
        <w:rPr>
          <w:rFonts w:ascii="宋体" w:hAnsi="宋体" w:hint="eastAsia"/>
        </w:rPr>
        <w:t>日收盘价×</w:t>
      </w:r>
      <w:r>
        <w:rPr>
          <w:rFonts w:ascii="宋体" w:hAnsi="宋体"/>
        </w:rPr>
        <w:t>T-2</w:t>
      </w:r>
      <w:r>
        <w:rPr>
          <w:rFonts w:ascii="宋体" w:hAnsi="宋体" w:hint="eastAsia"/>
        </w:rPr>
        <w:t>日估值汇率×</w:t>
      </w:r>
      <w:r>
        <w:rPr>
          <w:rFonts w:ascii="宋体" w:hAnsi="宋体"/>
        </w:rPr>
        <w:t>(1</w:t>
      </w:r>
      <w:r>
        <w:rPr>
          <w:rFonts w:ascii="宋体" w:hAnsi="宋体" w:hint="eastAsia"/>
        </w:rPr>
        <w:t>＋现金替代溢价比例</w:t>
      </w:r>
      <w:r>
        <w:rPr>
          <w:rFonts w:ascii="宋体" w:hAnsi="宋体"/>
        </w:rPr>
        <w:t>)</w:t>
      </w:r>
    </w:p>
    <w:p w14:paraId="78B71F11" w14:textId="77777777" w:rsidR="0082364D" w:rsidRDefault="00BF2824">
      <w:pPr>
        <w:spacing w:line="360" w:lineRule="auto"/>
        <w:ind w:firstLine="435"/>
        <w:rPr>
          <w:rFonts w:ascii="宋体" w:hAnsi="宋体"/>
        </w:rPr>
      </w:pPr>
      <w:r>
        <w:rPr>
          <w:rFonts w:ascii="宋体" w:hAnsi="宋体"/>
        </w:rPr>
        <w:t>“</w:t>
      </w:r>
      <w:r>
        <w:rPr>
          <w:rFonts w:ascii="宋体" w:hAnsi="宋体" w:hint="eastAsia"/>
        </w:rPr>
        <w:t>现金替代溢价比例</w:t>
      </w:r>
      <w:r>
        <w:rPr>
          <w:rFonts w:ascii="宋体" w:hAnsi="宋体"/>
        </w:rPr>
        <w:t>”</w:t>
      </w:r>
      <w:r>
        <w:rPr>
          <w:rFonts w:ascii="宋体" w:hAnsi="宋体" w:hint="eastAsia"/>
        </w:rPr>
        <w:t>也称</w:t>
      </w:r>
      <w:r>
        <w:rPr>
          <w:rFonts w:ascii="宋体" w:hAnsi="宋体"/>
        </w:rPr>
        <w:t>“</w:t>
      </w:r>
      <w:r>
        <w:rPr>
          <w:rFonts w:ascii="宋体" w:hAnsi="宋体" w:hint="eastAsia"/>
        </w:rPr>
        <w:t>现金替代保证金率</w:t>
      </w:r>
      <w:r>
        <w:rPr>
          <w:rFonts w:ascii="宋体" w:hAnsi="宋体"/>
        </w:rPr>
        <w:t>”</w:t>
      </w:r>
      <w:r>
        <w:rPr>
          <w:rFonts w:ascii="宋体" w:hAnsi="宋体" w:hint="eastAsia"/>
        </w:rPr>
        <w:t>，收取现金替代溢价的原因是，基金管理人需为投资人在境外市场开市期间买入组合证券，而实际买入价格（或证券实际结算价格）加上相关交易费用并折算为人民币后与申购时的最新价格可能有所差异。为便于操作，基金管理人在申购、赎回清单中预先确定现金替代溢价比例，并据此收取现金替代金额。具体的现金替代溢价比例以申购赎回清单公告为准。</w:t>
      </w:r>
      <w:r>
        <w:rPr>
          <w:rFonts w:ascii="宋体" w:hAnsi="宋体"/>
        </w:rPr>
        <w:t xml:space="preserve"> </w:t>
      </w:r>
    </w:p>
    <w:p w14:paraId="242FBB13" w14:textId="77777777" w:rsidR="0082364D" w:rsidRDefault="00BF2824">
      <w:pPr>
        <w:spacing w:line="360" w:lineRule="auto"/>
        <w:ind w:firstLine="435"/>
        <w:rPr>
          <w:rFonts w:ascii="宋体" w:hAnsi="宋体"/>
        </w:rPr>
      </w:pPr>
      <w:r>
        <w:rPr>
          <w:rFonts w:ascii="宋体" w:hAnsi="宋体" w:hint="eastAsia"/>
        </w:rPr>
        <w:t>申购时，如果预先收取的金额高于基金买入证券的实际成本（或证券实际结算成本），则基金管理人将退还多收取的差额；如果预先收取的金额低于基金买入证券的实际成本（或证券实际结算成本），则基金管理人将向投资者收取欠缺的差额。</w:t>
      </w:r>
    </w:p>
    <w:p w14:paraId="562890F5" w14:textId="77777777" w:rsidR="0082364D" w:rsidRDefault="00BF2824">
      <w:pPr>
        <w:spacing w:line="360" w:lineRule="auto"/>
        <w:ind w:firstLine="435"/>
        <w:rPr>
          <w:rFonts w:ascii="宋体" w:hAnsi="宋体"/>
        </w:rPr>
      </w:pPr>
      <w:r>
        <w:rPr>
          <w:rFonts w:ascii="宋体" w:hAnsi="宋体" w:hint="eastAsia"/>
          <w:bCs/>
        </w:rPr>
        <w:t>③申购</w:t>
      </w:r>
      <w:r>
        <w:rPr>
          <w:rFonts w:ascii="宋体" w:hAnsi="宋体" w:hint="eastAsia"/>
        </w:rPr>
        <w:t>替代金额的处理程序如下：</w:t>
      </w:r>
    </w:p>
    <w:p w14:paraId="6D4DE4A9" w14:textId="77777777" w:rsidR="0082364D" w:rsidRDefault="00BF2824">
      <w:pPr>
        <w:spacing w:line="360" w:lineRule="auto"/>
        <w:ind w:firstLine="435"/>
        <w:rPr>
          <w:rFonts w:ascii="宋体" w:hAnsi="宋体"/>
        </w:rPr>
      </w:pPr>
      <w:r>
        <w:rPr>
          <w:rFonts w:ascii="宋体" w:hAnsi="宋体" w:hint="eastAsia"/>
        </w:rPr>
        <w:t>对于确认成功的T日的申购申请，基金管理人将在T日内买入被替代的成份证券。T日日终，若基金管理人已买入全部被替代的证券，则以替代金额与被替代证券的实际买入成本（包括买入价格与交易费用）按照汇率折算后的差额，确定基金应退还投资人或投资人应补交的款项；若基金管理人未能买入全部被替代的证券，则以替代金额与所买入的部分被替代证券实际买入成本（包括买入价格与交易费用）加上按照T日收盘价（被替代证券当日在证券交易所无交易的，取最近交易日的收盘价）计算的未买入部分的被替代证券价值按照汇率折算后的差额，确定基金应退还投资人或投资人应补交的款项。</w:t>
      </w:r>
    </w:p>
    <w:p w14:paraId="604A298B" w14:textId="77777777" w:rsidR="0082364D" w:rsidRDefault="00BF2824">
      <w:pPr>
        <w:spacing w:line="360" w:lineRule="auto"/>
        <w:ind w:firstLine="435"/>
        <w:rPr>
          <w:rFonts w:ascii="宋体" w:hAnsi="宋体"/>
        </w:rPr>
      </w:pPr>
      <w:r>
        <w:rPr>
          <w:rFonts w:ascii="宋体" w:hAnsi="宋体" w:hint="eastAsia"/>
        </w:rPr>
        <w:t>若在此期间被替代的证券发生除息、送股（转增）、配股重要权益变动，则进行相应调</w:t>
      </w:r>
      <w:r>
        <w:rPr>
          <w:rFonts w:ascii="宋体" w:hAnsi="宋体" w:hint="eastAsia"/>
        </w:rPr>
        <w:lastRenderedPageBreak/>
        <w:t>整。</w:t>
      </w:r>
    </w:p>
    <w:p w14:paraId="39B118C0" w14:textId="48D89049" w:rsidR="0082364D" w:rsidRDefault="00BF2824">
      <w:pPr>
        <w:spacing w:line="360" w:lineRule="auto"/>
        <w:ind w:firstLine="435"/>
        <w:rPr>
          <w:rFonts w:ascii="宋体" w:hAnsi="宋体"/>
        </w:rPr>
      </w:pPr>
      <w:r>
        <w:rPr>
          <w:rFonts w:ascii="宋体" w:hAnsi="宋体" w:hint="eastAsia"/>
        </w:rPr>
        <w:t>正常情况下，T+</w:t>
      </w:r>
      <w:r>
        <w:rPr>
          <w:rFonts w:ascii="宋体" w:hAnsi="宋体"/>
        </w:rPr>
        <w:t>3</w:t>
      </w:r>
      <w:r>
        <w:rPr>
          <w:rFonts w:ascii="宋体" w:hAnsi="宋体" w:hint="eastAsia"/>
        </w:rPr>
        <w:t>日（指开放日）内，基金管理人应将退款和补款的明细及汇总数据发送给登记结算机构，登记结算机构办理现金替代多退少补资金的清算，并将结果发送给相关申购赎回代理机构和基金托管人，相关款项的交收于数据发送后的第1个工作日内完成。若发生特殊情况，基金管理人可以对交收日期进行相应调整。</w:t>
      </w:r>
    </w:p>
    <w:p w14:paraId="5A0F6167" w14:textId="77777777" w:rsidR="0082364D" w:rsidRDefault="00BF2824">
      <w:pPr>
        <w:spacing w:line="360" w:lineRule="auto"/>
        <w:ind w:firstLine="435"/>
        <w:rPr>
          <w:rFonts w:ascii="宋体" w:hAnsi="宋体"/>
        </w:rPr>
      </w:pPr>
      <w:r>
        <w:rPr>
          <w:rFonts w:ascii="宋体" w:hAnsi="宋体" w:hint="eastAsia"/>
        </w:rPr>
        <w:t>④赎回替代金额的处理程序</w:t>
      </w:r>
      <w:r>
        <w:rPr>
          <w:rFonts w:ascii="宋体" w:hAnsi="宋体"/>
        </w:rPr>
        <w:t xml:space="preserve"> </w:t>
      </w:r>
    </w:p>
    <w:p w14:paraId="1B189C97" w14:textId="77777777" w:rsidR="0082364D" w:rsidRDefault="00BF2824">
      <w:pPr>
        <w:spacing w:line="360" w:lineRule="auto"/>
        <w:ind w:firstLine="435"/>
        <w:rPr>
          <w:rFonts w:ascii="宋体" w:hAnsi="宋体"/>
        </w:rPr>
      </w:pPr>
      <w:r>
        <w:rPr>
          <w:rFonts w:ascii="宋体" w:hAnsi="宋体" w:hint="eastAsia"/>
        </w:rPr>
        <w:t>对于确认成功的T日的赎回申请，基金管理人将在T日内卖出相应的成份证券。T日日终，若基金管理人已卖出全部被替代的成份证券，则以实际卖出所得（卖出价格扣减相应的交易费用）按照汇率折算后的差额，确定基金应交付给投资人的赎回现金替代金额；若基金管理人未能卖出全部被替代的成份证券，则以实际卖出所得（卖出价格扣减相应的交易费用）加上按照T日收盘价（被替代证券当日在证券交易所无交易的，取最近交易日的收盘价）计算的未卖出部分被替代成份证券价值，按照汇率折算后的金额，确定基金应交付给投资人的赎回现金替代金额。</w:t>
      </w:r>
    </w:p>
    <w:p w14:paraId="1A3BFD1D" w14:textId="37240E39" w:rsidR="0082364D" w:rsidRDefault="00BF2824">
      <w:pPr>
        <w:spacing w:line="360" w:lineRule="auto"/>
        <w:ind w:firstLine="435"/>
        <w:rPr>
          <w:rFonts w:ascii="宋体" w:hAnsi="宋体"/>
        </w:rPr>
      </w:pPr>
      <w:r>
        <w:rPr>
          <w:rFonts w:ascii="宋体" w:hAnsi="宋体" w:hint="eastAsia"/>
        </w:rPr>
        <w:t>若在此期间被替代的证券发生除息、送股（转增）、配股等重要权益变动，则进行相应调整。</w:t>
      </w:r>
    </w:p>
    <w:p w14:paraId="6DD92C8A" w14:textId="5A7D09BC" w:rsidR="0082364D" w:rsidRDefault="00BF2824">
      <w:pPr>
        <w:spacing w:line="360" w:lineRule="auto"/>
        <w:ind w:firstLine="435"/>
        <w:rPr>
          <w:rFonts w:ascii="宋体" w:hAnsi="宋体"/>
        </w:rPr>
      </w:pPr>
      <w:r>
        <w:rPr>
          <w:rFonts w:ascii="宋体" w:hAnsi="宋体" w:hint="eastAsia"/>
        </w:rPr>
        <w:t>正常情况下，T+</w:t>
      </w:r>
      <w:r>
        <w:rPr>
          <w:rFonts w:ascii="宋体" w:hAnsi="宋体"/>
        </w:rPr>
        <w:t>7</w:t>
      </w:r>
      <w:r>
        <w:rPr>
          <w:rFonts w:ascii="宋体" w:hAnsi="宋体" w:hint="eastAsia"/>
        </w:rPr>
        <w:t>日（指开放日）内，基金管理人将应支付的替代金额的明细及汇总数据发送给登记结算机构，登记结算机构办理现金替代资金的清算，并将结果发送给相关申购赎回代理机构和基金托管人，相关款项的交收于数据发送后的第1个工作日内完成。若发生特殊情况，基金管理人可以对交收日期进行相应调整。</w:t>
      </w:r>
    </w:p>
    <w:p w14:paraId="3F8E9A3A" w14:textId="77777777" w:rsidR="0082364D" w:rsidRDefault="00BF2824">
      <w:pPr>
        <w:spacing w:line="360" w:lineRule="auto"/>
        <w:ind w:firstLine="435"/>
        <w:rPr>
          <w:rFonts w:ascii="宋体" w:hAnsi="宋体"/>
        </w:rPr>
      </w:pPr>
      <w:r>
        <w:rPr>
          <w:rFonts w:ascii="宋体" w:hAnsi="宋体" w:hint="eastAsia"/>
        </w:rPr>
        <w:t>⑤基金管理人有权根据实际情况对上述申购和赎回的现金替代处理程序进行调整。</w:t>
      </w:r>
    </w:p>
    <w:p w14:paraId="5CBF72B8" w14:textId="77777777" w:rsidR="0082364D" w:rsidRDefault="00BF2824">
      <w:pPr>
        <w:spacing w:line="360" w:lineRule="auto"/>
        <w:ind w:firstLine="435"/>
        <w:rPr>
          <w:rFonts w:ascii="宋体" w:hAnsi="宋体"/>
        </w:rPr>
      </w:pPr>
      <w:r>
        <w:rPr>
          <w:rFonts w:ascii="宋体" w:hAnsi="宋体" w:hint="eastAsia"/>
        </w:rPr>
        <w:t>（3）必须现金替代</w:t>
      </w:r>
    </w:p>
    <w:p w14:paraId="37A0D9E8" w14:textId="77777777" w:rsidR="0082364D" w:rsidRDefault="00BF2824">
      <w:pPr>
        <w:spacing w:line="360" w:lineRule="auto"/>
        <w:ind w:firstLine="435"/>
        <w:rPr>
          <w:rFonts w:ascii="宋体" w:hAnsi="宋体"/>
          <w:bCs/>
        </w:rPr>
      </w:pPr>
      <w:r>
        <w:rPr>
          <w:rFonts w:ascii="宋体" w:hAnsi="宋体" w:hint="eastAsia"/>
          <w:bCs/>
        </w:rPr>
        <w:t>1）适用情形：必须现金替代的证券一般是由于标的指数调整，即将被剔除的成份证券；或法律法规限制投资的证券；或基金管理人出于保护基金份额持有人利益等原因认为有必要实行必须现金替代的成份证券。</w:t>
      </w:r>
    </w:p>
    <w:p w14:paraId="30D463B0" w14:textId="77777777" w:rsidR="0082364D" w:rsidRDefault="00BF2824">
      <w:pPr>
        <w:spacing w:line="360" w:lineRule="auto"/>
        <w:ind w:firstLine="435"/>
        <w:rPr>
          <w:rFonts w:ascii="宋体" w:hAnsi="宋体"/>
        </w:rPr>
      </w:pPr>
      <w:r>
        <w:rPr>
          <w:rFonts w:ascii="宋体" w:hAnsi="宋体" w:hint="eastAsia"/>
          <w:bCs/>
        </w:rPr>
        <w:t>2）必须现金替代的金额：对于必须现金替代的证券，基金管理人将在申购赎回清单中公告替代的一定数量的现金。必须替代金额的计算方法为申购赎回清单中该证券的数量乘以其经调整后的</w:t>
      </w:r>
      <w:r>
        <w:rPr>
          <w:rFonts w:ascii="宋体" w:hAnsi="宋体"/>
          <w:bCs/>
        </w:rPr>
        <w:t xml:space="preserve">T-2 </w:t>
      </w:r>
      <w:r>
        <w:rPr>
          <w:rFonts w:ascii="宋体" w:hAnsi="宋体" w:hint="eastAsia"/>
          <w:bCs/>
        </w:rPr>
        <w:t>日收盘价并按照</w:t>
      </w:r>
      <w:r>
        <w:rPr>
          <w:rFonts w:ascii="宋体" w:hAnsi="宋体"/>
          <w:bCs/>
        </w:rPr>
        <w:t>T-2</w:t>
      </w:r>
      <w:r>
        <w:rPr>
          <w:rFonts w:ascii="宋体" w:hAnsi="宋体" w:hint="eastAsia"/>
          <w:bCs/>
        </w:rPr>
        <w:t>日估值汇率换算。</w:t>
      </w:r>
    </w:p>
    <w:p w14:paraId="48189DBD" w14:textId="77777777" w:rsidR="0082364D" w:rsidRDefault="00BF2824">
      <w:pPr>
        <w:spacing w:line="360" w:lineRule="auto"/>
        <w:ind w:firstLineChars="200" w:firstLine="420"/>
        <w:rPr>
          <w:rFonts w:ascii="宋体" w:hAnsi="宋体"/>
        </w:rPr>
      </w:pPr>
      <w:r>
        <w:rPr>
          <w:rFonts w:ascii="宋体" w:hAnsi="宋体"/>
        </w:rPr>
        <w:t>5</w:t>
      </w:r>
      <w:r>
        <w:rPr>
          <w:rFonts w:ascii="宋体" w:hAnsi="宋体" w:hint="eastAsia"/>
        </w:rPr>
        <w:t>、预估现金部分相关内容</w:t>
      </w:r>
    </w:p>
    <w:p w14:paraId="7368296F" w14:textId="77777777" w:rsidR="0082364D" w:rsidRDefault="00BF2824">
      <w:pPr>
        <w:spacing w:line="360" w:lineRule="auto"/>
        <w:ind w:firstLine="435"/>
        <w:rPr>
          <w:rFonts w:ascii="宋体" w:hAnsi="宋体"/>
        </w:rPr>
      </w:pPr>
      <w:r>
        <w:rPr>
          <w:rFonts w:ascii="宋体" w:hAnsi="宋体" w:hint="eastAsia"/>
        </w:rPr>
        <w:t>预估现金部分是指为便于计算基金份额参考净值及申购赎回代理券商预先冻结申请申购、赎回的投资人的相应资金，由基金管理人计算的现金数额。</w:t>
      </w:r>
    </w:p>
    <w:p w14:paraId="7E0A75FD" w14:textId="77777777" w:rsidR="0082364D" w:rsidRDefault="00BF2824">
      <w:pPr>
        <w:spacing w:line="360" w:lineRule="auto"/>
        <w:ind w:firstLine="435"/>
        <w:rPr>
          <w:rFonts w:ascii="宋体" w:hAnsi="宋体"/>
        </w:rPr>
      </w:pPr>
      <w:r>
        <w:rPr>
          <w:rFonts w:ascii="宋体" w:hAnsi="宋体" w:hint="eastAsia"/>
        </w:rPr>
        <w:lastRenderedPageBreak/>
        <w:t>T日申购、赎回清单中公告T日预估现金部分。其计算公式为：</w:t>
      </w:r>
    </w:p>
    <w:p w14:paraId="725D760D" w14:textId="77777777" w:rsidR="0082364D" w:rsidRDefault="00BF2824">
      <w:pPr>
        <w:spacing w:line="360" w:lineRule="auto"/>
        <w:ind w:firstLine="435"/>
        <w:rPr>
          <w:rFonts w:ascii="宋体" w:hAnsi="宋体"/>
        </w:rPr>
      </w:pPr>
      <w:r>
        <w:rPr>
          <w:rFonts w:ascii="宋体" w:hAnsi="宋体" w:hint="eastAsia"/>
        </w:rPr>
        <w:t>T日预估现金部分＝T-2日最小申购、赎回单位的基金资产净值－（申购赎回清单中必须现金替代成份证券的替代金额＋申购赎回清单中可以现金替代成份证券的数量、经调整后的</w:t>
      </w:r>
      <w:r>
        <w:rPr>
          <w:rFonts w:ascii="宋体" w:hAnsi="宋体"/>
        </w:rPr>
        <w:t>T-2日</w:t>
      </w:r>
      <w:r>
        <w:rPr>
          <w:rFonts w:ascii="宋体" w:hAnsi="宋体" w:hint="eastAsia"/>
        </w:rPr>
        <w:t>收盘价</w:t>
      </w:r>
      <w:r>
        <w:rPr>
          <w:rFonts w:ascii="宋体" w:hAnsi="宋体"/>
        </w:rPr>
        <w:t>以及T-2日估值汇率</w:t>
      </w:r>
      <w:r>
        <w:rPr>
          <w:rFonts w:ascii="宋体" w:hAnsi="宋体" w:hint="eastAsia"/>
        </w:rPr>
        <w:t>的乘积之和）</w:t>
      </w:r>
    </w:p>
    <w:p w14:paraId="7910539F" w14:textId="77777777" w:rsidR="0082364D" w:rsidRDefault="00BF2824">
      <w:pPr>
        <w:spacing w:line="360" w:lineRule="auto"/>
        <w:ind w:firstLine="435"/>
        <w:rPr>
          <w:rFonts w:ascii="宋体" w:hAnsi="宋体"/>
        </w:rPr>
      </w:pPr>
      <w:r>
        <w:rPr>
          <w:rFonts w:ascii="宋体" w:hAnsi="宋体" w:hint="eastAsia"/>
        </w:rPr>
        <w:t>其中，若T日为基金分红除息日，则计算公式中的“T-2日最小申购、赎回单位的基金资产净值”需扣减相应的收益分配数额。预估现金部分的数值可能为正、为负或为零。</w:t>
      </w:r>
    </w:p>
    <w:p w14:paraId="02650289" w14:textId="77777777" w:rsidR="0082364D" w:rsidRDefault="00BF2824">
      <w:pPr>
        <w:spacing w:line="360" w:lineRule="auto"/>
        <w:ind w:firstLine="435"/>
        <w:rPr>
          <w:rFonts w:ascii="宋体" w:hAnsi="宋体"/>
        </w:rPr>
      </w:pPr>
      <w:r>
        <w:rPr>
          <w:rFonts w:ascii="宋体" w:hAnsi="宋体"/>
        </w:rPr>
        <w:t>6</w:t>
      </w:r>
      <w:r>
        <w:rPr>
          <w:rFonts w:ascii="宋体" w:hAnsi="宋体" w:hint="eastAsia"/>
        </w:rPr>
        <w:t>、现金差额相关内容</w:t>
      </w:r>
    </w:p>
    <w:p w14:paraId="781EFA56" w14:textId="77777777" w:rsidR="0082364D" w:rsidRDefault="00BF2824">
      <w:pPr>
        <w:spacing w:line="360" w:lineRule="auto"/>
        <w:ind w:firstLine="435"/>
        <w:rPr>
          <w:rFonts w:ascii="宋体" w:hAnsi="宋体"/>
        </w:rPr>
      </w:pPr>
      <w:r>
        <w:rPr>
          <w:rFonts w:ascii="宋体" w:hAnsi="宋体" w:hint="eastAsia"/>
        </w:rPr>
        <w:t>T日现金差额在T+2日的申购、赎回清单中公告，其计算公式为：</w:t>
      </w:r>
    </w:p>
    <w:p w14:paraId="5776BAC4" w14:textId="77777777" w:rsidR="0082364D" w:rsidRDefault="00BF2824">
      <w:pPr>
        <w:spacing w:line="360" w:lineRule="auto"/>
        <w:ind w:firstLine="435"/>
        <w:rPr>
          <w:rFonts w:ascii="宋体" w:hAnsi="宋体"/>
        </w:rPr>
      </w:pPr>
      <w:r>
        <w:rPr>
          <w:rFonts w:ascii="宋体" w:hAnsi="宋体" w:hint="eastAsia"/>
        </w:rPr>
        <w:t>T日现金差额＝T日最小申购、赎回单位的基金资产净值－（申购赎回清单中必须现金替代成份证券的替代金额＋申购赎回清单中可以现金替代成份证券的数量、T日收盘价以及T日估值汇率的乘积之和）</w:t>
      </w:r>
    </w:p>
    <w:p w14:paraId="00E7D5FC" w14:textId="77777777" w:rsidR="0082364D" w:rsidRDefault="00BF2824">
      <w:pPr>
        <w:spacing w:line="360" w:lineRule="auto"/>
        <w:ind w:firstLine="435"/>
        <w:rPr>
          <w:rFonts w:ascii="宋体" w:hAnsi="宋体"/>
        </w:rPr>
      </w:pPr>
      <w:r>
        <w:rPr>
          <w:rFonts w:ascii="宋体" w:hAnsi="宋体" w:hint="eastAsia"/>
        </w:rPr>
        <w:t>T日投资人申购、赎回基金份额时，需按T+2日公告的T日现金差额进行资金的清算交收。</w:t>
      </w:r>
    </w:p>
    <w:p w14:paraId="5908E3C9" w14:textId="77777777" w:rsidR="0082364D" w:rsidRDefault="00BF2824">
      <w:pPr>
        <w:spacing w:line="360" w:lineRule="auto"/>
        <w:ind w:firstLineChars="200" w:firstLine="420"/>
        <w:rPr>
          <w:rFonts w:ascii="宋体" w:hAnsi="宋体"/>
        </w:rPr>
      </w:pPr>
      <w:r>
        <w:rPr>
          <w:rFonts w:ascii="宋体" w:hAnsi="宋体" w:hint="eastAsia"/>
        </w:rPr>
        <w:t>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14:paraId="45177B8C" w14:textId="77777777" w:rsidR="0082364D" w:rsidRDefault="00BF2824">
      <w:pPr>
        <w:spacing w:line="360" w:lineRule="auto"/>
        <w:ind w:firstLineChars="200" w:firstLine="420"/>
        <w:rPr>
          <w:rFonts w:ascii="宋体" w:hAnsi="宋体"/>
        </w:rPr>
      </w:pPr>
      <w:r>
        <w:rPr>
          <w:rFonts w:ascii="宋体" w:hAnsi="宋体" w:hint="eastAsia"/>
        </w:rPr>
        <w:t>7、申购份额上限和赎回份额上限</w:t>
      </w:r>
    </w:p>
    <w:p w14:paraId="30EB93E2" w14:textId="77777777" w:rsidR="0082364D" w:rsidRDefault="00BF2824">
      <w:pPr>
        <w:spacing w:line="360" w:lineRule="auto"/>
        <w:ind w:firstLineChars="200" w:firstLine="420"/>
        <w:rPr>
          <w:rFonts w:ascii="宋体" w:hAnsi="宋体"/>
        </w:rPr>
      </w:pPr>
      <w:r>
        <w:rPr>
          <w:rFonts w:ascii="宋体" w:hAnsi="宋体" w:hint="eastAsia"/>
        </w:rPr>
        <w:t>申购份额上限是指当日可接受的申购总份额。如果投资者的申购申请接受后将使当日申购总份额超过申购份额上限，则投资者的申购申请失败。</w:t>
      </w:r>
    </w:p>
    <w:p w14:paraId="58951FC3" w14:textId="77777777" w:rsidR="0082364D" w:rsidRDefault="00BF2824">
      <w:pPr>
        <w:spacing w:line="360" w:lineRule="auto"/>
        <w:ind w:firstLineChars="200" w:firstLine="420"/>
        <w:rPr>
          <w:rFonts w:ascii="宋体" w:hAnsi="宋体"/>
        </w:rPr>
      </w:pPr>
      <w:r>
        <w:rPr>
          <w:rFonts w:ascii="宋体" w:hAnsi="宋体" w:hint="eastAsia"/>
        </w:rPr>
        <w:t>赎回份额上限是指当日可接受的赎回总份额。如果投资者的赎回申请接受后将使当日赎回总份额超过赎回份额上限，则投资者的赎回申请失败。</w:t>
      </w:r>
    </w:p>
    <w:p w14:paraId="6BF073CC" w14:textId="77777777" w:rsidR="0082364D" w:rsidRDefault="00BF2824">
      <w:pPr>
        <w:spacing w:line="360" w:lineRule="auto"/>
        <w:ind w:firstLineChars="200" w:firstLine="420"/>
        <w:rPr>
          <w:rFonts w:ascii="宋体" w:hAnsi="宋体"/>
          <w:shd w:val="pct10" w:color="auto" w:fill="FFFFFF"/>
        </w:rPr>
      </w:pPr>
      <w:r>
        <w:rPr>
          <w:rFonts w:ascii="宋体" w:hAnsi="宋体"/>
        </w:rPr>
        <w:t>8、</w:t>
      </w:r>
      <w:r>
        <w:rPr>
          <w:rFonts w:ascii="宋体" w:hAnsi="宋体" w:hint="eastAsia"/>
        </w:rPr>
        <w:t>申购赎回清单的格式</w:t>
      </w:r>
    </w:p>
    <w:p w14:paraId="029751E6" w14:textId="77777777" w:rsidR="0082364D" w:rsidRDefault="00BF2824">
      <w:pPr>
        <w:spacing w:line="360" w:lineRule="auto"/>
        <w:ind w:firstLineChars="200" w:firstLine="420"/>
        <w:rPr>
          <w:rFonts w:ascii="宋体" w:hAnsi="宋体"/>
          <w:szCs w:val="21"/>
        </w:rPr>
      </w:pPr>
      <w:r>
        <w:rPr>
          <w:rFonts w:ascii="宋体" w:hAnsi="宋体" w:hint="eastAsia"/>
          <w:szCs w:val="21"/>
        </w:rPr>
        <w:t>基金管理人有权根据业务需要对申购、赎回清单的格式进行修改。</w:t>
      </w:r>
    </w:p>
    <w:p w14:paraId="022D908B" w14:textId="77777777" w:rsidR="0082364D" w:rsidRDefault="00BF2824">
      <w:pPr>
        <w:spacing w:line="360" w:lineRule="auto"/>
        <w:ind w:firstLineChars="200" w:firstLine="420"/>
        <w:rPr>
          <w:rFonts w:ascii="宋体" w:hAnsi="宋体"/>
          <w:bCs/>
          <w:szCs w:val="21"/>
        </w:rPr>
      </w:pPr>
      <w:r>
        <w:rPr>
          <w:rFonts w:ascii="宋体" w:hAnsi="宋体" w:hint="eastAsia"/>
          <w:szCs w:val="21"/>
        </w:rPr>
        <w:t>申购、赎回清单的格式举例如下：</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4015"/>
      </w:tblGrid>
      <w:tr w:rsidR="0082364D" w14:paraId="681269C5" w14:textId="77777777">
        <w:trPr>
          <w:trHeight w:val="112"/>
          <w:jc w:val="center"/>
        </w:trPr>
        <w:tc>
          <w:tcPr>
            <w:tcW w:w="2967" w:type="dxa"/>
          </w:tcPr>
          <w:p w14:paraId="290EC984" w14:textId="77777777" w:rsidR="0082364D" w:rsidRDefault="00BF2824">
            <w:pPr>
              <w:spacing w:line="360" w:lineRule="auto"/>
              <w:ind w:firstLineChars="200" w:firstLine="420"/>
              <w:rPr>
                <w:rFonts w:ascii="宋体" w:hAnsi="宋体"/>
                <w:bCs/>
                <w:szCs w:val="21"/>
              </w:rPr>
            </w:pPr>
            <w:r>
              <w:rPr>
                <w:rFonts w:ascii="宋体" w:hAnsi="宋体"/>
                <w:bCs/>
                <w:szCs w:val="21"/>
              </w:rPr>
              <w:t>本信息</w:t>
            </w:r>
            <w:r>
              <w:rPr>
                <w:rFonts w:ascii="宋体" w:hAnsi="宋体" w:hint="eastAsia"/>
                <w:bCs/>
                <w:szCs w:val="21"/>
              </w:rPr>
              <w:t>最新公告日期</w:t>
            </w:r>
            <w:r>
              <w:rPr>
                <w:rFonts w:ascii="宋体" w:hAnsi="宋体"/>
                <w:bCs/>
                <w:szCs w:val="21"/>
              </w:rPr>
              <w:t xml:space="preserve"> </w:t>
            </w:r>
          </w:p>
        </w:tc>
        <w:tc>
          <w:tcPr>
            <w:tcW w:w="4015" w:type="dxa"/>
          </w:tcPr>
          <w:p w14:paraId="37558D17" w14:textId="77777777" w:rsidR="0082364D" w:rsidRDefault="00BF2824">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02*-**-**</w:t>
            </w:r>
          </w:p>
        </w:tc>
      </w:tr>
      <w:tr w:rsidR="0082364D" w14:paraId="3FB43B5D" w14:textId="77777777">
        <w:trPr>
          <w:trHeight w:val="113"/>
          <w:jc w:val="center"/>
        </w:trPr>
        <w:tc>
          <w:tcPr>
            <w:tcW w:w="2967" w:type="dxa"/>
          </w:tcPr>
          <w:p w14:paraId="2570902C" w14:textId="77777777" w:rsidR="0082364D" w:rsidRDefault="00BF2824">
            <w:pPr>
              <w:spacing w:line="360" w:lineRule="auto"/>
              <w:ind w:firstLineChars="200" w:firstLine="420"/>
              <w:rPr>
                <w:rFonts w:ascii="宋体" w:hAnsi="宋体"/>
                <w:bCs/>
                <w:szCs w:val="21"/>
              </w:rPr>
            </w:pPr>
            <w:r>
              <w:rPr>
                <w:rFonts w:ascii="宋体" w:hAnsi="宋体" w:hint="eastAsia"/>
                <w:bCs/>
                <w:szCs w:val="21"/>
              </w:rPr>
              <w:t>基金名称</w:t>
            </w:r>
            <w:r>
              <w:rPr>
                <w:rFonts w:ascii="宋体" w:hAnsi="宋体"/>
                <w:bCs/>
                <w:szCs w:val="21"/>
              </w:rPr>
              <w:t xml:space="preserve"> </w:t>
            </w:r>
          </w:p>
        </w:tc>
        <w:tc>
          <w:tcPr>
            <w:tcW w:w="4015" w:type="dxa"/>
          </w:tcPr>
          <w:p w14:paraId="6A57A726" w14:textId="09EB4585" w:rsidR="0082364D" w:rsidRDefault="00BF2824">
            <w:pPr>
              <w:spacing w:line="360" w:lineRule="auto"/>
              <w:rPr>
                <w:rFonts w:ascii="宋体" w:hAnsi="宋体"/>
                <w:bCs/>
                <w:szCs w:val="21"/>
              </w:rPr>
            </w:pPr>
            <w:r>
              <w:rPr>
                <w:rFonts w:ascii="宋体" w:hAnsi="宋体" w:hint="eastAsia"/>
                <w:bCs/>
                <w:szCs w:val="21"/>
              </w:rPr>
              <w:t>嘉实纳斯达克100交易型开放式指数证券投资基金（QDII）</w:t>
            </w:r>
          </w:p>
        </w:tc>
      </w:tr>
      <w:tr w:rsidR="0082364D" w14:paraId="7529F198" w14:textId="77777777">
        <w:trPr>
          <w:trHeight w:val="105"/>
          <w:jc w:val="center"/>
        </w:trPr>
        <w:tc>
          <w:tcPr>
            <w:tcW w:w="2967" w:type="dxa"/>
          </w:tcPr>
          <w:p w14:paraId="00564178" w14:textId="77777777" w:rsidR="0082364D" w:rsidRDefault="00BF2824">
            <w:pPr>
              <w:spacing w:line="360" w:lineRule="auto"/>
              <w:ind w:firstLineChars="200" w:firstLine="420"/>
              <w:rPr>
                <w:rFonts w:ascii="宋体" w:hAnsi="宋体"/>
                <w:bCs/>
                <w:szCs w:val="21"/>
              </w:rPr>
            </w:pPr>
            <w:r>
              <w:rPr>
                <w:rFonts w:ascii="宋体" w:hAnsi="宋体" w:hint="eastAsia"/>
                <w:bCs/>
                <w:szCs w:val="21"/>
              </w:rPr>
              <w:lastRenderedPageBreak/>
              <w:t>基金管理公司名称</w:t>
            </w:r>
            <w:r>
              <w:rPr>
                <w:rFonts w:ascii="宋体" w:hAnsi="宋体"/>
                <w:bCs/>
                <w:szCs w:val="21"/>
              </w:rPr>
              <w:t xml:space="preserve"> </w:t>
            </w:r>
          </w:p>
        </w:tc>
        <w:tc>
          <w:tcPr>
            <w:tcW w:w="4015" w:type="dxa"/>
          </w:tcPr>
          <w:p w14:paraId="081A548A" w14:textId="77777777" w:rsidR="0082364D" w:rsidRDefault="00BF2824">
            <w:pPr>
              <w:spacing w:line="360" w:lineRule="auto"/>
              <w:ind w:firstLineChars="200" w:firstLine="420"/>
              <w:rPr>
                <w:rFonts w:ascii="宋体" w:hAnsi="宋体"/>
                <w:bCs/>
                <w:szCs w:val="21"/>
              </w:rPr>
            </w:pPr>
            <w:r>
              <w:rPr>
                <w:rFonts w:ascii="宋体" w:hAnsi="宋体" w:hint="eastAsia"/>
                <w:bCs/>
                <w:szCs w:val="21"/>
              </w:rPr>
              <w:t>嘉实基金管理有限公司</w:t>
            </w:r>
            <w:r>
              <w:rPr>
                <w:rFonts w:ascii="宋体" w:hAnsi="宋体"/>
                <w:bCs/>
                <w:szCs w:val="21"/>
              </w:rPr>
              <w:t xml:space="preserve"> </w:t>
            </w:r>
          </w:p>
        </w:tc>
      </w:tr>
      <w:tr w:rsidR="0082364D" w14:paraId="21B201A7" w14:textId="77777777">
        <w:trPr>
          <w:trHeight w:val="112"/>
          <w:jc w:val="center"/>
        </w:trPr>
        <w:tc>
          <w:tcPr>
            <w:tcW w:w="2967" w:type="dxa"/>
          </w:tcPr>
          <w:p w14:paraId="65265D07" w14:textId="77777777" w:rsidR="0082364D" w:rsidRDefault="00BF2824">
            <w:pPr>
              <w:spacing w:line="360" w:lineRule="auto"/>
              <w:ind w:firstLineChars="200" w:firstLine="420"/>
              <w:rPr>
                <w:rFonts w:ascii="宋体" w:hAnsi="宋体"/>
                <w:bCs/>
                <w:szCs w:val="21"/>
              </w:rPr>
            </w:pPr>
            <w:r>
              <w:rPr>
                <w:rFonts w:ascii="宋体" w:hAnsi="宋体" w:hint="eastAsia"/>
                <w:bCs/>
                <w:szCs w:val="21"/>
              </w:rPr>
              <w:t>基金代码</w:t>
            </w:r>
            <w:r>
              <w:rPr>
                <w:rFonts w:ascii="宋体" w:hAnsi="宋体"/>
                <w:bCs/>
                <w:szCs w:val="21"/>
              </w:rPr>
              <w:t xml:space="preserve"> </w:t>
            </w:r>
          </w:p>
        </w:tc>
        <w:tc>
          <w:tcPr>
            <w:tcW w:w="4015" w:type="dxa"/>
          </w:tcPr>
          <w:p w14:paraId="0BCBBA2D" w14:textId="77777777" w:rsidR="0082364D" w:rsidRDefault="00BF2824">
            <w:pPr>
              <w:spacing w:line="360" w:lineRule="auto"/>
              <w:ind w:firstLineChars="200" w:firstLine="420"/>
              <w:rPr>
                <w:rFonts w:ascii="宋体" w:hAnsi="宋体"/>
                <w:bCs/>
                <w:szCs w:val="21"/>
              </w:rPr>
            </w:pPr>
            <w:r>
              <w:rPr>
                <w:rFonts w:ascii="宋体" w:hAnsi="宋体" w:hint="eastAsia"/>
                <w:bCs/>
                <w:szCs w:val="21"/>
              </w:rPr>
              <w:t>—</w:t>
            </w:r>
          </w:p>
        </w:tc>
      </w:tr>
      <w:tr w:rsidR="0082364D" w14:paraId="3CE810D7" w14:textId="77777777">
        <w:trPr>
          <w:trHeight w:val="112"/>
          <w:jc w:val="center"/>
        </w:trPr>
        <w:tc>
          <w:tcPr>
            <w:tcW w:w="2967" w:type="dxa"/>
          </w:tcPr>
          <w:p w14:paraId="44F62B13" w14:textId="77777777" w:rsidR="0082364D" w:rsidRDefault="00BF2824">
            <w:pPr>
              <w:spacing w:line="360" w:lineRule="auto"/>
              <w:ind w:firstLineChars="200" w:firstLine="420"/>
              <w:rPr>
                <w:rFonts w:ascii="宋体" w:hAnsi="宋体"/>
                <w:bCs/>
                <w:szCs w:val="21"/>
              </w:rPr>
            </w:pPr>
            <w:r>
              <w:rPr>
                <w:rFonts w:ascii="宋体" w:hAnsi="宋体" w:hint="eastAsia"/>
                <w:bCs/>
                <w:szCs w:val="21"/>
              </w:rPr>
              <w:t>目标指数代码</w:t>
            </w:r>
          </w:p>
        </w:tc>
        <w:tc>
          <w:tcPr>
            <w:tcW w:w="4015" w:type="dxa"/>
          </w:tcPr>
          <w:p w14:paraId="32DF55B7" w14:textId="21D6B917" w:rsidR="0082364D" w:rsidRDefault="00BF2824">
            <w:pPr>
              <w:spacing w:line="360" w:lineRule="auto"/>
              <w:ind w:firstLineChars="200" w:firstLine="420"/>
              <w:rPr>
                <w:rFonts w:ascii="宋体" w:hAnsi="宋体"/>
                <w:bCs/>
                <w:szCs w:val="21"/>
              </w:rPr>
            </w:pPr>
            <w:r>
              <w:rPr>
                <w:rFonts w:ascii="宋体" w:hAnsi="宋体"/>
                <w:bCs/>
                <w:szCs w:val="21"/>
              </w:rPr>
              <w:t>NDX.GI</w:t>
            </w:r>
            <w:r>
              <w:rPr>
                <w:rFonts w:ascii="宋体" w:hAnsi="宋体" w:hint="eastAsia"/>
                <w:bCs/>
                <w:szCs w:val="21"/>
              </w:rPr>
              <w:t xml:space="preserve"> </w:t>
            </w:r>
          </w:p>
        </w:tc>
      </w:tr>
      <w:tr w:rsidR="0082364D" w14:paraId="4896135F" w14:textId="77777777">
        <w:trPr>
          <w:trHeight w:val="112"/>
          <w:jc w:val="center"/>
        </w:trPr>
        <w:tc>
          <w:tcPr>
            <w:tcW w:w="2967" w:type="dxa"/>
          </w:tcPr>
          <w:p w14:paraId="2DDAED43" w14:textId="77777777" w:rsidR="0082364D" w:rsidRDefault="00BF2824">
            <w:pPr>
              <w:spacing w:line="360" w:lineRule="auto"/>
              <w:ind w:firstLineChars="200" w:firstLine="420"/>
              <w:rPr>
                <w:rFonts w:ascii="宋体" w:hAnsi="宋体"/>
                <w:bCs/>
                <w:szCs w:val="21"/>
              </w:rPr>
            </w:pPr>
            <w:r>
              <w:rPr>
                <w:rFonts w:ascii="宋体" w:hAnsi="宋体" w:hint="eastAsia"/>
                <w:bCs/>
                <w:szCs w:val="21"/>
              </w:rPr>
              <w:t>基金类型</w:t>
            </w:r>
          </w:p>
        </w:tc>
        <w:tc>
          <w:tcPr>
            <w:tcW w:w="4015" w:type="dxa"/>
          </w:tcPr>
          <w:p w14:paraId="42CCDF0F" w14:textId="77777777" w:rsidR="0082364D" w:rsidRDefault="00BF2824">
            <w:pPr>
              <w:spacing w:line="360" w:lineRule="auto"/>
              <w:ind w:firstLineChars="200" w:firstLine="420"/>
              <w:rPr>
                <w:rFonts w:ascii="宋体" w:hAnsi="宋体"/>
                <w:bCs/>
                <w:szCs w:val="21"/>
              </w:rPr>
            </w:pPr>
            <w:r>
              <w:rPr>
                <w:rFonts w:ascii="宋体" w:hAnsi="宋体" w:hint="eastAsia"/>
                <w:bCs/>
                <w:szCs w:val="21"/>
              </w:rPr>
              <w:t>跨境ETF</w:t>
            </w:r>
          </w:p>
        </w:tc>
      </w:tr>
    </w:tbl>
    <w:p w14:paraId="407203F2" w14:textId="77777777" w:rsidR="0082364D" w:rsidRDefault="00BF2824">
      <w:pPr>
        <w:spacing w:line="360" w:lineRule="auto"/>
        <w:ind w:firstLineChars="200" w:firstLine="420"/>
        <w:rPr>
          <w:rFonts w:ascii="宋体" w:hAnsi="宋体"/>
          <w:bCs/>
          <w:szCs w:val="21"/>
        </w:rPr>
      </w:pPr>
      <w:r>
        <w:rPr>
          <w:rFonts w:ascii="宋体" w:hAnsi="宋体" w:hint="eastAsia"/>
          <w:bCs/>
          <w:szCs w:val="21"/>
        </w:rPr>
        <w:t>T-</w:t>
      </w:r>
      <w:r>
        <w:rPr>
          <w:rFonts w:ascii="宋体" w:hAnsi="宋体"/>
          <w:bCs/>
          <w:szCs w:val="21"/>
        </w:rPr>
        <w:t>2</w:t>
      </w:r>
      <w:r>
        <w:rPr>
          <w:rFonts w:ascii="宋体" w:hAnsi="宋体" w:hint="eastAsia"/>
          <w:bCs/>
          <w:szCs w:val="21"/>
        </w:rPr>
        <w:t>日信息</w:t>
      </w:r>
    </w:p>
    <w:tbl>
      <w:tblPr>
        <w:tblW w:w="7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2736"/>
      </w:tblGrid>
      <w:tr w:rsidR="0082364D" w14:paraId="51BF1047" w14:textId="77777777">
        <w:trPr>
          <w:trHeight w:val="112"/>
          <w:jc w:val="center"/>
        </w:trPr>
        <w:tc>
          <w:tcPr>
            <w:tcW w:w="4491" w:type="dxa"/>
          </w:tcPr>
          <w:p w14:paraId="710E2BFC" w14:textId="77777777" w:rsidR="0082364D" w:rsidRDefault="00BF2824">
            <w:pPr>
              <w:spacing w:line="360" w:lineRule="auto"/>
              <w:ind w:firstLineChars="200" w:firstLine="420"/>
              <w:rPr>
                <w:rFonts w:ascii="宋体" w:hAnsi="宋体"/>
                <w:bCs/>
                <w:szCs w:val="21"/>
              </w:rPr>
            </w:pPr>
            <w:r>
              <w:rPr>
                <w:rFonts w:ascii="宋体" w:hAnsi="宋体" w:hint="eastAsia"/>
                <w:bCs/>
                <w:szCs w:val="21"/>
              </w:rPr>
              <w:t>现金差额（单位：元）</w:t>
            </w:r>
            <w:r>
              <w:rPr>
                <w:rFonts w:ascii="宋体" w:hAnsi="宋体"/>
                <w:bCs/>
                <w:szCs w:val="21"/>
              </w:rPr>
              <w:t xml:space="preserve"> </w:t>
            </w:r>
          </w:p>
        </w:tc>
        <w:tc>
          <w:tcPr>
            <w:tcW w:w="2736" w:type="dxa"/>
          </w:tcPr>
          <w:p w14:paraId="47BA50EB" w14:textId="77777777" w:rsidR="0082364D" w:rsidRDefault="0082364D">
            <w:pPr>
              <w:spacing w:line="360" w:lineRule="auto"/>
              <w:ind w:firstLineChars="200" w:firstLine="420"/>
              <w:rPr>
                <w:rFonts w:ascii="宋体" w:hAnsi="宋体"/>
                <w:bCs/>
                <w:szCs w:val="21"/>
              </w:rPr>
            </w:pPr>
          </w:p>
        </w:tc>
      </w:tr>
      <w:tr w:rsidR="0082364D" w14:paraId="3EFE43D4" w14:textId="77777777">
        <w:trPr>
          <w:trHeight w:val="112"/>
          <w:jc w:val="center"/>
        </w:trPr>
        <w:tc>
          <w:tcPr>
            <w:tcW w:w="4491" w:type="dxa"/>
          </w:tcPr>
          <w:p w14:paraId="29E04385" w14:textId="77777777" w:rsidR="0082364D" w:rsidRDefault="00BF2824">
            <w:pPr>
              <w:spacing w:line="360" w:lineRule="auto"/>
              <w:ind w:firstLineChars="200" w:firstLine="420"/>
              <w:rPr>
                <w:rFonts w:ascii="宋体" w:hAnsi="宋体"/>
                <w:bCs/>
                <w:szCs w:val="21"/>
              </w:rPr>
            </w:pPr>
            <w:r>
              <w:rPr>
                <w:rFonts w:ascii="宋体" w:hAnsi="宋体" w:hint="eastAsia"/>
                <w:bCs/>
                <w:szCs w:val="21"/>
              </w:rPr>
              <w:t>最小申购、赎回单位资产净值（单位：元）</w:t>
            </w:r>
            <w:r>
              <w:rPr>
                <w:rFonts w:ascii="宋体" w:hAnsi="宋体"/>
                <w:bCs/>
                <w:szCs w:val="21"/>
              </w:rPr>
              <w:t xml:space="preserve"> </w:t>
            </w:r>
          </w:p>
        </w:tc>
        <w:tc>
          <w:tcPr>
            <w:tcW w:w="2736" w:type="dxa"/>
          </w:tcPr>
          <w:p w14:paraId="1B8B02FC" w14:textId="77777777" w:rsidR="0082364D" w:rsidRDefault="0082364D">
            <w:pPr>
              <w:spacing w:line="360" w:lineRule="auto"/>
              <w:ind w:firstLineChars="200" w:firstLine="420"/>
              <w:rPr>
                <w:rFonts w:ascii="宋体" w:hAnsi="宋体"/>
                <w:bCs/>
                <w:szCs w:val="21"/>
              </w:rPr>
            </w:pPr>
          </w:p>
        </w:tc>
      </w:tr>
      <w:tr w:rsidR="0082364D" w14:paraId="1335839D" w14:textId="77777777">
        <w:trPr>
          <w:trHeight w:val="112"/>
          <w:jc w:val="center"/>
        </w:trPr>
        <w:tc>
          <w:tcPr>
            <w:tcW w:w="4491" w:type="dxa"/>
          </w:tcPr>
          <w:p w14:paraId="3B7D0464" w14:textId="77777777" w:rsidR="0082364D" w:rsidRDefault="00BF2824">
            <w:pPr>
              <w:spacing w:line="360" w:lineRule="auto"/>
              <w:ind w:firstLineChars="200" w:firstLine="420"/>
              <w:rPr>
                <w:rFonts w:ascii="宋体" w:hAnsi="宋体"/>
                <w:bCs/>
                <w:szCs w:val="21"/>
              </w:rPr>
            </w:pPr>
            <w:r>
              <w:rPr>
                <w:rFonts w:ascii="宋体" w:hAnsi="宋体" w:hint="eastAsia"/>
                <w:bCs/>
                <w:szCs w:val="21"/>
              </w:rPr>
              <w:t>基金份额净值（单位：元）</w:t>
            </w:r>
            <w:r>
              <w:rPr>
                <w:rFonts w:ascii="宋体" w:hAnsi="宋体"/>
                <w:bCs/>
                <w:szCs w:val="21"/>
              </w:rPr>
              <w:t xml:space="preserve"> </w:t>
            </w:r>
          </w:p>
        </w:tc>
        <w:tc>
          <w:tcPr>
            <w:tcW w:w="2736" w:type="dxa"/>
          </w:tcPr>
          <w:p w14:paraId="461E4B24" w14:textId="77777777" w:rsidR="0082364D" w:rsidRDefault="0082364D">
            <w:pPr>
              <w:spacing w:line="360" w:lineRule="auto"/>
              <w:ind w:firstLineChars="200" w:firstLine="420"/>
              <w:rPr>
                <w:rFonts w:ascii="宋体" w:hAnsi="宋体"/>
                <w:bCs/>
                <w:szCs w:val="21"/>
              </w:rPr>
            </w:pPr>
          </w:p>
        </w:tc>
      </w:tr>
    </w:tbl>
    <w:p w14:paraId="0706E838" w14:textId="77777777" w:rsidR="0082364D" w:rsidRDefault="00BF2824">
      <w:pPr>
        <w:spacing w:line="360" w:lineRule="auto"/>
        <w:ind w:firstLineChars="200" w:firstLine="420"/>
        <w:rPr>
          <w:rFonts w:ascii="宋体" w:hAnsi="宋体"/>
          <w:bCs/>
          <w:szCs w:val="21"/>
        </w:rPr>
      </w:pPr>
      <w:r>
        <w:rPr>
          <w:rFonts w:ascii="宋体" w:hAnsi="宋体" w:hint="eastAsia"/>
          <w:bCs/>
          <w:szCs w:val="21"/>
        </w:rPr>
        <w:t>T日信息内容</w:t>
      </w:r>
    </w:p>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2909"/>
      </w:tblGrid>
      <w:tr w:rsidR="0082364D" w14:paraId="0749989A" w14:textId="77777777">
        <w:trPr>
          <w:trHeight w:val="112"/>
          <w:jc w:val="center"/>
        </w:trPr>
        <w:tc>
          <w:tcPr>
            <w:tcW w:w="4491" w:type="dxa"/>
          </w:tcPr>
          <w:p w14:paraId="2F075914" w14:textId="77777777" w:rsidR="0082364D" w:rsidRDefault="00BF2824">
            <w:pPr>
              <w:spacing w:line="360" w:lineRule="auto"/>
              <w:ind w:firstLineChars="200" w:firstLine="420"/>
              <w:rPr>
                <w:rFonts w:ascii="宋体" w:hAnsi="宋体"/>
                <w:bCs/>
                <w:szCs w:val="21"/>
              </w:rPr>
            </w:pPr>
            <w:r>
              <w:rPr>
                <w:rFonts w:ascii="宋体" w:hAnsi="宋体" w:hint="eastAsia"/>
                <w:bCs/>
                <w:szCs w:val="21"/>
              </w:rPr>
              <w:t>预估现金部分(单位:元)</w:t>
            </w:r>
          </w:p>
        </w:tc>
        <w:tc>
          <w:tcPr>
            <w:tcW w:w="2909" w:type="dxa"/>
          </w:tcPr>
          <w:p w14:paraId="47F1189A" w14:textId="77777777" w:rsidR="0082364D" w:rsidRDefault="0082364D">
            <w:pPr>
              <w:spacing w:line="360" w:lineRule="auto"/>
              <w:ind w:firstLineChars="200" w:firstLine="420"/>
              <w:rPr>
                <w:rFonts w:ascii="宋体" w:hAnsi="宋体"/>
                <w:bCs/>
                <w:szCs w:val="21"/>
              </w:rPr>
            </w:pPr>
          </w:p>
        </w:tc>
      </w:tr>
      <w:tr w:rsidR="0082364D" w14:paraId="50565CD7" w14:textId="77777777">
        <w:trPr>
          <w:trHeight w:val="112"/>
          <w:jc w:val="center"/>
        </w:trPr>
        <w:tc>
          <w:tcPr>
            <w:tcW w:w="4491" w:type="dxa"/>
          </w:tcPr>
          <w:p w14:paraId="2D6FF874" w14:textId="77777777" w:rsidR="0082364D" w:rsidRDefault="00BF2824">
            <w:pPr>
              <w:spacing w:line="360" w:lineRule="auto"/>
              <w:ind w:firstLineChars="200" w:firstLine="420"/>
              <w:rPr>
                <w:rFonts w:ascii="宋体" w:hAnsi="宋体"/>
                <w:bCs/>
                <w:szCs w:val="21"/>
              </w:rPr>
            </w:pPr>
            <w:r>
              <w:rPr>
                <w:rFonts w:ascii="宋体" w:hAnsi="Calibri" w:cs="宋体" w:hint="eastAsia"/>
                <w:kern w:val="0"/>
                <w:szCs w:val="21"/>
              </w:rPr>
              <w:t>可以现金替代比例上限</w:t>
            </w:r>
            <w:r>
              <w:rPr>
                <w:rFonts w:ascii="宋体" w:hAnsi="宋体"/>
                <w:bCs/>
                <w:szCs w:val="21"/>
              </w:rPr>
              <w:t xml:space="preserve"> </w:t>
            </w:r>
          </w:p>
        </w:tc>
        <w:tc>
          <w:tcPr>
            <w:tcW w:w="2909" w:type="dxa"/>
          </w:tcPr>
          <w:p w14:paraId="3B9B4FEF" w14:textId="77777777" w:rsidR="0082364D" w:rsidRDefault="0082364D">
            <w:pPr>
              <w:spacing w:line="360" w:lineRule="auto"/>
              <w:ind w:firstLineChars="200" w:firstLine="420"/>
              <w:rPr>
                <w:rFonts w:ascii="宋体" w:hAnsi="宋体"/>
                <w:bCs/>
                <w:szCs w:val="21"/>
              </w:rPr>
            </w:pPr>
          </w:p>
        </w:tc>
      </w:tr>
      <w:tr w:rsidR="0082364D" w14:paraId="67E06DB0" w14:textId="77777777">
        <w:trPr>
          <w:trHeight w:val="112"/>
          <w:jc w:val="center"/>
        </w:trPr>
        <w:tc>
          <w:tcPr>
            <w:tcW w:w="4491" w:type="dxa"/>
          </w:tcPr>
          <w:p w14:paraId="1C3475DB" w14:textId="77777777" w:rsidR="0082364D" w:rsidRDefault="00BF2824">
            <w:pPr>
              <w:spacing w:line="360" w:lineRule="auto"/>
              <w:ind w:firstLineChars="200" w:firstLine="420"/>
              <w:rPr>
                <w:rFonts w:ascii="宋体" w:hAnsi="Calibri" w:cs="宋体"/>
                <w:kern w:val="0"/>
                <w:szCs w:val="21"/>
              </w:rPr>
            </w:pPr>
            <w:r>
              <w:rPr>
                <w:rFonts w:ascii="宋体" w:hAnsi="Calibri" w:cs="宋体" w:hint="eastAsia"/>
                <w:kern w:val="0"/>
                <w:szCs w:val="21"/>
              </w:rPr>
              <w:t>是否需要公布IOPV</w:t>
            </w:r>
          </w:p>
        </w:tc>
        <w:tc>
          <w:tcPr>
            <w:tcW w:w="2909" w:type="dxa"/>
          </w:tcPr>
          <w:p w14:paraId="239A0C8E" w14:textId="77777777" w:rsidR="0082364D" w:rsidRDefault="0082364D">
            <w:pPr>
              <w:spacing w:line="360" w:lineRule="auto"/>
              <w:ind w:firstLineChars="200" w:firstLine="420"/>
              <w:rPr>
                <w:rFonts w:ascii="宋体" w:hAnsi="宋体"/>
                <w:bCs/>
                <w:szCs w:val="21"/>
              </w:rPr>
            </w:pPr>
          </w:p>
        </w:tc>
      </w:tr>
      <w:tr w:rsidR="0082364D" w14:paraId="07CA0C27" w14:textId="77777777">
        <w:trPr>
          <w:trHeight w:val="112"/>
          <w:jc w:val="center"/>
        </w:trPr>
        <w:tc>
          <w:tcPr>
            <w:tcW w:w="4491" w:type="dxa"/>
          </w:tcPr>
          <w:p w14:paraId="27DCEB6E" w14:textId="77777777" w:rsidR="0082364D" w:rsidRDefault="00BF2824">
            <w:pPr>
              <w:spacing w:line="360" w:lineRule="auto"/>
              <w:ind w:firstLineChars="200" w:firstLine="420"/>
              <w:rPr>
                <w:rFonts w:ascii="宋体" w:hAnsi="Calibri" w:cs="宋体"/>
                <w:kern w:val="0"/>
                <w:szCs w:val="21"/>
              </w:rPr>
            </w:pPr>
            <w:r>
              <w:rPr>
                <w:rFonts w:ascii="宋体" w:hAnsi="宋体" w:hint="eastAsia"/>
                <w:bCs/>
                <w:szCs w:val="21"/>
              </w:rPr>
              <w:t>最小申购、赎回单位（单位：份）</w:t>
            </w:r>
          </w:p>
        </w:tc>
        <w:tc>
          <w:tcPr>
            <w:tcW w:w="2909" w:type="dxa"/>
          </w:tcPr>
          <w:p w14:paraId="6140A36A" w14:textId="77777777" w:rsidR="0082364D" w:rsidRDefault="0082364D">
            <w:pPr>
              <w:spacing w:line="360" w:lineRule="auto"/>
              <w:ind w:firstLineChars="200" w:firstLine="420"/>
              <w:rPr>
                <w:rFonts w:ascii="宋体" w:hAnsi="宋体"/>
                <w:bCs/>
                <w:szCs w:val="21"/>
              </w:rPr>
            </w:pPr>
          </w:p>
        </w:tc>
      </w:tr>
      <w:tr w:rsidR="0082364D" w14:paraId="45433774" w14:textId="77777777">
        <w:trPr>
          <w:trHeight w:val="112"/>
          <w:jc w:val="center"/>
        </w:trPr>
        <w:tc>
          <w:tcPr>
            <w:tcW w:w="4491" w:type="dxa"/>
          </w:tcPr>
          <w:p w14:paraId="6D40E432" w14:textId="77777777" w:rsidR="0082364D" w:rsidRDefault="00BF2824">
            <w:pPr>
              <w:spacing w:line="360" w:lineRule="auto"/>
              <w:ind w:firstLineChars="200" w:firstLine="420"/>
              <w:rPr>
                <w:rFonts w:ascii="宋体" w:hAnsi="Calibri" w:cs="宋体"/>
                <w:kern w:val="0"/>
                <w:szCs w:val="21"/>
              </w:rPr>
            </w:pPr>
            <w:r>
              <w:rPr>
                <w:rFonts w:ascii="宋体" w:cs="宋体" w:hint="eastAsia"/>
                <w:kern w:val="0"/>
                <w:szCs w:val="21"/>
              </w:rPr>
              <w:t>最小申购、赎回单位分红金额</w:t>
            </w:r>
            <w:r>
              <w:rPr>
                <w:kern w:val="0"/>
                <w:szCs w:val="21"/>
              </w:rPr>
              <w:t>(</w:t>
            </w:r>
            <w:r>
              <w:rPr>
                <w:rFonts w:ascii="宋体" w:cs="宋体" w:hint="eastAsia"/>
                <w:kern w:val="0"/>
                <w:szCs w:val="21"/>
              </w:rPr>
              <w:t>单位</w:t>
            </w:r>
            <w:r>
              <w:rPr>
                <w:kern w:val="0"/>
                <w:szCs w:val="21"/>
              </w:rPr>
              <w:t>:</w:t>
            </w:r>
            <w:r>
              <w:rPr>
                <w:rFonts w:ascii="宋体" w:cs="宋体" w:hint="eastAsia"/>
                <w:kern w:val="0"/>
                <w:szCs w:val="21"/>
              </w:rPr>
              <w:t>元</w:t>
            </w:r>
            <w:r>
              <w:rPr>
                <w:kern w:val="0"/>
                <w:szCs w:val="21"/>
              </w:rPr>
              <w:t>)</w:t>
            </w:r>
          </w:p>
        </w:tc>
        <w:tc>
          <w:tcPr>
            <w:tcW w:w="2909" w:type="dxa"/>
          </w:tcPr>
          <w:p w14:paraId="6D7F3C8F" w14:textId="77777777" w:rsidR="0082364D" w:rsidRDefault="0082364D">
            <w:pPr>
              <w:spacing w:line="360" w:lineRule="auto"/>
              <w:ind w:firstLineChars="200" w:firstLine="420"/>
              <w:rPr>
                <w:rFonts w:ascii="宋体" w:hAnsi="宋体"/>
                <w:bCs/>
                <w:szCs w:val="21"/>
              </w:rPr>
            </w:pPr>
          </w:p>
        </w:tc>
      </w:tr>
      <w:tr w:rsidR="0082364D" w14:paraId="6F9BF8F3" w14:textId="77777777">
        <w:trPr>
          <w:trHeight w:val="112"/>
          <w:jc w:val="center"/>
        </w:trPr>
        <w:tc>
          <w:tcPr>
            <w:tcW w:w="4491" w:type="dxa"/>
          </w:tcPr>
          <w:p w14:paraId="3EB34092" w14:textId="77777777" w:rsidR="0082364D" w:rsidRDefault="00BF2824">
            <w:pPr>
              <w:spacing w:line="360" w:lineRule="auto"/>
              <w:ind w:firstLineChars="200" w:firstLine="420"/>
              <w:rPr>
                <w:rFonts w:ascii="宋体" w:cs="宋体"/>
                <w:kern w:val="0"/>
                <w:szCs w:val="21"/>
              </w:rPr>
            </w:pPr>
            <w:r>
              <w:rPr>
                <w:rFonts w:ascii="宋体" w:cs="宋体" w:hint="eastAsia"/>
                <w:kern w:val="0"/>
                <w:szCs w:val="21"/>
              </w:rPr>
              <w:t>本市场申购赎回组合证券只数：</w:t>
            </w:r>
          </w:p>
        </w:tc>
        <w:tc>
          <w:tcPr>
            <w:tcW w:w="2909" w:type="dxa"/>
          </w:tcPr>
          <w:p w14:paraId="7DC0FC4C" w14:textId="77777777" w:rsidR="0082364D" w:rsidRDefault="0082364D">
            <w:pPr>
              <w:spacing w:line="360" w:lineRule="auto"/>
              <w:ind w:firstLineChars="200" w:firstLine="420"/>
              <w:rPr>
                <w:rFonts w:ascii="宋体" w:hAnsi="宋体"/>
                <w:bCs/>
                <w:szCs w:val="21"/>
              </w:rPr>
            </w:pPr>
          </w:p>
        </w:tc>
      </w:tr>
      <w:tr w:rsidR="0082364D" w14:paraId="40AAED29" w14:textId="77777777">
        <w:trPr>
          <w:trHeight w:val="112"/>
          <w:jc w:val="center"/>
        </w:trPr>
        <w:tc>
          <w:tcPr>
            <w:tcW w:w="4491" w:type="dxa"/>
          </w:tcPr>
          <w:p w14:paraId="4DAA8088" w14:textId="77777777" w:rsidR="0082364D" w:rsidRDefault="00BF2824">
            <w:pPr>
              <w:spacing w:line="360" w:lineRule="auto"/>
              <w:ind w:firstLineChars="200" w:firstLine="420"/>
              <w:rPr>
                <w:rFonts w:ascii="宋体" w:cs="宋体"/>
                <w:kern w:val="0"/>
                <w:szCs w:val="21"/>
              </w:rPr>
            </w:pPr>
            <w:r>
              <w:rPr>
                <w:rFonts w:ascii="宋体" w:cs="宋体" w:hint="eastAsia"/>
                <w:kern w:val="0"/>
                <w:szCs w:val="21"/>
              </w:rPr>
              <w:t>全部申购赎回组合证券只数：</w:t>
            </w:r>
          </w:p>
        </w:tc>
        <w:tc>
          <w:tcPr>
            <w:tcW w:w="2909" w:type="dxa"/>
          </w:tcPr>
          <w:p w14:paraId="2111BDCC" w14:textId="77777777" w:rsidR="0082364D" w:rsidRDefault="0082364D">
            <w:pPr>
              <w:spacing w:line="360" w:lineRule="auto"/>
              <w:ind w:firstLineChars="200" w:firstLine="420"/>
              <w:rPr>
                <w:rFonts w:ascii="宋体" w:hAnsi="宋体"/>
                <w:bCs/>
                <w:szCs w:val="21"/>
              </w:rPr>
            </w:pPr>
          </w:p>
        </w:tc>
      </w:tr>
      <w:tr w:rsidR="0082364D" w14:paraId="12E120D5" w14:textId="77777777">
        <w:trPr>
          <w:trHeight w:val="112"/>
          <w:jc w:val="center"/>
        </w:trPr>
        <w:tc>
          <w:tcPr>
            <w:tcW w:w="4491" w:type="dxa"/>
          </w:tcPr>
          <w:p w14:paraId="7859249E" w14:textId="77777777" w:rsidR="0082364D" w:rsidRDefault="00BF2824">
            <w:pPr>
              <w:spacing w:line="360" w:lineRule="auto"/>
              <w:ind w:firstLineChars="200" w:firstLine="420"/>
              <w:rPr>
                <w:rFonts w:ascii="宋体" w:hAnsi="Calibri" w:cs="宋体"/>
                <w:kern w:val="0"/>
                <w:szCs w:val="21"/>
              </w:rPr>
            </w:pPr>
            <w:r>
              <w:rPr>
                <w:rFonts w:ascii="宋体" w:cs="宋体" w:hint="eastAsia"/>
                <w:kern w:val="0"/>
                <w:szCs w:val="21"/>
              </w:rPr>
              <w:t>是否允许申购</w:t>
            </w:r>
          </w:p>
        </w:tc>
        <w:tc>
          <w:tcPr>
            <w:tcW w:w="2909" w:type="dxa"/>
          </w:tcPr>
          <w:p w14:paraId="0EDEC2BA" w14:textId="77777777" w:rsidR="0082364D" w:rsidRDefault="0082364D">
            <w:pPr>
              <w:spacing w:line="360" w:lineRule="auto"/>
              <w:ind w:firstLineChars="200" w:firstLine="420"/>
              <w:rPr>
                <w:rFonts w:ascii="宋体" w:hAnsi="宋体"/>
                <w:bCs/>
                <w:szCs w:val="21"/>
              </w:rPr>
            </w:pPr>
          </w:p>
        </w:tc>
      </w:tr>
      <w:tr w:rsidR="0082364D" w14:paraId="3E5A925E" w14:textId="77777777">
        <w:trPr>
          <w:trHeight w:val="113"/>
          <w:jc w:val="center"/>
        </w:trPr>
        <w:tc>
          <w:tcPr>
            <w:tcW w:w="4491" w:type="dxa"/>
          </w:tcPr>
          <w:p w14:paraId="61B534E3" w14:textId="77777777" w:rsidR="0082364D" w:rsidRDefault="00BF2824">
            <w:pPr>
              <w:spacing w:line="360" w:lineRule="auto"/>
              <w:ind w:firstLineChars="200" w:firstLine="420"/>
              <w:rPr>
                <w:rFonts w:ascii="宋体" w:hAnsi="宋体"/>
                <w:bCs/>
                <w:szCs w:val="21"/>
              </w:rPr>
            </w:pPr>
            <w:r>
              <w:rPr>
                <w:rFonts w:ascii="宋体" w:cs="宋体" w:hint="eastAsia"/>
                <w:kern w:val="0"/>
                <w:szCs w:val="21"/>
              </w:rPr>
              <w:t>是否允许赎回</w:t>
            </w:r>
          </w:p>
        </w:tc>
        <w:tc>
          <w:tcPr>
            <w:tcW w:w="2909" w:type="dxa"/>
          </w:tcPr>
          <w:p w14:paraId="7FBADA6D" w14:textId="77777777" w:rsidR="0082364D" w:rsidRDefault="0082364D">
            <w:pPr>
              <w:spacing w:line="360" w:lineRule="auto"/>
              <w:ind w:firstLineChars="200" w:firstLine="420"/>
              <w:rPr>
                <w:rFonts w:ascii="宋体" w:hAnsi="宋体"/>
                <w:bCs/>
                <w:szCs w:val="21"/>
              </w:rPr>
            </w:pPr>
          </w:p>
        </w:tc>
      </w:tr>
      <w:tr w:rsidR="0082364D" w14:paraId="23093732" w14:textId="77777777">
        <w:trPr>
          <w:trHeight w:val="105"/>
          <w:jc w:val="center"/>
        </w:trPr>
        <w:tc>
          <w:tcPr>
            <w:tcW w:w="4491" w:type="dxa"/>
          </w:tcPr>
          <w:p w14:paraId="33ADE2E9" w14:textId="77777777" w:rsidR="0082364D" w:rsidRDefault="00BF2824">
            <w:pPr>
              <w:spacing w:line="360" w:lineRule="auto"/>
              <w:ind w:firstLineChars="200" w:firstLine="420"/>
              <w:rPr>
                <w:rFonts w:ascii="宋体" w:hAnsi="宋体"/>
                <w:bCs/>
                <w:szCs w:val="21"/>
              </w:rPr>
            </w:pPr>
            <w:r>
              <w:rPr>
                <w:rFonts w:ascii="宋体" w:cs="宋体" w:hint="eastAsia"/>
                <w:kern w:val="0"/>
                <w:szCs w:val="21"/>
              </w:rPr>
              <w:t>当日累计申购份额上限</w:t>
            </w:r>
          </w:p>
        </w:tc>
        <w:tc>
          <w:tcPr>
            <w:tcW w:w="2909" w:type="dxa"/>
          </w:tcPr>
          <w:p w14:paraId="30E6D86A" w14:textId="77777777" w:rsidR="0082364D" w:rsidRDefault="0082364D">
            <w:pPr>
              <w:spacing w:line="360" w:lineRule="auto"/>
              <w:ind w:firstLineChars="200" w:firstLine="420"/>
              <w:rPr>
                <w:rFonts w:ascii="宋体" w:hAnsi="宋体"/>
                <w:bCs/>
                <w:szCs w:val="21"/>
              </w:rPr>
            </w:pPr>
          </w:p>
        </w:tc>
      </w:tr>
      <w:tr w:rsidR="0082364D" w14:paraId="04EFB10C" w14:textId="77777777">
        <w:trPr>
          <w:trHeight w:val="105"/>
          <w:jc w:val="center"/>
        </w:trPr>
        <w:tc>
          <w:tcPr>
            <w:tcW w:w="4491" w:type="dxa"/>
          </w:tcPr>
          <w:p w14:paraId="33974717" w14:textId="77777777" w:rsidR="0082364D" w:rsidRDefault="00BF2824">
            <w:pPr>
              <w:spacing w:line="360" w:lineRule="auto"/>
              <w:ind w:firstLineChars="200" w:firstLine="420"/>
              <w:rPr>
                <w:rFonts w:ascii="宋体" w:hAnsi="宋体"/>
                <w:bCs/>
                <w:szCs w:val="21"/>
              </w:rPr>
            </w:pPr>
            <w:r>
              <w:rPr>
                <w:rFonts w:ascii="宋体" w:cs="宋体" w:hint="eastAsia"/>
                <w:kern w:val="0"/>
                <w:szCs w:val="21"/>
              </w:rPr>
              <w:t>当日累计赎回份额上限</w:t>
            </w:r>
          </w:p>
        </w:tc>
        <w:tc>
          <w:tcPr>
            <w:tcW w:w="2909" w:type="dxa"/>
          </w:tcPr>
          <w:p w14:paraId="4D8F1399" w14:textId="77777777" w:rsidR="0082364D" w:rsidRDefault="0082364D">
            <w:pPr>
              <w:spacing w:line="360" w:lineRule="auto"/>
              <w:ind w:firstLineChars="200" w:firstLine="420"/>
              <w:rPr>
                <w:rFonts w:ascii="宋体" w:hAnsi="宋体"/>
                <w:bCs/>
                <w:szCs w:val="21"/>
              </w:rPr>
            </w:pPr>
          </w:p>
        </w:tc>
      </w:tr>
    </w:tbl>
    <w:p w14:paraId="7A67D260" w14:textId="77777777" w:rsidR="0082364D" w:rsidRDefault="00BF2824">
      <w:pPr>
        <w:spacing w:line="360" w:lineRule="auto"/>
        <w:ind w:firstLineChars="200" w:firstLine="420"/>
        <w:rPr>
          <w:rFonts w:ascii="宋体" w:hAnsi="宋体"/>
          <w:bCs/>
          <w:szCs w:val="21"/>
        </w:rPr>
      </w:pPr>
      <w:r>
        <w:rPr>
          <w:rFonts w:ascii="宋体" w:hAnsi="宋体"/>
          <w:bCs/>
          <w:szCs w:val="21"/>
        </w:rPr>
        <w:t>成份股信息内容</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125"/>
        <w:gridCol w:w="920"/>
        <w:gridCol w:w="1069"/>
        <w:gridCol w:w="1232"/>
        <w:gridCol w:w="985"/>
        <w:gridCol w:w="985"/>
        <w:gridCol w:w="985"/>
        <w:gridCol w:w="985"/>
      </w:tblGrid>
      <w:tr w:rsidR="0082364D" w14:paraId="4CB1984B" w14:textId="77777777">
        <w:trPr>
          <w:trHeight w:val="314"/>
        </w:trPr>
        <w:tc>
          <w:tcPr>
            <w:tcW w:w="920" w:type="dxa"/>
            <w:vAlign w:val="center"/>
          </w:tcPr>
          <w:p w14:paraId="7BFEB5D7" w14:textId="77777777" w:rsidR="0082364D" w:rsidRDefault="00BF2824">
            <w:pPr>
              <w:spacing w:line="360" w:lineRule="auto"/>
              <w:rPr>
                <w:rFonts w:ascii="宋体" w:hAnsi="宋体"/>
                <w:bCs/>
                <w:szCs w:val="21"/>
              </w:rPr>
            </w:pPr>
            <w:r>
              <w:rPr>
                <w:rFonts w:ascii="宋体" w:hAnsi="宋体" w:hint="eastAsia"/>
                <w:bCs/>
                <w:szCs w:val="21"/>
              </w:rPr>
              <w:t>证券代码</w:t>
            </w:r>
          </w:p>
        </w:tc>
        <w:tc>
          <w:tcPr>
            <w:tcW w:w="1125" w:type="dxa"/>
            <w:vAlign w:val="center"/>
          </w:tcPr>
          <w:p w14:paraId="7592FACE" w14:textId="77777777" w:rsidR="0082364D" w:rsidRDefault="00BF2824">
            <w:pPr>
              <w:spacing w:line="360" w:lineRule="auto"/>
              <w:rPr>
                <w:rFonts w:ascii="宋体" w:hAnsi="宋体"/>
                <w:bCs/>
                <w:szCs w:val="21"/>
              </w:rPr>
            </w:pPr>
            <w:r>
              <w:rPr>
                <w:rFonts w:ascii="宋体" w:hAnsi="宋体" w:hint="eastAsia"/>
                <w:bCs/>
                <w:szCs w:val="21"/>
              </w:rPr>
              <w:t>证券简称</w:t>
            </w:r>
          </w:p>
        </w:tc>
        <w:tc>
          <w:tcPr>
            <w:tcW w:w="920" w:type="dxa"/>
            <w:vAlign w:val="center"/>
          </w:tcPr>
          <w:p w14:paraId="22AC9ADD" w14:textId="77777777" w:rsidR="0082364D" w:rsidRDefault="00BF2824">
            <w:pPr>
              <w:spacing w:line="360" w:lineRule="auto"/>
              <w:rPr>
                <w:rFonts w:ascii="宋体" w:hAnsi="宋体"/>
                <w:bCs/>
                <w:szCs w:val="21"/>
              </w:rPr>
            </w:pPr>
            <w:r>
              <w:rPr>
                <w:rFonts w:ascii="宋体" w:hAnsi="宋体" w:hint="eastAsia"/>
                <w:bCs/>
                <w:szCs w:val="21"/>
              </w:rPr>
              <w:t>股份数量</w:t>
            </w:r>
          </w:p>
        </w:tc>
        <w:tc>
          <w:tcPr>
            <w:tcW w:w="1069" w:type="dxa"/>
            <w:vAlign w:val="center"/>
          </w:tcPr>
          <w:p w14:paraId="52BDC4A9" w14:textId="77777777" w:rsidR="0082364D" w:rsidRDefault="00BF2824">
            <w:pPr>
              <w:spacing w:line="360" w:lineRule="auto"/>
              <w:rPr>
                <w:rFonts w:ascii="宋体" w:hAnsi="宋体"/>
                <w:bCs/>
                <w:szCs w:val="21"/>
              </w:rPr>
            </w:pPr>
            <w:r>
              <w:rPr>
                <w:rFonts w:ascii="宋体" w:hAnsi="宋体" w:hint="eastAsia"/>
                <w:bCs/>
                <w:szCs w:val="21"/>
              </w:rPr>
              <w:t>现金替代标志</w:t>
            </w:r>
          </w:p>
        </w:tc>
        <w:tc>
          <w:tcPr>
            <w:tcW w:w="1232" w:type="dxa"/>
            <w:vAlign w:val="center"/>
          </w:tcPr>
          <w:p w14:paraId="552E5FF5" w14:textId="77777777" w:rsidR="0082364D" w:rsidRDefault="00BF2824">
            <w:pPr>
              <w:spacing w:line="360" w:lineRule="auto"/>
              <w:rPr>
                <w:rFonts w:ascii="宋体" w:hAnsi="宋体"/>
                <w:bCs/>
                <w:szCs w:val="21"/>
              </w:rPr>
            </w:pPr>
            <w:r>
              <w:rPr>
                <w:rFonts w:ascii="宋体" w:hAnsi="宋体" w:hint="eastAsia"/>
                <w:bCs/>
                <w:szCs w:val="21"/>
              </w:rPr>
              <w:t>申购现金替代保证金率</w:t>
            </w:r>
          </w:p>
        </w:tc>
        <w:tc>
          <w:tcPr>
            <w:tcW w:w="985" w:type="dxa"/>
          </w:tcPr>
          <w:p w14:paraId="6F242EAA" w14:textId="77777777" w:rsidR="0082364D" w:rsidRDefault="00BF2824">
            <w:pPr>
              <w:spacing w:line="360" w:lineRule="auto"/>
              <w:rPr>
                <w:rFonts w:ascii="宋体" w:hAnsi="宋体"/>
                <w:bCs/>
                <w:szCs w:val="21"/>
              </w:rPr>
            </w:pPr>
            <w:r>
              <w:rPr>
                <w:rFonts w:ascii="宋体" w:hAnsi="宋体" w:hint="eastAsia"/>
                <w:bCs/>
                <w:szCs w:val="21"/>
              </w:rPr>
              <w:t>赎回现金替代保证金率</w:t>
            </w:r>
          </w:p>
        </w:tc>
        <w:tc>
          <w:tcPr>
            <w:tcW w:w="985" w:type="dxa"/>
            <w:vAlign w:val="center"/>
          </w:tcPr>
          <w:p w14:paraId="5A1F28D7" w14:textId="77777777" w:rsidR="0082364D" w:rsidRDefault="00BF2824">
            <w:pPr>
              <w:spacing w:line="360" w:lineRule="auto"/>
              <w:rPr>
                <w:rFonts w:ascii="宋体" w:hAnsi="宋体"/>
                <w:bCs/>
                <w:szCs w:val="21"/>
              </w:rPr>
            </w:pPr>
            <w:r>
              <w:rPr>
                <w:rFonts w:ascii="宋体" w:hAnsi="宋体" w:hint="eastAsia"/>
                <w:bCs/>
                <w:szCs w:val="21"/>
              </w:rPr>
              <w:t>申购替代金额</w:t>
            </w:r>
          </w:p>
        </w:tc>
        <w:tc>
          <w:tcPr>
            <w:tcW w:w="985" w:type="dxa"/>
            <w:vAlign w:val="center"/>
          </w:tcPr>
          <w:p w14:paraId="786EAE52" w14:textId="77777777" w:rsidR="0082364D" w:rsidRDefault="00BF2824">
            <w:pPr>
              <w:spacing w:line="360" w:lineRule="auto"/>
              <w:rPr>
                <w:rFonts w:ascii="宋体" w:hAnsi="宋体"/>
                <w:bCs/>
                <w:szCs w:val="21"/>
              </w:rPr>
            </w:pPr>
            <w:r>
              <w:rPr>
                <w:rFonts w:ascii="宋体" w:hAnsi="宋体" w:hint="eastAsia"/>
                <w:bCs/>
                <w:szCs w:val="21"/>
              </w:rPr>
              <w:t>赎回替代金额</w:t>
            </w:r>
          </w:p>
        </w:tc>
        <w:tc>
          <w:tcPr>
            <w:tcW w:w="985" w:type="dxa"/>
            <w:vAlign w:val="center"/>
          </w:tcPr>
          <w:p w14:paraId="49228769" w14:textId="77777777" w:rsidR="0082364D" w:rsidRDefault="00BF2824">
            <w:pPr>
              <w:spacing w:line="360" w:lineRule="auto"/>
              <w:rPr>
                <w:rFonts w:ascii="宋体" w:hAnsi="宋体"/>
                <w:bCs/>
                <w:szCs w:val="21"/>
              </w:rPr>
            </w:pPr>
            <w:r>
              <w:rPr>
                <w:rFonts w:ascii="宋体" w:hAnsi="宋体" w:hint="eastAsia"/>
                <w:bCs/>
                <w:szCs w:val="21"/>
              </w:rPr>
              <w:t>挂牌市场</w:t>
            </w:r>
          </w:p>
        </w:tc>
      </w:tr>
      <w:tr w:rsidR="0082364D" w14:paraId="70EAE038" w14:textId="77777777">
        <w:trPr>
          <w:trHeight w:val="129"/>
        </w:trPr>
        <w:tc>
          <w:tcPr>
            <w:tcW w:w="920" w:type="dxa"/>
          </w:tcPr>
          <w:p w14:paraId="542C4438" w14:textId="77777777" w:rsidR="0082364D" w:rsidRDefault="0082364D">
            <w:pPr>
              <w:spacing w:line="360" w:lineRule="auto"/>
              <w:ind w:firstLineChars="200" w:firstLine="420"/>
              <w:rPr>
                <w:rFonts w:ascii="宋体" w:hAnsi="宋体"/>
                <w:bCs/>
                <w:szCs w:val="21"/>
              </w:rPr>
            </w:pPr>
          </w:p>
        </w:tc>
        <w:tc>
          <w:tcPr>
            <w:tcW w:w="1125" w:type="dxa"/>
          </w:tcPr>
          <w:p w14:paraId="4142036B" w14:textId="77777777" w:rsidR="0082364D" w:rsidRDefault="0082364D">
            <w:pPr>
              <w:spacing w:line="360" w:lineRule="auto"/>
              <w:ind w:firstLineChars="200" w:firstLine="420"/>
              <w:rPr>
                <w:rFonts w:ascii="宋体" w:hAnsi="宋体"/>
                <w:bCs/>
                <w:szCs w:val="21"/>
              </w:rPr>
            </w:pPr>
          </w:p>
        </w:tc>
        <w:tc>
          <w:tcPr>
            <w:tcW w:w="920" w:type="dxa"/>
          </w:tcPr>
          <w:p w14:paraId="1C89E901" w14:textId="77777777" w:rsidR="0082364D" w:rsidRDefault="0082364D">
            <w:pPr>
              <w:spacing w:line="360" w:lineRule="auto"/>
              <w:rPr>
                <w:rFonts w:ascii="宋体" w:hAnsi="宋体"/>
                <w:bCs/>
                <w:szCs w:val="21"/>
              </w:rPr>
            </w:pPr>
          </w:p>
        </w:tc>
        <w:tc>
          <w:tcPr>
            <w:tcW w:w="1069" w:type="dxa"/>
          </w:tcPr>
          <w:p w14:paraId="71BC89A0" w14:textId="77777777" w:rsidR="0082364D" w:rsidRDefault="0082364D">
            <w:pPr>
              <w:spacing w:line="360" w:lineRule="auto"/>
              <w:rPr>
                <w:rFonts w:ascii="宋体" w:hAnsi="宋体"/>
                <w:bCs/>
                <w:szCs w:val="21"/>
              </w:rPr>
            </w:pPr>
          </w:p>
        </w:tc>
        <w:tc>
          <w:tcPr>
            <w:tcW w:w="1232" w:type="dxa"/>
          </w:tcPr>
          <w:p w14:paraId="68F8BD27" w14:textId="77777777" w:rsidR="0082364D" w:rsidRDefault="0082364D">
            <w:pPr>
              <w:spacing w:line="360" w:lineRule="auto"/>
              <w:rPr>
                <w:rFonts w:ascii="宋体" w:hAnsi="宋体"/>
                <w:bCs/>
                <w:szCs w:val="21"/>
              </w:rPr>
            </w:pPr>
          </w:p>
        </w:tc>
        <w:tc>
          <w:tcPr>
            <w:tcW w:w="985" w:type="dxa"/>
          </w:tcPr>
          <w:p w14:paraId="297D6F17" w14:textId="77777777" w:rsidR="0082364D" w:rsidRDefault="0082364D">
            <w:pPr>
              <w:spacing w:line="360" w:lineRule="auto"/>
              <w:rPr>
                <w:rFonts w:ascii="宋体" w:hAnsi="宋体"/>
                <w:bCs/>
                <w:szCs w:val="21"/>
              </w:rPr>
            </w:pPr>
          </w:p>
        </w:tc>
        <w:tc>
          <w:tcPr>
            <w:tcW w:w="985" w:type="dxa"/>
          </w:tcPr>
          <w:p w14:paraId="4C1B8ABD" w14:textId="77777777" w:rsidR="0082364D" w:rsidRDefault="0082364D">
            <w:pPr>
              <w:spacing w:line="360" w:lineRule="auto"/>
              <w:rPr>
                <w:rFonts w:ascii="宋体" w:hAnsi="宋体"/>
                <w:bCs/>
                <w:szCs w:val="21"/>
              </w:rPr>
            </w:pPr>
          </w:p>
        </w:tc>
        <w:tc>
          <w:tcPr>
            <w:tcW w:w="985" w:type="dxa"/>
          </w:tcPr>
          <w:p w14:paraId="57A65624" w14:textId="77777777" w:rsidR="0082364D" w:rsidRDefault="0082364D">
            <w:pPr>
              <w:spacing w:line="360" w:lineRule="auto"/>
              <w:rPr>
                <w:rFonts w:ascii="宋体" w:hAnsi="宋体"/>
                <w:bCs/>
                <w:szCs w:val="21"/>
              </w:rPr>
            </w:pPr>
          </w:p>
        </w:tc>
        <w:tc>
          <w:tcPr>
            <w:tcW w:w="985" w:type="dxa"/>
          </w:tcPr>
          <w:p w14:paraId="234388FC" w14:textId="77777777" w:rsidR="0082364D" w:rsidRDefault="0082364D">
            <w:pPr>
              <w:spacing w:line="360" w:lineRule="auto"/>
              <w:rPr>
                <w:rFonts w:ascii="宋体" w:hAnsi="宋体"/>
                <w:bCs/>
                <w:szCs w:val="21"/>
              </w:rPr>
            </w:pPr>
          </w:p>
        </w:tc>
      </w:tr>
      <w:tr w:rsidR="0082364D" w14:paraId="3180E8CE" w14:textId="77777777">
        <w:trPr>
          <w:trHeight w:val="129"/>
        </w:trPr>
        <w:tc>
          <w:tcPr>
            <w:tcW w:w="920" w:type="dxa"/>
          </w:tcPr>
          <w:p w14:paraId="7DA8B8C7" w14:textId="77777777" w:rsidR="0082364D" w:rsidRDefault="0082364D">
            <w:pPr>
              <w:spacing w:line="360" w:lineRule="auto"/>
              <w:rPr>
                <w:rFonts w:ascii="宋体" w:hAnsi="宋体"/>
                <w:bCs/>
                <w:szCs w:val="21"/>
              </w:rPr>
            </w:pPr>
          </w:p>
        </w:tc>
        <w:tc>
          <w:tcPr>
            <w:tcW w:w="1125" w:type="dxa"/>
          </w:tcPr>
          <w:p w14:paraId="4CC5B4FC" w14:textId="77777777" w:rsidR="0082364D" w:rsidRDefault="0082364D">
            <w:pPr>
              <w:spacing w:line="360" w:lineRule="auto"/>
              <w:rPr>
                <w:rFonts w:ascii="宋体" w:hAnsi="宋体"/>
                <w:bCs/>
                <w:szCs w:val="21"/>
              </w:rPr>
            </w:pPr>
          </w:p>
        </w:tc>
        <w:tc>
          <w:tcPr>
            <w:tcW w:w="920" w:type="dxa"/>
          </w:tcPr>
          <w:p w14:paraId="57BD09C7" w14:textId="77777777" w:rsidR="0082364D" w:rsidRDefault="0082364D">
            <w:pPr>
              <w:spacing w:line="360" w:lineRule="auto"/>
              <w:rPr>
                <w:rFonts w:ascii="宋体" w:hAnsi="宋体"/>
                <w:bCs/>
                <w:szCs w:val="21"/>
              </w:rPr>
            </w:pPr>
          </w:p>
        </w:tc>
        <w:tc>
          <w:tcPr>
            <w:tcW w:w="1069" w:type="dxa"/>
          </w:tcPr>
          <w:p w14:paraId="0A2CF628" w14:textId="77777777" w:rsidR="0082364D" w:rsidRDefault="0082364D">
            <w:pPr>
              <w:spacing w:line="360" w:lineRule="auto"/>
              <w:rPr>
                <w:rFonts w:ascii="宋体" w:hAnsi="宋体"/>
                <w:bCs/>
                <w:szCs w:val="21"/>
              </w:rPr>
            </w:pPr>
          </w:p>
        </w:tc>
        <w:tc>
          <w:tcPr>
            <w:tcW w:w="1232" w:type="dxa"/>
          </w:tcPr>
          <w:p w14:paraId="79EC0E5B" w14:textId="77777777" w:rsidR="0082364D" w:rsidRDefault="0082364D">
            <w:pPr>
              <w:spacing w:line="360" w:lineRule="auto"/>
              <w:rPr>
                <w:rFonts w:ascii="宋体" w:hAnsi="宋体"/>
                <w:bCs/>
                <w:szCs w:val="21"/>
              </w:rPr>
            </w:pPr>
          </w:p>
        </w:tc>
        <w:tc>
          <w:tcPr>
            <w:tcW w:w="985" w:type="dxa"/>
          </w:tcPr>
          <w:p w14:paraId="6FEFB13E" w14:textId="77777777" w:rsidR="0082364D" w:rsidRDefault="0082364D">
            <w:pPr>
              <w:spacing w:line="360" w:lineRule="auto"/>
              <w:rPr>
                <w:rFonts w:ascii="宋体" w:hAnsi="宋体"/>
                <w:bCs/>
                <w:szCs w:val="21"/>
              </w:rPr>
            </w:pPr>
          </w:p>
        </w:tc>
        <w:tc>
          <w:tcPr>
            <w:tcW w:w="985" w:type="dxa"/>
          </w:tcPr>
          <w:p w14:paraId="596F7ED9" w14:textId="77777777" w:rsidR="0082364D" w:rsidRDefault="0082364D">
            <w:pPr>
              <w:spacing w:line="360" w:lineRule="auto"/>
              <w:rPr>
                <w:rFonts w:ascii="宋体" w:hAnsi="宋体"/>
                <w:bCs/>
                <w:szCs w:val="21"/>
              </w:rPr>
            </w:pPr>
          </w:p>
        </w:tc>
        <w:tc>
          <w:tcPr>
            <w:tcW w:w="985" w:type="dxa"/>
          </w:tcPr>
          <w:p w14:paraId="25623741" w14:textId="77777777" w:rsidR="0082364D" w:rsidRDefault="0082364D">
            <w:pPr>
              <w:spacing w:line="360" w:lineRule="auto"/>
              <w:rPr>
                <w:rFonts w:ascii="宋体" w:hAnsi="宋体"/>
                <w:bCs/>
                <w:szCs w:val="21"/>
              </w:rPr>
            </w:pPr>
          </w:p>
        </w:tc>
        <w:tc>
          <w:tcPr>
            <w:tcW w:w="985" w:type="dxa"/>
          </w:tcPr>
          <w:p w14:paraId="43EE8C15" w14:textId="77777777" w:rsidR="0082364D" w:rsidRDefault="0082364D">
            <w:pPr>
              <w:spacing w:line="360" w:lineRule="auto"/>
              <w:rPr>
                <w:rFonts w:ascii="宋体" w:hAnsi="宋体"/>
                <w:bCs/>
                <w:szCs w:val="21"/>
              </w:rPr>
            </w:pPr>
          </w:p>
        </w:tc>
      </w:tr>
      <w:tr w:rsidR="0082364D" w14:paraId="198616A2" w14:textId="77777777">
        <w:trPr>
          <w:trHeight w:val="129"/>
        </w:trPr>
        <w:tc>
          <w:tcPr>
            <w:tcW w:w="9206" w:type="dxa"/>
            <w:gridSpan w:val="9"/>
          </w:tcPr>
          <w:p w14:paraId="3970053F" w14:textId="77777777" w:rsidR="0082364D" w:rsidRDefault="0082364D">
            <w:pPr>
              <w:spacing w:line="360" w:lineRule="auto"/>
              <w:rPr>
                <w:rFonts w:ascii="宋体" w:hAnsi="宋体"/>
                <w:bCs/>
                <w:szCs w:val="21"/>
              </w:rPr>
            </w:pPr>
          </w:p>
        </w:tc>
      </w:tr>
      <w:tr w:rsidR="0082364D" w14:paraId="31044272" w14:textId="77777777">
        <w:trPr>
          <w:trHeight w:val="129"/>
        </w:trPr>
        <w:tc>
          <w:tcPr>
            <w:tcW w:w="920" w:type="dxa"/>
          </w:tcPr>
          <w:p w14:paraId="481F0909" w14:textId="77777777" w:rsidR="0082364D" w:rsidRDefault="0082364D">
            <w:pPr>
              <w:spacing w:line="360" w:lineRule="auto"/>
              <w:rPr>
                <w:rFonts w:ascii="宋体" w:hAnsi="宋体"/>
                <w:bCs/>
                <w:szCs w:val="21"/>
              </w:rPr>
            </w:pPr>
          </w:p>
        </w:tc>
        <w:tc>
          <w:tcPr>
            <w:tcW w:w="1125" w:type="dxa"/>
          </w:tcPr>
          <w:p w14:paraId="69AA8358" w14:textId="77777777" w:rsidR="0082364D" w:rsidRDefault="0082364D">
            <w:pPr>
              <w:spacing w:line="360" w:lineRule="auto"/>
              <w:rPr>
                <w:rFonts w:ascii="宋体" w:hAnsi="宋体"/>
                <w:bCs/>
                <w:szCs w:val="21"/>
              </w:rPr>
            </w:pPr>
          </w:p>
        </w:tc>
        <w:tc>
          <w:tcPr>
            <w:tcW w:w="920" w:type="dxa"/>
          </w:tcPr>
          <w:p w14:paraId="4D7DC872" w14:textId="77777777" w:rsidR="0082364D" w:rsidRDefault="0082364D">
            <w:pPr>
              <w:spacing w:line="360" w:lineRule="auto"/>
              <w:rPr>
                <w:rFonts w:ascii="宋体" w:hAnsi="宋体"/>
                <w:bCs/>
                <w:szCs w:val="21"/>
              </w:rPr>
            </w:pPr>
          </w:p>
        </w:tc>
        <w:tc>
          <w:tcPr>
            <w:tcW w:w="1069" w:type="dxa"/>
          </w:tcPr>
          <w:p w14:paraId="6D7F9275" w14:textId="77777777" w:rsidR="0082364D" w:rsidRDefault="0082364D">
            <w:pPr>
              <w:spacing w:line="360" w:lineRule="auto"/>
              <w:rPr>
                <w:rFonts w:ascii="宋体" w:hAnsi="宋体"/>
                <w:bCs/>
                <w:szCs w:val="21"/>
              </w:rPr>
            </w:pPr>
          </w:p>
        </w:tc>
        <w:tc>
          <w:tcPr>
            <w:tcW w:w="1232" w:type="dxa"/>
          </w:tcPr>
          <w:p w14:paraId="52227290" w14:textId="77777777" w:rsidR="0082364D" w:rsidRDefault="0082364D">
            <w:pPr>
              <w:spacing w:line="360" w:lineRule="auto"/>
              <w:rPr>
                <w:rFonts w:ascii="宋体" w:hAnsi="宋体"/>
                <w:bCs/>
                <w:szCs w:val="21"/>
              </w:rPr>
            </w:pPr>
          </w:p>
        </w:tc>
        <w:tc>
          <w:tcPr>
            <w:tcW w:w="985" w:type="dxa"/>
          </w:tcPr>
          <w:p w14:paraId="0E91D30F" w14:textId="77777777" w:rsidR="0082364D" w:rsidRDefault="0082364D">
            <w:pPr>
              <w:spacing w:line="360" w:lineRule="auto"/>
              <w:rPr>
                <w:rFonts w:ascii="宋体" w:hAnsi="宋体"/>
                <w:bCs/>
                <w:szCs w:val="21"/>
              </w:rPr>
            </w:pPr>
          </w:p>
        </w:tc>
        <w:tc>
          <w:tcPr>
            <w:tcW w:w="985" w:type="dxa"/>
          </w:tcPr>
          <w:p w14:paraId="0B5AAAA3" w14:textId="77777777" w:rsidR="0082364D" w:rsidRDefault="0082364D">
            <w:pPr>
              <w:spacing w:line="360" w:lineRule="auto"/>
              <w:rPr>
                <w:rFonts w:ascii="宋体" w:hAnsi="宋体"/>
                <w:bCs/>
                <w:szCs w:val="21"/>
              </w:rPr>
            </w:pPr>
          </w:p>
        </w:tc>
        <w:tc>
          <w:tcPr>
            <w:tcW w:w="985" w:type="dxa"/>
          </w:tcPr>
          <w:p w14:paraId="3050EDEE" w14:textId="77777777" w:rsidR="0082364D" w:rsidRDefault="0082364D">
            <w:pPr>
              <w:spacing w:line="360" w:lineRule="auto"/>
              <w:rPr>
                <w:rFonts w:ascii="宋体" w:hAnsi="宋体"/>
                <w:bCs/>
                <w:szCs w:val="21"/>
              </w:rPr>
            </w:pPr>
          </w:p>
        </w:tc>
        <w:tc>
          <w:tcPr>
            <w:tcW w:w="985" w:type="dxa"/>
          </w:tcPr>
          <w:p w14:paraId="2BC49E93" w14:textId="77777777" w:rsidR="0082364D" w:rsidRDefault="0082364D">
            <w:pPr>
              <w:spacing w:line="360" w:lineRule="auto"/>
              <w:rPr>
                <w:rFonts w:ascii="宋体" w:hAnsi="宋体"/>
                <w:bCs/>
                <w:szCs w:val="21"/>
              </w:rPr>
            </w:pPr>
          </w:p>
        </w:tc>
      </w:tr>
      <w:tr w:rsidR="0082364D" w14:paraId="27FD0030" w14:textId="77777777">
        <w:trPr>
          <w:trHeight w:val="314"/>
        </w:trPr>
        <w:tc>
          <w:tcPr>
            <w:tcW w:w="920" w:type="dxa"/>
            <w:vAlign w:val="center"/>
          </w:tcPr>
          <w:p w14:paraId="0B75EF7A" w14:textId="77777777" w:rsidR="0082364D" w:rsidRDefault="0082364D">
            <w:pPr>
              <w:spacing w:line="360" w:lineRule="auto"/>
              <w:rPr>
                <w:rFonts w:ascii="宋体" w:hAnsi="宋体"/>
                <w:bCs/>
                <w:szCs w:val="21"/>
              </w:rPr>
            </w:pPr>
          </w:p>
        </w:tc>
        <w:tc>
          <w:tcPr>
            <w:tcW w:w="1125" w:type="dxa"/>
            <w:vAlign w:val="center"/>
          </w:tcPr>
          <w:p w14:paraId="4670C98D" w14:textId="77777777" w:rsidR="0082364D" w:rsidRDefault="0082364D">
            <w:pPr>
              <w:spacing w:line="360" w:lineRule="auto"/>
              <w:rPr>
                <w:rFonts w:ascii="宋体" w:hAnsi="宋体"/>
                <w:bCs/>
                <w:szCs w:val="21"/>
              </w:rPr>
            </w:pPr>
          </w:p>
        </w:tc>
        <w:tc>
          <w:tcPr>
            <w:tcW w:w="920" w:type="dxa"/>
            <w:vAlign w:val="center"/>
          </w:tcPr>
          <w:p w14:paraId="6FF102D5" w14:textId="77777777" w:rsidR="0082364D" w:rsidRDefault="0082364D">
            <w:pPr>
              <w:spacing w:line="360" w:lineRule="auto"/>
              <w:rPr>
                <w:rFonts w:ascii="宋体" w:hAnsi="宋体"/>
                <w:bCs/>
                <w:szCs w:val="21"/>
              </w:rPr>
            </w:pPr>
          </w:p>
        </w:tc>
        <w:tc>
          <w:tcPr>
            <w:tcW w:w="1069" w:type="dxa"/>
            <w:vAlign w:val="center"/>
          </w:tcPr>
          <w:p w14:paraId="0C0692B4" w14:textId="77777777" w:rsidR="0082364D" w:rsidRDefault="0082364D">
            <w:pPr>
              <w:spacing w:line="360" w:lineRule="auto"/>
              <w:rPr>
                <w:rFonts w:ascii="宋体" w:hAnsi="宋体"/>
                <w:bCs/>
                <w:szCs w:val="21"/>
              </w:rPr>
            </w:pPr>
          </w:p>
        </w:tc>
        <w:tc>
          <w:tcPr>
            <w:tcW w:w="1232" w:type="dxa"/>
            <w:vAlign w:val="center"/>
          </w:tcPr>
          <w:p w14:paraId="7336B777" w14:textId="77777777" w:rsidR="0082364D" w:rsidRDefault="0082364D">
            <w:pPr>
              <w:spacing w:line="360" w:lineRule="auto"/>
              <w:rPr>
                <w:rFonts w:ascii="宋体" w:hAnsi="宋体"/>
                <w:bCs/>
                <w:szCs w:val="21"/>
              </w:rPr>
            </w:pPr>
          </w:p>
        </w:tc>
        <w:tc>
          <w:tcPr>
            <w:tcW w:w="985" w:type="dxa"/>
          </w:tcPr>
          <w:p w14:paraId="1529334A" w14:textId="77777777" w:rsidR="0082364D" w:rsidRDefault="0082364D">
            <w:pPr>
              <w:spacing w:line="360" w:lineRule="auto"/>
              <w:ind w:firstLineChars="200" w:firstLine="420"/>
              <w:rPr>
                <w:rFonts w:ascii="宋体" w:hAnsi="宋体"/>
                <w:bCs/>
                <w:szCs w:val="21"/>
              </w:rPr>
            </w:pPr>
          </w:p>
        </w:tc>
        <w:tc>
          <w:tcPr>
            <w:tcW w:w="985" w:type="dxa"/>
            <w:vAlign w:val="center"/>
          </w:tcPr>
          <w:p w14:paraId="68A15674" w14:textId="77777777" w:rsidR="0082364D" w:rsidRDefault="0082364D">
            <w:pPr>
              <w:spacing w:line="360" w:lineRule="auto"/>
              <w:rPr>
                <w:rFonts w:ascii="宋体" w:hAnsi="宋体"/>
                <w:bCs/>
                <w:szCs w:val="21"/>
              </w:rPr>
            </w:pPr>
          </w:p>
        </w:tc>
        <w:tc>
          <w:tcPr>
            <w:tcW w:w="985" w:type="dxa"/>
            <w:vAlign w:val="center"/>
          </w:tcPr>
          <w:p w14:paraId="107E7F4E" w14:textId="77777777" w:rsidR="0082364D" w:rsidRDefault="0082364D">
            <w:pPr>
              <w:spacing w:line="360" w:lineRule="auto"/>
              <w:rPr>
                <w:rFonts w:ascii="宋体" w:hAnsi="宋体"/>
                <w:bCs/>
                <w:szCs w:val="21"/>
              </w:rPr>
            </w:pPr>
          </w:p>
        </w:tc>
        <w:tc>
          <w:tcPr>
            <w:tcW w:w="985" w:type="dxa"/>
            <w:vAlign w:val="center"/>
          </w:tcPr>
          <w:p w14:paraId="5FE67AAC" w14:textId="77777777" w:rsidR="0082364D" w:rsidRDefault="0082364D">
            <w:pPr>
              <w:spacing w:line="360" w:lineRule="auto"/>
              <w:rPr>
                <w:rFonts w:ascii="宋体" w:hAnsi="宋体"/>
                <w:bCs/>
                <w:szCs w:val="21"/>
              </w:rPr>
            </w:pPr>
          </w:p>
        </w:tc>
      </w:tr>
    </w:tbl>
    <w:p w14:paraId="2FFCF3E6" w14:textId="77777777" w:rsidR="0082364D" w:rsidRDefault="00BF2824">
      <w:pPr>
        <w:spacing w:line="360" w:lineRule="auto"/>
        <w:ind w:firstLineChars="200" w:firstLine="420"/>
        <w:rPr>
          <w:rFonts w:ascii="宋体" w:hAnsi="宋体"/>
        </w:rPr>
      </w:pPr>
      <w:r>
        <w:rPr>
          <w:rFonts w:ascii="宋体" w:hAnsi="宋体"/>
        </w:rPr>
        <w:t>说明：此表仅为示意。</w:t>
      </w:r>
    </w:p>
    <w:p w14:paraId="16259CD1" w14:textId="77777777" w:rsidR="0082364D" w:rsidRDefault="00BF2824">
      <w:pPr>
        <w:spacing w:line="360" w:lineRule="auto"/>
        <w:ind w:firstLineChars="200" w:firstLine="420"/>
        <w:jc w:val="left"/>
      </w:pPr>
      <w:bookmarkStart w:id="64" w:name="_Hlk47343055"/>
      <w:bookmarkStart w:id="65" w:name="_Hlk38652157"/>
      <w:bookmarkStart w:id="66" w:name="_Hlk47306069"/>
      <w:r>
        <w:rPr>
          <w:rFonts w:ascii="宋体" w:hAnsi="宋体"/>
        </w:rPr>
        <w:t>（八）拒绝或暂停申购的情形</w:t>
      </w:r>
    </w:p>
    <w:p w14:paraId="3BFDC4BC" w14:textId="77777777" w:rsidR="0082364D" w:rsidRDefault="00BF2824">
      <w:pPr>
        <w:spacing w:line="360" w:lineRule="auto"/>
        <w:ind w:firstLineChars="200" w:firstLine="420"/>
        <w:jc w:val="left"/>
        <w:rPr>
          <w:rFonts w:ascii="宋体" w:hAnsi="宋体"/>
          <w:bCs/>
        </w:rPr>
      </w:pPr>
      <w:r>
        <w:rPr>
          <w:rFonts w:ascii="宋体" w:hAnsi="宋体"/>
          <w:bCs/>
        </w:rPr>
        <w:t>发生下列情况</w:t>
      </w:r>
      <w:r>
        <w:rPr>
          <w:rFonts w:ascii="宋体" w:hAnsi="宋体" w:hint="eastAsia"/>
          <w:bCs/>
        </w:rPr>
        <w:t>之一</w:t>
      </w:r>
      <w:r>
        <w:rPr>
          <w:rFonts w:ascii="宋体" w:hAnsi="宋体"/>
          <w:bCs/>
        </w:rPr>
        <w:t>时，基金管理人可拒绝或暂停接受投资人的申购申请：</w:t>
      </w:r>
    </w:p>
    <w:p w14:paraId="11712CBA" w14:textId="77777777" w:rsidR="0082364D" w:rsidRDefault="00BF2824">
      <w:pPr>
        <w:spacing w:line="360" w:lineRule="auto"/>
        <w:ind w:firstLineChars="200" w:firstLine="420"/>
        <w:jc w:val="left"/>
        <w:rPr>
          <w:rFonts w:ascii="宋体" w:hAnsi="宋体"/>
          <w:bCs/>
        </w:rPr>
      </w:pPr>
      <w:r>
        <w:rPr>
          <w:rFonts w:ascii="宋体" w:hAnsi="宋体"/>
          <w:bCs/>
        </w:rPr>
        <w:t>1、因不可抗力导致基金无法正常运作或无法受理投资人的申购申请。</w:t>
      </w:r>
    </w:p>
    <w:p w14:paraId="3DCD9989" w14:textId="77777777" w:rsidR="0082364D" w:rsidRDefault="00BF2824">
      <w:pPr>
        <w:spacing w:line="360" w:lineRule="auto"/>
        <w:ind w:firstLineChars="200" w:firstLine="420"/>
        <w:jc w:val="left"/>
        <w:rPr>
          <w:rFonts w:ascii="宋体" w:hAnsi="宋体"/>
        </w:rPr>
      </w:pPr>
      <w:r>
        <w:rPr>
          <w:rFonts w:ascii="宋体" w:hAnsi="宋体"/>
        </w:rPr>
        <w:t>2</w:t>
      </w:r>
      <w:r>
        <w:rPr>
          <w:rFonts w:ascii="宋体" w:hAnsi="宋体" w:hint="eastAsia"/>
        </w:rPr>
        <w:t>、发生基金合同规定的暂停基金资产估值情况</w:t>
      </w:r>
      <w:r>
        <w:rPr>
          <w:rFonts w:ascii="宋体" w:hAnsi="宋体"/>
          <w:bCs/>
        </w:rPr>
        <w:t>时</w:t>
      </w:r>
      <w:r>
        <w:rPr>
          <w:rFonts w:ascii="宋体" w:hAnsi="宋体" w:hint="eastAsia"/>
          <w:bCs/>
        </w:rPr>
        <w:t>，基金管理人可暂停接受投资人的申购申请</w:t>
      </w:r>
      <w:r>
        <w:rPr>
          <w:rFonts w:ascii="宋体" w:hAnsi="宋体" w:hint="eastAsia"/>
        </w:rPr>
        <w:t>。</w:t>
      </w:r>
    </w:p>
    <w:p w14:paraId="1387FEEE" w14:textId="77777777" w:rsidR="0082364D" w:rsidRDefault="00BF2824">
      <w:pPr>
        <w:spacing w:line="360" w:lineRule="auto"/>
        <w:ind w:firstLineChars="200" w:firstLine="420"/>
        <w:jc w:val="left"/>
        <w:rPr>
          <w:rFonts w:ascii="宋体" w:hAnsi="宋体"/>
          <w:bCs/>
        </w:rPr>
      </w:pPr>
      <w:r>
        <w:rPr>
          <w:rFonts w:ascii="宋体" w:hAnsi="宋体"/>
          <w:bCs/>
        </w:rPr>
        <w:t>3、因特殊原因（包括但不限于相关证券、期货交易所</w:t>
      </w:r>
      <w:r>
        <w:rPr>
          <w:rFonts w:ascii="宋体" w:hAnsi="宋体" w:hint="eastAsia"/>
          <w:bCs/>
        </w:rPr>
        <w:t>或外汇市场</w:t>
      </w:r>
      <w:r>
        <w:rPr>
          <w:rFonts w:ascii="宋体" w:hAnsi="宋体"/>
          <w:bCs/>
        </w:rPr>
        <w:t>依法决定临时停市或在交易时间非正常停市），导致基金管理人无法计算当日基金资产净值。</w:t>
      </w:r>
    </w:p>
    <w:p w14:paraId="634BA1FD" w14:textId="77777777" w:rsidR="0082364D" w:rsidRDefault="00BF2824">
      <w:pPr>
        <w:spacing w:line="360" w:lineRule="auto"/>
        <w:ind w:firstLineChars="200" w:firstLine="420"/>
        <w:jc w:val="left"/>
        <w:rPr>
          <w:rFonts w:ascii="宋体" w:hAnsi="宋体"/>
          <w:bCs/>
        </w:rPr>
      </w:pPr>
      <w:r>
        <w:rPr>
          <w:rFonts w:ascii="宋体" w:hAnsi="宋体"/>
          <w:bCs/>
        </w:rPr>
        <w:t>4、基金管理人开市前因异常情况无法公布申购赎回清单</w:t>
      </w:r>
      <w:r>
        <w:rPr>
          <w:rFonts w:ascii="宋体" w:hAnsi="宋体" w:hint="eastAsia"/>
          <w:bCs/>
        </w:rPr>
        <w:t>，或基金管理人在开市后发现申购赎回清单编制错误或基金份额参考净值计算错误。</w:t>
      </w:r>
      <w:r>
        <w:rPr>
          <w:rFonts w:ascii="宋体" w:hAnsi="宋体"/>
          <w:bCs/>
        </w:rPr>
        <w:t xml:space="preserve"> </w:t>
      </w:r>
    </w:p>
    <w:p w14:paraId="67924338" w14:textId="77777777" w:rsidR="0082364D" w:rsidRDefault="00BF2824">
      <w:pPr>
        <w:spacing w:line="360" w:lineRule="auto"/>
        <w:ind w:firstLineChars="200" w:firstLine="420"/>
        <w:jc w:val="left"/>
        <w:rPr>
          <w:rFonts w:ascii="宋体" w:hAnsi="宋体"/>
          <w:bCs/>
        </w:rPr>
      </w:pPr>
      <w:r>
        <w:rPr>
          <w:rFonts w:ascii="宋体" w:hAnsi="宋体"/>
          <w:bCs/>
        </w:rPr>
        <w:t>5、相关证券</w:t>
      </w:r>
      <w:r>
        <w:rPr>
          <w:rFonts w:ascii="宋体" w:hAnsi="宋体" w:hint="eastAsia"/>
          <w:bCs/>
        </w:rPr>
        <w:t>/期货</w:t>
      </w:r>
      <w:r>
        <w:rPr>
          <w:rFonts w:ascii="宋体" w:hAnsi="宋体"/>
          <w:bCs/>
        </w:rPr>
        <w:t>交易所、申购赎回代理券商、登记结算机构等因异常情况无法办理申购，或者指数编制单位、相关证券交易所等因异常情况使申购赎回清单无法编制或编制不当。</w:t>
      </w:r>
    </w:p>
    <w:p w14:paraId="7129B327" w14:textId="77777777" w:rsidR="0082364D" w:rsidRDefault="00BF2824">
      <w:pPr>
        <w:spacing w:line="360" w:lineRule="auto"/>
        <w:ind w:firstLineChars="200" w:firstLine="420"/>
        <w:jc w:val="left"/>
        <w:rPr>
          <w:rFonts w:ascii="宋体" w:hAnsi="宋体"/>
          <w:bCs/>
        </w:rPr>
      </w:pPr>
      <w:bookmarkStart w:id="67" w:name="_Hlt70481650"/>
      <w:bookmarkEnd w:id="67"/>
      <w:r>
        <w:rPr>
          <w:rFonts w:ascii="宋体" w:hAnsi="宋体"/>
          <w:bCs/>
        </w:rPr>
        <w:t>6、接受某笔或某些申购申请可能会影响或损害现有基金份额持有人利益时。</w:t>
      </w:r>
    </w:p>
    <w:p w14:paraId="67CACA03" w14:textId="77777777" w:rsidR="0082364D" w:rsidRDefault="00BF2824">
      <w:pPr>
        <w:spacing w:line="360" w:lineRule="auto"/>
        <w:ind w:firstLineChars="200" w:firstLine="420"/>
        <w:jc w:val="left"/>
        <w:rPr>
          <w:rFonts w:ascii="宋体" w:hAnsi="宋体"/>
          <w:bCs/>
        </w:rPr>
      </w:pPr>
      <w:r>
        <w:rPr>
          <w:rFonts w:ascii="宋体" w:hAnsi="宋体"/>
          <w:bCs/>
        </w:rPr>
        <w:t>7、基金资产规模过大，使基金管理人无法找到合适的投资品种，或其他可能对基金业绩产生负面影响，或发生其他损害现有基金份额持有人利益的情形。</w:t>
      </w:r>
    </w:p>
    <w:p w14:paraId="69B4D630" w14:textId="77777777" w:rsidR="0082364D" w:rsidRDefault="00BF2824">
      <w:pPr>
        <w:spacing w:line="360" w:lineRule="auto"/>
        <w:ind w:firstLineChars="200" w:firstLine="420"/>
        <w:jc w:val="left"/>
        <w:rPr>
          <w:rFonts w:ascii="宋体" w:hAnsi="宋体"/>
          <w:bCs/>
        </w:rPr>
      </w:pPr>
      <w:r>
        <w:rPr>
          <w:rFonts w:ascii="宋体" w:hAnsi="宋体"/>
          <w:bCs/>
        </w:rPr>
        <w:t>8、基金管理人、基金托管人、销售机构或登记结算机构的技术故障等异常情况导致基金销售系统或基金登记结算系统或基金会计系统无法正常运行。</w:t>
      </w:r>
    </w:p>
    <w:p w14:paraId="5989EE5D" w14:textId="77777777" w:rsidR="0082364D" w:rsidRDefault="00BF2824">
      <w:pPr>
        <w:spacing w:line="360" w:lineRule="auto"/>
        <w:ind w:firstLineChars="200" w:firstLine="420"/>
        <w:jc w:val="left"/>
        <w:rPr>
          <w:rFonts w:ascii="宋体" w:hAnsi="宋体"/>
          <w:bCs/>
        </w:rPr>
      </w:pPr>
      <w:r>
        <w:rPr>
          <w:rFonts w:ascii="宋体" w:hAnsi="宋体" w:hint="eastAsia"/>
          <w:bCs/>
        </w:rPr>
        <w:t>9、基金管理人可根据市场情况在申购赎回清单中设置申购上限，当一笔新的申购申请被确认成功，会使本基金当日申购超过申购赎回清单中规定的申购上限时，该笔申购申请将被拒绝。</w:t>
      </w:r>
    </w:p>
    <w:p w14:paraId="1B8A5A73" w14:textId="77777777" w:rsidR="0082364D" w:rsidRDefault="00BF2824">
      <w:pPr>
        <w:spacing w:line="360" w:lineRule="auto"/>
        <w:ind w:firstLineChars="200" w:firstLine="420"/>
        <w:jc w:val="left"/>
        <w:rPr>
          <w:rFonts w:ascii="宋体" w:hAnsi="宋体"/>
          <w:bCs/>
        </w:rPr>
      </w:pPr>
      <w:r>
        <w:rPr>
          <w:rFonts w:ascii="宋体" w:hAnsi="宋体" w:hint="eastAsia"/>
          <w:bCs/>
        </w:rPr>
        <w:t>10</w:t>
      </w:r>
      <w:r>
        <w:rPr>
          <w:rFonts w:ascii="宋体" w:hAnsi="宋体"/>
          <w:bCs/>
        </w:rPr>
        <w:t>、</w:t>
      </w:r>
      <w:r>
        <w:rPr>
          <w:rFonts w:ascii="宋体" w:hAnsi="宋体" w:hint="eastAsia"/>
          <w:bCs/>
        </w:rPr>
        <w:t>当前一估值日基金资产净值50%以上的资产出现无可参考的活跃市场价格且采用估值技术仍导致公允价值存在重大不确定性时，经与基金托管人协商确认后，基金管理人应当暂停接受基金申购申请。</w:t>
      </w:r>
    </w:p>
    <w:p w14:paraId="25BCC080" w14:textId="77777777" w:rsidR="0082364D" w:rsidRDefault="00BF2824">
      <w:pPr>
        <w:spacing w:line="360" w:lineRule="auto"/>
        <w:ind w:firstLineChars="200" w:firstLine="420"/>
        <w:jc w:val="left"/>
        <w:rPr>
          <w:rFonts w:ascii="宋体" w:hAnsi="宋体"/>
          <w:bCs/>
        </w:rPr>
      </w:pPr>
      <w:r>
        <w:rPr>
          <w:rFonts w:ascii="宋体" w:hAnsi="宋体" w:hint="eastAsia"/>
          <w:bCs/>
        </w:rPr>
        <w:t>11、因外汇额度、港股通交易每日额度等原因需要控制基金申购规模。</w:t>
      </w:r>
    </w:p>
    <w:p w14:paraId="5531B65B"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2</w:t>
      </w:r>
      <w:r>
        <w:rPr>
          <w:rFonts w:ascii="宋体" w:hAnsi="宋体" w:hint="eastAsia"/>
          <w:bCs/>
        </w:rPr>
        <w:t>、</w:t>
      </w:r>
      <w:r>
        <w:rPr>
          <w:rFonts w:ascii="宋体" w:hAnsi="宋体"/>
          <w:bCs/>
        </w:rPr>
        <w:t>法律法规规定或中国证监会认定的其他情形。</w:t>
      </w:r>
    </w:p>
    <w:p w14:paraId="6F2DA250" w14:textId="77777777" w:rsidR="0082364D" w:rsidRDefault="00BF2824">
      <w:pPr>
        <w:spacing w:line="360" w:lineRule="auto"/>
        <w:ind w:firstLineChars="200" w:firstLine="420"/>
        <w:jc w:val="left"/>
        <w:rPr>
          <w:rFonts w:ascii="宋体" w:hAnsi="宋体"/>
          <w:bCs/>
        </w:rPr>
      </w:pPr>
      <w:r>
        <w:rPr>
          <w:rFonts w:ascii="宋体" w:hAnsi="宋体" w:hint="eastAsia"/>
          <w:bCs/>
        </w:rPr>
        <w:t>上述</w:t>
      </w:r>
      <w:r>
        <w:rPr>
          <w:rFonts w:ascii="宋体" w:hAnsi="宋体"/>
          <w:bCs/>
        </w:rPr>
        <w:t>异常情况指基金管理人无法预见并不可控制的情形，包括但不限于系统故障、网络故障、通讯故障、电力故障、数据错误等。</w:t>
      </w:r>
    </w:p>
    <w:p w14:paraId="44B8CE6C" w14:textId="77777777" w:rsidR="0082364D" w:rsidRDefault="00BF2824">
      <w:pPr>
        <w:spacing w:line="360" w:lineRule="auto"/>
        <w:ind w:firstLineChars="200" w:firstLine="420"/>
        <w:jc w:val="left"/>
        <w:rPr>
          <w:rFonts w:ascii="宋体" w:hAnsi="宋体"/>
          <w:bCs/>
        </w:rPr>
      </w:pPr>
      <w:r>
        <w:rPr>
          <w:rFonts w:ascii="宋体" w:hAnsi="宋体"/>
          <w:bCs/>
        </w:rPr>
        <w:lastRenderedPageBreak/>
        <w:t>发生上述情形之一（</w:t>
      </w:r>
      <w:r>
        <w:rPr>
          <w:rFonts w:ascii="宋体" w:hAnsi="宋体" w:hint="eastAsia"/>
          <w:bCs/>
        </w:rPr>
        <w:t>第</w:t>
      </w:r>
      <w:r>
        <w:rPr>
          <w:rFonts w:ascii="宋体" w:hAnsi="宋体"/>
          <w:bCs/>
        </w:rPr>
        <w:t>6</w:t>
      </w:r>
      <w:r>
        <w:rPr>
          <w:rFonts w:ascii="宋体" w:hAnsi="宋体" w:hint="eastAsia"/>
          <w:bCs/>
        </w:rPr>
        <w:t>、9</w:t>
      </w:r>
      <w:r>
        <w:rPr>
          <w:rFonts w:ascii="宋体" w:hAnsi="宋体"/>
          <w:bCs/>
        </w:rPr>
        <w:t>项除外）且基金管理人决定拒绝或暂停接受基金投资者的申购</w:t>
      </w:r>
      <w:r>
        <w:rPr>
          <w:rFonts w:ascii="宋体" w:hAnsi="宋体" w:hint="eastAsia"/>
          <w:bCs/>
        </w:rPr>
        <w:t>申请</w:t>
      </w:r>
      <w:r>
        <w:rPr>
          <w:rFonts w:ascii="宋体" w:hAnsi="宋体"/>
          <w:bCs/>
        </w:rPr>
        <w:t>时，基金管理人应根据有关规定在规定媒介上刊登暂停申购公告。在拒绝或暂停申购</w:t>
      </w:r>
      <w:r>
        <w:rPr>
          <w:rFonts w:ascii="宋体" w:hAnsi="宋体" w:hint="eastAsia"/>
          <w:bCs/>
        </w:rPr>
        <w:t>申请</w:t>
      </w:r>
      <w:r>
        <w:rPr>
          <w:rFonts w:ascii="宋体" w:hAnsi="宋体"/>
          <w:bCs/>
        </w:rPr>
        <w:t>的情形消除时，基金管理人应及时恢复申购业务的办理并依照《信息披露办法》有关规定在规定媒介上刊登基金</w:t>
      </w:r>
      <w:r>
        <w:rPr>
          <w:rFonts w:ascii="宋体" w:hAnsi="宋体" w:hint="eastAsia"/>
          <w:bCs/>
        </w:rPr>
        <w:t>恢复</w:t>
      </w:r>
      <w:r>
        <w:rPr>
          <w:rFonts w:ascii="宋体" w:hAnsi="宋体"/>
          <w:bCs/>
        </w:rPr>
        <w:t>申购</w:t>
      </w:r>
      <w:r>
        <w:rPr>
          <w:rFonts w:ascii="宋体" w:hAnsi="宋体" w:hint="eastAsia"/>
          <w:bCs/>
        </w:rPr>
        <w:t>业务的</w:t>
      </w:r>
      <w:r>
        <w:rPr>
          <w:rFonts w:ascii="宋体" w:hAnsi="宋体"/>
          <w:bCs/>
        </w:rPr>
        <w:t>公告。</w:t>
      </w:r>
    </w:p>
    <w:p w14:paraId="00D3ECB7" w14:textId="77777777" w:rsidR="0082364D" w:rsidRDefault="00BF2824">
      <w:pPr>
        <w:spacing w:line="360" w:lineRule="auto"/>
        <w:ind w:firstLineChars="200" w:firstLine="420"/>
        <w:jc w:val="left"/>
        <w:rPr>
          <w:rFonts w:ascii="宋体" w:hAnsi="宋体"/>
        </w:rPr>
      </w:pPr>
      <w:r>
        <w:rPr>
          <w:rFonts w:ascii="宋体" w:hAnsi="宋体" w:hint="eastAsia"/>
        </w:rPr>
        <w:t>（九）暂停赎回或延缓支付赎回对价的情形</w:t>
      </w:r>
    </w:p>
    <w:p w14:paraId="5D2CD609" w14:textId="77777777" w:rsidR="0082364D" w:rsidRDefault="00BF2824">
      <w:pPr>
        <w:spacing w:line="360" w:lineRule="auto"/>
        <w:ind w:firstLineChars="200" w:firstLine="420"/>
        <w:jc w:val="left"/>
        <w:rPr>
          <w:rFonts w:ascii="宋体" w:hAnsi="宋体"/>
        </w:rPr>
      </w:pPr>
      <w:r>
        <w:rPr>
          <w:rFonts w:ascii="宋体" w:hAnsi="宋体" w:hint="eastAsia"/>
        </w:rPr>
        <w:t xml:space="preserve">发生下列情形之一时，基金管理人可暂停接受投资人的赎回申请或延缓支付赎回对价： </w:t>
      </w:r>
    </w:p>
    <w:p w14:paraId="1C1C01E5" w14:textId="77777777" w:rsidR="0082364D" w:rsidRDefault="00BF2824">
      <w:pPr>
        <w:spacing w:line="360" w:lineRule="auto"/>
        <w:ind w:firstLineChars="200" w:firstLine="420"/>
        <w:jc w:val="left"/>
        <w:rPr>
          <w:rFonts w:ascii="宋体" w:hAnsi="宋体"/>
        </w:rPr>
      </w:pPr>
      <w:r>
        <w:rPr>
          <w:rFonts w:ascii="宋体" w:hAnsi="宋体" w:hint="eastAsia"/>
        </w:rPr>
        <w:t>1、因不可抗力导致基金无法正常运作或无法受理投资人的赎回申请。</w:t>
      </w:r>
    </w:p>
    <w:p w14:paraId="79817F56" w14:textId="77777777" w:rsidR="0082364D" w:rsidRDefault="00BF2824">
      <w:pPr>
        <w:spacing w:line="360" w:lineRule="auto"/>
        <w:ind w:firstLineChars="200" w:firstLine="420"/>
        <w:jc w:val="left"/>
        <w:rPr>
          <w:rFonts w:ascii="宋体" w:hAnsi="宋体"/>
        </w:rPr>
      </w:pPr>
      <w:r>
        <w:rPr>
          <w:rFonts w:ascii="宋体" w:hAnsi="宋体" w:hint="eastAsia"/>
        </w:rPr>
        <w:t>2、发生基金合同规定的暂停基金资产估值情况时，基金管理人可暂停接受投资人的赎回申请或延缓支付赎回对价。</w:t>
      </w:r>
    </w:p>
    <w:p w14:paraId="77FEFB94" w14:textId="77777777" w:rsidR="0082364D" w:rsidRDefault="00BF2824">
      <w:pPr>
        <w:spacing w:line="360" w:lineRule="auto"/>
        <w:ind w:firstLineChars="200" w:firstLine="420"/>
        <w:jc w:val="left"/>
        <w:rPr>
          <w:rFonts w:ascii="宋体" w:hAnsi="宋体"/>
        </w:rPr>
      </w:pPr>
      <w:r>
        <w:rPr>
          <w:rFonts w:ascii="宋体" w:hAnsi="宋体" w:hint="eastAsia"/>
        </w:rPr>
        <w:t xml:space="preserve">3、因特殊原因（包括但不限于相关证券、期货交易所或外汇市场依法决定临时停市或在交易时间非正常停市），导致基金管理人无法计算当日基金资产净值。 </w:t>
      </w:r>
    </w:p>
    <w:p w14:paraId="0C0647FE" w14:textId="77777777" w:rsidR="0082364D" w:rsidRDefault="00BF2824">
      <w:pPr>
        <w:spacing w:line="360" w:lineRule="auto"/>
        <w:ind w:firstLineChars="200" w:firstLine="420"/>
        <w:jc w:val="left"/>
        <w:rPr>
          <w:rFonts w:ascii="宋体" w:hAnsi="宋体"/>
        </w:rPr>
      </w:pPr>
      <w:r>
        <w:rPr>
          <w:rFonts w:ascii="宋体" w:hAnsi="宋体" w:hint="eastAsia"/>
        </w:rPr>
        <w:t>4、基金管理人开市前因异常情况无法公布申购赎回清单，或基金管理人在开市后发现申购赎回清单编制错误或基金份额参考净值计算错误。</w:t>
      </w:r>
    </w:p>
    <w:p w14:paraId="68048C0D" w14:textId="77777777" w:rsidR="0082364D" w:rsidRDefault="00BF2824">
      <w:pPr>
        <w:spacing w:line="360" w:lineRule="auto"/>
        <w:ind w:firstLineChars="200" w:firstLine="420"/>
        <w:jc w:val="left"/>
        <w:rPr>
          <w:rFonts w:ascii="宋体" w:hAnsi="宋体"/>
        </w:rPr>
      </w:pPr>
      <w:r>
        <w:rPr>
          <w:rFonts w:ascii="宋体" w:hAnsi="宋体" w:hint="eastAsia"/>
        </w:rPr>
        <w:t>5、相关证券/期货交易所、申购赎回代理券商、登记结算机构等因异常情况无法办理赎回，或者指数编制单位、相关证券交易所等因异常情况使申购赎回清单无法编制或编制不当。</w:t>
      </w:r>
    </w:p>
    <w:p w14:paraId="117DB215" w14:textId="77777777" w:rsidR="0082364D" w:rsidRDefault="00BF2824">
      <w:pPr>
        <w:spacing w:line="360" w:lineRule="auto"/>
        <w:ind w:firstLineChars="200" w:firstLine="420"/>
        <w:jc w:val="left"/>
        <w:rPr>
          <w:rFonts w:ascii="宋体" w:hAnsi="宋体"/>
        </w:rPr>
      </w:pPr>
      <w:r>
        <w:rPr>
          <w:rFonts w:ascii="宋体" w:hAnsi="宋体" w:hint="eastAsia"/>
        </w:rPr>
        <w:t>6、接受某笔或某些赎回申请可能会影响或损害现有基金份额持有人利益。</w:t>
      </w:r>
    </w:p>
    <w:p w14:paraId="1E257D90" w14:textId="77777777" w:rsidR="0082364D" w:rsidRDefault="00BF2824">
      <w:pPr>
        <w:spacing w:line="360" w:lineRule="auto"/>
        <w:ind w:firstLineChars="200" w:firstLine="420"/>
        <w:jc w:val="left"/>
        <w:rPr>
          <w:rFonts w:ascii="宋体" w:hAnsi="宋体"/>
        </w:rPr>
      </w:pPr>
      <w:r>
        <w:rPr>
          <w:rFonts w:ascii="宋体" w:hAnsi="宋体" w:hint="eastAsia"/>
        </w:rPr>
        <w:t>7、发生继续接受赎回申请将损害现有基金份额持有人利益的情形时，基金管理人可暂停接受基金份额持有人的赎回申请。</w:t>
      </w:r>
    </w:p>
    <w:p w14:paraId="1F4EBE0E" w14:textId="77777777" w:rsidR="0082364D" w:rsidRDefault="00BF2824">
      <w:pPr>
        <w:spacing w:line="360" w:lineRule="auto"/>
        <w:ind w:firstLineChars="200" w:firstLine="420"/>
        <w:jc w:val="left"/>
        <w:rPr>
          <w:rFonts w:ascii="宋体" w:hAnsi="宋体"/>
        </w:rPr>
      </w:pPr>
      <w:r>
        <w:rPr>
          <w:rFonts w:ascii="宋体" w:hAnsi="宋体" w:hint="eastAsia"/>
        </w:rPr>
        <w:t>8、基金管理人可根据市场情况在申购赎回清单中设置赎回份额上限，当一笔新的赎回申请被确认成功，会使本基金当日赎回份额超过申购赎回清单中规定的赎回份额上限时，该笔赎回申请将被拒绝。</w:t>
      </w:r>
    </w:p>
    <w:p w14:paraId="2ADDD02A" w14:textId="77777777" w:rsidR="0082364D" w:rsidRDefault="00BF2824">
      <w:pPr>
        <w:spacing w:line="360" w:lineRule="auto"/>
        <w:ind w:firstLineChars="200" w:firstLine="420"/>
        <w:jc w:val="left"/>
        <w:rPr>
          <w:rFonts w:ascii="宋体" w:hAnsi="宋体"/>
        </w:rPr>
      </w:pPr>
      <w:r>
        <w:rPr>
          <w:rFonts w:ascii="宋体" w:hAnsi="宋体" w:hint="eastAsia"/>
        </w:rPr>
        <w:t>9、当前一估值日基金资产净值50%以上的资产出现无可参考的活跃市场价格且采用估值技术仍导致公允价值存在重大不确定性时，经与基金托管人协商确认后，基金管理人应当延缓支付赎回对价或暂停接受基金赎回申请。</w:t>
      </w:r>
    </w:p>
    <w:p w14:paraId="6315F36F" w14:textId="568189D6" w:rsidR="0082364D" w:rsidRDefault="00BF2824">
      <w:pPr>
        <w:spacing w:line="360" w:lineRule="auto"/>
        <w:ind w:firstLineChars="200" w:firstLine="420"/>
        <w:jc w:val="left"/>
        <w:rPr>
          <w:rFonts w:ascii="宋体" w:hAnsi="宋体"/>
        </w:rPr>
      </w:pPr>
      <w:r>
        <w:rPr>
          <w:rFonts w:ascii="宋体" w:hAnsi="宋体" w:hint="eastAsia"/>
        </w:rPr>
        <w:t xml:space="preserve">10、法律法规规定或中国证监会认定的其他情形。 </w:t>
      </w:r>
    </w:p>
    <w:p w14:paraId="5C28D1EC" w14:textId="77777777" w:rsidR="0082364D" w:rsidRDefault="00BF2824">
      <w:pPr>
        <w:spacing w:line="360" w:lineRule="auto"/>
        <w:ind w:firstLineChars="200" w:firstLine="420"/>
        <w:jc w:val="left"/>
        <w:rPr>
          <w:rFonts w:ascii="宋体" w:hAnsi="宋体"/>
        </w:rPr>
      </w:pPr>
      <w:r>
        <w:rPr>
          <w:rFonts w:ascii="宋体" w:hAnsi="宋体" w:hint="eastAsia"/>
        </w:rPr>
        <w:t>上述异常情况指基金管理人无法预见并不可控制的情形，包括但不限于系统故障、网络故障、通讯故障、电力故障、数据错误等。</w:t>
      </w:r>
    </w:p>
    <w:p w14:paraId="250A3A74" w14:textId="77777777" w:rsidR="0082364D" w:rsidRDefault="00BF2824">
      <w:pPr>
        <w:spacing w:line="360" w:lineRule="auto"/>
        <w:ind w:firstLineChars="200" w:firstLine="420"/>
        <w:jc w:val="left"/>
        <w:rPr>
          <w:rFonts w:ascii="宋体" w:hAnsi="宋体"/>
        </w:rPr>
      </w:pPr>
      <w:r>
        <w:rPr>
          <w:rFonts w:ascii="宋体" w:hAnsi="宋体" w:hint="eastAsia"/>
        </w:rPr>
        <w:t>发生上述情形之一（第6项、第8项除外）且基金管理人决定暂停接受投资者的赎回</w:t>
      </w:r>
      <w:r>
        <w:rPr>
          <w:rFonts w:ascii="宋体" w:hAnsi="宋体" w:hint="eastAsia"/>
        </w:rPr>
        <w:lastRenderedPageBreak/>
        <w:t>申请或延缓支付赎回对价时，基金管理人应根据有关规定在规定媒介上刊登暂停赎回公告。已接受的赎回申请，基金管理人应当足额支付。在暂停赎回申请的情形消除时（上述第6项除外），基金管理人应及时恢复赎回业务的办理并依照《信息披露办法》有关规定在规定媒介上刊登基金恢复赎回业务的公告。</w:t>
      </w:r>
    </w:p>
    <w:p w14:paraId="14714750" w14:textId="77777777" w:rsidR="0082364D" w:rsidRDefault="00BF2824">
      <w:pPr>
        <w:spacing w:line="360" w:lineRule="auto"/>
        <w:ind w:firstLineChars="200" w:firstLine="420"/>
        <w:jc w:val="left"/>
      </w:pPr>
      <w:r>
        <w:rPr>
          <w:rFonts w:ascii="宋体" w:hAnsi="宋体"/>
        </w:rPr>
        <w:t>（十）其他申购赎回方式</w:t>
      </w:r>
    </w:p>
    <w:p w14:paraId="58C9935D" w14:textId="77777777" w:rsidR="0082364D" w:rsidRDefault="00BF2824">
      <w:pPr>
        <w:spacing w:line="360" w:lineRule="auto"/>
        <w:ind w:firstLineChars="200" w:firstLine="420"/>
        <w:jc w:val="left"/>
        <w:rPr>
          <w:rFonts w:ascii="宋体" w:hAnsi="宋体"/>
        </w:rPr>
      </w:pPr>
      <w:r>
        <w:rPr>
          <w:rFonts w:ascii="宋体" w:hAnsi="宋体" w:hint="eastAsia"/>
        </w:rPr>
        <w:t>1、在不违反法律法规且对基金份额持有人利益无实质性不利影响的情况下，基金管理人可以根据具体情况履行适当程序后开通本基金的场内实物申购赎回、场外申购赎回等业务，无需召开基金份额持有人大会。场内实物申购赎回、场外申购赎回的具体办理方式等相关事项届时将另行公告。</w:t>
      </w:r>
    </w:p>
    <w:p w14:paraId="482745AE" w14:textId="77777777" w:rsidR="0082364D" w:rsidRDefault="00BF2824">
      <w:pPr>
        <w:spacing w:line="360" w:lineRule="auto"/>
        <w:ind w:firstLineChars="200" w:firstLine="420"/>
        <w:jc w:val="left"/>
        <w:rPr>
          <w:rFonts w:ascii="宋体" w:hAnsi="宋体"/>
        </w:rPr>
      </w:pPr>
      <w:r>
        <w:rPr>
          <w:rFonts w:ascii="宋体" w:hAnsi="宋体" w:hint="eastAsia"/>
        </w:rPr>
        <w:t>2、若基金管理人推出本基金的ETF联接基金，在本基金上市之前，基金管理人可以对ETF联接基金开通特殊申购，不收取申购费用。</w:t>
      </w:r>
    </w:p>
    <w:p w14:paraId="25A8F775" w14:textId="77777777" w:rsidR="0082364D" w:rsidRDefault="00BF2824">
      <w:pPr>
        <w:spacing w:line="360" w:lineRule="auto"/>
        <w:ind w:firstLineChars="200" w:firstLine="420"/>
        <w:jc w:val="left"/>
        <w:rPr>
          <w:rFonts w:ascii="宋体" w:hAnsi="宋体"/>
        </w:rPr>
      </w:pPr>
      <w:r>
        <w:rPr>
          <w:rFonts w:ascii="宋体" w:hAnsi="宋体" w:hint="eastAsia"/>
        </w:rPr>
        <w:t>3、基金管理人可以在不违反法律法规规定的情况下，调整基金申购赎回方式或申购赎回对价组成，并提前公告。</w:t>
      </w:r>
    </w:p>
    <w:p w14:paraId="5E2A15C6" w14:textId="45875C8E" w:rsidR="0082364D" w:rsidRDefault="00BF2824">
      <w:pPr>
        <w:spacing w:line="360" w:lineRule="auto"/>
        <w:ind w:firstLineChars="200" w:firstLine="420"/>
        <w:jc w:val="left"/>
        <w:rPr>
          <w:rFonts w:ascii="宋体" w:hAnsi="宋体"/>
        </w:rPr>
      </w:pPr>
      <w:r>
        <w:rPr>
          <w:rFonts w:ascii="宋体" w:hAnsi="宋体" w:hint="eastAsia"/>
        </w:rPr>
        <w:t>4、在条件允许时，基金管理人可开放集合申购，集合申购业务的相关规则由基金管理人制定并依照《信息披露办法》的有关规定及时公告。</w:t>
      </w:r>
    </w:p>
    <w:p w14:paraId="0F9237B5" w14:textId="77777777" w:rsidR="0082364D" w:rsidRDefault="00BF2824">
      <w:pPr>
        <w:spacing w:line="360" w:lineRule="auto"/>
        <w:ind w:firstLineChars="200" w:firstLine="420"/>
        <w:jc w:val="left"/>
        <w:rPr>
          <w:rFonts w:ascii="宋体" w:hAnsi="宋体"/>
        </w:rPr>
      </w:pPr>
      <w:r>
        <w:rPr>
          <w:rFonts w:ascii="宋体" w:hAnsi="宋体" w:hint="eastAsia"/>
        </w:rPr>
        <w:t>5、基金管理人指定的代理机构可依据法律法规和基金合同的规定开展其他服务，基金管理人应依照《信息披露办法》的有关规定在规定媒介上公告。</w:t>
      </w:r>
    </w:p>
    <w:p w14:paraId="776FC802" w14:textId="77777777" w:rsidR="0082364D" w:rsidRDefault="00BF2824">
      <w:pPr>
        <w:spacing w:line="360" w:lineRule="auto"/>
        <w:ind w:firstLineChars="200" w:firstLine="420"/>
        <w:jc w:val="left"/>
      </w:pPr>
      <w:r>
        <w:rPr>
          <w:rFonts w:ascii="宋体" w:hAnsi="宋体"/>
        </w:rPr>
        <w:t>（十一）基金的份额折算</w:t>
      </w:r>
    </w:p>
    <w:p w14:paraId="1658E9D8" w14:textId="77777777" w:rsidR="0082364D" w:rsidRDefault="00BF2824">
      <w:pPr>
        <w:spacing w:line="360" w:lineRule="auto"/>
        <w:ind w:firstLineChars="200" w:firstLine="420"/>
        <w:rPr>
          <w:rFonts w:ascii="宋体" w:hAnsi="宋体"/>
        </w:rPr>
      </w:pPr>
      <w:r>
        <w:rPr>
          <w:rFonts w:ascii="宋体" w:hAnsi="宋体" w:hint="eastAsia"/>
        </w:rPr>
        <w:t>基金管理人可向登记结算机构申请办理基金份额折算与变更登记。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无需召开基金份额持有人大会。基金份额折算后，基金份额持有人将按照折算后的基金份额享有权利并承担义务。基金管理人应就其具体事宜进行必要公告，并提前通知基金托管人。</w:t>
      </w:r>
    </w:p>
    <w:p w14:paraId="6C0FB358" w14:textId="77777777" w:rsidR="0082364D" w:rsidRDefault="00BF2824">
      <w:pPr>
        <w:spacing w:line="360" w:lineRule="auto"/>
        <w:ind w:firstLineChars="200" w:firstLine="420"/>
        <w:jc w:val="left"/>
        <w:rPr>
          <w:rFonts w:ascii="宋体" w:hAnsi="宋体"/>
        </w:rPr>
      </w:pPr>
      <w:r>
        <w:rPr>
          <w:rFonts w:ascii="宋体" w:hAnsi="宋体" w:hint="eastAsia"/>
        </w:rPr>
        <w:t>（十二）基金的非交易过户等其他业务的办理</w:t>
      </w:r>
    </w:p>
    <w:p w14:paraId="316039CB" w14:textId="77777777" w:rsidR="0082364D" w:rsidRDefault="00BF2824">
      <w:pPr>
        <w:spacing w:line="360" w:lineRule="auto"/>
        <w:ind w:firstLineChars="200" w:firstLine="420"/>
        <w:jc w:val="left"/>
        <w:rPr>
          <w:rFonts w:ascii="宋体" w:hAnsi="宋体"/>
          <w:bCs/>
        </w:rPr>
      </w:pPr>
      <w:r>
        <w:rPr>
          <w:rFonts w:ascii="宋体" w:hAnsi="宋体"/>
          <w:bCs/>
        </w:rPr>
        <w:t>基金登记结算机构可根据相关法律法规及其业务规则，受理基金份额的非交易过户、质押、冻结与解冻等业务，并按照其规定收取一定的手续费用。</w:t>
      </w:r>
    </w:p>
    <w:p w14:paraId="53960047" w14:textId="77777777" w:rsidR="0082364D" w:rsidRDefault="00BF2824">
      <w:pPr>
        <w:spacing w:before="120" w:after="120" w:line="360" w:lineRule="auto"/>
        <w:ind w:firstLineChars="200" w:firstLine="420"/>
        <w:jc w:val="left"/>
        <w:rPr>
          <w:rFonts w:ascii="宋体" w:hAnsi="宋体"/>
          <w:bCs/>
        </w:rPr>
      </w:pPr>
      <w:r>
        <w:rPr>
          <w:rFonts w:ascii="宋体" w:hAnsi="宋体" w:hint="eastAsia"/>
        </w:rPr>
        <w:t>（十三）</w:t>
      </w:r>
      <w:r>
        <w:rPr>
          <w:rFonts w:ascii="宋体" w:hAnsi="宋体"/>
          <w:bCs/>
        </w:rPr>
        <w:t>基金管理人可在法律法规允许的范围内，在不影响基金份额持有人实质利益的前提下，根据市场情况对上述申购和赎回的安排进行补充和调整并提前公告。</w:t>
      </w:r>
    </w:p>
    <w:p w14:paraId="3C959456" w14:textId="77777777" w:rsidR="0082364D" w:rsidRDefault="00BF2824">
      <w:pPr>
        <w:spacing w:before="120" w:after="120" w:line="360" w:lineRule="auto"/>
        <w:ind w:firstLineChars="200" w:firstLine="420"/>
        <w:jc w:val="left"/>
        <w:rPr>
          <w:rFonts w:ascii="宋体" w:hAnsi="宋体"/>
        </w:rPr>
      </w:pPr>
      <w:r>
        <w:rPr>
          <w:rFonts w:ascii="宋体" w:hAnsi="宋体" w:hint="eastAsia"/>
        </w:rPr>
        <w:lastRenderedPageBreak/>
        <w:t>（十四）若深圳证券交易所和中国证券登记结算有限责任公司针对交易型开放式指数证券投资基金修改现有的清算交收与登记模式或推出新的清算交收与登记模式并引入新的申购、赎回方式，本基金管理人有权调整本基金的清算交收与登记模式及申购、赎回方式，或新增本基金的清算交收与登记模式并引入新的申购、赎回方式，届时将发布公告予以披露并更新本基金的基金合同和招募说明书，无须召开基金份额持有人大会审议。</w:t>
      </w:r>
      <w:bookmarkStart w:id="68" w:name="_Toc283892151"/>
      <w:bookmarkStart w:id="69" w:name="_Toc283892779"/>
      <w:bookmarkStart w:id="70" w:name="_Toc283892831"/>
      <w:bookmarkStart w:id="71" w:name="_Toc449605668"/>
      <w:bookmarkStart w:id="72" w:name="_Toc353291720"/>
    </w:p>
    <w:p w14:paraId="51687A56" w14:textId="77777777" w:rsidR="0082364D" w:rsidRDefault="0082364D">
      <w:pPr>
        <w:spacing w:before="120" w:after="120" w:line="360" w:lineRule="auto"/>
        <w:ind w:firstLineChars="200" w:firstLine="420"/>
        <w:jc w:val="left"/>
        <w:rPr>
          <w:rFonts w:ascii="宋体" w:hAnsi="宋体"/>
        </w:rPr>
      </w:pPr>
    </w:p>
    <w:p w14:paraId="302A1FF1" w14:textId="77777777" w:rsidR="0082364D" w:rsidRDefault="00BF2824">
      <w:pPr>
        <w:widowControl/>
        <w:jc w:val="left"/>
        <w:rPr>
          <w:rFonts w:ascii="宋体" w:hAnsi="宋体"/>
          <w:b/>
          <w:bCs/>
          <w:kern w:val="44"/>
          <w:sz w:val="28"/>
          <w:szCs w:val="44"/>
        </w:rPr>
      </w:pPr>
      <w:r>
        <w:rPr>
          <w:rFonts w:ascii="宋体" w:hAnsi="宋体"/>
          <w:sz w:val="28"/>
        </w:rPr>
        <w:br w:type="page"/>
      </w:r>
    </w:p>
    <w:p w14:paraId="5B182D33" w14:textId="77777777" w:rsidR="0082364D" w:rsidRDefault="00BF2824">
      <w:pPr>
        <w:pStyle w:val="1"/>
        <w:spacing w:before="120" w:after="120" w:line="360" w:lineRule="auto"/>
        <w:jc w:val="center"/>
        <w:rPr>
          <w:rFonts w:ascii="宋体" w:hAnsi="宋体"/>
          <w:sz w:val="28"/>
        </w:rPr>
      </w:pPr>
      <w:bookmarkStart w:id="73" w:name="_Toc108598521"/>
      <w:bookmarkStart w:id="74" w:name="_Toc283892781"/>
      <w:bookmarkStart w:id="75" w:name="_Toc353291721"/>
      <w:bookmarkStart w:id="76" w:name="_Toc449605669"/>
      <w:bookmarkStart w:id="77" w:name="_Toc283892833"/>
      <w:bookmarkStart w:id="78" w:name="_Toc283892153"/>
      <w:bookmarkEnd w:id="68"/>
      <w:bookmarkEnd w:id="69"/>
      <w:bookmarkEnd w:id="70"/>
      <w:bookmarkEnd w:id="71"/>
      <w:bookmarkEnd w:id="72"/>
      <w:r>
        <w:rPr>
          <w:rFonts w:ascii="宋体" w:hAnsi="宋体"/>
          <w:sz w:val="28"/>
        </w:rPr>
        <w:lastRenderedPageBreak/>
        <w:t>十、基金的费用与税收</w:t>
      </w:r>
      <w:bookmarkEnd w:id="73"/>
    </w:p>
    <w:p w14:paraId="498AF6C3" w14:textId="77777777" w:rsidR="0082364D" w:rsidRDefault="00BF2824">
      <w:pPr>
        <w:spacing w:line="360" w:lineRule="auto"/>
        <w:ind w:firstLineChars="200" w:firstLine="420"/>
        <w:jc w:val="left"/>
        <w:rPr>
          <w:rFonts w:ascii="宋体" w:hAnsi="宋体"/>
        </w:rPr>
      </w:pPr>
      <w:r>
        <w:rPr>
          <w:rFonts w:ascii="宋体" w:hAnsi="宋体"/>
        </w:rPr>
        <w:t>（</w:t>
      </w:r>
      <w:r>
        <w:rPr>
          <w:rFonts w:ascii="宋体" w:hAnsi="宋体" w:hint="eastAsia"/>
        </w:rPr>
        <w:t>一</w:t>
      </w:r>
      <w:r>
        <w:rPr>
          <w:rFonts w:ascii="宋体" w:hAnsi="宋体"/>
        </w:rPr>
        <w:t>）</w:t>
      </w:r>
      <w:r>
        <w:rPr>
          <w:rFonts w:ascii="宋体" w:hAnsi="宋体" w:hint="eastAsia"/>
        </w:rPr>
        <w:t>基金费用的种类</w:t>
      </w:r>
    </w:p>
    <w:p w14:paraId="73296CA1" w14:textId="77777777" w:rsidR="0082364D" w:rsidRDefault="00BF2824">
      <w:pPr>
        <w:spacing w:line="360" w:lineRule="auto"/>
        <w:ind w:firstLineChars="200" w:firstLine="420"/>
        <w:jc w:val="left"/>
        <w:rPr>
          <w:rFonts w:ascii="宋体" w:hAnsi="宋体"/>
          <w:bCs/>
        </w:rPr>
      </w:pPr>
      <w:r>
        <w:rPr>
          <w:rFonts w:ascii="宋体" w:hAnsi="宋体"/>
          <w:bCs/>
        </w:rPr>
        <w:t>1、基金管理人的管理费；</w:t>
      </w:r>
    </w:p>
    <w:p w14:paraId="17395BDF" w14:textId="77777777" w:rsidR="0082364D" w:rsidRDefault="00BF2824">
      <w:pPr>
        <w:spacing w:line="360" w:lineRule="auto"/>
        <w:ind w:firstLineChars="200" w:firstLine="420"/>
        <w:jc w:val="left"/>
        <w:rPr>
          <w:rFonts w:ascii="宋体" w:hAnsi="宋体"/>
          <w:bCs/>
        </w:rPr>
      </w:pPr>
      <w:r>
        <w:rPr>
          <w:rFonts w:ascii="宋体" w:hAnsi="宋体"/>
          <w:bCs/>
        </w:rPr>
        <w:t>2、基金托管人的托管费；</w:t>
      </w:r>
    </w:p>
    <w:p w14:paraId="0E862566" w14:textId="77777777" w:rsidR="0082364D" w:rsidRDefault="00BF2824">
      <w:pPr>
        <w:spacing w:line="360" w:lineRule="auto"/>
        <w:ind w:firstLineChars="200" w:firstLine="420"/>
        <w:jc w:val="left"/>
        <w:rPr>
          <w:rFonts w:ascii="宋体" w:hAnsi="宋体"/>
          <w:bCs/>
        </w:rPr>
      </w:pPr>
      <w:r>
        <w:rPr>
          <w:rFonts w:ascii="宋体" w:hAnsi="宋体"/>
          <w:bCs/>
        </w:rPr>
        <w:t>3、《基金合同》生效后与基金相关的信息披露费用；</w:t>
      </w:r>
    </w:p>
    <w:p w14:paraId="4B55740C" w14:textId="77777777" w:rsidR="0082364D" w:rsidRDefault="00BF2824">
      <w:pPr>
        <w:spacing w:line="360" w:lineRule="auto"/>
        <w:ind w:firstLineChars="200" w:firstLine="420"/>
        <w:jc w:val="left"/>
        <w:rPr>
          <w:rFonts w:ascii="宋体" w:hAnsi="宋体"/>
          <w:bCs/>
        </w:rPr>
      </w:pPr>
      <w:r>
        <w:rPr>
          <w:rFonts w:ascii="宋体" w:hAnsi="宋体"/>
          <w:bCs/>
        </w:rPr>
        <w:t>4、《基金合同》生效后与基金相关的会计师费、律师费和诉讼或仲裁费；</w:t>
      </w:r>
    </w:p>
    <w:p w14:paraId="2851E0D4" w14:textId="77777777" w:rsidR="0082364D" w:rsidRDefault="00BF2824">
      <w:pPr>
        <w:spacing w:line="360" w:lineRule="auto"/>
        <w:ind w:firstLineChars="200" w:firstLine="420"/>
        <w:jc w:val="left"/>
        <w:rPr>
          <w:rFonts w:ascii="宋体" w:hAnsi="宋体"/>
          <w:bCs/>
        </w:rPr>
      </w:pPr>
      <w:r>
        <w:rPr>
          <w:rFonts w:ascii="宋体" w:hAnsi="宋体"/>
          <w:bCs/>
        </w:rPr>
        <w:t>5、基金份额持有人大会费用；</w:t>
      </w:r>
    </w:p>
    <w:p w14:paraId="682AF124" w14:textId="77777777" w:rsidR="0082364D" w:rsidRDefault="00BF2824">
      <w:pPr>
        <w:spacing w:line="360" w:lineRule="auto"/>
        <w:ind w:firstLineChars="200" w:firstLine="420"/>
        <w:jc w:val="left"/>
        <w:rPr>
          <w:rFonts w:ascii="宋体" w:hAnsi="宋体"/>
          <w:bCs/>
        </w:rPr>
      </w:pPr>
      <w:r>
        <w:rPr>
          <w:rFonts w:ascii="宋体" w:hAnsi="宋体"/>
          <w:bCs/>
        </w:rPr>
        <w:t>6、</w:t>
      </w:r>
      <w:r>
        <w:rPr>
          <w:rFonts w:ascii="宋体" w:hAnsi="宋体" w:hint="eastAsia"/>
          <w:bCs/>
        </w:rPr>
        <w:t>基金的证券/</w:t>
      </w:r>
      <w:r>
        <w:rPr>
          <w:rFonts w:ascii="宋体" w:hAnsi="宋体"/>
          <w:bCs/>
        </w:rPr>
        <w:t>期货</w:t>
      </w:r>
      <w:r>
        <w:rPr>
          <w:rFonts w:ascii="宋体" w:hAnsi="宋体" w:hint="eastAsia"/>
          <w:bCs/>
        </w:rPr>
        <w:t>账户开立费用、证券/</w:t>
      </w:r>
      <w:r>
        <w:rPr>
          <w:rFonts w:ascii="宋体" w:hAnsi="宋体"/>
          <w:bCs/>
        </w:rPr>
        <w:t>期货</w:t>
      </w:r>
      <w:r>
        <w:rPr>
          <w:rFonts w:ascii="宋体" w:hAnsi="宋体" w:hint="eastAsia"/>
          <w:bCs/>
        </w:rPr>
        <w:t>交易费用及在境外市场的交易、清算、登记等实际发生的费用（out-of-pocket fees），</w:t>
      </w:r>
      <w:r>
        <w:rPr>
          <w:rFonts w:ascii="宋体" w:hAnsi="宋体"/>
          <w:bCs/>
        </w:rPr>
        <w:t>包括但不限于经手费、印花税、证管费、过户费、手续费、券商佣金</w:t>
      </w:r>
      <w:r>
        <w:rPr>
          <w:rFonts w:ascii="宋体" w:hAnsi="宋体" w:hint="eastAsia"/>
          <w:bCs/>
        </w:rPr>
        <w:t>、权证交易的结算费、融资融券费、证券借贷费用、存托费、证券账户</w:t>
      </w:r>
      <w:r>
        <w:rPr>
          <w:rFonts w:ascii="宋体" w:hAnsi="宋体"/>
          <w:bCs/>
        </w:rPr>
        <w:t>及其他类似性质的费用等；</w:t>
      </w:r>
    </w:p>
    <w:p w14:paraId="5271E0E5" w14:textId="77777777" w:rsidR="0082364D" w:rsidRDefault="00BF2824">
      <w:pPr>
        <w:spacing w:line="360" w:lineRule="auto"/>
        <w:ind w:firstLineChars="200" w:firstLine="420"/>
        <w:jc w:val="left"/>
        <w:rPr>
          <w:rFonts w:ascii="宋体" w:hAnsi="宋体"/>
          <w:bCs/>
        </w:rPr>
      </w:pPr>
      <w:r>
        <w:rPr>
          <w:rFonts w:ascii="宋体" w:hAnsi="宋体"/>
          <w:bCs/>
        </w:rPr>
        <w:t>7、基金的银行汇划费用；</w:t>
      </w:r>
    </w:p>
    <w:p w14:paraId="75CDA3D4" w14:textId="77777777" w:rsidR="0082364D" w:rsidRDefault="00BF2824">
      <w:pPr>
        <w:spacing w:line="360" w:lineRule="auto"/>
        <w:ind w:firstLineChars="200" w:firstLine="420"/>
        <w:jc w:val="left"/>
        <w:rPr>
          <w:rFonts w:ascii="宋体" w:hAnsi="宋体"/>
          <w:bCs/>
        </w:rPr>
      </w:pPr>
      <w:r>
        <w:rPr>
          <w:rFonts w:ascii="宋体" w:hAnsi="宋体" w:hint="eastAsia"/>
          <w:bCs/>
        </w:rPr>
        <w:t>8、基金进行外汇兑换交易的相关费用；</w:t>
      </w:r>
    </w:p>
    <w:p w14:paraId="6D12F8C5" w14:textId="77777777" w:rsidR="0082364D" w:rsidRDefault="00BF2824">
      <w:pPr>
        <w:spacing w:line="360" w:lineRule="auto"/>
        <w:ind w:firstLineChars="200" w:firstLine="420"/>
        <w:jc w:val="left"/>
        <w:rPr>
          <w:rFonts w:ascii="宋体" w:hAnsi="宋体"/>
          <w:bCs/>
        </w:rPr>
      </w:pPr>
      <w:r>
        <w:rPr>
          <w:rFonts w:ascii="宋体" w:hAnsi="宋体" w:hint="eastAsia"/>
          <w:bCs/>
        </w:rPr>
        <w:t>9、基金依照有关法律法规应当缴纳的，购买或处置证券有关的任何税收、征费、关税、印花税、交易及其他税收及预扣提税（以及与前述各项有关的任何利息及费用），以及为基金利益聘请税务顾问产生的费用；</w:t>
      </w:r>
    </w:p>
    <w:p w14:paraId="0BDE880B" w14:textId="77777777" w:rsidR="0082364D" w:rsidRDefault="00BF2824">
      <w:pPr>
        <w:spacing w:line="360" w:lineRule="auto"/>
        <w:ind w:firstLineChars="200" w:firstLine="420"/>
        <w:jc w:val="left"/>
        <w:rPr>
          <w:rFonts w:ascii="宋体" w:hAnsi="宋体"/>
          <w:bCs/>
        </w:rPr>
      </w:pPr>
      <w:r>
        <w:rPr>
          <w:rFonts w:ascii="宋体" w:hAnsi="宋体"/>
          <w:bCs/>
        </w:rPr>
        <w:t>10、</w:t>
      </w:r>
      <w:r>
        <w:rPr>
          <w:rFonts w:ascii="宋体" w:hAnsi="宋体" w:hint="eastAsia"/>
          <w:bCs/>
        </w:rPr>
        <w:t>基金的</w:t>
      </w:r>
      <w:r>
        <w:rPr>
          <w:rFonts w:ascii="宋体" w:hAnsi="宋体"/>
          <w:bCs/>
        </w:rPr>
        <w:t>开户费用、账户维护费用；</w:t>
      </w:r>
    </w:p>
    <w:p w14:paraId="7315C5D1" w14:textId="77777777" w:rsidR="0082364D" w:rsidRDefault="00BF2824">
      <w:pPr>
        <w:spacing w:line="360" w:lineRule="auto"/>
        <w:ind w:firstLineChars="200" w:firstLine="420"/>
        <w:jc w:val="left"/>
        <w:rPr>
          <w:rFonts w:ascii="宋体" w:hAnsi="宋体"/>
          <w:bCs/>
        </w:rPr>
      </w:pPr>
      <w:r>
        <w:rPr>
          <w:rFonts w:ascii="宋体" w:hAnsi="宋体"/>
          <w:bCs/>
        </w:rPr>
        <w:t>1</w:t>
      </w:r>
      <w:r>
        <w:rPr>
          <w:rFonts w:ascii="宋体" w:hAnsi="宋体" w:hint="eastAsia"/>
          <w:bCs/>
        </w:rPr>
        <w:t>1</w:t>
      </w:r>
      <w:r>
        <w:rPr>
          <w:rFonts w:ascii="宋体" w:hAnsi="宋体"/>
          <w:bCs/>
        </w:rPr>
        <w:t>、</w:t>
      </w:r>
      <w:r>
        <w:rPr>
          <w:rFonts w:ascii="宋体" w:hAnsi="宋体" w:hint="eastAsia"/>
          <w:bCs/>
        </w:rPr>
        <w:t>基金</w:t>
      </w:r>
      <w:r>
        <w:rPr>
          <w:rFonts w:ascii="宋体" w:hAnsi="宋体"/>
          <w:bCs/>
        </w:rPr>
        <w:t>的上市初费</w:t>
      </w:r>
      <w:r>
        <w:rPr>
          <w:rFonts w:ascii="宋体" w:hAnsi="宋体" w:hint="eastAsia"/>
          <w:bCs/>
        </w:rPr>
        <w:t>和年</w:t>
      </w:r>
      <w:r>
        <w:rPr>
          <w:rFonts w:ascii="宋体" w:hAnsi="宋体"/>
          <w:bCs/>
        </w:rPr>
        <w:t>费；</w:t>
      </w:r>
    </w:p>
    <w:p w14:paraId="2552C921" w14:textId="77777777" w:rsidR="0082364D" w:rsidRDefault="00BF2824">
      <w:pPr>
        <w:spacing w:line="360" w:lineRule="auto"/>
        <w:ind w:firstLineChars="200" w:firstLine="420"/>
        <w:jc w:val="left"/>
        <w:rPr>
          <w:rFonts w:ascii="宋体" w:hAnsi="宋体"/>
          <w:bCs/>
        </w:rPr>
      </w:pPr>
      <w:r>
        <w:rPr>
          <w:rFonts w:ascii="宋体" w:hAnsi="宋体" w:hint="eastAsia"/>
          <w:bCs/>
        </w:rPr>
        <w:t>12、因投资境外</w:t>
      </w:r>
      <w:r>
        <w:rPr>
          <w:rFonts w:ascii="宋体" w:hAnsi="宋体"/>
          <w:bCs/>
        </w:rPr>
        <w:t>股</w:t>
      </w:r>
      <w:r>
        <w:rPr>
          <w:rFonts w:ascii="宋体" w:hAnsi="宋体" w:hint="eastAsia"/>
          <w:bCs/>
        </w:rPr>
        <w:t>票而产生的各项合理费用；</w:t>
      </w:r>
    </w:p>
    <w:p w14:paraId="73FAC789" w14:textId="77777777" w:rsidR="0082364D" w:rsidRDefault="00BF2824">
      <w:pPr>
        <w:spacing w:line="360" w:lineRule="auto"/>
        <w:ind w:firstLineChars="200" w:firstLine="420"/>
        <w:jc w:val="left"/>
        <w:rPr>
          <w:rFonts w:ascii="宋体" w:hAnsi="宋体"/>
          <w:bCs/>
        </w:rPr>
      </w:pPr>
      <w:r>
        <w:rPr>
          <w:rFonts w:ascii="宋体" w:hAnsi="宋体" w:hint="eastAsia"/>
          <w:bCs/>
        </w:rPr>
        <w:t>13、除去基金管理人和基金托管人因自身原因而导致的更换基金管理人、更换基金托管人及基金资产由原任基金托管人转移至新任基金托管人以及由于境外托管人更换导致基金资产转移所引起的费用；</w:t>
      </w:r>
    </w:p>
    <w:p w14:paraId="76C5B6B9" w14:textId="77777777" w:rsidR="0082364D" w:rsidRDefault="00BF2824">
      <w:pPr>
        <w:spacing w:line="360" w:lineRule="auto"/>
        <w:ind w:firstLineChars="200" w:firstLine="420"/>
        <w:jc w:val="left"/>
        <w:rPr>
          <w:rFonts w:ascii="宋体" w:hAnsi="宋体"/>
          <w:bCs/>
        </w:rPr>
      </w:pPr>
      <w:r>
        <w:rPr>
          <w:rFonts w:ascii="宋体" w:hAnsi="宋体"/>
          <w:bCs/>
        </w:rPr>
        <w:t>14、</w:t>
      </w:r>
      <w:r>
        <w:rPr>
          <w:rFonts w:ascii="宋体" w:hAnsi="宋体" w:hint="eastAsia"/>
          <w:bCs/>
        </w:rPr>
        <w:t>按照国家有关规定和《基金合同》约定，可以在基金财产中列支的其他费用。</w:t>
      </w:r>
    </w:p>
    <w:p w14:paraId="19FFBD0A" w14:textId="77777777" w:rsidR="0082364D" w:rsidRDefault="00BF2824">
      <w:pPr>
        <w:spacing w:line="360" w:lineRule="auto"/>
        <w:ind w:firstLineChars="200" w:firstLine="420"/>
        <w:jc w:val="left"/>
        <w:rPr>
          <w:rFonts w:ascii="宋体" w:hAnsi="宋体"/>
        </w:rPr>
      </w:pPr>
      <w:r>
        <w:rPr>
          <w:rFonts w:ascii="宋体" w:hAnsi="宋体"/>
        </w:rPr>
        <w:t>（二）基金费用计提方法、计提标准和支付方式</w:t>
      </w:r>
    </w:p>
    <w:p w14:paraId="0303D66B" w14:textId="77777777" w:rsidR="0082364D" w:rsidRDefault="00BF2824">
      <w:pPr>
        <w:spacing w:line="360" w:lineRule="auto"/>
        <w:ind w:firstLineChars="200" w:firstLine="420"/>
        <w:jc w:val="left"/>
        <w:rPr>
          <w:rFonts w:ascii="宋体" w:hAnsi="宋体"/>
          <w:bCs/>
        </w:rPr>
      </w:pPr>
      <w:r>
        <w:rPr>
          <w:rFonts w:ascii="宋体" w:hAnsi="宋体"/>
          <w:bCs/>
        </w:rPr>
        <w:t xml:space="preserve">1、基金管理人的管理费 </w:t>
      </w:r>
    </w:p>
    <w:p w14:paraId="454579AC" w14:textId="77777777" w:rsidR="0082364D" w:rsidRDefault="00BF2824">
      <w:pPr>
        <w:spacing w:line="360" w:lineRule="auto"/>
        <w:ind w:firstLineChars="200" w:firstLine="420"/>
        <w:jc w:val="left"/>
        <w:rPr>
          <w:rFonts w:ascii="宋体" w:hAnsi="宋体"/>
          <w:bCs/>
        </w:rPr>
      </w:pPr>
      <w:r>
        <w:rPr>
          <w:rFonts w:ascii="宋体" w:hAnsi="宋体"/>
          <w:bCs/>
        </w:rPr>
        <w:t>本基金的管理费按前一日基金资产净值的0.5%年费率计提。管理费的计算方法如下：</w:t>
      </w:r>
    </w:p>
    <w:p w14:paraId="15599B2C" w14:textId="77777777" w:rsidR="0082364D" w:rsidRDefault="00BF2824">
      <w:pPr>
        <w:spacing w:line="360" w:lineRule="auto"/>
        <w:ind w:firstLineChars="200" w:firstLine="420"/>
        <w:jc w:val="left"/>
        <w:rPr>
          <w:rFonts w:ascii="宋体" w:hAnsi="宋体"/>
          <w:bCs/>
        </w:rPr>
      </w:pPr>
      <w:r>
        <w:rPr>
          <w:rFonts w:ascii="宋体" w:hAnsi="宋体"/>
          <w:bCs/>
        </w:rPr>
        <w:t>H＝E×0.5%÷当年天数</w:t>
      </w:r>
    </w:p>
    <w:p w14:paraId="29A2AFBE" w14:textId="77777777" w:rsidR="0082364D" w:rsidRDefault="00BF2824">
      <w:pPr>
        <w:spacing w:line="360" w:lineRule="auto"/>
        <w:ind w:firstLineChars="200" w:firstLine="420"/>
        <w:jc w:val="left"/>
        <w:rPr>
          <w:rFonts w:ascii="宋体" w:hAnsi="宋体"/>
          <w:bCs/>
        </w:rPr>
      </w:pPr>
      <w:r>
        <w:rPr>
          <w:rFonts w:ascii="宋体" w:hAnsi="宋体"/>
          <w:bCs/>
        </w:rPr>
        <w:t>H为每日应计提的基金管理费</w:t>
      </w:r>
    </w:p>
    <w:p w14:paraId="613CCDCF" w14:textId="77777777" w:rsidR="0082364D" w:rsidRDefault="00BF2824">
      <w:pPr>
        <w:spacing w:line="360" w:lineRule="auto"/>
        <w:ind w:firstLineChars="200" w:firstLine="420"/>
        <w:jc w:val="left"/>
        <w:rPr>
          <w:rFonts w:ascii="宋体" w:hAnsi="宋体"/>
          <w:bCs/>
        </w:rPr>
      </w:pPr>
      <w:r>
        <w:rPr>
          <w:rFonts w:ascii="宋体" w:hAnsi="宋体"/>
          <w:bCs/>
        </w:rPr>
        <w:t>E为前一日的基金资产净值</w:t>
      </w:r>
    </w:p>
    <w:p w14:paraId="74B06A78" w14:textId="16329E6D" w:rsidR="0082364D" w:rsidRDefault="00BF2824">
      <w:pPr>
        <w:spacing w:line="360" w:lineRule="auto"/>
        <w:ind w:firstLineChars="200" w:firstLine="420"/>
        <w:jc w:val="left"/>
        <w:rPr>
          <w:rFonts w:ascii="宋体" w:hAnsi="宋体"/>
          <w:bCs/>
        </w:rPr>
      </w:pPr>
      <w:r>
        <w:rPr>
          <w:rFonts w:ascii="宋体" w:hAnsi="宋体" w:hint="eastAsia"/>
          <w:bCs/>
        </w:rPr>
        <w:lastRenderedPageBreak/>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或不可抗力等，支付日期顺延。</w:t>
      </w:r>
    </w:p>
    <w:p w14:paraId="2EF1697E" w14:textId="77777777" w:rsidR="0082364D" w:rsidRDefault="00BF2824">
      <w:pPr>
        <w:spacing w:line="360" w:lineRule="auto"/>
        <w:ind w:firstLineChars="200" w:firstLine="420"/>
        <w:jc w:val="left"/>
        <w:rPr>
          <w:rFonts w:ascii="宋体" w:hAnsi="宋体"/>
          <w:bCs/>
        </w:rPr>
      </w:pPr>
      <w:r>
        <w:rPr>
          <w:rFonts w:ascii="宋体" w:hAnsi="宋体"/>
          <w:bCs/>
        </w:rPr>
        <w:t>2、基金托管人的托管费</w:t>
      </w:r>
    </w:p>
    <w:p w14:paraId="7E68CFD3" w14:textId="77777777" w:rsidR="0082364D" w:rsidRDefault="00BF2824">
      <w:pPr>
        <w:spacing w:line="360" w:lineRule="auto"/>
        <w:ind w:firstLineChars="200" w:firstLine="420"/>
        <w:jc w:val="left"/>
        <w:rPr>
          <w:rFonts w:ascii="宋体" w:hAnsi="宋体"/>
          <w:bCs/>
        </w:rPr>
      </w:pPr>
      <w:r>
        <w:rPr>
          <w:rFonts w:ascii="宋体" w:hAnsi="宋体"/>
          <w:bCs/>
        </w:rPr>
        <w:t>本基金的托管费按前一日基金资产净值的0.1%年费率计提。托管费的计算方法如下：</w:t>
      </w:r>
    </w:p>
    <w:p w14:paraId="15F9D5AE" w14:textId="77777777" w:rsidR="0082364D" w:rsidRDefault="00BF2824">
      <w:pPr>
        <w:spacing w:line="360" w:lineRule="auto"/>
        <w:ind w:firstLineChars="200" w:firstLine="420"/>
        <w:jc w:val="left"/>
        <w:rPr>
          <w:rFonts w:ascii="宋体" w:hAnsi="宋体"/>
          <w:bCs/>
        </w:rPr>
      </w:pPr>
      <w:r>
        <w:rPr>
          <w:rFonts w:ascii="宋体" w:hAnsi="宋体"/>
          <w:bCs/>
        </w:rPr>
        <w:t>H＝E×0.1%÷当年天数</w:t>
      </w:r>
    </w:p>
    <w:p w14:paraId="2C8729C9" w14:textId="77777777" w:rsidR="0082364D" w:rsidRDefault="00BF2824">
      <w:pPr>
        <w:spacing w:line="360" w:lineRule="auto"/>
        <w:ind w:firstLineChars="200" w:firstLine="420"/>
        <w:jc w:val="left"/>
        <w:rPr>
          <w:rFonts w:ascii="宋体" w:hAnsi="宋体"/>
          <w:bCs/>
        </w:rPr>
      </w:pPr>
      <w:r>
        <w:rPr>
          <w:rFonts w:ascii="宋体" w:hAnsi="宋体"/>
          <w:bCs/>
        </w:rPr>
        <w:t>H为每日应计提的基金托管费</w:t>
      </w:r>
    </w:p>
    <w:p w14:paraId="585AD8FD" w14:textId="77777777" w:rsidR="0082364D" w:rsidRDefault="00BF2824">
      <w:pPr>
        <w:spacing w:line="360" w:lineRule="auto"/>
        <w:ind w:firstLineChars="200" w:firstLine="420"/>
        <w:jc w:val="left"/>
        <w:rPr>
          <w:rFonts w:ascii="宋体" w:hAnsi="宋体"/>
          <w:bCs/>
        </w:rPr>
      </w:pPr>
      <w:r>
        <w:rPr>
          <w:rFonts w:ascii="宋体" w:hAnsi="宋体"/>
          <w:bCs/>
        </w:rPr>
        <w:t>E为前一日的基金资产净值</w:t>
      </w:r>
    </w:p>
    <w:p w14:paraId="30433B00" w14:textId="6B5E3A99" w:rsidR="0082364D" w:rsidRDefault="00BF2824">
      <w:pPr>
        <w:spacing w:line="360" w:lineRule="auto"/>
        <w:ind w:firstLineChars="200" w:firstLine="420"/>
        <w:jc w:val="left"/>
        <w:rPr>
          <w:rFonts w:ascii="宋体" w:hAnsi="宋体"/>
          <w:bCs/>
        </w:rPr>
      </w:pPr>
      <w:r>
        <w:rPr>
          <w:rFonts w:ascii="宋体" w:hAnsi="宋体" w:hint="eastAsia"/>
          <w:bCs/>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或不可抗力等，支付日期顺延。</w:t>
      </w:r>
    </w:p>
    <w:p w14:paraId="1E3B47B8" w14:textId="77777777" w:rsidR="0082364D" w:rsidRDefault="00BF2824">
      <w:pPr>
        <w:spacing w:line="360" w:lineRule="auto"/>
        <w:ind w:firstLineChars="200" w:firstLine="420"/>
        <w:jc w:val="left"/>
        <w:rPr>
          <w:rFonts w:ascii="宋体" w:hAnsi="宋体"/>
          <w:bCs/>
        </w:rPr>
      </w:pPr>
      <w:r>
        <w:rPr>
          <w:rFonts w:ascii="宋体" w:hAnsi="宋体" w:hint="eastAsia"/>
          <w:bCs/>
        </w:rPr>
        <w:t>3、</w:t>
      </w:r>
      <w:r>
        <w:rPr>
          <w:rFonts w:ascii="宋体" w:hAnsi="宋体"/>
          <w:bCs/>
        </w:rPr>
        <w:t>除管理费、托管费之外的基金费用</w:t>
      </w:r>
      <w:r>
        <w:rPr>
          <w:rFonts w:ascii="宋体" w:hAnsi="宋体" w:hint="eastAsia"/>
          <w:bCs/>
        </w:rPr>
        <w:t>将</w:t>
      </w:r>
      <w:r>
        <w:rPr>
          <w:rFonts w:ascii="宋体" w:hAnsi="宋体"/>
          <w:bCs/>
        </w:rPr>
        <w:t>根据有关法规及相应协议的规定，按费用</w:t>
      </w:r>
      <w:r>
        <w:rPr>
          <w:rFonts w:ascii="宋体" w:hAnsi="宋体" w:hint="eastAsia"/>
          <w:bCs/>
        </w:rPr>
        <w:t>实际支出金额，列入或摊入当期基金费用，由基金托管人从基金财产中支付。</w:t>
      </w:r>
    </w:p>
    <w:p w14:paraId="633B13B7" w14:textId="77777777" w:rsidR="0082364D" w:rsidRDefault="00BF2824">
      <w:pPr>
        <w:spacing w:line="360" w:lineRule="auto"/>
        <w:ind w:firstLineChars="200" w:firstLine="420"/>
        <w:jc w:val="left"/>
        <w:rPr>
          <w:rFonts w:ascii="宋体" w:hAnsi="宋体"/>
        </w:rPr>
      </w:pPr>
      <w:r>
        <w:rPr>
          <w:rFonts w:ascii="宋体" w:hAnsi="宋体"/>
        </w:rPr>
        <w:t>（三）不列入基金费用的项目</w:t>
      </w:r>
    </w:p>
    <w:p w14:paraId="6C704452" w14:textId="77777777" w:rsidR="0082364D" w:rsidRDefault="00BF2824">
      <w:pPr>
        <w:spacing w:line="360" w:lineRule="auto"/>
        <w:ind w:firstLineChars="200" w:firstLine="420"/>
        <w:jc w:val="left"/>
        <w:rPr>
          <w:rFonts w:ascii="宋体" w:hAnsi="宋体"/>
          <w:bCs/>
        </w:rPr>
      </w:pPr>
      <w:r>
        <w:rPr>
          <w:rFonts w:ascii="宋体" w:hAnsi="宋体"/>
          <w:bCs/>
        </w:rPr>
        <w:t>下列费用不列入基金费用：</w:t>
      </w:r>
    </w:p>
    <w:p w14:paraId="29F9ECC2" w14:textId="77777777" w:rsidR="0082364D" w:rsidRDefault="00BF2824">
      <w:pPr>
        <w:spacing w:line="360" w:lineRule="auto"/>
        <w:ind w:firstLineChars="200" w:firstLine="420"/>
        <w:jc w:val="left"/>
        <w:rPr>
          <w:rFonts w:ascii="宋体" w:hAnsi="宋体"/>
          <w:bCs/>
        </w:rPr>
      </w:pPr>
      <w:r>
        <w:rPr>
          <w:rFonts w:ascii="宋体" w:hAnsi="宋体"/>
          <w:bCs/>
        </w:rPr>
        <w:t>1、基金管理人和基金托管人因未履行或未完全履行义务导致的费用支出或基金财产的损失；</w:t>
      </w:r>
    </w:p>
    <w:p w14:paraId="73FCA8C3" w14:textId="77777777" w:rsidR="0082364D" w:rsidRDefault="00BF2824">
      <w:pPr>
        <w:spacing w:line="360" w:lineRule="auto"/>
        <w:ind w:firstLineChars="200" w:firstLine="420"/>
        <w:jc w:val="left"/>
        <w:rPr>
          <w:rFonts w:ascii="宋体" w:hAnsi="宋体"/>
          <w:bCs/>
        </w:rPr>
      </w:pPr>
      <w:r>
        <w:rPr>
          <w:rFonts w:ascii="宋体" w:hAnsi="宋体"/>
          <w:bCs/>
        </w:rPr>
        <w:t>2、基金管理人和基金托管人处理与基金运作无关的事项发生的费用；</w:t>
      </w:r>
    </w:p>
    <w:p w14:paraId="3EE33C52" w14:textId="77777777" w:rsidR="0082364D" w:rsidRDefault="00BF2824">
      <w:pPr>
        <w:spacing w:line="360" w:lineRule="auto"/>
        <w:ind w:firstLineChars="200" w:firstLine="420"/>
        <w:jc w:val="left"/>
        <w:rPr>
          <w:rFonts w:ascii="宋体" w:hAnsi="宋体"/>
          <w:bCs/>
        </w:rPr>
      </w:pPr>
      <w:r>
        <w:rPr>
          <w:rFonts w:ascii="宋体" w:hAnsi="宋体"/>
          <w:bCs/>
        </w:rPr>
        <w:t>3、《基金合同》生效前的相关费用；</w:t>
      </w:r>
    </w:p>
    <w:p w14:paraId="2E8DFCD1" w14:textId="77777777" w:rsidR="0082364D" w:rsidRDefault="00BF2824">
      <w:pPr>
        <w:spacing w:line="360" w:lineRule="auto"/>
        <w:ind w:firstLineChars="200" w:firstLine="420"/>
        <w:jc w:val="left"/>
        <w:rPr>
          <w:rFonts w:ascii="宋体" w:hAnsi="宋体"/>
          <w:bCs/>
        </w:rPr>
      </w:pPr>
      <w:r>
        <w:rPr>
          <w:rFonts w:ascii="宋体" w:hAnsi="宋体"/>
          <w:bCs/>
        </w:rPr>
        <w:t>4、</w:t>
      </w:r>
      <w:r>
        <w:rPr>
          <w:rFonts w:ascii="宋体" w:hAnsi="宋体" w:hint="eastAsia"/>
          <w:bCs/>
        </w:rPr>
        <w:t>指数许可使用费，指数许可使用费由基金管理人承担；</w:t>
      </w:r>
    </w:p>
    <w:p w14:paraId="1828AE67" w14:textId="77777777" w:rsidR="0082364D" w:rsidRDefault="00BF2824">
      <w:pPr>
        <w:spacing w:line="360" w:lineRule="auto"/>
        <w:ind w:firstLineChars="200" w:firstLine="420"/>
        <w:jc w:val="left"/>
        <w:rPr>
          <w:rFonts w:ascii="宋体" w:hAnsi="宋体"/>
          <w:bCs/>
        </w:rPr>
      </w:pPr>
      <w:r>
        <w:rPr>
          <w:rFonts w:ascii="宋体" w:hAnsi="宋体" w:hint="eastAsia"/>
          <w:bCs/>
        </w:rPr>
        <w:t>5、</w:t>
      </w:r>
      <w:r>
        <w:rPr>
          <w:rFonts w:ascii="宋体" w:hAnsi="宋体"/>
          <w:bCs/>
        </w:rPr>
        <w:t>其他根据相关法律法规及中国证监会的有关规定不得列入基金费用的项目。</w:t>
      </w:r>
    </w:p>
    <w:p w14:paraId="6BB75C0A" w14:textId="77777777" w:rsidR="0082364D" w:rsidRDefault="00BF2824">
      <w:pPr>
        <w:spacing w:line="360" w:lineRule="auto"/>
        <w:ind w:firstLineChars="200" w:firstLine="420"/>
        <w:jc w:val="left"/>
        <w:rPr>
          <w:rFonts w:ascii="宋体" w:hAnsi="宋体"/>
        </w:rPr>
      </w:pPr>
      <w:r>
        <w:rPr>
          <w:rFonts w:ascii="宋体" w:hAnsi="宋体"/>
        </w:rPr>
        <w:t>（四）基金税收</w:t>
      </w:r>
    </w:p>
    <w:p w14:paraId="7452D56E" w14:textId="77777777" w:rsidR="0082364D" w:rsidRDefault="00BF2824">
      <w:pPr>
        <w:spacing w:line="360" w:lineRule="auto"/>
        <w:ind w:firstLineChars="200" w:firstLine="420"/>
        <w:jc w:val="left"/>
        <w:rPr>
          <w:rFonts w:ascii="宋体" w:hAnsi="宋体"/>
          <w:bCs/>
        </w:rPr>
      </w:pPr>
      <w:r>
        <w:rPr>
          <w:rFonts w:ascii="宋体" w:hAnsi="宋体" w:hint="eastAsia"/>
          <w:bCs/>
        </w:rPr>
        <w:t>本基金运作过程中涉及的各纳税主体，其纳税义务按国家税收法律、法规执行，但本基金运作过程中应缴纳的增值税、附加税费等税费由基金财产承担，按照税务机关的要求以基金管理人名义缴纳</w:t>
      </w:r>
      <w:r>
        <w:rPr>
          <w:rFonts w:ascii="宋体" w:hAnsi="宋体"/>
        </w:rPr>
        <w:t>。</w:t>
      </w:r>
      <w:r>
        <w:rPr>
          <w:rFonts w:ascii="宋体" w:hAnsi="宋体" w:hint="eastAsia"/>
        </w:rPr>
        <w:t>本基金投资境外市场的税收按照投资目的地的税收规定执行。</w:t>
      </w:r>
    </w:p>
    <w:p w14:paraId="28D2C916" w14:textId="77777777" w:rsidR="0082364D" w:rsidRDefault="00BF2824">
      <w:pPr>
        <w:spacing w:line="360" w:lineRule="auto"/>
        <w:ind w:firstLineChars="200" w:firstLine="420"/>
        <w:jc w:val="left"/>
        <w:rPr>
          <w:rFonts w:ascii="宋体" w:hAnsi="宋体"/>
        </w:rPr>
      </w:pPr>
      <w:r>
        <w:rPr>
          <w:rFonts w:ascii="宋体" w:hAnsi="宋体"/>
        </w:rPr>
        <w:br w:type="page"/>
      </w:r>
    </w:p>
    <w:p w14:paraId="397908AA" w14:textId="77777777" w:rsidR="0082364D" w:rsidRDefault="00BF2824">
      <w:pPr>
        <w:pStyle w:val="1"/>
        <w:spacing w:before="120" w:after="120" w:line="360" w:lineRule="auto"/>
        <w:jc w:val="center"/>
        <w:rPr>
          <w:rFonts w:ascii="宋体" w:hAnsi="宋体"/>
          <w:sz w:val="28"/>
        </w:rPr>
      </w:pPr>
      <w:bookmarkStart w:id="79" w:name="_Toc108598522"/>
      <w:r>
        <w:rPr>
          <w:rFonts w:ascii="宋体" w:hAnsi="宋体"/>
          <w:sz w:val="28"/>
        </w:rPr>
        <w:lastRenderedPageBreak/>
        <w:t>十一</w:t>
      </w:r>
      <w:r>
        <w:rPr>
          <w:rFonts w:ascii="宋体" w:hAnsi="宋体" w:hint="eastAsia"/>
          <w:sz w:val="28"/>
        </w:rPr>
        <w:t>、</w:t>
      </w:r>
      <w:r>
        <w:rPr>
          <w:rFonts w:ascii="宋体" w:hAnsi="宋体"/>
          <w:sz w:val="28"/>
        </w:rPr>
        <w:t>基金的财产</w:t>
      </w:r>
      <w:bookmarkEnd w:id="74"/>
      <w:bookmarkEnd w:id="75"/>
      <w:bookmarkEnd w:id="76"/>
      <w:bookmarkEnd w:id="77"/>
      <w:bookmarkEnd w:id="78"/>
      <w:bookmarkEnd w:id="79"/>
    </w:p>
    <w:p w14:paraId="734E3A05" w14:textId="77777777" w:rsidR="0082364D" w:rsidRDefault="00BF2824">
      <w:pPr>
        <w:spacing w:line="360" w:lineRule="auto"/>
        <w:ind w:firstLineChars="200" w:firstLine="420"/>
        <w:jc w:val="left"/>
        <w:rPr>
          <w:rFonts w:ascii="宋体" w:hAnsi="宋体"/>
        </w:rPr>
      </w:pPr>
      <w:r>
        <w:rPr>
          <w:rFonts w:ascii="宋体" w:hAnsi="宋体"/>
        </w:rPr>
        <w:t>（一）基金资产总值</w:t>
      </w:r>
    </w:p>
    <w:p w14:paraId="1B14D0F9" w14:textId="77777777" w:rsidR="0082364D" w:rsidRDefault="00BF2824">
      <w:pPr>
        <w:spacing w:line="360" w:lineRule="auto"/>
        <w:ind w:firstLineChars="200" w:firstLine="420"/>
        <w:jc w:val="left"/>
        <w:rPr>
          <w:rFonts w:ascii="宋体" w:hAnsi="宋体"/>
          <w:bCs/>
        </w:rPr>
      </w:pPr>
      <w:r>
        <w:rPr>
          <w:rFonts w:ascii="宋体" w:hAnsi="宋体"/>
          <w:bCs/>
        </w:rPr>
        <w:t>基金资产总值是指基金拥有的各类</w:t>
      </w:r>
      <w:r>
        <w:rPr>
          <w:rFonts w:ascii="宋体" w:hAnsi="宋体" w:hint="eastAsia"/>
          <w:bCs/>
        </w:rPr>
        <w:t>基金、</w:t>
      </w:r>
      <w:r>
        <w:rPr>
          <w:rFonts w:ascii="宋体" w:hAnsi="宋体"/>
          <w:bCs/>
        </w:rPr>
        <w:t>有价证券</w:t>
      </w:r>
      <w:r>
        <w:rPr>
          <w:rFonts w:ascii="宋体" w:hAnsi="宋体" w:hint="eastAsia"/>
          <w:bCs/>
        </w:rPr>
        <w:t>及票据价值</w:t>
      </w:r>
      <w:r>
        <w:rPr>
          <w:rFonts w:ascii="宋体" w:hAnsi="宋体"/>
          <w:bCs/>
        </w:rPr>
        <w:t>、银行存款本息和基金应收款以及其他投资所形成的价值总和。</w:t>
      </w:r>
    </w:p>
    <w:p w14:paraId="08A19D61" w14:textId="77777777" w:rsidR="0082364D" w:rsidRDefault="00BF2824">
      <w:pPr>
        <w:spacing w:line="360" w:lineRule="auto"/>
        <w:ind w:firstLineChars="200" w:firstLine="420"/>
        <w:jc w:val="left"/>
        <w:rPr>
          <w:rFonts w:ascii="宋体" w:hAnsi="宋体"/>
        </w:rPr>
      </w:pPr>
      <w:r>
        <w:rPr>
          <w:rFonts w:ascii="宋体" w:hAnsi="宋体"/>
        </w:rPr>
        <w:t>（二）基金资产净值</w:t>
      </w:r>
    </w:p>
    <w:p w14:paraId="3B1F3934" w14:textId="77777777" w:rsidR="0082364D" w:rsidRDefault="00BF2824">
      <w:pPr>
        <w:spacing w:line="360" w:lineRule="auto"/>
        <w:ind w:firstLineChars="200" w:firstLine="420"/>
        <w:jc w:val="left"/>
        <w:rPr>
          <w:rFonts w:ascii="宋体" w:hAnsi="宋体"/>
          <w:bCs/>
        </w:rPr>
      </w:pPr>
      <w:r>
        <w:rPr>
          <w:rFonts w:ascii="宋体" w:hAnsi="宋体"/>
          <w:bCs/>
        </w:rPr>
        <w:t>基金资产净值是指基金资产总值减去基金负债后的价值。</w:t>
      </w:r>
    </w:p>
    <w:p w14:paraId="37E244C0" w14:textId="77777777" w:rsidR="0082364D" w:rsidRDefault="00BF2824">
      <w:pPr>
        <w:spacing w:line="360" w:lineRule="auto"/>
        <w:ind w:firstLineChars="200" w:firstLine="420"/>
        <w:jc w:val="left"/>
        <w:rPr>
          <w:rFonts w:ascii="宋体" w:hAnsi="宋体"/>
        </w:rPr>
      </w:pPr>
      <w:r>
        <w:rPr>
          <w:rFonts w:ascii="宋体" w:hAnsi="宋体"/>
        </w:rPr>
        <w:t>（三）基金财产的账户</w:t>
      </w:r>
    </w:p>
    <w:p w14:paraId="7E7450D0" w14:textId="77777777" w:rsidR="0082364D" w:rsidRDefault="00BF2824">
      <w:pPr>
        <w:spacing w:line="360" w:lineRule="auto"/>
        <w:ind w:firstLineChars="200" w:firstLine="420"/>
        <w:jc w:val="left"/>
        <w:rPr>
          <w:rFonts w:ascii="宋体" w:hAnsi="宋体"/>
        </w:rPr>
      </w:pPr>
      <w:r>
        <w:rPr>
          <w:rFonts w:ascii="宋体" w:hAnsi="宋体"/>
          <w:bCs/>
        </w:rPr>
        <w:t>基金托管</w:t>
      </w:r>
      <w:r>
        <w:rPr>
          <w:rFonts w:ascii="宋体" w:hAnsi="宋体" w:hint="eastAsia"/>
          <w:bCs/>
        </w:rPr>
        <w:t>人</w:t>
      </w:r>
      <w:r>
        <w:rPr>
          <w:rFonts w:ascii="宋体" w:hAnsi="宋体"/>
          <w:bCs/>
        </w:rPr>
        <w:t>及境外托管人根据境内及投资所在地相关法律法规、规范性文件为本基金开立资金账户、证券账户以及投资所需的其他专用账户。开立的基金专用账户与基金管理人、基金托管人、境外托管人</w:t>
      </w:r>
      <w:r>
        <w:rPr>
          <w:rFonts w:ascii="宋体" w:hAnsi="宋体" w:hint="eastAsia"/>
          <w:bCs/>
        </w:rPr>
        <w:t>、</w:t>
      </w:r>
      <w:r>
        <w:rPr>
          <w:rFonts w:ascii="宋体" w:hAnsi="宋体"/>
          <w:bCs/>
        </w:rPr>
        <w:t>基金</w:t>
      </w:r>
      <w:r>
        <w:rPr>
          <w:rFonts w:ascii="宋体" w:hAnsi="宋体" w:hint="eastAsia"/>
          <w:bCs/>
        </w:rPr>
        <w:t>销售</w:t>
      </w:r>
      <w:r>
        <w:rPr>
          <w:rFonts w:ascii="宋体" w:hAnsi="宋体"/>
          <w:bCs/>
        </w:rPr>
        <w:t>机构和基金</w:t>
      </w:r>
      <w:r>
        <w:rPr>
          <w:rFonts w:ascii="宋体" w:hAnsi="宋体" w:hint="eastAsia"/>
          <w:bCs/>
        </w:rPr>
        <w:t>服务</w:t>
      </w:r>
      <w:r>
        <w:rPr>
          <w:rFonts w:ascii="宋体" w:hAnsi="宋体"/>
          <w:bCs/>
        </w:rPr>
        <w:t>机构自有的财产账户以及其他基金财产账户相独立。</w:t>
      </w:r>
      <w:bookmarkStart w:id="80" w:name="_Hlt88841837"/>
      <w:bookmarkEnd w:id="80"/>
    </w:p>
    <w:p w14:paraId="4F4D3E50" w14:textId="77777777" w:rsidR="0082364D" w:rsidRDefault="00BF2824">
      <w:pPr>
        <w:spacing w:line="360" w:lineRule="auto"/>
        <w:ind w:firstLineChars="200" w:firstLine="420"/>
        <w:jc w:val="left"/>
        <w:rPr>
          <w:rFonts w:ascii="宋体" w:hAnsi="宋体"/>
        </w:rPr>
      </w:pPr>
      <w:r>
        <w:rPr>
          <w:rFonts w:ascii="宋体" w:hAnsi="宋体"/>
        </w:rPr>
        <w:t>（四）基金财产的保管和处分</w:t>
      </w:r>
    </w:p>
    <w:p w14:paraId="615C5B8D" w14:textId="77777777" w:rsidR="0082364D" w:rsidRDefault="00BF2824">
      <w:pPr>
        <w:spacing w:line="360" w:lineRule="auto"/>
        <w:ind w:firstLineChars="200" w:firstLine="420"/>
        <w:jc w:val="left"/>
        <w:rPr>
          <w:rFonts w:ascii="宋体" w:hAnsi="宋体"/>
          <w:bCs/>
        </w:rPr>
      </w:pPr>
      <w:r>
        <w:rPr>
          <w:rFonts w:ascii="宋体" w:hAnsi="宋体"/>
          <w:bCs/>
        </w:rPr>
        <w:t>本基金财产独立于基金管理人、基金托管人</w:t>
      </w:r>
      <w:r>
        <w:rPr>
          <w:rFonts w:ascii="宋体" w:hAnsi="宋体" w:hint="eastAsia"/>
          <w:bCs/>
        </w:rPr>
        <w:t>、</w:t>
      </w:r>
      <w:r>
        <w:rPr>
          <w:rFonts w:ascii="宋体" w:hAnsi="宋体"/>
          <w:bCs/>
        </w:rPr>
        <w:t>境外托管人</w:t>
      </w:r>
      <w:r>
        <w:rPr>
          <w:rFonts w:ascii="宋体" w:hAnsi="宋体" w:hint="eastAsia"/>
          <w:bCs/>
        </w:rPr>
        <w:t>、基金销售机构</w:t>
      </w:r>
      <w:r>
        <w:rPr>
          <w:rFonts w:ascii="宋体" w:hAnsi="宋体"/>
          <w:bCs/>
        </w:rPr>
        <w:t>和基金</w:t>
      </w:r>
      <w:r>
        <w:rPr>
          <w:rFonts w:ascii="宋体" w:hAnsi="宋体" w:hint="eastAsia"/>
          <w:bCs/>
        </w:rPr>
        <w:t>服务</w:t>
      </w:r>
      <w:r>
        <w:rPr>
          <w:rFonts w:ascii="宋体" w:hAnsi="宋体"/>
          <w:bCs/>
        </w:rPr>
        <w:t>机构的财产，并由基金托管人或其委托的境外托管人保管。基金管理人、基金托管人、境外托管人</w:t>
      </w:r>
      <w:r>
        <w:rPr>
          <w:rFonts w:ascii="宋体" w:hAnsi="宋体" w:hint="eastAsia"/>
          <w:bCs/>
        </w:rPr>
        <w:t>、基金销售机构和</w:t>
      </w:r>
      <w:r>
        <w:rPr>
          <w:rFonts w:ascii="宋体" w:hAnsi="宋体"/>
          <w:bCs/>
        </w:rPr>
        <w:t>基金</w:t>
      </w:r>
      <w:r>
        <w:rPr>
          <w:rFonts w:ascii="宋体" w:hAnsi="宋体" w:hint="eastAsia"/>
          <w:bCs/>
        </w:rPr>
        <w:t>服务</w:t>
      </w:r>
      <w:r>
        <w:rPr>
          <w:rFonts w:ascii="宋体" w:hAnsi="宋体"/>
          <w:bCs/>
        </w:rPr>
        <w:t>机构以其自有的财产承担其自身的法律责任，其债权人不得对本基金财产行使请求冻结、扣押或其他权利。除依法律法规和《基金合同》的规定处分外，基金财产不得被处分。</w:t>
      </w:r>
    </w:p>
    <w:p w14:paraId="2F311DEB" w14:textId="77777777" w:rsidR="0082364D" w:rsidRDefault="00BF2824">
      <w:pPr>
        <w:spacing w:line="360" w:lineRule="auto"/>
        <w:ind w:firstLineChars="200" w:firstLine="420"/>
        <w:jc w:val="left"/>
        <w:rPr>
          <w:rFonts w:ascii="宋体" w:hAnsi="宋体"/>
          <w:bCs/>
        </w:rPr>
      </w:pPr>
      <w:r>
        <w:rPr>
          <w:rFonts w:ascii="宋体" w:hAnsi="宋体"/>
          <w:bCs/>
        </w:rPr>
        <w:t>基金管理人、基金托管人</w:t>
      </w:r>
      <w:r>
        <w:rPr>
          <w:rFonts w:ascii="宋体" w:hAnsi="宋体" w:hint="eastAsia"/>
          <w:bCs/>
        </w:rPr>
        <w:t>、</w:t>
      </w:r>
      <w:r>
        <w:rPr>
          <w:rFonts w:ascii="宋体" w:hAnsi="宋体"/>
          <w:bCs/>
        </w:rPr>
        <w:t>境外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rPr>
        <w:t>非因基金财产本身承担的债务，不得对基金财产强制执行。</w:t>
      </w:r>
    </w:p>
    <w:p w14:paraId="0A559737" w14:textId="77777777" w:rsidR="0082364D" w:rsidRDefault="00BF2824">
      <w:pPr>
        <w:spacing w:line="360" w:lineRule="auto"/>
        <w:ind w:firstLineChars="200" w:firstLine="420"/>
        <w:jc w:val="left"/>
        <w:rPr>
          <w:rFonts w:ascii="宋体" w:hAnsi="宋体"/>
          <w:bCs/>
        </w:rPr>
      </w:pPr>
      <w:r>
        <w:rPr>
          <w:rFonts w:ascii="宋体" w:hAnsi="宋体" w:hint="eastAsia"/>
          <w:bCs/>
        </w:rPr>
        <w:t>在符合基金合同和《托管协议》有关资产保管的要求下，对境外托管人的破产而产生的损失，基金托管人应采取合理措施进行追偿，基金管理人有义务配合基金托管人进行追偿。基金托管人在已根据《试行办法》的要求谨慎、尽职的原则选择、委任和监督境外托管人，且境外托管人已按照当地法律法规、基金合同及托管协议的要求保管托管资产的前提下，基金托管人对境外托管人破产产生的损失不承担责任。</w:t>
      </w:r>
    </w:p>
    <w:p w14:paraId="1096E077" w14:textId="77777777" w:rsidR="0082364D" w:rsidRDefault="00BF2824">
      <w:pPr>
        <w:spacing w:line="360" w:lineRule="auto"/>
        <w:ind w:firstLineChars="200" w:firstLine="420"/>
        <w:jc w:val="left"/>
        <w:rPr>
          <w:rFonts w:ascii="宋体" w:hAnsi="宋体"/>
          <w:bCs/>
        </w:rPr>
      </w:pPr>
      <w:r>
        <w:rPr>
          <w:rFonts w:ascii="宋体" w:hAnsi="宋体" w:hint="eastAsia"/>
          <w:bCs/>
        </w:rPr>
        <w:t>境外托管人根据基金财产所在地法律法规、证券/期货交易所规则、市场惯例及其与基金托管人签订的次托管协议并保管基金财产。除非基金管理人、基金托管人及其境外托管</w:t>
      </w:r>
      <w:r>
        <w:rPr>
          <w:rFonts w:ascii="宋体" w:hAnsi="宋体" w:hint="eastAsia"/>
          <w:bCs/>
        </w:rPr>
        <w:lastRenderedPageBreak/>
        <w:t>人存在过失、疏忽、欺诈或故意等不当行为，基金管理人、基金托管人不对境外托管人依据当地法律法规、证券交易所规则、市场惯例的作为或不作为承担责任。</w:t>
      </w:r>
    </w:p>
    <w:p w14:paraId="072DF3A6" w14:textId="77777777" w:rsidR="0082364D" w:rsidRDefault="00BF2824">
      <w:pPr>
        <w:spacing w:line="360" w:lineRule="auto"/>
        <w:ind w:firstLineChars="200" w:firstLine="420"/>
        <w:jc w:val="left"/>
        <w:rPr>
          <w:rFonts w:ascii="宋体" w:hAnsi="宋体"/>
          <w:bCs/>
        </w:rPr>
      </w:pPr>
      <w:r>
        <w:rPr>
          <w:rFonts w:ascii="宋体" w:hAnsi="宋体" w:hint="eastAsia"/>
          <w:bCs/>
        </w:rPr>
        <w:t>基金托管人在因依法解散、被依法撤销或者被依法宣告清盘或破产等原因进行终止清算时，不得将任何在境内托管的资产及其收益归入其清算财产；境外托管人因上述同样原因进行终止清算时，基金托管人应当要求境外托管人不得将证券、非现金资产及其收益归入其清算财产，但当地的法律、法规和市场惯例不允许托管证券独立于清算财产的情况除外。基金托管人应当确保自身及境外托管人采取商业上的合理行动以保证证券、非现金资产的任何部分不会在其进行清算时，作为可分配财产分配给其债权人。基金份额持有人购买本基金份额，即视为已理解并接受在全球托管模式下，现金存入现金账户时构成境外托管人的等额债务，除非法律法规及撤销或清盘程序明文规定该等现金不归于清算财产。</w:t>
      </w:r>
    </w:p>
    <w:p w14:paraId="08E8E68C" w14:textId="77777777" w:rsidR="0082364D" w:rsidRDefault="0082364D">
      <w:pPr>
        <w:spacing w:line="360" w:lineRule="auto"/>
        <w:ind w:firstLineChars="200" w:firstLine="420"/>
        <w:rPr>
          <w:rFonts w:ascii="宋体" w:hAnsi="宋体"/>
        </w:rPr>
      </w:pPr>
    </w:p>
    <w:p w14:paraId="69E14806" w14:textId="77777777" w:rsidR="0082364D" w:rsidRDefault="00BF2824">
      <w:pPr>
        <w:pStyle w:val="1"/>
        <w:spacing w:before="120" w:after="120" w:line="360" w:lineRule="auto"/>
        <w:jc w:val="center"/>
        <w:rPr>
          <w:rFonts w:ascii="宋体" w:hAnsi="宋体"/>
          <w:sz w:val="28"/>
        </w:rPr>
      </w:pPr>
      <w:r>
        <w:rPr>
          <w:rFonts w:ascii="宋体" w:hAnsi="宋体"/>
          <w:sz w:val="28"/>
          <w:szCs w:val="28"/>
        </w:rPr>
        <w:br w:type="page"/>
      </w:r>
      <w:bookmarkStart w:id="81" w:name="_Toc449605670"/>
      <w:bookmarkStart w:id="82" w:name="_Toc108598523"/>
      <w:r>
        <w:rPr>
          <w:rFonts w:ascii="宋体" w:hAnsi="宋体"/>
          <w:sz w:val="28"/>
        </w:rPr>
        <w:lastRenderedPageBreak/>
        <w:t>十</w:t>
      </w:r>
      <w:bookmarkStart w:id="83" w:name="_Toc283892154"/>
      <w:bookmarkStart w:id="84" w:name="_Toc353291722"/>
      <w:bookmarkStart w:id="85" w:name="_Toc283892782"/>
      <w:bookmarkStart w:id="86" w:name="_Toc283892834"/>
      <w:r>
        <w:rPr>
          <w:rFonts w:ascii="宋体" w:hAnsi="宋体" w:hint="eastAsia"/>
          <w:sz w:val="28"/>
        </w:rPr>
        <w:t>二</w:t>
      </w:r>
      <w:r>
        <w:rPr>
          <w:rFonts w:ascii="宋体" w:hAnsi="宋体"/>
          <w:sz w:val="28"/>
        </w:rPr>
        <w:t>、基金资产估值</w:t>
      </w:r>
      <w:bookmarkEnd w:id="81"/>
      <w:bookmarkEnd w:id="82"/>
      <w:bookmarkEnd w:id="83"/>
      <w:bookmarkEnd w:id="84"/>
      <w:bookmarkEnd w:id="85"/>
      <w:bookmarkEnd w:id="86"/>
    </w:p>
    <w:p w14:paraId="0294ECBE" w14:textId="77777777" w:rsidR="0082364D" w:rsidRDefault="00BF2824">
      <w:pPr>
        <w:spacing w:line="360" w:lineRule="auto"/>
        <w:ind w:firstLineChars="200" w:firstLine="420"/>
        <w:jc w:val="left"/>
        <w:rPr>
          <w:rFonts w:ascii="宋体" w:hAnsi="宋体"/>
        </w:rPr>
      </w:pPr>
      <w:r>
        <w:rPr>
          <w:rFonts w:ascii="宋体" w:hAnsi="宋体"/>
        </w:rPr>
        <w:t>（一）估值日</w:t>
      </w:r>
    </w:p>
    <w:p w14:paraId="264AF158" w14:textId="77777777" w:rsidR="0082364D" w:rsidRDefault="00BF2824">
      <w:pPr>
        <w:spacing w:line="360" w:lineRule="auto"/>
        <w:ind w:firstLineChars="200" w:firstLine="420"/>
        <w:jc w:val="left"/>
        <w:rPr>
          <w:rFonts w:ascii="宋体" w:hAnsi="宋体"/>
          <w:bCs/>
        </w:rPr>
      </w:pPr>
      <w:r>
        <w:rPr>
          <w:rFonts w:ascii="宋体" w:hAnsi="宋体"/>
          <w:bCs/>
        </w:rPr>
        <w:t>本基金的估值日为本基金相关的证券</w:t>
      </w:r>
      <w:r>
        <w:rPr>
          <w:rFonts w:ascii="宋体" w:hAnsi="宋体" w:hint="eastAsia"/>
          <w:bCs/>
        </w:rPr>
        <w:t>、</w:t>
      </w:r>
      <w:r>
        <w:rPr>
          <w:rFonts w:ascii="宋体" w:hAnsi="宋体"/>
          <w:bCs/>
        </w:rPr>
        <w:t>期货交易场所的交易日以及国家法律法规规定需要对外披露基金净值的非交易日。</w:t>
      </w:r>
    </w:p>
    <w:p w14:paraId="241978EA" w14:textId="77777777" w:rsidR="0082364D" w:rsidRDefault="00BF2824">
      <w:pPr>
        <w:spacing w:line="360" w:lineRule="auto"/>
        <w:ind w:firstLineChars="200" w:firstLine="420"/>
        <w:jc w:val="left"/>
        <w:rPr>
          <w:rFonts w:ascii="宋体" w:hAnsi="宋体"/>
        </w:rPr>
      </w:pPr>
      <w:r>
        <w:rPr>
          <w:rFonts w:ascii="宋体" w:hAnsi="宋体"/>
        </w:rPr>
        <w:t>（二）估值对象</w:t>
      </w:r>
    </w:p>
    <w:p w14:paraId="00407F7B" w14:textId="77777777" w:rsidR="0082364D" w:rsidRDefault="00BF2824">
      <w:pPr>
        <w:spacing w:line="360" w:lineRule="auto"/>
        <w:ind w:firstLineChars="200" w:firstLine="420"/>
        <w:jc w:val="left"/>
        <w:rPr>
          <w:rFonts w:ascii="宋体" w:hAnsi="宋体"/>
          <w:bCs/>
        </w:rPr>
      </w:pPr>
      <w:r>
        <w:rPr>
          <w:rFonts w:ascii="宋体" w:hAnsi="宋体"/>
          <w:bCs/>
        </w:rPr>
        <w:t>基金所拥有的</w:t>
      </w:r>
      <w:r>
        <w:rPr>
          <w:rFonts w:ascii="宋体" w:hAnsi="宋体" w:hint="eastAsia"/>
          <w:bCs/>
        </w:rPr>
        <w:t>基金、</w:t>
      </w:r>
      <w:r>
        <w:rPr>
          <w:rFonts w:ascii="宋体" w:hAnsi="宋体"/>
          <w:bCs/>
        </w:rPr>
        <w:t>股票、债券</w:t>
      </w:r>
      <w:r>
        <w:rPr>
          <w:rFonts w:ascii="宋体" w:hAnsi="宋体" w:hint="eastAsia"/>
          <w:bCs/>
        </w:rPr>
        <w:t>、货币市场工具、资产支持证券</w:t>
      </w:r>
      <w:r>
        <w:rPr>
          <w:rFonts w:ascii="宋体" w:hAnsi="宋体"/>
          <w:bCs/>
        </w:rPr>
        <w:t>和银行存款本息、应收款项、</w:t>
      </w:r>
      <w:r>
        <w:rPr>
          <w:rFonts w:ascii="宋体" w:hAnsi="宋体" w:hint="eastAsia"/>
          <w:bCs/>
        </w:rPr>
        <w:t>衍生工具、</w:t>
      </w:r>
      <w:r>
        <w:rPr>
          <w:rFonts w:ascii="宋体" w:hAnsi="宋体"/>
          <w:bCs/>
        </w:rPr>
        <w:t>其它投资等资产及负债。</w:t>
      </w:r>
    </w:p>
    <w:p w14:paraId="45673653" w14:textId="77777777" w:rsidR="0082364D" w:rsidRDefault="00BF2824">
      <w:pPr>
        <w:spacing w:line="360" w:lineRule="auto"/>
        <w:ind w:firstLineChars="200" w:firstLine="420"/>
        <w:jc w:val="left"/>
        <w:rPr>
          <w:rFonts w:ascii="宋体" w:hAnsi="宋体"/>
        </w:rPr>
      </w:pPr>
      <w:r>
        <w:rPr>
          <w:rFonts w:ascii="宋体" w:hAnsi="宋体"/>
        </w:rPr>
        <w:t>（三）</w:t>
      </w:r>
      <w:r>
        <w:rPr>
          <w:rFonts w:ascii="宋体" w:hAnsi="宋体" w:hint="eastAsia"/>
        </w:rPr>
        <w:t>估值原则</w:t>
      </w:r>
    </w:p>
    <w:p w14:paraId="239BE12D" w14:textId="77777777" w:rsidR="0082364D" w:rsidRDefault="00BF2824">
      <w:pPr>
        <w:spacing w:line="360" w:lineRule="auto"/>
        <w:ind w:firstLineChars="200" w:firstLine="420"/>
        <w:jc w:val="left"/>
        <w:rPr>
          <w:rFonts w:ascii="宋体" w:hAnsi="宋体"/>
          <w:bCs/>
        </w:rPr>
      </w:pPr>
      <w:r>
        <w:rPr>
          <w:rFonts w:ascii="宋体" w:hAnsi="宋体" w:hint="eastAsia"/>
          <w:bCs/>
        </w:rPr>
        <w:t>基金管理人在确定相关金融资产和金融负债的公允价值时，应符合《企业会计准则》、监管部门有关规定。</w:t>
      </w:r>
    </w:p>
    <w:p w14:paraId="2E1A471A" w14:textId="77777777" w:rsidR="0082364D" w:rsidRDefault="00BF2824">
      <w:pPr>
        <w:spacing w:line="360" w:lineRule="auto"/>
        <w:ind w:firstLineChars="200" w:firstLine="420"/>
        <w:jc w:val="left"/>
        <w:rPr>
          <w:rFonts w:ascii="宋体" w:hAnsi="宋体"/>
          <w:bCs/>
        </w:rPr>
      </w:pPr>
      <w:r>
        <w:rPr>
          <w:rFonts w:ascii="宋体" w:hAnsi="宋体" w:hint="eastAsia"/>
          <w:bCs/>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1267C6C" w14:textId="77777777" w:rsidR="0082364D" w:rsidRDefault="00BF2824">
      <w:pPr>
        <w:spacing w:line="360" w:lineRule="auto"/>
        <w:ind w:firstLineChars="200" w:firstLine="420"/>
        <w:jc w:val="left"/>
        <w:rPr>
          <w:rFonts w:ascii="宋体" w:hAnsi="宋体"/>
          <w:bCs/>
        </w:rPr>
      </w:pPr>
      <w:r>
        <w:rPr>
          <w:rFonts w:ascii="宋体" w:hAnsi="宋体" w:hint="eastAsia"/>
          <w:bCs/>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C801C1D" w14:textId="77777777" w:rsidR="0082364D" w:rsidRDefault="00BF2824">
      <w:pPr>
        <w:spacing w:line="360" w:lineRule="auto"/>
        <w:ind w:firstLineChars="200" w:firstLine="420"/>
        <w:jc w:val="left"/>
        <w:rPr>
          <w:rFonts w:ascii="宋体" w:hAnsi="宋体"/>
          <w:bCs/>
        </w:rPr>
      </w:pPr>
      <w:r>
        <w:rPr>
          <w:rFonts w:ascii="宋体" w:hAnsi="宋体" w:hint="eastAsia"/>
          <w:bCs/>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9C37F6B" w14:textId="77777777" w:rsidR="0082364D" w:rsidRDefault="00BF2824">
      <w:pPr>
        <w:spacing w:line="360" w:lineRule="auto"/>
        <w:ind w:firstLineChars="200" w:firstLine="420"/>
        <w:jc w:val="left"/>
        <w:rPr>
          <w:rFonts w:ascii="宋体" w:hAnsi="宋体"/>
          <w:bCs/>
        </w:rPr>
      </w:pPr>
      <w:r>
        <w:rPr>
          <w:rFonts w:ascii="宋体" w:hAnsi="宋体" w:hint="eastAsia"/>
          <w:bCs/>
        </w:rPr>
        <w:t>3、如经济环境发生重大变化或证券发行人发生影响证券价格的重大事件，使潜在估值调整对前一估值日的基金资产净值的影响在0.25%以上的，应对估值进行调整并确定公允价值。</w:t>
      </w:r>
    </w:p>
    <w:p w14:paraId="3BFC0184" w14:textId="77777777" w:rsidR="0082364D" w:rsidRDefault="00BF2824">
      <w:pPr>
        <w:spacing w:line="360" w:lineRule="auto"/>
        <w:ind w:firstLineChars="200" w:firstLine="420"/>
        <w:jc w:val="left"/>
        <w:rPr>
          <w:rFonts w:ascii="宋体" w:hAnsi="宋体"/>
        </w:rPr>
      </w:pPr>
      <w:r>
        <w:rPr>
          <w:rFonts w:ascii="宋体" w:hAnsi="宋体"/>
        </w:rPr>
        <w:t>（</w:t>
      </w:r>
      <w:r>
        <w:rPr>
          <w:rFonts w:ascii="宋体" w:hAnsi="宋体" w:hint="eastAsia"/>
        </w:rPr>
        <w:t>四</w:t>
      </w:r>
      <w:r>
        <w:rPr>
          <w:rFonts w:ascii="宋体" w:hAnsi="宋体"/>
        </w:rPr>
        <w:t>）估值方法</w:t>
      </w:r>
    </w:p>
    <w:p w14:paraId="4DD2F008" w14:textId="77777777" w:rsidR="0082364D" w:rsidRDefault="00BF2824">
      <w:pPr>
        <w:spacing w:line="360" w:lineRule="auto"/>
        <w:ind w:firstLineChars="200" w:firstLine="420"/>
        <w:jc w:val="left"/>
        <w:rPr>
          <w:rFonts w:ascii="宋体" w:hAnsi="宋体"/>
          <w:bCs/>
        </w:rPr>
      </w:pPr>
      <w:r>
        <w:rPr>
          <w:rFonts w:ascii="宋体" w:hAnsi="宋体"/>
          <w:bCs/>
        </w:rPr>
        <w:t>1、证券交易所上市的有价证券的估值</w:t>
      </w:r>
    </w:p>
    <w:p w14:paraId="304F3CE5" w14:textId="77777777" w:rsidR="0082364D" w:rsidRDefault="00BF2824">
      <w:pPr>
        <w:spacing w:line="360" w:lineRule="auto"/>
        <w:ind w:firstLineChars="200" w:firstLine="420"/>
        <w:jc w:val="left"/>
        <w:rPr>
          <w:rFonts w:ascii="宋体" w:hAnsi="宋体"/>
          <w:bCs/>
        </w:rPr>
      </w:pPr>
      <w:r>
        <w:rPr>
          <w:rFonts w:ascii="宋体" w:hAnsi="宋体"/>
          <w:bCs/>
        </w:rPr>
        <w:t>（1）交易所上市的有价证券（包括股票等），以其估值日在证券交易所挂牌的市价</w:t>
      </w:r>
      <w:r>
        <w:rPr>
          <w:rFonts w:ascii="宋体" w:hAnsi="宋体"/>
          <w:bCs/>
        </w:rPr>
        <w:lastRenderedPageBreak/>
        <w:t>（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ADFFCCC"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2</w:t>
      </w:r>
      <w:r>
        <w:rPr>
          <w:rFonts w:ascii="宋体" w:hAnsi="宋体" w:hint="eastAsia"/>
          <w:bCs/>
        </w:rPr>
        <w:t>）交易所上市交易或挂牌转让的不含权固定收益品种，选取估值日第三方估值机构提供的相应品种当日的估值净价进行估值；</w:t>
      </w:r>
    </w:p>
    <w:p w14:paraId="2DF2159F"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3</w:t>
      </w:r>
      <w:r>
        <w:rPr>
          <w:rFonts w:ascii="宋体" w:hAnsi="宋体" w:hint="eastAsia"/>
          <w:bCs/>
        </w:rPr>
        <w:t>）交易所上市交易或挂牌转让的含权固定收益品种，选取估值日第三方估值机构提供的相应品种当日的唯一估值净价或推荐估值净价进行估值；</w:t>
      </w:r>
    </w:p>
    <w:p w14:paraId="3B3443D0"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4</w:t>
      </w:r>
      <w:r>
        <w:rPr>
          <w:rFonts w:ascii="宋体" w:hAnsi="宋体" w:hint="eastAsia"/>
          <w:bCs/>
        </w:rPr>
        <w:t>）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14:paraId="5F1A4E3D"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5</w:t>
      </w:r>
      <w:r>
        <w:rPr>
          <w:rFonts w:ascii="宋体" w:hAnsi="宋体" w:hint="eastAsia"/>
          <w:bCs/>
        </w:rPr>
        <w:t>）交易所上市的资产支持证券，采用估值技术确定公允价值，在估值技术难以可靠计量公允价值的情况下，按成本估值；</w:t>
      </w:r>
    </w:p>
    <w:p w14:paraId="0F386589" w14:textId="77777777" w:rsidR="0082364D" w:rsidRDefault="00BF2824">
      <w:pPr>
        <w:spacing w:line="360" w:lineRule="auto"/>
        <w:ind w:firstLineChars="200" w:firstLine="420"/>
        <w:jc w:val="left"/>
        <w:rPr>
          <w:rFonts w:ascii="宋体" w:hAnsi="宋体"/>
          <w:bCs/>
        </w:rPr>
      </w:pPr>
      <w:r>
        <w:rPr>
          <w:rFonts w:ascii="宋体" w:hAnsi="宋体"/>
          <w:bCs/>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rPr>
        <w:t>市场活动</w:t>
      </w:r>
      <w:r>
        <w:rPr>
          <w:rFonts w:ascii="宋体" w:hAnsi="宋体"/>
          <w:bCs/>
        </w:rPr>
        <w:t>或市场活动很少的情况下，应采用估值技术确定其公允价值。</w:t>
      </w:r>
    </w:p>
    <w:p w14:paraId="019BF76A" w14:textId="77777777" w:rsidR="0082364D" w:rsidRDefault="00BF2824">
      <w:pPr>
        <w:spacing w:line="360" w:lineRule="auto"/>
        <w:ind w:firstLineChars="200" w:firstLine="420"/>
        <w:jc w:val="left"/>
        <w:rPr>
          <w:rFonts w:ascii="宋体" w:hAnsi="宋体"/>
          <w:bCs/>
        </w:rPr>
      </w:pPr>
      <w:r>
        <w:rPr>
          <w:rFonts w:ascii="宋体" w:hAnsi="宋体"/>
          <w:bCs/>
        </w:rPr>
        <w:t>2、处于未上市期间的有价证券应区分如下情况处理：</w:t>
      </w:r>
    </w:p>
    <w:p w14:paraId="576F4B4A" w14:textId="77777777" w:rsidR="0082364D" w:rsidRDefault="00BF2824">
      <w:pPr>
        <w:spacing w:line="360" w:lineRule="auto"/>
        <w:ind w:firstLineChars="200" w:firstLine="420"/>
        <w:jc w:val="left"/>
        <w:rPr>
          <w:rFonts w:ascii="宋体" w:hAnsi="宋体"/>
          <w:bCs/>
        </w:rPr>
      </w:pPr>
      <w:r>
        <w:rPr>
          <w:rFonts w:ascii="宋体" w:hAnsi="宋体"/>
          <w:bCs/>
        </w:rPr>
        <w:t>（1）送股、转增股、配股和公开增发的新股，按估值日在证券交易所挂牌的同一股票的估值方法估值；该日无交易的，以最近一日的市价（收盘价）估值；</w:t>
      </w:r>
    </w:p>
    <w:p w14:paraId="63A82F0C" w14:textId="77777777" w:rsidR="0082364D" w:rsidRDefault="00BF2824">
      <w:pPr>
        <w:spacing w:line="360" w:lineRule="auto"/>
        <w:ind w:firstLineChars="200" w:firstLine="420"/>
        <w:jc w:val="left"/>
        <w:rPr>
          <w:rFonts w:ascii="宋体" w:hAnsi="宋体"/>
          <w:bCs/>
        </w:rPr>
      </w:pPr>
      <w:r>
        <w:rPr>
          <w:rFonts w:ascii="宋体" w:hAnsi="宋体"/>
          <w:bCs/>
        </w:rPr>
        <w:t>（2）首次公开发行未上市的股票、债券，采用估值技术确定公允价值，在估值技术难以可靠计量公允价值的情况下，按成本估值</w:t>
      </w:r>
      <w:r>
        <w:rPr>
          <w:rFonts w:ascii="宋体" w:hAnsi="宋体" w:hint="eastAsia"/>
          <w:bCs/>
        </w:rPr>
        <w:t>；</w:t>
      </w:r>
    </w:p>
    <w:p w14:paraId="4621CA82" w14:textId="77777777" w:rsidR="0082364D" w:rsidRDefault="00BF2824">
      <w:pPr>
        <w:spacing w:line="360" w:lineRule="auto"/>
        <w:ind w:firstLineChars="200" w:firstLine="420"/>
        <w:jc w:val="left"/>
        <w:rPr>
          <w:rFonts w:ascii="宋体" w:hAnsi="宋体"/>
          <w:bCs/>
        </w:rPr>
      </w:pPr>
      <w:r>
        <w:rPr>
          <w:rFonts w:ascii="宋体" w:hAnsi="宋体" w:hint="eastAsia"/>
          <w:bCs/>
        </w:rPr>
        <w:t>（3）</w:t>
      </w:r>
      <w:r>
        <w:rPr>
          <w:rFonts w:ascii="宋体" w:hAnsi="宋体"/>
          <w:bCs/>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Pr>
          <w:rFonts w:ascii="宋体" w:hAnsi="宋体" w:hint="eastAsia"/>
          <w:bCs/>
        </w:rPr>
        <w:t>。</w:t>
      </w:r>
    </w:p>
    <w:p w14:paraId="1962AD54" w14:textId="77777777" w:rsidR="0082364D" w:rsidRDefault="00BF2824">
      <w:pPr>
        <w:spacing w:line="360" w:lineRule="auto"/>
        <w:ind w:firstLineChars="200" w:firstLine="420"/>
        <w:jc w:val="left"/>
        <w:rPr>
          <w:rFonts w:ascii="宋体" w:hAnsi="宋体"/>
          <w:bCs/>
        </w:rPr>
      </w:pPr>
      <w:r>
        <w:rPr>
          <w:rFonts w:ascii="宋体" w:hAnsi="宋体"/>
          <w:bCs/>
        </w:rPr>
        <w:t>3、对全国银行间市场上不含权的固定收益品种，按照第三方估值机构提供的相应品种当日的估值净价估值。对银行间市场上含权的固定收益品种，按照第三方估值机构提供的</w:t>
      </w:r>
      <w:r>
        <w:rPr>
          <w:rFonts w:ascii="宋体" w:hAnsi="宋体"/>
          <w:bCs/>
        </w:rPr>
        <w:lastRenderedPageBreak/>
        <w:t>相应品种当日的唯一估值净价或推荐估值净价估值。对于含投资人回售权的固定收益品种，回售登记</w:t>
      </w:r>
      <w:r>
        <w:rPr>
          <w:rFonts w:ascii="宋体" w:hAnsi="宋体" w:hint="eastAsia"/>
          <w:bCs/>
        </w:rPr>
        <w:t>期</w:t>
      </w:r>
      <w:r>
        <w:rPr>
          <w:rFonts w:ascii="宋体" w:hAnsi="宋体"/>
          <w:bCs/>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9A029A8" w14:textId="77777777" w:rsidR="0082364D" w:rsidRDefault="00BF2824">
      <w:pPr>
        <w:spacing w:line="360" w:lineRule="auto"/>
        <w:ind w:firstLineChars="200" w:firstLine="420"/>
        <w:jc w:val="left"/>
        <w:rPr>
          <w:rFonts w:ascii="宋体" w:hAnsi="宋体"/>
          <w:bCs/>
        </w:rPr>
      </w:pPr>
      <w:r>
        <w:rPr>
          <w:rFonts w:ascii="宋体" w:hAnsi="宋体" w:hint="eastAsia"/>
          <w:bCs/>
        </w:rPr>
        <w:t>4、同一证券同时在两个或两个以上市场交易的，按证券所处的市场分别估值。</w:t>
      </w:r>
    </w:p>
    <w:p w14:paraId="106B1070" w14:textId="77777777" w:rsidR="0082364D" w:rsidRDefault="00BF2824">
      <w:pPr>
        <w:spacing w:line="360" w:lineRule="auto"/>
        <w:ind w:firstLineChars="200" w:firstLine="420"/>
        <w:jc w:val="left"/>
        <w:rPr>
          <w:rFonts w:ascii="宋体" w:hAnsi="宋体"/>
          <w:bCs/>
        </w:rPr>
      </w:pPr>
      <w:r>
        <w:rPr>
          <w:rFonts w:ascii="宋体" w:hAnsi="宋体"/>
          <w:bCs/>
        </w:rPr>
        <w:t>5</w:t>
      </w:r>
      <w:r>
        <w:rPr>
          <w:rFonts w:ascii="宋体" w:hAnsi="宋体" w:hint="eastAsia"/>
          <w:bCs/>
        </w:rPr>
        <w:t>、因持有股票而享有的配股权，采用估值技术确定公允价值，在估值技术难以可靠计量公允价值的情况下，按成本估值。</w:t>
      </w:r>
    </w:p>
    <w:p w14:paraId="76625CA5" w14:textId="77777777" w:rsidR="0082364D" w:rsidRDefault="00BF2824">
      <w:pPr>
        <w:spacing w:line="360" w:lineRule="auto"/>
        <w:ind w:firstLineChars="200" w:firstLine="420"/>
        <w:jc w:val="left"/>
        <w:rPr>
          <w:rFonts w:ascii="宋体" w:hAnsi="宋体"/>
          <w:bCs/>
        </w:rPr>
      </w:pPr>
      <w:r>
        <w:rPr>
          <w:rFonts w:ascii="宋体" w:hAnsi="宋体"/>
          <w:bCs/>
        </w:rPr>
        <w:t>6</w:t>
      </w:r>
      <w:r>
        <w:rPr>
          <w:rFonts w:ascii="宋体" w:hAnsi="宋体" w:hint="eastAsia"/>
          <w:bCs/>
        </w:rPr>
        <w:t>、衍生工具估值方法</w:t>
      </w:r>
    </w:p>
    <w:p w14:paraId="36891C7B" w14:textId="77777777" w:rsidR="0082364D" w:rsidRDefault="00BF2824">
      <w:pPr>
        <w:spacing w:line="360" w:lineRule="auto"/>
        <w:ind w:firstLineChars="200" w:firstLine="420"/>
        <w:jc w:val="left"/>
        <w:rPr>
          <w:rFonts w:ascii="宋体" w:hAnsi="宋体"/>
          <w:bCs/>
        </w:rPr>
      </w:pPr>
      <w:r>
        <w:rPr>
          <w:rFonts w:ascii="宋体" w:hAnsi="宋体" w:hint="eastAsia"/>
          <w:bCs/>
        </w:rPr>
        <w:t>（1）上市流通衍生工具按估值日当日其所在证券交易所的收盘价估值；估值日无交易的，以最近交易日的收盘价估值。</w:t>
      </w:r>
    </w:p>
    <w:p w14:paraId="45165BF2" w14:textId="77777777" w:rsidR="0082364D" w:rsidRDefault="00BF2824">
      <w:pPr>
        <w:spacing w:line="360" w:lineRule="auto"/>
        <w:ind w:firstLineChars="200" w:firstLine="420"/>
        <w:jc w:val="left"/>
        <w:rPr>
          <w:rFonts w:ascii="宋体" w:hAnsi="宋体"/>
          <w:bCs/>
        </w:rPr>
      </w:pPr>
      <w:r>
        <w:rPr>
          <w:rFonts w:ascii="宋体" w:hAnsi="宋体" w:hint="eastAsia"/>
          <w:bCs/>
        </w:rPr>
        <w:t>（2）未上市衍生工具按成本价估值，如成本价不能反映公允价值，则采用估值技术确定公允价值。</w:t>
      </w:r>
    </w:p>
    <w:p w14:paraId="05D234C6" w14:textId="77777777" w:rsidR="0082364D" w:rsidRDefault="00BF2824">
      <w:pPr>
        <w:spacing w:line="360" w:lineRule="auto"/>
        <w:ind w:firstLineChars="200" w:firstLine="420"/>
        <w:jc w:val="left"/>
        <w:rPr>
          <w:rFonts w:ascii="宋体" w:hAnsi="宋体"/>
          <w:bCs/>
        </w:rPr>
      </w:pPr>
      <w:r>
        <w:rPr>
          <w:rFonts w:ascii="宋体" w:hAnsi="宋体"/>
          <w:bCs/>
        </w:rPr>
        <w:t>7</w:t>
      </w:r>
      <w:r>
        <w:rPr>
          <w:rFonts w:ascii="宋体" w:hAnsi="宋体" w:hint="eastAsia"/>
          <w:bCs/>
        </w:rPr>
        <w:t>、存托凭证估值方法</w:t>
      </w:r>
    </w:p>
    <w:p w14:paraId="6C3F4BF2" w14:textId="77777777" w:rsidR="0082364D" w:rsidRDefault="00BF2824">
      <w:pPr>
        <w:spacing w:line="360" w:lineRule="auto"/>
        <w:ind w:firstLineChars="200" w:firstLine="420"/>
        <w:jc w:val="left"/>
        <w:rPr>
          <w:rFonts w:ascii="宋体" w:hAnsi="宋体"/>
          <w:bCs/>
        </w:rPr>
      </w:pPr>
      <w:r>
        <w:rPr>
          <w:rFonts w:ascii="宋体" w:hAnsi="宋体" w:hint="eastAsia"/>
          <w:bCs/>
        </w:rPr>
        <w:t>公开挂牌的存托凭证按其所在证券交易所的最近交易日的收盘价估值。</w:t>
      </w:r>
    </w:p>
    <w:p w14:paraId="53516FB6" w14:textId="77777777" w:rsidR="0082364D" w:rsidRDefault="00BF2824">
      <w:pPr>
        <w:spacing w:line="360" w:lineRule="auto"/>
        <w:ind w:firstLineChars="200" w:firstLine="420"/>
        <w:jc w:val="left"/>
        <w:rPr>
          <w:rFonts w:ascii="宋体" w:hAnsi="宋体"/>
          <w:bCs/>
        </w:rPr>
      </w:pPr>
      <w:r>
        <w:rPr>
          <w:rFonts w:ascii="宋体" w:hAnsi="宋体"/>
          <w:bCs/>
        </w:rPr>
        <w:t>8</w:t>
      </w:r>
      <w:r>
        <w:rPr>
          <w:rFonts w:ascii="宋体" w:hAnsi="宋体" w:hint="eastAsia"/>
          <w:bCs/>
        </w:rPr>
        <w:t>、基金估值方法</w:t>
      </w:r>
    </w:p>
    <w:p w14:paraId="76376910" w14:textId="77777777" w:rsidR="0082364D" w:rsidRDefault="00BF2824">
      <w:pPr>
        <w:spacing w:line="360" w:lineRule="auto"/>
        <w:ind w:firstLineChars="200" w:firstLine="420"/>
        <w:jc w:val="left"/>
        <w:rPr>
          <w:rFonts w:ascii="宋体" w:hAnsi="宋体"/>
          <w:bCs/>
        </w:rPr>
      </w:pPr>
      <w:r>
        <w:rPr>
          <w:rFonts w:ascii="宋体" w:hAnsi="宋体" w:hint="eastAsia"/>
          <w:bCs/>
        </w:rPr>
        <w:t>（1）上市流通的基金按估值日其所在证券交易所的收盘价估值；估值日无交易的，以最近交易日的收盘价估值。</w:t>
      </w:r>
    </w:p>
    <w:p w14:paraId="46C683BF" w14:textId="77777777" w:rsidR="0082364D" w:rsidRDefault="00BF2824">
      <w:pPr>
        <w:spacing w:line="360" w:lineRule="auto"/>
        <w:ind w:firstLineChars="200" w:firstLine="420"/>
        <w:jc w:val="left"/>
        <w:rPr>
          <w:rFonts w:ascii="宋体" w:hAnsi="宋体"/>
          <w:bCs/>
        </w:rPr>
      </w:pPr>
      <w:r>
        <w:rPr>
          <w:rFonts w:ascii="宋体" w:hAnsi="宋体" w:hint="eastAsia"/>
          <w:bCs/>
        </w:rPr>
        <w:t>（2）其他基金按最近交易日的基金份额净值估值。</w:t>
      </w:r>
    </w:p>
    <w:p w14:paraId="48B916D2" w14:textId="77777777" w:rsidR="0082364D" w:rsidRDefault="00BF2824">
      <w:pPr>
        <w:spacing w:line="360" w:lineRule="auto"/>
        <w:ind w:firstLineChars="200" w:firstLine="420"/>
        <w:jc w:val="left"/>
        <w:rPr>
          <w:rFonts w:ascii="宋体" w:hAnsi="宋体"/>
          <w:bCs/>
        </w:rPr>
      </w:pPr>
      <w:r>
        <w:rPr>
          <w:rFonts w:ascii="宋体" w:hAnsi="宋体"/>
          <w:bCs/>
        </w:rPr>
        <w:t>9</w:t>
      </w:r>
      <w:r>
        <w:rPr>
          <w:rFonts w:ascii="宋体" w:hAnsi="宋体" w:hint="eastAsia"/>
          <w:bCs/>
        </w:rPr>
        <w:t>、本基金参与融资和转融通证券出借业务，按照相关法律法规和行业协会的相关规定进行估值。</w:t>
      </w:r>
    </w:p>
    <w:p w14:paraId="7FAD475C" w14:textId="77777777" w:rsidR="0082364D" w:rsidRDefault="00BF2824">
      <w:pPr>
        <w:spacing w:line="360" w:lineRule="auto"/>
        <w:ind w:firstLineChars="200" w:firstLine="420"/>
        <w:jc w:val="left"/>
        <w:rPr>
          <w:rFonts w:ascii="宋体" w:hAnsi="宋体"/>
          <w:bCs/>
        </w:rPr>
      </w:pPr>
      <w:r>
        <w:rPr>
          <w:rFonts w:ascii="宋体" w:hAnsi="宋体" w:hint="eastAsia"/>
          <w:bCs/>
        </w:rPr>
        <w:t>10、本基金投资中国存托凭证的估值核算，依照境内上市交易的股票执行。</w:t>
      </w:r>
    </w:p>
    <w:p w14:paraId="359782CB" w14:textId="77777777" w:rsidR="0082364D" w:rsidRDefault="00BF2824">
      <w:pPr>
        <w:spacing w:line="360" w:lineRule="auto"/>
        <w:ind w:firstLineChars="200" w:firstLine="420"/>
        <w:jc w:val="left"/>
        <w:rPr>
          <w:rFonts w:ascii="宋体" w:hAnsi="宋体"/>
          <w:bCs/>
        </w:rPr>
      </w:pPr>
      <w:r>
        <w:rPr>
          <w:rFonts w:ascii="宋体" w:hAnsi="宋体" w:hint="eastAsia"/>
          <w:bCs/>
        </w:rPr>
        <w:t>11、美国存托凭证、全球存托凭证按其所在证券交易所的最近交易日的收盘价估值。</w:t>
      </w:r>
    </w:p>
    <w:p w14:paraId="10816EA8" w14:textId="77777777" w:rsidR="0082364D" w:rsidRDefault="00BF2824">
      <w:pPr>
        <w:spacing w:line="360" w:lineRule="auto"/>
        <w:ind w:firstLineChars="200" w:firstLine="420"/>
        <w:jc w:val="left"/>
        <w:rPr>
          <w:rFonts w:ascii="宋体" w:hAnsi="宋体"/>
          <w:bCs/>
        </w:rPr>
      </w:pPr>
      <w:r>
        <w:rPr>
          <w:rFonts w:ascii="宋体" w:hAnsi="宋体" w:hint="eastAsia"/>
          <w:bCs/>
        </w:rPr>
        <w:t>12、本基金投资同业存单，采用估值日第三方估值机构提供的估值价格数据进行估值。持有的银行定期存款或通知存款以本金列示，按相应利率逐日计提利息。</w:t>
      </w:r>
    </w:p>
    <w:p w14:paraId="507ECC64" w14:textId="77777777" w:rsidR="0082364D" w:rsidRDefault="00BF2824">
      <w:pPr>
        <w:spacing w:line="360" w:lineRule="auto"/>
        <w:ind w:firstLineChars="200" w:firstLine="420"/>
        <w:jc w:val="left"/>
        <w:rPr>
          <w:rFonts w:ascii="宋体" w:hAnsi="宋体"/>
          <w:bCs/>
        </w:rPr>
      </w:pPr>
      <w:r>
        <w:rPr>
          <w:rFonts w:ascii="宋体" w:hAnsi="宋体"/>
          <w:bCs/>
        </w:rPr>
        <w:t>13</w:t>
      </w:r>
      <w:r>
        <w:rPr>
          <w:rFonts w:ascii="宋体" w:hAnsi="宋体" w:hint="eastAsia"/>
          <w:bCs/>
        </w:rPr>
        <w:t>、如有确凿证据表明按上述方法进行估值不能客观反映其公允价值的，基金管理人可根据具体情况与基金托管人商定后，按最能反映公允价值的价格估值。</w:t>
      </w:r>
    </w:p>
    <w:p w14:paraId="2B73FC5C" w14:textId="77777777" w:rsidR="0082364D" w:rsidRDefault="00BF2824">
      <w:pPr>
        <w:spacing w:line="360" w:lineRule="auto"/>
        <w:ind w:firstLineChars="200" w:firstLine="420"/>
        <w:jc w:val="left"/>
        <w:rPr>
          <w:rFonts w:ascii="宋体" w:hAnsi="宋体"/>
          <w:bCs/>
        </w:rPr>
      </w:pPr>
      <w:r>
        <w:rPr>
          <w:rFonts w:ascii="宋体" w:hAnsi="宋体"/>
          <w:bCs/>
        </w:rPr>
        <w:t>14</w:t>
      </w:r>
      <w:r>
        <w:rPr>
          <w:rFonts w:ascii="宋体" w:hAnsi="宋体" w:hint="eastAsia"/>
          <w:bCs/>
        </w:rPr>
        <w:t>、估值计算中涉及美元、港币、日元、欧元、英镑等五种主要货币对人民币汇率的，将依据下列信息提供机构所提供的汇率为基准：当日中国人民银行或其授权机构公布的人民币汇率中间价。主要外汇种类以中国人民银行或其授权机构最新公布为准。</w:t>
      </w:r>
    </w:p>
    <w:p w14:paraId="1BA51BB5" w14:textId="77777777" w:rsidR="0082364D" w:rsidRDefault="00BF2824">
      <w:pPr>
        <w:spacing w:line="360" w:lineRule="auto"/>
        <w:ind w:firstLineChars="200" w:firstLine="420"/>
        <w:jc w:val="left"/>
        <w:rPr>
          <w:rFonts w:ascii="宋体" w:hAnsi="宋体"/>
          <w:bCs/>
        </w:rPr>
      </w:pPr>
      <w:r>
        <w:rPr>
          <w:rFonts w:ascii="宋体" w:hAnsi="宋体" w:hint="eastAsia"/>
          <w:bCs/>
        </w:rPr>
        <w:lastRenderedPageBreak/>
        <w:t>其他货币采用美元作为中间货币进行换算，与美元的汇率则以估值日下午四点（伦敦时间）彭博信息(Bloomberg)数据为准。</w:t>
      </w:r>
    </w:p>
    <w:p w14:paraId="2824B0C4" w14:textId="77777777" w:rsidR="0082364D" w:rsidRDefault="00BF2824">
      <w:pPr>
        <w:spacing w:line="360" w:lineRule="auto"/>
        <w:ind w:firstLineChars="200" w:firstLine="420"/>
        <w:jc w:val="left"/>
        <w:rPr>
          <w:rFonts w:ascii="宋体" w:hAnsi="宋体"/>
          <w:bCs/>
        </w:rPr>
      </w:pPr>
      <w:r>
        <w:rPr>
          <w:rFonts w:ascii="宋体" w:hAnsi="宋体" w:hint="eastAsia"/>
          <w:bCs/>
        </w:rPr>
        <w:t xml:space="preserve">15、税收 </w:t>
      </w:r>
    </w:p>
    <w:p w14:paraId="229E2A05" w14:textId="77777777" w:rsidR="0082364D" w:rsidRDefault="00BF2824">
      <w:pPr>
        <w:spacing w:line="360" w:lineRule="auto"/>
        <w:ind w:firstLineChars="200" w:firstLine="420"/>
        <w:jc w:val="left"/>
        <w:rPr>
          <w:rFonts w:ascii="宋体" w:hAnsi="宋体"/>
          <w:bCs/>
        </w:rPr>
      </w:pPr>
      <w:r>
        <w:rPr>
          <w:rFonts w:ascii="宋体" w:hAnsi="宋体" w:hint="eastAsia"/>
          <w:bCs/>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14:paraId="28BEBAFD" w14:textId="18FAE51D" w:rsidR="0082364D" w:rsidRDefault="00BF2824">
      <w:pPr>
        <w:spacing w:line="360" w:lineRule="auto"/>
        <w:ind w:firstLineChars="200" w:firstLine="420"/>
        <w:jc w:val="left"/>
        <w:rPr>
          <w:rFonts w:ascii="宋体" w:hAnsi="宋体"/>
          <w:bCs/>
        </w:rPr>
      </w:pPr>
      <w:r>
        <w:rPr>
          <w:rFonts w:ascii="宋体" w:hAnsi="宋体" w:hint="eastAsia"/>
          <w:bCs/>
        </w:rPr>
        <w:t>对于非代扣代缴的税收，基金管理人可以聘请税收顾问对相关投资市场的税收情况给予意见和建议。境外托管人根据基金管理人的指示具体协调基金在海外税务的申报、缴纳及索取税收返还等相关工作。基金管理人或其聘请的税务顾问对最终税务的处理的真实准确负责。</w:t>
      </w:r>
    </w:p>
    <w:p w14:paraId="38184617" w14:textId="77777777" w:rsidR="0082364D" w:rsidRDefault="00BF2824">
      <w:pPr>
        <w:spacing w:line="360" w:lineRule="auto"/>
        <w:ind w:firstLineChars="200" w:firstLine="420"/>
        <w:jc w:val="left"/>
        <w:rPr>
          <w:rFonts w:ascii="宋体" w:hAnsi="宋体"/>
          <w:bCs/>
        </w:rPr>
      </w:pPr>
      <w:r>
        <w:rPr>
          <w:rFonts w:ascii="宋体" w:hAnsi="宋体" w:hint="eastAsia"/>
          <w:bCs/>
        </w:rPr>
        <w:t>16</w:t>
      </w:r>
      <w:r>
        <w:rPr>
          <w:rFonts w:ascii="宋体" w:hAnsi="宋体"/>
          <w:bCs/>
        </w:rPr>
        <w:t>、相关法律法规以及监管部门有强制规定的，从其规定。如有新增事项，按国家最新规定估值。</w:t>
      </w:r>
    </w:p>
    <w:p w14:paraId="1645B374" w14:textId="77777777" w:rsidR="0082364D" w:rsidRDefault="00BF2824">
      <w:pPr>
        <w:spacing w:line="360" w:lineRule="auto"/>
        <w:ind w:firstLineChars="200" w:firstLine="420"/>
        <w:jc w:val="left"/>
        <w:rPr>
          <w:rFonts w:ascii="宋体" w:hAnsi="宋体"/>
          <w:bCs/>
        </w:rPr>
      </w:pPr>
      <w:r>
        <w:rPr>
          <w:rFonts w:ascii="宋体" w:hAnsi="宋体"/>
          <w:bCs/>
        </w:rPr>
        <w:t>如基金管理人或基金托管人发现基金估值违反基金合同订明的估值方法、程序及相关法律法规的规定或者未能充分维护基金份额持有人利益时，应立即通知对方，共同查明原因，双方协商解决。</w:t>
      </w:r>
    </w:p>
    <w:p w14:paraId="0B022D7B" w14:textId="77777777" w:rsidR="0082364D" w:rsidRDefault="00BF2824">
      <w:pPr>
        <w:spacing w:line="360" w:lineRule="auto"/>
        <w:ind w:firstLineChars="200" w:firstLine="420"/>
        <w:rPr>
          <w:rFonts w:ascii="宋体" w:hAnsi="宋体"/>
        </w:rPr>
      </w:pPr>
      <w:r>
        <w:rPr>
          <w:rFonts w:ascii="宋体" w:hAnsi="宋体" w:hint="eastAsia"/>
          <w:bCs/>
        </w:rPr>
        <w:t>本基金的会计责任方由基金管理人担任，负责基金净值计算和基金会计核算，就与本基金有关的会计问题，如经相关各方在平等基础上充分讨论后，仍无法达成一致的意见，按照基金管理人对基金净值信息的计算结果对外予以公布。</w:t>
      </w:r>
    </w:p>
    <w:p w14:paraId="6D976DF8" w14:textId="77777777" w:rsidR="0082364D" w:rsidRDefault="00BF2824">
      <w:pPr>
        <w:spacing w:line="360" w:lineRule="auto"/>
        <w:ind w:firstLineChars="200" w:firstLine="420"/>
        <w:jc w:val="left"/>
        <w:rPr>
          <w:rFonts w:ascii="宋体" w:hAnsi="宋体"/>
        </w:rPr>
      </w:pPr>
      <w:r>
        <w:rPr>
          <w:rFonts w:ascii="宋体" w:hAnsi="宋体"/>
        </w:rPr>
        <w:t>（</w:t>
      </w:r>
      <w:r>
        <w:rPr>
          <w:rFonts w:ascii="宋体" w:hAnsi="宋体" w:hint="eastAsia"/>
        </w:rPr>
        <w:t>五</w:t>
      </w:r>
      <w:r>
        <w:rPr>
          <w:rFonts w:ascii="宋体" w:hAnsi="宋体"/>
        </w:rPr>
        <w:t>）估值程序</w:t>
      </w:r>
    </w:p>
    <w:p w14:paraId="6562BC53" w14:textId="77777777" w:rsidR="0082364D" w:rsidRDefault="00BF2824">
      <w:pPr>
        <w:spacing w:line="360" w:lineRule="auto"/>
        <w:ind w:firstLineChars="200" w:firstLine="420"/>
        <w:jc w:val="left"/>
        <w:rPr>
          <w:rFonts w:ascii="宋体" w:hAnsi="宋体"/>
          <w:bCs/>
        </w:rPr>
      </w:pPr>
      <w:r>
        <w:rPr>
          <w:rFonts w:ascii="宋体" w:hAnsi="宋体"/>
          <w:bCs/>
        </w:rPr>
        <w:t>1、基金份额净值是按照每个</w:t>
      </w:r>
      <w:r>
        <w:rPr>
          <w:rFonts w:ascii="宋体" w:hAnsi="宋体" w:hint="eastAsia"/>
          <w:bCs/>
        </w:rPr>
        <w:t>估值</w:t>
      </w:r>
      <w:r>
        <w:rPr>
          <w:rFonts w:ascii="宋体" w:hAnsi="宋体"/>
          <w:bCs/>
        </w:rPr>
        <w:t>日</w:t>
      </w:r>
      <w:r>
        <w:rPr>
          <w:rFonts w:ascii="宋体" w:hAnsi="宋体" w:hint="eastAsia"/>
          <w:bCs/>
        </w:rPr>
        <w:t>的</w:t>
      </w:r>
      <w:r>
        <w:rPr>
          <w:rFonts w:ascii="宋体" w:hAnsi="宋体"/>
          <w:bCs/>
        </w:rPr>
        <w:t>基金资产净值除以</w:t>
      </w:r>
      <w:r>
        <w:rPr>
          <w:rFonts w:ascii="宋体" w:hAnsi="宋体" w:hint="eastAsia"/>
          <w:bCs/>
        </w:rPr>
        <w:t>该</w:t>
      </w:r>
      <w:r>
        <w:rPr>
          <w:rFonts w:ascii="宋体" w:hAnsi="宋体"/>
          <w:bCs/>
        </w:rPr>
        <w:t>估值日基金份额的余额数量计算，精确到0.0001元，小数点后</w:t>
      </w:r>
      <w:r>
        <w:rPr>
          <w:rFonts w:ascii="宋体" w:hAnsi="宋体" w:hint="eastAsia"/>
          <w:bCs/>
        </w:rPr>
        <w:t>第5</w:t>
      </w:r>
      <w:r>
        <w:rPr>
          <w:rFonts w:ascii="宋体" w:hAnsi="宋体"/>
          <w:bCs/>
        </w:rPr>
        <w:t>位四舍五入。</w:t>
      </w:r>
      <w:r>
        <w:rPr>
          <w:rFonts w:ascii="宋体" w:hAnsi="宋体" w:hint="eastAsia"/>
          <w:bCs/>
        </w:rPr>
        <w:t>基金管理人可以设立大额赎回情形下的净值精度应急调整机制。</w:t>
      </w:r>
      <w:r>
        <w:rPr>
          <w:rFonts w:ascii="宋体" w:hAnsi="宋体"/>
          <w:bCs/>
        </w:rPr>
        <w:t>国家另有规定的，从其规定。</w:t>
      </w:r>
    </w:p>
    <w:p w14:paraId="17DFB876" w14:textId="77777777" w:rsidR="0082364D" w:rsidRDefault="00BF2824">
      <w:pPr>
        <w:spacing w:line="360" w:lineRule="auto"/>
        <w:ind w:firstLineChars="200" w:firstLine="420"/>
        <w:jc w:val="left"/>
        <w:rPr>
          <w:rFonts w:ascii="宋体" w:hAnsi="宋体"/>
          <w:bCs/>
        </w:rPr>
      </w:pPr>
      <w:r>
        <w:rPr>
          <w:rFonts w:ascii="宋体" w:hAnsi="宋体"/>
          <w:bCs/>
        </w:rPr>
        <w:t>2、基金管理人应每个</w:t>
      </w:r>
      <w:r>
        <w:rPr>
          <w:rFonts w:ascii="宋体" w:hAnsi="宋体" w:hint="eastAsia"/>
          <w:bCs/>
        </w:rPr>
        <w:t>估值</w:t>
      </w:r>
      <w:r>
        <w:rPr>
          <w:rFonts w:ascii="宋体" w:hAnsi="宋体"/>
          <w:bCs/>
        </w:rPr>
        <w:t>日对</w:t>
      </w:r>
      <w:r>
        <w:rPr>
          <w:rFonts w:ascii="宋体" w:hAnsi="宋体" w:hint="eastAsia"/>
          <w:bCs/>
        </w:rPr>
        <w:t>前一</w:t>
      </w:r>
      <w:r>
        <w:rPr>
          <w:rFonts w:ascii="宋体" w:hAnsi="宋体"/>
          <w:bCs/>
        </w:rPr>
        <w:t>估值日的基金资产估值。但基金管理人根据法律法规或基金合同的规定暂停估值时除外。基金管理人每个</w:t>
      </w:r>
      <w:r>
        <w:rPr>
          <w:rFonts w:ascii="宋体" w:hAnsi="宋体" w:hint="eastAsia"/>
          <w:bCs/>
        </w:rPr>
        <w:t>估值</w:t>
      </w:r>
      <w:r>
        <w:rPr>
          <w:rFonts w:ascii="宋体" w:hAnsi="宋体"/>
          <w:bCs/>
        </w:rPr>
        <w:t>日对前一估值日的基金资产估值后，将基金份额净值结果发送基金托管人，经基金托管人复核无误后，由基金管理人</w:t>
      </w:r>
      <w:r>
        <w:rPr>
          <w:rFonts w:ascii="宋体" w:hAnsi="宋体" w:hint="eastAsia"/>
          <w:bCs/>
        </w:rPr>
        <w:t>按照规定</w:t>
      </w:r>
      <w:r>
        <w:rPr>
          <w:rFonts w:ascii="宋体" w:hAnsi="宋体"/>
          <w:bCs/>
        </w:rPr>
        <w:t>对外公布。</w:t>
      </w:r>
    </w:p>
    <w:p w14:paraId="7CB44774" w14:textId="77777777" w:rsidR="0082364D" w:rsidRDefault="00BF2824">
      <w:pPr>
        <w:spacing w:line="360" w:lineRule="auto"/>
        <w:ind w:firstLineChars="200" w:firstLine="420"/>
        <w:jc w:val="left"/>
        <w:rPr>
          <w:rFonts w:ascii="宋体" w:hAnsi="宋体"/>
        </w:rPr>
      </w:pPr>
      <w:r>
        <w:rPr>
          <w:rFonts w:ascii="宋体" w:hAnsi="宋体"/>
        </w:rPr>
        <w:t>（</w:t>
      </w:r>
      <w:r>
        <w:rPr>
          <w:rFonts w:ascii="宋体" w:hAnsi="宋体" w:hint="eastAsia"/>
        </w:rPr>
        <w:t>六</w:t>
      </w:r>
      <w:r>
        <w:rPr>
          <w:rFonts w:ascii="宋体" w:hAnsi="宋体"/>
        </w:rPr>
        <w:t>）估值错误的处理</w:t>
      </w:r>
    </w:p>
    <w:p w14:paraId="2B261D03" w14:textId="77777777" w:rsidR="0082364D" w:rsidRDefault="00BF2824">
      <w:pPr>
        <w:spacing w:line="360" w:lineRule="auto"/>
        <w:ind w:firstLineChars="200" w:firstLine="420"/>
        <w:jc w:val="left"/>
        <w:rPr>
          <w:rFonts w:ascii="宋体" w:hAnsi="宋体"/>
          <w:bCs/>
        </w:rPr>
      </w:pPr>
      <w:r>
        <w:rPr>
          <w:rFonts w:ascii="宋体" w:hAnsi="宋体"/>
          <w:bCs/>
        </w:rPr>
        <w:t>基金管理人和基金托管人将采取必要、适当、合理的措施确保基金资产估值的准确性、及时性。当基金份额净值小数点后4位以内(含第4位)发生估值错误时，视为基金份额净值错误。</w:t>
      </w:r>
    </w:p>
    <w:p w14:paraId="7033B6E8" w14:textId="77777777" w:rsidR="0082364D" w:rsidRDefault="00BF2824">
      <w:pPr>
        <w:spacing w:line="360" w:lineRule="auto"/>
        <w:ind w:firstLineChars="200" w:firstLine="420"/>
        <w:jc w:val="left"/>
        <w:rPr>
          <w:rFonts w:ascii="宋体" w:hAnsi="宋体"/>
          <w:bCs/>
        </w:rPr>
      </w:pPr>
      <w:r>
        <w:rPr>
          <w:rFonts w:ascii="宋体" w:hAnsi="宋体"/>
          <w:bCs/>
        </w:rPr>
        <w:lastRenderedPageBreak/>
        <w:t>基金合同的当事人应按照以下约定处理：</w:t>
      </w:r>
    </w:p>
    <w:p w14:paraId="0AFCD2AD" w14:textId="77777777" w:rsidR="0082364D" w:rsidRDefault="00BF2824">
      <w:pPr>
        <w:spacing w:line="360" w:lineRule="auto"/>
        <w:ind w:firstLineChars="200" w:firstLine="420"/>
        <w:jc w:val="left"/>
        <w:rPr>
          <w:rFonts w:ascii="宋体" w:hAnsi="宋体"/>
          <w:bCs/>
        </w:rPr>
      </w:pPr>
      <w:r>
        <w:rPr>
          <w:rFonts w:ascii="宋体" w:hAnsi="宋体"/>
          <w:bCs/>
        </w:rPr>
        <w:t>1、估值错误类型</w:t>
      </w:r>
    </w:p>
    <w:p w14:paraId="202AFC02" w14:textId="77777777" w:rsidR="0082364D" w:rsidRDefault="00BF2824">
      <w:pPr>
        <w:spacing w:line="360" w:lineRule="auto"/>
        <w:ind w:firstLineChars="200" w:firstLine="420"/>
        <w:jc w:val="left"/>
        <w:rPr>
          <w:rFonts w:ascii="宋体" w:hAnsi="宋体"/>
          <w:bCs/>
        </w:rPr>
      </w:pPr>
      <w:r>
        <w:rPr>
          <w:rFonts w:ascii="宋体" w:hAnsi="宋体"/>
          <w:bCs/>
        </w:rPr>
        <w:t>本基金运作过程中，如果由于基金管理人</w:t>
      </w:r>
      <w:r>
        <w:rPr>
          <w:rFonts w:ascii="宋体" w:hAnsi="宋体" w:hint="eastAsia"/>
          <w:bCs/>
        </w:rPr>
        <w:t>、</w:t>
      </w:r>
      <w:r>
        <w:rPr>
          <w:rFonts w:ascii="宋体" w:hAnsi="宋体"/>
          <w:bCs/>
        </w:rPr>
        <w:t>或基金托管人、或投资人自身的原因造成估值错误，导致其他当事人遭受损失的，责任人应当对由于该估值错误遭受损失当事人(</w:t>
      </w:r>
      <w:r>
        <w:rPr>
          <w:rFonts w:ascii="宋体" w:hAnsi="宋体" w:hint="eastAsia"/>
          <w:bCs/>
        </w:rPr>
        <w:t>“</w:t>
      </w:r>
      <w:r>
        <w:rPr>
          <w:rFonts w:ascii="宋体" w:hAnsi="宋体"/>
          <w:bCs/>
        </w:rPr>
        <w:t>受损方</w:t>
      </w:r>
      <w:r>
        <w:rPr>
          <w:rFonts w:ascii="宋体" w:hAnsi="宋体" w:hint="eastAsia"/>
          <w:bCs/>
        </w:rPr>
        <w:t>”</w:t>
      </w:r>
      <w:r>
        <w:rPr>
          <w:rFonts w:ascii="宋体" w:hAnsi="宋体"/>
          <w:bCs/>
        </w:rPr>
        <w:t>)的直接损失按下述</w:t>
      </w:r>
      <w:r>
        <w:rPr>
          <w:rFonts w:ascii="宋体" w:hAnsi="宋体" w:hint="eastAsia"/>
          <w:bCs/>
        </w:rPr>
        <w:t>“</w:t>
      </w:r>
      <w:r>
        <w:rPr>
          <w:rFonts w:ascii="宋体" w:hAnsi="宋体"/>
          <w:bCs/>
        </w:rPr>
        <w:t>估值错误处理原则</w:t>
      </w:r>
      <w:r>
        <w:rPr>
          <w:rFonts w:ascii="宋体" w:hAnsi="宋体" w:hint="eastAsia"/>
          <w:bCs/>
        </w:rPr>
        <w:t>”</w:t>
      </w:r>
      <w:r>
        <w:rPr>
          <w:rFonts w:ascii="宋体" w:hAnsi="宋体"/>
          <w:bCs/>
        </w:rPr>
        <w:t>给予赔偿，承担赔偿责任。</w:t>
      </w:r>
    </w:p>
    <w:p w14:paraId="2C12A54E" w14:textId="77777777" w:rsidR="0082364D" w:rsidRDefault="00BF2824">
      <w:pPr>
        <w:spacing w:line="360" w:lineRule="auto"/>
        <w:ind w:firstLineChars="200" w:firstLine="420"/>
        <w:jc w:val="left"/>
        <w:rPr>
          <w:rFonts w:ascii="宋体" w:hAnsi="宋体"/>
          <w:bCs/>
        </w:rPr>
      </w:pPr>
      <w:r>
        <w:rPr>
          <w:rFonts w:ascii="宋体" w:hAnsi="宋体"/>
          <w:bCs/>
        </w:rPr>
        <w:t>上述估值错误的主要类型包括但不限于：资料申报差错、数据传输差错、数据计算差错、系统故障差错、下达指令差错等。</w:t>
      </w:r>
    </w:p>
    <w:p w14:paraId="625C6D3D" w14:textId="77777777" w:rsidR="0082364D" w:rsidRDefault="00BF2824">
      <w:pPr>
        <w:spacing w:line="360" w:lineRule="auto"/>
        <w:ind w:firstLineChars="200" w:firstLine="420"/>
        <w:jc w:val="left"/>
        <w:rPr>
          <w:rFonts w:ascii="宋体" w:hAnsi="宋体"/>
          <w:bCs/>
        </w:rPr>
      </w:pPr>
      <w:r>
        <w:rPr>
          <w:rFonts w:ascii="宋体" w:hAnsi="宋体"/>
          <w:bCs/>
        </w:rPr>
        <w:t>2、估值错误处理原则</w:t>
      </w:r>
    </w:p>
    <w:p w14:paraId="0ED79714" w14:textId="77777777" w:rsidR="0082364D" w:rsidRDefault="00BF2824">
      <w:pPr>
        <w:spacing w:line="360" w:lineRule="auto"/>
        <w:ind w:firstLineChars="200" w:firstLine="420"/>
        <w:jc w:val="left"/>
        <w:rPr>
          <w:rFonts w:ascii="宋体" w:hAnsi="宋体"/>
          <w:bCs/>
        </w:rPr>
      </w:pPr>
      <w:r>
        <w:rPr>
          <w:rFonts w:ascii="宋体" w:hAnsi="宋体"/>
          <w:bCs/>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Pr>
          <w:rFonts w:ascii="宋体" w:hAnsi="宋体" w:hint="eastAsia"/>
          <w:bCs/>
        </w:rPr>
        <w:t>该</w:t>
      </w:r>
      <w:r>
        <w:rPr>
          <w:rFonts w:ascii="宋体" w:hAnsi="宋体"/>
          <w:bCs/>
        </w:rPr>
        <w:t>有协助义务的当事人应当承担相应赔偿责任。估值错误责任方应对更正的情况向有关当事人进行确认，确保估值错误已得到更正。</w:t>
      </w:r>
    </w:p>
    <w:p w14:paraId="7FCB8C8A" w14:textId="77777777" w:rsidR="0082364D" w:rsidRDefault="00BF2824">
      <w:pPr>
        <w:spacing w:line="360" w:lineRule="auto"/>
        <w:ind w:firstLineChars="200" w:firstLine="420"/>
        <w:jc w:val="left"/>
        <w:rPr>
          <w:rFonts w:ascii="宋体" w:hAnsi="宋体"/>
          <w:bCs/>
        </w:rPr>
      </w:pPr>
      <w:r>
        <w:rPr>
          <w:rFonts w:ascii="宋体" w:hAnsi="宋体"/>
          <w:bCs/>
        </w:rPr>
        <w:t>（2）估值错误的责任方对有关当事人的直接损失负责，不对间接损失负责，并且仅对估值错误的有关直接当事人负责，不对第三方负责。</w:t>
      </w:r>
    </w:p>
    <w:p w14:paraId="3EDB85C4" w14:textId="77777777" w:rsidR="0082364D" w:rsidRDefault="00BF2824">
      <w:pPr>
        <w:spacing w:line="360" w:lineRule="auto"/>
        <w:ind w:firstLineChars="200" w:firstLine="420"/>
        <w:jc w:val="left"/>
        <w:rPr>
          <w:rFonts w:ascii="宋体" w:hAnsi="宋体"/>
          <w:bCs/>
        </w:rPr>
      </w:pPr>
      <w:r>
        <w:rPr>
          <w:rFonts w:ascii="宋体" w:hAnsi="宋体"/>
          <w:bCs/>
        </w:rPr>
        <w:t>（3）</w:t>
      </w:r>
      <w:r>
        <w:rPr>
          <w:rFonts w:ascii="宋体" w:hAnsi="宋体" w:hint="eastAsia"/>
          <w:bCs/>
        </w:rPr>
        <w:t>当基金份额净值计算差错给基金和基金份额持有人造成损失需要进行赔偿时，基金管理人和基金托管人应根据实际情况界定双方承担的责任，经确认后按以下条款进行赔偿：</w:t>
      </w:r>
    </w:p>
    <w:p w14:paraId="06A77EF5" w14:textId="77777777" w:rsidR="0082364D" w:rsidRDefault="00BF2824">
      <w:pPr>
        <w:spacing w:line="360" w:lineRule="auto"/>
        <w:ind w:firstLineChars="200" w:firstLine="420"/>
        <w:jc w:val="left"/>
        <w:rPr>
          <w:rFonts w:ascii="宋体" w:hAnsi="宋体"/>
          <w:bCs/>
        </w:rPr>
      </w:pPr>
      <w:r>
        <w:rPr>
          <w:rFonts w:ascii="宋体" w:hAnsi="宋体" w:hint="eastAsia"/>
          <w:bCs/>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62BE2CCE" w14:textId="77777777" w:rsidR="0082364D" w:rsidRDefault="00BF2824">
      <w:pPr>
        <w:spacing w:line="360" w:lineRule="auto"/>
        <w:ind w:firstLineChars="200" w:firstLine="420"/>
        <w:jc w:val="left"/>
        <w:rPr>
          <w:rFonts w:ascii="宋体" w:hAnsi="宋体"/>
          <w:bCs/>
        </w:rPr>
      </w:pPr>
      <w:r>
        <w:rPr>
          <w:rFonts w:ascii="宋体" w:hAnsi="宋体" w:hint="eastAsia"/>
          <w:bCs/>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需承担相应的责任。</w:t>
      </w:r>
    </w:p>
    <w:p w14:paraId="34C9D6B2" w14:textId="77777777" w:rsidR="0082364D" w:rsidRDefault="00BF2824">
      <w:pPr>
        <w:spacing w:line="360" w:lineRule="auto"/>
        <w:ind w:firstLineChars="200" w:firstLine="420"/>
        <w:jc w:val="left"/>
        <w:rPr>
          <w:rFonts w:ascii="宋体" w:hAnsi="宋体"/>
          <w:bCs/>
        </w:rPr>
      </w:pPr>
      <w:r>
        <w:rPr>
          <w:rFonts w:ascii="宋体" w:hAnsi="宋体" w:hint="eastAsia"/>
          <w:bCs/>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E3E27CE" w14:textId="77777777" w:rsidR="0082364D" w:rsidRDefault="00BF2824">
      <w:pPr>
        <w:spacing w:line="360" w:lineRule="auto"/>
        <w:ind w:firstLineChars="200" w:firstLine="420"/>
        <w:jc w:val="left"/>
        <w:rPr>
          <w:rFonts w:ascii="宋体" w:hAnsi="宋体"/>
          <w:bCs/>
        </w:rPr>
      </w:pPr>
      <w:r>
        <w:rPr>
          <w:rFonts w:ascii="宋体" w:hAnsi="宋体" w:hint="eastAsia"/>
          <w:bCs/>
        </w:rPr>
        <w:t>④由于基金管理人提供的信息错误（包括但不限于基金申购或赎回金额等），基金托</w:t>
      </w:r>
      <w:r>
        <w:rPr>
          <w:rFonts w:ascii="宋体" w:hAnsi="宋体" w:hint="eastAsia"/>
          <w:bCs/>
        </w:rPr>
        <w:lastRenderedPageBreak/>
        <w:t>管人在履行正常复核程序后仍不能发现该错误，进而导致基金份额净值计算错误而引起的基金份额持有人和基金财产的损失，由基金管理人负责赔付。</w:t>
      </w:r>
    </w:p>
    <w:p w14:paraId="7189EC10" w14:textId="77777777" w:rsidR="0082364D" w:rsidRDefault="00BF2824">
      <w:pPr>
        <w:spacing w:line="360" w:lineRule="auto"/>
        <w:ind w:firstLineChars="200" w:firstLine="420"/>
        <w:jc w:val="left"/>
        <w:rPr>
          <w:rFonts w:ascii="宋体" w:hAnsi="宋体"/>
          <w:bCs/>
        </w:rPr>
      </w:pPr>
      <w:r>
        <w:rPr>
          <w:rFonts w:ascii="宋体" w:hAnsi="宋体" w:hint="eastAsia"/>
          <w:bCs/>
        </w:rPr>
        <w:t>（4）</w:t>
      </w:r>
      <w:r>
        <w:rPr>
          <w:rFonts w:ascii="宋体" w:hAnsi="宋体"/>
          <w:bCs/>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hAnsi="宋体" w:hint="eastAsia"/>
          <w:bCs/>
        </w:rPr>
        <w:t>“</w:t>
      </w:r>
      <w:r>
        <w:rPr>
          <w:rFonts w:ascii="宋体" w:hAnsi="宋体"/>
          <w:bCs/>
        </w:rPr>
        <w:t>受损方</w:t>
      </w:r>
      <w:r>
        <w:rPr>
          <w:rFonts w:ascii="宋体" w:hAnsi="宋体" w:hint="eastAsia"/>
          <w:bCs/>
        </w:rPr>
        <w:t>”</w:t>
      </w:r>
      <w:r>
        <w:rPr>
          <w:rFonts w:ascii="宋体" w:hAnsi="宋体"/>
          <w:bCs/>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3322709" w14:textId="77777777" w:rsidR="0082364D" w:rsidRDefault="00BF2824">
      <w:pPr>
        <w:spacing w:line="360" w:lineRule="auto"/>
        <w:ind w:firstLineChars="200" w:firstLine="420"/>
        <w:jc w:val="left"/>
        <w:rPr>
          <w:rFonts w:ascii="宋体" w:hAnsi="宋体"/>
          <w:bCs/>
        </w:rPr>
      </w:pPr>
      <w:r>
        <w:rPr>
          <w:rFonts w:ascii="宋体" w:hAnsi="宋体"/>
          <w:bCs/>
        </w:rPr>
        <w:t>（5）估值错误调整采用尽量恢复至假设未发生估值错误的正确情形的方式。</w:t>
      </w:r>
    </w:p>
    <w:p w14:paraId="46105C9C" w14:textId="77777777" w:rsidR="0082364D" w:rsidRDefault="00BF2824">
      <w:pPr>
        <w:spacing w:line="360" w:lineRule="auto"/>
        <w:ind w:firstLineChars="200" w:firstLine="420"/>
        <w:jc w:val="left"/>
        <w:rPr>
          <w:rFonts w:ascii="宋体" w:hAnsi="宋体"/>
          <w:bCs/>
        </w:rPr>
      </w:pPr>
      <w:r>
        <w:rPr>
          <w:rFonts w:ascii="宋体" w:hAnsi="宋体"/>
          <w:bCs/>
        </w:rPr>
        <w:t>3、估值错误处理程序</w:t>
      </w:r>
    </w:p>
    <w:p w14:paraId="7CBDAC6D" w14:textId="77777777" w:rsidR="0082364D" w:rsidRDefault="00BF2824">
      <w:pPr>
        <w:spacing w:line="360" w:lineRule="auto"/>
        <w:ind w:firstLineChars="200" w:firstLine="420"/>
        <w:jc w:val="left"/>
        <w:rPr>
          <w:rFonts w:ascii="宋体" w:hAnsi="宋体"/>
          <w:bCs/>
        </w:rPr>
      </w:pPr>
      <w:r>
        <w:rPr>
          <w:rFonts w:ascii="宋体" w:hAnsi="宋体"/>
          <w:bCs/>
        </w:rPr>
        <w:t>估值错误被发现后，有关的当事人应当及时进行处理，处理的程序如下：</w:t>
      </w:r>
    </w:p>
    <w:p w14:paraId="138CD70C" w14:textId="77777777" w:rsidR="0082364D" w:rsidRDefault="00BF2824">
      <w:pPr>
        <w:spacing w:line="360" w:lineRule="auto"/>
        <w:ind w:firstLineChars="200" w:firstLine="420"/>
        <w:jc w:val="left"/>
        <w:rPr>
          <w:rFonts w:ascii="宋体" w:hAnsi="宋体"/>
          <w:bCs/>
        </w:rPr>
      </w:pPr>
      <w:r>
        <w:rPr>
          <w:rFonts w:ascii="宋体" w:hAnsi="宋体"/>
          <w:bCs/>
        </w:rPr>
        <w:t>（1）查明估值错误发生的原因，列明所有的当事人，并根据估值错误发生的原因确定估值错误的责任方；</w:t>
      </w:r>
    </w:p>
    <w:p w14:paraId="1D22AE2B" w14:textId="77777777" w:rsidR="0082364D" w:rsidRDefault="00BF2824">
      <w:pPr>
        <w:spacing w:line="360" w:lineRule="auto"/>
        <w:ind w:firstLineChars="200" w:firstLine="420"/>
        <w:jc w:val="left"/>
        <w:rPr>
          <w:rFonts w:ascii="宋体" w:hAnsi="宋体"/>
          <w:bCs/>
        </w:rPr>
      </w:pPr>
      <w:r>
        <w:rPr>
          <w:rFonts w:ascii="宋体" w:hAnsi="宋体"/>
          <w:bCs/>
        </w:rPr>
        <w:t>（2）根据估值错误处理原则或当事人协商的方法对因估值错误造成的损失进行评估；</w:t>
      </w:r>
    </w:p>
    <w:p w14:paraId="5680740C" w14:textId="77777777" w:rsidR="0082364D" w:rsidRDefault="00BF2824">
      <w:pPr>
        <w:spacing w:line="360" w:lineRule="auto"/>
        <w:ind w:firstLineChars="200" w:firstLine="420"/>
        <w:jc w:val="left"/>
        <w:rPr>
          <w:rFonts w:ascii="宋体" w:hAnsi="宋体"/>
          <w:bCs/>
        </w:rPr>
      </w:pPr>
      <w:r>
        <w:rPr>
          <w:rFonts w:ascii="宋体" w:hAnsi="宋体"/>
          <w:bCs/>
        </w:rPr>
        <w:t>（3）根据估值错误处理原则或当事人协商的方法由估值错误的责任方进行更正和赔偿损失；</w:t>
      </w:r>
    </w:p>
    <w:p w14:paraId="18F0D4B1" w14:textId="77777777" w:rsidR="0082364D" w:rsidRDefault="00BF2824">
      <w:pPr>
        <w:spacing w:line="360" w:lineRule="auto"/>
        <w:ind w:firstLineChars="200" w:firstLine="420"/>
        <w:jc w:val="left"/>
        <w:rPr>
          <w:rFonts w:ascii="宋体" w:hAnsi="宋体"/>
          <w:bCs/>
        </w:rPr>
      </w:pPr>
      <w:r>
        <w:rPr>
          <w:rFonts w:ascii="宋体" w:hAnsi="宋体"/>
          <w:bCs/>
        </w:rPr>
        <w:t>（4）根据估值错误处理的方法，需要修改基金登记</w:t>
      </w:r>
      <w:r>
        <w:rPr>
          <w:rFonts w:ascii="宋体" w:hAnsi="宋体" w:hint="eastAsia"/>
          <w:bCs/>
        </w:rPr>
        <w:t>结算</w:t>
      </w:r>
      <w:r>
        <w:rPr>
          <w:rFonts w:ascii="宋体" w:hAnsi="宋体"/>
          <w:bCs/>
        </w:rPr>
        <w:t>机构交易数据的，由基金登记</w:t>
      </w:r>
      <w:r>
        <w:rPr>
          <w:rFonts w:ascii="宋体" w:hAnsi="宋体" w:hint="eastAsia"/>
          <w:bCs/>
        </w:rPr>
        <w:t>结算</w:t>
      </w:r>
      <w:r>
        <w:rPr>
          <w:rFonts w:ascii="宋体" w:hAnsi="宋体"/>
          <w:bCs/>
        </w:rPr>
        <w:t>机构进行更正，并就估值错误的更正向有关当事人进行确认。</w:t>
      </w:r>
    </w:p>
    <w:p w14:paraId="6A1C4617" w14:textId="77777777" w:rsidR="0082364D" w:rsidRDefault="00BF2824">
      <w:pPr>
        <w:spacing w:line="360" w:lineRule="auto"/>
        <w:ind w:firstLineChars="200" w:firstLine="420"/>
        <w:jc w:val="left"/>
        <w:rPr>
          <w:rFonts w:ascii="宋体" w:hAnsi="宋体"/>
          <w:bCs/>
        </w:rPr>
      </w:pPr>
      <w:r>
        <w:rPr>
          <w:rFonts w:ascii="宋体" w:hAnsi="宋体"/>
          <w:bCs/>
        </w:rPr>
        <w:t>4、基金份额净值估值错误处理的方法如下：</w:t>
      </w:r>
    </w:p>
    <w:p w14:paraId="59B9DE9C" w14:textId="77777777" w:rsidR="0082364D" w:rsidRDefault="00BF2824">
      <w:pPr>
        <w:spacing w:line="360" w:lineRule="auto"/>
        <w:ind w:firstLineChars="200" w:firstLine="420"/>
        <w:jc w:val="left"/>
        <w:rPr>
          <w:rFonts w:ascii="宋体" w:hAnsi="宋体"/>
          <w:bCs/>
        </w:rPr>
      </w:pPr>
      <w:r>
        <w:rPr>
          <w:rFonts w:ascii="宋体" w:hAnsi="宋体"/>
          <w:bCs/>
        </w:rPr>
        <w:t>（1）基金份额净值计算出现错误时，基金管理人</w:t>
      </w:r>
      <w:r>
        <w:rPr>
          <w:rFonts w:ascii="宋体" w:hAnsi="宋体" w:hint="eastAsia"/>
          <w:bCs/>
        </w:rPr>
        <w:t>和基金托管人</w:t>
      </w:r>
      <w:r>
        <w:rPr>
          <w:rFonts w:ascii="宋体" w:hAnsi="宋体"/>
          <w:bCs/>
        </w:rPr>
        <w:t>应当立即予以纠正，并采取合理的措施防止损失进一步扩大。</w:t>
      </w:r>
    </w:p>
    <w:p w14:paraId="4A9DE2FC" w14:textId="77777777" w:rsidR="0082364D" w:rsidRDefault="00BF2824">
      <w:pPr>
        <w:spacing w:line="360" w:lineRule="auto"/>
        <w:ind w:firstLineChars="200" w:firstLine="420"/>
        <w:jc w:val="left"/>
        <w:rPr>
          <w:rFonts w:ascii="宋体" w:hAnsi="宋体"/>
          <w:bCs/>
        </w:rPr>
      </w:pPr>
      <w:r>
        <w:rPr>
          <w:rFonts w:ascii="宋体" w:hAnsi="宋体"/>
          <w:bCs/>
        </w:rPr>
        <w:t>（2）错误偏差达到基金份额净值的0.25%时，基金管理人应当通报基金托管人并报中国证监会备案；错误偏差达到基金份额净值的0.5%时，基金管理人应当公告，通报基金托管人，并报中国证监会备案。</w:t>
      </w:r>
    </w:p>
    <w:p w14:paraId="2619AEFF" w14:textId="77777777" w:rsidR="0082364D" w:rsidRDefault="00BF2824">
      <w:pPr>
        <w:spacing w:line="360" w:lineRule="auto"/>
        <w:ind w:firstLineChars="200" w:firstLine="420"/>
        <w:jc w:val="left"/>
        <w:rPr>
          <w:rFonts w:ascii="宋体" w:hAnsi="宋体"/>
          <w:bCs/>
        </w:rPr>
      </w:pPr>
      <w:r>
        <w:rPr>
          <w:rFonts w:ascii="宋体" w:hAnsi="宋体" w:hint="eastAsia"/>
          <w:bCs/>
        </w:rPr>
        <w:t>（3）</w:t>
      </w:r>
      <w:r>
        <w:rPr>
          <w:rFonts w:ascii="宋体" w:hAnsi="宋体"/>
          <w:bCs/>
        </w:rPr>
        <w:t>前述内容如法律法规或监管机关另有规定的，从其规定处理。</w:t>
      </w:r>
    </w:p>
    <w:p w14:paraId="425B311F" w14:textId="77777777" w:rsidR="0082364D" w:rsidRDefault="00BF2824">
      <w:pPr>
        <w:spacing w:line="360" w:lineRule="auto"/>
        <w:ind w:firstLineChars="200" w:firstLine="420"/>
        <w:jc w:val="left"/>
        <w:rPr>
          <w:rFonts w:ascii="宋体" w:hAnsi="宋体"/>
          <w:bCs/>
        </w:rPr>
      </w:pPr>
      <w:r>
        <w:rPr>
          <w:rFonts w:ascii="宋体" w:hAnsi="宋体"/>
          <w:bCs/>
        </w:rPr>
        <w:t>5、特殊情况的处理</w:t>
      </w:r>
    </w:p>
    <w:p w14:paraId="3F784CDA" w14:textId="77777777" w:rsidR="0082364D" w:rsidRDefault="00BF2824">
      <w:pPr>
        <w:spacing w:line="360" w:lineRule="auto"/>
        <w:ind w:firstLineChars="200" w:firstLine="420"/>
        <w:jc w:val="left"/>
        <w:rPr>
          <w:rFonts w:ascii="宋体" w:hAnsi="宋体"/>
          <w:bCs/>
        </w:rPr>
      </w:pPr>
      <w:r>
        <w:rPr>
          <w:rFonts w:ascii="宋体" w:hAnsi="宋体"/>
          <w:bCs/>
        </w:rPr>
        <w:t>（1）基金管理人或基金托管人按基金合同约定的估值方法进行估值时，所造成的误差不作为基金资产估值错误处理。</w:t>
      </w:r>
    </w:p>
    <w:p w14:paraId="052911D4" w14:textId="77777777" w:rsidR="0082364D" w:rsidRDefault="00BF2824">
      <w:pPr>
        <w:spacing w:line="360" w:lineRule="auto"/>
        <w:ind w:firstLineChars="200" w:firstLine="420"/>
        <w:jc w:val="left"/>
        <w:rPr>
          <w:rFonts w:ascii="宋体" w:hAnsi="宋体"/>
          <w:bCs/>
        </w:rPr>
      </w:pPr>
      <w:r>
        <w:rPr>
          <w:rFonts w:ascii="宋体" w:hAnsi="宋体"/>
          <w:bCs/>
        </w:rPr>
        <w:t>（2）由于不可抗力原因，或由于证券交易所、期货交易所</w:t>
      </w:r>
      <w:r>
        <w:rPr>
          <w:rFonts w:ascii="宋体" w:hAnsi="宋体" w:hint="eastAsia"/>
          <w:bCs/>
        </w:rPr>
        <w:t>、外汇交易市场、指数编制</w:t>
      </w:r>
      <w:r>
        <w:rPr>
          <w:rFonts w:ascii="宋体" w:hAnsi="宋体" w:hint="eastAsia"/>
          <w:bCs/>
        </w:rPr>
        <w:lastRenderedPageBreak/>
        <w:t>公司或第三方估值机构、存款银行或</w:t>
      </w:r>
      <w:r>
        <w:rPr>
          <w:rFonts w:ascii="宋体" w:hAnsi="宋体"/>
          <w:bCs/>
        </w:rPr>
        <w:t>登记结算公司等</w:t>
      </w:r>
      <w:r>
        <w:rPr>
          <w:rFonts w:ascii="宋体" w:hAnsi="宋体" w:hint="eastAsia"/>
          <w:bCs/>
        </w:rPr>
        <w:t>第三方机构</w:t>
      </w:r>
      <w:r>
        <w:rPr>
          <w:rFonts w:ascii="宋体" w:hAnsi="宋体"/>
          <w:bCs/>
        </w:rPr>
        <w:t>发送的数据错误等原因，</w:t>
      </w:r>
      <w:r>
        <w:rPr>
          <w:rFonts w:ascii="宋体" w:hAnsi="宋体" w:hint="eastAsia"/>
          <w:bCs/>
        </w:rPr>
        <w:t>或国家会计政策变更、市场规则变更等非基金管理人或基金托管人原因，</w:t>
      </w:r>
      <w:r>
        <w:rPr>
          <w:rFonts w:ascii="宋体" w:hAnsi="宋体"/>
          <w:bCs/>
        </w:rPr>
        <w:t>基金管理人和基金托管人虽然已经采取必要、适当、合理的措施进行检查，</w:t>
      </w:r>
      <w:r>
        <w:rPr>
          <w:rFonts w:ascii="宋体" w:hAnsi="宋体" w:hint="eastAsia"/>
          <w:bCs/>
        </w:rPr>
        <w:t>仍</w:t>
      </w:r>
      <w:r>
        <w:rPr>
          <w:rFonts w:ascii="宋体" w:hAnsi="宋体"/>
          <w:bCs/>
        </w:rPr>
        <w:t>未能发现错误的，由此造成的基金资产估值错误，基金管理人和基金托管人免除赔偿责任</w:t>
      </w:r>
      <w:r>
        <w:rPr>
          <w:rFonts w:ascii="宋体" w:hAnsi="宋体" w:hint="eastAsia"/>
          <w:bCs/>
        </w:rPr>
        <w:t>，</w:t>
      </w:r>
      <w:r>
        <w:rPr>
          <w:rFonts w:ascii="宋体" w:hAnsi="宋体"/>
          <w:bCs/>
        </w:rPr>
        <w:t>但基金管理人、基金托管人应当积极采取必要的措施减轻或消除由此造成的影响。</w:t>
      </w:r>
    </w:p>
    <w:p w14:paraId="139DA233" w14:textId="77777777" w:rsidR="0082364D" w:rsidRDefault="00BF2824">
      <w:pPr>
        <w:spacing w:line="360" w:lineRule="auto"/>
        <w:ind w:firstLineChars="200" w:firstLine="420"/>
        <w:jc w:val="left"/>
        <w:rPr>
          <w:rFonts w:ascii="宋体" w:hAnsi="宋体"/>
          <w:bCs/>
        </w:rPr>
      </w:pPr>
      <w:r>
        <w:rPr>
          <w:rFonts w:ascii="宋体" w:hAnsi="宋体" w:hint="eastAsia"/>
          <w:bCs/>
        </w:rPr>
        <w:t>（3）由于时差、通讯或其他非可控的客观原因，在本基金管理人和本基金托管人协商一致的时间点前无法确认的交易，导致的对基金资产净值的影响，不作为基金资产估值错误处理。</w:t>
      </w:r>
    </w:p>
    <w:p w14:paraId="21642A23" w14:textId="77777777" w:rsidR="0082364D" w:rsidRDefault="00BF2824">
      <w:pPr>
        <w:spacing w:line="360" w:lineRule="auto"/>
        <w:ind w:firstLineChars="200" w:firstLine="420"/>
        <w:jc w:val="left"/>
        <w:rPr>
          <w:rFonts w:ascii="宋体" w:hAnsi="宋体"/>
          <w:bCs/>
        </w:rPr>
      </w:pPr>
      <w:r>
        <w:rPr>
          <w:rFonts w:ascii="宋体" w:hAnsi="宋体" w:hint="eastAsia"/>
          <w:bCs/>
        </w:rPr>
        <w:t>（4）对于因税收规定调整或其他原因导致基金实际交纳税金与基金按照权责发生制进行估值的应交税金有差异的，相关估值调整不作为基金资产估值错误处理。</w:t>
      </w:r>
    </w:p>
    <w:p w14:paraId="1AB14F9E" w14:textId="77777777" w:rsidR="0082364D" w:rsidRDefault="00BF2824">
      <w:pPr>
        <w:spacing w:line="360" w:lineRule="auto"/>
        <w:ind w:firstLineChars="200" w:firstLine="420"/>
        <w:jc w:val="left"/>
        <w:rPr>
          <w:rFonts w:ascii="宋体" w:hAnsi="宋体"/>
        </w:rPr>
      </w:pPr>
      <w:r>
        <w:rPr>
          <w:rFonts w:ascii="宋体" w:hAnsi="宋体"/>
        </w:rPr>
        <w:t>（</w:t>
      </w:r>
      <w:r>
        <w:rPr>
          <w:rFonts w:ascii="宋体" w:hAnsi="宋体" w:hint="eastAsia"/>
        </w:rPr>
        <w:t>七</w:t>
      </w:r>
      <w:r>
        <w:rPr>
          <w:rFonts w:ascii="宋体" w:hAnsi="宋体"/>
        </w:rPr>
        <w:t>）暂停估值的情形</w:t>
      </w:r>
    </w:p>
    <w:p w14:paraId="1F481E24" w14:textId="77777777" w:rsidR="0082364D" w:rsidRDefault="00BF2824">
      <w:pPr>
        <w:spacing w:line="360" w:lineRule="auto"/>
        <w:ind w:firstLineChars="200" w:firstLine="420"/>
        <w:jc w:val="left"/>
        <w:rPr>
          <w:rFonts w:ascii="宋体" w:hAnsi="宋体"/>
          <w:bCs/>
        </w:rPr>
      </w:pPr>
      <w:r>
        <w:rPr>
          <w:rFonts w:ascii="宋体" w:hAnsi="宋体"/>
          <w:bCs/>
        </w:rPr>
        <w:t>1、基金投资所涉及的证券、期货交易市场</w:t>
      </w:r>
      <w:r>
        <w:rPr>
          <w:rFonts w:ascii="宋体" w:hAnsi="宋体" w:hint="eastAsia"/>
          <w:bCs/>
        </w:rPr>
        <w:t>或外汇市场</w:t>
      </w:r>
      <w:r>
        <w:rPr>
          <w:rFonts w:ascii="宋体" w:hAnsi="宋体"/>
          <w:bCs/>
        </w:rPr>
        <w:t>遇法定节假日或因其他原因暂停营业时；</w:t>
      </w:r>
    </w:p>
    <w:p w14:paraId="2CB91855" w14:textId="77777777" w:rsidR="0082364D" w:rsidRDefault="00BF2824">
      <w:pPr>
        <w:spacing w:line="360" w:lineRule="auto"/>
        <w:ind w:firstLineChars="200" w:firstLine="420"/>
        <w:jc w:val="left"/>
        <w:rPr>
          <w:rFonts w:ascii="宋体" w:hAnsi="宋体"/>
          <w:bCs/>
        </w:rPr>
      </w:pPr>
      <w:r>
        <w:rPr>
          <w:rFonts w:ascii="宋体" w:hAnsi="宋体"/>
          <w:bCs/>
        </w:rPr>
        <w:t>2、因不可抗力致使基金管理人、基金托管人无法准确评估基金资产价值时；</w:t>
      </w:r>
    </w:p>
    <w:p w14:paraId="53E732C5" w14:textId="77777777" w:rsidR="0082364D" w:rsidRDefault="00BF2824">
      <w:pPr>
        <w:spacing w:line="360" w:lineRule="auto"/>
        <w:ind w:firstLineChars="200" w:firstLine="420"/>
        <w:jc w:val="left"/>
        <w:rPr>
          <w:rFonts w:ascii="宋体" w:hAnsi="宋体"/>
          <w:bCs/>
        </w:rPr>
      </w:pPr>
      <w:r>
        <w:rPr>
          <w:rFonts w:ascii="宋体" w:hAnsi="宋体" w:hint="eastAsia"/>
          <w:bCs/>
        </w:rPr>
        <w:t>3</w:t>
      </w:r>
      <w:r>
        <w:rPr>
          <w:rFonts w:ascii="宋体" w:hAnsi="宋体"/>
          <w:bCs/>
        </w:rPr>
        <w:t>、</w:t>
      </w:r>
      <w:r>
        <w:rPr>
          <w:rFonts w:ascii="宋体" w:hAnsi="宋体" w:hint="eastAsia"/>
          <w:bCs/>
        </w:rPr>
        <w:t>当前一估值日基金资产净值 50%以上的资产出现无可参考的活跃市场价格且采用估值技术仍导致公允价值存在重大不确定性时，经与基金托管人协商确认后，基金管理人应当暂停估值；</w:t>
      </w:r>
    </w:p>
    <w:p w14:paraId="67938AC1" w14:textId="77777777" w:rsidR="0082364D" w:rsidRDefault="00BF2824">
      <w:pPr>
        <w:spacing w:line="360" w:lineRule="auto"/>
        <w:ind w:firstLineChars="200" w:firstLine="420"/>
        <w:jc w:val="left"/>
        <w:rPr>
          <w:rFonts w:ascii="宋体" w:hAnsi="宋体"/>
          <w:bCs/>
        </w:rPr>
      </w:pPr>
      <w:r>
        <w:rPr>
          <w:rFonts w:ascii="宋体" w:hAnsi="宋体" w:hint="eastAsia"/>
          <w:bCs/>
        </w:rPr>
        <w:t>4、法律法规规定、</w:t>
      </w:r>
      <w:r>
        <w:rPr>
          <w:rFonts w:ascii="宋体" w:hAnsi="宋体"/>
          <w:bCs/>
        </w:rPr>
        <w:t>中国证监会和基金合同认定的其它情形。</w:t>
      </w:r>
    </w:p>
    <w:p w14:paraId="223EEA21" w14:textId="77777777" w:rsidR="0082364D" w:rsidRDefault="00BF2824">
      <w:pPr>
        <w:spacing w:line="360" w:lineRule="auto"/>
        <w:ind w:firstLineChars="200" w:firstLine="420"/>
        <w:jc w:val="left"/>
        <w:rPr>
          <w:rFonts w:ascii="宋体" w:hAnsi="宋体"/>
        </w:rPr>
      </w:pPr>
      <w:r>
        <w:rPr>
          <w:rFonts w:ascii="宋体" w:hAnsi="宋体"/>
        </w:rPr>
        <w:t>（</w:t>
      </w:r>
      <w:r>
        <w:rPr>
          <w:rFonts w:ascii="宋体" w:hAnsi="宋体" w:hint="eastAsia"/>
        </w:rPr>
        <w:t>八</w:t>
      </w:r>
      <w:r>
        <w:rPr>
          <w:rFonts w:ascii="宋体" w:hAnsi="宋体"/>
        </w:rPr>
        <w:t>）基金净值的确认</w:t>
      </w:r>
    </w:p>
    <w:p w14:paraId="62A8A98F" w14:textId="77777777" w:rsidR="0082364D" w:rsidRDefault="00BF2824">
      <w:pPr>
        <w:spacing w:line="360" w:lineRule="auto"/>
        <w:ind w:firstLineChars="200" w:firstLine="420"/>
        <w:jc w:val="left"/>
        <w:rPr>
          <w:rFonts w:ascii="宋体" w:hAnsi="宋体"/>
          <w:bCs/>
        </w:rPr>
      </w:pPr>
      <w:r>
        <w:rPr>
          <w:rFonts w:ascii="宋体" w:hAnsi="宋体"/>
          <w:bCs/>
        </w:rPr>
        <w:t>基金资产净值和基金份额净值由基金管理人负责计算，基金托管人负责进行复核。基金管理人应于每个</w:t>
      </w:r>
      <w:r>
        <w:rPr>
          <w:rFonts w:ascii="宋体" w:hAnsi="宋体" w:hint="eastAsia"/>
          <w:bCs/>
        </w:rPr>
        <w:t>估值</w:t>
      </w:r>
      <w:r>
        <w:rPr>
          <w:rFonts w:ascii="宋体" w:hAnsi="宋体"/>
          <w:bCs/>
        </w:rPr>
        <w:t>日计算</w:t>
      </w:r>
      <w:r>
        <w:rPr>
          <w:rFonts w:ascii="宋体" w:hAnsi="宋体" w:hint="eastAsia"/>
          <w:bCs/>
        </w:rPr>
        <w:t>前一</w:t>
      </w:r>
      <w:r>
        <w:rPr>
          <w:rFonts w:ascii="宋体" w:hAnsi="宋体"/>
          <w:bCs/>
        </w:rPr>
        <w:t>估值日的基金资产净值和基金份额净值并发送给基金托管人。基金托管人对净值计算结果复核确认后发送给基金管理人，由基金管理人</w:t>
      </w:r>
      <w:r>
        <w:rPr>
          <w:rFonts w:ascii="宋体" w:hAnsi="宋体" w:hint="eastAsia"/>
          <w:bCs/>
        </w:rPr>
        <w:t>按规定</w:t>
      </w:r>
      <w:r>
        <w:rPr>
          <w:rFonts w:ascii="宋体" w:hAnsi="宋体"/>
          <w:bCs/>
        </w:rPr>
        <w:t>对基金净值予以公布。</w:t>
      </w:r>
    </w:p>
    <w:p w14:paraId="7B7DCE47" w14:textId="77777777" w:rsidR="0082364D" w:rsidRDefault="00BF2824">
      <w:pPr>
        <w:pStyle w:val="1"/>
        <w:spacing w:before="120" w:after="120" w:line="360" w:lineRule="auto"/>
        <w:jc w:val="center"/>
        <w:rPr>
          <w:rFonts w:ascii="宋体" w:hAnsi="宋体"/>
          <w:sz w:val="28"/>
        </w:rPr>
      </w:pPr>
      <w:bookmarkStart w:id="87" w:name="_Toc283892155"/>
      <w:bookmarkStart w:id="88" w:name="_Toc283892835"/>
      <w:bookmarkStart w:id="89" w:name="_Toc283892783"/>
      <w:r>
        <w:rPr>
          <w:rFonts w:ascii="宋体" w:hAnsi="宋体"/>
          <w:sz w:val="28"/>
          <w:szCs w:val="28"/>
        </w:rPr>
        <w:br w:type="page"/>
      </w:r>
      <w:bookmarkStart w:id="90" w:name="_Toc353291723"/>
      <w:bookmarkStart w:id="91" w:name="_Toc449605671"/>
      <w:bookmarkStart w:id="92" w:name="_Toc108598524"/>
      <w:r>
        <w:rPr>
          <w:rFonts w:ascii="宋体" w:hAnsi="宋体"/>
          <w:sz w:val="28"/>
        </w:rPr>
        <w:lastRenderedPageBreak/>
        <w:t>十三、基金的收益与分配</w:t>
      </w:r>
      <w:bookmarkEnd w:id="87"/>
      <w:bookmarkEnd w:id="88"/>
      <w:bookmarkEnd w:id="89"/>
      <w:bookmarkEnd w:id="90"/>
      <w:bookmarkEnd w:id="91"/>
      <w:bookmarkEnd w:id="92"/>
    </w:p>
    <w:p w14:paraId="245F793F" w14:textId="77777777" w:rsidR="0082364D" w:rsidRDefault="00BF2824">
      <w:pPr>
        <w:spacing w:before="60" w:after="60" w:line="400" w:lineRule="exact"/>
        <w:ind w:firstLine="420"/>
        <w:rPr>
          <w:rFonts w:ascii="宋体" w:hAnsi="宋体"/>
          <w:kern w:val="0"/>
        </w:rPr>
      </w:pPr>
      <w:bookmarkStart w:id="93" w:name="_Toc283892784"/>
      <w:bookmarkStart w:id="94" w:name="_Toc283892156"/>
      <w:bookmarkStart w:id="95" w:name="_Toc283892836"/>
      <w:r>
        <w:rPr>
          <w:rFonts w:ascii="宋体" w:hAnsi="宋体"/>
          <w:kern w:val="0"/>
        </w:rPr>
        <w:t>（一）基金收益分配原则</w:t>
      </w:r>
    </w:p>
    <w:p w14:paraId="7DBB3EAC" w14:textId="77777777" w:rsidR="0082364D" w:rsidRDefault="00BF2824">
      <w:pPr>
        <w:spacing w:before="60" w:after="60" w:line="400" w:lineRule="exact"/>
        <w:ind w:firstLine="420"/>
        <w:rPr>
          <w:rFonts w:ascii="宋体" w:hAnsi="宋体"/>
          <w:bCs/>
          <w:kern w:val="0"/>
        </w:rPr>
      </w:pPr>
      <w:r>
        <w:rPr>
          <w:rFonts w:ascii="宋体" w:hAnsi="宋体" w:hint="eastAsia"/>
          <w:bCs/>
          <w:kern w:val="0"/>
        </w:rPr>
        <w:t>1、每份基金份额享有同等分配权；</w:t>
      </w:r>
    </w:p>
    <w:p w14:paraId="1360560E" w14:textId="77777777" w:rsidR="0082364D" w:rsidRDefault="00BF2824">
      <w:pPr>
        <w:spacing w:before="60" w:after="60" w:line="400" w:lineRule="exact"/>
        <w:ind w:firstLine="420"/>
        <w:rPr>
          <w:rFonts w:ascii="宋体" w:hAnsi="宋体"/>
          <w:bCs/>
          <w:kern w:val="0"/>
        </w:rPr>
      </w:pPr>
      <w:r>
        <w:rPr>
          <w:rFonts w:ascii="宋体" w:hAnsi="宋体" w:hint="eastAsia"/>
          <w:bCs/>
          <w:kern w:val="0"/>
        </w:rPr>
        <w:t>2、本基金收益评价日核定的基金份额净值增长率超过标的指数同期增长率达到1%以上时，基金管理人可以进行收益分配；</w:t>
      </w:r>
    </w:p>
    <w:p w14:paraId="71D21D71" w14:textId="77777777" w:rsidR="0082364D" w:rsidRDefault="00BF2824">
      <w:pPr>
        <w:spacing w:before="60" w:after="60" w:line="400" w:lineRule="exact"/>
        <w:ind w:firstLine="420"/>
        <w:rPr>
          <w:rFonts w:ascii="宋体" w:hAnsi="宋体"/>
          <w:bCs/>
          <w:kern w:val="0"/>
        </w:rPr>
      </w:pPr>
      <w:r>
        <w:rPr>
          <w:rFonts w:ascii="宋体" w:hAnsi="宋体" w:hint="eastAsia"/>
          <w:bCs/>
          <w:kern w:val="0"/>
        </w:rPr>
        <w:t>3、在符合上述基金分红条件的前提下，由基金管理人根据产品特点自行确定收益分配次数，每次基金收益分配数额的确定原则为：使收益分配后基金份额净值增长率尽可能贴近标的指数同期增长率；若基金合同生效不满3个月可不进行收益分配；</w:t>
      </w:r>
    </w:p>
    <w:p w14:paraId="24C06765" w14:textId="77777777" w:rsidR="0082364D" w:rsidRDefault="00BF2824">
      <w:pPr>
        <w:spacing w:before="60" w:after="60" w:line="400" w:lineRule="exact"/>
        <w:ind w:firstLine="420"/>
        <w:rPr>
          <w:rFonts w:ascii="宋体" w:hAnsi="宋体"/>
          <w:bCs/>
          <w:kern w:val="0"/>
        </w:rPr>
      </w:pPr>
      <w:r>
        <w:rPr>
          <w:rFonts w:ascii="宋体" w:hAnsi="宋体" w:hint="eastAsia"/>
          <w:bCs/>
          <w:kern w:val="0"/>
        </w:rPr>
        <w:t>4、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044B648A" w14:textId="77777777" w:rsidR="0082364D" w:rsidRDefault="00BF2824">
      <w:pPr>
        <w:spacing w:before="60" w:after="60" w:line="400" w:lineRule="exact"/>
        <w:ind w:firstLine="420"/>
        <w:rPr>
          <w:rFonts w:ascii="宋体" w:hAnsi="宋体"/>
          <w:bCs/>
          <w:kern w:val="0"/>
        </w:rPr>
      </w:pPr>
      <w:r>
        <w:rPr>
          <w:rFonts w:ascii="宋体" w:hAnsi="宋体" w:hint="eastAsia"/>
          <w:bCs/>
          <w:kern w:val="0"/>
        </w:rPr>
        <w:t>5、本基金收益分配采取现金方式；</w:t>
      </w:r>
    </w:p>
    <w:p w14:paraId="5B5CA340" w14:textId="77777777" w:rsidR="0082364D" w:rsidRDefault="00BF2824">
      <w:pPr>
        <w:spacing w:before="60" w:after="60" w:line="400" w:lineRule="exact"/>
        <w:ind w:firstLine="420"/>
        <w:rPr>
          <w:rFonts w:ascii="宋体" w:hAnsi="宋体"/>
          <w:bCs/>
          <w:kern w:val="0"/>
        </w:rPr>
      </w:pPr>
      <w:r>
        <w:rPr>
          <w:rFonts w:ascii="宋体" w:hAnsi="宋体" w:hint="eastAsia"/>
          <w:bCs/>
          <w:kern w:val="0"/>
        </w:rPr>
        <w:t>6、法律法规或监管机关另有规定的，从其规定。</w:t>
      </w:r>
    </w:p>
    <w:p w14:paraId="6895B90A" w14:textId="76AFE99F" w:rsidR="0082364D" w:rsidRDefault="00BF2824">
      <w:pPr>
        <w:spacing w:before="60" w:after="60" w:line="400" w:lineRule="exact"/>
        <w:ind w:firstLine="420"/>
        <w:rPr>
          <w:rFonts w:ascii="宋体" w:hAnsi="宋体"/>
          <w:bCs/>
          <w:kern w:val="0"/>
        </w:rPr>
      </w:pPr>
      <w:r>
        <w:rPr>
          <w:rFonts w:ascii="宋体" w:hAnsi="宋体" w:hint="eastAsia"/>
          <w:bCs/>
          <w:kern w:val="0"/>
        </w:rPr>
        <w:t>在不违反法律法规规定的前提下，基金管理人与基金托管人协商一致后可对基金收益分配原则和支付方式进行调整，不需召开基金份额持有人大会审议。</w:t>
      </w:r>
    </w:p>
    <w:p w14:paraId="52E8AF11" w14:textId="77777777" w:rsidR="0082364D" w:rsidRDefault="00BF2824">
      <w:pPr>
        <w:spacing w:before="60" w:after="60" w:line="400" w:lineRule="exact"/>
        <w:ind w:firstLine="420"/>
        <w:rPr>
          <w:rFonts w:ascii="宋体" w:hAnsi="宋体"/>
          <w:kern w:val="0"/>
        </w:rPr>
      </w:pPr>
      <w:r>
        <w:rPr>
          <w:rFonts w:ascii="宋体" w:hAnsi="宋体"/>
          <w:kern w:val="0"/>
        </w:rPr>
        <w:t>（二）基金收益分配数额的确定原则</w:t>
      </w:r>
    </w:p>
    <w:p w14:paraId="4390F15F" w14:textId="77777777" w:rsidR="0082364D" w:rsidRDefault="00BF2824">
      <w:pPr>
        <w:spacing w:before="60" w:after="60" w:line="400" w:lineRule="exact"/>
        <w:ind w:firstLine="420"/>
        <w:rPr>
          <w:rFonts w:ascii="宋体" w:hAnsi="宋体"/>
          <w:bCs/>
          <w:kern w:val="0"/>
        </w:rPr>
      </w:pPr>
      <w:r>
        <w:rPr>
          <w:rFonts w:ascii="宋体" w:hAnsi="宋体"/>
          <w:bCs/>
          <w:kern w:val="0"/>
        </w:rPr>
        <w:t>1、在收益评价日，基金管理人计算基金</w:t>
      </w:r>
      <w:r>
        <w:rPr>
          <w:rFonts w:ascii="宋体" w:hAnsi="宋体" w:hint="eastAsia"/>
          <w:bCs/>
          <w:kern w:val="0"/>
        </w:rPr>
        <w:t>份额</w:t>
      </w:r>
      <w:r>
        <w:rPr>
          <w:rFonts w:ascii="宋体" w:hAnsi="宋体"/>
          <w:bCs/>
          <w:kern w:val="0"/>
        </w:rPr>
        <w:t>净值增长率和标的指数同期增长率。</w:t>
      </w:r>
    </w:p>
    <w:p w14:paraId="2A88AD51" w14:textId="77777777" w:rsidR="0082364D" w:rsidRDefault="00BF2824">
      <w:pPr>
        <w:spacing w:before="60" w:after="60" w:line="400" w:lineRule="exact"/>
        <w:ind w:firstLine="420"/>
        <w:rPr>
          <w:rFonts w:ascii="宋体" w:hAnsi="宋体"/>
          <w:bCs/>
          <w:kern w:val="0"/>
        </w:rPr>
      </w:pPr>
      <w:r>
        <w:rPr>
          <w:rFonts w:ascii="宋体" w:hAnsi="宋体"/>
          <w:bCs/>
          <w:kern w:val="0"/>
        </w:rPr>
        <w:t>基金</w:t>
      </w:r>
      <w:r>
        <w:rPr>
          <w:rFonts w:ascii="宋体" w:hAnsi="宋体" w:hint="eastAsia"/>
          <w:bCs/>
          <w:kern w:val="0"/>
        </w:rPr>
        <w:t>份额</w:t>
      </w:r>
      <w:r>
        <w:rPr>
          <w:rFonts w:ascii="宋体" w:hAnsi="宋体"/>
          <w:bCs/>
          <w:kern w:val="0"/>
        </w:rPr>
        <w:t>净值增长率为收益评价日基金份额净值与基金上市前一</w:t>
      </w:r>
      <w:r>
        <w:rPr>
          <w:rFonts w:ascii="宋体" w:hAnsi="宋体" w:hint="eastAsia"/>
          <w:bCs/>
          <w:kern w:val="0"/>
        </w:rPr>
        <w:t>交易</w:t>
      </w:r>
      <w:r>
        <w:rPr>
          <w:rFonts w:ascii="宋体" w:hAnsi="宋体"/>
          <w:bCs/>
          <w:kern w:val="0"/>
        </w:rPr>
        <w:t>日基金份额净值之比减去1乘以100%（期间如发生基金份额折算，则以基金份额折算日为初始日重新计算）；标的指数同期增长率为收益评价日标的指数收盘值与基金上市前一</w:t>
      </w:r>
      <w:r>
        <w:rPr>
          <w:rFonts w:ascii="宋体" w:hAnsi="宋体" w:hint="eastAsia"/>
          <w:bCs/>
          <w:kern w:val="0"/>
        </w:rPr>
        <w:t>交易</w:t>
      </w:r>
      <w:r>
        <w:rPr>
          <w:rFonts w:ascii="宋体" w:hAnsi="宋体"/>
          <w:bCs/>
          <w:kern w:val="0"/>
        </w:rPr>
        <w:t>日标的指数收盘值之比减去1乘以100%</w:t>
      </w:r>
      <w:r>
        <w:rPr>
          <w:rFonts w:ascii="宋体" w:hAnsi="宋体" w:hint="eastAsia"/>
          <w:bCs/>
          <w:kern w:val="0"/>
        </w:rPr>
        <w:t>（使用估值汇率折算）</w:t>
      </w:r>
      <w:r>
        <w:rPr>
          <w:rFonts w:ascii="宋体" w:hAnsi="宋体"/>
          <w:bCs/>
          <w:kern w:val="0"/>
        </w:rPr>
        <w:t>（期间如发生基金份额折算，则以基金份额折算日为初始日重新计算）。</w:t>
      </w:r>
    </w:p>
    <w:p w14:paraId="586DD42A" w14:textId="77777777" w:rsidR="0082364D" w:rsidRDefault="00BF2824">
      <w:pPr>
        <w:spacing w:before="60" w:after="60" w:line="400" w:lineRule="exact"/>
        <w:ind w:firstLine="420"/>
        <w:rPr>
          <w:rFonts w:ascii="宋体" w:hAnsi="宋体"/>
          <w:bCs/>
          <w:kern w:val="0"/>
        </w:rPr>
      </w:pPr>
      <w:r>
        <w:rPr>
          <w:rFonts w:ascii="宋体" w:hAnsi="宋体"/>
          <w:bCs/>
          <w:kern w:val="0"/>
        </w:rPr>
        <w:t>截至收益评价日基金</w:t>
      </w:r>
      <w:r>
        <w:rPr>
          <w:rFonts w:ascii="宋体" w:hAnsi="宋体" w:hint="eastAsia"/>
          <w:bCs/>
          <w:kern w:val="0"/>
        </w:rPr>
        <w:t>份额</w:t>
      </w:r>
      <w:r>
        <w:rPr>
          <w:rFonts w:ascii="宋体" w:hAnsi="宋体"/>
          <w:bCs/>
          <w:kern w:val="0"/>
        </w:rPr>
        <w:t>净值增长率减去标的指数同期增长率的差额</w:t>
      </w:r>
      <w:r>
        <w:rPr>
          <w:rFonts w:ascii="宋体" w:hAnsi="宋体" w:hint="eastAsia"/>
          <w:bCs/>
          <w:kern w:val="0"/>
        </w:rPr>
        <w:t>达到</w:t>
      </w:r>
      <w:r>
        <w:rPr>
          <w:rFonts w:ascii="宋体" w:hAnsi="宋体"/>
          <w:bCs/>
          <w:kern w:val="0"/>
        </w:rPr>
        <w:t>1%</w:t>
      </w:r>
      <w:r>
        <w:rPr>
          <w:rFonts w:ascii="宋体" w:hAnsi="宋体" w:hint="eastAsia"/>
          <w:bCs/>
          <w:kern w:val="0"/>
        </w:rPr>
        <w:t>以上</w:t>
      </w:r>
      <w:r>
        <w:rPr>
          <w:rFonts w:ascii="宋体" w:hAnsi="宋体"/>
          <w:bCs/>
          <w:kern w:val="0"/>
        </w:rPr>
        <w:t>时，基金管理人可以进行收益分配。</w:t>
      </w:r>
    </w:p>
    <w:p w14:paraId="08714400" w14:textId="77777777" w:rsidR="0082364D" w:rsidRDefault="00BF2824">
      <w:pPr>
        <w:spacing w:before="60" w:after="60" w:line="400" w:lineRule="exact"/>
        <w:ind w:firstLine="420"/>
        <w:rPr>
          <w:rFonts w:ascii="宋体" w:hAnsi="宋体"/>
          <w:bCs/>
          <w:kern w:val="0"/>
        </w:rPr>
      </w:pPr>
      <w:r>
        <w:rPr>
          <w:rFonts w:ascii="宋体" w:hAnsi="宋体"/>
          <w:bCs/>
          <w:kern w:val="0"/>
        </w:rPr>
        <w:t>2、当基金收益评价日核定的基金</w:t>
      </w:r>
      <w:r>
        <w:rPr>
          <w:rFonts w:ascii="宋体" w:hAnsi="宋体" w:hint="eastAsia"/>
          <w:bCs/>
          <w:kern w:val="0"/>
        </w:rPr>
        <w:t>份额</w:t>
      </w:r>
      <w:r>
        <w:rPr>
          <w:rFonts w:ascii="宋体" w:hAnsi="宋体"/>
          <w:bCs/>
          <w:kern w:val="0"/>
        </w:rPr>
        <w:t>净值增长率超过标的指数同期增长率达到1%以上时，以使收益分配后基金</w:t>
      </w:r>
      <w:r>
        <w:rPr>
          <w:rFonts w:ascii="宋体" w:hAnsi="宋体" w:hint="eastAsia"/>
          <w:bCs/>
          <w:kern w:val="0"/>
        </w:rPr>
        <w:t>份额</w:t>
      </w:r>
      <w:r>
        <w:rPr>
          <w:rFonts w:ascii="宋体" w:hAnsi="宋体"/>
          <w:bCs/>
          <w:kern w:val="0"/>
        </w:rPr>
        <w:t>净值增长率尽可能贴近标的指数同期增长率为原则确定收益分配数额。</w:t>
      </w:r>
    </w:p>
    <w:p w14:paraId="7C4A6753" w14:textId="77777777" w:rsidR="0082364D" w:rsidRDefault="00BF2824">
      <w:pPr>
        <w:spacing w:before="60" w:after="60" w:line="400" w:lineRule="exact"/>
        <w:ind w:firstLine="420"/>
        <w:rPr>
          <w:rFonts w:ascii="宋体" w:hAnsi="宋体"/>
          <w:kern w:val="0"/>
        </w:rPr>
      </w:pPr>
      <w:r>
        <w:rPr>
          <w:rFonts w:ascii="宋体" w:hAnsi="宋体"/>
          <w:kern w:val="0"/>
        </w:rPr>
        <w:t>（三）收益分配方案</w:t>
      </w:r>
    </w:p>
    <w:p w14:paraId="4D6AC540" w14:textId="77777777" w:rsidR="0082364D" w:rsidRDefault="00BF2824">
      <w:pPr>
        <w:spacing w:before="60" w:after="60" w:line="400" w:lineRule="exact"/>
        <w:ind w:firstLine="420"/>
        <w:rPr>
          <w:rFonts w:ascii="宋体" w:hAnsi="宋体"/>
          <w:bCs/>
          <w:kern w:val="0"/>
        </w:rPr>
      </w:pPr>
      <w:r>
        <w:rPr>
          <w:rFonts w:ascii="宋体" w:hAnsi="宋体"/>
          <w:bCs/>
          <w:kern w:val="0"/>
        </w:rPr>
        <w:t>基金收益分配方案中应载明基金收益分配对象、分配原则、分配时间、分配数额及比例、分配方式及有关手续费等内容。</w:t>
      </w:r>
    </w:p>
    <w:p w14:paraId="141E09E2" w14:textId="77777777" w:rsidR="0082364D" w:rsidRDefault="00BF2824">
      <w:pPr>
        <w:spacing w:before="60" w:after="60" w:line="400" w:lineRule="exact"/>
        <w:ind w:firstLine="420"/>
        <w:rPr>
          <w:rFonts w:ascii="宋体" w:hAnsi="宋体"/>
          <w:kern w:val="0"/>
        </w:rPr>
      </w:pPr>
      <w:r>
        <w:rPr>
          <w:rFonts w:ascii="宋体" w:hAnsi="宋体"/>
          <w:kern w:val="0"/>
        </w:rPr>
        <w:t>（四）收益分配方案的确定、公告与实施</w:t>
      </w:r>
    </w:p>
    <w:p w14:paraId="5F6DF093" w14:textId="77777777" w:rsidR="0082364D" w:rsidRDefault="00BF2824">
      <w:pPr>
        <w:spacing w:before="60" w:after="60" w:line="400" w:lineRule="exact"/>
        <w:ind w:firstLine="420"/>
        <w:rPr>
          <w:rFonts w:ascii="宋体" w:hAnsi="宋体"/>
          <w:bCs/>
          <w:kern w:val="0"/>
        </w:rPr>
      </w:pPr>
      <w:r>
        <w:rPr>
          <w:rFonts w:ascii="宋体" w:hAnsi="宋体"/>
          <w:bCs/>
          <w:kern w:val="0"/>
        </w:rPr>
        <w:lastRenderedPageBreak/>
        <w:t>基金收益分配方案由基金管理人拟定，并由基金托管人复核后确定，基金管理人依照《信息披露办法》的有关规定在规定媒介上公告。</w:t>
      </w:r>
    </w:p>
    <w:p w14:paraId="17B33090" w14:textId="77777777" w:rsidR="0082364D" w:rsidRDefault="00BF2824">
      <w:pPr>
        <w:spacing w:before="60" w:after="60" w:line="400" w:lineRule="exact"/>
        <w:ind w:firstLine="420"/>
        <w:rPr>
          <w:rFonts w:ascii="宋体" w:hAnsi="宋体"/>
          <w:kern w:val="0"/>
        </w:rPr>
      </w:pPr>
      <w:r>
        <w:rPr>
          <w:rFonts w:ascii="宋体" w:hAnsi="宋体"/>
          <w:kern w:val="0"/>
        </w:rPr>
        <w:t>（五）基金收益分配中发生的费用</w:t>
      </w:r>
    </w:p>
    <w:p w14:paraId="505AD323" w14:textId="77777777" w:rsidR="0082364D" w:rsidRDefault="00BF2824">
      <w:pPr>
        <w:spacing w:before="60" w:after="60" w:line="400" w:lineRule="exact"/>
        <w:ind w:firstLine="420"/>
        <w:rPr>
          <w:rFonts w:ascii="宋体" w:hAnsi="宋体"/>
          <w:bCs/>
          <w:kern w:val="0"/>
        </w:rPr>
      </w:pPr>
      <w:r>
        <w:rPr>
          <w:rFonts w:ascii="宋体" w:hAnsi="宋体"/>
          <w:bCs/>
          <w:kern w:val="0"/>
        </w:rPr>
        <w:t>收益分配时发生的银行转账等手续费用由基金份额持有人自行承担。</w:t>
      </w:r>
    </w:p>
    <w:p w14:paraId="4762C2DA" w14:textId="77777777" w:rsidR="0082364D" w:rsidRDefault="0082364D">
      <w:pPr>
        <w:spacing w:before="60" w:after="60" w:line="400" w:lineRule="exact"/>
        <w:ind w:firstLine="420"/>
        <w:rPr>
          <w:rFonts w:ascii="宋体" w:hAnsi="宋体"/>
          <w:kern w:val="0"/>
        </w:rPr>
      </w:pPr>
    </w:p>
    <w:p w14:paraId="32D9F692" w14:textId="77777777" w:rsidR="0082364D" w:rsidRDefault="00BF2824">
      <w:pPr>
        <w:pStyle w:val="1"/>
        <w:spacing w:before="120" w:after="120" w:line="360" w:lineRule="auto"/>
        <w:jc w:val="center"/>
        <w:rPr>
          <w:rFonts w:ascii="宋体" w:hAnsi="宋体"/>
          <w:sz w:val="28"/>
        </w:rPr>
      </w:pPr>
      <w:r>
        <w:rPr>
          <w:rFonts w:ascii="宋体" w:hAnsi="宋体"/>
          <w:sz w:val="28"/>
          <w:szCs w:val="28"/>
        </w:rPr>
        <w:br w:type="page"/>
      </w:r>
      <w:bookmarkStart w:id="96" w:name="_Hlt88827255"/>
      <w:bookmarkStart w:id="97" w:name="_Toc283892837"/>
      <w:bookmarkStart w:id="98" w:name="_Toc283892157"/>
      <w:bookmarkStart w:id="99" w:name="_Toc283892785"/>
      <w:bookmarkStart w:id="100" w:name="_Toc353291725"/>
      <w:bookmarkStart w:id="101" w:name="_Toc449605673"/>
      <w:bookmarkStart w:id="102" w:name="_Toc108598525"/>
      <w:bookmarkEnd w:id="93"/>
      <w:bookmarkEnd w:id="94"/>
      <w:bookmarkEnd w:id="95"/>
      <w:bookmarkEnd w:id="96"/>
      <w:r>
        <w:rPr>
          <w:rFonts w:ascii="宋体" w:hAnsi="宋体"/>
          <w:sz w:val="28"/>
        </w:rPr>
        <w:lastRenderedPageBreak/>
        <w:t>十</w:t>
      </w:r>
      <w:r>
        <w:rPr>
          <w:rFonts w:ascii="宋体" w:hAnsi="宋体" w:hint="eastAsia"/>
          <w:sz w:val="28"/>
        </w:rPr>
        <w:t>四</w:t>
      </w:r>
      <w:r>
        <w:rPr>
          <w:rFonts w:ascii="宋体" w:hAnsi="宋体"/>
          <w:sz w:val="28"/>
        </w:rPr>
        <w:t>、基金的会计与审计</w:t>
      </w:r>
      <w:bookmarkEnd w:id="97"/>
      <w:bookmarkEnd w:id="98"/>
      <w:bookmarkEnd w:id="99"/>
      <w:bookmarkEnd w:id="100"/>
      <w:bookmarkEnd w:id="101"/>
      <w:bookmarkEnd w:id="102"/>
    </w:p>
    <w:p w14:paraId="6ED4FC8D" w14:textId="77777777" w:rsidR="0082364D" w:rsidRDefault="00BF2824">
      <w:pPr>
        <w:spacing w:line="360" w:lineRule="auto"/>
        <w:ind w:firstLineChars="200" w:firstLine="420"/>
        <w:jc w:val="left"/>
        <w:rPr>
          <w:rFonts w:ascii="宋体" w:hAnsi="宋体"/>
        </w:rPr>
      </w:pPr>
      <w:r>
        <w:rPr>
          <w:rFonts w:ascii="宋体" w:hAnsi="宋体"/>
        </w:rPr>
        <w:t>（一）基金会计政策</w:t>
      </w:r>
    </w:p>
    <w:p w14:paraId="7BE9B24B" w14:textId="77777777" w:rsidR="0082364D" w:rsidRDefault="00BF2824">
      <w:pPr>
        <w:spacing w:line="360" w:lineRule="auto"/>
        <w:ind w:firstLineChars="200" w:firstLine="420"/>
        <w:jc w:val="left"/>
        <w:rPr>
          <w:rFonts w:ascii="宋体" w:hAnsi="宋体"/>
          <w:bCs/>
        </w:rPr>
      </w:pPr>
      <w:r>
        <w:rPr>
          <w:rFonts w:ascii="宋体" w:hAnsi="宋体"/>
          <w:bCs/>
        </w:rPr>
        <w:t>1、基金管理人为本基金的基金会计责任方；</w:t>
      </w:r>
    </w:p>
    <w:p w14:paraId="4F69D7DD" w14:textId="77777777" w:rsidR="0082364D" w:rsidRDefault="00BF2824">
      <w:pPr>
        <w:spacing w:line="360" w:lineRule="auto"/>
        <w:ind w:firstLineChars="200" w:firstLine="420"/>
        <w:jc w:val="left"/>
        <w:rPr>
          <w:rFonts w:ascii="宋体" w:hAnsi="宋体"/>
          <w:bCs/>
        </w:rPr>
      </w:pPr>
      <w:r>
        <w:rPr>
          <w:rFonts w:ascii="宋体" w:hAnsi="宋体"/>
          <w:bCs/>
        </w:rPr>
        <w:t xml:space="preserve">2、基金的会计年度为公历年度的1月1日至12月31日； </w:t>
      </w:r>
    </w:p>
    <w:p w14:paraId="2A8B136D" w14:textId="77777777" w:rsidR="0082364D" w:rsidRDefault="00BF2824">
      <w:pPr>
        <w:spacing w:line="360" w:lineRule="auto"/>
        <w:ind w:firstLineChars="200" w:firstLine="420"/>
        <w:jc w:val="left"/>
        <w:rPr>
          <w:rFonts w:ascii="宋体" w:hAnsi="宋体"/>
          <w:bCs/>
        </w:rPr>
      </w:pPr>
      <w:r>
        <w:rPr>
          <w:rFonts w:ascii="宋体" w:hAnsi="宋体"/>
          <w:bCs/>
        </w:rPr>
        <w:t>3、基金核算以人民币为记账本位币，以人民币元为记账单位；</w:t>
      </w:r>
    </w:p>
    <w:p w14:paraId="347503C8" w14:textId="77777777" w:rsidR="0082364D" w:rsidRDefault="00BF2824">
      <w:pPr>
        <w:spacing w:line="360" w:lineRule="auto"/>
        <w:ind w:firstLineChars="200" w:firstLine="420"/>
        <w:jc w:val="left"/>
        <w:rPr>
          <w:rFonts w:ascii="宋体" w:hAnsi="宋体"/>
          <w:bCs/>
        </w:rPr>
      </w:pPr>
      <w:r>
        <w:rPr>
          <w:rFonts w:ascii="宋体" w:hAnsi="宋体"/>
          <w:bCs/>
        </w:rPr>
        <w:t>4、会计制度执行国家有关会计制度；</w:t>
      </w:r>
    </w:p>
    <w:p w14:paraId="081ED891" w14:textId="77777777" w:rsidR="0082364D" w:rsidRDefault="00BF2824">
      <w:pPr>
        <w:spacing w:line="360" w:lineRule="auto"/>
        <w:ind w:firstLineChars="200" w:firstLine="420"/>
        <w:jc w:val="left"/>
        <w:rPr>
          <w:rFonts w:ascii="宋体" w:hAnsi="宋体"/>
          <w:bCs/>
        </w:rPr>
      </w:pPr>
      <w:r>
        <w:rPr>
          <w:rFonts w:ascii="宋体" w:hAnsi="宋体"/>
          <w:bCs/>
        </w:rPr>
        <w:t>5、本基金独立建账、独立核算；</w:t>
      </w:r>
    </w:p>
    <w:p w14:paraId="2266DC0A" w14:textId="77777777" w:rsidR="0082364D" w:rsidRDefault="00BF2824">
      <w:pPr>
        <w:spacing w:line="360" w:lineRule="auto"/>
        <w:ind w:firstLineChars="200" w:firstLine="420"/>
        <w:jc w:val="left"/>
        <w:rPr>
          <w:rFonts w:ascii="宋体" w:hAnsi="宋体"/>
          <w:bCs/>
        </w:rPr>
      </w:pPr>
      <w:r>
        <w:rPr>
          <w:rFonts w:ascii="宋体" w:hAnsi="宋体"/>
          <w:bCs/>
        </w:rPr>
        <w:t>6、基金管理人及基金托管人各自保留完整的会计账目、凭证并进行日常的会计核算，按照有关规定编制基金会计报表；</w:t>
      </w:r>
    </w:p>
    <w:p w14:paraId="5F14294C" w14:textId="77777777" w:rsidR="0082364D" w:rsidRDefault="00BF2824">
      <w:pPr>
        <w:spacing w:line="360" w:lineRule="auto"/>
        <w:ind w:firstLineChars="200" w:firstLine="420"/>
        <w:jc w:val="left"/>
        <w:rPr>
          <w:rFonts w:ascii="宋体" w:hAnsi="宋体"/>
          <w:bCs/>
        </w:rPr>
      </w:pPr>
      <w:r>
        <w:rPr>
          <w:rFonts w:ascii="宋体" w:hAnsi="宋体"/>
          <w:bCs/>
        </w:rPr>
        <w:t>7、基金托管人每月与基金管理人就基金的会计核算、报表编制等进行核对并以书面方式确认。</w:t>
      </w:r>
    </w:p>
    <w:p w14:paraId="23813542" w14:textId="77777777" w:rsidR="0082364D" w:rsidRDefault="00BF2824">
      <w:pPr>
        <w:spacing w:line="360" w:lineRule="auto"/>
        <w:ind w:firstLineChars="200" w:firstLine="420"/>
        <w:jc w:val="left"/>
        <w:rPr>
          <w:rFonts w:ascii="宋体" w:hAnsi="宋体"/>
        </w:rPr>
      </w:pPr>
      <w:r>
        <w:rPr>
          <w:rFonts w:ascii="宋体" w:hAnsi="宋体"/>
        </w:rPr>
        <w:t>（二）基金的年度审计</w:t>
      </w:r>
    </w:p>
    <w:p w14:paraId="2EE4E6FD" w14:textId="77777777" w:rsidR="0082364D" w:rsidRDefault="00BF2824">
      <w:pPr>
        <w:spacing w:line="360" w:lineRule="auto"/>
        <w:ind w:firstLineChars="200" w:firstLine="420"/>
        <w:jc w:val="left"/>
        <w:rPr>
          <w:rFonts w:ascii="宋体" w:hAnsi="宋体"/>
          <w:bCs/>
        </w:rPr>
      </w:pPr>
      <w:r>
        <w:rPr>
          <w:rFonts w:ascii="宋体" w:hAnsi="宋体"/>
          <w:bCs/>
        </w:rPr>
        <w:t>1、基金管理人聘请与基金管理人、基金托管人相互独立的</w:t>
      </w:r>
      <w:r>
        <w:rPr>
          <w:rFonts w:ascii="宋体" w:hAnsi="宋体" w:hint="eastAsia"/>
          <w:bCs/>
        </w:rPr>
        <w:t>符合《证券法》规定</w:t>
      </w:r>
      <w:r>
        <w:rPr>
          <w:rFonts w:ascii="宋体" w:hAnsi="宋体"/>
          <w:bCs/>
        </w:rPr>
        <w:t>的会计师事务所及其注册会计师对本基金的年度财务报表进行审计。</w:t>
      </w:r>
    </w:p>
    <w:p w14:paraId="1E7E52BA" w14:textId="77777777" w:rsidR="0082364D" w:rsidRDefault="00BF2824">
      <w:pPr>
        <w:spacing w:line="360" w:lineRule="auto"/>
        <w:ind w:firstLineChars="200" w:firstLine="420"/>
        <w:jc w:val="left"/>
        <w:rPr>
          <w:rFonts w:ascii="宋体" w:hAnsi="宋体"/>
          <w:bCs/>
        </w:rPr>
      </w:pPr>
      <w:r>
        <w:rPr>
          <w:rFonts w:ascii="宋体" w:hAnsi="宋体"/>
          <w:bCs/>
        </w:rPr>
        <w:t>2、会计师事务所更换经办注册会计师，应事先征得基金管理人同意。</w:t>
      </w:r>
    </w:p>
    <w:p w14:paraId="6F3862BD" w14:textId="77777777" w:rsidR="0082364D" w:rsidRDefault="00BF2824">
      <w:pPr>
        <w:spacing w:line="360" w:lineRule="auto"/>
        <w:ind w:firstLineChars="200" w:firstLine="420"/>
        <w:jc w:val="left"/>
        <w:rPr>
          <w:rFonts w:ascii="宋体" w:hAnsi="宋体"/>
          <w:bCs/>
        </w:rPr>
      </w:pPr>
      <w:r>
        <w:rPr>
          <w:rFonts w:ascii="宋体" w:hAnsi="宋体"/>
          <w:bCs/>
        </w:rPr>
        <w:t>3、</w:t>
      </w:r>
      <w:bookmarkStart w:id="103" w:name="_Hlt4221115"/>
      <w:bookmarkEnd w:id="103"/>
      <w:r>
        <w:rPr>
          <w:rFonts w:ascii="宋体" w:hAnsi="宋体"/>
          <w:bCs/>
        </w:rPr>
        <w:t>基金管理人认为有充足理由更换会计师事务所，须通报基金托管人。更换会计师事务所需依照《信息披露办法》的有关规定在规定媒介公告。</w:t>
      </w:r>
    </w:p>
    <w:p w14:paraId="6130DD33" w14:textId="77777777" w:rsidR="0082364D" w:rsidRDefault="0082364D">
      <w:pPr>
        <w:spacing w:line="360" w:lineRule="auto"/>
        <w:ind w:firstLineChars="200" w:firstLine="420"/>
        <w:jc w:val="left"/>
        <w:rPr>
          <w:rFonts w:ascii="宋体" w:hAnsi="宋体"/>
        </w:rPr>
      </w:pPr>
    </w:p>
    <w:p w14:paraId="2AA2E723" w14:textId="77777777" w:rsidR="0082364D" w:rsidRDefault="0082364D">
      <w:pPr>
        <w:spacing w:line="360" w:lineRule="auto"/>
        <w:ind w:firstLineChars="200" w:firstLine="420"/>
        <w:jc w:val="left"/>
        <w:rPr>
          <w:rFonts w:ascii="宋体" w:hAnsi="宋体"/>
        </w:rPr>
      </w:pPr>
    </w:p>
    <w:p w14:paraId="4689FBFC" w14:textId="77777777" w:rsidR="0082364D" w:rsidRDefault="00BF2824">
      <w:pPr>
        <w:pStyle w:val="1"/>
        <w:spacing w:before="120" w:after="120" w:line="360" w:lineRule="auto"/>
        <w:jc w:val="center"/>
        <w:rPr>
          <w:rFonts w:ascii="宋体" w:hAnsi="宋体"/>
          <w:sz w:val="28"/>
        </w:rPr>
      </w:pPr>
      <w:bookmarkStart w:id="104" w:name="_Toc283892158"/>
      <w:bookmarkStart w:id="105" w:name="_Toc283892786"/>
      <w:bookmarkStart w:id="106" w:name="_Toc283892838"/>
      <w:r>
        <w:rPr>
          <w:rFonts w:ascii="宋体" w:hAnsi="宋体"/>
          <w:sz w:val="28"/>
          <w:szCs w:val="28"/>
        </w:rPr>
        <w:br w:type="page"/>
      </w:r>
      <w:bookmarkStart w:id="107" w:name="_Toc108598526"/>
      <w:bookmarkStart w:id="108" w:name="_Toc353291726"/>
      <w:bookmarkStart w:id="109" w:name="_Toc449605674"/>
      <w:r>
        <w:rPr>
          <w:rFonts w:ascii="宋体" w:hAnsi="宋体"/>
          <w:sz w:val="28"/>
        </w:rPr>
        <w:lastRenderedPageBreak/>
        <w:t>十</w:t>
      </w:r>
      <w:r>
        <w:rPr>
          <w:rFonts w:ascii="宋体" w:hAnsi="宋体" w:hint="eastAsia"/>
          <w:sz w:val="28"/>
        </w:rPr>
        <w:t>五</w:t>
      </w:r>
      <w:r>
        <w:rPr>
          <w:rFonts w:ascii="宋体" w:hAnsi="宋体"/>
          <w:sz w:val="28"/>
        </w:rPr>
        <w:t>、基金的信息披露</w:t>
      </w:r>
      <w:bookmarkEnd w:id="104"/>
      <w:bookmarkEnd w:id="105"/>
      <w:bookmarkEnd w:id="106"/>
      <w:bookmarkEnd w:id="107"/>
      <w:bookmarkEnd w:id="108"/>
      <w:bookmarkEnd w:id="109"/>
    </w:p>
    <w:p w14:paraId="3694DD52" w14:textId="77777777" w:rsidR="0082364D" w:rsidRDefault="00BF2824">
      <w:pPr>
        <w:spacing w:line="360" w:lineRule="auto"/>
        <w:ind w:firstLineChars="200" w:firstLine="420"/>
        <w:jc w:val="left"/>
        <w:rPr>
          <w:rFonts w:ascii="宋体" w:hAnsi="宋体"/>
          <w:bCs/>
        </w:rPr>
      </w:pPr>
      <w:r>
        <w:rPr>
          <w:rFonts w:ascii="宋体" w:hAnsi="宋体" w:hint="eastAsia"/>
          <w:bCs/>
        </w:rPr>
        <w:t>（一）</w:t>
      </w:r>
      <w:r>
        <w:rPr>
          <w:rFonts w:ascii="宋体" w:hAnsi="宋体"/>
          <w:bCs/>
        </w:rPr>
        <w:t>本基金的信息披露应符合《基金法》、《运作办法》、《信息披露办法》、</w:t>
      </w:r>
      <w:r>
        <w:rPr>
          <w:rFonts w:ascii="宋体" w:hAnsi="宋体" w:hint="eastAsia"/>
          <w:bCs/>
        </w:rPr>
        <w:t>《流动性</w:t>
      </w:r>
      <w:r>
        <w:rPr>
          <w:rFonts w:ascii="宋体" w:hAnsi="宋体"/>
          <w:bCs/>
        </w:rPr>
        <w:t>风险管理规定</w:t>
      </w:r>
      <w:r>
        <w:rPr>
          <w:rFonts w:ascii="宋体" w:hAnsi="宋体" w:hint="eastAsia"/>
          <w:bCs/>
        </w:rPr>
        <w:t>》、</w:t>
      </w:r>
      <w:r>
        <w:rPr>
          <w:rFonts w:ascii="宋体" w:hAnsi="宋体"/>
          <w:bCs/>
        </w:rPr>
        <w:t>《基金合同》及其他有关规定。</w:t>
      </w:r>
      <w:r>
        <w:rPr>
          <w:rFonts w:ascii="宋体" w:hAnsi="宋体" w:hint="eastAsia"/>
          <w:bCs/>
        </w:rPr>
        <w:t>相关法律法规或监管机关就基金的信息披露做出新的规定或予以调整的，本基金按照其最新规定执行，无需基金份额持有人大会审议。</w:t>
      </w:r>
    </w:p>
    <w:p w14:paraId="07FB666A" w14:textId="77777777" w:rsidR="0082364D" w:rsidRDefault="00BF2824">
      <w:pPr>
        <w:spacing w:line="360" w:lineRule="auto"/>
        <w:ind w:firstLineChars="200" w:firstLine="420"/>
        <w:jc w:val="left"/>
        <w:rPr>
          <w:rFonts w:ascii="宋体" w:hAnsi="宋体"/>
          <w:bCs/>
        </w:rPr>
      </w:pPr>
      <w:r>
        <w:rPr>
          <w:rFonts w:ascii="宋体" w:hAnsi="宋体" w:hint="eastAsia"/>
          <w:bCs/>
        </w:rPr>
        <w:t>（二）信息披露义务人</w:t>
      </w:r>
    </w:p>
    <w:p w14:paraId="529498E5" w14:textId="77777777" w:rsidR="0082364D" w:rsidRDefault="00BF2824">
      <w:pPr>
        <w:spacing w:line="360" w:lineRule="auto"/>
        <w:ind w:firstLineChars="200" w:firstLine="420"/>
        <w:jc w:val="left"/>
        <w:rPr>
          <w:rFonts w:ascii="宋体" w:hAnsi="宋体"/>
          <w:bCs/>
        </w:rPr>
      </w:pPr>
      <w:bookmarkStart w:id="110" w:name="_Hlk22075238"/>
      <w:r>
        <w:rPr>
          <w:rFonts w:ascii="宋体" w:hAnsi="宋体"/>
          <w:bCs/>
        </w:rPr>
        <w:t>本基金信息披露义务人包括基金管理人、基金托管人、召集基金份额持有人大会的基金份额持有人等法律、行政法规和中国证监会规定的自然人、法人和非法人组织。</w:t>
      </w:r>
    </w:p>
    <w:p w14:paraId="29BA5F5C" w14:textId="77777777" w:rsidR="0082364D" w:rsidRDefault="00BF2824">
      <w:pPr>
        <w:spacing w:line="360" w:lineRule="auto"/>
        <w:ind w:firstLineChars="200" w:firstLine="420"/>
        <w:jc w:val="left"/>
        <w:rPr>
          <w:rFonts w:ascii="宋体" w:hAnsi="宋体"/>
          <w:bCs/>
        </w:rPr>
      </w:pPr>
      <w:r>
        <w:rPr>
          <w:rFonts w:ascii="宋体" w:hAnsi="宋体"/>
          <w:bCs/>
        </w:rPr>
        <w:t>本基金信息披露义务人以保护基金份额持有人利益为根本出发点，按照法律法规和中国证监会的规定披露基金信息，并保证所披露信息的真实性、准确性、完整性、及时性、简明性和易得性。</w:t>
      </w:r>
    </w:p>
    <w:p w14:paraId="6DE921EA" w14:textId="77777777" w:rsidR="0082364D" w:rsidRDefault="00BF2824">
      <w:pPr>
        <w:spacing w:line="360" w:lineRule="auto"/>
        <w:ind w:firstLineChars="200" w:firstLine="420"/>
        <w:jc w:val="left"/>
        <w:rPr>
          <w:rFonts w:ascii="宋体" w:hAnsi="宋体"/>
          <w:bCs/>
        </w:rPr>
      </w:pPr>
      <w:r>
        <w:rPr>
          <w:rFonts w:ascii="宋体" w:hAnsi="宋体"/>
          <w:bCs/>
        </w:rPr>
        <w:t>本基金信息披露义务人应当在中国证监会规定时间内，将应予披露的基金信息通过</w:t>
      </w:r>
      <w:r>
        <w:rPr>
          <w:rFonts w:ascii="宋体" w:hAnsi="宋体" w:hint="eastAsia"/>
          <w:bCs/>
        </w:rPr>
        <w:t>符合</w:t>
      </w:r>
      <w:r>
        <w:rPr>
          <w:rFonts w:ascii="宋体" w:hAnsi="宋体"/>
          <w:bCs/>
        </w:rPr>
        <w:t>中国证监会</w:t>
      </w:r>
      <w:r>
        <w:rPr>
          <w:rFonts w:ascii="宋体" w:hAnsi="宋体" w:hint="eastAsia"/>
          <w:bCs/>
        </w:rPr>
        <w:t>规定条件</w:t>
      </w:r>
      <w:r>
        <w:rPr>
          <w:rFonts w:ascii="宋体" w:hAnsi="宋体"/>
          <w:bCs/>
        </w:rPr>
        <w:t>的全国性报刊（以下简称“规定报刊”）及</w:t>
      </w:r>
      <w:r>
        <w:rPr>
          <w:rFonts w:ascii="宋体" w:hAnsi="宋体" w:hint="eastAsia"/>
          <w:bCs/>
        </w:rPr>
        <w:t>《信息披露办法》规定的</w:t>
      </w:r>
      <w:r>
        <w:rPr>
          <w:rFonts w:ascii="宋体" w:hAnsi="宋体"/>
          <w:bCs/>
        </w:rPr>
        <w:t>互联网网站（以下简称“规定网站”）等媒介披露，并保证基金投资者能够按照《基金合同》约定的时间和方式查阅或者复制公开披露的信息资料。</w:t>
      </w:r>
    </w:p>
    <w:bookmarkEnd w:id="110"/>
    <w:p w14:paraId="23C6F184" w14:textId="77777777" w:rsidR="0082364D" w:rsidRDefault="00BF2824">
      <w:pPr>
        <w:spacing w:line="360" w:lineRule="auto"/>
        <w:ind w:firstLineChars="200" w:firstLine="420"/>
        <w:jc w:val="left"/>
        <w:rPr>
          <w:rFonts w:ascii="宋体" w:hAnsi="宋体"/>
          <w:bCs/>
        </w:rPr>
      </w:pPr>
      <w:r>
        <w:rPr>
          <w:rFonts w:ascii="宋体" w:hAnsi="宋体" w:hint="eastAsia"/>
          <w:bCs/>
        </w:rPr>
        <w:t>（三）本基金信息披露义务人承诺公开披露的基金信息，不得有下列行为：</w:t>
      </w:r>
    </w:p>
    <w:p w14:paraId="222C10D3" w14:textId="77777777" w:rsidR="0082364D" w:rsidRDefault="00BF2824">
      <w:pPr>
        <w:spacing w:line="360" w:lineRule="auto"/>
        <w:ind w:firstLineChars="200" w:firstLine="420"/>
        <w:jc w:val="left"/>
        <w:rPr>
          <w:rFonts w:ascii="宋体" w:hAnsi="宋体"/>
          <w:bCs/>
        </w:rPr>
      </w:pPr>
      <w:r>
        <w:rPr>
          <w:rFonts w:ascii="宋体" w:hAnsi="宋体"/>
          <w:bCs/>
        </w:rPr>
        <w:t>1、虚假记载、误导性陈述或者重大遗漏；</w:t>
      </w:r>
    </w:p>
    <w:p w14:paraId="0F8E2727" w14:textId="77777777" w:rsidR="0082364D" w:rsidRDefault="00BF2824">
      <w:pPr>
        <w:spacing w:line="360" w:lineRule="auto"/>
        <w:ind w:firstLineChars="200" w:firstLine="420"/>
        <w:jc w:val="left"/>
        <w:rPr>
          <w:rFonts w:ascii="宋体" w:hAnsi="宋体"/>
          <w:bCs/>
        </w:rPr>
      </w:pPr>
      <w:r>
        <w:rPr>
          <w:rFonts w:ascii="宋体" w:hAnsi="宋体"/>
          <w:bCs/>
        </w:rPr>
        <w:t>2、对证券投资业绩进行预测；</w:t>
      </w:r>
    </w:p>
    <w:p w14:paraId="5B80B4FE" w14:textId="77777777" w:rsidR="0082364D" w:rsidRDefault="00BF2824">
      <w:pPr>
        <w:spacing w:line="360" w:lineRule="auto"/>
        <w:ind w:firstLineChars="200" w:firstLine="420"/>
        <w:jc w:val="left"/>
        <w:rPr>
          <w:rFonts w:ascii="宋体" w:hAnsi="宋体"/>
          <w:bCs/>
        </w:rPr>
      </w:pPr>
      <w:r>
        <w:rPr>
          <w:rFonts w:ascii="宋体" w:hAnsi="宋体"/>
          <w:bCs/>
        </w:rPr>
        <w:t>3、违规承诺收益或者承担损失；</w:t>
      </w:r>
    </w:p>
    <w:p w14:paraId="73AC6C75" w14:textId="77777777" w:rsidR="0082364D" w:rsidRDefault="00BF2824">
      <w:pPr>
        <w:spacing w:line="360" w:lineRule="auto"/>
        <w:ind w:firstLineChars="200" w:firstLine="420"/>
        <w:jc w:val="left"/>
        <w:rPr>
          <w:rFonts w:ascii="宋体" w:hAnsi="宋体"/>
          <w:bCs/>
        </w:rPr>
      </w:pPr>
      <w:r>
        <w:rPr>
          <w:rFonts w:ascii="宋体" w:hAnsi="宋体"/>
          <w:bCs/>
        </w:rPr>
        <w:t>4、诋毁其他基金管理人、基金托管人或者基金销售机构；</w:t>
      </w:r>
    </w:p>
    <w:p w14:paraId="38C9ABD5" w14:textId="77777777" w:rsidR="0082364D" w:rsidRDefault="00BF2824">
      <w:pPr>
        <w:spacing w:line="360" w:lineRule="auto"/>
        <w:ind w:firstLineChars="200" w:firstLine="420"/>
        <w:jc w:val="left"/>
        <w:rPr>
          <w:rFonts w:ascii="宋体" w:hAnsi="宋体"/>
          <w:bCs/>
        </w:rPr>
      </w:pPr>
      <w:r>
        <w:rPr>
          <w:rFonts w:ascii="宋体" w:hAnsi="宋体"/>
          <w:bCs/>
        </w:rPr>
        <w:t>5、登载任何自然人、法人和非法人组织的祝贺性、恭维性或推荐性的文字；</w:t>
      </w:r>
    </w:p>
    <w:p w14:paraId="2BD1D070" w14:textId="77777777" w:rsidR="0082364D" w:rsidRDefault="00BF2824">
      <w:pPr>
        <w:spacing w:line="360" w:lineRule="auto"/>
        <w:ind w:firstLineChars="200" w:firstLine="420"/>
        <w:jc w:val="left"/>
        <w:rPr>
          <w:rFonts w:ascii="宋体" w:hAnsi="宋体"/>
          <w:bCs/>
        </w:rPr>
      </w:pPr>
      <w:r>
        <w:rPr>
          <w:rFonts w:ascii="宋体" w:hAnsi="宋体"/>
          <w:bCs/>
        </w:rPr>
        <w:t>6、中国证监会禁止的其他行为。</w:t>
      </w:r>
    </w:p>
    <w:p w14:paraId="2B362C29" w14:textId="77777777" w:rsidR="0082364D" w:rsidRDefault="00BF2824">
      <w:pPr>
        <w:spacing w:line="360" w:lineRule="auto"/>
        <w:ind w:firstLineChars="200" w:firstLine="420"/>
        <w:jc w:val="left"/>
        <w:rPr>
          <w:rFonts w:ascii="宋体" w:hAnsi="宋体"/>
          <w:bCs/>
        </w:rPr>
      </w:pPr>
      <w:r>
        <w:rPr>
          <w:rFonts w:ascii="宋体" w:hAnsi="宋体" w:hint="eastAsia"/>
          <w:bCs/>
        </w:rPr>
        <w:t>（四）</w:t>
      </w:r>
      <w:r>
        <w:rPr>
          <w:rFonts w:ascii="宋体" w:hAnsi="宋体"/>
          <w:bCs/>
        </w:rPr>
        <w:t>本基金公开披露的信息应采用中文文本。同时采用外文文本的，基金信息披露义务人应保证不同文本的内容一致。不同文本之间发生歧义的，以中文文本为准。</w:t>
      </w:r>
    </w:p>
    <w:p w14:paraId="5848E1B5" w14:textId="77777777" w:rsidR="0082364D" w:rsidRDefault="00BF2824">
      <w:pPr>
        <w:spacing w:line="360" w:lineRule="auto"/>
        <w:ind w:firstLineChars="200" w:firstLine="420"/>
        <w:jc w:val="left"/>
        <w:rPr>
          <w:rFonts w:ascii="宋体" w:hAnsi="宋体"/>
          <w:bCs/>
        </w:rPr>
      </w:pPr>
      <w:r>
        <w:rPr>
          <w:rFonts w:ascii="宋体" w:hAnsi="宋体"/>
          <w:bCs/>
        </w:rPr>
        <w:t>本基金公开披露的信息采用阿拉伯数字；除特别说明外，货币单位为人民币元。</w:t>
      </w:r>
    </w:p>
    <w:p w14:paraId="7F07BB29" w14:textId="77777777" w:rsidR="0082364D" w:rsidRDefault="00BF2824">
      <w:pPr>
        <w:spacing w:line="360" w:lineRule="auto"/>
        <w:ind w:firstLineChars="200" w:firstLine="420"/>
        <w:jc w:val="left"/>
        <w:rPr>
          <w:rFonts w:ascii="宋体" w:hAnsi="宋体"/>
          <w:bCs/>
        </w:rPr>
      </w:pPr>
      <w:r>
        <w:rPr>
          <w:rFonts w:ascii="宋体" w:hAnsi="宋体" w:hint="eastAsia"/>
          <w:bCs/>
        </w:rPr>
        <w:t>（五）公开披露的基金信息</w:t>
      </w:r>
    </w:p>
    <w:p w14:paraId="66A40F00" w14:textId="77777777" w:rsidR="0082364D" w:rsidRDefault="00BF2824">
      <w:pPr>
        <w:spacing w:line="360" w:lineRule="auto"/>
        <w:ind w:firstLineChars="200" w:firstLine="420"/>
        <w:jc w:val="left"/>
        <w:rPr>
          <w:rFonts w:ascii="宋体" w:hAnsi="宋体"/>
          <w:bCs/>
        </w:rPr>
      </w:pPr>
      <w:r>
        <w:rPr>
          <w:rFonts w:ascii="宋体" w:hAnsi="宋体" w:hint="eastAsia"/>
          <w:bCs/>
        </w:rPr>
        <w:t>公开披露的基金信息包括：</w:t>
      </w:r>
    </w:p>
    <w:p w14:paraId="3EE05DA0"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基金招募说明书、《基金合同》、基金托管协议、基金产品资料概要</w:t>
      </w:r>
    </w:p>
    <w:p w14:paraId="407488CF"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《基金合同》是界定《基金合同》当事人的各项权利、义务关系，明确基金份额</w:t>
      </w:r>
      <w:r>
        <w:rPr>
          <w:rFonts w:ascii="宋体" w:hAnsi="宋体"/>
          <w:bCs/>
        </w:rPr>
        <w:lastRenderedPageBreak/>
        <w:t>持有人大会召开的规则及具体程序，说明基金产品的特性等涉及基金投资者重大利益的事项的法律文件。</w:t>
      </w:r>
    </w:p>
    <w:p w14:paraId="51B14431" w14:textId="77777777" w:rsidR="0082364D" w:rsidRDefault="00BF2824">
      <w:pPr>
        <w:spacing w:line="360" w:lineRule="auto"/>
        <w:ind w:firstLineChars="200" w:firstLine="420"/>
        <w:jc w:val="left"/>
        <w:rPr>
          <w:rFonts w:ascii="宋体" w:hAnsi="宋体"/>
          <w:bCs/>
        </w:rPr>
      </w:pPr>
      <w:r>
        <w:rPr>
          <w:rFonts w:ascii="宋体" w:hAnsi="宋体" w:hint="eastAsia"/>
          <w:bCs/>
        </w:rPr>
        <w:t>（2）</w:t>
      </w:r>
      <w:r>
        <w:rPr>
          <w:rFonts w:ascii="宋体" w:hAnsi="宋体"/>
          <w:bCs/>
        </w:rPr>
        <w:t>基金招募说明书应当</w:t>
      </w:r>
      <w:r>
        <w:rPr>
          <w:rFonts w:ascii="宋体" w:hAnsi="宋体" w:hint="eastAsia"/>
          <w:bCs/>
        </w:rPr>
        <w:t>按照法律法规和监管要求</w:t>
      </w:r>
      <w:r>
        <w:rPr>
          <w:rFonts w:ascii="宋体" w:hAnsi="宋体"/>
          <w:bCs/>
        </w:rPr>
        <w:t>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1891E139" w14:textId="77777777" w:rsidR="0082364D" w:rsidRDefault="00BF2824">
      <w:pPr>
        <w:spacing w:line="360" w:lineRule="auto"/>
        <w:ind w:firstLineChars="200" w:firstLine="420"/>
        <w:jc w:val="left"/>
        <w:rPr>
          <w:rFonts w:ascii="宋体" w:hAnsi="宋体"/>
          <w:bCs/>
        </w:rPr>
      </w:pPr>
      <w:r>
        <w:rPr>
          <w:rFonts w:ascii="宋体" w:hAnsi="宋体" w:hint="eastAsia"/>
          <w:bCs/>
        </w:rPr>
        <w:t>（3）</w:t>
      </w:r>
      <w:r>
        <w:rPr>
          <w:rFonts w:ascii="宋体" w:hAnsi="宋体"/>
          <w:bCs/>
        </w:rPr>
        <w:t>基金托管协议是界定基金托管人和基金管理人在基金财产保管及基金运作监督等活动中的权利、义务关系的法律文件。</w:t>
      </w:r>
    </w:p>
    <w:p w14:paraId="2F79FDE2" w14:textId="77777777" w:rsidR="0082364D" w:rsidRDefault="00BF2824">
      <w:pPr>
        <w:spacing w:line="360" w:lineRule="auto"/>
        <w:ind w:firstLineChars="200" w:firstLine="420"/>
        <w:jc w:val="left"/>
        <w:rPr>
          <w:rFonts w:ascii="宋体" w:hAnsi="宋体"/>
          <w:bCs/>
        </w:rPr>
      </w:pPr>
      <w:r>
        <w:rPr>
          <w:rFonts w:ascii="宋体" w:hAnsi="宋体" w:hint="eastAsia"/>
          <w:bCs/>
        </w:rPr>
        <w:t>（4）</w:t>
      </w:r>
      <w:r>
        <w:rPr>
          <w:rFonts w:ascii="宋体" w:hAnsi="宋体"/>
          <w:bCs/>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760D8716" w14:textId="77777777" w:rsidR="0082364D" w:rsidRDefault="00BF2824">
      <w:pPr>
        <w:spacing w:line="360" w:lineRule="auto"/>
        <w:ind w:firstLineChars="200" w:firstLine="420"/>
        <w:jc w:val="left"/>
        <w:rPr>
          <w:rFonts w:ascii="宋体" w:hAnsi="宋体"/>
          <w:bCs/>
        </w:rPr>
      </w:pPr>
      <w:r>
        <w:rPr>
          <w:rFonts w:ascii="宋体" w:hAnsi="宋体" w:hint="eastAsia"/>
          <w:bCs/>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00045BD8" w14:textId="77777777" w:rsidR="0082364D" w:rsidRDefault="00BF2824">
      <w:pPr>
        <w:spacing w:line="360" w:lineRule="auto"/>
        <w:ind w:firstLineChars="200" w:firstLine="420"/>
        <w:jc w:val="left"/>
        <w:rPr>
          <w:rFonts w:ascii="宋体" w:hAnsi="宋体"/>
          <w:bCs/>
        </w:rPr>
      </w:pPr>
      <w:r>
        <w:rPr>
          <w:rFonts w:ascii="宋体" w:hAnsi="宋体" w:hint="eastAsia"/>
          <w:bCs/>
        </w:rPr>
        <w:t>2、</w:t>
      </w:r>
      <w:r>
        <w:rPr>
          <w:rFonts w:ascii="宋体" w:hAnsi="宋体"/>
          <w:bCs/>
        </w:rPr>
        <w:t>基金份额发售公告</w:t>
      </w:r>
    </w:p>
    <w:p w14:paraId="424422E5" w14:textId="77777777" w:rsidR="0082364D" w:rsidRDefault="00BF2824">
      <w:pPr>
        <w:spacing w:line="360" w:lineRule="auto"/>
        <w:ind w:firstLineChars="200" w:firstLine="420"/>
        <w:jc w:val="left"/>
        <w:rPr>
          <w:rFonts w:ascii="宋体" w:hAnsi="宋体"/>
          <w:bCs/>
        </w:rPr>
      </w:pPr>
      <w:r>
        <w:rPr>
          <w:rFonts w:ascii="宋体" w:hAnsi="宋体"/>
          <w:bCs/>
        </w:rPr>
        <w:t>基金管理人应当就基金份额发售的具体事宜编制基金份额发售公告，并在披露招募说明书的当日登载于规定媒介上。</w:t>
      </w:r>
    </w:p>
    <w:p w14:paraId="4AFB7239" w14:textId="77777777" w:rsidR="0082364D" w:rsidRDefault="00BF2824">
      <w:pPr>
        <w:spacing w:line="360" w:lineRule="auto"/>
        <w:ind w:firstLineChars="200" w:firstLine="420"/>
        <w:jc w:val="left"/>
        <w:rPr>
          <w:rFonts w:ascii="宋体" w:hAnsi="宋体"/>
          <w:bCs/>
        </w:rPr>
      </w:pPr>
      <w:r>
        <w:rPr>
          <w:rFonts w:ascii="宋体" w:hAnsi="宋体" w:hint="eastAsia"/>
          <w:bCs/>
        </w:rPr>
        <w:t>3、</w:t>
      </w:r>
      <w:r>
        <w:rPr>
          <w:rFonts w:ascii="宋体" w:hAnsi="宋体"/>
          <w:bCs/>
        </w:rPr>
        <w:t>《基金合同》生效公告</w:t>
      </w:r>
    </w:p>
    <w:p w14:paraId="2B59E3E7" w14:textId="77777777" w:rsidR="0082364D" w:rsidRDefault="00BF2824">
      <w:pPr>
        <w:spacing w:line="360" w:lineRule="auto"/>
        <w:ind w:firstLineChars="200" w:firstLine="420"/>
        <w:jc w:val="left"/>
        <w:rPr>
          <w:rFonts w:ascii="宋体" w:hAnsi="宋体"/>
          <w:bCs/>
        </w:rPr>
      </w:pPr>
      <w:r>
        <w:rPr>
          <w:rFonts w:ascii="宋体" w:hAnsi="宋体"/>
          <w:bCs/>
        </w:rPr>
        <w:t>基金管理人应当在收到中国证监会确认文件的次日在规定媒介上登载《基金合同》生效公告。</w:t>
      </w:r>
    </w:p>
    <w:p w14:paraId="3288DDAD" w14:textId="77777777" w:rsidR="0082364D" w:rsidRDefault="00BF2824">
      <w:pPr>
        <w:spacing w:line="360" w:lineRule="auto"/>
        <w:ind w:firstLineChars="200" w:firstLine="420"/>
        <w:jc w:val="left"/>
        <w:rPr>
          <w:rFonts w:ascii="宋体" w:hAnsi="宋体"/>
          <w:bCs/>
        </w:rPr>
      </w:pPr>
      <w:r>
        <w:rPr>
          <w:rFonts w:ascii="宋体" w:hAnsi="宋体" w:hint="eastAsia"/>
          <w:bCs/>
        </w:rPr>
        <w:t>4、</w:t>
      </w:r>
      <w:r>
        <w:rPr>
          <w:rFonts w:ascii="宋体" w:hAnsi="宋体"/>
          <w:bCs/>
        </w:rPr>
        <w:t>基金净值</w:t>
      </w:r>
      <w:r>
        <w:rPr>
          <w:rFonts w:ascii="宋体" w:hAnsi="宋体" w:hint="eastAsia"/>
          <w:bCs/>
        </w:rPr>
        <w:t>信息</w:t>
      </w:r>
    </w:p>
    <w:p w14:paraId="47ACF7A2" w14:textId="77777777" w:rsidR="0082364D" w:rsidRDefault="00BF2824">
      <w:pPr>
        <w:spacing w:line="360" w:lineRule="auto"/>
        <w:ind w:firstLineChars="200" w:firstLine="420"/>
        <w:jc w:val="left"/>
        <w:rPr>
          <w:rFonts w:ascii="宋体" w:hAnsi="宋体"/>
          <w:bCs/>
        </w:rPr>
      </w:pPr>
      <w:r>
        <w:rPr>
          <w:rFonts w:ascii="宋体" w:hAnsi="宋体"/>
          <w:bCs/>
        </w:rPr>
        <w:t>《基金合同》生效后，在开始办理基金份额申购或者赎回</w:t>
      </w:r>
      <w:r>
        <w:rPr>
          <w:rFonts w:ascii="宋体" w:hAnsi="宋体" w:hint="eastAsia"/>
          <w:bCs/>
        </w:rPr>
        <w:t>前且未上市交易</w:t>
      </w:r>
      <w:r>
        <w:rPr>
          <w:rFonts w:ascii="宋体" w:hAnsi="宋体"/>
          <w:bCs/>
        </w:rPr>
        <w:t>前，基金管理人应当至少每周在规定网站披露一次基金份额净值和基金份额累计净值。</w:t>
      </w:r>
    </w:p>
    <w:p w14:paraId="51A4EE1F" w14:textId="77777777" w:rsidR="0082364D" w:rsidRDefault="00BF2824">
      <w:pPr>
        <w:spacing w:line="360" w:lineRule="auto"/>
        <w:ind w:firstLineChars="200" w:firstLine="420"/>
        <w:jc w:val="left"/>
        <w:rPr>
          <w:rFonts w:ascii="宋体" w:hAnsi="宋体"/>
          <w:bCs/>
        </w:rPr>
      </w:pPr>
      <w:r>
        <w:rPr>
          <w:rFonts w:ascii="宋体" w:hAnsi="宋体"/>
          <w:bCs/>
        </w:rPr>
        <w:t>在开始办理基金份额申购或者赎回</w:t>
      </w:r>
      <w:r>
        <w:rPr>
          <w:rFonts w:ascii="宋体" w:hAnsi="宋体" w:hint="eastAsia"/>
          <w:bCs/>
        </w:rPr>
        <w:t>或上市交易</w:t>
      </w:r>
      <w:r>
        <w:rPr>
          <w:rFonts w:ascii="宋体" w:hAnsi="宋体"/>
          <w:bCs/>
        </w:rPr>
        <w:t>后，基金管理人应当在不晚于每个开放</w:t>
      </w:r>
      <w:r>
        <w:rPr>
          <w:rFonts w:ascii="宋体" w:hAnsi="宋体"/>
          <w:bCs/>
        </w:rPr>
        <w:lastRenderedPageBreak/>
        <w:t>日</w:t>
      </w:r>
      <w:r>
        <w:rPr>
          <w:rFonts w:ascii="宋体" w:hAnsi="宋体" w:hint="eastAsia"/>
          <w:bCs/>
        </w:rPr>
        <w:t>/交易日后的第2个工作日</w:t>
      </w:r>
      <w:r>
        <w:rPr>
          <w:rFonts w:ascii="宋体" w:hAnsi="宋体"/>
          <w:bCs/>
        </w:rPr>
        <w:t>，通过规定网站、基金销售机构网站或者营业网点披露开放日</w:t>
      </w:r>
      <w:r>
        <w:rPr>
          <w:rFonts w:ascii="宋体" w:hAnsi="宋体" w:hint="eastAsia"/>
          <w:bCs/>
        </w:rPr>
        <w:t>/交易日</w:t>
      </w:r>
      <w:r>
        <w:rPr>
          <w:rFonts w:ascii="宋体" w:hAnsi="宋体"/>
          <w:bCs/>
        </w:rPr>
        <w:t>的基金份额净值和基金份额累计净值。</w:t>
      </w:r>
    </w:p>
    <w:p w14:paraId="3F500729" w14:textId="77777777" w:rsidR="0082364D" w:rsidRDefault="00BF2824">
      <w:pPr>
        <w:spacing w:line="360" w:lineRule="auto"/>
        <w:ind w:firstLineChars="200" w:firstLine="420"/>
        <w:jc w:val="left"/>
        <w:rPr>
          <w:rFonts w:ascii="宋体" w:hAnsi="宋体"/>
          <w:bCs/>
        </w:rPr>
      </w:pPr>
      <w:r>
        <w:rPr>
          <w:rFonts w:ascii="宋体" w:hAnsi="宋体"/>
          <w:bCs/>
        </w:rPr>
        <w:t>基金管理人应当在不晚于半年度和年度最后一日</w:t>
      </w:r>
      <w:r>
        <w:rPr>
          <w:rFonts w:ascii="宋体" w:hAnsi="宋体" w:hint="eastAsia"/>
          <w:bCs/>
        </w:rPr>
        <w:t>后的第2个工作日</w:t>
      </w:r>
      <w:r>
        <w:rPr>
          <w:rFonts w:ascii="宋体" w:hAnsi="宋体"/>
          <w:bCs/>
        </w:rPr>
        <w:t>，在规定网站披露半年度和年度最后一日的基金份额净值和基金份额累计净值。</w:t>
      </w:r>
    </w:p>
    <w:p w14:paraId="7C2F78F2" w14:textId="77777777" w:rsidR="0082364D" w:rsidRDefault="00BF2824">
      <w:pPr>
        <w:spacing w:line="360" w:lineRule="auto"/>
        <w:ind w:firstLineChars="200" w:firstLine="420"/>
        <w:jc w:val="left"/>
        <w:rPr>
          <w:rFonts w:ascii="宋体" w:hAnsi="宋体"/>
          <w:bCs/>
        </w:rPr>
      </w:pPr>
      <w:r>
        <w:rPr>
          <w:rFonts w:ascii="宋体" w:hAnsi="宋体" w:hint="eastAsia"/>
          <w:bCs/>
        </w:rPr>
        <w:t>5、</w:t>
      </w:r>
      <w:r>
        <w:rPr>
          <w:rFonts w:ascii="宋体" w:hAnsi="宋体"/>
          <w:bCs/>
        </w:rPr>
        <w:t>申购赎回清单</w:t>
      </w:r>
    </w:p>
    <w:p w14:paraId="443FDFF0" w14:textId="77777777" w:rsidR="0082364D" w:rsidRDefault="00BF2824">
      <w:pPr>
        <w:spacing w:line="360" w:lineRule="auto"/>
        <w:ind w:firstLineChars="200" w:firstLine="420"/>
        <w:jc w:val="left"/>
        <w:rPr>
          <w:rFonts w:ascii="宋体" w:hAnsi="宋体"/>
          <w:bCs/>
        </w:rPr>
      </w:pPr>
      <w:r>
        <w:rPr>
          <w:rFonts w:ascii="宋体" w:hAnsi="宋体"/>
          <w:bCs/>
        </w:rPr>
        <w:t>在开始办理基金份额申购或者赎回之后，基金管理人应当在每个开放日，通过</w:t>
      </w:r>
      <w:r>
        <w:rPr>
          <w:rFonts w:ascii="宋体" w:hAnsi="宋体" w:hint="eastAsia"/>
          <w:bCs/>
        </w:rPr>
        <w:t>规定网站</w:t>
      </w:r>
      <w:r>
        <w:rPr>
          <w:rFonts w:ascii="宋体" w:hAnsi="宋体"/>
          <w:bCs/>
        </w:rPr>
        <w:t>、申购赎回代理</w:t>
      </w:r>
      <w:r>
        <w:rPr>
          <w:rFonts w:ascii="宋体" w:hAnsi="宋体" w:hint="eastAsia"/>
          <w:bCs/>
        </w:rPr>
        <w:t>券商</w:t>
      </w:r>
      <w:r>
        <w:rPr>
          <w:rFonts w:ascii="宋体" w:hAnsi="宋体"/>
          <w:bCs/>
        </w:rPr>
        <w:t>或其他媒介公告当日的申购赎回清单。</w:t>
      </w:r>
    </w:p>
    <w:p w14:paraId="617ED61F" w14:textId="77777777" w:rsidR="0082364D" w:rsidRDefault="00BF2824">
      <w:pPr>
        <w:spacing w:line="360" w:lineRule="auto"/>
        <w:ind w:firstLineChars="200" w:firstLine="420"/>
        <w:jc w:val="left"/>
        <w:rPr>
          <w:rFonts w:ascii="宋体" w:hAnsi="宋体"/>
          <w:bCs/>
        </w:rPr>
      </w:pPr>
      <w:r>
        <w:rPr>
          <w:rFonts w:ascii="宋体" w:hAnsi="宋体" w:hint="eastAsia"/>
          <w:bCs/>
        </w:rPr>
        <w:t>6、</w:t>
      </w:r>
      <w:r>
        <w:rPr>
          <w:rFonts w:ascii="宋体" w:hAnsi="宋体"/>
          <w:bCs/>
        </w:rPr>
        <w:t>基金份额上市交易公告书</w:t>
      </w:r>
    </w:p>
    <w:p w14:paraId="59E95E98" w14:textId="77777777" w:rsidR="0082364D" w:rsidRDefault="00BF2824">
      <w:pPr>
        <w:spacing w:line="360" w:lineRule="auto"/>
        <w:ind w:firstLineChars="200" w:firstLine="420"/>
        <w:jc w:val="left"/>
        <w:rPr>
          <w:rFonts w:ascii="宋体" w:hAnsi="宋体"/>
          <w:bCs/>
        </w:rPr>
      </w:pPr>
      <w:r>
        <w:rPr>
          <w:rFonts w:ascii="宋体" w:hAnsi="宋体"/>
          <w:bCs/>
        </w:rPr>
        <w:t>基金份额获准在证券交易所上市交易的，基金管理人应当在基金份额上市交易</w:t>
      </w:r>
      <w:r>
        <w:rPr>
          <w:rFonts w:ascii="宋体" w:hAnsi="宋体" w:hint="eastAsia"/>
          <w:bCs/>
        </w:rPr>
        <w:t>的</w:t>
      </w:r>
      <w:r>
        <w:rPr>
          <w:rFonts w:ascii="宋体" w:hAnsi="宋体"/>
          <w:bCs/>
        </w:rPr>
        <w:t>3个工作日前，将基金份额上市交易公告书登载在规定网站上</w:t>
      </w:r>
      <w:r>
        <w:rPr>
          <w:rFonts w:ascii="宋体" w:hAnsi="宋体" w:hint="eastAsia"/>
          <w:bCs/>
        </w:rPr>
        <w:t>，</w:t>
      </w:r>
      <w:r>
        <w:rPr>
          <w:rFonts w:ascii="宋体" w:hAnsi="宋体"/>
          <w:bCs/>
        </w:rPr>
        <w:t>并将基金份额上市交易公告书</w:t>
      </w:r>
      <w:r>
        <w:rPr>
          <w:rFonts w:ascii="宋体" w:hAnsi="宋体" w:hint="eastAsia"/>
          <w:bCs/>
        </w:rPr>
        <w:t>提示性公告</w:t>
      </w:r>
      <w:r>
        <w:rPr>
          <w:rFonts w:ascii="宋体" w:hAnsi="宋体"/>
          <w:bCs/>
        </w:rPr>
        <w:t>登载在</w:t>
      </w:r>
      <w:r>
        <w:rPr>
          <w:rFonts w:ascii="宋体" w:hAnsi="宋体" w:hint="eastAsia"/>
          <w:bCs/>
        </w:rPr>
        <w:t>规定报刊</w:t>
      </w:r>
      <w:r>
        <w:rPr>
          <w:rFonts w:ascii="宋体" w:hAnsi="宋体"/>
          <w:bCs/>
        </w:rPr>
        <w:t>上。</w:t>
      </w:r>
    </w:p>
    <w:p w14:paraId="68DEC64E" w14:textId="77777777" w:rsidR="0082364D" w:rsidRDefault="00BF2824">
      <w:pPr>
        <w:spacing w:line="360" w:lineRule="auto"/>
        <w:ind w:firstLineChars="200" w:firstLine="420"/>
        <w:jc w:val="left"/>
        <w:rPr>
          <w:rFonts w:ascii="宋体" w:hAnsi="宋体"/>
          <w:bCs/>
        </w:rPr>
      </w:pPr>
      <w:r>
        <w:rPr>
          <w:rFonts w:ascii="宋体" w:hAnsi="宋体" w:hint="eastAsia"/>
          <w:bCs/>
        </w:rPr>
        <w:t>7、基金份额申购、赎回对价</w:t>
      </w:r>
    </w:p>
    <w:p w14:paraId="456A9D6A" w14:textId="77777777" w:rsidR="0082364D" w:rsidRDefault="00BF2824">
      <w:pPr>
        <w:spacing w:line="360" w:lineRule="auto"/>
        <w:ind w:firstLineChars="200" w:firstLine="420"/>
        <w:jc w:val="left"/>
        <w:rPr>
          <w:rFonts w:ascii="宋体" w:hAnsi="宋体"/>
          <w:bCs/>
        </w:rPr>
      </w:pPr>
      <w:r>
        <w:rPr>
          <w:rFonts w:ascii="宋体" w:hAnsi="宋体" w:hint="eastAsia"/>
          <w:bCs/>
        </w:rPr>
        <w:t>基金管理人应当在基金合同、招募说明书等信息披露文件上载明基金份额申购、赎回对价的计算方式及有关申购、赎回费率，并保证投资者能够在基金销售机构网站或者营业网点查阅或者复制前述信息资料。</w:t>
      </w:r>
    </w:p>
    <w:p w14:paraId="2625C7BF" w14:textId="77777777" w:rsidR="0082364D" w:rsidRDefault="00BF2824">
      <w:pPr>
        <w:spacing w:line="360" w:lineRule="auto"/>
        <w:ind w:firstLineChars="200" w:firstLine="420"/>
        <w:jc w:val="left"/>
        <w:rPr>
          <w:rFonts w:ascii="宋体" w:hAnsi="宋体"/>
          <w:bCs/>
        </w:rPr>
      </w:pPr>
      <w:r>
        <w:rPr>
          <w:rFonts w:ascii="宋体" w:hAnsi="宋体" w:hint="eastAsia"/>
          <w:bCs/>
        </w:rPr>
        <w:t>8、基金份额折算日公告、基金份额折算结果公告</w:t>
      </w:r>
    </w:p>
    <w:p w14:paraId="126CB4DE" w14:textId="77777777" w:rsidR="0082364D" w:rsidRDefault="00BF2824">
      <w:pPr>
        <w:spacing w:line="360" w:lineRule="auto"/>
        <w:ind w:firstLineChars="200" w:firstLine="420"/>
        <w:jc w:val="left"/>
        <w:rPr>
          <w:rFonts w:ascii="宋体" w:hAnsi="宋体"/>
          <w:bCs/>
        </w:rPr>
      </w:pPr>
      <w:r>
        <w:rPr>
          <w:rFonts w:ascii="宋体" w:hAnsi="宋体" w:hint="eastAsia"/>
          <w:bCs/>
        </w:rPr>
        <w:t>基金合同生效后，本基金可以进行份额折算。基金管理人有权确定基金份额折算日，并提前公告。</w:t>
      </w:r>
    </w:p>
    <w:p w14:paraId="6F637140" w14:textId="77777777" w:rsidR="0082364D" w:rsidRDefault="00BF2824">
      <w:pPr>
        <w:spacing w:line="360" w:lineRule="auto"/>
        <w:ind w:firstLineChars="200" w:firstLine="420"/>
        <w:jc w:val="left"/>
        <w:rPr>
          <w:rFonts w:ascii="宋体" w:hAnsi="宋体"/>
          <w:bCs/>
        </w:rPr>
      </w:pPr>
      <w:r>
        <w:rPr>
          <w:rFonts w:ascii="宋体" w:hAnsi="宋体" w:hint="eastAsia"/>
          <w:bCs/>
        </w:rPr>
        <w:t>基金份额进行折算并由登记结算机构完成基金份额的变更登记后，基金管理人应将基金份额折算结果公告登载于规定媒介上。</w:t>
      </w:r>
    </w:p>
    <w:p w14:paraId="54FCA4D3" w14:textId="77777777" w:rsidR="0082364D" w:rsidRDefault="00BF2824">
      <w:pPr>
        <w:spacing w:line="360" w:lineRule="auto"/>
        <w:ind w:firstLineChars="200" w:firstLine="420"/>
        <w:jc w:val="left"/>
        <w:rPr>
          <w:rFonts w:ascii="宋体" w:hAnsi="宋体"/>
          <w:bCs/>
        </w:rPr>
      </w:pPr>
      <w:r>
        <w:rPr>
          <w:rFonts w:ascii="宋体" w:hAnsi="宋体"/>
          <w:bCs/>
        </w:rPr>
        <w:t>9</w:t>
      </w:r>
      <w:r>
        <w:rPr>
          <w:rFonts w:ascii="宋体" w:hAnsi="宋体" w:hint="eastAsia"/>
          <w:bCs/>
        </w:rPr>
        <w:t>、</w:t>
      </w:r>
      <w:r>
        <w:rPr>
          <w:rFonts w:ascii="宋体" w:hAnsi="宋体"/>
          <w:bCs/>
        </w:rPr>
        <w:t>基金定期报告，包括基金年度报告、基金中期报告和基金季度报告</w:t>
      </w:r>
    </w:p>
    <w:p w14:paraId="7B4C272A" w14:textId="77777777" w:rsidR="0082364D" w:rsidRDefault="00BF2824">
      <w:pPr>
        <w:spacing w:line="360" w:lineRule="auto"/>
        <w:ind w:firstLineChars="200" w:firstLine="420"/>
        <w:jc w:val="left"/>
        <w:rPr>
          <w:rFonts w:ascii="宋体" w:hAnsi="宋体"/>
          <w:bCs/>
        </w:rPr>
      </w:pPr>
      <w:r>
        <w:rPr>
          <w:rFonts w:ascii="宋体" w:hAnsi="宋体"/>
          <w:bCs/>
        </w:rPr>
        <w:t>基金管理人应当在每年结束之日起三个月内，编制完成基金年度报告，将年度报告登载在规定网站上，并将年度报告提示性公告登载在规定报刊上。基金年度报告中的财务会计报告应当经过</w:t>
      </w:r>
      <w:r>
        <w:rPr>
          <w:rFonts w:ascii="宋体" w:hAnsi="宋体" w:hint="eastAsia"/>
          <w:bCs/>
        </w:rPr>
        <w:t>符合《证券法》规定</w:t>
      </w:r>
      <w:r>
        <w:rPr>
          <w:rFonts w:ascii="宋体" w:hAnsi="宋体"/>
          <w:bCs/>
        </w:rPr>
        <w:t>的会计师事务所审计。</w:t>
      </w:r>
    </w:p>
    <w:p w14:paraId="33876168" w14:textId="77777777" w:rsidR="0082364D" w:rsidRDefault="00BF2824">
      <w:pPr>
        <w:spacing w:line="360" w:lineRule="auto"/>
        <w:ind w:firstLineChars="200" w:firstLine="420"/>
        <w:jc w:val="left"/>
        <w:rPr>
          <w:rFonts w:ascii="宋体" w:hAnsi="宋体"/>
          <w:bCs/>
        </w:rPr>
      </w:pPr>
      <w:r>
        <w:rPr>
          <w:rFonts w:ascii="宋体" w:hAnsi="宋体"/>
          <w:bCs/>
        </w:rPr>
        <w:t>基金管理人应当在上半年结束之日起两个月内，编制完成基金中期报告，将中期报告登载在规定网站上，并将中期报告提示性公告登载在规定报刊上。</w:t>
      </w:r>
    </w:p>
    <w:p w14:paraId="6BB0A307" w14:textId="77777777" w:rsidR="0082364D" w:rsidRDefault="00BF2824">
      <w:pPr>
        <w:spacing w:line="360" w:lineRule="auto"/>
        <w:ind w:firstLineChars="200" w:firstLine="420"/>
        <w:jc w:val="left"/>
        <w:rPr>
          <w:rFonts w:ascii="宋体" w:hAnsi="宋体"/>
          <w:bCs/>
        </w:rPr>
      </w:pPr>
      <w:r>
        <w:rPr>
          <w:rFonts w:ascii="宋体" w:hAnsi="宋体"/>
          <w:bCs/>
        </w:rPr>
        <w:t>基金管理人应当在季度结束之日起15个工作日内，编制完成基金季度报告，</w:t>
      </w:r>
      <w:r>
        <w:rPr>
          <w:rFonts w:ascii="宋体" w:hAnsi="宋体" w:hint="eastAsia"/>
          <w:bCs/>
        </w:rPr>
        <w:t>将季度报告登载在规定网站上，</w:t>
      </w:r>
      <w:r>
        <w:rPr>
          <w:rFonts w:ascii="宋体" w:hAnsi="宋体"/>
          <w:bCs/>
        </w:rPr>
        <w:t>并将季度报告</w:t>
      </w:r>
      <w:r>
        <w:rPr>
          <w:rFonts w:ascii="宋体" w:hAnsi="宋体" w:hint="eastAsia"/>
          <w:bCs/>
        </w:rPr>
        <w:t>提示性公告</w:t>
      </w:r>
      <w:r>
        <w:rPr>
          <w:rFonts w:ascii="宋体" w:hAnsi="宋体"/>
          <w:bCs/>
        </w:rPr>
        <w:t>登载在</w:t>
      </w:r>
      <w:r>
        <w:rPr>
          <w:rFonts w:ascii="宋体" w:hAnsi="宋体" w:hint="eastAsia"/>
          <w:bCs/>
        </w:rPr>
        <w:t>规定报刊</w:t>
      </w:r>
      <w:r>
        <w:rPr>
          <w:rFonts w:ascii="宋体" w:hAnsi="宋体"/>
          <w:bCs/>
        </w:rPr>
        <w:t>上。</w:t>
      </w:r>
    </w:p>
    <w:p w14:paraId="726B31FC" w14:textId="77777777" w:rsidR="0082364D" w:rsidRDefault="00BF2824">
      <w:pPr>
        <w:spacing w:line="360" w:lineRule="auto"/>
        <w:ind w:firstLineChars="200" w:firstLine="420"/>
        <w:jc w:val="left"/>
        <w:rPr>
          <w:rFonts w:ascii="宋体" w:hAnsi="宋体"/>
          <w:bCs/>
        </w:rPr>
      </w:pPr>
      <w:r>
        <w:rPr>
          <w:rFonts w:ascii="宋体" w:hAnsi="宋体"/>
          <w:bCs/>
        </w:rPr>
        <w:t>《基金合同》生效不足2个月的，基金管理人可以不编制当期季度报告、中期报告或者年度报告。</w:t>
      </w:r>
    </w:p>
    <w:p w14:paraId="156986DD" w14:textId="77777777" w:rsidR="0082364D" w:rsidRDefault="00BF2824">
      <w:pPr>
        <w:spacing w:line="360" w:lineRule="auto"/>
        <w:ind w:firstLineChars="200" w:firstLine="420"/>
        <w:jc w:val="left"/>
        <w:rPr>
          <w:rFonts w:ascii="宋体" w:hAnsi="宋体"/>
          <w:bCs/>
        </w:rPr>
      </w:pPr>
      <w:r>
        <w:rPr>
          <w:rFonts w:ascii="宋体" w:hAnsi="宋体" w:hint="eastAsia"/>
          <w:bCs/>
        </w:rPr>
        <w:lastRenderedPageBreak/>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C677892" w14:textId="77777777" w:rsidR="0082364D" w:rsidRDefault="00BF2824">
      <w:pPr>
        <w:spacing w:line="360" w:lineRule="auto"/>
        <w:ind w:firstLineChars="200" w:firstLine="420"/>
        <w:jc w:val="left"/>
        <w:rPr>
          <w:rFonts w:ascii="宋体" w:hAnsi="宋体"/>
          <w:bCs/>
        </w:rPr>
      </w:pPr>
      <w:r>
        <w:rPr>
          <w:rFonts w:ascii="宋体" w:hAnsi="宋体" w:hint="eastAsia"/>
          <w:bCs/>
        </w:rPr>
        <w:t xml:space="preserve">基金管理人应当在基金年度报告和中期报告中披露基金组合资产情况及其流动性风险分析等。  </w:t>
      </w:r>
    </w:p>
    <w:p w14:paraId="788939ED" w14:textId="77777777" w:rsidR="0082364D" w:rsidRDefault="00BF2824">
      <w:pPr>
        <w:spacing w:line="360" w:lineRule="auto"/>
        <w:ind w:firstLineChars="200" w:firstLine="420"/>
        <w:jc w:val="left"/>
        <w:rPr>
          <w:rFonts w:ascii="宋体" w:hAnsi="宋体"/>
          <w:bCs/>
        </w:rPr>
      </w:pPr>
      <w:r>
        <w:rPr>
          <w:rFonts w:ascii="宋体" w:hAnsi="宋体"/>
          <w:bCs/>
        </w:rPr>
        <w:t>10</w:t>
      </w:r>
      <w:r>
        <w:rPr>
          <w:rFonts w:ascii="宋体" w:hAnsi="宋体" w:hint="eastAsia"/>
          <w:bCs/>
        </w:rPr>
        <w:t>、</w:t>
      </w:r>
      <w:r>
        <w:rPr>
          <w:rFonts w:ascii="宋体" w:hAnsi="宋体"/>
          <w:bCs/>
        </w:rPr>
        <w:t>临时报告</w:t>
      </w:r>
    </w:p>
    <w:p w14:paraId="43801E7A" w14:textId="77777777" w:rsidR="0082364D" w:rsidRDefault="00BF2824">
      <w:pPr>
        <w:spacing w:line="360" w:lineRule="auto"/>
        <w:ind w:firstLineChars="200" w:firstLine="420"/>
        <w:jc w:val="left"/>
        <w:rPr>
          <w:rFonts w:ascii="宋体" w:hAnsi="宋体"/>
          <w:bCs/>
        </w:rPr>
      </w:pPr>
      <w:r>
        <w:rPr>
          <w:rFonts w:ascii="宋体" w:hAnsi="宋体"/>
          <w:bCs/>
        </w:rPr>
        <w:t>本基金发生重大事件，有关信息披露义务人应当依照《信息披露办法》的有关规定编制临时报告书，并登载在规定报刊和规定网站上。</w:t>
      </w:r>
    </w:p>
    <w:p w14:paraId="251DFF05" w14:textId="77777777" w:rsidR="0082364D" w:rsidRDefault="00BF2824">
      <w:pPr>
        <w:spacing w:line="360" w:lineRule="auto"/>
        <w:ind w:firstLineChars="200" w:firstLine="420"/>
        <w:jc w:val="left"/>
        <w:rPr>
          <w:rFonts w:ascii="宋体" w:hAnsi="宋体"/>
          <w:bCs/>
        </w:rPr>
      </w:pPr>
      <w:r>
        <w:rPr>
          <w:rFonts w:ascii="宋体" w:hAnsi="宋体"/>
          <w:bCs/>
        </w:rPr>
        <w:t>前款所称重大事件，是指可能对基金份额持有人权益或者基金份额的价格产生重大影响的下列事件：</w:t>
      </w:r>
    </w:p>
    <w:p w14:paraId="0ACD2E59" w14:textId="77777777" w:rsidR="0082364D" w:rsidRDefault="00BF2824">
      <w:pPr>
        <w:spacing w:line="360" w:lineRule="auto"/>
        <w:ind w:firstLineChars="200" w:firstLine="420"/>
        <w:jc w:val="left"/>
        <w:rPr>
          <w:rFonts w:ascii="宋体" w:hAnsi="宋体"/>
          <w:bCs/>
        </w:rPr>
      </w:pPr>
      <w:r>
        <w:rPr>
          <w:rFonts w:ascii="宋体" w:hAnsi="宋体" w:hint="eastAsia"/>
          <w:bCs/>
        </w:rPr>
        <w:t>（1）基金份额持有人大会的召开及决定的事项；</w:t>
      </w:r>
    </w:p>
    <w:p w14:paraId="7C77C367" w14:textId="77777777" w:rsidR="0082364D" w:rsidRDefault="00BF2824">
      <w:pPr>
        <w:spacing w:line="360" w:lineRule="auto"/>
        <w:ind w:firstLineChars="200" w:firstLine="420"/>
        <w:jc w:val="left"/>
        <w:rPr>
          <w:rFonts w:ascii="宋体" w:hAnsi="宋体"/>
          <w:bCs/>
        </w:rPr>
      </w:pPr>
      <w:r>
        <w:rPr>
          <w:rFonts w:ascii="宋体" w:hAnsi="宋体" w:hint="eastAsia"/>
          <w:bCs/>
        </w:rPr>
        <w:t>（2）本基金终止上市交易、《基金合同》终止、基金清算；</w:t>
      </w:r>
    </w:p>
    <w:p w14:paraId="199033AB" w14:textId="77777777" w:rsidR="0082364D" w:rsidRDefault="00BF2824">
      <w:pPr>
        <w:spacing w:line="360" w:lineRule="auto"/>
        <w:ind w:firstLineChars="200" w:firstLine="420"/>
        <w:jc w:val="left"/>
        <w:rPr>
          <w:rFonts w:ascii="宋体" w:hAnsi="宋体"/>
          <w:bCs/>
        </w:rPr>
      </w:pPr>
      <w:r>
        <w:rPr>
          <w:rFonts w:ascii="宋体" w:hAnsi="宋体" w:hint="eastAsia"/>
          <w:bCs/>
        </w:rPr>
        <w:t>（3）本基金转换基金运作方式、与其他基金合并；</w:t>
      </w:r>
    </w:p>
    <w:p w14:paraId="4C1AD44D" w14:textId="77777777" w:rsidR="0082364D" w:rsidRDefault="00BF2824">
      <w:pPr>
        <w:spacing w:line="360" w:lineRule="auto"/>
        <w:ind w:firstLineChars="200" w:firstLine="420"/>
        <w:jc w:val="left"/>
        <w:rPr>
          <w:rFonts w:ascii="宋体" w:hAnsi="宋体"/>
          <w:bCs/>
        </w:rPr>
      </w:pPr>
      <w:r>
        <w:rPr>
          <w:rFonts w:ascii="宋体" w:hAnsi="宋体" w:hint="eastAsia"/>
          <w:bCs/>
        </w:rPr>
        <w:t>（4）</w:t>
      </w:r>
      <w:r>
        <w:rPr>
          <w:rFonts w:ascii="宋体" w:hAnsi="宋体"/>
          <w:bCs/>
        </w:rPr>
        <w:t>本基金</w:t>
      </w:r>
      <w:r>
        <w:rPr>
          <w:rFonts w:ascii="宋体" w:hAnsi="宋体" w:hint="eastAsia"/>
          <w:bCs/>
        </w:rPr>
        <w:t>更换基金管理人、基金托管人、境外托管人、基金份额登记结算机构，本基金改聘会计师事务所；</w:t>
      </w:r>
    </w:p>
    <w:p w14:paraId="3C4F7C1E"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5</w:t>
      </w:r>
      <w:r>
        <w:rPr>
          <w:rFonts w:ascii="宋体" w:hAnsi="宋体" w:hint="eastAsia"/>
          <w:bCs/>
        </w:rPr>
        <w:t>）基金管理人委托基金服务机构代为办理基金的份额登记、核算、估值等事项，基金托管人委托基金服务机构代为办理基金的核算、估值、复核等事项；</w:t>
      </w:r>
    </w:p>
    <w:p w14:paraId="50596530" w14:textId="77777777" w:rsidR="0082364D" w:rsidRDefault="00BF2824">
      <w:pPr>
        <w:spacing w:line="360" w:lineRule="auto"/>
        <w:ind w:firstLineChars="200" w:firstLine="420"/>
        <w:jc w:val="left"/>
        <w:rPr>
          <w:rFonts w:ascii="宋体" w:hAnsi="宋体"/>
          <w:bCs/>
        </w:rPr>
      </w:pPr>
      <w:r>
        <w:rPr>
          <w:rFonts w:ascii="宋体" w:hAnsi="宋体" w:hint="eastAsia"/>
          <w:bCs/>
        </w:rPr>
        <w:t>（6）基金管理人、基金托管人、境外托管人的法定名称、住所发生变更；</w:t>
      </w:r>
    </w:p>
    <w:p w14:paraId="108BB78F" w14:textId="77777777" w:rsidR="0082364D" w:rsidRDefault="00BF2824">
      <w:pPr>
        <w:spacing w:line="360" w:lineRule="auto"/>
        <w:ind w:firstLineChars="200" w:firstLine="420"/>
        <w:jc w:val="left"/>
        <w:rPr>
          <w:rFonts w:ascii="宋体" w:hAnsi="宋体"/>
          <w:bCs/>
        </w:rPr>
      </w:pPr>
      <w:r>
        <w:rPr>
          <w:rFonts w:ascii="宋体" w:hAnsi="宋体" w:hint="eastAsia"/>
          <w:bCs/>
        </w:rPr>
        <w:t>（7）基金管理人变更持有百分之五以上股权的股东、变更实际控制人；</w:t>
      </w:r>
    </w:p>
    <w:p w14:paraId="5B0DA99C" w14:textId="77777777" w:rsidR="0082364D" w:rsidRDefault="00BF2824">
      <w:pPr>
        <w:spacing w:line="360" w:lineRule="auto"/>
        <w:ind w:firstLineChars="200" w:firstLine="420"/>
        <w:jc w:val="left"/>
        <w:rPr>
          <w:rFonts w:ascii="宋体" w:hAnsi="宋体"/>
          <w:bCs/>
        </w:rPr>
      </w:pPr>
      <w:r>
        <w:rPr>
          <w:rFonts w:ascii="宋体" w:hAnsi="宋体" w:hint="eastAsia"/>
          <w:bCs/>
        </w:rPr>
        <w:t>（8）本基金募集期延长或提前结束募集；</w:t>
      </w:r>
    </w:p>
    <w:p w14:paraId="3630BC82" w14:textId="77777777" w:rsidR="0082364D" w:rsidRDefault="00BF2824">
      <w:pPr>
        <w:spacing w:line="360" w:lineRule="auto"/>
        <w:ind w:firstLineChars="200" w:firstLine="420"/>
        <w:jc w:val="left"/>
        <w:rPr>
          <w:rFonts w:ascii="宋体" w:hAnsi="宋体"/>
          <w:bCs/>
        </w:rPr>
      </w:pPr>
      <w:r>
        <w:rPr>
          <w:rFonts w:ascii="宋体" w:hAnsi="宋体" w:hint="eastAsia"/>
          <w:bCs/>
        </w:rPr>
        <w:t>（9）基金管理人高级管理人员、基金经理和基金托管人专门基金托管部门负责人发生变动；</w:t>
      </w:r>
    </w:p>
    <w:p w14:paraId="06BCA437"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0</w:t>
      </w:r>
      <w:r>
        <w:rPr>
          <w:rFonts w:ascii="宋体" w:hAnsi="宋体" w:hint="eastAsia"/>
          <w:bCs/>
        </w:rPr>
        <w:t>）基金管理人的董事在最近</w:t>
      </w:r>
      <w:r>
        <w:rPr>
          <w:rFonts w:ascii="宋体" w:hAnsi="宋体"/>
          <w:bCs/>
        </w:rPr>
        <w:t>12</w:t>
      </w:r>
      <w:r>
        <w:rPr>
          <w:rFonts w:ascii="宋体" w:hAnsi="宋体" w:hint="eastAsia"/>
          <w:bCs/>
        </w:rPr>
        <w:t>个月内变更超过百分之五十，基金管理人、基金托管人专门基金托管部门的主要业务人员在最近</w:t>
      </w:r>
      <w:r>
        <w:rPr>
          <w:rFonts w:ascii="宋体" w:hAnsi="宋体"/>
          <w:bCs/>
        </w:rPr>
        <w:t>12</w:t>
      </w:r>
      <w:r>
        <w:rPr>
          <w:rFonts w:ascii="宋体" w:hAnsi="宋体" w:hint="eastAsia"/>
          <w:bCs/>
        </w:rPr>
        <w:t>个月内变动超过百分之三十；</w:t>
      </w:r>
    </w:p>
    <w:p w14:paraId="0DF4956B"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1</w:t>
      </w:r>
      <w:r>
        <w:rPr>
          <w:rFonts w:ascii="宋体" w:hAnsi="宋体" w:hint="eastAsia"/>
          <w:bCs/>
        </w:rPr>
        <w:t>）</w:t>
      </w:r>
      <w:r>
        <w:rPr>
          <w:rFonts w:ascii="宋体" w:hAnsi="宋体"/>
          <w:bCs/>
        </w:rPr>
        <w:t>涉及基金管理业务、</w:t>
      </w:r>
      <w:r>
        <w:rPr>
          <w:rFonts w:ascii="宋体" w:hAnsi="宋体" w:hint="eastAsia"/>
          <w:bCs/>
        </w:rPr>
        <w:t>基金财产、基金托管业务的诉讼或仲裁；</w:t>
      </w:r>
    </w:p>
    <w:p w14:paraId="7B14EFA0"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2</w:t>
      </w:r>
      <w:r>
        <w:rPr>
          <w:rFonts w:ascii="宋体" w:hAnsi="宋体" w:hint="eastAsia"/>
          <w:bCs/>
        </w:rPr>
        <w:t>）基金管理人或其高级管理人员、基金经理因基金管理业务相关行为受到重大行政处罚、刑事处罚，基金托管人或其专门基金托管部门负责人因基金托管业务相关行为受到重大行政处罚、刑事处罚；</w:t>
      </w:r>
    </w:p>
    <w:p w14:paraId="6D39D172" w14:textId="77777777" w:rsidR="0082364D" w:rsidRDefault="00BF2824">
      <w:pPr>
        <w:spacing w:line="360" w:lineRule="auto"/>
        <w:ind w:firstLineChars="200" w:firstLine="420"/>
        <w:jc w:val="left"/>
        <w:rPr>
          <w:rFonts w:ascii="宋体" w:hAnsi="宋体"/>
          <w:bCs/>
        </w:rPr>
      </w:pPr>
      <w:r>
        <w:rPr>
          <w:rFonts w:ascii="宋体" w:hAnsi="宋体" w:hint="eastAsia"/>
          <w:bCs/>
        </w:rPr>
        <w:t>（13）基金管理人运用基金财产买卖基金管理人、基金托管人及其控股股东、实际控</w:t>
      </w:r>
      <w:r>
        <w:rPr>
          <w:rFonts w:ascii="宋体" w:hAnsi="宋体" w:hint="eastAsia"/>
          <w:bCs/>
        </w:rPr>
        <w:lastRenderedPageBreak/>
        <w:t>制人或者与其有重大利害关系的公司发行的证券或者承销期内承销的证券，或者从事其他重大关联交易事项，中国证监会另有规定的情形除外；</w:t>
      </w:r>
    </w:p>
    <w:p w14:paraId="5E24FA39" w14:textId="77777777" w:rsidR="0082364D" w:rsidRDefault="00BF2824">
      <w:pPr>
        <w:spacing w:line="360" w:lineRule="auto"/>
        <w:ind w:firstLineChars="200" w:firstLine="420"/>
        <w:jc w:val="left"/>
        <w:rPr>
          <w:rFonts w:ascii="宋体" w:hAnsi="宋体"/>
          <w:bCs/>
        </w:rPr>
      </w:pPr>
      <w:r>
        <w:rPr>
          <w:rFonts w:ascii="宋体" w:hAnsi="宋体" w:hint="eastAsia"/>
          <w:bCs/>
        </w:rPr>
        <w:t>（14）</w:t>
      </w:r>
      <w:r>
        <w:rPr>
          <w:rFonts w:ascii="宋体" w:hAnsi="宋体"/>
          <w:bCs/>
        </w:rPr>
        <w:t>本</w:t>
      </w:r>
      <w:r>
        <w:rPr>
          <w:rFonts w:ascii="宋体" w:hAnsi="宋体" w:hint="eastAsia"/>
          <w:bCs/>
        </w:rPr>
        <w:t>基金收益分配事项；</w:t>
      </w:r>
    </w:p>
    <w:p w14:paraId="4BA047A1"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5</w:t>
      </w:r>
      <w:r>
        <w:rPr>
          <w:rFonts w:ascii="宋体" w:hAnsi="宋体" w:hint="eastAsia"/>
          <w:bCs/>
        </w:rPr>
        <w:t>）管理费、托管费</w:t>
      </w:r>
      <w:r>
        <w:rPr>
          <w:rFonts w:ascii="宋体" w:hAnsi="宋体"/>
          <w:bCs/>
        </w:rPr>
        <w:t>、</w:t>
      </w:r>
      <w:r>
        <w:rPr>
          <w:rFonts w:ascii="宋体" w:hAnsi="宋体" w:hint="eastAsia"/>
          <w:bCs/>
        </w:rPr>
        <w:t xml:space="preserve">申购费、赎回费等费用计提标准、计提方式和费率发生变更； </w:t>
      </w:r>
    </w:p>
    <w:p w14:paraId="5EE8CD0B"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6</w:t>
      </w:r>
      <w:r>
        <w:rPr>
          <w:rFonts w:ascii="宋体" w:hAnsi="宋体" w:hint="eastAsia"/>
          <w:bCs/>
        </w:rPr>
        <w:t>）基金份额净值计价错误达基金份额净值百分之零点五；</w:t>
      </w:r>
    </w:p>
    <w:p w14:paraId="240F0BDE" w14:textId="77777777" w:rsidR="0082364D" w:rsidRDefault="00BF2824">
      <w:pPr>
        <w:spacing w:line="360" w:lineRule="auto"/>
        <w:ind w:firstLineChars="200" w:firstLine="420"/>
        <w:jc w:val="left"/>
        <w:rPr>
          <w:rFonts w:ascii="宋体" w:hAnsi="宋体"/>
          <w:bCs/>
        </w:rPr>
      </w:pPr>
      <w:r>
        <w:rPr>
          <w:rFonts w:ascii="宋体" w:hAnsi="宋体" w:hint="eastAsia"/>
          <w:bCs/>
        </w:rPr>
        <w:t>（17）本基金开始办理申购、赎回；</w:t>
      </w:r>
    </w:p>
    <w:p w14:paraId="70471A90"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8</w:t>
      </w:r>
      <w:r>
        <w:rPr>
          <w:rFonts w:ascii="宋体" w:hAnsi="宋体" w:hint="eastAsia"/>
          <w:bCs/>
        </w:rPr>
        <w:t>）</w:t>
      </w:r>
      <w:r>
        <w:rPr>
          <w:rFonts w:ascii="宋体" w:hAnsi="宋体"/>
          <w:bCs/>
        </w:rPr>
        <w:t>本</w:t>
      </w:r>
      <w:r>
        <w:rPr>
          <w:rFonts w:ascii="宋体" w:hAnsi="宋体" w:hint="eastAsia"/>
          <w:bCs/>
        </w:rPr>
        <w:t>基金暂停接受申购、赎回申请或重新接受申购、赎回申请；</w:t>
      </w:r>
    </w:p>
    <w:p w14:paraId="72D2FB1F"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9</w:t>
      </w:r>
      <w:r>
        <w:rPr>
          <w:rFonts w:ascii="宋体" w:hAnsi="宋体" w:hint="eastAsia"/>
          <w:bCs/>
        </w:rPr>
        <w:t>）本基金变更标的指数；</w:t>
      </w:r>
    </w:p>
    <w:p w14:paraId="22F8DB5C" w14:textId="77777777" w:rsidR="0082364D" w:rsidRDefault="00BF2824">
      <w:pPr>
        <w:spacing w:line="360" w:lineRule="auto"/>
        <w:ind w:firstLineChars="200" w:firstLine="420"/>
        <w:jc w:val="left"/>
        <w:rPr>
          <w:rFonts w:ascii="宋体" w:hAnsi="宋体"/>
          <w:bCs/>
        </w:rPr>
      </w:pPr>
      <w:r>
        <w:rPr>
          <w:rFonts w:ascii="宋体" w:hAnsi="宋体" w:hint="eastAsia"/>
          <w:bCs/>
        </w:rPr>
        <w:t>（20）基金份额停牌</w:t>
      </w:r>
      <w:r>
        <w:rPr>
          <w:rFonts w:ascii="宋体" w:hAnsi="宋体"/>
          <w:bCs/>
        </w:rPr>
        <w:t>、复牌</w:t>
      </w:r>
      <w:r>
        <w:rPr>
          <w:rFonts w:ascii="宋体" w:hAnsi="宋体" w:hint="eastAsia"/>
          <w:bCs/>
        </w:rPr>
        <w:t>、暂停上市、恢复上市或终止上市交易；</w:t>
      </w:r>
    </w:p>
    <w:p w14:paraId="40041F14" w14:textId="77777777" w:rsidR="0082364D" w:rsidRDefault="00BF2824">
      <w:pPr>
        <w:spacing w:line="360" w:lineRule="auto"/>
        <w:ind w:firstLineChars="200" w:firstLine="420"/>
        <w:jc w:val="left"/>
        <w:rPr>
          <w:rFonts w:ascii="宋体" w:hAnsi="宋体"/>
          <w:bCs/>
        </w:rPr>
      </w:pPr>
      <w:r>
        <w:rPr>
          <w:rFonts w:ascii="宋体" w:hAnsi="宋体" w:hint="eastAsia"/>
          <w:bCs/>
        </w:rPr>
        <w:t>（2</w:t>
      </w:r>
      <w:r>
        <w:rPr>
          <w:rFonts w:ascii="宋体" w:hAnsi="宋体"/>
          <w:bCs/>
        </w:rPr>
        <w:t>1</w:t>
      </w:r>
      <w:r>
        <w:rPr>
          <w:rFonts w:ascii="宋体" w:hAnsi="宋体" w:hint="eastAsia"/>
          <w:bCs/>
        </w:rPr>
        <w:t>）本基金实施基金份额折算；</w:t>
      </w:r>
    </w:p>
    <w:p w14:paraId="7929271E" w14:textId="77777777" w:rsidR="0082364D" w:rsidRDefault="00BF2824">
      <w:pPr>
        <w:spacing w:line="360" w:lineRule="auto"/>
        <w:ind w:firstLineChars="200" w:firstLine="420"/>
        <w:jc w:val="left"/>
        <w:rPr>
          <w:rFonts w:ascii="宋体" w:hAnsi="宋体"/>
          <w:bCs/>
        </w:rPr>
      </w:pPr>
      <w:r>
        <w:rPr>
          <w:rFonts w:ascii="宋体" w:hAnsi="宋体" w:hint="eastAsia"/>
          <w:bCs/>
        </w:rPr>
        <w:t>（2</w:t>
      </w:r>
      <w:r>
        <w:rPr>
          <w:rFonts w:ascii="宋体" w:hAnsi="宋体"/>
          <w:bCs/>
        </w:rPr>
        <w:t>2</w:t>
      </w:r>
      <w:r>
        <w:rPr>
          <w:rFonts w:ascii="宋体" w:hAnsi="宋体" w:hint="eastAsia"/>
          <w:bCs/>
        </w:rPr>
        <w:t>）发生涉及基金申购、赎回事项调整或潜在影响投资者赎回等重大事项时；</w:t>
      </w:r>
    </w:p>
    <w:p w14:paraId="3ACE9678" w14:textId="77777777" w:rsidR="0082364D" w:rsidRDefault="00BF2824">
      <w:pPr>
        <w:spacing w:line="360" w:lineRule="auto"/>
        <w:ind w:firstLineChars="200" w:firstLine="420"/>
        <w:jc w:val="left"/>
        <w:rPr>
          <w:rFonts w:ascii="宋体" w:hAnsi="宋体"/>
          <w:bCs/>
        </w:rPr>
      </w:pPr>
      <w:r>
        <w:rPr>
          <w:rFonts w:ascii="宋体" w:hAnsi="宋体" w:hint="eastAsia"/>
          <w:bCs/>
        </w:rPr>
        <w:t>（23）调整最小申购赎回单位、申购赎回方式及申购对价、赎回对价组成；</w:t>
      </w:r>
    </w:p>
    <w:p w14:paraId="226F5B14" w14:textId="77777777" w:rsidR="0082364D" w:rsidRDefault="00BF2824">
      <w:pPr>
        <w:spacing w:line="360" w:lineRule="auto"/>
        <w:ind w:firstLineChars="200" w:firstLine="420"/>
        <w:jc w:val="left"/>
        <w:rPr>
          <w:rFonts w:ascii="宋体" w:hAnsi="宋体"/>
          <w:bCs/>
        </w:rPr>
      </w:pPr>
      <w:r>
        <w:rPr>
          <w:rFonts w:ascii="宋体" w:hAnsi="宋体" w:hint="eastAsia"/>
          <w:bCs/>
        </w:rPr>
        <w:t>（2</w:t>
      </w:r>
      <w:r>
        <w:rPr>
          <w:rFonts w:ascii="宋体" w:hAnsi="宋体"/>
          <w:bCs/>
        </w:rPr>
        <w:t>4</w:t>
      </w:r>
      <w:r>
        <w:rPr>
          <w:rFonts w:ascii="宋体" w:hAnsi="宋体" w:hint="eastAsia"/>
          <w:bCs/>
        </w:rPr>
        <w:t>）调整基金份额类别的设置；</w:t>
      </w:r>
    </w:p>
    <w:p w14:paraId="2505CDCF" w14:textId="77777777" w:rsidR="0082364D" w:rsidRDefault="00BF2824">
      <w:pPr>
        <w:spacing w:line="360" w:lineRule="auto"/>
        <w:ind w:firstLineChars="200" w:firstLine="420"/>
        <w:jc w:val="left"/>
        <w:rPr>
          <w:rFonts w:ascii="宋体" w:hAnsi="宋体"/>
          <w:bCs/>
        </w:rPr>
      </w:pPr>
      <w:r>
        <w:rPr>
          <w:rFonts w:ascii="宋体" w:hAnsi="宋体" w:hint="eastAsia"/>
          <w:bCs/>
        </w:rPr>
        <w:t>（2</w:t>
      </w:r>
      <w:r>
        <w:rPr>
          <w:rFonts w:ascii="宋体" w:hAnsi="宋体"/>
          <w:bCs/>
        </w:rPr>
        <w:t>5</w:t>
      </w:r>
      <w:r>
        <w:rPr>
          <w:rFonts w:ascii="宋体" w:hAnsi="宋体" w:hint="eastAsia"/>
          <w:bCs/>
        </w:rPr>
        <w:t>）基金推出新业务或服务；</w:t>
      </w:r>
    </w:p>
    <w:p w14:paraId="6AB532DF" w14:textId="77777777" w:rsidR="0082364D" w:rsidRDefault="00BF2824">
      <w:pPr>
        <w:spacing w:line="360" w:lineRule="auto"/>
        <w:ind w:firstLineChars="200" w:firstLine="420"/>
        <w:jc w:val="left"/>
        <w:rPr>
          <w:rFonts w:ascii="宋体" w:hAnsi="宋体"/>
          <w:bCs/>
        </w:rPr>
      </w:pPr>
      <w:r>
        <w:rPr>
          <w:rFonts w:ascii="宋体" w:hAnsi="宋体" w:hint="eastAsia"/>
          <w:bCs/>
        </w:rPr>
        <w:t>（2</w:t>
      </w:r>
      <w:r>
        <w:rPr>
          <w:rFonts w:ascii="宋体" w:hAnsi="宋体"/>
          <w:bCs/>
        </w:rPr>
        <w:t>6</w:t>
      </w:r>
      <w:r>
        <w:rPr>
          <w:rFonts w:ascii="宋体" w:hAnsi="宋体" w:hint="eastAsia"/>
          <w:bCs/>
        </w:rPr>
        <w:t>）本基金连续30个工作日、40个工作日、45个工作日出现基金份额持有人数量不满200人或者基金资产净值低于5000万元情形的，对基金合同可能面临终止的不确定性风险进行提示；</w:t>
      </w:r>
    </w:p>
    <w:p w14:paraId="446D8973" w14:textId="77777777" w:rsidR="0082364D" w:rsidRDefault="00BF2824">
      <w:pPr>
        <w:spacing w:line="360" w:lineRule="auto"/>
        <w:ind w:firstLineChars="200" w:firstLine="420"/>
        <w:jc w:val="left"/>
        <w:rPr>
          <w:rFonts w:ascii="宋体" w:hAnsi="宋体"/>
          <w:bCs/>
        </w:rPr>
      </w:pPr>
      <w:r>
        <w:rPr>
          <w:rFonts w:ascii="宋体" w:hAnsi="宋体" w:hint="eastAsia"/>
          <w:bCs/>
        </w:rPr>
        <w:t>（27）基金信息披露义务人认为可能对基金份额持有人权益或者基金份额的价格产生重大影响的其他事项或中国证监会规定的其他事项。</w:t>
      </w:r>
    </w:p>
    <w:p w14:paraId="393EE4F5" w14:textId="77777777" w:rsidR="0082364D" w:rsidRDefault="00BF2824">
      <w:pPr>
        <w:spacing w:line="360" w:lineRule="auto"/>
        <w:ind w:firstLineChars="200" w:firstLine="420"/>
        <w:jc w:val="left"/>
        <w:rPr>
          <w:rFonts w:ascii="宋体" w:hAnsi="宋体"/>
          <w:bCs/>
        </w:rPr>
      </w:pPr>
      <w:r>
        <w:rPr>
          <w:rFonts w:ascii="宋体" w:hAnsi="宋体"/>
          <w:bCs/>
        </w:rPr>
        <w:t>11</w:t>
      </w:r>
      <w:r>
        <w:rPr>
          <w:rFonts w:ascii="宋体" w:hAnsi="宋体" w:hint="eastAsia"/>
          <w:bCs/>
        </w:rPr>
        <w:t>、</w:t>
      </w:r>
      <w:r>
        <w:rPr>
          <w:rFonts w:ascii="宋体" w:hAnsi="宋体"/>
          <w:bCs/>
        </w:rPr>
        <w:t>澄清公告</w:t>
      </w:r>
    </w:p>
    <w:p w14:paraId="3CE25F39" w14:textId="77777777" w:rsidR="0082364D" w:rsidRDefault="00BF2824">
      <w:pPr>
        <w:spacing w:line="360" w:lineRule="auto"/>
        <w:ind w:firstLineChars="200" w:firstLine="420"/>
        <w:jc w:val="left"/>
        <w:rPr>
          <w:rFonts w:ascii="宋体" w:hAnsi="宋体"/>
          <w:bCs/>
        </w:rPr>
      </w:pPr>
      <w:r>
        <w:rPr>
          <w:rFonts w:ascii="宋体" w:hAnsi="宋体"/>
          <w:bCs/>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w:t>
      </w:r>
      <w:r>
        <w:rPr>
          <w:rFonts w:ascii="宋体" w:hAnsi="宋体" w:hint="eastAsia"/>
          <w:bCs/>
        </w:rPr>
        <w:t>基金上市交易的证券交易所</w:t>
      </w:r>
      <w:r>
        <w:rPr>
          <w:rFonts w:ascii="宋体" w:hAnsi="宋体"/>
          <w:bCs/>
        </w:rPr>
        <w:t>。</w:t>
      </w:r>
    </w:p>
    <w:p w14:paraId="536BEDD7"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2</w:t>
      </w:r>
      <w:r>
        <w:rPr>
          <w:rFonts w:ascii="宋体" w:hAnsi="宋体" w:hint="eastAsia"/>
          <w:bCs/>
        </w:rPr>
        <w:t>、</w:t>
      </w:r>
      <w:r>
        <w:rPr>
          <w:rFonts w:ascii="宋体" w:hAnsi="宋体"/>
          <w:bCs/>
        </w:rPr>
        <w:t>基金份额持有人大会决议</w:t>
      </w:r>
    </w:p>
    <w:p w14:paraId="6E902CAA" w14:textId="77777777" w:rsidR="0082364D" w:rsidRDefault="00BF2824">
      <w:pPr>
        <w:spacing w:line="360" w:lineRule="auto"/>
        <w:ind w:firstLineChars="200" w:firstLine="420"/>
        <w:jc w:val="left"/>
        <w:rPr>
          <w:rFonts w:ascii="宋体" w:hAnsi="宋体"/>
          <w:bCs/>
        </w:rPr>
      </w:pPr>
      <w:r>
        <w:rPr>
          <w:rFonts w:ascii="宋体" w:hAnsi="宋体"/>
          <w:bCs/>
        </w:rPr>
        <w:t>基金份额持有人大会决定的事项，应当依法报中国证监会备案，并予以公告。</w:t>
      </w:r>
    </w:p>
    <w:p w14:paraId="2C0E749D" w14:textId="77777777" w:rsidR="0082364D" w:rsidRDefault="00BF2824">
      <w:pPr>
        <w:spacing w:line="360" w:lineRule="auto"/>
        <w:ind w:firstLineChars="200" w:firstLine="420"/>
        <w:jc w:val="left"/>
        <w:rPr>
          <w:rFonts w:ascii="宋体" w:hAnsi="宋体"/>
          <w:bCs/>
        </w:rPr>
      </w:pPr>
      <w:bookmarkStart w:id="111" w:name="_Hlk21036927"/>
      <w:bookmarkStart w:id="112" w:name="_Hlk21198265"/>
      <w:r>
        <w:rPr>
          <w:rFonts w:ascii="宋体" w:hAnsi="宋体" w:hint="eastAsia"/>
          <w:bCs/>
        </w:rPr>
        <w:t>1</w:t>
      </w:r>
      <w:r>
        <w:rPr>
          <w:rFonts w:ascii="宋体" w:hAnsi="宋体"/>
          <w:bCs/>
        </w:rPr>
        <w:t>3</w:t>
      </w:r>
      <w:r>
        <w:rPr>
          <w:rFonts w:ascii="宋体" w:hAnsi="宋体" w:hint="eastAsia"/>
          <w:bCs/>
        </w:rPr>
        <w:t>、清算报告</w:t>
      </w:r>
    </w:p>
    <w:p w14:paraId="419C7271" w14:textId="77777777" w:rsidR="0082364D" w:rsidRDefault="00BF2824">
      <w:pPr>
        <w:spacing w:line="360" w:lineRule="auto"/>
        <w:ind w:firstLineChars="200" w:firstLine="420"/>
        <w:jc w:val="left"/>
        <w:rPr>
          <w:rFonts w:ascii="宋体" w:hAnsi="宋体"/>
          <w:bCs/>
        </w:rPr>
      </w:pPr>
      <w:r>
        <w:rPr>
          <w:rFonts w:ascii="宋体" w:hAnsi="宋体" w:hint="eastAsia"/>
          <w:bCs/>
        </w:rPr>
        <w:t>基金合同终止的，基金管理人应当依法组织基金财产清算小组对基金财产进行清算并作出清算报告。基金财产清算小组应当将清算报告登载在规定网站上，并将清算报告提示</w:t>
      </w:r>
      <w:r>
        <w:rPr>
          <w:rFonts w:ascii="宋体" w:hAnsi="宋体" w:hint="eastAsia"/>
          <w:bCs/>
        </w:rPr>
        <w:lastRenderedPageBreak/>
        <w:t>性公告登载在规定报刊上。</w:t>
      </w:r>
    </w:p>
    <w:bookmarkEnd w:id="111"/>
    <w:bookmarkEnd w:id="112"/>
    <w:p w14:paraId="29DF36DD"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4</w:t>
      </w:r>
      <w:r>
        <w:rPr>
          <w:rFonts w:ascii="宋体" w:hAnsi="宋体" w:hint="eastAsia"/>
          <w:bCs/>
        </w:rPr>
        <w:t>、</w:t>
      </w:r>
      <w:r>
        <w:rPr>
          <w:rFonts w:ascii="宋体" w:hAnsi="宋体"/>
          <w:bCs/>
        </w:rPr>
        <w:t>中国证监会规定的其他信息</w:t>
      </w:r>
    </w:p>
    <w:p w14:paraId="73487FA5" w14:textId="77777777" w:rsidR="0082364D" w:rsidRDefault="00BF2824">
      <w:pPr>
        <w:spacing w:line="360" w:lineRule="auto"/>
        <w:ind w:firstLineChars="200" w:firstLine="420"/>
        <w:jc w:val="left"/>
        <w:rPr>
          <w:rFonts w:ascii="宋体" w:hAnsi="宋体"/>
          <w:bCs/>
        </w:rPr>
      </w:pPr>
      <w:r>
        <w:rPr>
          <w:rFonts w:ascii="宋体" w:hAnsi="宋体" w:hint="eastAsia"/>
          <w:bCs/>
        </w:rPr>
        <w:t>（1）针对本基金境内投资：</w:t>
      </w:r>
    </w:p>
    <w:p w14:paraId="3F55C218" w14:textId="77777777" w:rsidR="0082364D" w:rsidRDefault="00BF2824">
      <w:pPr>
        <w:spacing w:line="360" w:lineRule="auto"/>
        <w:ind w:firstLineChars="200" w:firstLine="420"/>
        <w:jc w:val="left"/>
        <w:rPr>
          <w:rFonts w:ascii="宋体" w:hAnsi="宋体"/>
          <w:bCs/>
        </w:rPr>
      </w:pPr>
      <w:r>
        <w:rPr>
          <w:rFonts w:ascii="宋体" w:hAnsi="宋体" w:hint="eastAsia"/>
          <w:bCs/>
        </w:rPr>
        <w:t>基金管理人应在季度报告、中期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w:t>
      </w:r>
    </w:p>
    <w:p w14:paraId="5803F4F3" w14:textId="77777777" w:rsidR="0082364D" w:rsidRDefault="00BF2824">
      <w:pPr>
        <w:spacing w:line="360" w:lineRule="auto"/>
        <w:ind w:firstLineChars="200" w:firstLine="420"/>
        <w:jc w:val="left"/>
        <w:rPr>
          <w:rFonts w:ascii="宋体" w:hAnsi="宋体"/>
          <w:bCs/>
        </w:rPr>
      </w:pPr>
      <w:r>
        <w:rPr>
          <w:rFonts w:ascii="宋体" w:hAnsi="宋体" w:hint="eastAsia"/>
          <w:bCs/>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2AD8ED23" w14:textId="77777777" w:rsidR="0082364D" w:rsidRDefault="00BF2824">
      <w:pPr>
        <w:spacing w:line="360" w:lineRule="auto"/>
        <w:ind w:firstLineChars="200" w:firstLine="420"/>
        <w:jc w:val="left"/>
        <w:rPr>
          <w:rFonts w:ascii="宋体" w:hAnsi="宋体"/>
          <w:bCs/>
        </w:rPr>
      </w:pPr>
      <w:r>
        <w:rPr>
          <w:rFonts w:ascii="宋体" w:hAnsi="宋体" w:hint="eastAsia"/>
          <w:bCs/>
        </w:rPr>
        <w:t>基金管理人应在基金年度报告及中期报告中披露其持有的资产支持证券总额、资产支持证券市值占基金净资产的比例和报告期内所有的资产支持证券明细。</w:t>
      </w:r>
    </w:p>
    <w:p w14:paraId="5F0E2FE7" w14:textId="77777777" w:rsidR="0082364D" w:rsidRDefault="00BF2824">
      <w:pPr>
        <w:spacing w:line="360" w:lineRule="auto"/>
        <w:ind w:firstLineChars="200" w:firstLine="420"/>
        <w:jc w:val="left"/>
        <w:rPr>
          <w:rFonts w:ascii="宋体" w:hAnsi="宋体"/>
          <w:bCs/>
        </w:rPr>
      </w:pPr>
      <w:r>
        <w:rPr>
          <w:rFonts w:ascii="宋体" w:hAnsi="宋体" w:hint="eastAsia"/>
          <w:bCs/>
        </w:rPr>
        <w:t>基金管理人应在基金季度报告中披露其持有的资产支持证券总额、资产支持证券市值占基金净资产的比例和报告期末按市值占基金净资产比例大小排序的前10名资产支持证券明细。</w:t>
      </w:r>
    </w:p>
    <w:p w14:paraId="3E50A91A" w14:textId="77777777" w:rsidR="0082364D" w:rsidRDefault="00BF2824">
      <w:pPr>
        <w:spacing w:line="360" w:lineRule="auto"/>
        <w:ind w:firstLineChars="200" w:firstLine="420"/>
        <w:jc w:val="left"/>
        <w:rPr>
          <w:rFonts w:ascii="宋体" w:hAnsi="宋体"/>
          <w:bCs/>
        </w:rPr>
      </w:pPr>
      <w:r>
        <w:rPr>
          <w:rFonts w:ascii="宋体" w:hAnsi="宋体" w:hint="eastAsia"/>
          <w:bCs/>
        </w:rPr>
        <w:t>基金管理人应当在季度报告、中期报告、年度报告等定期报告和招募说明书（更新）等文件中披露参与融资及转融通证券出借交易的情况，包括投资策略、业务开展情况、损益情况、风险及其管理情况等，并就报告期内本基金参与转融通证券出借业务发生的重大关联交易事项做详细的说明。</w:t>
      </w:r>
    </w:p>
    <w:p w14:paraId="377431C6" w14:textId="77777777" w:rsidR="0082364D" w:rsidRDefault="00BF2824">
      <w:pPr>
        <w:spacing w:line="360" w:lineRule="auto"/>
        <w:ind w:firstLineChars="200" w:firstLine="420"/>
        <w:jc w:val="left"/>
        <w:rPr>
          <w:rFonts w:ascii="宋体" w:hAnsi="宋体"/>
          <w:bCs/>
        </w:rPr>
      </w:pPr>
      <w:r>
        <w:rPr>
          <w:rFonts w:ascii="宋体" w:hAnsi="宋体" w:hint="eastAsia"/>
          <w:bCs/>
        </w:rPr>
        <w:t>（2）针对本基金境外投资：</w:t>
      </w:r>
    </w:p>
    <w:p w14:paraId="7FA63EE9" w14:textId="77777777" w:rsidR="0082364D" w:rsidRDefault="00BF2824">
      <w:pPr>
        <w:spacing w:line="360" w:lineRule="auto"/>
        <w:ind w:firstLineChars="200" w:firstLine="420"/>
        <w:jc w:val="left"/>
        <w:rPr>
          <w:rFonts w:ascii="宋体" w:hAnsi="宋体"/>
          <w:bCs/>
        </w:rPr>
      </w:pPr>
      <w:r>
        <w:rPr>
          <w:rFonts w:ascii="宋体" w:hAnsi="宋体" w:hint="eastAsia"/>
          <w:bCs/>
        </w:rPr>
        <w:t>基金管理人应当在基金年度报告、中期报告和季度报告等定期报告和招募说明书（更新）等文件中披露港股通标的股票的投资情况。法律法规或中国证监会另有规定的，从其规定。</w:t>
      </w:r>
    </w:p>
    <w:p w14:paraId="27C86383" w14:textId="77777777" w:rsidR="0082364D" w:rsidRDefault="00BF2824">
      <w:pPr>
        <w:spacing w:line="360" w:lineRule="auto"/>
        <w:ind w:firstLineChars="200" w:firstLine="420"/>
        <w:jc w:val="left"/>
        <w:rPr>
          <w:rFonts w:ascii="宋体" w:hAnsi="宋体"/>
          <w:bCs/>
        </w:rPr>
      </w:pPr>
      <w:r>
        <w:rPr>
          <w:rFonts w:ascii="宋体" w:hAnsi="宋体" w:hint="eastAsia"/>
          <w:bCs/>
        </w:rPr>
        <w:t>（六）信息披露事务管理</w:t>
      </w:r>
    </w:p>
    <w:p w14:paraId="4D9E5D99" w14:textId="77777777" w:rsidR="0082364D" w:rsidRDefault="00BF2824">
      <w:pPr>
        <w:spacing w:line="360" w:lineRule="auto"/>
        <w:ind w:firstLineChars="200" w:firstLine="420"/>
        <w:jc w:val="left"/>
        <w:rPr>
          <w:rFonts w:ascii="宋体" w:hAnsi="宋体"/>
          <w:bCs/>
        </w:rPr>
      </w:pPr>
      <w:r>
        <w:rPr>
          <w:rFonts w:ascii="宋体" w:hAnsi="宋体"/>
          <w:bCs/>
        </w:rPr>
        <w:t>基金管理人、基金托管人应当建立健全信息披露管理制度，指定专门部门及高级管理人员负责管理信息披露事务。</w:t>
      </w:r>
    </w:p>
    <w:p w14:paraId="4F799B96" w14:textId="77777777" w:rsidR="0082364D" w:rsidRDefault="00BF2824">
      <w:pPr>
        <w:spacing w:line="360" w:lineRule="auto"/>
        <w:ind w:firstLineChars="200" w:firstLine="420"/>
        <w:jc w:val="left"/>
        <w:rPr>
          <w:rFonts w:ascii="宋体" w:hAnsi="宋体"/>
          <w:bCs/>
        </w:rPr>
      </w:pPr>
      <w:r>
        <w:rPr>
          <w:rFonts w:ascii="宋体" w:hAnsi="宋体"/>
          <w:bCs/>
        </w:rPr>
        <w:t>基金信息披露义务人公开披露基金信息，应当符合中国证监会相关基金信息披露内容与格式准则等法规</w:t>
      </w:r>
      <w:r>
        <w:rPr>
          <w:rFonts w:ascii="宋体" w:hAnsi="宋体" w:hint="eastAsia"/>
          <w:bCs/>
        </w:rPr>
        <w:t>的</w:t>
      </w:r>
      <w:r>
        <w:rPr>
          <w:rFonts w:ascii="宋体" w:hAnsi="宋体"/>
          <w:bCs/>
        </w:rPr>
        <w:t>规定。</w:t>
      </w:r>
    </w:p>
    <w:p w14:paraId="07529DA4" w14:textId="77777777" w:rsidR="0082364D" w:rsidRDefault="00BF2824">
      <w:pPr>
        <w:spacing w:line="360" w:lineRule="auto"/>
        <w:ind w:firstLineChars="200" w:firstLine="420"/>
        <w:jc w:val="left"/>
        <w:rPr>
          <w:rFonts w:ascii="宋体" w:hAnsi="宋体"/>
          <w:bCs/>
        </w:rPr>
      </w:pPr>
      <w:r>
        <w:rPr>
          <w:rFonts w:ascii="宋体" w:hAnsi="宋体"/>
          <w:bCs/>
        </w:rPr>
        <w:t>基金托管人应当按照相关法律法规、中国证监会的规定和《基金合同》的约定，对基金管理人编制的基金净值信息、基金申购赎回对价</w:t>
      </w:r>
      <w:r>
        <w:rPr>
          <w:rFonts w:ascii="宋体" w:hAnsi="宋体" w:hint="eastAsia"/>
          <w:bCs/>
        </w:rPr>
        <w:t>、</w:t>
      </w:r>
      <w:r>
        <w:rPr>
          <w:rFonts w:ascii="宋体" w:hAnsi="宋体"/>
          <w:bCs/>
        </w:rPr>
        <w:t>基金定期报告、更新的招募说明书、</w:t>
      </w:r>
      <w:r>
        <w:rPr>
          <w:rFonts w:ascii="宋体" w:hAnsi="宋体"/>
          <w:bCs/>
        </w:rPr>
        <w:lastRenderedPageBreak/>
        <w:t>基金产品资料概要、基金清算报告等公开披露的相关基金信息进行复核、审查，并向基金管理人进行书面或电子确认。</w:t>
      </w:r>
    </w:p>
    <w:p w14:paraId="07764F62" w14:textId="77777777" w:rsidR="0082364D" w:rsidRDefault="00BF2824">
      <w:pPr>
        <w:spacing w:line="360" w:lineRule="auto"/>
        <w:ind w:firstLineChars="200" w:firstLine="420"/>
        <w:jc w:val="left"/>
        <w:rPr>
          <w:rFonts w:ascii="宋体" w:hAnsi="宋体"/>
          <w:bCs/>
        </w:rPr>
      </w:pPr>
      <w:r>
        <w:rPr>
          <w:rFonts w:ascii="宋体" w:hAnsi="宋体"/>
          <w:bCs/>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60D01BEC" w14:textId="77777777" w:rsidR="0082364D" w:rsidRDefault="00BF2824">
      <w:pPr>
        <w:spacing w:line="360" w:lineRule="auto"/>
        <w:ind w:firstLineChars="200" w:firstLine="420"/>
        <w:jc w:val="left"/>
        <w:rPr>
          <w:rFonts w:ascii="宋体" w:hAnsi="宋体"/>
          <w:bCs/>
        </w:rPr>
      </w:pPr>
      <w:r>
        <w:rPr>
          <w:rFonts w:ascii="宋体" w:hAnsi="宋体"/>
          <w:bCs/>
        </w:rPr>
        <w:t>基金管理人、基金托管人除依法在规定媒介上披露信息外，还可以根据需要在其他公共媒介披露信息，但是其他公共媒介不得早于规定媒介</w:t>
      </w:r>
      <w:r>
        <w:rPr>
          <w:rFonts w:ascii="宋体" w:hAnsi="宋体" w:hint="eastAsia"/>
          <w:bCs/>
        </w:rPr>
        <w:t>、基金上市交易的证券交易所网站</w:t>
      </w:r>
      <w:r>
        <w:rPr>
          <w:rFonts w:ascii="宋体" w:hAnsi="宋体"/>
          <w:bCs/>
        </w:rPr>
        <w:t>披露信息，并且在不同媒介上披露同一信息的内容应当一致。</w:t>
      </w:r>
    </w:p>
    <w:p w14:paraId="2ACC04DA" w14:textId="77777777" w:rsidR="0082364D" w:rsidRDefault="00BF2824">
      <w:pPr>
        <w:spacing w:line="360" w:lineRule="auto"/>
        <w:ind w:firstLineChars="200" w:firstLine="420"/>
        <w:jc w:val="left"/>
        <w:rPr>
          <w:rFonts w:ascii="宋体" w:hAnsi="宋体"/>
          <w:bCs/>
        </w:rPr>
      </w:pPr>
      <w:r>
        <w:rPr>
          <w:rFonts w:ascii="宋体" w:hAnsi="宋体"/>
          <w:bCs/>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E2EA0C" w14:textId="77777777" w:rsidR="0082364D" w:rsidRDefault="00BF2824">
      <w:pPr>
        <w:spacing w:line="360" w:lineRule="auto"/>
        <w:ind w:firstLineChars="200" w:firstLine="420"/>
        <w:jc w:val="left"/>
        <w:rPr>
          <w:rFonts w:ascii="宋体" w:hAnsi="宋体"/>
          <w:bCs/>
        </w:rPr>
      </w:pPr>
      <w:r>
        <w:rPr>
          <w:rFonts w:ascii="宋体" w:hAnsi="宋体" w:hint="eastAsia"/>
          <w:bCs/>
        </w:rPr>
        <w:t>（七</w:t>
      </w:r>
      <w:r>
        <w:rPr>
          <w:rFonts w:ascii="宋体" w:hAnsi="宋体"/>
          <w:bCs/>
        </w:rPr>
        <w:t>）信息披露文件的存放与查阅</w:t>
      </w:r>
    </w:p>
    <w:p w14:paraId="6F39B9CE" w14:textId="77777777" w:rsidR="0082364D" w:rsidRDefault="00BF2824">
      <w:pPr>
        <w:spacing w:line="360" w:lineRule="auto"/>
        <w:ind w:firstLineChars="200" w:firstLine="420"/>
        <w:jc w:val="left"/>
        <w:rPr>
          <w:rFonts w:ascii="宋体" w:hAnsi="宋体"/>
          <w:bCs/>
        </w:rPr>
      </w:pPr>
      <w:r>
        <w:rPr>
          <w:rFonts w:ascii="宋体" w:hAnsi="宋体"/>
          <w:bCs/>
        </w:rPr>
        <w:t>依法必须披露的信息发布后，基金管理人、基金托管人应当按照相关法律法规规定将信息置备于各自住所</w:t>
      </w:r>
      <w:r>
        <w:rPr>
          <w:rFonts w:ascii="宋体" w:hAnsi="宋体" w:hint="eastAsia"/>
          <w:bCs/>
        </w:rPr>
        <w:t>、基金上市交易的证券交易所</w:t>
      </w:r>
      <w:r>
        <w:rPr>
          <w:rFonts w:ascii="宋体" w:hAnsi="宋体"/>
          <w:bCs/>
        </w:rPr>
        <w:t>，供社会公众查阅、复制。</w:t>
      </w:r>
    </w:p>
    <w:p w14:paraId="1499FFF6" w14:textId="77777777" w:rsidR="0082364D" w:rsidRDefault="00BF2824">
      <w:pPr>
        <w:spacing w:line="360" w:lineRule="auto"/>
        <w:ind w:firstLineChars="200" w:firstLine="420"/>
        <w:jc w:val="left"/>
        <w:rPr>
          <w:rFonts w:ascii="宋体" w:hAnsi="宋体"/>
          <w:bCs/>
        </w:rPr>
      </w:pPr>
      <w:r>
        <w:rPr>
          <w:rFonts w:ascii="宋体" w:hAnsi="宋体"/>
          <w:bCs/>
        </w:rPr>
        <w:t>（</w:t>
      </w:r>
      <w:r>
        <w:rPr>
          <w:rFonts w:ascii="宋体" w:hAnsi="宋体" w:hint="eastAsia"/>
          <w:bCs/>
        </w:rPr>
        <w:t>八</w:t>
      </w:r>
      <w:r>
        <w:rPr>
          <w:rFonts w:ascii="宋体" w:hAnsi="宋体"/>
          <w:bCs/>
        </w:rPr>
        <w:t>）暂停或延迟信息披露的情形</w:t>
      </w:r>
    </w:p>
    <w:p w14:paraId="72FD3809" w14:textId="77777777" w:rsidR="0082364D" w:rsidRDefault="00BF2824">
      <w:pPr>
        <w:spacing w:line="360" w:lineRule="auto"/>
        <w:ind w:firstLineChars="200" w:firstLine="420"/>
        <w:jc w:val="left"/>
        <w:rPr>
          <w:rFonts w:ascii="宋体" w:hAnsi="宋体"/>
          <w:bCs/>
        </w:rPr>
      </w:pPr>
      <w:r>
        <w:rPr>
          <w:rFonts w:ascii="宋体" w:hAnsi="宋体"/>
          <w:bCs/>
        </w:rPr>
        <w:t>当出现下述情况</w:t>
      </w:r>
      <w:r>
        <w:rPr>
          <w:rFonts w:ascii="宋体" w:hAnsi="宋体" w:hint="eastAsia"/>
          <w:bCs/>
        </w:rPr>
        <w:t>之一</w:t>
      </w:r>
      <w:r>
        <w:rPr>
          <w:rFonts w:ascii="宋体" w:hAnsi="宋体"/>
          <w:bCs/>
        </w:rPr>
        <w:t>时，基金管理人和基金托管人可暂停或延迟披露基金信息：</w:t>
      </w:r>
    </w:p>
    <w:p w14:paraId="775BAFE5" w14:textId="77777777" w:rsidR="0082364D" w:rsidRDefault="00BF2824">
      <w:pPr>
        <w:spacing w:line="360" w:lineRule="auto"/>
        <w:ind w:firstLineChars="200" w:firstLine="420"/>
        <w:jc w:val="left"/>
        <w:rPr>
          <w:rFonts w:ascii="宋体" w:hAnsi="宋体"/>
          <w:bCs/>
        </w:rPr>
      </w:pPr>
      <w:r>
        <w:rPr>
          <w:rFonts w:ascii="宋体" w:hAnsi="宋体"/>
          <w:bCs/>
        </w:rPr>
        <w:t>1、基金投资所涉及的证券</w:t>
      </w:r>
      <w:r>
        <w:rPr>
          <w:rFonts w:ascii="宋体" w:hAnsi="宋体" w:hint="eastAsia"/>
          <w:bCs/>
        </w:rPr>
        <w:t>、期货</w:t>
      </w:r>
      <w:r>
        <w:rPr>
          <w:rFonts w:ascii="宋体" w:hAnsi="宋体"/>
          <w:bCs/>
        </w:rPr>
        <w:t>交易所</w:t>
      </w:r>
      <w:r>
        <w:rPr>
          <w:rFonts w:ascii="宋体" w:hAnsi="宋体" w:hint="eastAsia"/>
          <w:bCs/>
        </w:rPr>
        <w:t>或外汇市场</w:t>
      </w:r>
      <w:r>
        <w:rPr>
          <w:rFonts w:ascii="宋体" w:hAnsi="宋体"/>
          <w:bCs/>
        </w:rPr>
        <w:t>遇法定节假日或因其他原因暂停营业时；</w:t>
      </w:r>
    </w:p>
    <w:p w14:paraId="1377E37F" w14:textId="77777777" w:rsidR="0082364D" w:rsidRDefault="00BF2824">
      <w:pPr>
        <w:spacing w:line="360" w:lineRule="auto"/>
        <w:ind w:firstLineChars="200" w:firstLine="420"/>
        <w:jc w:val="left"/>
        <w:rPr>
          <w:rFonts w:ascii="宋体" w:hAnsi="宋体"/>
          <w:bCs/>
        </w:rPr>
      </w:pPr>
      <w:r>
        <w:rPr>
          <w:rFonts w:ascii="宋体" w:hAnsi="宋体"/>
          <w:bCs/>
        </w:rPr>
        <w:t>2、因不可抗力或其他情形致使基金管理人、基金托管人无法准确评估基金资产价值时；</w:t>
      </w:r>
    </w:p>
    <w:p w14:paraId="795F49FD" w14:textId="77777777" w:rsidR="0082364D" w:rsidRDefault="00BF2824">
      <w:pPr>
        <w:spacing w:line="360" w:lineRule="auto"/>
        <w:ind w:firstLineChars="200" w:firstLine="420"/>
        <w:jc w:val="left"/>
        <w:rPr>
          <w:rFonts w:ascii="宋体" w:hAnsi="宋体"/>
          <w:bCs/>
        </w:rPr>
      </w:pPr>
      <w:r>
        <w:rPr>
          <w:rFonts w:ascii="宋体" w:hAnsi="宋体"/>
          <w:bCs/>
        </w:rPr>
        <w:t>3、法律法规规定、中国证监会或基金合同认定的其他情形。</w:t>
      </w:r>
    </w:p>
    <w:p w14:paraId="57A65A5B" w14:textId="77777777" w:rsidR="0082364D" w:rsidRDefault="00BF2824">
      <w:pPr>
        <w:spacing w:line="360" w:lineRule="auto"/>
        <w:ind w:firstLineChars="200" w:firstLine="420"/>
        <w:jc w:val="left"/>
        <w:rPr>
          <w:bCs/>
          <w:sz w:val="24"/>
        </w:rPr>
      </w:pPr>
      <w:r>
        <w:rPr>
          <w:rFonts w:ascii="宋体" w:hAnsi="宋体" w:hint="eastAsia"/>
          <w:bCs/>
        </w:rPr>
        <w:t>（九</w:t>
      </w:r>
      <w:bookmarkStart w:id="113" w:name="_Hlk20944998"/>
      <w:r>
        <w:rPr>
          <w:rFonts w:ascii="宋体" w:hAnsi="宋体" w:hint="eastAsia"/>
          <w:bCs/>
        </w:rPr>
        <w:t>）关于本基金的信息披露安排，不论基金合同其他部分如何约定，应优先适用本部分的约定。</w:t>
      </w:r>
      <w:bookmarkEnd w:id="113"/>
    </w:p>
    <w:p w14:paraId="23E5412F" w14:textId="77777777" w:rsidR="0082364D" w:rsidRDefault="0082364D">
      <w:pPr>
        <w:spacing w:line="360" w:lineRule="auto"/>
        <w:ind w:firstLineChars="200" w:firstLine="420"/>
        <w:jc w:val="left"/>
        <w:rPr>
          <w:rFonts w:ascii="宋体" w:hAnsi="宋体"/>
        </w:rPr>
      </w:pPr>
    </w:p>
    <w:p w14:paraId="2D025FAC" w14:textId="77777777" w:rsidR="0082364D" w:rsidRDefault="00BF2824">
      <w:pPr>
        <w:pStyle w:val="1"/>
        <w:spacing w:before="120" w:after="120" w:line="360" w:lineRule="auto"/>
        <w:jc w:val="center"/>
        <w:rPr>
          <w:rFonts w:ascii="宋体" w:hAnsi="宋体"/>
          <w:sz w:val="28"/>
        </w:rPr>
      </w:pPr>
      <w:bookmarkStart w:id="114" w:name="_Toc283892159"/>
      <w:bookmarkStart w:id="115" w:name="_Toc283892787"/>
      <w:bookmarkStart w:id="116" w:name="_Toc283892839"/>
      <w:bookmarkEnd w:id="64"/>
      <w:r>
        <w:rPr>
          <w:rFonts w:ascii="宋体" w:hAnsi="宋体"/>
          <w:sz w:val="28"/>
          <w:szCs w:val="28"/>
        </w:rPr>
        <w:br w:type="page"/>
      </w:r>
      <w:bookmarkStart w:id="117" w:name="_Hlt113880483"/>
      <w:bookmarkStart w:id="118" w:name="_Toc108598527"/>
      <w:bookmarkStart w:id="119" w:name="_Toc353291728"/>
      <w:bookmarkStart w:id="120" w:name="_Toc449605676"/>
      <w:bookmarkStart w:id="121" w:name="_Toc283892840"/>
      <w:bookmarkStart w:id="122" w:name="_Toc283892160"/>
      <w:bookmarkStart w:id="123" w:name="_Toc283892788"/>
      <w:bookmarkEnd w:id="65"/>
      <w:bookmarkEnd w:id="114"/>
      <w:bookmarkEnd w:id="115"/>
      <w:bookmarkEnd w:id="116"/>
      <w:bookmarkEnd w:id="117"/>
      <w:r>
        <w:rPr>
          <w:rFonts w:ascii="宋体" w:hAnsi="宋体"/>
          <w:sz w:val="28"/>
        </w:rPr>
        <w:lastRenderedPageBreak/>
        <w:t>十</w:t>
      </w:r>
      <w:r>
        <w:rPr>
          <w:rFonts w:ascii="宋体" w:hAnsi="宋体" w:hint="eastAsia"/>
          <w:sz w:val="28"/>
        </w:rPr>
        <w:t>六</w:t>
      </w:r>
      <w:r>
        <w:rPr>
          <w:rFonts w:ascii="宋体" w:hAnsi="宋体"/>
          <w:sz w:val="28"/>
        </w:rPr>
        <w:t>、基金合同的</w:t>
      </w:r>
      <w:r>
        <w:rPr>
          <w:rFonts w:ascii="宋体" w:hAnsi="宋体" w:hint="eastAsia"/>
          <w:sz w:val="28"/>
          <w:szCs w:val="28"/>
        </w:rPr>
        <w:t>变更、</w:t>
      </w:r>
      <w:r>
        <w:rPr>
          <w:rFonts w:ascii="宋体" w:hAnsi="宋体"/>
          <w:sz w:val="28"/>
        </w:rPr>
        <w:t>终止与基金财产的清算</w:t>
      </w:r>
      <w:bookmarkEnd w:id="118"/>
      <w:bookmarkEnd w:id="119"/>
      <w:bookmarkEnd w:id="120"/>
      <w:bookmarkEnd w:id="121"/>
      <w:bookmarkEnd w:id="122"/>
      <w:bookmarkEnd w:id="123"/>
    </w:p>
    <w:p w14:paraId="4F1D1AC8" w14:textId="77777777" w:rsidR="0082364D" w:rsidRDefault="00BF2824">
      <w:pPr>
        <w:spacing w:line="360" w:lineRule="auto"/>
        <w:ind w:firstLineChars="200" w:firstLine="420"/>
        <w:jc w:val="left"/>
      </w:pPr>
      <w:bookmarkStart w:id="124" w:name="_Hlk47343399"/>
      <w:r>
        <w:rPr>
          <w:rFonts w:ascii="宋体" w:hAnsi="宋体" w:hint="eastAsia"/>
        </w:rPr>
        <w:t>（一）《基金合同》的变更</w:t>
      </w:r>
    </w:p>
    <w:p w14:paraId="2A994792" w14:textId="77777777" w:rsidR="0082364D" w:rsidRDefault="00BF2824">
      <w:pPr>
        <w:spacing w:line="360" w:lineRule="auto"/>
        <w:ind w:firstLineChars="200" w:firstLine="420"/>
        <w:jc w:val="left"/>
        <w:rPr>
          <w:rFonts w:ascii="宋体" w:hAnsi="宋体"/>
          <w:bCs/>
        </w:rPr>
      </w:pPr>
      <w:r>
        <w:rPr>
          <w:rFonts w:ascii="宋体" w:hAnsi="宋体"/>
          <w:bCs/>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Pr>
          <w:rFonts w:ascii="宋体" w:hAnsi="宋体" w:hint="eastAsia"/>
          <w:bCs/>
        </w:rPr>
        <w:t>或变更注册</w:t>
      </w:r>
      <w:r>
        <w:rPr>
          <w:rFonts w:ascii="宋体" w:hAnsi="宋体"/>
          <w:bCs/>
        </w:rPr>
        <w:t>。</w:t>
      </w:r>
    </w:p>
    <w:p w14:paraId="555B6881" w14:textId="77777777" w:rsidR="0082364D" w:rsidRDefault="00BF2824">
      <w:pPr>
        <w:spacing w:line="360" w:lineRule="auto"/>
        <w:ind w:firstLineChars="200" w:firstLine="420"/>
        <w:jc w:val="left"/>
        <w:rPr>
          <w:rFonts w:ascii="宋体" w:hAnsi="宋体"/>
          <w:bCs/>
        </w:rPr>
      </w:pPr>
      <w:r>
        <w:rPr>
          <w:rFonts w:ascii="宋体" w:hAnsi="宋体"/>
          <w:bCs/>
        </w:rPr>
        <w:t>2、关于《基金合同》变更的基金份额持有人大会决议自生效后方可执行，</w:t>
      </w:r>
      <w:r>
        <w:rPr>
          <w:rFonts w:ascii="宋体" w:hAnsi="宋体" w:hint="eastAsia"/>
          <w:bCs/>
        </w:rPr>
        <w:t>信息披露义务人应在</w:t>
      </w:r>
      <w:r>
        <w:rPr>
          <w:rFonts w:ascii="宋体" w:hAnsi="宋体"/>
          <w:bCs/>
        </w:rPr>
        <w:t>决议生效后依照《信息披露办法》的有关规定在规定媒介公告。</w:t>
      </w:r>
    </w:p>
    <w:p w14:paraId="2EC50D1B" w14:textId="77777777" w:rsidR="0082364D" w:rsidRDefault="00BF2824">
      <w:pPr>
        <w:spacing w:line="360" w:lineRule="auto"/>
        <w:ind w:firstLineChars="200" w:firstLine="420"/>
        <w:jc w:val="left"/>
        <w:rPr>
          <w:rFonts w:ascii="宋体" w:hAnsi="宋体"/>
        </w:rPr>
      </w:pPr>
      <w:r>
        <w:rPr>
          <w:rFonts w:ascii="宋体" w:hAnsi="宋体" w:hint="eastAsia"/>
        </w:rPr>
        <w:t>（二）《基金合同》的终止事由</w:t>
      </w:r>
    </w:p>
    <w:p w14:paraId="5894A265" w14:textId="77777777" w:rsidR="0082364D" w:rsidRDefault="00BF2824">
      <w:pPr>
        <w:spacing w:line="360" w:lineRule="auto"/>
        <w:ind w:firstLineChars="200" w:firstLine="420"/>
        <w:jc w:val="left"/>
        <w:rPr>
          <w:rFonts w:ascii="宋体" w:hAnsi="宋体"/>
          <w:bCs/>
        </w:rPr>
      </w:pPr>
      <w:r>
        <w:rPr>
          <w:rFonts w:ascii="宋体" w:hAnsi="宋体"/>
          <w:bCs/>
        </w:rPr>
        <w:t>有</w:t>
      </w:r>
      <w:r>
        <w:rPr>
          <w:rFonts w:ascii="宋体" w:hAnsi="宋体" w:hint="eastAsia"/>
          <w:bCs/>
        </w:rPr>
        <w:t>下列情形</w:t>
      </w:r>
      <w:r>
        <w:rPr>
          <w:rFonts w:ascii="宋体" w:hAnsi="宋体"/>
          <w:bCs/>
        </w:rPr>
        <w:t>之一的，</w:t>
      </w:r>
      <w:r>
        <w:rPr>
          <w:rFonts w:ascii="宋体" w:hAnsi="宋体" w:hint="eastAsia"/>
          <w:bCs/>
        </w:rPr>
        <w:t>经履行相关程序后，</w:t>
      </w:r>
      <w:r>
        <w:rPr>
          <w:rFonts w:ascii="宋体" w:hAnsi="宋体"/>
          <w:bCs/>
        </w:rPr>
        <w:t>《基金合同》应当</w:t>
      </w:r>
      <w:r>
        <w:rPr>
          <w:rFonts w:ascii="宋体" w:hAnsi="宋体" w:hint="eastAsia"/>
          <w:bCs/>
        </w:rPr>
        <w:t>终止：</w:t>
      </w:r>
    </w:p>
    <w:p w14:paraId="5926D182" w14:textId="77777777" w:rsidR="0082364D" w:rsidRDefault="00BF2824">
      <w:pPr>
        <w:spacing w:line="360" w:lineRule="auto"/>
        <w:ind w:firstLineChars="200" w:firstLine="420"/>
        <w:jc w:val="left"/>
        <w:rPr>
          <w:rFonts w:ascii="宋体" w:hAnsi="宋体"/>
          <w:bCs/>
        </w:rPr>
      </w:pPr>
      <w:r>
        <w:rPr>
          <w:rFonts w:ascii="宋体" w:hAnsi="宋体"/>
          <w:bCs/>
        </w:rPr>
        <w:t>1、基金份额持有人大会决定终止的；</w:t>
      </w:r>
    </w:p>
    <w:p w14:paraId="414059BE" w14:textId="77777777" w:rsidR="0082364D" w:rsidRDefault="00BF2824">
      <w:pPr>
        <w:spacing w:line="360" w:lineRule="auto"/>
        <w:ind w:firstLineChars="200" w:firstLine="420"/>
        <w:jc w:val="left"/>
        <w:rPr>
          <w:rFonts w:ascii="宋体" w:hAnsi="宋体"/>
          <w:bCs/>
        </w:rPr>
      </w:pPr>
      <w:r>
        <w:rPr>
          <w:rFonts w:ascii="宋体" w:hAnsi="宋体"/>
          <w:bCs/>
        </w:rPr>
        <w:t>2、基金管理人、基金托管人职责终止，在6个月内没有新基金管理人、新基金托管人承接的；</w:t>
      </w:r>
    </w:p>
    <w:p w14:paraId="5CBFAEFB" w14:textId="77777777" w:rsidR="0082364D" w:rsidRDefault="00BF2824">
      <w:pPr>
        <w:spacing w:line="360" w:lineRule="auto"/>
        <w:ind w:firstLineChars="200" w:firstLine="420"/>
        <w:jc w:val="left"/>
        <w:rPr>
          <w:rFonts w:ascii="宋体" w:hAnsi="宋体"/>
          <w:bCs/>
        </w:rPr>
      </w:pPr>
      <w:r>
        <w:rPr>
          <w:rFonts w:ascii="宋体" w:hAnsi="宋体"/>
          <w:bCs/>
        </w:rPr>
        <w:t>3、</w:t>
      </w:r>
      <w:r>
        <w:rPr>
          <w:rFonts w:ascii="宋体" w:hAnsi="宋体" w:hint="eastAsia"/>
          <w:bCs/>
        </w:rPr>
        <w:t>出现标的指数不符合要求（因成份股价格波动等指数编制方法变动之外的因素致使标的指数不符合要求的情形除外）、指数编制机构退出、指数编制机构终止指数协议等情形，基金管理人召集基金份额持有人大会对解决方案进行表决，基金份额持有人大会未成功召开或就上述事项表决未通过的；</w:t>
      </w:r>
    </w:p>
    <w:p w14:paraId="40A8AEAC" w14:textId="77777777" w:rsidR="0082364D" w:rsidRDefault="00BF2824">
      <w:pPr>
        <w:spacing w:line="360" w:lineRule="auto"/>
        <w:ind w:firstLineChars="200" w:firstLine="420"/>
        <w:jc w:val="left"/>
        <w:rPr>
          <w:rFonts w:ascii="宋体" w:hAnsi="宋体"/>
          <w:bCs/>
        </w:rPr>
      </w:pPr>
      <w:r>
        <w:rPr>
          <w:rFonts w:ascii="宋体" w:hAnsi="宋体" w:hint="eastAsia"/>
          <w:bCs/>
        </w:rPr>
        <w:t>4、</w:t>
      </w:r>
      <w:r>
        <w:rPr>
          <w:rFonts w:ascii="宋体" w:hAnsi="宋体"/>
          <w:bCs/>
        </w:rPr>
        <w:t>《基金合同》约定的其他情形；</w:t>
      </w:r>
    </w:p>
    <w:p w14:paraId="2241CE02" w14:textId="77777777" w:rsidR="0082364D" w:rsidRDefault="00BF2824">
      <w:pPr>
        <w:spacing w:line="360" w:lineRule="auto"/>
        <w:ind w:firstLineChars="200" w:firstLine="420"/>
        <w:jc w:val="left"/>
        <w:rPr>
          <w:rFonts w:ascii="宋体" w:hAnsi="宋体"/>
          <w:bCs/>
        </w:rPr>
      </w:pPr>
      <w:r>
        <w:rPr>
          <w:rFonts w:ascii="宋体" w:hAnsi="宋体"/>
          <w:bCs/>
        </w:rPr>
        <w:t>5、相关法律法规</w:t>
      </w:r>
      <w:r>
        <w:rPr>
          <w:rFonts w:ascii="宋体" w:hAnsi="宋体" w:hint="eastAsia"/>
          <w:bCs/>
        </w:rPr>
        <w:t>和</w:t>
      </w:r>
      <w:r>
        <w:rPr>
          <w:rFonts w:ascii="宋体" w:hAnsi="宋体"/>
          <w:bCs/>
        </w:rPr>
        <w:t>中国证监会规定的其他情况。</w:t>
      </w:r>
    </w:p>
    <w:p w14:paraId="5188EE2E" w14:textId="77777777" w:rsidR="0082364D" w:rsidRDefault="00BF2824">
      <w:pPr>
        <w:spacing w:line="360" w:lineRule="auto"/>
        <w:ind w:firstLineChars="200" w:firstLine="420"/>
        <w:jc w:val="left"/>
      </w:pPr>
      <w:r>
        <w:rPr>
          <w:rFonts w:ascii="宋体" w:hAnsi="宋体"/>
        </w:rPr>
        <w:t>（</w:t>
      </w:r>
      <w:r>
        <w:rPr>
          <w:rFonts w:ascii="宋体" w:hAnsi="宋体" w:hint="eastAsia"/>
        </w:rPr>
        <w:t>三</w:t>
      </w:r>
      <w:r>
        <w:rPr>
          <w:rFonts w:ascii="宋体" w:hAnsi="宋体"/>
        </w:rPr>
        <w:t>）基金财产的清算</w:t>
      </w:r>
    </w:p>
    <w:p w14:paraId="0D26312E" w14:textId="77777777" w:rsidR="0082364D" w:rsidRDefault="00BF2824">
      <w:pPr>
        <w:spacing w:line="360" w:lineRule="auto"/>
        <w:ind w:firstLineChars="200" w:firstLine="420"/>
        <w:jc w:val="left"/>
        <w:rPr>
          <w:rFonts w:ascii="宋体" w:hAnsi="宋体"/>
          <w:bCs/>
        </w:rPr>
      </w:pPr>
      <w:r>
        <w:rPr>
          <w:rFonts w:ascii="宋体" w:hAnsi="宋体"/>
          <w:bCs/>
        </w:rPr>
        <w:t>1、基金财产清算小组：自出现《基金合同》终止事由之日起30个工作日内成立清算小组，基金管理人组织基金财产清算小组并在中国证监会的监督下进行基金清算。</w:t>
      </w:r>
    </w:p>
    <w:p w14:paraId="0D397CB8" w14:textId="77777777" w:rsidR="0082364D" w:rsidRDefault="00BF2824">
      <w:pPr>
        <w:spacing w:line="360" w:lineRule="auto"/>
        <w:ind w:firstLineChars="200" w:firstLine="420"/>
        <w:jc w:val="left"/>
        <w:rPr>
          <w:rFonts w:ascii="宋体" w:hAnsi="宋体"/>
          <w:bCs/>
        </w:rPr>
      </w:pPr>
      <w:r>
        <w:rPr>
          <w:rFonts w:ascii="宋体" w:hAnsi="宋体"/>
          <w:bCs/>
        </w:rPr>
        <w:t>2、</w:t>
      </w:r>
      <w:r>
        <w:rPr>
          <w:rFonts w:ascii="宋体" w:hAnsi="宋体"/>
        </w:rPr>
        <w:t>在基金财产清算小组接管基金财产之前，基金管理人和基金托管人应按照基金合同和托管协议的规定继续履行保护基金财产安全的职责。</w:t>
      </w:r>
    </w:p>
    <w:p w14:paraId="71724B80" w14:textId="77777777" w:rsidR="0082364D" w:rsidRDefault="00BF2824">
      <w:pPr>
        <w:spacing w:line="360" w:lineRule="auto"/>
        <w:ind w:firstLineChars="200" w:firstLine="420"/>
        <w:jc w:val="left"/>
        <w:rPr>
          <w:rFonts w:ascii="宋体" w:hAnsi="宋体"/>
          <w:bCs/>
        </w:rPr>
      </w:pPr>
      <w:r>
        <w:rPr>
          <w:rFonts w:ascii="宋体" w:hAnsi="宋体"/>
          <w:bCs/>
        </w:rPr>
        <w:t>3、基金财产清算小组组成：基金财产清算小组成员由基金管理人、基金托管人、</w:t>
      </w:r>
      <w:r>
        <w:rPr>
          <w:rFonts w:ascii="宋体" w:hAnsi="宋体" w:hint="eastAsia"/>
          <w:bCs/>
        </w:rPr>
        <w:t>符合《证券法》规定</w:t>
      </w:r>
      <w:r>
        <w:rPr>
          <w:rFonts w:ascii="宋体" w:hAnsi="宋体"/>
          <w:bCs/>
        </w:rPr>
        <w:t>的注册会计师、律师组成。基金财产清算小组可以聘用必要的工作人员。</w:t>
      </w:r>
    </w:p>
    <w:p w14:paraId="48C7513B" w14:textId="77777777" w:rsidR="0082364D" w:rsidRDefault="00BF2824">
      <w:pPr>
        <w:spacing w:line="360" w:lineRule="auto"/>
        <w:ind w:firstLineChars="200" w:firstLine="420"/>
        <w:jc w:val="left"/>
        <w:rPr>
          <w:rFonts w:ascii="宋体" w:hAnsi="宋体"/>
          <w:bCs/>
        </w:rPr>
      </w:pPr>
      <w:r>
        <w:rPr>
          <w:rFonts w:ascii="宋体" w:hAnsi="宋体"/>
          <w:bCs/>
        </w:rPr>
        <w:t>4、基金财产清算小组职责：基金财产清算小组负责基金财产的保管、清理、估价、变现和分配。基金财产清算小组可以依法进行必要的民事活动。</w:t>
      </w:r>
    </w:p>
    <w:p w14:paraId="21841549" w14:textId="77777777" w:rsidR="0082364D" w:rsidRDefault="00BF2824">
      <w:pPr>
        <w:spacing w:line="360" w:lineRule="auto"/>
        <w:ind w:firstLineChars="200" w:firstLine="420"/>
        <w:jc w:val="left"/>
        <w:rPr>
          <w:rFonts w:ascii="宋体" w:hAnsi="宋体"/>
          <w:bCs/>
        </w:rPr>
      </w:pPr>
      <w:r>
        <w:rPr>
          <w:rFonts w:ascii="宋体" w:hAnsi="宋体"/>
          <w:bCs/>
        </w:rPr>
        <w:t>5、基金财产清算程序：</w:t>
      </w:r>
    </w:p>
    <w:p w14:paraId="6331449E" w14:textId="77777777" w:rsidR="0082364D" w:rsidRDefault="00BF2824">
      <w:pPr>
        <w:spacing w:line="360" w:lineRule="auto"/>
        <w:ind w:firstLineChars="200" w:firstLine="420"/>
        <w:jc w:val="left"/>
        <w:rPr>
          <w:rFonts w:ascii="宋体" w:hAnsi="宋体"/>
          <w:bCs/>
        </w:rPr>
      </w:pPr>
      <w:r>
        <w:rPr>
          <w:rFonts w:ascii="宋体" w:hAnsi="宋体"/>
          <w:bCs/>
        </w:rPr>
        <w:lastRenderedPageBreak/>
        <w:t>（1）基金财产清算小组成立后，由基金财产清算小组统一接管基金；</w:t>
      </w:r>
    </w:p>
    <w:p w14:paraId="74225CF4" w14:textId="77777777" w:rsidR="0082364D" w:rsidRDefault="00BF2824">
      <w:pPr>
        <w:spacing w:line="360" w:lineRule="auto"/>
        <w:ind w:firstLineChars="200" w:firstLine="420"/>
        <w:jc w:val="left"/>
        <w:rPr>
          <w:rFonts w:ascii="宋体" w:hAnsi="宋体"/>
          <w:bCs/>
        </w:rPr>
      </w:pPr>
      <w:r>
        <w:rPr>
          <w:rFonts w:ascii="宋体" w:hAnsi="宋体"/>
          <w:bCs/>
        </w:rPr>
        <w:t>（2）对基金财产和债权债务进行清理和确认；</w:t>
      </w:r>
    </w:p>
    <w:p w14:paraId="6554EAA2" w14:textId="77777777" w:rsidR="0082364D" w:rsidRDefault="00BF2824">
      <w:pPr>
        <w:spacing w:line="360" w:lineRule="auto"/>
        <w:ind w:firstLineChars="200" w:firstLine="420"/>
        <w:jc w:val="left"/>
        <w:rPr>
          <w:rFonts w:ascii="宋体" w:hAnsi="宋体"/>
          <w:bCs/>
        </w:rPr>
      </w:pPr>
      <w:r>
        <w:rPr>
          <w:rFonts w:ascii="宋体" w:hAnsi="宋体"/>
          <w:bCs/>
        </w:rPr>
        <w:t>（3）对基金财产进行估值和变现；</w:t>
      </w:r>
    </w:p>
    <w:p w14:paraId="05BA3B92" w14:textId="77777777" w:rsidR="0082364D" w:rsidRDefault="00BF2824">
      <w:pPr>
        <w:spacing w:line="360" w:lineRule="auto"/>
        <w:ind w:firstLineChars="200" w:firstLine="420"/>
        <w:jc w:val="left"/>
        <w:rPr>
          <w:rFonts w:ascii="宋体" w:hAnsi="宋体"/>
          <w:bCs/>
        </w:rPr>
      </w:pPr>
      <w:r>
        <w:rPr>
          <w:rFonts w:ascii="宋体" w:hAnsi="宋体"/>
          <w:bCs/>
        </w:rPr>
        <w:t>（4）制作清算报告；</w:t>
      </w:r>
    </w:p>
    <w:p w14:paraId="548C0709" w14:textId="77777777" w:rsidR="0082364D" w:rsidRDefault="00BF2824">
      <w:pPr>
        <w:spacing w:line="360" w:lineRule="auto"/>
        <w:ind w:firstLineChars="200" w:firstLine="420"/>
        <w:jc w:val="left"/>
        <w:rPr>
          <w:rFonts w:ascii="宋体" w:hAnsi="宋体"/>
          <w:bCs/>
        </w:rPr>
      </w:pPr>
      <w:r>
        <w:rPr>
          <w:rFonts w:ascii="宋体" w:hAnsi="宋体"/>
          <w:bCs/>
        </w:rPr>
        <w:t>（5）聘请会计师事务所对清算报告进行外部审计，聘请律师事务所对清算报告出具法律意见书；</w:t>
      </w:r>
    </w:p>
    <w:p w14:paraId="1AF6CA8D" w14:textId="77777777" w:rsidR="0082364D" w:rsidRDefault="00BF2824">
      <w:pPr>
        <w:spacing w:line="360" w:lineRule="auto"/>
        <w:ind w:firstLineChars="200" w:firstLine="420"/>
        <w:jc w:val="left"/>
        <w:rPr>
          <w:rFonts w:ascii="宋体" w:hAnsi="宋体"/>
          <w:bCs/>
        </w:rPr>
      </w:pPr>
      <w:r>
        <w:rPr>
          <w:rFonts w:ascii="宋体" w:hAnsi="宋体"/>
          <w:bCs/>
        </w:rPr>
        <w:t>（6）将清算报告报中国证监会备案并公告；</w:t>
      </w:r>
    </w:p>
    <w:p w14:paraId="08C53461" w14:textId="77777777" w:rsidR="0082364D" w:rsidRDefault="00BF2824">
      <w:pPr>
        <w:spacing w:line="360" w:lineRule="auto"/>
        <w:ind w:firstLineChars="200" w:firstLine="420"/>
        <w:jc w:val="left"/>
        <w:rPr>
          <w:rFonts w:ascii="宋体" w:hAnsi="宋体"/>
          <w:bCs/>
        </w:rPr>
      </w:pPr>
      <w:r>
        <w:rPr>
          <w:rFonts w:ascii="宋体" w:hAnsi="宋体"/>
          <w:bCs/>
        </w:rPr>
        <w:t>（7）对基金</w:t>
      </w:r>
      <w:r>
        <w:rPr>
          <w:rFonts w:ascii="宋体" w:hAnsi="宋体" w:hint="eastAsia"/>
          <w:bCs/>
        </w:rPr>
        <w:t>剩余</w:t>
      </w:r>
      <w:r>
        <w:rPr>
          <w:rFonts w:ascii="宋体" w:hAnsi="宋体"/>
          <w:bCs/>
        </w:rPr>
        <w:t>财产进行分配</w:t>
      </w:r>
      <w:r>
        <w:rPr>
          <w:rFonts w:ascii="宋体" w:hAnsi="宋体" w:hint="eastAsia"/>
          <w:bCs/>
        </w:rPr>
        <w:t>。</w:t>
      </w:r>
    </w:p>
    <w:p w14:paraId="107726B6" w14:textId="77777777" w:rsidR="0082364D" w:rsidRDefault="00BF2824">
      <w:pPr>
        <w:spacing w:line="360" w:lineRule="auto"/>
        <w:ind w:firstLineChars="200" w:firstLine="420"/>
        <w:jc w:val="left"/>
        <w:rPr>
          <w:rFonts w:ascii="宋体" w:hAnsi="宋体"/>
          <w:bCs/>
        </w:rPr>
      </w:pPr>
      <w:r>
        <w:rPr>
          <w:rFonts w:ascii="宋体" w:hAnsi="宋体"/>
          <w:bCs/>
        </w:rPr>
        <w:t>6、基金财产清算的期限为6个月，</w:t>
      </w:r>
      <w:r>
        <w:rPr>
          <w:rFonts w:ascii="宋体" w:hAnsi="宋体"/>
        </w:rPr>
        <w:t>但</w:t>
      </w:r>
      <w:r>
        <w:rPr>
          <w:rFonts w:ascii="宋体" w:hAnsi="宋体"/>
          <w:bCs/>
        </w:rPr>
        <w:t>因本基金所持证券</w:t>
      </w:r>
      <w:r>
        <w:rPr>
          <w:rFonts w:ascii="宋体" w:hAnsi="宋体"/>
        </w:rPr>
        <w:t>的流动性</w:t>
      </w:r>
      <w:r>
        <w:rPr>
          <w:rFonts w:ascii="宋体" w:hAnsi="宋体"/>
          <w:bCs/>
        </w:rPr>
        <w:t>受到限制</w:t>
      </w:r>
      <w:r>
        <w:rPr>
          <w:rFonts w:ascii="宋体" w:hAnsi="宋体"/>
        </w:rPr>
        <w:t>而不能及时变现</w:t>
      </w:r>
      <w:r>
        <w:rPr>
          <w:rFonts w:ascii="宋体" w:hAnsi="宋体" w:hint="eastAsia"/>
        </w:rPr>
        <w:t>、结算保证金相关规定等客观因素</w:t>
      </w:r>
      <w:r>
        <w:rPr>
          <w:rFonts w:ascii="宋体" w:hAnsi="宋体"/>
          <w:bCs/>
        </w:rPr>
        <w:t>，清算期限相应</w:t>
      </w:r>
      <w:r>
        <w:rPr>
          <w:rFonts w:ascii="宋体" w:hAnsi="宋体"/>
        </w:rPr>
        <w:t>顺延</w:t>
      </w:r>
      <w:r>
        <w:rPr>
          <w:rFonts w:ascii="宋体" w:hAnsi="宋体"/>
          <w:bCs/>
        </w:rPr>
        <w:t>。</w:t>
      </w:r>
    </w:p>
    <w:p w14:paraId="4614D3CE" w14:textId="77777777" w:rsidR="0082364D" w:rsidRDefault="00BF2824">
      <w:pPr>
        <w:spacing w:line="360" w:lineRule="auto"/>
        <w:ind w:firstLineChars="200" w:firstLine="420"/>
        <w:jc w:val="left"/>
        <w:rPr>
          <w:rFonts w:ascii="宋体" w:hAnsi="宋体"/>
        </w:rPr>
      </w:pPr>
      <w:r>
        <w:rPr>
          <w:rFonts w:ascii="宋体" w:hAnsi="宋体" w:hint="eastAsia"/>
        </w:rPr>
        <w:t>（四）清算费用</w:t>
      </w:r>
    </w:p>
    <w:p w14:paraId="280E6ED0" w14:textId="77777777" w:rsidR="0082364D" w:rsidRDefault="00BF2824">
      <w:pPr>
        <w:spacing w:line="360" w:lineRule="auto"/>
        <w:ind w:firstLineChars="200" w:firstLine="420"/>
        <w:jc w:val="left"/>
        <w:rPr>
          <w:rFonts w:ascii="宋体" w:hAnsi="宋体"/>
          <w:bCs/>
        </w:rPr>
      </w:pPr>
      <w:r>
        <w:rPr>
          <w:rFonts w:ascii="宋体" w:hAnsi="宋体"/>
          <w:bCs/>
        </w:rPr>
        <w:t>清算费用是指基金财产清算小组在进行基金清算过程中发生的所有合理费用，清算费用由基金财产清算小组优先从基金财产中支付。</w:t>
      </w:r>
    </w:p>
    <w:p w14:paraId="4CBDE765" w14:textId="77777777" w:rsidR="0082364D" w:rsidRDefault="00BF2824">
      <w:pPr>
        <w:spacing w:line="360" w:lineRule="auto"/>
        <w:ind w:firstLineChars="200" w:firstLine="420"/>
        <w:jc w:val="left"/>
        <w:rPr>
          <w:rFonts w:ascii="宋体" w:hAnsi="宋体"/>
        </w:rPr>
      </w:pPr>
      <w:r>
        <w:rPr>
          <w:rFonts w:ascii="宋体" w:hAnsi="宋体" w:hint="eastAsia"/>
        </w:rPr>
        <w:t>（五）基金财产清算剩余资产的分配</w:t>
      </w:r>
    </w:p>
    <w:p w14:paraId="2C62F29F" w14:textId="77777777" w:rsidR="0082364D" w:rsidRDefault="00BF2824">
      <w:pPr>
        <w:spacing w:line="360" w:lineRule="auto"/>
        <w:ind w:firstLineChars="200" w:firstLine="420"/>
        <w:jc w:val="left"/>
        <w:rPr>
          <w:rFonts w:ascii="宋体" w:hAnsi="宋体"/>
          <w:bCs/>
        </w:rPr>
      </w:pPr>
      <w:r>
        <w:rPr>
          <w:rFonts w:ascii="宋体" w:hAnsi="宋体"/>
          <w:bCs/>
        </w:rPr>
        <w:t>依据基金财产清算的分配方案，将基金财产清算后的全部剩余资产扣除基金财产清算费用、交纳所欠税款并清偿基金债务后，按基金份额持有人持有的基金份额比例进行分配。</w:t>
      </w:r>
    </w:p>
    <w:p w14:paraId="6B028AF0" w14:textId="77777777" w:rsidR="0082364D" w:rsidRDefault="00BF2824">
      <w:pPr>
        <w:spacing w:line="360" w:lineRule="auto"/>
        <w:ind w:firstLineChars="202" w:firstLine="424"/>
        <w:rPr>
          <w:rFonts w:ascii="宋体" w:hAnsi="宋体"/>
        </w:rPr>
      </w:pPr>
      <w:r>
        <w:rPr>
          <w:rFonts w:ascii="宋体" w:hAnsi="宋体" w:hint="eastAsia"/>
        </w:rPr>
        <w:t>（六）基金财产清算的公告</w:t>
      </w:r>
    </w:p>
    <w:p w14:paraId="5B98F679" w14:textId="77777777" w:rsidR="0082364D" w:rsidRDefault="00BF2824">
      <w:pPr>
        <w:spacing w:line="360" w:lineRule="auto"/>
        <w:ind w:firstLineChars="202" w:firstLine="424"/>
        <w:rPr>
          <w:rFonts w:ascii="宋体" w:hAnsi="宋体"/>
          <w:bCs/>
        </w:rPr>
      </w:pPr>
      <w:r>
        <w:rPr>
          <w:rFonts w:ascii="宋体" w:hAnsi="宋体"/>
          <w:bCs/>
        </w:rPr>
        <w:t>清算过程中的有关重大事项</w:t>
      </w:r>
      <w:r>
        <w:rPr>
          <w:rFonts w:ascii="宋体" w:hAnsi="宋体" w:hint="eastAsia"/>
          <w:bCs/>
        </w:rPr>
        <w:t>应</w:t>
      </w:r>
      <w:r>
        <w:rPr>
          <w:rFonts w:ascii="宋体" w:hAnsi="宋体"/>
          <w:bCs/>
        </w:rPr>
        <w:t>及时公告；基金财产清算报告经</w:t>
      </w:r>
      <w:r>
        <w:rPr>
          <w:rFonts w:ascii="宋体" w:hAnsi="宋体" w:hint="eastAsia"/>
          <w:bCs/>
        </w:rPr>
        <w:t>符合《证券法》规定的</w:t>
      </w:r>
      <w:r>
        <w:rPr>
          <w:rFonts w:ascii="宋体" w:hAnsi="宋体"/>
          <w:bCs/>
        </w:rPr>
        <w:t>会计师事务所审计并由律师事务所出具法律意见书后报中国证监会备案并公告。基金财产清算报告报中国证监会备案后</w:t>
      </w:r>
      <w:r>
        <w:rPr>
          <w:rFonts w:ascii="宋体" w:hAnsi="宋体" w:hint="eastAsia"/>
          <w:bCs/>
        </w:rPr>
        <w:t>按照《信息披露办法》的规定</w:t>
      </w:r>
      <w:r>
        <w:rPr>
          <w:rFonts w:ascii="宋体" w:hAnsi="宋体"/>
          <w:bCs/>
        </w:rPr>
        <w:t>由基金财产清算小组进行公告。</w:t>
      </w:r>
    </w:p>
    <w:p w14:paraId="16345F58" w14:textId="77777777" w:rsidR="0082364D" w:rsidRDefault="00BF2824">
      <w:pPr>
        <w:spacing w:line="360" w:lineRule="auto"/>
        <w:ind w:firstLineChars="202" w:firstLine="424"/>
        <w:rPr>
          <w:rFonts w:ascii="宋体" w:hAnsi="宋体"/>
        </w:rPr>
      </w:pPr>
      <w:r>
        <w:rPr>
          <w:rFonts w:ascii="宋体" w:hAnsi="宋体" w:hint="eastAsia"/>
        </w:rPr>
        <w:t>（七）基金财产清算账册及文件的保存</w:t>
      </w:r>
    </w:p>
    <w:p w14:paraId="723A6F35" w14:textId="77777777" w:rsidR="0082364D" w:rsidRDefault="00BF2824">
      <w:pPr>
        <w:spacing w:line="360" w:lineRule="auto"/>
        <w:ind w:firstLineChars="202" w:firstLine="424"/>
        <w:rPr>
          <w:rFonts w:ascii="宋体" w:hAnsi="宋体"/>
          <w:bCs/>
        </w:rPr>
      </w:pPr>
      <w:r>
        <w:rPr>
          <w:rFonts w:ascii="宋体" w:hAnsi="宋体"/>
          <w:bCs/>
        </w:rPr>
        <w:t>基金财产清算账册及有关文件由基金托管人保存，</w:t>
      </w:r>
      <w:r>
        <w:rPr>
          <w:rFonts w:ascii="宋体" w:hAnsi="宋体" w:hint="eastAsia"/>
          <w:bCs/>
        </w:rPr>
        <w:t>保存期限不低于法律法规规定的最低期限</w:t>
      </w:r>
      <w:r>
        <w:rPr>
          <w:rFonts w:ascii="宋体" w:hAnsi="宋体"/>
          <w:bCs/>
        </w:rPr>
        <w:t>。</w:t>
      </w:r>
    </w:p>
    <w:p w14:paraId="46C945F4" w14:textId="77777777" w:rsidR="0082364D" w:rsidRDefault="0082364D">
      <w:pPr>
        <w:spacing w:line="360" w:lineRule="auto"/>
        <w:ind w:firstLineChars="200" w:firstLine="420"/>
        <w:jc w:val="left"/>
        <w:rPr>
          <w:rFonts w:ascii="宋体" w:hAnsi="宋体"/>
        </w:rPr>
      </w:pPr>
    </w:p>
    <w:bookmarkEnd w:id="66"/>
    <w:bookmarkEnd w:id="124"/>
    <w:p w14:paraId="7B33D36B" w14:textId="5C21E4B7" w:rsidR="0082364D" w:rsidRDefault="00BF2824">
      <w:pPr>
        <w:pStyle w:val="1"/>
        <w:spacing w:before="120" w:after="120" w:line="360" w:lineRule="auto"/>
        <w:jc w:val="center"/>
        <w:rPr>
          <w:rFonts w:ascii="宋体" w:hAnsi="宋体"/>
        </w:rPr>
      </w:pPr>
      <w:r>
        <w:rPr>
          <w:rFonts w:ascii="宋体" w:hAnsi="宋体"/>
          <w:sz w:val="28"/>
        </w:rPr>
        <w:br w:type="page"/>
      </w:r>
      <w:bookmarkStart w:id="125" w:name="_Toc108598528"/>
      <w:bookmarkStart w:id="126" w:name="_Toc353291729"/>
      <w:bookmarkStart w:id="127" w:name="_Toc283892161"/>
      <w:bookmarkStart w:id="128" w:name="_Toc449605677"/>
      <w:bookmarkStart w:id="129" w:name="_Toc283892841"/>
      <w:bookmarkStart w:id="130" w:name="_Toc283892789"/>
      <w:r>
        <w:rPr>
          <w:rFonts w:ascii="宋体" w:hAnsi="宋体" w:hint="eastAsia"/>
          <w:sz w:val="28"/>
        </w:rPr>
        <w:lastRenderedPageBreak/>
        <w:t>十七</w:t>
      </w:r>
      <w:r>
        <w:rPr>
          <w:rFonts w:ascii="宋体" w:hAnsi="宋体"/>
          <w:sz w:val="28"/>
        </w:rPr>
        <w:t>、基金托管人</w:t>
      </w:r>
      <w:bookmarkEnd w:id="125"/>
    </w:p>
    <w:p w14:paraId="0E42A7D6" w14:textId="77777777" w:rsidR="0082364D" w:rsidRDefault="00BF2824">
      <w:pPr>
        <w:pStyle w:val="-"/>
        <w:ind w:firstLine="420"/>
        <w:rPr>
          <w:lang w:val="en-US"/>
        </w:rPr>
      </w:pPr>
      <w:r>
        <w:rPr>
          <w:rFonts w:hint="eastAsia"/>
          <w:lang w:val="en-US"/>
        </w:rPr>
        <w:t>（一）基金托管人概况</w:t>
      </w:r>
    </w:p>
    <w:p w14:paraId="2E2D68E0" w14:textId="77777777" w:rsidR="0082364D" w:rsidRDefault="00BF2824">
      <w:pPr>
        <w:pStyle w:val="-"/>
        <w:ind w:firstLine="420"/>
        <w:rPr>
          <w:lang w:val="en-US"/>
        </w:rPr>
      </w:pPr>
      <w:r>
        <w:rPr>
          <w:rFonts w:hint="eastAsia"/>
          <w:lang w:val="en-US"/>
        </w:rPr>
        <w:t>1、基本情况</w:t>
      </w:r>
    </w:p>
    <w:p w14:paraId="1F1D32B1" w14:textId="77777777" w:rsidR="0082364D" w:rsidRDefault="00BF2824">
      <w:pPr>
        <w:pStyle w:val="-"/>
        <w:ind w:firstLine="420"/>
        <w:rPr>
          <w:lang w:val="en-US"/>
        </w:rPr>
      </w:pPr>
      <w:r>
        <w:rPr>
          <w:rFonts w:hint="eastAsia"/>
          <w:lang w:val="en-US"/>
        </w:rPr>
        <w:t>名称：招商银行股份有限公司（以下简称“招商银行”）</w:t>
      </w:r>
    </w:p>
    <w:p w14:paraId="3E2E778F" w14:textId="77777777" w:rsidR="0082364D" w:rsidRDefault="00BF2824">
      <w:pPr>
        <w:pStyle w:val="-"/>
        <w:ind w:firstLine="420"/>
        <w:rPr>
          <w:lang w:val="en-US"/>
        </w:rPr>
      </w:pPr>
      <w:r>
        <w:rPr>
          <w:rFonts w:hint="eastAsia"/>
          <w:lang w:val="en-US"/>
        </w:rPr>
        <w:t>设立日期：1987年4月8日</w:t>
      </w:r>
    </w:p>
    <w:p w14:paraId="17AD78D3" w14:textId="77777777" w:rsidR="0082364D" w:rsidRDefault="00BF2824">
      <w:pPr>
        <w:pStyle w:val="-"/>
        <w:ind w:firstLine="420"/>
        <w:rPr>
          <w:lang w:val="en-US"/>
        </w:rPr>
      </w:pPr>
      <w:r>
        <w:rPr>
          <w:rFonts w:hint="eastAsia"/>
          <w:lang w:val="en-US"/>
        </w:rPr>
        <w:t>注册地址：深圳市福田区深南大道7088号招商银行大厦</w:t>
      </w:r>
    </w:p>
    <w:p w14:paraId="75010241" w14:textId="77777777" w:rsidR="0082364D" w:rsidRDefault="00BF2824">
      <w:pPr>
        <w:pStyle w:val="-"/>
        <w:ind w:firstLine="420"/>
        <w:rPr>
          <w:lang w:val="en-US"/>
        </w:rPr>
      </w:pPr>
      <w:r>
        <w:rPr>
          <w:rFonts w:hint="eastAsia"/>
          <w:lang w:val="en-US"/>
        </w:rPr>
        <w:t>办公地址：深圳市福田区深南大道7088号招商银行大厦</w:t>
      </w:r>
    </w:p>
    <w:p w14:paraId="42C05C04" w14:textId="77777777" w:rsidR="0082364D" w:rsidRDefault="00BF2824">
      <w:pPr>
        <w:pStyle w:val="-"/>
        <w:ind w:firstLine="420"/>
        <w:rPr>
          <w:lang w:val="en-US"/>
        </w:rPr>
      </w:pPr>
      <w:r>
        <w:rPr>
          <w:rFonts w:hint="eastAsia"/>
          <w:lang w:val="en-US"/>
        </w:rPr>
        <w:t>注册资本：252.20亿元</w:t>
      </w:r>
    </w:p>
    <w:p w14:paraId="6896EE93" w14:textId="77777777" w:rsidR="0082364D" w:rsidRDefault="00BF2824">
      <w:pPr>
        <w:pStyle w:val="-"/>
        <w:ind w:firstLine="420"/>
        <w:rPr>
          <w:lang w:val="en-US"/>
        </w:rPr>
      </w:pPr>
      <w:r>
        <w:rPr>
          <w:rFonts w:hint="eastAsia"/>
          <w:lang w:val="en-US"/>
        </w:rPr>
        <w:t>法定代表人：缪建民</w:t>
      </w:r>
    </w:p>
    <w:p w14:paraId="014B778A" w14:textId="77777777" w:rsidR="0082364D" w:rsidRDefault="00BF2824">
      <w:pPr>
        <w:pStyle w:val="-"/>
        <w:ind w:firstLine="420"/>
        <w:rPr>
          <w:lang w:val="en-US"/>
        </w:rPr>
      </w:pPr>
      <w:r>
        <w:rPr>
          <w:rFonts w:hint="eastAsia"/>
          <w:lang w:val="en-US"/>
        </w:rPr>
        <w:t>行长：王良</w:t>
      </w:r>
    </w:p>
    <w:p w14:paraId="47359F75" w14:textId="77777777" w:rsidR="0082364D" w:rsidRDefault="00BF2824">
      <w:pPr>
        <w:pStyle w:val="-"/>
        <w:ind w:firstLine="420"/>
        <w:rPr>
          <w:lang w:val="en-US"/>
        </w:rPr>
      </w:pPr>
      <w:r>
        <w:rPr>
          <w:rFonts w:hint="eastAsia"/>
          <w:lang w:val="en-US"/>
        </w:rPr>
        <w:t>资产托管业务批准文号：证监基金字[2002]83号</w:t>
      </w:r>
    </w:p>
    <w:p w14:paraId="6F33196E" w14:textId="77777777" w:rsidR="0082364D" w:rsidRDefault="00BF2824">
      <w:pPr>
        <w:pStyle w:val="-"/>
        <w:ind w:firstLine="420"/>
        <w:rPr>
          <w:lang w:val="en-US"/>
        </w:rPr>
      </w:pPr>
      <w:r>
        <w:rPr>
          <w:rFonts w:hint="eastAsia"/>
          <w:lang w:val="en-US"/>
        </w:rPr>
        <w:t>电话：0755-83199084</w:t>
      </w:r>
    </w:p>
    <w:p w14:paraId="166372AC" w14:textId="77777777" w:rsidR="0082364D" w:rsidRDefault="00BF2824">
      <w:pPr>
        <w:pStyle w:val="-"/>
        <w:ind w:firstLine="420"/>
        <w:rPr>
          <w:lang w:val="en-US"/>
        </w:rPr>
      </w:pPr>
      <w:r>
        <w:rPr>
          <w:rFonts w:hint="eastAsia"/>
          <w:lang w:val="en-US"/>
        </w:rPr>
        <w:t>传真：0755-83195201</w:t>
      </w:r>
    </w:p>
    <w:p w14:paraId="0032DE92" w14:textId="77777777" w:rsidR="0082364D" w:rsidRDefault="00BF2824">
      <w:pPr>
        <w:pStyle w:val="-"/>
        <w:ind w:firstLine="420"/>
        <w:rPr>
          <w:lang w:val="en-US"/>
        </w:rPr>
      </w:pPr>
      <w:r>
        <w:rPr>
          <w:rFonts w:hint="eastAsia"/>
          <w:lang w:val="en-US"/>
        </w:rPr>
        <w:t>资产托管部信息披露负责人：张燕</w:t>
      </w:r>
    </w:p>
    <w:p w14:paraId="3A912F5A" w14:textId="77777777" w:rsidR="0082364D" w:rsidRDefault="00BF2824">
      <w:pPr>
        <w:pStyle w:val="-"/>
        <w:ind w:firstLine="420"/>
        <w:rPr>
          <w:lang w:val="en-US"/>
        </w:rPr>
      </w:pPr>
      <w:r>
        <w:rPr>
          <w:rFonts w:hint="eastAsia"/>
          <w:lang w:val="en-US"/>
        </w:rPr>
        <w:t xml:space="preserve">2、发展概况   </w:t>
      </w:r>
    </w:p>
    <w:p w14:paraId="6ED25EE5" w14:textId="77777777" w:rsidR="0082364D" w:rsidRDefault="00BF2824">
      <w:pPr>
        <w:pStyle w:val="-"/>
        <w:ind w:firstLine="420"/>
        <w:rPr>
          <w:lang w:val="en-US"/>
        </w:rPr>
      </w:pPr>
      <w:r>
        <w:rPr>
          <w:rFonts w:hint="eastAsia"/>
          <w:lang w:val="en-US"/>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9月30日，本集团总资产97,071.11亿元人民币，高级法下资本充足率17.17%，权重法下资本充足率14.36%。</w:t>
      </w:r>
    </w:p>
    <w:p w14:paraId="178F5F32" w14:textId="77777777" w:rsidR="0082364D" w:rsidRDefault="00BF2824">
      <w:pPr>
        <w:pStyle w:val="-"/>
        <w:ind w:firstLine="420"/>
        <w:rPr>
          <w:lang w:val="en-US"/>
        </w:rPr>
      </w:pPr>
      <w:r>
        <w:rPr>
          <w:rFonts w:hint="eastAsia"/>
          <w:lang w:val="en-US"/>
        </w:rPr>
        <w:t>2002年8月，招商银行成立基金托管部；2005年8月，经报中国证监会同意，更名为资产托管部，现下设业务管理团队、基金券商产品团队、银保信托产品团队、养老金团队、交易与清算团队、项目管理团队、稽核监察团队、基金外包业务团队、系统与数据团队9个职能团队，现有员工150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7243B922" w14:textId="77777777" w:rsidR="0082364D" w:rsidRDefault="00BF2824">
      <w:pPr>
        <w:pStyle w:val="-"/>
        <w:ind w:firstLine="420"/>
        <w:rPr>
          <w:lang w:val="en-US"/>
        </w:rPr>
      </w:pPr>
      <w:r>
        <w:rPr>
          <w:rFonts w:hint="eastAsia"/>
          <w:lang w:val="en-US"/>
        </w:rPr>
        <w:t>招商银行确立“因势而变、先您所想”的托管理念和“财富所托、信守承诺”的托管核心价值，独创“6S托管银行”品牌体系，以“保护您的业务、保护您的财富”为历史使命，</w:t>
      </w:r>
      <w:r>
        <w:rPr>
          <w:rFonts w:hint="eastAsia"/>
          <w:lang w:val="en-US"/>
        </w:rPr>
        <w:lastRenderedPageBreak/>
        <w:t>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2B22417E" w14:textId="77777777" w:rsidR="0082364D" w:rsidRDefault="00BF2824">
      <w:pPr>
        <w:pStyle w:val="-"/>
        <w:ind w:firstLine="420"/>
        <w:rPr>
          <w:lang w:val="en-US"/>
        </w:rPr>
      </w:pPr>
      <w:r>
        <w:rPr>
          <w:rFonts w:hint="eastAsia"/>
          <w:lang w:val="en-US"/>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9月荣获《财资》“中国最佳托管银行”“最佳公募基金托管银行”“最佳理财托管银行”三项大奖。</w:t>
      </w:r>
    </w:p>
    <w:p w14:paraId="5C37473A" w14:textId="77777777" w:rsidR="0082364D" w:rsidRDefault="00BF2824">
      <w:pPr>
        <w:pStyle w:val="-"/>
        <w:ind w:firstLine="420"/>
        <w:rPr>
          <w:lang w:val="en-US"/>
        </w:rPr>
      </w:pPr>
      <w:r>
        <w:rPr>
          <w:rFonts w:hint="eastAsia"/>
          <w:lang w:val="en-US"/>
        </w:rPr>
        <w:t>（二）主要人员情况</w:t>
      </w:r>
    </w:p>
    <w:p w14:paraId="4FB46EB6" w14:textId="6A8493AB" w:rsidR="0082364D" w:rsidRDefault="00BF2824">
      <w:pPr>
        <w:pStyle w:val="-"/>
        <w:ind w:firstLine="420"/>
        <w:rPr>
          <w:lang w:val="en-US"/>
        </w:rPr>
      </w:pPr>
      <w:r>
        <w:rPr>
          <w:rFonts w:hint="eastAsia"/>
          <w:lang w:val="en-US"/>
        </w:rPr>
        <w:t>缪建民先生，招商银行董事长、非执行董事，2020年9月起担任招商银行董事、董事长。中央财经大学经济学博士，高级经济师。中国共产党第十九届、二十届中央委员会候补</w:t>
      </w:r>
      <w:r>
        <w:rPr>
          <w:rFonts w:hint="eastAsia"/>
          <w:lang w:val="en-US"/>
        </w:rPr>
        <w:lastRenderedPageBreak/>
        <w:t>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58081282" w14:textId="08F323D1" w:rsidR="0082364D" w:rsidRDefault="00BF2824">
      <w:pPr>
        <w:pStyle w:val="-"/>
        <w:ind w:firstLine="420"/>
        <w:rPr>
          <w:lang w:val="en-US"/>
        </w:rPr>
      </w:pPr>
      <w:r>
        <w:rPr>
          <w:rFonts w:hint="eastAsia"/>
          <w:lang w:val="en-US"/>
        </w:rPr>
        <w:t>王良先生，</w:t>
      </w:r>
      <w:r w:rsidR="00B0590C" w:rsidRPr="00B0590C">
        <w:rPr>
          <w:rFonts w:hint="eastAsia"/>
          <w:lang w:val="en-US"/>
        </w:rPr>
        <w:t>招商银行</w:t>
      </w:r>
      <w:r>
        <w:rPr>
          <w:rFonts w:hint="eastAsia"/>
          <w:lang w:val="en-US"/>
        </w:rPr>
        <w:t>执行董事、党委书记、行长，兼任财务负责人、董事会秘书。中国人民大学硕士研究生学历，高级经济师。1995年6月加入本公司北京分行，自2001年10月起历任本公司北京分行行长助理、副行长、行长，2012年6月任本公司行长助理兼任北京分行行长，2013年11月不再兼任本公司北京分行行长，2015年1月任本公司副行长，2016年11月至2019年4月兼任本公司董事会秘书，2019年4月起兼任本公司财务负责人，2021年8月起任本公司常务副行长兼任董事会秘书、公司秘书及香港上市相关事宜之授权代表，2022年4月18日起全面主持本公司工作，2022年5月19日起任本公司党委书记，2022年6月15日起任本公司行长。兼任中国支付清算协会副会长、中国银保监会数据治理高层指导协调委员会委员、中国银行业协会中间业务专业委员会第四届主任、中国金融会计学会第六届常务理事。</w:t>
      </w:r>
    </w:p>
    <w:p w14:paraId="48BAEFA0" w14:textId="34B76BB3" w:rsidR="0082364D" w:rsidRDefault="00BF2824">
      <w:pPr>
        <w:pStyle w:val="-"/>
        <w:ind w:firstLine="420"/>
        <w:rPr>
          <w:lang w:val="en-US"/>
        </w:rPr>
      </w:pPr>
      <w:r>
        <w:rPr>
          <w:rFonts w:hint="eastAsia"/>
          <w:lang w:val="en-US"/>
        </w:rPr>
        <w:t>汪建中先生，招商银行副行长。1991年加入招商银行；2002年10月至2013年12月历任招商银行长沙分行行长，总行公司银行部副总经理，佛山分行筹备组组长，佛山分行行长，武汉分行行长；2013年12月至2016年10月任招商银行业务总监兼公司金融总部总裁，期间先后兼任公司金融综合管理部总经理、战略客户部总经理；2016年10月至2017年4月任招商银行业务总监兼北京分行行长；2017年4月起任招商银行党委委员兼北京分行行长。2019年4月起任招商银行副行长。</w:t>
      </w:r>
    </w:p>
    <w:p w14:paraId="5CB5A80E" w14:textId="7BAB87E4" w:rsidR="0082364D" w:rsidRDefault="00BF2824">
      <w:pPr>
        <w:pStyle w:val="-"/>
        <w:ind w:firstLine="420"/>
        <w:rPr>
          <w:lang w:val="en-US"/>
        </w:rPr>
      </w:pPr>
      <w:r>
        <w:rPr>
          <w:rFonts w:hint="eastAsia"/>
          <w:lang w:val="en-US"/>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14:paraId="3FFD1BBE" w14:textId="77777777" w:rsidR="0082364D" w:rsidRDefault="00BF2824">
      <w:pPr>
        <w:pStyle w:val="-"/>
        <w:ind w:firstLine="420"/>
        <w:rPr>
          <w:lang w:val="en-US"/>
        </w:rPr>
      </w:pPr>
      <w:r>
        <w:rPr>
          <w:rFonts w:hint="eastAsia"/>
          <w:lang w:val="en-US"/>
        </w:rPr>
        <w:t>（三）基金托管业务经营情况</w:t>
      </w:r>
    </w:p>
    <w:p w14:paraId="6C1E2F1F" w14:textId="77777777" w:rsidR="0082364D" w:rsidRDefault="00BF2824">
      <w:pPr>
        <w:pStyle w:val="-"/>
        <w:ind w:firstLine="420"/>
        <w:rPr>
          <w:lang w:val="en-US"/>
        </w:rPr>
      </w:pPr>
      <w:r>
        <w:rPr>
          <w:rFonts w:hint="eastAsia"/>
          <w:lang w:val="en-US"/>
        </w:rPr>
        <w:t>截至2022年9月30日，招商银行股份有限公司累计托管1129只证券投资基金。</w:t>
      </w:r>
    </w:p>
    <w:p w14:paraId="5D02B611" w14:textId="77777777" w:rsidR="0082364D" w:rsidRDefault="00BF2824">
      <w:pPr>
        <w:pStyle w:val="-"/>
        <w:ind w:firstLine="420"/>
        <w:rPr>
          <w:lang w:val="en-US"/>
        </w:rPr>
      </w:pPr>
      <w:r>
        <w:rPr>
          <w:rFonts w:hint="eastAsia"/>
          <w:lang w:val="en-US"/>
        </w:rPr>
        <w:t>(四) 托管人的内部控制制度</w:t>
      </w:r>
    </w:p>
    <w:p w14:paraId="4C0F831E" w14:textId="77777777" w:rsidR="0082364D" w:rsidRDefault="00BF2824">
      <w:pPr>
        <w:pStyle w:val="-"/>
        <w:ind w:firstLine="420"/>
        <w:rPr>
          <w:lang w:val="en-US"/>
        </w:rPr>
      </w:pPr>
      <w:r>
        <w:rPr>
          <w:rFonts w:hint="eastAsia"/>
          <w:lang w:val="en-US"/>
        </w:rPr>
        <w:t>1、</w:t>
      </w:r>
      <w:r>
        <w:rPr>
          <w:rFonts w:hint="eastAsia"/>
          <w:lang w:val="en-US"/>
        </w:rPr>
        <w:tab/>
        <w:t>内部控制目标</w:t>
      </w:r>
    </w:p>
    <w:p w14:paraId="0A25E0AE" w14:textId="77777777" w:rsidR="0082364D" w:rsidRDefault="00BF2824">
      <w:pPr>
        <w:pStyle w:val="-"/>
        <w:ind w:firstLine="420"/>
        <w:rPr>
          <w:lang w:val="en-US"/>
        </w:rPr>
      </w:pPr>
      <w:r>
        <w:rPr>
          <w:rFonts w:hint="eastAsia"/>
          <w:lang w:val="en-US"/>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w:t>
      </w:r>
      <w:r>
        <w:rPr>
          <w:rFonts w:hint="eastAsia"/>
          <w:lang w:val="en-US"/>
        </w:rPr>
        <w:lastRenderedPageBreak/>
        <w:t>保证业务稳健运行的风险控制制度，确保托管业务信息真实、准确、完整、及时；确保内控机制、体制的不断改进和各项业务制度、流程的不断完善。</w:t>
      </w:r>
    </w:p>
    <w:p w14:paraId="6A293153" w14:textId="77777777" w:rsidR="0082364D" w:rsidRDefault="00BF2824">
      <w:pPr>
        <w:pStyle w:val="-"/>
        <w:ind w:firstLine="420"/>
        <w:rPr>
          <w:lang w:val="en-US"/>
        </w:rPr>
      </w:pPr>
      <w:r>
        <w:rPr>
          <w:rFonts w:hint="eastAsia"/>
          <w:lang w:val="en-US"/>
        </w:rPr>
        <w:t>2、</w:t>
      </w:r>
      <w:r>
        <w:rPr>
          <w:rFonts w:hint="eastAsia"/>
          <w:lang w:val="en-US"/>
        </w:rPr>
        <w:tab/>
        <w:t>内部控制组织结构</w:t>
      </w:r>
    </w:p>
    <w:p w14:paraId="49562D3F" w14:textId="77777777" w:rsidR="0082364D" w:rsidRDefault="00BF2824">
      <w:pPr>
        <w:pStyle w:val="-"/>
        <w:ind w:firstLine="420"/>
        <w:rPr>
          <w:lang w:val="en-US"/>
        </w:rPr>
      </w:pPr>
      <w:r>
        <w:rPr>
          <w:rFonts w:hint="eastAsia"/>
          <w:lang w:val="en-US"/>
        </w:rPr>
        <w:t>招商银行资产托管业务建立三级内部控制及风险防范体系：</w:t>
      </w:r>
    </w:p>
    <w:p w14:paraId="0A12998A" w14:textId="77777777" w:rsidR="0082364D" w:rsidRDefault="00BF2824">
      <w:pPr>
        <w:pStyle w:val="-"/>
        <w:ind w:firstLine="420"/>
        <w:rPr>
          <w:lang w:val="en-US"/>
        </w:rPr>
      </w:pPr>
      <w:r>
        <w:rPr>
          <w:rFonts w:hint="eastAsia"/>
          <w:lang w:val="en-US"/>
        </w:rPr>
        <w:t>一级内部控制及风险防范是在招商银行总行风险管控层面对风险进行预防和控制；总行风险管理部、法律合规部、审计部独立对资产托管业务进行评估监督，并提出内控提升管理建议。</w:t>
      </w:r>
    </w:p>
    <w:p w14:paraId="0698F9D6" w14:textId="77777777" w:rsidR="0082364D" w:rsidRDefault="00BF2824">
      <w:pPr>
        <w:pStyle w:val="-"/>
        <w:ind w:firstLine="420"/>
        <w:rPr>
          <w:lang w:val="en-US"/>
        </w:rPr>
      </w:pPr>
      <w:r>
        <w:rPr>
          <w:rFonts w:hint="eastAsia"/>
          <w:lang w:val="en-US"/>
        </w:rPr>
        <w:t>二级内部控制及风险防范是招商银行资产托管部设立风险合规管理相关团队，负责部门内部风险预防和控制，及时发现内部控制缺陷，提出整改方案，跟踪整改情况，并直接向部门总经理室报告。</w:t>
      </w:r>
    </w:p>
    <w:p w14:paraId="35B52AC9" w14:textId="77777777" w:rsidR="0082364D" w:rsidRDefault="00BF2824">
      <w:pPr>
        <w:pStyle w:val="-"/>
        <w:ind w:firstLine="420"/>
        <w:rPr>
          <w:lang w:val="en-US"/>
        </w:rPr>
      </w:pPr>
      <w:r>
        <w:rPr>
          <w:rFonts w:hint="eastAsia"/>
          <w:lang w:val="en-US"/>
        </w:rPr>
        <w:t>三级内部控制及风险防范是招商银行资产托管部在设置专业岗位时，遵循内控制衡原则，视业务的风险程度制定相应监督制衡机制。</w:t>
      </w:r>
    </w:p>
    <w:p w14:paraId="023722A9" w14:textId="77777777" w:rsidR="0082364D" w:rsidRDefault="00BF2824">
      <w:pPr>
        <w:pStyle w:val="-"/>
        <w:ind w:firstLine="420"/>
        <w:rPr>
          <w:lang w:val="en-US"/>
        </w:rPr>
      </w:pPr>
      <w:r>
        <w:rPr>
          <w:rFonts w:hint="eastAsia"/>
          <w:lang w:val="en-US"/>
        </w:rPr>
        <w:t>3、</w:t>
      </w:r>
      <w:r>
        <w:rPr>
          <w:rFonts w:hint="eastAsia"/>
          <w:lang w:val="en-US"/>
        </w:rPr>
        <w:tab/>
        <w:t>内部控制原则</w:t>
      </w:r>
    </w:p>
    <w:p w14:paraId="1839655E" w14:textId="77777777" w:rsidR="0082364D" w:rsidRDefault="00BF2824">
      <w:pPr>
        <w:pStyle w:val="-"/>
        <w:ind w:firstLine="420"/>
        <w:rPr>
          <w:lang w:val="en-US"/>
        </w:rPr>
      </w:pPr>
      <w:r>
        <w:rPr>
          <w:rFonts w:hint="eastAsia"/>
          <w:lang w:val="en-US"/>
        </w:rPr>
        <w:t>（1）全面性原则。内部控制覆盖各项业务过程和操作环节、覆盖所有团队和岗位，并由全部人员参与。</w:t>
      </w:r>
    </w:p>
    <w:p w14:paraId="6CF294ED" w14:textId="77777777" w:rsidR="0082364D" w:rsidRDefault="00BF2824">
      <w:pPr>
        <w:pStyle w:val="-"/>
        <w:ind w:firstLine="420"/>
        <w:rPr>
          <w:lang w:val="en-US"/>
        </w:rPr>
      </w:pPr>
      <w:r>
        <w:rPr>
          <w:rFonts w:hint="eastAsia"/>
          <w:lang w:val="en-US"/>
        </w:rPr>
        <w:t>（2）审慎性原则。托管组织体系的构成、内部管理制度的建立均以防范风险、审慎经营为出发点，体现“内控优先”的要求。</w:t>
      </w:r>
    </w:p>
    <w:p w14:paraId="31482768" w14:textId="77777777" w:rsidR="0082364D" w:rsidRDefault="00BF2824">
      <w:pPr>
        <w:pStyle w:val="-"/>
        <w:ind w:firstLine="420"/>
        <w:rPr>
          <w:lang w:val="en-US"/>
        </w:rPr>
      </w:pPr>
      <w:r>
        <w:rPr>
          <w:rFonts w:hint="eastAsia"/>
          <w:lang w:val="en-US"/>
        </w:rPr>
        <w:t>（3）独立性原则。招商银行资产托管部各团队、各岗位职责保持相对独立，不同托管资产之间、托管资产和自有资产之间相互分离。内部控制的检查、评价部门独立于内部控制的建立和执行部门。</w:t>
      </w:r>
    </w:p>
    <w:p w14:paraId="381C9C6B" w14:textId="77777777" w:rsidR="0082364D" w:rsidRDefault="00BF2824">
      <w:pPr>
        <w:pStyle w:val="-"/>
        <w:ind w:firstLine="420"/>
        <w:rPr>
          <w:lang w:val="en-US"/>
        </w:rPr>
      </w:pPr>
      <w:r>
        <w:rPr>
          <w:rFonts w:hint="eastAsia"/>
          <w:lang w:val="en-US"/>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3CA99455" w14:textId="77777777" w:rsidR="0082364D" w:rsidRDefault="00BF2824">
      <w:pPr>
        <w:pStyle w:val="-"/>
        <w:ind w:firstLine="420"/>
        <w:rPr>
          <w:lang w:val="en-US"/>
        </w:rPr>
      </w:pPr>
      <w:r>
        <w:rPr>
          <w:rFonts w:hint="eastAsia"/>
          <w:lang w:val="en-US"/>
        </w:rPr>
        <w:t>（5）适应性原则。内部控制适应招商银行托管业务风险管理的需要，并能够随着托管业务经营战略、经营方针、经营理念等内部环境的变化和国家法律、法规、政策制度等外部环境的改变及时进行修订和完善。</w:t>
      </w:r>
    </w:p>
    <w:p w14:paraId="50AC4417" w14:textId="7E893C2C" w:rsidR="0082364D" w:rsidRDefault="00BF2824">
      <w:pPr>
        <w:pStyle w:val="-"/>
        <w:ind w:firstLine="420"/>
        <w:rPr>
          <w:lang w:val="en-US"/>
        </w:rPr>
      </w:pPr>
      <w:r>
        <w:rPr>
          <w:rFonts w:hint="eastAsia"/>
          <w:lang w:val="en-US"/>
        </w:rPr>
        <w:t xml:space="preserve">（6）防火墙原则。招商银行资产托管部办公场地与招商银行其他业务场地隔离，办公网和业务网物理分离，部门业务网和全行业务网防火墙策略分离，以达到风险防范的目的。 </w:t>
      </w:r>
    </w:p>
    <w:p w14:paraId="7BBCFD92" w14:textId="77777777" w:rsidR="0082364D" w:rsidRDefault="00BF2824">
      <w:pPr>
        <w:pStyle w:val="-"/>
        <w:ind w:firstLine="420"/>
        <w:rPr>
          <w:lang w:val="en-US"/>
        </w:rPr>
      </w:pPr>
      <w:r>
        <w:rPr>
          <w:rFonts w:hint="eastAsia"/>
          <w:lang w:val="en-US"/>
        </w:rPr>
        <w:t>（7）重要性原则。内部控制在实现全面控制的基础上，关注重要托管业务重要事项和高风险环节。</w:t>
      </w:r>
    </w:p>
    <w:p w14:paraId="1C58B45D" w14:textId="77777777" w:rsidR="0082364D" w:rsidRDefault="00BF2824">
      <w:pPr>
        <w:pStyle w:val="-"/>
        <w:ind w:firstLine="420"/>
        <w:rPr>
          <w:lang w:val="en-US"/>
        </w:rPr>
      </w:pPr>
      <w:r>
        <w:rPr>
          <w:rFonts w:hint="eastAsia"/>
          <w:lang w:val="en-US"/>
        </w:rPr>
        <w:t>（8）制衡性原则。内部控制能够实现在托管组织体系、机构设置、权责分配及业务流程等方面相互制约、相互监督，同时兼顾运营效率。</w:t>
      </w:r>
    </w:p>
    <w:p w14:paraId="120C2409" w14:textId="77777777" w:rsidR="0082364D" w:rsidRDefault="00BF2824">
      <w:pPr>
        <w:pStyle w:val="-"/>
        <w:ind w:firstLine="420"/>
        <w:rPr>
          <w:lang w:val="en-US"/>
        </w:rPr>
      </w:pPr>
      <w:r>
        <w:rPr>
          <w:rFonts w:hint="eastAsia"/>
          <w:lang w:val="en-US"/>
        </w:rPr>
        <w:t>4、</w:t>
      </w:r>
      <w:r>
        <w:rPr>
          <w:rFonts w:hint="eastAsia"/>
          <w:lang w:val="en-US"/>
        </w:rPr>
        <w:tab/>
        <w:t>内部控制措施</w:t>
      </w:r>
    </w:p>
    <w:p w14:paraId="76CF3559" w14:textId="77777777" w:rsidR="0082364D" w:rsidRDefault="00BF2824">
      <w:pPr>
        <w:pStyle w:val="-"/>
        <w:ind w:firstLine="420"/>
        <w:rPr>
          <w:lang w:val="en-US"/>
        </w:rPr>
      </w:pPr>
      <w:r>
        <w:rPr>
          <w:rFonts w:hint="eastAsia"/>
          <w:lang w:val="en-US"/>
        </w:rPr>
        <w:lastRenderedPageBreak/>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14:paraId="063E8D7F" w14:textId="77777777" w:rsidR="0082364D" w:rsidRDefault="00BF2824">
      <w:pPr>
        <w:pStyle w:val="-"/>
        <w:ind w:firstLine="420"/>
        <w:rPr>
          <w:lang w:val="en-US"/>
        </w:rPr>
      </w:pPr>
      <w:r>
        <w:rPr>
          <w:rFonts w:hint="eastAsia"/>
          <w:lang w:val="en-US"/>
        </w:rPr>
        <w:t>（2）业务信息风险控制。招商银行资产托管部在数据传输和保存方面有严格的加密和备份措施，采用加密、直连方式传输数据，数据执行异地实时备份，所有的业务信息须经过严格的授权方能进行访问。</w:t>
      </w:r>
    </w:p>
    <w:p w14:paraId="28C705D9" w14:textId="77777777" w:rsidR="0082364D" w:rsidRDefault="00BF2824">
      <w:pPr>
        <w:pStyle w:val="-"/>
        <w:ind w:firstLine="420"/>
        <w:rPr>
          <w:lang w:val="en-US"/>
        </w:rPr>
      </w:pPr>
      <w:r>
        <w:rPr>
          <w:rFonts w:hint="eastAsia"/>
          <w:lang w:val="en-US"/>
        </w:rPr>
        <w:t>（3）客户资料风险控制。招商银行资产托管部对业务办理过程中获取的客户资料严格保密，除法律法规和其他有关规定、监管机构及审计要求外，不向任何机构、部门或个人泄露。</w:t>
      </w:r>
    </w:p>
    <w:p w14:paraId="76381EF6" w14:textId="77777777" w:rsidR="0082364D" w:rsidRDefault="00BF2824">
      <w:pPr>
        <w:pStyle w:val="-"/>
        <w:ind w:firstLine="420"/>
        <w:rPr>
          <w:lang w:val="en-US"/>
        </w:rPr>
      </w:pPr>
      <w:r>
        <w:rPr>
          <w:rFonts w:hint="eastAsia"/>
          <w:lang w:val="en-US"/>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6208A7FE" w14:textId="77777777" w:rsidR="0082364D" w:rsidRDefault="00BF2824">
      <w:pPr>
        <w:pStyle w:val="-"/>
        <w:ind w:firstLine="420"/>
        <w:rPr>
          <w:lang w:val="en-US"/>
        </w:rPr>
      </w:pPr>
      <w:r>
        <w:rPr>
          <w:rFonts w:hint="eastAsia"/>
          <w:lang w:val="en-US"/>
        </w:rPr>
        <w:t>（5）人力资源控制。招商银行资产托管部通过建立良好的企业文化和员工培训、激励机制、加强人力资源管理及建立人才梯级队伍及人才储备机制，有效地进行人力资源管理。</w:t>
      </w:r>
    </w:p>
    <w:p w14:paraId="0121B962" w14:textId="77777777" w:rsidR="0082364D" w:rsidRDefault="00BF2824">
      <w:pPr>
        <w:pStyle w:val="-"/>
        <w:ind w:firstLine="420"/>
        <w:rPr>
          <w:lang w:val="en-US"/>
        </w:rPr>
      </w:pPr>
      <w:r>
        <w:rPr>
          <w:rFonts w:hint="eastAsia"/>
          <w:lang w:val="en-US"/>
        </w:rPr>
        <w:t>（五）基金托管人对基金管理人运作基金进行监督的方法和程序</w:t>
      </w:r>
    </w:p>
    <w:p w14:paraId="05D18C9E" w14:textId="77777777" w:rsidR="0082364D" w:rsidRDefault="00BF2824">
      <w:pPr>
        <w:pStyle w:val="-"/>
        <w:ind w:firstLine="420"/>
        <w:rPr>
          <w:lang w:val="en-US"/>
        </w:rPr>
      </w:pPr>
      <w:r>
        <w:rPr>
          <w:rFonts w:hint="eastAsia"/>
          <w:lang w:val="en-US"/>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530C3CBA" w14:textId="77777777" w:rsidR="0082364D" w:rsidRDefault="00BF2824">
      <w:pPr>
        <w:pStyle w:val="-"/>
        <w:ind w:firstLine="420"/>
        <w:rPr>
          <w:lang w:val="en-US"/>
        </w:rPr>
      </w:pPr>
      <w:r>
        <w:rPr>
          <w:rFonts w:hint="eastAsia"/>
          <w:lang w:val="en-US"/>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2FB29303" w14:textId="0A44F76D" w:rsidR="0082364D" w:rsidRDefault="00BF2824">
      <w:pPr>
        <w:spacing w:line="360" w:lineRule="auto"/>
        <w:ind w:firstLine="422"/>
        <w:rPr>
          <w:rFonts w:ascii="宋体" w:hAnsi="宋体"/>
          <w:b/>
          <w:bCs/>
          <w:szCs w:val="21"/>
        </w:rPr>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70BEAE15" w14:textId="77777777" w:rsidR="0082364D" w:rsidRDefault="0082364D">
      <w:pPr>
        <w:spacing w:line="360" w:lineRule="auto"/>
        <w:ind w:firstLineChars="200" w:firstLine="420"/>
      </w:pPr>
    </w:p>
    <w:p w14:paraId="71844544" w14:textId="12D4C354" w:rsidR="0082364D" w:rsidRDefault="00BF2824">
      <w:pPr>
        <w:pStyle w:val="1"/>
        <w:spacing w:before="120" w:after="120" w:line="360" w:lineRule="auto"/>
        <w:jc w:val="center"/>
        <w:rPr>
          <w:rFonts w:ascii="宋体" w:hAnsi="宋体"/>
          <w:sz w:val="28"/>
          <w:szCs w:val="28"/>
        </w:rPr>
      </w:pPr>
      <w:r>
        <w:rPr>
          <w:rFonts w:ascii="宋体" w:hAnsi="宋体"/>
          <w:sz w:val="28"/>
          <w:szCs w:val="28"/>
        </w:rPr>
        <w:br w:type="page"/>
      </w:r>
      <w:bookmarkStart w:id="131" w:name="_Toc108598529"/>
      <w:r>
        <w:rPr>
          <w:rFonts w:ascii="宋体" w:hAnsi="宋体"/>
          <w:sz w:val="28"/>
          <w:szCs w:val="28"/>
        </w:rPr>
        <w:lastRenderedPageBreak/>
        <w:t>十八</w:t>
      </w:r>
      <w:r>
        <w:rPr>
          <w:rFonts w:ascii="宋体" w:hAnsi="宋体" w:hint="eastAsia"/>
          <w:sz w:val="28"/>
          <w:szCs w:val="28"/>
        </w:rPr>
        <w:t>、</w:t>
      </w:r>
      <w:r>
        <w:rPr>
          <w:rFonts w:ascii="宋体" w:hAnsi="宋体"/>
          <w:sz w:val="28"/>
          <w:szCs w:val="28"/>
        </w:rPr>
        <w:t>境外托管人</w:t>
      </w:r>
      <w:bookmarkEnd w:id="131"/>
    </w:p>
    <w:p w14:paraId="74ACAD74"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（一）境外托管人基本情况</w:t>
      </w:r>
    </w:p>
    <w:p w14:paraId="1F872218"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名称：花旗银行（Citibank N.A.）（简称“花旗银行”）</w:t>
      </w:r>
    </w:p>
    <w:p w14:paraId="1E33BC60"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注册地址：701 East 60th Street North, Sioux Falls, SD57104, USA</w:t>
      </w:r>
    </w:p>
    <w:p w14:paraId="41CE778E"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成立时间：1812年6月16日</w:t>
      </w:r>
    </w:p>
    <w:p w14:paraId="28CD63C5"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组织形式：股份有限公司</w:t>
      </w:r>
    </w:p>
    <w:p w14:paraId="6A794698"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存续期间：持续经营</w:t>
      </w:r>
    </w:p>
    <w:p w14:paraId="6D389017" w14:textId="77777777" w:rsidR="00BC0C05" w:rsidRPr="00BC0C05" w:rsidRDefault="00BC0C05" w:rsidP="00BC0C05">
      <w:pPr>
        <w:spacing w:line="360" w:lineRule="auto"/>
        <w:ind w:firstLineChars="200" w:firstLine="420"/>
        <w:rPr>
          <w:rFonts w:asciiTheme="minorEastAsia" w:eastAsiaTheme="minorEastAsia" w:hAnsiTheme="minorEastAsia" w:hint="eastAsia"/>
          <w:color w:val="000000" w:themeColor="text1"/>
          <w:szCs w:val="21"/>
        </w:rPr>
      </w:pPr>
      <w:r w:rsidRPr="00BC0C05">
        <w:rPr>
          <w:rFonts w:asciiTheme="minorEastAsia" w:eastAsiaTheme="minorEastAsia" w:hAnsiTheme="minorEastAsia" w:hint="eastAsia"/>
          <w:color w:val="000000" w:themeColor="text1"/>
          <w:szCs w:val="21"/>
        </w:rPr>
        <w:t>所有者权益（Common Shareholder’s Equity）：2,090亿美元*</w:t>
      </w:r>
    </w:p>
    <w:p w14:paraId="2DFCAA5B" w14:textId="77777777" w:rsidR="00BC0C05" w:rsidRPr="00BC0C05" w:rsidRDefault="00BC0C05" w:rsidP="00BC0C05">
      <w:pPr>
        <w:spacing w:line="360" w:lineRule="auto"/>
        <w:ind w:firstLineChars="200" w:firstLine="420"/>
        <w:rPr>
          <w:rFonts w:asciiTheme="minorEastAsia" w:eastAsiaTheme="minorEastAsia" w:hAnsiTheme="minorEastAsia" w:hint="eastAsia"/>
          <w:color w:val="000000" w:themeColor="text1"/>
          <w:szCs w:val="21"/>
        </w:rPr>
      </w:pPr>
      <w:r w:rsidRPr="00BC0C05">
        <w:rPr>
          <w:rFonts w:asciiTheme="minorEastAsia" w:eastAsiaTheme="minorEastAsia" w:hAnsiTheme="minorEastAsia" w:hint="eastAsia"/>
          <w:color w:val="000000" w:themeColor="text1"/>
          <w:szCs w:val="21"/>
        </w:rPr>
        <w:t>实收资本（Paid-in Capital）：1084亿美元*</w:t>
      </w:r>
    </w:p>
    <w:p w14:paraId="51204365" w14:textId="77777777" w:rsidR="00BC0C05" w:rsidRPr="00BC0C05" w:rsidRDefault="00BC0C05" w:rsidP="00BC0C05">
      <w:pPr>
        <w:spacing w:line="360" w:lineRule="auto"/>
        <w:ind w:firstLineChars="200" w:firstLine="420"/>
        <w:rPr>
          <w:rFonts w:asciiTheme="minorEastAsia" w:eastAsiaTheme="minorEastAsia" w:hAnsiTheme="minorEastAsia" w:hint="eastAsia"/>
          <w:color w:val="000000" w:themeColor="text1"/>
          <w:szCs w:val="21"/>
        </w:rPr>
      </w:pPr>
      <w:r w:rsidRPr="00BC0C05">
        <w:rPr>
          <w:rFonts w:asciiTheme="minorEastAsia" w:eastAsiaTheme="minorEastAsia" w:hAnsiTheme="minorEastAsia" w:hint="eastAsia"/>
          <w:color w:val="000000" w:themeColor="text1"/>
          <w:szCs w:val="21"/>
        </w:rPr>
        <w:t>托管资产规模：26.2万亿美元#</w:t>
      </w:r>
    </w:p>
    <w:p w14:paraId="5DC64777" w14:textId="77777777" w:rsidR="00BC0C05" w:rsidRPr="00BC0C05" w:rsidRDefault="00BC0C05" w:rsidP="00BC0C05">
      <w:pPr>
        <w:spacing w:line="360" w:lineRule="auto"/>
        <w:ind w:firstLineChars="200" w:firstLine="420"/>
        <w:rPr>
          <w:rFonts w:asciiTheme="minorEastAsia" w:eastAsiaTheme="minorEastAsia" w:hAnsiTheme="minorEastAsia" w:hint="eastAsia"/>
          <w:color w:val="000000" w:themeColor="text1"/>
          <w:szCs w:val="21"/>
        </w:rPr>
      </w:pPr>
      <w:r w:rsidRPr="00BC0C05">
        <w:rPr>
          <w:rFonts w:asciiTheme="minorEastAsia" w:eastAsiaTheme="minorEastAsia" w:hAnsiTheme="minorEastAsia" w:hint="eastAsia"/>
          <w:color w:val="000000" w:themeColor="text1"/>
          <w:szCs w:val="21"/>
        </w:rPr>
        <w:t>*以上数据截止到2023年1季度</w:t>
      </w:r>
    </w:p>
    <w:p w14:paraId="15DF10DA" w14:textId="7138EB44" w:rsidR="0082364D" w:rsidRDefault="00BC0C05">
      <w:pPr>
        <w:spacing w:line="360" w:lineRule="auto"/>
        <w:ind w:firstLineChars="200" w:firstLine="420"/>
        <w:rPr>
          <w:rFonts w:asciiTheme="minorEastAsia" w:eastAsiaTheme="minorEastAsia" w:hAnsiTheme="minorEastAsia"/>
          <w:color w:val="000000" w:themeColor="text1"/>
          <w:szCs w:val="21"/>
        </w:rPr>
      </w:pPr>
      <w:r w:rsidRPr="00BC0C05">
        <w:rPr>
          <w:rFonts w:asciiTheme="minorEastAsia" w:eastAsiaTheme="minorEastAsia" w:hAnsiTheme="minorEastAsia"/>
          <w:color w:val="000000" w:themeColor="text1"/>
          <w:szCs w:val="21"/>
        </w:rPr>
        <w:t>#</w:t>
      </w:r>
      <w:r w:rsidRPr="00BC0C05">
        <w:rPr>
          <w:rFonts w:asciiTheme="minorEastAsia" w:eastAsiaTheme="minorEastAsia" w:hAnsiTheme="minorEastAsia" w:hint="eastAsia"/>
          <w:color w:val="000000" w:themeColor="text1"/>
          <w:szCs w:val="21"/>
        </w:rPr>
        <w:t>以上数据截止到2022年4季度</w:t>
      </w:r>
    </w:p>
    <w:p w14:paraId="7D487C31" w14:textId="34C5C387" w:rsidR="00BC0C05" w:rsidRPr="00BC0C05" w:rsidRDefault="00BC0C05" w:rsidP="00BC0C05">
      <w:pPr>
        <w:spacing w:line="360" w:lineRule="auto"/>
        <w:ind w:firstLineChars="200" w:firstLine="420"/>
        <w:rPr>
          <w:rFonts w:asciiTheme="minorEastAsia" w:eastAsiaTheme="minorEastAsia" w:hAnsiTheme="minorEastAsia" w:hint="eastAsia"/>
          <w:color w:val="000000" w:themeColor="text1"/>
          <w:szCs w:val="21"/>
        </w:rPr>
      </w:pPr>
      <w:r w:rsidRPr="00BC0C05">
        <w:rPr>
          <w:rFonts w:asciiTheme="minorEastAsia" w:eastAsiaTheme="minorEastAsia" w:hAnsiTheme="minorEastAsia" w:hint="eastAsia"/>
          <w:color w:val="000000" w:themeColor="text1"/>
          <w:szCs w:val="21"/>
        </w:rPr>
        <w:t>花旗集团是一家在纽约证交所上市的公司，是国际大型的金融服务集团，业务范围广泛的国际银行。花旗集团的前身为纽约市银行 (City Bank of New York)，成立于1812年。其业务为个人、企业、政府和机构提供广泛而专注的金融产品和服务，包括零售银行和信贷、企业和投资银行、证券经纪、贸易和证券服务和财富管理。花旗拥有约2亿客户，业务遍及160多个国家和地区。</w:t>
      </w:r>
    </w:p>
    <w:p w14:paraId="0ADCA6D4" w14:textId="2FE152EA" w:rsidR="00BC0C05" w:rsidRPr="00BC0C05" w:rsidRDefault="00BC0C05" w:rsidP="00BC0C05">
      <w:pPr>
        <w:spacing w:line="360" w:lineRule="auto"/>
        <w:ind w:firstLineChars="200" w:firstLine="420"/>
        <w:rPr>
          <w:rFonts w:asciiTheme="minorEastAsia" w:eastAsiaTheme="minorEastAsia" w:hAnsiTheme="minorEastAsia" w:hint="eastAsia"/>
          <w:color w:val="000000" w:themeColor="text1"/>
          <w:szCs w:val="21"/>
        </w:rPr>
      </w:pPr>
      <w:r w:rsidRPr="00BC0C05">
        <w:rPr>
          <w:rFonts w:asciiTheme="minorEastAsia" w:eastAsiaTheme="minorEastAsia" w:hAnsiTheme="minorEastAsia" w:hint="eastAsia"/>
          <w:color w:val="000000" w:themeColor="text1"/>
          <w:szCs w:val="21"/>
        </w:rPr>
        <w:t>花旗银行是花旗集团的全资子公司, 其经营活动由美国联邦储备银行（FEB）和美国联邦储蓄保险公司（FDIC）监管。花旗银行经过两个世纪的发展、收购，已经成为美国以资产计第三大银行，也是一间在全球近160多个国家及地区设有分支机构的国际级银行。</w:t>
      </w:r>
    </w:p>
    <w:p w14:paraId="05A2D52B" w14:textId="7B1F8E21" w:rsidR="0082364D" w:rsidRDefault="00BC0C05">
      <w:pPr>
        <w:spacing w:line="360" w:lineRule="auto"/>
        <w:ind w:firstLineChars="200" w:firstLine="420"/>
        <w:rPr>
          <w:rFonts w:asciiTheme="minorEastAsia" w:eastAsiaTheme="minorEastAsia" w:hAnsiTheme="minorEastAsia"/>
          <w:color w:val="000000" w:themeColor="text1"/>
          <w:szCs w:val="21"/>
        </w:rPr>
      </w:pPr>
      <w:r w:rsidRPr="00BC0C05">
        <w:rPr>
          <w:rFonts w:asciiTheme="minorEastAsia" w:eastAsiaTheme="minorEastAsia" w:hAnsiTheme="minorEastAsia" w:hint="eastAsia"/>
          <w:color w:val="000000" w:themeColor="text1"/>
          <w:szCs w:val="21"/>
        </w:rPr>
        <w:t>花旗银行资本金雄厚，信用评级稳健。花旗银行拥有全球广泛自有专属托管网络，其托管资产规模在全球行业排名前列。截至2022年四季度末，花旗银行的证券服务拥有26.2万亿美元的托管资产，是一家全球领先的托管机构。</w:t>
      </w:r>
    </w:p>
    <w:p w14:paraId="52D8801A"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（二）主要人员情况</w:t>
      </w:r>
    </w:p>
    <w:p w14:paraId="56B74919"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花旗职员都是经验丰富的证券专业人士，多数有大学文凭或同等经验，并受益于花旗持续提供的员工培训，涵盖产品、流程和证券业趋势，以及管理问题和流程。许多人还有其他资格证书，比如硕士学位、CPA、C.C.M.认证及其他行业认证。</w:t>
      </w:r>
    </w:p>
    <w:p w14:paraId="507C3440"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平均而言，花旗的全球托管管理人员从业超过20年，员工从业达10年。</w:t>
      </w:r>
    </w:p>
    <w:p w14:paraId="47ED51DE" w14:textId="06522732" w:rsidR="0082364D" w:rsidRDefault="00BF2824" w:rsidP="003F203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人员配置：</w:t>
      </w:r>
      <w:r w:rsidR="003F2034" w:rsidRPr="003F2034">
        <w:rPr>
          <w:rFonts w:asciiTheme="minorEastAsia" w:eastAsiaTheme="minorEastAsia" w:hAnsiTheme="minorEastAsia" w:hint="eastAsia"/>
          <w:color w:val="000000" w:themeColor="text1"/>
          <w:szCs w:val="21"/>
        </w:rPr>
        <w:t>截至2022年底，花旗在全球共有24万员工。花旗在全球共有7,466名员工</w:t>
      </w:r>
      <w:r w:rsidR="003F2034" w:rsidRPr="003F2034">
        <w:rPr>
          <w:rFonts w:asciiTheme="minorEastAsia" w:eastAsiaTheme="minorEastAsia" w:hAnsiTheme="minorEastAsia" w:hint="eastAsia"/>
          <w:color w:val="000000" w:themeColor="text1"/>
          <w:szCs w:val="21"/>
        </w:rPr>
        <w:lastRenderedPageBreak/>
        <w:t>为托管和基金服务提供支持，其中3,326</w:t>
      </w:r>
      <w:r w:rsidR="003F2034">
        <w:rPr>
          <w:rFonts w:asciiTheme="minorEastAsia" w:eastAsiaTheme="minorEastAsia" w:hAnsiTheme="minorEastAsia" w:hint="eastAsia"/>
          <w:color w:val="000000" w:themeColor="text1"/>
          <w:szCs w:val="21"/>
        </w:rPr>
        <w:t>名员工位于亚太地区</w:t>
      </w:r>
      <w:r>
        <w:rPr>
          <w:rFonts w:asciiTheme="minorEastAsia" w:eastAsiaTheme="minorEastAsia" w:hAnsiTheme="minorEastAsia" w:hint="eastAsia"/>
          <w:color w:val="000000" w:themeColor="text1"/>
          <w:szCs w:val="21"/>
        </w:rPr>
        <w:t>。</w:t>
      </w:r>
    </w:p>
    <w:p w14:paraId="766A8A96"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工作年限：花旗的业务管理人员均长期任职于花旗和证券业，坚持履行对托管业务的承诺，并且一直是推进花旗客户关系的重要组成部分。</w:t>
      </w:r>
    </w:p>
    <w:p w14:paraId="70538DA2"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花旗全球托管管理团队平均工作年限为15年，全球托管员工平均工作年限为12年。</w:t>
      </w:r>
    </w:p>
    <w:p w14:paraId="506D647B"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亚太地区客户的业务支持是依托于花旗银行在香港的运营机构，花旗香港从80年代中期开始提供全方位的全球托管服务。花旗香港全球托管中心已有30多年的全球托管操作经验，无论在人力专才，托管操作系统发展，客户服务及处理问题的熟练深度和专业程度都处于行业前列，从而保障了高效率、高质量的服务。</w:t>
      </w:r>
    </w:p>
    <w:p w14:paraId="0FB49A6E"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花旗拥有健全的公司治理制度，内部控制和风险管理制度，并得到有效地贯彻执行。多年来经营管理有序，未发生过财务状况恶化等重大经营风险情形。花旗银行具备安全保管资产的条件以及安全、高效的清算、交割能力。在最近3年内没有受到过所在国家或地区监管机构的重大处罚，无重大事项正在接受司法部门、监管机构立案调查。</w:t>
      </w:r>
    </w:p>
    <w:p w14:paraId="1E9515FA"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（三）基金托管业务经营情况</w:t>
      </w:r>
    </w:p>
    <w:p w14:paraId="5878CB25" w14:textId="785B819B" w:rsidR="0082364D" w:rsidRDefault="003F2034" w:rsidP="003F2034">
      <w:pPr>
        <w:spacing w:line="360" w:lineRule="auto"/>
        <w:ind w:firstLineChars="200" w:firstLine="420"/>
        <w:rPr>
          <w:rFonts w:asciiTheme="minorEastAsia" w:eastAsiaTheme="minorEastAsia" w:hAnsiTheme="minorEastAsia"/>
          <w:color w:val="000000" w:themeColor="text1"/>
          <w:szCs w:val="21"/>
        </w:rPr>
      </w:pPr>
      <w:r w:rsidRPr="003F2034">
        <w:rPr>
          <w:rFonts w:asciiTheme="minorEastAsia" w:eastAsiaTheme="minorEastAsia" w:hAnsiTheme="minorEastAsia" w:hint="eastAsia"/>
          <w:color w:val="000000" w:themeColor="text1"/>
          <w:szCs w:val="21"/>
        </w:rPr>
        <w:t>花旗银行是值得信赖的托管银行，托管资产规模达到26.2 万亿美元。作为全球最大的托管服务提供商之一，花旗为全球投资者提供金融资源、国际拓展、运营基础设施和专业知识。</w:t>
      </w:r>
    </w:p>
    <w:p w14:paraId="2D16348B"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花旗以统一方式提供交易结算、保管、资产服务、管理和投资报告。凭借自营网络、全球运营和客户服务，以及先进的处理技术，花旗在市场上脱颖而出，能够提供量身定制的服务，满足企业、金融机构、国际政府组织、银行、经纪自营商、投资管理人、全球托管人、共同基金、养老基金和保险公司的需求。</w:t>
      </w:r>
    </w:p>
    <w:p w14:paraId="47EA73C4"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业务历史：我们的托管业务可以追溯到1929年，当时我们与农民信托公司合并。自1980年以来，我们一直提供全球托管服务。从1980年到1984年，花旗建立起托管网络，由分行、子公司和代理行组成，继续打造高度本地化服务。此外，花旗还形成全球最大的专用通信网络之一，供其自营分行之间传送托管相关数据。</w:t>
      </w:r>
    </w:p>
    <w:p w14:paraId="16FC2D02" w14:textId="0E3CAFBF" w:rsidR="0082364D" w:rsidRDefault="00BF2824" w:rsidP="003F203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亚洲业务历史／经验：自1980年以来，我们一直在亚洲主要市场提供全球托管服务。从1980年到1984年，花旗建立起托管网络，由分行、子公司和代理行组成，继续打造高度本地化服务。此外，花旗还形成全球最大的专用通信网络之一，供其自营分行之间传送托管相关数据。</w:t>
      </w:r>
    </w:p>
    <w:p w14:paraId="6357748D"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网络：其他机构的自营分支网络在深度、广度和覆盖面上无一能及花旗。迄今，我们的全球托管网络覆盖104个市场，其中63个是花旗自营终端。花旗在全球160多个国家和司</w:t>
      </w:r>
      <w:r>
        <w:rPr>
          <w:rFonts w:asciiTheme="minorEastAsia" w:eastAsiaTheme="minorEastAsia" w:hAnsiTheme="minorEastAsia" w:hint="eastAsia"/>
          <w:color w:val="000000" w:themeColor="text1"/>
          <w:szCs w:val="21"/>
        </w:rPr>
        <w:lastRenderedPageBreak/>
        <w:t>法管辖区开展业务。我们的客户可以更快速、准确、直接地获取服务信息和本地市场情报。</w:t>
      </w:r>
    </w:p>
    <w:p w14:paraId="2D1F225C"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花旗深谙经营所在管辖区市场，且具有很大影响力，能够确保为客户提供更高水平的服务。</w:t>
      </w:r>
    </w:p>
    <w:p w14:paraId="1E75F4CC"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凭借该等规模、实地运营和专业知识，连同在其中许多国家超过百年的服务经验，使得花旗作为全球托管人具备无与伦比之能力。</w:t>
      </w:r>
    </w:p>
    <w:p w14:paraId="2E3CF3A0" w14:textId="1004BA73" w:rsidR="0082364D" w:rsidRDefault="00BF2824" w:rsidP="003F203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（四）境外托管人的职责</w:t>
      </w:r>
    </w:p>
    <w:p w14:paraId="09E11F00"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1、安全保管受托财产；</w:t>
      </w:r>
    </w:p>
    <w:p w14:paraId="1C6EF6C7"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2、计算境外受托资产的资产净值；</w:t>
      </w:r>
    </w:p>
    <w:p w14:paraId="67FDF779"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3、按照相关合同的约定，及时办理受托资产的清算、交割事宜；</w:t>
      </w:r>
    </w:p>
    <w:p w14:paraId="150BCC3A"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4、按照相关合同的约定和所适用国家、地区法律法规的规定，开设受托资产的资金账户以及证券账户；</w:t>
      </w:r>
    </w:p>
    <w:p w14:paraId="00A69CCC"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5、按照相关合同的约定，提供与受托资产业务活动有关的会计记录、交易信息； </w:t>
      </w:r>
    </w:p>
    <w:p w14:paraId="12D9FBC7"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6、保存受托资产托管业务活动的记录、账册以及其他相关资料；</w:t>
      </w:r>
    </w:p>
    <w:p w14:paraId="4F9CC794" w14:textId="77777777" w:rsidR="0082364D" w:rsidRDefault="00BF282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7、其他由基金托管人委托其履行的职责。</w:t>
      </w:r>
    </w:p>
    <w:p w14:paraId="16C35BED" w14:textId="4832A699" w:rsidR="0082364D" w:rsidRDefault="0082364D">
      <w:pPr>
        <w:spacing w:line="360" w:lineRule="auto"/>
        <w:ind w:firstLine="422"/>
        <w:rPr>
          <w:rFonts w:ascii="宋体" w:hAnsi="宋体"/>
          <w:color w:val="222222"/>
          <w:kern w:val="0"/>
          <w:szCs w:val="21"/>
        </w:rPr>
      </w:pPr>
    </w:p>
    <w:p w14:paraId="5FAA50E9" w14:textId="77777777" w:rsidR="0082364D" w:rsidRDefault="00BF2824">
      <w:pPr>
        <w:widowControl/>
        <w:jc w:val="left"/>
        <w:rPr>
          <w:rFonts w:ascii="宋体" w:hAnsi="宋体"/>
          <w:b/>
          <w:bCs/>
          <w:kern w:val="44"/>
          <w:sz w:val="28"/>
          <w:szCs w:val="44"/>
        </w:rPr>
      </w:pPr>
      <w:r>
        <w:rPr>
          <w:rFonts w:ascii="宋体" w:hAnsi="宋体"/>
          <w:sz w:val="28"/>
        </w:rPr>
        <w:br w:type="page"/>
      </w:r>
    </w:p>
    <w:p w14:paraId="23EEF53B" w14:textId="77777777" w:rsidR="0082364D" w:rsidRDefault="00BF2824">
      <w:pPr>
        <w:pStyle w:val="1"/>
        <w:spacing w:before="120" w:after="120" w:line="360" w:lineRule="auto"/>
        <w:jc w:val="center"/>
        <w:rPr>
          <w:rFonts w:ascii="宋体" w:hAnsi="宋体"/>
          <w:sz w:val="28"/>
        </w:rPr>
      </w:pPr>
      <w:bookmarkStart w:id="132" w:name="_Toc108598530"/>
      <w:r>
        <w:rPr>
          <w:rFonts w:ascii="宋体" w:hAnsi="宋体" w:hint="eastAsia"/>
          <w:sz w:val="28"/>
        </w:rPr>
        <w:lastRenderedPageBreak/>
        <w:t>十九</w:t>
      </w:r>
      <w:r>
        <w:rPr>
          <w:rFonts w:ascii="宋体" w:hAnsi="宋体"/>
          <w:sz w:val="28"/>
        </w:rPr>
        <w:t>、相关服务机构</w:t>
      </w:r>
      <w:bookmarkEnd w:id="132"/>
    </w:p>
    <w:p w14:paraId="21429235" w14:textId="77777777" w:rsidR="0082364D" w:rsidRDefault="00BF2824">
      <w:pPr>
        <w:spacing w:line="360" w:lineRule="auto"/>
        <w:ind w:firstLine="405"/>
        <w:jc w:val="left"/>
        <w:rPr>
          <w:rFonts w:ascii="宋体" w:hAnsi="宋体"/>
          <w:color w:val="000000"/>
        </w:rPr>
      </w:pPr>
      <w:r>
        <w:rPr>
          <w:rFonts w:ascii="宋体" w:hAnsi="宋体" w:hint="eastAsia"/>
          <w:color w:val="000000"/>
        </w:rPr>
        <w:t>（一）募集期间基金份额发售机构</w:t>
      </w:r>
    </w:p>
    <w:p w14:paraId="11EFB075" w14:textId="77777777" w:rsidR="0082364D" w:rsidRDefault="00BF2824">
      <w:pPr>
        <w:spacing w:line="360" w:lineRule="auto"/>
        <w:ind w:firstLine="405"/>
        <w:jc w:val="left"/>
        <w:rPr>
          <w:rFonts w:ascii="宋体" w:hAnsi="宋体"/>
        </w:rPr>
      </w:pPr>
      <w:r>
        <w:rPr>
          <w:rFonts w:ascii="宋体" w:hAnsi="宋体" w:hint="eastAsia"/>
          <w:color w:val="000000"/>
        </w:rPr>
        <w:t>1、</w:t>
      </w:r>
      <w:r>
        <w:rPr>
          <w:rFonts w:ascii="宋体" w:hAnsi="宋体"/>
        </w:rPr>
        <w:t>网下现金认购发售直销机构：嘉实基金管理有限公司</w:t>
      </w:r>
    </w:p>
    <w:p w14:paraId="33512AA2" w14:textId="77777777" w:rsidR="0082364D" w:rsidRDefault="00BF2824">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82364D" w14:paraId="09A28BDB" w14:textId="77777777">
        <w:tc>
          <w:tcPr>
            <w:tcW w:w="1368" w:type="dxa"/>
          </w:tcPr>
          <w:p w14:paraId="4BDD502F" w14:textId="77777777" w:rsidR="0082364D" w:rsidRDefault="00BF2824">
            <w:pPr>
              <w:spacing w:line="360" w:lineRule="auto"/>
              <w:rPr>
                <w:rFonts w:ascii="宋体" w:hAnsi="宋体" w:cs="Arial"/>
                <w:szCs w:val="21"/>
              </w:rPr>
            </w:pPr>
            <w:r>
              <w:rPr>
                <w:rFonts w:ascii="宋体" w:hAnsi="宋体" w:cs="Arial"/>
                <w:szCs w:val="21"/>
              </w:rPr>
              <w:t>办公地址</w:t>
            </w:r>
          </w:p>
        </w:tc>
        <w:tc>
          <w:tcPr>
            <w:tcW w:w="6192" w:type="dxa"/>
            <w:gridSpan w:val="3"/>
          </w:tcPr>
          <w:p w14:paraId="0459F1EC" w14:textId="77777777" w:rsidR="0082364D" w:rsidRDefault="00BF2824">
            <w:pPr>
              <w:pStyle w:val="Default"/>
              <w:jc w:val="both"/>
              <w:rPr>
                <w:szCs w:val="21"/>
              </w:rPr>
            </w:pPr>
            <w:r>
              <w:rPr>
                <w:rFonts w:hint="eastAsia"/>
                <w:sz w:val="21"/>
                <w:szCs w:val="21"/>
              </w:rPr>
              <w:t>北京市丰台区丽泽路16号院4号楼汇亚大厦12层</w:t>
            </w:r>
          </w:p>
        </w:tc>
      </w:tr>
      <w:tr w:rsidR="0082364D" w14:paraId="29EE0CEC" w14:textId="77777777">
        <w:tc>
          <w:tcPr>
            <w:tcW w:w="1368" w:type="dxa"/>
          </w:tcPr>
          <w:p w14:paraId="3BDC0EF9" w14:textId="77777777" w:rsidR="0082364D" w:rsidRDefault="00BF2824">
            <w:pPr>
              <w:spacing w:line="360" w:lineRule="auto"/>
              <w:rPr>
                <w:rFonts w:ascii="宋体" w:hAnsi="宋体" w:cs="Arial"/>
                <w:szCs w:val="21"/>
              </w:rPr>
            </w:pPr>
            <w:r>
              <w:rPr>
                <w:rFonts w:ascii="宋体" w:hAnsi="宋体" w:cs="Arial"/>
                <w:szCs w:val="21"/>
              </w:rPr>
              <w:t>电话</w:t>
            </w:r>
          </w:p>
        </w:tc>
        <w:tc>
          <w:tcPr>
            <w:tcW w:w="2592" w:type="dxa"/>
          </w:tcPr>
          <w:p w14:paraId="04374C10" w14:textId="77777777" w:rsidR="0082364D" w:rsidRDefault="00BF2824">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14:paraId="586DC0FA" w14:textId="77777777" w:rsidR="0082364D" w:rsidRDefault="00BF2824">
            <w:pPr>
              <w:spacing w:line="360" w:lineRule="auto"/>
              <w:rPr>
                <w:rFonts w:ascii="宋体" w:hAnsi="宋体" w:cs="Arial"/>
                <w:szCs w:val="21"/>
              </w:rPr>
            </w:pPr>
            <w:r>
              <w:rPr>
                <w:rFonts w:ascii="宋体" w:hAnsi="宋体" w:cs="Arial"/>
                <w:szCs w:val="21"/>
              </w:rPr>
              <w:t>传真</w:t>
            </w:r>
          </w:p>
        </w:tc>
        <w:tc>
          <w:tcPr>
            <w:tcW w:w="2520" w:type="dxa"/>
          </w:tcPr>
          <w:p w14:paraId="05911562" w14:textId="77777777" w:rsidR="0082364D" w:rsidRDefault="00BF2824">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82364D" w14:paraId="6CABE7EA" w14:textId="77777777">
        <w:tc>
          <w:tcPr>
            <w:tcW w:w="1368" w:type="dxa"/>
          </w:tcPr>
          <w:p w14:paraId="2C7275AE" w14:textId="77777777" w:rsidR="0082364D" w:rsidRDefault="00BF2824">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3E1953AD" w14:textId="77777777" w:rsidR="0082364D" w:rsidRDefault="00BF2824">
            <w:pPr>
              <w:spacing w:line="360" w:lineRule="auto"/>
              <w:rPr>
                <w:rFonts w:ascii="宋体" w:hAnsi="宋体" w:cs="Arial"/>
                <w:szCs w:val="21"/>
              </w:rPr>
            </w:pPr>
            <w:r>
              <w:rPr>
                <w:rFonts w:ascii="宋体" w:hAnsi="宋体" w:cs="Arial" w:hint="eastAsia"/>
                <w:szCs w:val="21"/>
                <w:lang w:val="zh-CN"/>
              </w:rPr>
              <w:t>黄娜</w:t>
            </w:r>
          </w:p>
        </w:tc>
      </w:tr>
    </w:tbl>
    <w:p w14:paraId="19ECF492" w14:textId="77777777" w:rsidR="0082364D" w:rsidRDefault="00BF2824">
      <w:pPr>
        <w:tabs>
          <w:tab w:val="left" w:pos="5235"/>
        </w:tabs>
        <w:spacing w:line="360" w:lineRule="auto"/>
        <w:ind w:firstLine="420"/>
        <w:rPr>
          <w:rFonts w:ascii="宋体" w:hAnsi="宋体" w:cs="Arial"/>
          <w:szCs w:val="21"/>
        </w:rPr>
      </w:pPr>
      <w:r>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82364D" w14:paraId="0338CDDE" w14:textId="77777777">
        <w:tc>
          <w:tcPr>
            <w:tcW w:w="1368" w:type="dxa"/>
          </w:tcPr>
          <w:p w14:paraId="326F428E" w14:textId="77777777" w:rsidR="0082364D" w:rsidRDefault="00BF2824">
            <w:pPr>
              <w:spacing w:line="360" w:lineRule="auto"/>
              <w:rPr>
                <w:rFonts w:ascii="宋体" w:hAnsi="宋体" w:cs="Arial"/>
                <w:szCs w:val="21"/>
              </w:rPr>
            </w:pPr>
            <w:r>
              <w:rPr>
                <w:rFonts w:ascii="宋体" w:hAnsi="宋体" w:cs="Arial"/>
                <w:szCs w:val="21"/>
              </w:rPr>
              <w:t>办公地址</w:t>
            </w:r>
          </w:p>
        </w:tc>
        <w:tc>
          <w:tcPr>
            <w:tcW w:w="6192" w:type="dxa"/>
            <w:gridSpan w:val="3"/>
          </w:tcPr>
          <w:p w14:paraId="7159204B" w14:textId="77777777" w:rsidR="0082364D" w:rsidRDefault="00BF2824">
            <w:pPr>
              <w:spacing w:line="360" w:lineRule="auto"/>
              <w:rPr>
                <w:rFonts w:ascii="宋体" w:hAnsi="宋体" w:cs="Arial"/>
                <w:szCs w:val="21"/>
              </w:rPr>
            </w:pPr>
            <w:r>
              <w:rPr>
                <w:rFonts w:ascii="宋体" w:hAnsi="宋体" w:cs="Arial" w:hint="eastAsia"/>
                <w:szCs w:val="21"/>
              </w:rPr>
              <w:t>上海浦东新区陆家嘴环路1318号星展银行大厦21层</w:t>
            </w:r>
          </w:p>
        </w:tc>
      </w:tr>
      <w:tr w:rsidR="0082364D" w14:paraId="44C6E3CF" w14:textId="77777777">
        <w:tc>
          <w:tcPr>
            <w:tcW w:w="1368" w:type="dxa"/>
          </w:tcPr>
          <w:p w14:paraId="353E716D" w14:textId="77777777" w:rsidR="0082364D" w:rsidRDefault="00BF2824">
            <w:pPr>
              <w:spacing w:line="360" w:lineRule="auto"/>
              <w:rPr>
                <w:rFonts w:ascii="宋体" w:hAnsi="宋体" w:cs="Arial"/>
                <w:szCs w:val="21"/>
              </w:rPr>
            </w:pPr>
            <w:r>
              <w:rPr>
                <w:rFonts w:ascii="宋体" w:hAnsi="宋体" w:cs="Arial"/>
                <w:szCs w:val="21"/>
              </w:rPr>
              <w:t>电话</w:t>
            </w:r>
          </w:p>
        </w:tc>
        <w:tc>
          <w:tcPr>
            <w:tcW w:w="2592" w:type="dxa"/>
          </w:tcPr>
          <w:p w14:paraId="379229C8" w14:textId="77777777" w:rsidR="0082364D" w:rsidRDefault="00BF2824">
            <w:pPr>
              <w:spacing w:line="360" w:lineRule="auto"/>
              <w:rPr>
                <w:rFonts w:ascii="宋体" w:hAnsi="宋体" w:cs="Arial"/>
                <w:szCs w:val="21"/>
              </w:rPr>
            </w:pPr>
            <w:r>
              <w:rPr>
                <w:rFonts w:ascii="宋体" w:hAnsi="宋体" w:cs="Arial"/>
                <w:szCs w:val="21"/>
              </w:rPr>
              <w:t>（021）38789658</w:t>
            </w:r>
          </w:p>
        </w:tc>
        <w:tc>
          <w:tcPr>
            <w:tcW w:w="1080" w:type="dxa"/>
          </w:tcPr>
          <w:p w14:paraId="7D59BD90" w14:textId="77777777" w:rsidR="0082364D" w:rsidRDefault="00BF2824">
            <w:pPr>
              <w:spacing w:line="360" w:lineRule="auto"/>
              <w:rPr>
                <w:rFonts w:ascii="宋体" w:hAnsi="宋体" w:cs="Arial"/>
                <w:szCs w:val="21"/>
              </w:rPr>
            </w:pPr>
            <w:r>
              <w:rPr>
                <w:rFonts w:ascii="宋体" w:hAnsi="宋体" w:cs="Arial"/>
                <w:szCs w:val="21"/>
              </w:rPr>
              <w:t>传真</w:t>
            </w:r>
          </w:p>
        </w:tc>
        <w:tc>
          <w:tcPr>
            <w:tcW w:w="2520" w:type="dxa"/>
          </w:tcPr>
          <w:p w14:paraId="76CA2A55" w14:textId="77777777" w:rsidR="0082364D" w:rsidRDefault="00BF2824">
            <w:pPr>
              <w:spacing w:line="360" w:lineRule="auto"/>
              <w:rPr>
                <w:rFonts w:ascii="宋体" w:hAnsi="宋体" w:cs="Arial"/>
                <w:szCs w:val="21"/>
              </w:rPr>
            </w:pPr>
            <w:r>
              <w:rPr>
                <w:rFonts w:ascii="宋体" w:hAnsi="宋体" w:cs="Arial"/>
                <w:szCs w:val="21"/>
              </w:rPr>
              <w:t>（021）68880023</w:t>
            </w:r>
          </w:p>
        </w:tc>
      </w:tr>
      <w:tr w:rsidR="0082364D" w14:paraId="1D6BFF19" w14:textId="77777777">
        <w:tc>
          <w:tcPr>
            <w:tcW w:w="1368" w:type="dxa"/>
          </w:tcPr>
          <w:p w14:paraId="1D1E4974" w14:textId="77777777" w:rsidR="0082364D" w:rsidRDefault="00BF2824">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2DF4A508" w14:textId="77777777" w:rsidR="0082364D" w:rsidRDefault="00BF2824">
            <w:pPr>
              <w:spacing w:line="360" w:lineRule="auto"/>
              <w:rPr>
                <w:rFonts w:ascii="宋体" w:hAnsi="宋体" w:cs="Arial"/>
                <w:szCs w:val="21"/>
              </w:rPr>
            </w:pPr>
            <w:r>
              <w:rPr>
                <w:rFonts w:ascii="宋体" w:hAnsi="宋体" w:cs="Arial" w:hint="eastAsia"/>
                <w:szCs w:val="21"/>
              </w:rPr>
              <w:t>邵琦</w:t>
            </w:r>
          </w:p>
        </w:tc>
      </w:tr>
    </w:tbl>
    <w:p w14:paraId="532617BB" w14:textId="77777777" w:rsidR="0082364D" w:rsidRDefault="00BF2824">
      <w:pPr>
        <w:tabs>
          <w:tab w:val="left" w:pos="5235"/>
        </w:tabs>
        <w:spacing w:line="360" w:lineRule="auto"/>
        <w:ind w:firstLine="420"/>
        <w:rPr>
          <w:rFonts w:ascii="宋体" w:hAnsi="宋体" w:cs="Arial"/>
          <w:szCs w:val="21"/>
        </w:rPr>
      </w:pPr>
      <w:r>
        <w:rPr>
          <w:rFonts w:ascii="宋体" w:hAnsi="宋体" w:cs="Arial"/>
          <w:szCs w:val="21"/>
        </w:rPr>
        <w:t>（3）嘉实基金管理有限公司</w:t>
      </w:r>
      <w:r>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82364D" w14:paraId="0F45756D" w14:textId="77777777">
        <w:tc>
          <w:tcPr>
            <w:tcW w:w="1368" w:type="dxa"/>
          </w:tcPr>
          <w:p w14:paraId="77693CDE" w14:textId="77777777" w:rsidR="0082364D" w:rsidRDefault="00BF2824">
            <w:pPr>
              <w:spacing w:line="360" w:lineRule="auto"/>
              <w:rPr>
                <w:rFonts w:ascii="宋体" w:hAnsi="宋体" w:cs="Arial"/>
                <w:szCs w:val="21"/>
              </w:rPr>
            </w:pPr>
            <w:r>
              <w:rPr>
                <w:rFonts w:ascii="宋体" w:hAnsi="宋体" w:cs="Arial"/>
                <w:szCs w:val="21"/>
              </w:rPr>
              <w:t>办公地址</w:t>
            </w:r>
          </w:p>
        </w:tc>
        <w:tc>
          <w:tcPr>
            <w:tcW w:w="6192" w:type="dxa"/>
            <w:gridSpan w:val="3"/>
          </w:tcPr>
          <w:p w14:paraId="1B510BFC" w14:textId="77777777" w:rsidR="0082364D" w:rsidRDefault="00BF2824">
            <w:pPr>
              <w:spacing w:line="360" w:lineRule="auto"/>
              <w:rPr>
                <w:rFonts w:ascii="宋体" w:hAnsi="宋体" w:cs="Arial"/>
                <w:szCs w:val="21"/>
              </w:rPr>
            </w:pPr>
            <w:r>
              <w:rPr>
                <w:rFonts w:ascii="宋体" w:hAnsi="宋体" w:cs="Arial" w:hint="eastAsia"/>
                <w:szCs w:val="21"/>
              </w:rPr>
              <w:t>成都市高新区交子大道177号中海国际中心A座2单元21层04-05单元</w:t>
            </w:r>
          </w:p>
        </w:tc>
      </w:tr>
      <w:tr w:rsidR="0082364D" w14:paraId="6C7EF332" w14:textId="77777777">
        <w:tc>
          <w:tcPr>
            <w:tcW w:w="1368" w:type="dxa"/>
          </w:tcPr>
          <w:p w14:paraId="76B696E2" w14:textId="77777777" w:rsidR="0082364D" w:rsidRDefault="00BF2824">
            <w:pPr>
              <w:spacing w:line="360" w:lineRule="auto"/>
              <w:rPr>
                <w:rFonts w:ascii="宋体" w:hAnsi="宋体" w:cs="Arial"/>
                <w:szCs w:val="21"/>
              </w:rPr>
            </w:pPr>
            <w:r>
              <w:rPr>
                <w:rFonts w:ascii="宋体" w:hAnsi="宋体" w:cs="Arial"/>
                <w:szCs w:val="21"/>
              </w:rPr>
              <w:t>电话</w:t>
            </w:r>
          </w:p>
        </w:tc>
        <w:tc>
          <w:tcPr>
            <w:tcW w:w="2592" w:type="dxa"/>
          </w:tcPr>
          <w:p w14:paraId="55C75675" w14:textId="77777777" w:rsidR="0082364D" w:rsidRDefault="00BF2824">
            <w:pPr>
              <w:spacing w:line="360" w:lineRule="auto"/>
              <w:rPr>
                <w:rFonts w:ascii="宋体" w:hAnsi="宋体" w:cs="Arial"/>
                <w:szCs w:val="21"/>
              </w:rPr>
            </w:pPr>
            <w:r>
              <w:rPr>
                <w:rFonts w:ascii="宋体" w:hAnsi="宋体" w:cs="Arial"/>
                <w:szCs w:val="21"/>
              </w:rPr>
              <w:t>（028）86202100</w:t>
            </w:r>
          </w:p>
        </w:tc>
        <w:tc>
          <w:tcPr>
            <w:tcW w:w="1080" w:type="dxa"/>
          </w:tcPr>
          <w:p w14:paraId="5B4CB82B" w14:textId="77777777" w:rsidR="0082364D" w:rsidRDefault="00BF2824">
            <w:pPr>
              <w:spacing w:line="360" w:lineRule="auto"/>
              <w:rPr>
                <w:rFonts w:ascii="宋体" w:hAnsi="宋体" w:cs="Arial"/>
                <w:szCs w:val="21"/>
              </w:rPr>
            </w:pPr>
            <w:r>
              <w:rPr>
                <w:rFonts w:ascii="宋体" w:hAnsi="宋体" w:cs="Arial"/>
                <w:szCs w:val="21"/>
              </w:rPr>
              <w:t>传真</w:t>
            </w:r>
          </w:p>
        </w:tc>
        <w:tc>
          <w:tcPr>
            <w:tcW w:w="2520" w:type="dxa"/>
          </w:tcPr>
          <w:p w14:paraId="29423884" w14:textId="77777777" w:rsidR="0082364D" w:rsidRDefault="00BF2824">
            <w:pPr>
              <w:spacing w:line="360" w:lineRule="auto"/>
              <w:rPr>
                <w:rFonts w:ascii="宋体" w:hAnsi="宋体" w:cs="Arial"/>
                <w:szCs w:val="21"/>
              </w:rPr>
            </w:pPr>
            <w:r>
              <w:rPr>
                <w:rFonts w:ascii="宋体" w:hAnsi="宋体" w:cs="Arial"/>
                <w:szCs w:val="21"/>
              </w:rPr>
              <w:t>（028）86202100</w:t>
            </w:r>
          </w:p>
        </w:tc>
      </w:tr>
      <w:tr w:rsidR="0082364D" w14:paraId="6BE9E276" w14:textId="77777777">
        <w:tc>
          <w:tcPr>
            <w:tcW w:w="1368" w:type="dxa"/>
          </w:tcPr>
          <w:p w14:paraId="5D44BDCC" w14:textId="77777777" w:rsidR="0082364D" w:rsidRDefault="00BF2824">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31322609" w14:textId="77777777" w:rsidR="0082364D" w:rsidRDefault="00BF2824">
            <w:pPr>
              <w:spacing w:line="360" w:lineRule="auto"/>
              <w:rPr>
                <w:rFonts w:ascii="宋体" w:hAnsi="宋体" w:cs="Arial"/>
                <w:szCs w:val="21"/>
              </w:rPr>
            </w:pPr>
            <w:r>
              <w:rPr>
                <w:rFonts w:ascii="宋体" w:hAnsi="宋体" w:cs="Arial"/>
                <w:szCs w:val="21"/>
              </w:rPr>
              <w:t>罗毅</w:t>
            </w:r>
          </w:p>
        </w:tc>
      </w:tr>
    </w:tbl>
    <w:p w14:paraId="06A1B5BE" w14:textId="77777777" w:rsidR="0082364D" w:rsidRDefault="00BF2824">
      <w:pPr>
        <w:spacing w:line="360" w:lineRule="auto"/>
        <w:ind w:firstLineChars="200" w:firstLine="420"/>
        <w:rPr>
          <w:rFonts w:ascii="宋体" w:hAnsi="宋体" w:cs="Arial"/>
          <w:szCs w:val="21"/>
        </w:rPr>
      </w:pPr>
      <w:r>
        <w:rPr>
          <w:rFonts w:ascii="宋体" w:hAnsi="宋体" w:cs="Arial"/>
          <w:szCs w:val="21"/>
        </w:rPr>
        <w:t>（4）嘉实基金管理有限公司深圳</w:t>
      </w:r>
      <w:r>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82364D" w14:paraId="099FCE88" w14:textId="77777777">
        <w:tc>
          <w:tcPr>
            <w:tcW w:w="1368" w:type="dxa"/>
          </w:tcPr>
          <w:p w14:paraId="04C5EAA8" w14:textId="77777777" w:rsidR="0082364D" w:rsidRDefault="00BF2824">
            <w:pPr>
              <w:spacing w:line="360" w:lineRule="auto"/>
              <w:rPr>
                <w:rFonts w:ascii="宋体" w:hAnsi="宋体" w:cs="Arial"/>
                <w:szCs w:val="21"/>
              </w:rPr>
            </w:pPr>
            <w:r>
              <w:rPr>
                <w:rFonts w:ascii="宋体" w:hAnsi="宋体" w:cs="Arial"/>
                <w:szCs w:val="21"/>
              </w:rPr>
              <w:t>办公地址</w:t>
            </w:r>
          </w:p>
        </w:tc>
        <w:tc>
          <w:tcPr>
            <w:tcW w:w="6192" w:type="dxa"/>
            <w:gridSpan w:val="3"/>
          </w:tcPr>
          <w:p w14:paraId="37C7DE16" w14:textId="77777777" w:rsidR="0082364D" w:rsidRDefault="00BF2824">
            <w:pPr>
              <w:spacing w:line="360" w:lineRule="auto"/>
              <w:rPr>
                <w:rFonts w:ascii="宋体" w:hAnsi="宋体" w:cs="Arial"/>
                <w:szCs w:val="21"/>
              </w:rPr>
            </w:pPr>
            <w:r>
              <w:rPr>
                <w:rFonts w:ascii="宋体" w:hAnsi="宋体" w:cs="Arial" w:hint="eastAsia"/>
                <w:bCs/>
                <w:szCs w:val="21"/>
              </w:rPr>
              <w:t>深圳市福田区益田路6001号太平金融大厦16层</w:t>
            </w:r>
          </w:p>
        </w:tc>
      </w:tr>
      <w:tr w:rsidR="0082364D" w14:paraId="6E237DD3" w14:textId="77777777">
        <w:tc>
          <w:tcPr>
            <w:tcW w:w="1368" w:type="dxa"/>
          </w:tcPr>
          <w:p w14:paraId="52C2F765" w14:textId="77777777" w:rsidR="0082364D" w:rsidRDefault="00BF2824">
            <w:pPr>
              <w:spacing w:line="360" w:lineRule="auto"/>
              <w:rPr>
                <w:rFonts w:ascii="宋体" w:hAnsi="宋体" w:cs="Arial"/>
                <w:szCs w:val="21"/>
              </w:rPr>
            </w:pPr>
            <w:r>
              <w:rPr>
                <w:rFonts w:ascii="宋体" w:hAnsi="宋体" w:cs="Arial"/>
                <w:szCs w:val="21"/>
              </w:rPr>
              <w:t>电话</w:t>
            </w:r>
          </w:p>
        </w:tc>
        <w:tc>
          <w:tcPr>
            <w:tcW w:w="2592" w:type="dxa"/>
          </w:tcPr>
          <w:p w14:paraId="1C99BC2E" w14:textId="77777777" w:rsidR="0082364D" w:rsidRDefault="00BF2824">
            <w:pPr>
              <w:spacing w:line="360" w:lineRule="auto"/>
              <w:rPr>
                <w:rFonts w:ascii="宋体" w:hAnsi="宋体" w:cs="Arial"/>
                <w:szCs w:val="21"/>
              </w:rPr>
            </w:pPr>
            <w:r>
              <w:rPr>
                <w:rFonts w:ascii="宋体" w:hAnsi="宋体" w:cs="Arial" w:hint="eastAsia"/>
                <w:szCs w:val="21"/>
              </w:rPr>
              <w:t>（0755）84362222</w:t>
            </w:r>
          </w:p>
        </w:tc>
        <w:tc>
          <w:tcPr>
            <w:tcW w:w="1080" w:type="dxa"/>
          </w:tcPr>
          <w:p w14:paraId="50D4E60F" w14:textId="77777777" w:rsidR="0082364D" w:rsidRDefault="00BF2824">
            <w:pPr>
              <w:spacing w:line="360" w:lineRule="auto"/>
              <w:rPr>
                <w:rFonts w:ascii="宋体" w:hAnsi="宋体" w:cs="Arial"/>
                <w:szCs w:val="21"/>
              </w:rPr>
            </w:pPr>
            <w:r>
              <w:rPr>
                <w:rFonts w:ascii="宋体" w:hAnsi="宋体" w:cs="Arial"/>
                <w:szCs w:val="21"/>
              </w:rPr>
              <w:t>传真</w:t>
            </w:r>
          </w:p>
        </w:tc>
        <w:tc>
          <w:tcPr>
            <w:tcW w:w="2520" w:type="dxa"/>
          </w:tcPr>
          <w:p w14:paraId="128AB3E1" w14:textId="77777777" w:rsidR="0082364D" w:rsidRDefault="00BF2824">
            <w:pPr>
              <w:spacing w:line="360" w:lineRule="auto"/>
              <w:rPr>
                <w:rFonts w:ascii="宋体" w:hAnsi="宋体" w:cs="Arial"/>
                <w:szCs w:val="21"/>
              </w:rPr>
            </w:pPr>
            <w:r>
              <w:rPr>
                <w:rFonts w:ascii="宋体" w:hAnsi="宋体" w:cs="Arial" w:hint="eastAsia"/>
                <w:szCs w:val="21"/>
              </w:rPr>
              <w:t>（0755）84362284</w:t>
            </w:r>
          </w:p>
        </w:tc>
      </w:tr>
      <w:tr w:rsidR="0082364D" w14:paraId="64A5DDF9" w14:textId="77777777">
        <w:tc>
          <w:tcPr>
            <w:tcW w:w="1368" w:type="dxa"/>
          </w:tcPr>
          <w:p w14:paraId="629F059B" w14:textId="77777777" w:rsidR="0082364D" w:rsidRDefault="00BF2824">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09A6F230" w14:textId="77777777" w:rsidR="0082364D" w:rsidRDefault="00BF2824">
            <w:pPr>
              <w:spacing w:line="360" w:lineRule="auto"/>
              <w:rPr>
                <w:rFonts w:ascii="宋体" w:hAnsi="宋体" w:cs="Arial"/>
                <w:szCs w:val="21"/>
              </w:rPr>
            </w:pPr>
            <w:r>
              <w:rPr>
                <w:rFonts w:ascii="宋体" w:hAnsi="宋体" w:cs="Arial" w:hint="eastAsia"/>
                <w:szCs w:val="21"/>
              </w:rPr>
              <w:t>陈寒梦</w:t>
            </w:r>
          </w:p>
        </w:tc>
      </w:tr>
    </w:tbl>
    <w:p w14:paraId="4A417EAF" w14:textId="77777777" w:rsidR="0082364D" w:rsidRDefault="00BF2824">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5</w:t>
      </w:r>
      <w:r>
        <w:rPr>
          <w:rFonts w:ascii="宋体" w:hAnsi="宋体" w:cs="Arial"/>
          <w:szCs w:val="21"/>
        </w:rPr>
        <w:t>）嘉实基金管理有限公司</w:t>
      </w:r>
      <w:r>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82364D" w14:paraId="787B7AE7" w14:textId="77777777">
        <w:tc>
          <w:tcPr>
            <w:tcW w:w="1368" w:type="dxa"/>
            <w:tcBorders>
              <w:top w:val="single" w:sz="4" w:space="0" w:color="auto"/>
              <w:left w:val="single" w:sz="4" w:space="0" w:color="auto"/>
              <w:bottom w:val="single" w:sz="4" w:space="0" w:color="auto"/>
              <w:right w:val="single" w:sz="4" w:space="0" w:color="auto"/>
            </w:tcBorders>
          </w:tcPr>
          <w:p w14:paraId="4DA5E8A0" w14:textId="77777777" w:rsidR="0082364D" w:rsidRDefault="00BF2824">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0DA0EED" w14:textId="77777777" w:rsidR="0082364D" w:rsidRDefault="00BF2824">
            <w:pPr>
              <w:spacing w:line="360" w:lineRule="auto"/>
              <w:rPr>
                <w:rFonts w:ascii="宋体" w:hAnsi="宋体" w:cs="Arial"/>
                <w:szCs w:val="21"/>
              </w:rPr>
            </w:pPr>
            <w:r>
              <w:rPr>
                <w:rFonts w:ascii="宋体" w:hAnsi="宋体" w:cs="Arial"/>
                <w:szCs w:val="21"/>
              </w:rPr>
              <w:t>青岛市</w:t>
            </w:r>
            <w:r>
              <w:rPr>
                <w:rFonts w:ascii="宋体" w:hAnsi="宋体" w:cs="Arial" w:hint="eastAsia"/>
                <w:szCs w:val="21"/>
              </w:rPr>
              <w:t>市南区山东路6</w:t>
            </w:r>
            <w:r>
              <w:rPr>
                <w:rFonts w:ascii="宋体" w:hAnsi="宋体" w:cs="Arial"/>
                <w:szCs w:val="21"/>
              </w:rPr>
              <w:t>号</w:t>
            </w:r>
            <w:r>
              <w:rPr>
                <w:rFonts w:ascii="宋体" w:hAnsi="宋体" w:cs="Arial" w:hint="eastAsia"/>
                <w:szCs w:val="21"/>
              </w:rPr>
              <w:t>华润</w:t>
            </w:r>
            <w:r>
              <w:rPr>
                <w:rFonts w:ascii="宋体" w:hAnsi="宋体" w:cs="Arial"/>
                <w:szCs w:val="21"/>
              </w:rPr>
              <w:t>大厦</w:t>
            </w:r>
            <w:r>
              <w:rPr>
                <w:rFonts w:ascii="宋体" w:hAnsi="宋体" w:cs="Arial" w:hint="eastAsia"/>
                <w:szCs w:val="21"/>
              </w:rPr>
              <w:t>3101</w:t>
            </w:r>
            <w:r>
              <w:rPr>
                <w:rFonts w:ascii="宋体" w:hAnsi="宋体" w:cs="Arial"/>
                <w:szCs w:val="21"/>
              </w:rPr>
              <w:t>室</w:t>
            </w:r>
          </w:p>
        </w:tc>
      </w:tr>
      <w:tr w:rsidR="0082364D" w14:paraId="1E5D28B2" w14:textId="77777777">
        <w:tc>
          <w:tcPr>
            <w:tcW w:w="1368" w:type="dxa"/>
            <w:tcBorders>
              <w:top w:val="single" w:sz="4" w:space="0" w:color="auto"/>
              <w:left w:val="single" w:sz="4" w:space="0" w:color="auto"/>
              <w:bottom w:val="single" w:sz="4" w:space="0" w:color="auto"/>
              <w:right w:val="single" w:sz="4" w:space="0" w:color="auto"/>
            </w:tcBorders>
          </w:tcPr>
          <w:p w14:paraId="3426E3D5" w14:textId="77777777" w:rsidR="0082364D" w:rsidRDefault="00BF2824">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52FF3C38" w14:textId="77777777" w:rsidR="0082364D" w:rsidRDefault="00BF2824">
            <w:pPr>
              <w:spacing w:line="360" w:lineRule="auto"/>
              <w:rPr>
                <w:rFonts w:ascii="宋体" w:hAnsi="宋体" w:cs="Arial"/>
                <w:szCs w:val="21"/>
              </w:rPr>
            </w:pPr>
            <w:r>
              <w:rPr>
                <w:rFonts w:ascii="宋体" w:hAnsi="宋体" w:cs="Arial"/>
                <w:szCs w:val="21"/>
              </w:rPr>
              <w:t>（0532）6677</w:t>
            </w:r>
            <w:r>
              <w:rPr>
                <w:rFonts w:ascii="宋体" w:hAnsi="宋体" w:cs="Arial" w:hint="eastAsia"/>
                <w:szCs w:val="21"/>
              </w:rPr>
              <w:t>7997</w:t>
            </w:r>
          </w:p>
        </w:tc>
        <w:tc>
          <w:tcPr>
            <w:tcW w:w="1080" w:type="dxa"/>
            <w:tcBorders>
              <w:top w:val="single" w:sz="4" w:space="0" w:color="auto"/>
              <w:left w:val="single" w:sz="4" w:space="0" w:color="auto"/>
              <w:bottom w:val="single" w:sz="4" w:space="0" w:color="auto"/>
              <w:right w:val="single" w:sz="4" w:space="0" w:color="auto"/>
            </w:tcBorders>
          </w:tcPr>
          <w:p w14:paraId="24B60205" w14:textId="77777777" w:rsidR="0082364D" w:rsidRDefault="00BF2824">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75782CD7" w14:textId="77777777" w:rsidR="0082364D" w:rsidRDefault="00BF2824">
            <w:pPr>
              <w:spacing w:line="360" w:lineRule="auto"/>
              <w:rPr>
                <w:rFonts w:ascii="宋体" w:hAnsi="宋体" w:cs="Arial"/>
                <w:szCs w:val="21"/>
              </w:rPr>
            </w:pPr>
            <w:r>
              <w:rPr>
                <w:rFonts w:ascii="宋体" w:hAnsi="宋体" w:cs="Arial"/>
                <w:szCs w:val="21"/>
              </w:rPr>
              <w:t>（0532）66777676</w:t>
            </w:r>
          </w:p>
        </w:tc>
      </w:tr>
      <w:tr w:rsidR="0082364D" w14:paraId="10C569DE" w14:textId="77777777">
        <w:tc>
          <w:tcPr>
            <w:tcW w:w="1368" w:type="dxa"/>
            <w:tcBorders>
              <w:top w:val="single" w:sz="4" w:space="0" w:color="auto"/>
              <w:left w:val="single" w:sz="4" w:space="0" w:color="auto"/>
              <w:bottom w:val="single" w:sz="4" w:space="0" w:color="auto"/>
              <w:right w:val="single" w:sz="4" w:space="0" w:color="auto"/>
            </w:tcBorders>
          </w:tcPr>
          <w:p w14:paraId="76EF006A" w14:textId="77777777" w:rsidR="0082364D" w:rsidRDefault="00BF2824">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49EFD4D9" w14:textId="77777777" w:rsidR="0082364D" w:rsidRDefault="00BF2824">
            <w:pPr>
              <w:spacing w:line="360" w:lineRule="auto"/>
              <w:rPr>
                <w:rFonts w:ascii="宋体" w:hAnsi="宋体" w:cs="Arial"/>
                <w:szCs w:val="21"/>
              </w:rPr>
            </w:pPr>
            <w:r>
              <w:rPr>
                <w:rFonts w:ascii="宋体" w:hAnsi="宋体" w:cs="Arial" w:hint="eastAsia"/>
                <w:szCs w:val="21"/>
              </w:rPr>
              <w:t>胡洪峰</w:t>
            </w:r>
          </w:p>
        </w:tc>
      </w:tr>
    </w:tbl>
    <w:p w14:paraId="007B25BF" w14:textId="77777777" w:rsidR="0082364D" w:rsidRDefault="00BF2824">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6</w:t>
      </w:r>
      <w:r>
        <w:rPr>
          <w:rFonts w:ascii="宋体" w:hAnsi="宋体" w:cs="Arial"/>
          <w:szCs w:val="21"/>
        </w:rPr>
        <w:t>）嘉实基金管理有限公司</w:t>
      </w:r>
      <w:r>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82364D" w14:paraId="03FDE00C" w14:textId="77777777">
        <w:tc>
          <w:tcPr>
            <w:tcW w:w="1368" w:type="dxa"/>
            <w:tcBorders>
              <w:top w:val="single" w:sz="4" w:space="0" w:color="auto"/>
              <w:left w:val="single" w:sz="4" w:space="0" w:color="auto"/>
              <w:bottom w:val="single" w:sz="4" w:space="0" w:color="auto"/>
              <w:right w:val="single" w:sz="4" w:space="0" w:color="auto"/>
            </w:tcBorders>
          </w:tcPr>
          <w:p w14:paraId="0F63B76D" w14:textId="77777777" w:rsidR="0082364D" w:rsidRDefault="00BF2824">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F809C6C" w14:textId="77777777" w:rsidR="0082364D" w:rsidRDefault="00BF2824">
            <w:pPr>
              <w:spacing w:line="360" w:lineRule="auto"/>
              <w:rPr>
                <w:rFonts w:ascii="宋体" w:hAnsi="宋体" w:cs="Arial"/>
                <w:szCs w:val="21"/>
              </w:rPr>
            </w:pPr>
            <w:r>
              <w:rPr>
                <w:rFonts w:ascii="宋体" w:hAnsi="宋体" w:cs="Arial" w:hint="eastAsia"/>
                <w:szCs w:val="21"/>
              </w:rPr>
              <w:t>杭州市江干区四季青街道钱江路1366 号万象城华润大厦B座2 幢1001A 室</w:t>
            </w:r>
          </w:p>
        </w:tc>
      </w:tr>
      <w:tr w:rsidR="0082364D" w14:paraId="0128B17F" w14:textId="77777777">
        <w:tc>
          <w:tcPr>
            <w:tcW w:w="1368" w:type="dxa"/>
            <w:tcBorders>
              <w:top w:val="single" w:sz="4" w:space="0" w:color="auto"/>
              <w:left w:val="single" w:sz="4" w:space="0" w:color="auto"/>
              <w:bottom w:val="single" w:sz="4" w:space="0" w:color="auto"/>
              <w:right w:val="single" w:sz="4" w:space="0" w:color="auto"/>
            </w:tcBorders>
          </w:tcPr>
          <w:p w14:paraId="3D88F185" w14:textId="77777777" w:rsidR="0082364D" w:rsidRDefault="00BF2824">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vAlign w:val="center"/>
          </w:tcPr>
          <w:p w14:paraId="49A647E5" w14:textId="77777777" w:rsidR="0082364D" w:rsidRDefault="00BF2824">
            <w:r>
              <w:rPr>
                <w:rFonts w:hint="eastAsia"/>
              </w:rPr>
              <w:t>（</w:t>
            </w:r>
            <w:r>
              <w:rPr>
                <w:rFonts w:hint="eastAsia"/>
              </w:rPr>
              <w:t>0571</w:t>
            </w:r>
            <w:r>
              <w:rPr>
                <w:rFonts w:hint="eastAsia"/>
              </w:rPr>
              <w:t>）</w:t>
            </w:r>
            <w:r>
              <w:rPr>
                <w:rFonts w:hint="eastAsia"/>
              </w:rPr>
              <w:t>88061392</w:t>
            </w:r>
          </w:p>
        </w:tc>
        <w:tc>
          <w:tcPr>
            <w:tcW w:w="1080" w:type="dxa"/>
            <w:tcBorders>
              <w:top w:val="single" w:sz="4" w:space="0" w:color="auto"/>
              <w:left w:val="single" w:sz="4" w:space="0" w:color="auto"/>
              <w:bottom w:val="single" w:sz="4" w:space="0" w:color="auto"/>
              <w:right w:val="single" w:sz="4" w:space="0" w:color="auto"/>
            </w:tcBorders>
            <w:vAlign w:val="center"/>
          </w:tcPr>
          <w:p w14:paraId="0B20E819" w14:textId="77777777" w:rsidR="0082364D" w:rsidRDefault="00BF2824">
            <w:r>
              <w:rPr>
                <w:rFonts w:hint="eastAsia"/>
              </w:rPr>
              <w:t>传真</w:t>
            </w:r>
          </w:p>
        </w:tc>
        <w:tc>
          <w:tcPr>
            <w:tcW w:w="2520" w:type="dxa"/>
            <w:tcBorders>
              <w:top w:val="single" w:sz="4" w:space="0" w:color="auto"/>
              <w:left w:val="single" w:sz="4" w:space="0" w:color="auto"/>
              <w:bottom w:val="single" w:sz="4" w:space="0" w:color="auto"/>
              <w:right w:val="single" w:sz="4" w:space="0" w:color="auto"/>
            </w:tcBorders>
            <w:vAlign w:val="center"/>
          </w:tcPr>
          <w:p w14:paraId="0874BAA3" w14:textId="77777777" w:rsidR="0082364D" w:rsidRDefault="00BF2824">
            <w:r>
              <w:rPr>
                <w:rFonts w:hint="eastAsia"/>
              </w:rPr>
              <w:t>（</w:t>
            </w:r>
            <w:r>
              <w:rPr>
                <w:rFonts w:hint="eastAsia"/>
              </w:rPr>
              <w:t>0571</w:t>
            </w:r>
            <w:r>
              <w:rPr>
                <w:rFonts w:hint="eastAsia"/>
              </w:rPr>
              <w:t>）</w:t>
            </w:r>
            <w:r>
              <w:rPr>
                <w:rFonts w:hint="eastAsia"/>
              </w:rPr>
              <w:t>88021391</w:t>
            </w:r>
          </w:p>
        </w:tc>
      </w:tr>
      <w:tr w:rsidR="0082364D" w14:paraId="06B10951" w14:textId="77777777">
        <w:tc>
          <w:tcPr>
            <w:tcW w:w="1368" w:type="dxa"/>
            <w:tcBorders>
              <w:top w:val="single" w:sz="4" w:space="0" w:color="auto"/>
              <w:left w:val="single" w:sz="4" w:space="0" w:color="auto"/>
              <w:bottom w:val="single" w:sz="4" w:space="0" w:color="auto"/>
              <w:right w:val="single" w:sz="4" w:space="0" w:color="auto"/>
            </w:tcBorders>
          </w:tcPr>
          <w:p w14:paraId="112E040C" w14:textId="77777777" w:rsidR="0082364D" w:rsidRDefault="00BF2824">
            <w:pPr>
              <w:spacing w:line="360" w:lineRule="auto"/>
              <w:rPr>
                <w:rFonts w:ascii="宋体" w:hAnsi="宋体" w:cs="Arial"/>
                <w:szCs w:val="21"/>
              </w:rPr>
            </w:pPr>
            <w:r>
              <w:rPr>
                <w:rFonts w:ascii="宋体" w:hAnsi="宋体" w:cs="Arial" w:hint="eastAsia"/>
                <w:szCs w:val="21"/>
              </w:rPr>
              <w:lastRenderedPageBreak/>
              <w:t>联系人</w:t>
            </w:r>
          </w:p>
        </w:tc>
        <w:tc>
          <w:tcPr>
            <w:tcW w:w="6192" w:type="dxa"/>
            <w:gridSpan w:val="3"/>
            <w:tcBorders>
              <w:top w:val="single" w:sz="4" w:space="0" w:color="auto"/>
              <w:left w:val="single" w:sz="4" w:space="0" w:color="auto"/>
              <w:bottom w:val="single" w:sz="4" w:space="0" w:color="auto"/>
              <w:right w:val="single" w:sz="4" w:space="0" w:color="auto"/>
            </w:tcBorders>
            <w:vAlign w:val="center"/>
          </w:tcPr>
          <w:p w14:paraId="2D5DE899" w14:textId="77777777" w:rsidR="0082364D" w:rsidRDefault="00BF2824">
            <w:r>
              <w:rPr>
                <w:rFonts w:hint="eastAsia"/>
              </w:rPr>
              <w:t>邵琦</w:t>
            </w:r>
          </w:p>
        </w:tc>
      </w:tr>
    </w:tbl>
    <w:p w14:paraId="50BF2E72" w14:textId="77777777" w:rsidR="0082364D" w:rsidRDefault="00BF2824">
      <w:pPr>
        <w:spacing w:line="360" w:lineRule="auto"/>
        <w:ind w:firstLineChars="200" w:firstLine="420"/>
        <w:rPr>
          <w:rFonts w:ascii="宋体" w:hAnsi="宋体" w:cs="Arial"/>
          <w:szCs w:val="21"/>
        </w:rPr>
      </w:pPr>
      <w:r>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82364D" w14:paraId="7B60595C" w14:textId="77777777">
        <w:tc>
          <w:tcPr>
            <w:tcW w:w="1368" w:type="dxa"/>
          </w:tcPr>
          <w:p w14:paraId="5165AE95" w14:textId="77777777" w:rsidR="0082364D" w:rsidRDefault="00BF2824">
            <w:pPr>
              <w:spacing w:line="360" w:lineRule="auto"/>
              <w:rPr>
                <w:rFonts w:ascii="宋体" w:hAnsi="宋体" w:cs="Arial"/>
                <w:szCs w:val="21"/>
              </w:rPr>
            </w:pPr>
            <w:r>
              <w:rPr>
                <w:rFonts w:ascii="宋体" w:hAnsi="宋体" w:cs="Arial"/>
                <w:szCs w:val="21"/>
              </w:rPr>
              <w:t>办公地址</w:t>
            </w:r>
          </w:p>
        </w:tc>
        <w:tc>
          <w:tcPr>
            <w:tcW w:w="6192" w:type="dxa"/>
            <w:gridSpan w:val="3"/>
          </w:tcPr>
          <w:p w14:paraId="44E76026" w14:textId="77777777" w:rsidR="0082364D" w:rsidRDefault="00BF2824">
            <w:pPr>
              <w:spacing w:line="360" w:lineRule="auto"/>
              <w:rPr>
                <w:rFonts w:ascii="宋体" w:hAnsi="宋体" w:cs="Arial"/>
                <w:szCs w:val="21"/>
              </w:rPr>
            </w:pPr>
            <w:r>
              <w:rPr>
                <w:rFonts w:ascii="宋体" w:hAnsi="宋体" w:cs="Arial" w:hint="eastAsia"/>
                <w:szCs w:val="21"/>
              </w:rPr>
              <w:t>福州市鼓楼区五四路137号信和广场1802单元</w:t>
            </w:r>
          </w:p>
        </w:tc>
      </w:tr>
      <w:tr w:rsidR="0082364D" w14:paraId="78F3A3FD" w14:textId="77777777">
        <w:tc>
          <w:tcPr>
            <w:tcW w:w="1368" w:type="dxa"/>
          </w:tcPr>
          <w:p w14:paraId="3A510A2B" w14:textId="77777777" w:rsidR="0082364D" w:rsidRDefault="00BF2824">
            <w:pPr>
              <w:spacing w:line="360" w:lineRule="auto"/>
              <w:rPr>
                <w:rFonts w:ascii="宋体" w:hAnsi="宋体" w:cs="Arial"/>
                <w:szCs w:val="21"/>
              </w:rPr>
            </w:pPr>
            <w:r>
              <w:rPr>
                <w:rFonts w:ascii="宋体" w:hAnsi="宋体" w:cs="Arial"/>
                <w:szCs w:val="21"/>
              </w:rPr>
              <w:t>电话</w:t>
            </w:r>
          </w:p>
        </w:tc>
        <w:tc>
          <w:tcPr>
            <w:tcW w:w="2592" w:type="dxa"/>
          </w:tcPr>
          <w:p w14:paraId="51FFF540" w14:textId="77777777" w:rsidR="0082364D" w:rsidRDefault="00BF2824">
            <w:pPr>
              <w:spacing w:line="360" w:lineRule="auto"/>
              <w:rPr>
                <w:rFonts w:ascii="宋体" w:hAnsi="宋体" w:cs="Arial"/>
                <w:szCs w:val="21"/>
              </w:rPr>
            </w:pPr>
            <w:r>
              <w:rPr>
                <w:rFonts w:ascii="宋体" w:hAnsi="宋体" w:cs="Arial" w:hint="eastAsia"/>
                <w:szCs w:val="21"/>
              </w:rPr>
              <w:t>（0591）</w:t>
            </w:r>
            <w:r>
              <w:rPr>
                <w:rFonts w:ascii="宋体" w:hAnsi="宋体" w:cs="Arial"/>
                <w:szCs w:val="21"/>
              </w:rPr>
              <w:t>88013670</w:t>
            </w:r>
          </w:p>
        </w:tc>
        <w:tc>
          <w:tcPr>
            <w:tcW w:w="1080" w:type="dxa"/>
          </w:tcPr>
          <w:p w14:paraId="63708C16" w14:textId="77777777" w:rsidR="0082364D" w:rsidRDefault="00BF2824">
            <w:pPr>
              <w:spacing w:line="360" w:lineRule="auto"/>
              <w:rPr>
                <w:rFonts w:ascii="宋体" w:hAnsi="宋体" w:cs="Arial"/>
                <w:szCs w:val="21"/>
              </w:rPr>
            </w:pPr>
            <w:r>
              <w:rPr>
                <w:rFonts w:ascii="宋体" w:hAnsi="宋体" w:cs="Arial"/>
                <w:szCs w:val="21"/>
              </w:rPr>
              <w:t>传真</w:t>
            </w:r>
          </w:p>
        </w:tc>
        <w:tc>
          <w:tcPr>
            <w:tcW w:w="2520" w:type="dxa"/>
          </w:tcPr>
          <w:p w14:paraId="6FBB2126" w14:textId="77777777" w:rsidR="0082364D" w:rsidRDefault="00BF2824">
            <w:pPr>
              <w:spacing w:line="360" w:lineRule="auto"/>
              <w:rPr>
                <w:rFonts w:ascii="宋体" w:hAnsi="宋体" w:cs="Arial"/>
                <w:szCs w:val="21"/>
              </w:rPr>
            </w:pPr>
            <w:r>
              <w:rPr>
                <w:rFonts w:ascii="宋体" w:hAnsi="宋体" w:cs="Arial"/>
                <w:szCs w:val="21"/>
              </w:rPr>
              <w:t>（0591）88013670</w:t>
            </w:r>
          </w:p>
        </w:tc>
      </w:tr>
      <w:tr w:rsidR="0082364D" w14:paraId="058008B5" w14:textId="77777777">
        <w:tc>
          <w:tcPr>
            <w:tcW w:w="1368" w:type="dxa"/>
          </w:tcPr>
          <w:p w14:paraId="35E72469" w14:textId="77777777" w:rsidR="0082364D" w:rsidRDefault="00BF2824">
            <w:pPr>
              <w:spacing w:line="360" w:lineRule="auto"/>
              <w:rPr>
                <w:rFonts w:ascii="宋体" w:hAnsi="宋体" w:cs="Arial"/>
                <w:szCs w:val="21"/>
              </w:rPr>
            </w:pPr>
            <w:r>
              <w:rPr>
                <w:rFonts w:ascii="宋体" w:hAnsi="宋体" w:cs="Arial"/>
                <w:szCs w:val="21"/>
              </w:rPr>
              <w:t>联系人</w:t>
            </w:r>
          </w:p>
        </w:tc>
        <w:tc>
          <w:tcPr>
            <w:tcW w:w="6192" w:type="dxa"/>
            <w:gridSpan w:val="3"/>
          </w:tcPr>
          <w:p w14:paraId="7F6CA197" w14:textId="77777777" w:rsidR="0082364D" w:rsidRDefault="00BF2824">
            <w:pPr>
              <w:spacing w:line="360" w:lineRule="auto"/>
              <w:rPr>
                <w:rFonts w:ascii="宋体" w:hAnsi="宋体" w:cs="Arial"/>
                <w:szCs w:val="21"/>
              </w:rPr>
            </w:pPr>
            <w:r>
              <w:rPr>
                <w:rFonts w:ascii="宋体" w:hAnsi="宋体" w:cs="Arial" w:hint="eastAsia"/>
                <w:szCs w:val="21"/>
              </w:rPr>
              <w:t>陈寒梦</w:t>
            </w:r>
          </w:p>
        </w:tc>
      </w:tr>
    </w:tbl>
    <w:p w14:paraId="1BDABC22" w14:textId="77777777" w:rsidR="0082364D" w:rsidRDefault="00BF2824">
      <w:pPr>
        <w:spacing w:line="360" w:lineRule="auto"/>
        <w:ind w:firstLineChars="250" w:firstLine="525"/>
        <w:rPr>
          <w:rFonts w:ascii="宋体" w:hAnsi="宋体" w:cs="Arial"/>
          <w:szCs w:val="21"/>
        </w:rPr>
      </w:pPr>
      <w:r>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82364D" w14:paraId="00EDBE31" w14:textId="77777777">
        <w:tc>
          <w:tcPr>
            <w:tcW w:w="1368" w:type="dxa"/>
          </w:tcPr>
          <w:p w14:paraId="3170168E" w14:textId="77777777" w:rsidR="0082364D" w:rsidRDefault="00BF2824">
            <w:pPr>
              <w:spacing w:line="360" w:lineRule="auto"/>
              <w:rPr>
                <w:rFonts w:ascii="宋体" w:hAnsi="宋体" w:cs="Arial"/>
                <w:szCs w:val="21"/>
              </w:rPr>
            </w:pPr>
            <w:r>
              <w:rPr>
                <w:rFonts w:ascii="宋体" w:hAnsi="宋体" w:cs="Arial"/>
                <w:szCs w:val="21"/>
              </w:rPr>
              <w:t>办公地址</w:t>
            </w:r>
          </w:p>
        </w:tc>
        <w:tc>
          <w:tcPr>
            <w:tcW w:w="6192" w:type="dxa"/>
          </w:tcPr>
          <w:p w14:paraId="341E13E3" w14:textId="77777777" w:rsidR="0082364D" w:rsidRDefault="00BF2824">
            <w:pPr>
              <w:spacing w:line="360" w:lineRule="auto"/>
              <w:rPr>
                <w:rFonts w:ascii="宋体" w:hAnsi="宋体" w:cs="Arial"/>
                <w:szCs w:val="21"/>
              </w:rPr>
            </w:pPr>
            <w:r>
              <w:rPr>
                <w:rFonts w:ascii="宋体" w:hAnsi="宋体" w:cs="Arial" w:hint="eastAsia"/>
                <w:szCs w:val="21"/>
              </w:rPr>
              <w:t>南京市新街口汉中路2号亚太商务楼23层B区</w:t>
            </w:r>
          </w:p>
        </w:tc>
      </w:tr>
      <w:tr w:rsidR="0082364D" w14:paraId="2AEF4E54" w14:textId="77777777">
        <w:tc>
          <w:tcPr>
            <w:tcW w:w="1368" w:type="dxa"/>
          </w:tcPr>
          <w:p w14:paraId="3BA5FF4B" w14:textId="77777777" w:rsidR="0082364D" w:rsidRDefault="00BF2824">
            <w:pPr>
              <w:spacing w:line="360" w:lineRule="auto"/>
              <w:rPr>
                <w:rFonts w:ascii="宋体" w:hAnsi="宋体" w:cs="Arial"/>
                <w:szCs w:val="21"/>
              </w:rPr>
            </w:pPr>
            <w:r>
              <w:rPr>
                <w:rFonts w:ascii="宋体" w:hAnsi="宋体" w:cs="Arial"/>
                <w:szCs w:val="21"/>
              </w:rPr>
              <w:t>电话</w:t>
            </w:r>
          </w:p>
        </w:tc>
        <w:tc>
          <w:tcPr>
            <w:tcW w:w="6192" w:type="dxa"/>
          </w:tcPr>
          <w:p w14:paraId="6A3FC180" w14:textId="77777777" w:rsidR="0082364D" w:rsidRDefault="00BF2824">
            <w:pPr>
              <w:spacing w:line="360" w:lineRule="auto"/>
              <w:rPr>
                <w:rFonts w:ascii="宋体" w:hAnsi="宋体" w:cs="Arial"/>
                <w:szCs w:val="21"/>
              </w:rPr>
            </w:pPr>
            <w:r>
              <w:rPr>
                <w:rFonts w:ascii="宋体" w:hAnsi="宋体" w:cs="Arial"/>
                <w:szCs w:val="21"/>
              </w:rPr>
              <w:t>（025）66671118</w:t>
            </w:r>
          </w:p>
        </w:tc>
      </w:tr>
      <w:tr w:rsidR="0082364D" w14:paraId="68C94D36" w14:textId="77777777">
        <w:tc>
          <w:tcPr>
            <w:tcW w:w="1368" w:type="dxa"/>
          </w:tcPr>
          <w:p w14:paraId="399CA589" w14:textId="77777777" w:rsidR="0082364D" w:rsidRDefault="00BF2824">
            <w:pPr>
              <w:spacing w:line="360" w:lineRule="auto"/>
              <w:rPr>
                <w:rFonts w:ascii="宋体" w:hAnsi="宋体" w:cs="Arial"/>
                <w:szCs w:val="21"/>
              </w:rPr>
            </w:pPr>
            <w:r>
              <w:rPr>
                <w:rFonts w:ascii="宋体" w:hAnsi="宋体" w:cs="Arial"/>
                <w:szCs w:val="21"/>
              </w:rPr>
              <w:t>联系人</w:t>
            </w:r>
          </w:p>
        </w:tc>
        <w:tc>
          <w:tcPr>
            <w:tcW w:w="6192" w:type="dxa"/>
          </w:tcPr>
          <w:p w14:paraId="49875B60" w14:textId="77777777" w:rsidR="0082364D" w:rsidRDefault="00BF2824">
            <w:pPr>
              <w:spacing w:line="360" w:lineRule="auto"/>
              <w:rPr>
                <w:rFonts w:ascii="宋体" w:hAnsi="宋体" w:cs="Arial"/>
                <w:szCs w:val="21"/>
              </w:rPr>
            </w:pPr>
            <w:r>
              <w:rPr>
                <w:rFonts w:ascii="宋体" w:hAnsi="宋体" w:cs="Arial" w:hint="eastAsia"/>
                <w:szCs w:val="21"/>
              </w:rPr>
              <w:t>潘曙晖</w:t>
            </w:r>
          </w:p>
        </w:tc>
      </w:tr>
    </w:tbl>
    <w:p w14:paraId="0DA3FA92" w14:textId="77777777" w:rsidR="0082364D" w:rsidRDefault="00BF2824">
      <w:pPr>
        <w:spacing w:line="360" w:lineRule="auto"/>
        <w:ind w:firstLineChars="250" w:firstLine="525"/>
        <w:rPr>
          <w:rFonts w:ascii="宋体" w:hAnsi="宋体" w:cs="Arial"/>
          <w:szCs w:val="21"/>
        </w:rPr>
      </w:pPr>
      <w:r>
        <w:rPr>
          <w:rFonts w:ascii="宋体" w:hAnsi="宋体" w:cs="Arial"/>
          <w:szCs w:val="21"/>
        </w:rPr>
        <w:t>（</w:t>
      </w:r>
      <w:r>
        <w:rPr>
          <w:rFonts w:ascii="宋体" w:hAnsi="宋体" w:cs="Arial" w:hint="eastAsia"/>
          <w:szCs w:val="21"/>
        </w:rPr>
        <w:t>9</w:t>
      </w:r>
      <w:r>
        <w:rPr>
          <w:rFonts w:ascii="宋体" w:hAnsi="宋体" w:cs="Arial"/>
          <w:szCs w:val="21"/>
        </w:rPr>
        <w:t>）嘉实基金管理有限公司</w:t>
      </w:r>
      <w:r>
        <w:rPr>
          <w:rFonts w:ascii="宋体" w:hAnsi="宋体" w:cs="Arial" w:hint="eastAsia"/>
          <w:szCs w:val="21"/>
        </w:rPr>
        <w:t>广州</w:t>
      </w:r>
      <w:r>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82364D" w14:paraId="2912937B" w14:textId="77777777">
        <w:tc>
          <w:tcPr>
            <w:tcW w:w="1368" w:type="dxa"/>
          </w:tcPr>
          <w:p w14:paraId="66D0605E" w14:textId="77777777" w:rsidR="0082364D" w:rsidRDefault="00BF2824">
            <w:pPr>
              <w:spacing w:line="360" w:lineRule="auto"/>
              <w:rPr>
                <w:rFonts w:ascii="宋体" w:hAnsi="宋体" w:cs="Arial"/>
                <w:szCs w:val="21"/>
              </w:rPr>
            </w:pPr>
            <w:r>
              <w:rPr>
                <w:rFonts w:ascii="宋体" w:hAnsi="宋体" w:cs="Arial"/>
                <w:szCs w:val="21"/>
              </w:rPr>
              <w:t>办公地址</w:t>
            </w:r>
          </w:p>
        </w:tc>
        <w:tc>
          <w:tcPr>
            <w:tcW w:w="6192" w:type="dxa"/>
            <w:gridSpan w:val="3"/>
          </w:tcPr>
          <w:p w14:paraId="630DF23A" w14:textId="77777777" w:rsidR="0082364D" w:rsidRDefault="00BF2824">
            <w:pPr>
              <w:spacing w:line="360" w:lineRule="auto"/>
              <w:rPr>
                <w:rFonts w:ascii="宋体" w:hAnsi="宋体" w:cs="Arial"/>
                <w:szCs w:val="21"/>
              </w:rPr>
            </w:pPr>
            <w:r>
              <w:rPr>
                <w:rFonts w:ascii="宋体" w:hAnsi="宋体" w:cs="Arial" w:hint="eastAsia"/>
                <w:szCs w:val="21"/>
              </w:rPr>
              <w:t>广东省广州市天河区冼村路5号凯华国际金融中心36层05-06单元</w:t>
            </w:r>
          </w:p>
        </w:tc>
      </w:tr>
      <w:tr w:rsidR="0082364D" w14:paraId="73A5EE89" w14:textId="77777777">
        <w:tc>
          <w:tcPr>
            <w:tcW w:w="1368" w:type="dxa"/>
          </w:tcPr>
          <w:p w14:paraId="48B0AB8D" w14:textId="77777777" w:rsidR="0082364D" w:rsidRDefault="00BF2824">
            <w:pPr>
              <w:spacing w:line="360" w:lineRule="auto"/>
              <w:rPr>
                <w:rFonts w:ascii="宋体" w:hAnsi="宋体" w:cs="Arial"/>
                <w:szCs w:val="21"/>
              </w:rPr>
            </w:pPr>
            <w:r>
              <w:rPr>
                <w:rFonts w:ascii="宋体" w:hAnsi="宋体" w:cs="Arial"/>
                <w:szCs w:val="21"/>
              </w:rPr>
              <w:t>电话</w:t>
            </w:r>
          </w:p>
        </w:tc>
        <w:tc>
          <w:tcPr>
            <w:tcW w:w="2592" w:type="dxa"/>
          </w:tcPr>
          <w:p w14:paraId="3CB22035" w14:textId="77777777" w:rsidR="0082364D" w:rsidRDefault="00BF2824">
            <w:pPr>
              <w:spacing w:line="360" w:lineRule="auto"/>
              <w:rPr>
                <w:rFonts w:ascii="宋体" w:hAnsi="宋体" w:cs="Arial"/>
                <w:szCs w:val="21"/>
              </w:rPr>
            </w:pPr>
            <w:r>
              <w:rPr>
                <w:rFonts w:ascii="宋体" w:hAnsi="宋体" w:cs="Arial" w:hint="eastAsia"/>
                <w:szCs w:val="21"/>
              </w:rPr>
              <w:t>（020）29141918</w:t>
            </w:r>
          </w:p>
        </w:tc>
        <w:tc>
          <w:tcPr>
            <w:tcW w:w="1080" w:type="dxa"/>
          </w:tcPr>
          <w:p w14:paraId="188A5EE2" w14:textId="77777777" w:rsidR="0082364D" w:rsidRDefault="00BF2824">
            <w:pPr>
              <w:spacing w:line="360" w:lineRule="auto"/>
              <w:rPr>
                <w:rFonts w:ascii="宋体" w:hAnsi="宋体" w:cs="Arial"/>
                <w:szCs w:val="21"/>
              </w:rPr>
            </w:pPr>
            <w:r>
              <w:rPr>
                <w:rFonts w:ascii="宋体" w:hAnsi="宋体" w:cs="Arial"/>
                <w:szCs w:val="21"/>
              </w:rPr>
              <w:t>传真</w:t>
            </w:r>
          </w:p>
        </w:tc>
        <w:tc>
          <w:tcPr>
            <w:tcW w:w="2520" w:type="dxa"/>
          </w:tcPr>
          <w:p w14:paraId="0F66BE79" w14:textId="77777777" w:rsidR="0082364D" w:rsidRDefault="00BF2824">
            <w:pPr>
              <w:spacing w:line="360" w:lineRule="auto"/>
              <w:rPr>
                <w:rFonts w:ascii="宋体" w:hAnsi="宋体" w:cs="Arial"/>
                <w:szCs w:val="21"/>
              </w:rPr>
            </w:pPr>
            <w:r>
              <w:rPr>
                <w:rFonts w:ascii="宋体" w:hAnsi="宋体" w:cs="Arial" w:hint="eastAsia"/>
                <w:szCs w:val="21"/>
              </w:rPr>
              <w:t>（020）29141914</w:t>
            </w:r>
          </w:p>
        </w:tc>
      </w:tr>
      <w:tr w:rsidR="0082364D" w14:paraId="055D0059" w14:textId="77777777">
        <w:tc>
          <w:tcPr>
            <w:tcW w:w="1368" w:type="dxa"/>
          </w:tcPr>
          <w:p w14:paraId="3FBD0205" w14:textId="77777777" w:rsidR="0082364D" w:rsidRDefault="00BF2824">
            <w:pPr>
              <w:spacing w:line="360" w:lineRule="auto"/>
              <w:rPr>
                <w:rFonts w:ascii="宋体" w:hAnsi="宋体" w:cs="Arial"/>
                <w:szCs w:val="21"/>
              </w:rPr>
            </w:pPr>
            <w:r>
              <w:rPr>
                <w:rFonts w:ascii="宋体" w:hAnsi="宋体" w:cs="Arial"/>
                <w:szCs w:val="21"/>
              </w:rPr>
              <w:t>联系人</w:t>
            </w:r>
          </w:p>
        </w:tc>
        <w:tc>
          <w:tcPr>
            <w:tcW w:w="6192" w:type="dxa"/>
            <w:gridSpan w:val="3"/>
          </w:tcPr>
          <w:p w14:paraId="51034438" w14:textId="77777777" w:rsidR="0082364D" w:rsidRDefault="00BF2824">
            <w:pPr>
              <w:pStyle w:val="Default"/>
              <w:spacing w:line="360" w:lineRule="auto"/>
              <w:jc w:val="both"/>
              <w:rPr>
                <w:rFonts w:hAnsi="宋体"/>
                <w:sz w:val="21"/>
                <w:szCs w:val="21"/>
              </w:rPr>
            </w:pPr>
            <w:r>
              <w:rPr>
                <w:rFonts w:hAnsi="宋体" w:hint="eastAsia"/>
                <w:sz w:val="21"/>
                <w:szCs w:val="21"/>
              </w:rPr>
              <w:t>陈寒梦</w:t>
            </w:r>
          </w:p>
        </w:tc>
      </w:tr>
    </w:tbl>
    <w:p w14:paraId="5BE30E4D" w14:textId="77777777" w:rsidR="0082364D" w:rsidRDefault="00BF2824">
      <w:pPr>
        <w:spacing w:line="360" w:lineRule="auto"/>
        <w:ind w:firstLine="360"/>
        <w:jc w:val="left"/>
        <w:rPr>
          <w:rFonts w:ascii="宋体" w:hAnsi="宋体"/>
        </w:rPr>
      </w:pPr>
      <w:r>
        <w:rPr>
          <w:rFonts w:ascii="宋体" w:hAnsi="宋体"/>
        </w:rPr>
        <w:t>2、网下现金认购发售代理机构</w:t>
      </w:r>
    </w:p>
    <w:p w14:paraId="30A8941D" w14:textId="77777777" w:rsidR="0082364D" w:rsidRDefault="00BF2824">
      <w:pPr>
        <w:spacing w:line="360" w:lineRule="auto"/>
        <w:ind w:firstLine="360"/>
        <w:jc w:val="left"/>
        <w:rPr>
          <w:rFonts w:ascii="宋体" w:hAnsi="宋体"/>
        </w:rPr>
      </w:pPr>
      <w:r>
        <w:rPr>
          <w:rFonts w:ascii="宋体" w:hAnsi="宋体"/>
        </w:rPr>
        <w:t>详见基金份额发售公告。</w:t>
      </w:r>
    </w:p>
    <w:p w14:paraId="4E46E4D7" w14:textId="77777777" w:rsidR="0082364D" w:rsidRDefault="00BF2824">
      <w:pPr>
        <w:spacing w:line="360" w:lineRule="auto"/>
        <w:ind w:firstLine="360"/>
        <w:jc w:val="left"/>
        <w:rPr>
          <w:rFonts w:ascii="宋体" w:hAnsi="宋体"/>
        </w:rPr>
      </w:pPr>
      <w:r>
        <w:rPr>
          <w:rFonts w:ascii="宋体" w:hAnsi="宋体"/>
        </w:rPr>
        <w:t>3、网上现金认购发售代理机构</w:t>
      </w:r>
    </w:p>
    <w:p w14:paraId="10C5F0D0" w14:textId="77777777" w:rsidR="0082364D" w:rsidRDefault="00BF2824">
      <w:pPr>
        <w:spacing w:line="360" w:lineRule="auto"/>
        <w:ind w:firstLineChars="200" w:firstLine="420"/>
        <w:jc w:val="left"/>
        <w:rPr>
          <w:rFonts w:ascii="宋体" w:hAnsi="宋体"/>
        </w:rPr>
      </w:pPr>
      <w:r>
        <w:rPr>
          <w:rFonts w:ascii="宋体" w:hAnsi="宋体"/>
        </w:rPr>
        <w:t>投资者可直接通过具有基金</w:t>
      </w:r>
      <w:r>
        <w:rPr>
          <w:rFonts w:ascii="宋体" w:hAnsi="宋体" w:hint="eastAsia"/>
        </w:rPr>
        <w:t>销售</w:t>
      </w:r>
      <w:r>
        <w:rPr>
          <w:rFonts w:ascii="宋体" w:hAnsi="宋体"/>
        </w:rPr>
        <w:t>业务资格及</w:t>
      </w:r>
      <w:r>
        <w:rPr>
          <w:rFonts w:ascii="宋体" w:hAnsi="宋体" w:hint="eastAsia"/>
        </w:rPr>
        <w:t>深圳</w:t>
      </w:r>
      <w:r>
        <w:rPr>
          <w:rFonts w:ascii="宋体" w:hAnsi="宋体"/>
        </w:rPr>
        <w:t>证券交易所会员资格的证券公司办理网上现金认购业务。详见基金份额发售公告。</w:t>
      </w:r>
    </w:p>
    <w:p w14:paraId="14B413D6" w14:textId="77777777" w:rsidR="0082364D" w:rsidRDefault="00BF2824">
      <w:pPr>
        <w:spacing w:line="360" w:lineRule="auto"/>
        <w:ind w:firstLineChars="200" w:firstLine="420"/>
        <w:jc w:val="left"/>
        <w:rPr>
          <w:rFonts w:ascii="宋体" w:hAnsi="宋体"/>
        </w:rPr>
      </w:pPr>
      <w:r>
        <w:rPr>
          <w:rFonts w:ascii="宋体" w:hAnsi="宋体"/>
        </w:rPr>
        <w:t>本基金募集期结束前获得基金</w:t>
      </w:r>
      <w:r>
        <w:rPr>
          <w:rFonts w:ascii="宋体" w:hAnsi="宋体" w:hint="eastAsia"/>
        </w:rPr>
        <w:t>销售业务</w:t>
      </w:r>
      <w:r>
        <w:rPr>
          <w:rFonts w:ascii="宋体" w:hAnsi="宋体"/>
        </w:rPr>
        <w:t>资格的</w:t>
      </w:r>
      <w:r>
        <w:rPr>
          <w:rFonts w:ascii="宋体" w:hAnsi="宋体" w:hint="eastAsia"/>
        </w:rPr>
        <w:t>深</w:t>
      </w:r>
      <w:r>
        <w:rPr>
          <w:rFonts w:ascii="宋体" w:hAnsi="宋体"/>
        </w:rPr>
        <w:t>交所会员可通过</w:t>
      </w:r>
      <w:r>
        <w:rPr>
          <w:rFonts w:ascii="宋体" w:hAnsi="宋体" w:hint="eastAsia"/>
        </w:rPr>
        <w:t>深</w:t>
      </w:r>
      <w:r>
        <w:rPr>
          <w:rFonts w:ascii="宋体" w:hAnsi="宋体"/>
        </w:rPr>
        <w:t>交所网上系统办理本基金的网上现金认购业务。</w:t>
      </w:r>
    </w:p>
    <w:p w14:paraId="5B69BC07" w14:textId="77777777" w:rsidR="0082364D" w:rsidRDefault="00BF2824">
      <w:pPr>
        <w:spacing w:line="360" w:lineRule="auto"/>
        <w:ind w:firstLineChars="200" w:firstLine="420"/>
        <w:jc w:val="left"/>
        <w:rPr>
          <w:rFonts w:ascii="宋体" w:hAnsi="宋体"/>
        </w:rPr>
      </w:pPr>
      <w:r>
        <w:rPr>
          <w:rFonts w:ascii="宋体" w:hAnsi="宋体" w:hint="eastAsia"/>
        </w:rPr>
        <w:t>基金管理人可根据有关法律法规要求，选择其他符合要求的机构代理销售本基金或变更上述发售代理机构，并及时在基金管理人网站公示。</w:t>
      </w:r>
    </w:p>
    <w:p w14:paraId="025F36BB" w14:textId="77777777" w:rsidR="0082364D" w:rsidRDefault="00BF2824">
      <w:pPr>
        <w:spacing w:line="360" w:lineRule="auto"/>
        <w:ind w:firstLine="480"/>
        <w:rPr>
          <w:color w:val="000000"/>
        </w:rPr>
      </w:pPr>
      <w:r>
        <w:rPr>
          <w:rFonts w:ascii="宋体" w:hAnsi="宋体"/>
          <w:color w:val="000000"/>
        </w:rPr>
        <w:t>（二）申购赎回代</w:t>
      </w:r>
      <w:r>
        <w:rPr>
          <w:rFonts w:ascii="宋体" w:hAnsi="宋体" w:hint="eastAsia"/>
          <w:color w:val="000000"/>
        </w:rPr>
        <w:t>理</w:t>
      </w:r>
      <w:r>
        <w:rPr>
          <w:rFonts w:ascii="宋体" w:hAnsi="宋体"/>
          <w:color w:val="000000"/>
        </w:rPr>
        <w:t>券商、二级市场交易代办证券公司</w:t>
      </w:r>
    </w:p>
    <w:p w14:paraId="19C363C6" w14:textId="77777777" w:rsidR="0082364D" w:rsidRDefault="00BF2824">
      <w:pPr>
        <w:spacing w:line="360" w:lineRule="auto"/>
        <w:ind w:firstLine="480"/>
        <w:rPr>
          <w:rFonts w:ascii="宋体" w:hAnsi="宋体"/>
        </w:rPr>
      </w:pPr>
      <w:r>
        <w:rPr>
          <w:rFonts w:ascii="宋体" w:hAnsi="宋体"/>
        </w:rPr>
        <w:t>详见届时本基金管理人发布的临时公告</w:t>
      </w:r>
      <w:r>
        <w:rPr>
          <w:rFonts w:ascii="宋体" w:hAnsi="宋体" w:hint="eastAsia"/>
        </w:rPr>
        <w:t>。</w:t>
      </w:r>
    </w:p>
    <w:p w14:paraId="7ECD47F9" w14:textId="65672578" w:rsidR="0082364D" w:rsidRDefault="00BF2824" w:rsidP="00EF3267">
      <w:pPr>
        <w:spacing w:line="360" w:lineRule="auto"/>
        <w:ind w:firstLine="480"/>
        <w:rPr>
          <w:rFonts w:ascii="宋体" w:hAnsi="宋体"/>
        </w:rPr>
      </w:pPr>
      <w:r>
        <w:rPr>
          <w:rFonts w:ascii="宋体" w:hAnsi="宋体"/>
          <w:color w:val="000000"/>
        </w:rPr>
        <w:t>（三）登记结算机构</w:t>
      </w:r>
    </w:p>
    <w:tbl>
      <w:tblPr>
        <w:tblStyle w:val="-0"/>
        <w:tblW w:w="7909" w:type="dxa"/>
        <w:jc w:val="center"/>
        <w:tblLayout w:type="fixed"/>
        <w:tblLook w:val="04A0" w:firstRow="1" w:lastRow="0" w:firstColumn="1" w:lastColumn="0" w:noHBand="0" w:noVBand="1"/>
      </w:tblPr>
      <w:tblGrid>
        <w:gridCol w:w="1866"/>
        <w:gridCol w:w="6043"/>
      </w:tblGrid>
      <w:tr w:rsidR="00B0590C" w14:paraId="7A38F9E3" w14:textId="77777777" w:rsidTr="00EF3267">
        <w:trPr>
          <w:cnfStyle w:val="100000000000" w:firstRow="1" w:lastRow="0" w:firstColumn="0" w:lastColumn="0" w:oddVBand="0" w:evenVBand="0" w:oddHBand="0" w:evenHBand="0" w:firstRowFirstColumn="0" w:firstRowLastColumn="0" w:lastRowFirstColumn="0" w:lastRowLastColumn="0"/>
          <w:jc w:val="center"/>
        </w:trPr>
        <w:tc>
          <w:tcPr>
            <w:tcW w:w="1866" w:type="dxa"/>
            <w:shd w:val="clear" w:color="auto" w:fill="auto"/>
            <w:vAlign w:val="center"/>
          </w:tcPr>
          <w:p w14:paraId="5134C540"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名称</w:t>
            </w:r>
          </w:p>
        </w:tc>
        <w:tc>
          <w:tcPr>
            <w:tcW w:w="6043" w:type="dxa"/>
            <w:shd w:val="clear" w:color="auto" w:fill="auto"/>
            <w:vAlign w:val="center"/>
          </w:tcPr>
          <w:p w14:paraId="7080047C"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中国证券登记结算有限责任公司</w:t>
            </w:r>
          </w:p>
        </w:tc>
      </w:tr>
      <w:tr w:rsidR="00B0590C" w14:paraId="20B7E403" w14:textId="77777777" w:rsidTr="00EF3267">
        <w:trPr>
          <w:jc w:val="center"/>
        </w:trPr>
        <w:tc>
          <w:tcPr>
            <w:tcW w:w="1866" w:type="dxa"/>
          </w:tcPr>
          <w:p w14:paraId="76D76895"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住所、办公地址</w:t>
            </w:r>
          </w:p>
        </w:tc>
        <w:tc>
          <w:tcPr>
            <w:tcW w:w="6043" w:type="dxa"/>
          </w:tcPr>
          <w:p w14:paraId="40D4045B"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北京市西城区太平桥大街17号</w:t>
            </w:r>
          </w:p>
        </w:tc>
      </w:tr>
      <w:tr w:rsidR="00B0590C" w14:paraId="4C44BD37" w14:textId="77777777" w:rsidTr="00EF3267">
        <w:trPr>
          <w:jc w:val="center"/>
        </w:trPr>
        <w:tc>
          <w:tcPr>
            <w:tcW w:w="1866" w:type="dxa"/>
          </w:tcPr>
          <w:p w14:paraId="49B30F78"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法定代表人</w:t>
            </w:r>
          </w:p>
        </w:tc>
        <w:tc>
          <w:tcPr>
            <w:tcW w:w="6043" w:type="dxa"/>
          </w:tcPr>
          <w:p w14:paraId="75655A43"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于文强</w:t>
            </w:r>
          </w:p>
        </w:tc>
      </w:tr>
      <w:tr w:rsidR="00B0590C" w14:paraId="0F115425" w14:textId="77777777" w:rsidTr="00EF3267">
        <w:trPr>
          <w:jc w:val="center"/>
        </w:trPr>
        <w:tc>
          <w:tcPr>
            <w:tcW w:w="1866" w:type="dxa"/>
          </w:tcPr>
          <w:p w14:paraId="041BD102"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lastRenderedPageBreak/>
              <w:t>联系人</w:t>
            </w:r>
          </w:p>
        </w:tc>
        <w:tc>
          <w:tcPr>
            <w:tcW w:w="6043" w:type="dxa"/>
          </w:tcPr>
          <w:p w14:paraId="3A2DEE07"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赵亦清</w:t>
            </w:r>
          </w:p>
        </w:tc>
      </w:tr>
      <w:tr w:rsidR="00B0590C" w14:paraId="03AC2337" w14:textId="77777777" w:rsidTr="00EF3267">
        <w:trPr>
          <w:jc w:val="center"/>
        </w:trPr>
        <w:tc>
          <w:tcPr>
            <w:tcW w:w="1866" w:type="dxa"/>
          </w:tcPr>
          <w:p w14:paraId="26D5BB80"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电话</w:t>
            </w:r>
          </w:p>
        </w:tc>
        <w:tc>
          <w:tcPr>
            <w:tcW w:w="6043" w:type="dxa"/>
          </w:tcPr>
          <w:p w14:paraId="7086EFD8"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（010）</w:t>
            </w:r>
            <w:r w:rsidRPr="00EF3267">
              <w:rPr>
                <w:rFonts w:ascii="宋体" w:hAnsi="宋体" w:cs="Arial"/>
                <w:szCs w:val="21"/>
              </w:rPr>
              <w:t>50938782</w:t>
            </w:r>
          </w:p>
        </w:tc>
      </w:tr>
      <w:tr w:rsidR="00B0590C" w14:paraId="5020F0C2" w14:textId="77777777" w:rsidTr="00EF3267">
        <w:trPr>
          <w:jc w:val="center"/>
        </w:trPr>
        <w:tc>
          <w:tcPr>
            <w:tcW w:w="1866" w:type="dxa"/>
          </w:tcPr>
          <w:p w14:paraId="7DCF9E43"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传真</w:t>
            </w:r>
          </w:p>
        </w:tc>
        <w:tc>
          <w:tcPr>
            <w:tcW w:w="6043" w:type="dxa"/>
          </w:tcPr>
          <w:p w14:paraId="20F773C4" w14:textId="77777777" w:rsidR="00B0590C" w:rsidRPr="00EF3267" w:rsidRDefault="00B0590C" w:rsidP="00EF3267">
            <w:pPr>
              <w:spacing w:line="360" w:lineRule="auto"/>
              <w:rPr>
                <w:rFonts w:ascii="宋体" w:hAnsi="宋体" w:cs="Arial"/>
                <w:szCs w:val="21"/>
              </w:rPr>
            </w:pPr>
            <w:r w:rsidRPr="00EF3267">
              <w:rPr>
                <w:rFonts w:ascii="宋体" w:hAnsi="宋体" w:cs="Arial" w:hint="eastAsia"/>
                <w:szCs w:val="21"/>
              </w:rPr>
              <w:t>（010）50938991</w:t>
            </w:r>
          </w:p>
        </w:tc>
      </w:tr>
    </w:tbl>
    <w:p w14:paraId="244F246E" w14:textId="77777777" w:rsidR="0082364D" w:rsidRDefault="00BF2824">
      <w:pPr>
        <w:spacing w:line="360" w:lineRule="auto"/>
        <w:ind w:firstLine="480"/>
        <w:rPr>
          <w:color w:val="000000"/>
        </w:rPr>
      </w:pPr>
      <w:r>
        <w:rPr>
          <w:rFonts w:ascii="宋体" w:hAnsi="宋体"/>
          <w:color w:val="000000"/>
        </w:rPr>
        <w:t>（四）出具法律意见书的律师事务所</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2265"/>
        <w:gridCol w:w="1096"/>
        <w:gridCol w:w="2818"/>
      </w:tblGrid>
      <w:tr w:rsidR="0082364D" w14:paraId="138075A1" w14:textId="77777777" w:rsidTr="00EF3267">
        <w:trPr>
          <w:jc w:val="center"/>
        </w:trPr>
        <w:tc>
          <w:tcPr>
            <w:tcW w:w="1754" w:type="dxa"/>
          </w:tcPr>
          <w:p w14:paraId="0B3544F0" w14:textId="77777777" w:rsidR="0082364D" w:rsidRDefault="00BF2824" w:rsidP="00EF3267">
            <w:pPr>
              <w:spacing w:line="360" w:lineRule="auto"/>
              <w:rPr>
                <w:rFonts w:ascii="宋体" w:hAnsi="宋体" w:cs="Arial"/>
                <w:szCs w:val="21"/>
              </w:rPr>
            </w:pPr>
            <w:r>
              <w:rPr>
                <w:rFonts w:ascii="宋体" w:hAnsi="宋体" w:cs="Arial"/>
                <w:szCs w:val="21"/>
              </w:rPr>
              <w:t>名称</w:t>
            </w:r>
          </w:p>
        </w:tc>
        <w:tc>
          <w:tcPr>
            <w:tcW w:w="6179" w:type="dxa"/>
            <w:gridSpan w:val="3"/>
            <w:shd w:val="clear" w:color="auto" w:fill="auto"/>
          </w:tcPr>
          <w:p w14:paraId="15A26EC7" w14:textId="77777777" w:rsidR="0082364D" w:rsidRDefault="00BF2824" w:rsidP="00EF3267">
            <w:pPr>
              <w:spacing w:line="360" w:lineRule="auto"/>
              <w:rPr>
                <w:rFonts w:ascii="宋体" w:hAnsi="宋体" w:cs="Arial"/>
                <w:szCs w:val="21"/>
              </w:rPr>
            </w:pPr>
            <w:r>
              <w:rPr>
                <w:rFonts w:ascii="宋体" w:hAnsi="宋体" w:hint="eastAsia"/>
                <w:szCs w:val="21"/>
              </w:rPr>
              <w:t>上海源泰律师事务所</w:t>
            </w:r>
          </w:p>
        </w:tc>
      </w:tr>
      <w:tr w:rsidR="0082364D" w14:paraId="494EDDD2" w14:textId="77777777" w:rsidTr="00EF3267">
        <w:trPr>
          <w:jc w:val="center"/>
        </w:trPr>
        <w:tc>
          <w:tcPr>
            <w:tcW w:w="1754" w:type="dxa"/>
          </w:tcPr>
          <w:p w14:paraId="422D50D8" w14:textId="77777777" w:rsidR="0082364D" w:rsidRDefault="00BF2824" w:rsidP="00EF3267">
            <w:pPr>
              <w:spacing w:line="360" w:lineRule="auto"/>
              <w:rPr>
                <w:rFonts w:ascii="宋体" w:hAnsi="宋体" w:cs="Arial"/>
                <w:szCs w:val="21"/>
              </w:rPr>
            </w:pPr>
            <w:r>
              <w:rPr>
                <w:rFonts w:ascii="宋体" w:hAnsi="宋体" w:cs="Arial"/>
                <w:szCs w:val="21"/>
              </w:rPr>
              <w:t>住所、办公地址</w:t>
            </w:r>
          </w:p>
        </w:tc>
        <w:tc>
          <w:tcPr>
            <w:tcW w:w="6179" w:type="dxa"/>
            <w:gridSpan w:val="3"/>
          </w:tcPr>
          <w:p w14:paraId="5F834083" w14:textId="77777777" w:rsidR="0082364D" w:rsidRDefault="00BF2824" w:rsidP="00EF3267">
            <w:pPr>
              <w:spacing w:line="360" w:lineRule="auto"/>
              <w:rPr>
                <w:rFonts w:ascii="宋体" w:hAnsi="宋体" w:cs="Arial"/>
                <w:szCs w:val="21"/>
              </w:rPr>
            </w:pPr>
            <w:r>
              <w:rPr>
                <w:rFonts w:ascii="宋体" w:hAnsi="宋体" w:hint="eastAsia"/>
                <w:szCs w:val="21"/>
              </w:rPr>
              <w:t>上海市浦东新区浦东南路256号华夏银行大厦14楼</w:t>
            </w:r>
          </w:p>
        </w:tc>
      </w:tr>
      <w:tr w:rsidR="0082364D" w14:paraId="2F0237E6" w14:textId="77777777" w:rsidTr="00EF3267">
        <w:trPr>
          <w:jc w:val="center"/>
        </w:trPr>
        <w:tc>
          <w:tcPr>
            <w:tcW w:w="1754" w:type="dxa"/>
          </w:tcPr>
          <w:p w14:paraId="71A0A145" w14:textId="77777777" w:rsidR="0082364D" w:rsidRDefault="00BF2824" w:rsidP="00EF3267">
            <w:pPr>
              <w:spacing w:line="360" w:lineRule="auto"/>
              <w:rPr>
                <w:rFonts w:ascii="宋体" w:hAnsi="宋体" w:cs="Arial"/>
                <w:szCs w:val="21"/>
              </w:rPr>
            </w:pPr>
            <w:r>
              <w:rPr>
                <w:rFonts w:ascii="宋体" w:hAnsi="宋体" w:cs="Arial"/>
                <w:szCs w:val="21"/>
              </w:rPr>
              <w:t>负责人</w:t>
            </w:r>
          </w:p>
        </w:tc>
        <w:tc>
          <w:tcPr>
            <w:tcW w:w="2265" w:type="dxa"/>
          </w:tcPr>
          <w:p w14:paraId="3A57C80E" w14:textId="77777777" w:rsidR="0082364D" w:rsidRDefault="00BF2824" w:rsidP="00EF3267">
            <w:pPr>
              <w:spacing w:line="360" w:lineRule="auto"/>
              <w:rPr>
                <w:rFonts w:ascii="宋体" w:hAnsi="宋体" w:cs="Arial"/>
                <w:szCs w:val="21"/>
              </w:rPr>
            </w:pPr>
            <w:r>
              <w:rPr>
                <w:rFonts w:ascii="宋体" w:hAnsi="宋体" w:hint="eastAsia"/>
                <w:szCs w:val="21"/>
              </w:rPr>
              <w:t>廖海</w:t>
            </w:r>
          </w:p>
        </w:tc>
        <w:tc>
          <w:tcPr>
            <w:tcW w:w="1096" w:type="dxa"/>
          </w:tcPr>
          <w:p w14:paraId="54A2A1D1" w14:textId="77777777" w:rsidR="0082364D" w:rsidRDefault="00BF2824" w:rsidP="00EF3267">
            <w:pPr>
              <w:spacing w:line="360" w:lineRule="auto"/>
              <w:rPr>
                <w:rFonts w:ascii="宋体" w:hAnsi="宋体" w:cs="Arial"/>
                <w:szCs w:val="21"/>
              </w:rPr>
            </w:pPr>
            <w:r>
              <w:rPr>
                <w:rFonts w:hint="eastAsia"/>
                <w:szCs w:val="21"/>
              </w:rPr>
              <w:t>联系人</w:t>
            </w:r>
          </w:p>
        </w:tc>
        <w:tc>
          <w:tcPr>
            <w:tcW w:w="2818" w:type="dxa"/>
          </w:tcPr>
          <w:p w14:paraId="7E26BBDE" w14:textId="77777777" w:rsidR="0082364D" w:rsidRDefault="00BF2824" w:rsidP="00EF3267">
            <w:pPr>
              <w:spacing w:line="360" w:lineRule="auto"/>
              <w:rPr>
                <w:rFonts w:ascii="宋体" w:hAnsi="宋体" w:cs="Arial"/>
                <w:szCs w:val="21"/>
              </w:rPr>
            </w:pPr>
            <w:r>
              <w:rPr>
                <w:rFonts w:hint="eastAsia"/>
                <w:color w:val="000000"/>
                <w:szCs w:val="21"/>
              </w:rPr>
              <w:t>刘佳</w:t>
            </w:r>
          </w:p>
        </w:tc>
      </w:tr>
      <w:tr w:rsidR="0082364D" w14:paraId="684B7A70" w14:textId="77777777" w:rsidTr="00EF3267">
        <w:trPr>
          <w:jc w:val="center"/>
        </w:trPr>
        <w:tc>
          <w:tcPr>
            <w:tcW w:w="1754" w:type="dxa"/>
          </w:tcPr>
          <w:p w14:paraId="03273CF6" w14:textId="77777777" w:rsidR="0082364D" w:rsidRDefault="00BF2824" w:rsidP="00EF3267">
            <w:pPr>
              <w:spacing w:line="360" w:lineRule="auto"/>
              <w:rPr>
                <w:rFonts w:ascii="宋体" w:hAnsi="宋体"/>
                <w:szCs w:val="21"/>
              </w:rPr>
            </w:pPr>
            <w:r>
              <w:rPr>
                <w:rFonts w:ascii="宋体" w:hAnsi="宋体" w:hint="eastAsia"/>
                <w:szCs w:val="21"/>
              </w:rPr>
              <w:t>电话</w:t>
            </w:r>
          </w:p>
        </w:tc>
        <w:tc>
          <w:tcPr>
            <w:tcW w:w="2265" w:type="dxa"/>
          </w:tcPr>
          <w:p w14:paraId="135A6B02" w14:textId="77777777" w:rsidR="0082364D" w:rsidRDefault="00BF2824" w:rsidP="00EF3267">
            <w:pPr>
              <w:spacing w:line="360" w:lineRule="auto"/>
              <w:rPr>
                <w:rFonts w:ascii="宋体" w:hAnsi="宋体"/>
                <w:szCs w:val="21"/>
              </w:rPr>
            </w:pPr>
            <w:r>
              <w:rPr>
                <w:rFonts w:hint="eastAsia"/>
                <w:szCs w:val="21"/>
              </w:rPr>
              <w:t>（</w:t>
            </w:r>
            <w:r>
              <w:rPr>
                <w:rFonts w:hint="eastAsia"/>
                <w:szCs w:val="21"/>
              </w:rPr>
              <w:t>021</w:t>
            </w:r>
            <w:r>
              <w:rPr>
                <w:rFonts w:hint="eastAsia"/>
                <w:szCs w:val="21"/>
              </w:rPr>
              <w:t>）</w:t>
            </w:r>
            <w:r>
              <w:rPr>
                <w:rFonts w:hint="eastAsia"/>
                <w:szCs w:val="21"/>
              </w:rPr>
              <w:t>51150298</w:t>
            </w:r>
          </w:p>
        </w:tc>
        <w:tc>
          <w:tcPr>
            <w:tcW w:w="1096" w:type="dxa"/>
          </w:tcPr>
          <w:p w14:paraId="0EC7E3B4" w14:textId="77777777" w:rsidR="0082364D" w:rsidRDefault="00BF2824" w:rsidP="00EF3267">
            <w:pPr>
              <w:spacing w:line="360" w:lineRule="auto"/>
              <w:rPr>
                <w:rFonts w:ascii="宋体" w:hAnsi="宋体"/>
                <w:szCs w:val="21"/>
              </w:rPr>
            </w:pPr>
            <w:r>
              <w:rPr>
                <w:rFonts w:hint="eastAsia"/>
                <w:szCs w:val="21"/>
              </w:rPr>
              <w:t>传真</w:t>
            </w:r>
          </w:p>
        </w:tc>
        <w:tc>
          <w:tcPr>
            <w:tcW w:w="2818" w:type="dxa"/>
          </w:tcPr>
          <w:p w14:paraId="25772ECF" w14:textId="77777777" w:rsidR="0082364D" w:rsidRDefault="00BF2824" w:rsidP="00EF3267">
            <w:pPr>
              <w:spacing w:line="360" w:lineRule="auto"/>
              <w:rPr>
                <w:rFonts w:ascii="宋体" w:hAnsi="宋体"/>
                <w:szCs w:val="21"/>
              </w:rPr>
            </w:pPr>
            <w:r>
              <w:rPr>
                <w:rFonts w:hint="eastAsia"/>
                <w:szCs w:val="21"/>
              </w:rPr>
              <w:t>（</w:t>
            </w:r>
            <w:r>
              <w:rPr>
                <w:rFonts w:hint="eastAsia"/>
                <w:szCs w:val="21"/>
              </w:rPr>
              <w:t>021</w:t>
            </w:r>
            <w:r>
              <w:rPr>
                <w:rFonts w:hint="eastAsia"/>
                <w:szCs w:val="21"/>
              </w:rPr>
              <w:t>）</w:t>
            </w:r>
            <w:r>
              <w:rPr>
                <w:rFonts w:hint="eastAsia"/>
                <w:szCs w:val="21"/>
              </w:rPr>
              <w:t>51150398</w:t>
            </w:r>
          </w:p>
        </w:tc>
      </w:tr>
      <w:tr w:rsidR="0082364D" w14:paraId="2881BCD1" w14:textId="77777777" w:rsidTr="00EF3267">
        <w:trPr>
          <w:jc w:val="center"/>
        </w:trPr>
        <w:tc>
          <w:tcPr>
            <w:tcW w:w="1754" w:type="dxa"/>
          </w:tcPr>
          <w:p w14:paraId="32A50037" w14:textId="77777777" w:rsidR="0082364D" w:rsidRDefault="00BF2824" w:rsidP="00EF3267">
            <w:pPr>
              <w:spacing w:line="360" w:lineRule="auto"/>
              <w:rPr>
                <w:rFonts w:ascii="宋体" w:hAnsi="宋体" w:cs="Arial"/>
                <w:spacing w:val="6"/>
                <w:szCs w:val="21"/>
              </w:rPr>
            </w:pPr>
            <w:r>
              <w:rPr>
                <w:rFonts w:ascii="宋体" w:hAnsi="宋体" w:cs="Arial" w:hint="eastAsia"/>
                <w:spacing w:val="6"/>
                <w:szCs w:val="21"/>
              </w:rPr>
              <w:t>经办律师</w:t>
            </w:r>
          </w:p>
        </w:tc>
        <w:tc>
          <w:tcPr>
            <w:tcW w:w="6179" w:type="dxa"/>
            <w:gridSpan w:val="3"/>
          </w:tcPr>
          <w:p w14:paraId="7F061C89" w14:textId="77777777" w:rsidR="0082364D" w:rsidRDefault="00BF2824" w:rsidP="00EF3267">
            <w:pPr>
              <w:spacing w:line="360" w:lineRule="auto"/>
              <w:rPr>
                <w:rFonts w:ascii="宋体" w:hAnsi="宋体"/>
                <w:szCs w:val="21"/>
              </w:rPr>
            </w:pPr>
            <w:r>
              <w:rPr>
                <w:rFonts w:ascii="宋体" w:hAnsi="宋体" w:hint="eastAsia"/>
                <w:color w:val="000000"/>
                <w:szCs w:val="21"/>
              </w:rPr>
              <w:t>刘佳、李筱筱</w:t>
            </w:r>
          </w:p>
        </w:tc>
      </w:tr>
    </w:tbl>
    <w:p w14:paraId="143559F2" w14:textId="77777777" w:rsidR="0082364D" w:rsidRDefault="00BF2824">
      <w:pPr>
        <w:spacing w:line="360" w:lineRule="auto"/>
        <w:ind w:firstLine="480"/>
        <w:rPr>
          <w:rFonts w:ascii="宋体" w:hAnsi="宋体"/>
          <w:color w:val="000000"/>
        </w:rPr>
      </w:pPr>
      <w:r>
        <w:rPr>
          <w:rFonts w:ascii="宋体" w:hAnsi="宋体"/>
          <w:color w:val="000000"/>
        </w:rPr>
        <w:t>（五）审计基金财产的会计师事务所</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7"/>
        <w:gridCol w:w="2292"/>
        <w:gridCol w:w="1269"/>
        <w:gridCol w:w="2744"/>
      </w:tblGrid>
      <w:tr w:rsidR="0082364D" w14:paraId="689DDEDE" w14:textId="77777777">
        <w:trPr>
          <w:trHeight w:val="357"/>
          <w:jc w:val="center"/>
        </w:trPr>
        <w:tc>
          <w:tcPr>
            <w:tcW w:w="1843" w:type="dxa"/>
            <w:tcMar>
              <w:top w:w="0" w:type="dxa"/>
              <w:left w:w="108" w:type="dxa"/>
              <w:bottom w:w="0" w:type="dxa"/>
              <w:right w:w="108" w:type="dxa"/>
            </w:tcMar>
            <w:vAlign w:val="center"/>
          </w:tcPr>
          <w:p w14:paraId="3BCFC258" w14:textId="77777777" w:rsidR="0082364D" w:rsidRDefault="00BF2824">
            <w:pPr>
              <w:spacing w:line="360" w:lineRule="auto"/>
            </w:pPr>
            <w:r>
              <w:rPr>
                <w:rFonts w:hint="eastAsia"/>
              </w:rPr>
              <w:t>名称</w:t>
            </w:r>
          </w:p>
        </w:tc>
        <w:tc>
          <w:tcPr>
            <w:tcW w:w="6095" w:type="dxa"/>
            <w:gridSpan w:val="3"/>
            <w:tcMar>
              <w:top w:w="0" w:type="dxa"/>
              <w:left w:w="108" w:type="dxa"/>
              <w:bottom w:w="0" w:type="dxa"/>
              <w:right w:w="108" w:type="dxa"/>
            </w:tcMar>
            <w:vAlign w:val="center"/>
          </w:tcPr>
          <w:p w14:paraId="2C5F8C80" w14:textId="77777777" w:rsidR="0082364D" w:rsidRDefault="00BF2824">
            <w:pPr>
              <w:spacing w:line="360" w:lineRule="auto"/>
            </w:pPr>
            <w:r>
              <w:rPr>
                <w:rFonts w:hint="eastAsia"/>
              </w:rPr>
              <w:t>安永华明会计师事务所（特殊普通合伙）</w:t>
            </w:r>
          </w:p>
        </w:tc>
      </w:tr>
      <w:tr w:rsidR="0082364D" w14:paraId="1298CA80" w14:textId="77777777">
        <w:trPr>
          <w:trHeight w:val="714"/>
          <w:jc w:val="center"/>
        </w:trPr>
        <w:tc>
          <w:tcPr>
            <w:tcW w:w="1843" w:type="dxa"/>
            <w:tcMar>
              <w:top w:w="0" w:type="dxa"/>
              <w:left w:w="108" w:type="dxa"/>
              <w:bottom w:w="0" w:type="dxa"/>
              <w:right w:w="108" w:type="dxa"/>
            </w:tcMar>
            <w:vAlign w:val="center"/>
          </w:tcPr>
          <w:p w14:paraId="0B7BD8B9" w14:textId="77777777" w:rsidR="0082364D" w:rsidRDefault="00BF2824">
            <w:pPr>
              <w:spacing w:line="360" w:lineRule="auto"/>
            </w:pPr>
            <w:r>
              <w:rPr>
                <w:rFonts w:hint="eastAsia"/>
              </w:rPr>
              <w:t>住所及办公地址</w:t>
            </w:r>
          </w:p>
        </w:tc>
        <w:tc>
          <w:tcPr>
            <w:tcW w:w="6095" w:type="dxa"/>
            <w:gridSpan w:val="3"/>
            <w:tcMar>
              <w:top w:w="0" w:type="dxa"/>
              <w:left w:w="108" w:type="dxa"/>
              <w:bottom w:w="0" w:type="dxa"/>
              <w:right w:w="108" w:type="dxa"/>
            </w:tcMar>
            <w:vAlign w:val="center"/>
          </w:tcPr>
          <w:p w14:paraId="2935DE2A" w14:textId="77777777" w:rsidR="0082364D" w:rsidRDefault="00BF2824">
            <w:pPr>
              <w:spacing w:line="360" w:lineRule="auto"/>
            </w:pPr>
            <w:r>
              <w:rPr>
                <w:rFonts w:hint="eastAsia"/>
              </w:rPr>
              <w:t>北京市东城区东长安街</w:t>
            </w:r>
            <w:r>
              <w:t>1</w:t>
            </w:r>
            <w:r>
              <w:rPr>
                <w:rFonts w:hint="eastAsia"/>
              </w:rPr>
              <w:t>号东方广场安永大楼</w:t>
            </w:r>
            <w:r>
              <w:t>17</w:t>
            </w:r>
            <w:r>
              <w:rPr>
                <w:rFonts w:hint="eastAsia"/>
              </w:rPr>
              <w:t>层</w:t>
            </w:r>
            <w:r>
              <w:t>01-12</w:t>
            </w:r>
            <w:r>
              <w:rPr>
                <w:rFonts w:hint="eastAsia"/>
              </w:rPr>
              <w:t>室</w:t>
            </w:r>
          </w:p>
        </w:tc>
      </w:tr>
      <w:tr w:rsidR="0082364D" w14:paraId="6AC23FE5" w14:textId="77777777">
        <w:trPr>
          <w:trHeight w:val="357"/>
          <w:jc w:val="center"/>
        </w:trPr>
        <w:tc>
          <w:tcPr>
            <w:tcW w:w="1843" w:type="dxa"/>
            <w:tcMar>
              <w:top w:w="0" w:type="dxa"/>
              <w:left w:w="108" w:type="dxa"/>
              <w:bottom w:w="0" w:type="dxa"/>
              <w:right w:w="108" w:type="dxa"/>
            </w:tcMar>
            <w:vAlign w:val="center"/>
          </w:tcPr>
          <w:p w14:paraId="0A9D50CB" w14:textId="77777777" w:rsidR="0082364D" w:rsidRDefault="00BF2824">
            <w:pPr>
              <w:spacing w:line="360" w:lineRule="auto"/>
            </w:pPr>
            <w:r>
              <w:rPr>
                <w:rFonts w:hint="eastAsia"/>
              </w:rPr>
              <w:t>法定代表人</w:t>
            </w:r>
          </w:p>
        </w:tc>
        <w:tc>
          <w:tcPr>
            <w:tcW w:w="2216" w:type="dxa"/>
            <w:tcMar>
              <w:top w:w="0" w:type="dxa"/>
              <w:left w:w="108" w:type="dxa"/>
              <w:bottom w:w="0" w:type="dxa"/>
              <w:right w:w="108" w:type="dxa"/>
            </w:tcMar>
            <w:vAlign w:val="center"/>
          </w:tcPr>
          <w:p w14:paraId="50312960" w14:textId="77777777" w:rsidR="0082364D" w:rsidRDefault="00BF2824">
            <w:pPr>
              <w:spacing w:line="360" w:lineRule="auto"/>
            </w:pPr>
            <w:r>
              <w:rPr>
                <w:rFonts w:hint="eastAsia"/>
              </w:rPr>
              <w:t>毛鞍宁</w:t>
            </w:r>
          </w:p>
        </w:tc>
        <w:tc>
          <w:tcPr>
            <w:tcW w:w="1227" w:type="dxa"/>
            <w:tcMar>
              <w:top w:w="0" w:type="dxa"/>
              <w:left w:w="108" w:type="dxa"/>
              <w:bottom w:w="0" w:type="dxa"/>
              <w:right w:w="108" w:type="dxa"/>
            </w:tcMar>
            <w:vAlign w:val="center"/>
          </w:tcPr>
          <w:p w14:paraId="090D3978" w14:textId="77777777" w:rsidR="0082364D" w:rsidRDefault="00BF2824">
            <w:pPr>
              <w:spacing w:line="360" w:lineRule="auto"/>
            </w:pPr>
            <w:r>
              <w:rPr>
                <w:rFonts w:hint="eastAsia"/>
              </w:rPr>
              <w:t>联系人</w:t>
            </w:r>
          </w:p>
        </w:tc>
        <w:tc>
          <w:tcPr>
            <w:tcW w:w="2652" w:type="dxa"/>
            <w:tcMar>
              <w:top w:w="0" w:type="dxa"/>
              <w:left w:w="108" w:type="dxa"/>
              <w:bottom w:w="0" w:type="dxa"/>
              <w:right w:w="108" w:type="dxa"/>
            </w:tcMar>
            <w:vAlign w:val="center"/>
          </w:tcPr>
          <w:p w14:paraId="5B627228" w14:textId="77777777" w:rsidR="0082364D" w:rsidRDefault="00BF2824">
            <w:pPr>
              <w:spacing w:line="360" w:lineRule="auto"/>
            </w:pPr>
            <w:r>
              <w:t>贺耀</w:t>
            </w:r>
          </w:p>
        </w:tc>
      </w:tr>
      <w:tr w:rsidR="0082364D" w14:paraId="42548B31" w14:textId="77777777">
        <w:trPr>
          <w:trHeight w:val="357"/>
          <w:jc w:val="center"/>
        </w:trPr>
        <w:tc>
          <w:tcPr>
            <w:tcW w:w="1843" w:type="dxa"/>
            <w:tcMar>
              <w:top w:w="0" w:type="dxa"/>
              <w:left w:w="108" w:type="dxa"/>
              <w:bottom w:w="0" w:type="dxa"/>
              <w:right w:w="108" w:type="dxa"/>
            </w:tcMar>
            <w:vAlign w:val="center"/>
          </w:tcPr>
          <w:p w14:paraId="391A2C74" w14:textId="77777777" w:rsidR="0082364D" w:rsidRDefault="00BF2824">
            <w:pPr>
              <w:spacing w:line="360" w:lineRule="auto"/>
            </w:pPr>
            <w:r>
              <w:rPr>
                <w:rFonts w:hint="eastAsia"/>
              </w:rPr>
              <w:t>电话</w:t>
            </w:r>
          </w:p>
        </w:tc>
        <w:tc>
          <w:tcPr>
            <w:tcW w:w="2216" w:type="dxa"/>
            <w:tcMar>
              <w:top w:w="0" w:type="dxa"/>
              <w:left w:w="108" w:type="dxa"/>
              <w:bottom w:w="0" w:type="dxa"/>
              <w:right w:w="108" w:type="dxa"/>
            </w:tcMar>
            <w:vAlign w:val="center"/>
          </w:tcPr>
          <w:p w14:paraId="3C282613" w14:textId="77777777" w:rsidR="0082364D" w:rsidRDefault="00BF2824">
            <w:pPr>
              <w:spacing w:line="360" w:lineRule="auto"/>
            </w:pPr>
            <w:r>
              <w:rPr>
                <w:rFonts w:hint="eastAsia"/>
              </w:rPr>
              <w:t>（</w:t>
            </w:r>
            <w:r>
              <w:rPr>
                <w:rFonts w:hint="eastAsia"/>
              </w:rPr>
              <w:t>010</w:t>
            </w:r>
            <w:r>
              <w:rPr>
                <w:rFonts w:hint="eastAsia"/>
              </w:rPr>
              <w:t>）</w:t>
            </w:r>
            <w:r>
              <w:rPr>
                <w:rFonts w:hint="eastAsia"/>
              </w:rPr>
              <w:t>58153000</w:t>
            </w:r>
          </w:p>
        </w:tc>
        <w:tc>
          <w:tcPr>
            <w:tcW w:w="1227" w:type="dxa"/>
            <w:tcMar>
              <w:top w:w="0" w:type="dxa"/>
              <w:left w:w="108" w:type="dxa"/>
              <w:bottom w:w="0" w:type="dxa"/>
              <w:right w:w="108" w:type="dxa"/>
            </w:tcMar>
            <w:vAlign w:val="center"/>
          </w:tcPr>
          <w:p w14:paraId="6B4968C3" w14:textId="77777777" w:rsidR="0082364D" w:rsidRDefault="00BF2824">
            <w:pPr>
              <w:spacing w:line="360" w:lineRule="auto"/>
            </w:pPr>
            <w:r>
              <w:rPr>
                <w:rFonts w:hint="eastAsia"/>
              </w:rPr>
              <w:t>传真</w:t>
            </w:r>
          </w:p>
        </w:tc>
        <w:tc>
          <w:tcPr>
            <w:tcW w:w="2652" w:type="dxa"/>
            <w:tcMar>
              <w:top w:w="0" w:type="dxa"/>
              <w:left w:w="108" w:type="dxa"/>
              <w:bottom w:w="0" w:type="dxa"/>
              <w:right w:w="108" w:type="dxa"/>
            </w:tcMar>
            <w:vAlign w:val="center"/>
          </w:tcPr>
          <w:p w14:paraId="7A44F414" w14:textId="77777777" w:rsidR="0082364D" w:rsidRDefault="00BF2824">
            <w:pPr>
              <w:spacing w:line="360" w:lineRule="auto"/>
            </w:pPr>
            <w:r>
              <w:rPr>
                <w:rFonts w:hint="eastAsia"/>
              </w:rPr>
              <w:t>（</w:t>
            </w:r>
            <w:r>
              <w:t>010</w:t>
            </w:r>
            <w:r>
              <w:rPr>
                <w:rFonts w:hint="eastAsia"/>
              </w:rPr>
              <w:t>）</w:t>
            </w:r>
            <w:r>
              <w:t>85188298</w:t>
            </w:r>
          </w:p>
        </w:tc>
      </w:tr>
      <w:tr w:rsidR="0082364D" w14:paraId="5F231523" w14:textId="77777777">
        <w:trPr>
          <w:trHeight w:val="357"/>
          <w:jc w:val="center"/>
        </w:trPr>
        <w:tc>
          <w:tcPr>
            <w:tcW w:w="1843" w:type="dxa"/>
            <w:tcMar>
              <w:top w:w="0" w:type="dxa"/>
              <w:left w:w="108" w:type="dxa"/>
              <w:bottom w:w="0" w:type="dxa"/>
              <w:right w:w="108" w:type="dxa"/>
            </w:tcMar>
            <w:vAlign w:val="center"/>
          </w:tcPr>
          <w:p w14:paraId="406CAE3E" w14:textId="77777777" w:rsidR="0082364D" w:rsidRDefault="00BF2824">
            <w:pPr>
              <w:spacing w:line="360" w:lineRule="auto"/>
            </w:pPr>
            <w:r>
              <w:rPr>
                <w:rFonts w:hint="eastAsia"/>
              </w:rPr>
              <w:t>经办注册会计师</w:t>
            </w:r>
          </w:p>
        </w:tc>
        <w:tc>
          <w:tcPr>
            <w:tcW w:w="6095" w:type="dxa"/>
            <w:gridSpan w:val="3"/>
            <w:tcMar>
              <w:top w:w="0" w:type="dxa"/>
              <w:left w:w="108" w:type="dxa"/>
              <w:bottom w:w="0" w:type="dxa"/>
              <w:right w:w="108" w:type="dxa"/>
            </w:tcMar>
            <w:vAlign w:val="center"/>
          </w:tcPr>
          <w:p w14:paraId="24655964" w14:textId="77777777" w:rsidR="0082364D" w:rsidRDefault="00BF2824">
            <w:pPr>
              <w:spacing w:line="360" w:lineRule="auto"/>
            </w:pPr>
            <w:r>
              <w:rPr>
                <w:rFonts w:hint="eastAsia"/>
              </w:rPr>
              <w:t>贺耀</w:t>
            </w:r>
            <w:r>
              <w:rPr>
                <w:rFonts w:hint="eastAsia"/>
              </w:rPr>
              <w:t>/</w:t>
            </w:r>
            <w:r>
              <w:rPr>
                <w:rFonts w:hint="eastAsia"/>
              </w:rPr>
              <w:t>孙静习、马剑英</w:t>
            </w:r>
          </w:p>
        </w:tc>
      </w:tr>
    </w:tbl>
    <w:p w14:paraId="5FEEC850" w14:textId="77777777" w:rsidR="0082364D" w:rsidRDefault="0082364D">
      <w:pPr>
        <w:spacing w:line="360" w:lineRule="auto"/>
        <w:ind w:firstLine="480"/>
        <w:rPr>
          <w:color w:val="000000"/>
        </w:rPr>
      </w:pPr>
    </w:p>
    <w:p w14:paraId="668794C7" w14:textId="77777777" w:rsidR="0082364D" w:rsidRDefault="00BF2824">
      <w:pPr>
        <w:widowControl/>
        <w:jc w:val="left"/>
        <w:rPr>
          <w:rFonts w:ascii="宋体" w:hAnsi="宋体"/>
          <w:b/>
          <w:bCs/>
          <w:kern w:val="44"/>
          <w:sz w:val="28"/>
          <w:szCs w:val="44"/>
        </w:rPr>
      </w:pPr>
      <w:bookmarkStart w:id="133" w:name="_Hlt88820702"/>
      <w:bookmarkStart w:id="134" w:name="_Hlt88897298"/>
      <w:bookmarkStart w:id="135" w:name="_Hlt88825574"/>
      <w:bookmarkStart w:id="136" w:name="_Hlk38653028"/>
      <w:bookmarkStart w:id="137" w:name="_Toc283892791"/>
      <w:bookmarkStart w:id="138" w:name="_Toc283892163"/>
      <w:bookmarkStart w:id="139" w:name="_Toc283892843"/>
      <w:bookmarkEnd w:id="126"/>
      <w:bookmarkEnd w:id="127"/>
      <w:bookmarkEnd w:id="128"/>
      <w:bookmarkEnd w:id="129"/>
      <w:bookmarkEnd w:id="130"/>
      <w:bookmarkEnd w:id="133"/>
      <w:bookmarkEnd w:id="134"/>
      <w:bookmarkEnd w:id="135"/>
      <w:r>
        <w:rPr>
          <w:rFonts w:ascii="宋体" w:hAnsi="宋体"/>
          <w:sz w:val="28"/>
        </w:rPr>
        <w:br w:type="page"/>
      </w:r>
      <w:bookmarkStart w:id="140" w:name="_Toc449605679"/>
      <w:bookmarkStart w:id="141" w:name="_Toc353291731"/>
      <w:bookmarkEnd w:id="136"/>
    </w:p>
    <w:p w14:paraId="7A638FD3" w14:textId="77777777" w:rsidR="0082364D" w:rsidRDefault="00BF2824">
      <w:pPr>
        <w:pStyle w:val="1"/>
        <w:spacing w:before="120" w:after="120" w:line="360" w:lineRule="auto"/>
        <w:jc w:val="center"/>
        <w:rPr>
          <w:rFonts w:ascii="宋体" w:hAnsi="宋体"/>
          <w:sz w:val="28"/>
        </w:rPr>
      </w:pPr>
      <w:bookmarkStart w:id="142" w:name="_Toc108598531"/>
      <w:r>
        <w:rPr>
          <w:rFonts w:ascii="宋体" w:hAnsi="宋体" w:hint="eastAsia"/>
          <w:sz w:val="28"/>
        </w:rPr>
        <w:lastRenderedPageBreak/>
        <w:t>二十、</w:t>
      </w:r>
      <w:r>
        <w:rPr>
          <w:rFonts w:ascii="宋体" w:hAnsi="宋体"/>
          <w:sz w:val="28"/>
        </w:rPr>
        <w:t>基金合同内容摘要</w:t>
      </w:r>
      <w:bookmarkEnd w:id="142"/>
    </w:p>
    <w:p w14:paraId="58918351" w14:textId="77777777" w:rsidR="0082364D" w:rsidRDefault="00BF2824">
      <w:pPr>
        <w:spacing w:line="360" w:lineRule="auto"/>
        <w:ind w:firstLineChars="200" w:firstLine="420"/>
        <w:jc w:val="left"/>
      </w:pPr>
      <w:bookmarkStart w:id="143" w:name="_Hlk108465276"/>
      <w:bookmarkStart w:id="144" w:name="_Hlk128088040"/>
      <w:r>
        <w:rPr>
          <w:rFonts w:ascii="宋体" w:hAnsi="宋体"/>
        </w:rPr>
        <w:t>（一）基金份额持有人、基金管理人和基金托管人的权利、义务</w:t>
      </w:r>
    </w:p>
    <w:p w14:paraId="6167A965" w14:textId="77777777" w:rsidR="0082364D" w:rsidRDefault="00BF2824">
      <w:pPr>
        <w:spacing w:line="360" w:lineRule="auto"/>
        <w:ind w:firstLineChars="200" w:firstLine="420"/>
        <w:jc w:val="left"/>
        <w:rPr>
          <w:rFonts w:ascii="宋体" w:hAnsi="宋体"/>
        </w:rPr>
      </w:pPr>
      <w:r>
        <w:rPr>
          <w:rFonts w:ascii="宋体" w:hAnsi="宋体" w:hint="eastAsia"/>
        </w:rPr>
        <w:t>A. 基金份额持有人的权利与义务</w:t>
      </w:r>
    </w:p>
    <w:p w14:paraId="60DA61E7" w14:textId="77777777" w:rsidR="0082364D" w:rsidRDefault="00BF2824">
      <w:pPr>
        <w:spacing w:line="360" w:lineRule="auto"/>
        <w:ind w:firstLineChars="200" w:firstLine="420"/>
        <w:jc w:val="left"/>
        <w:rPr>
          <w:rFonts w:ascii="宋体" w:hAnsi="宋体"/>
          <w:bCs/>
        </w:rPr>
      </w:pPr>
      <w:r>
        <w:rPr>
          <w:rFonts w:ascii="宋体" w:hAnsi="宋体"/>
          <w:bCs/>
        </w:rPr>
        <w:t>基金投资者持有本基金</w:t>
      </w:r>
      <w:bookmarkStart w:id="145" w:name="_Hlt88899909"/>
      <w:bookmarkEnd w:id="145"/>
      <w:r>
        <w:rPr>
          <w:rFonts w:ascii="宋体" w:hAnsi="宋体"/>
          <w:bCs/>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4EACF6F" w14:textId="77777777" w:rsidR="0082364D" w:rsidRDefault="00BF2824">
      <w:pPr>
        <w:spacing w:line="360" w:lineRule="auto"/>
        <w:ind w:firstLineChars="200" w:firstLine="420"/>
        <w:jc w:val="left"/>
        <w:rPr>
          <w:rFonts w:ascii="宋体" w:hAnsi="宋体"/>
          <w:bCs/>
        </w:rPr>
      </w:pPr>
      <w:r>
        <w:rPr>
          <w:rFonts w:ascii="宋体" w:hAnsi="宋体"/>
          <w:bCs/>
        </w:rPr>
        <w:t>每份基金份额具有同等的合法权益。</w:t>
      </w:r>
    </w:p>
    <w:p w14:paraId="2F249A1C" w14:textId="77777777" w:rsidR="0082364D" w:rsidRDefault="00BF2824">
      <w:pPr>
        <w:spacing w:line="360" w:lineRule="auto"/>
        <w:ind w:firstLineChars="200" w:firstLine="420"/>
        <w:jc w:val="left"/>
        <w:rPr>
          <w:rFonts w:ascii="宋体" w:hAnsi="宋体"/>
          <w:bCs/>
        </w:rPr>
      </w:pPr>
      <w:r>
        <w:rPr>
          <w:rFonts w:ascii="宋体" w:hAnsi="宋体"/>
          <w:bCs/>
        </w:rPr>
        <w:t>1、根据《基金法》、《运作办法》</w:t>
      </w:r>
      <w:r>
        <w:rPr>
          <w:rFonts w:ascii="宋体" w:hAnsi="宋体" w:hint="eastAsia"/>
          <w:bCs/>
        </w:rPr>
        <w:t>、《试行办法》、《通知》</w:t>
      </w:r>
      <w:r>
        <w:rPr>
          <w:rFonts w:ascii="宋体" w:hAnsi="宋体"/>
          <w:bCs/>
        </w:rPr>
        <w:t>及其他有关规定，基金份额持有人的权利包括但不限于：</w:t>
      </w:r>
    </w:p>
    <w:p w14:paraId="2A38F446" w14:textId="77777777" w:rsidR="0082364D" w:rsidRDefault="00BF2824">
      <w:pPr>
        <w:spacing w:line="360" w:lineRule="auto"/>
        <w:ind w:firstLineChars="200" w:firstLine="420"/>
        <w:jc w:val="left"/>
        <w:rPr>
          <w:rFonts w:ascii="宋体" w:hAnsi="宋体"/>
          <w:bCs/>
        </w:rPr>
      </w:pPr>
      <w:r>
        <w:rPr>
          <w:rFonts w:ascii="宋体" w:hAnsi="宋体"/>
          <w:bCs/>
        </w:rPr>
        <w:t>（1）分享基金财产收益；</w:t>
      </w:r>
    </w:p>
    <w:p w14:paraId="65FFDB92" w14:textId="77777777" w:rsidR="0082364D" w:rsidRDefault="00BF2824">
      <w:pPr>
        <w:spacing w:line="360" w:lineRule="auto"/>
        <w:ind w:firstLineChars="200" w:firstLine="420"/>
        <w:jc w:val="left"/>
        <w:rPr>
          <w:rFonts w:ascii="宋体" w:hAnsi="宋体"/>
          <w:bCs/>
        </w:rPr>
      </w:pPr>
      <w:r>
        <w:rPr>
          <w:rFonts w:ascii="宋体" w:hAnsi="宋体"/>
          <w:bCs/>
        </w:rPr>
        <w:t>（2）参与分配清算后的剩余基金财产；</w:t>
      </w:r>
    </w:p>
    <w:p w14:paraId="23976E72" w14:textId="77777777" w:rsidR="0082364D" w:rsidRDefault="00BF2824">
      <w:pPr>
        <w:spacing w:line="360" w:lineRule="auto"/>
        <w:ind w:firstLineChars="200" w:firstLine="420"/>
        <w:jc w:val="left"/>
        <w:rPr>
          <w:rFonts w:ascii="宋体" w:hAnsi="宋体"/>
          <w:bCs/>
        </w:rPr>
      </w:pPr>
      <w:r>
        <w:rPr>
          <w:rFonts w:ascii="宋体" w:hAnsi="宋体"/>
          <w:bCs/>
        </w:rPr>
        <w:t>（3）依法转让或</w:t>
      </w:r>
      <w:r>
        <w:rPr>
          <w:rFonts w:ascii="宋体" w:hAnsi="宋体" w:hint="eastAsia"/>
          <w:bCs/>
        </w:rPr>
        <w:t>者</w:t>
      </w:r>
      <w:r>
        <w:rPr>
          <w:rFonts w:ascii="宋体" w:hAnsi="宋体"/>
          <w:bCs/>
        </w:rPr>
        <w:t>申请赎回其持有的基金份额；</w:t>
      </w:r>
    </w:p>
    <w:p w14:paraId="0374CF4E" w14:textId="77777777" w:rsidR="0082364D" w:rsidRDefault="00BF2824">
      <w:pPr>
        <w:spacing w:line="360" w:lineRule="auto"/>
        <w:ind w:firstLineChars="200" w:firstLine="420"/>
        <w:jc w:val="left"/>
        <w:rPr>
          <w:rFonts w:ascii="宋体" w:hAnsi="宋体"/>
          <w:bCs/>
        </w:rPr>
      </w:pPr>
      <w:r>
        <w:rPr>
          <w:rFonts w:ascii="宋体" w:hAnsi="宋体"/>
          <w:bCs/>
        </w:rPr>
        <w:t>（4）按照规定要求召开基金份额持有人大会</w:t>
      </w:r>
      <w:r>
        <w:rPr>
          <w:rFonts w:ascii="宋体" w:hAnsi="宋体" w:hint="eastAsia"/>
          <w:bCs/>
        </w:rPr>
        <w:t>或者</w:t>
      </w:r>
      <w:r>
        <w:rPr>
          <w:rFonts w:ascii="宋体" w:hAnsi="宋体"/>
          <w:bCs/>
        </w:rPr>
        <w:t>召集基金份额持有人大会；</w:t>
      </w:r>
    </w:p>
    <w:p w14:paraId="3341862E" w14:textId="77777777" w:rsidR="0082364D" w:rsidRDefault="00BF2824">
      <w:pPr>
        <w:spacing w:line="360" w:lineRule="auto"/>
        <w:ind w:firstLineChars="200" w:firstLine="420"/>
        <w:jc w:val="left"/>
        <w:rPr>
          <w:rFonts w:ascii="宋体" w:hAnsi="宋体"/>
          <w:bCs/>
        </w:rPr>
      </w:pPr>
      <w:r>
        <w:rPr>
          <w:rFonts w:ascii="宋体" w:hAnsi="宋体"/>
          <w:bCs/>
        </w:rPr>
        <w:t>（5）出席或者委派代表出席基金份额持有人大会，对基金份额持有人大会审议事项行使表决权；</w:t>
      </w:r>
    </w:p>
    <w:p w14:paraId="73C557F1" w14:textId="77777777" w:rsidR="0082364D" w:rsidRDefault="00BF2824">
      <w:pPr>
        <w:spacing w:line="360" w:lineRule="auto"/>
        <w:ind w:firstLineChars="200" w:firstLine="420"/>
        <w:jc w:val="left"/>
        <w:rPr>
          <w:rFonts w:ascii="宋体" w:hAnsi="宋体"/>
          <w:bCs/>
        </w:rPr>
      </w:pPr>
      <w:r>
        <w:rPr>
          <w:rFonts w:ascii="宋体" w:hAnsi="宋体"/>
          <w:bCs/>
        </w:rPr>
        <w:t>（6）查阅或者复制公开披露的基金信息资料；</w:t>
      </w:r>
    </w:p>
    <w:p w14:paraId="74CBB275" w14:textId="77777777" w:rsidR="0082364D" w:rsidRDefault="00BF2824">
      <w:pPr>
        <w:spacing w:line="360" w:lineRule="auto"/>
        <w:ind w:firstLineChars="200" w:firstLine="420"/>
        <w:jc w:val="left"/>
        <w:rPr>
          <w:rFonts w:ascii="宋体" w:hAnsi="宋体"/>
          <w:bCs/>
        </w:rPr>
      </w:pPr>
      <w:r>
        <w:rPr>
          <w:rFonts w:ascii="宋体" w:hAnsi="宋体"/>
          <w:bCs/>
        </w:rPr>
        <w:t>（7）监督基金管理人的投资运作；</w:t>
      </w:r>
    </w:p>
    <w:p w14:paraId="458A20B9" w14:textId="77777777" w:rsidR="0082364D" w:rsidRDefault="00BF2824">
      <w:pPr>
        <w:spacing w:line="360" w:lineRule="auto"/>
        <w:ind w:firstLineChars="200" w:firstLine="420"/>
        <w:jc w:val="left"/>
        <w:rPr>
          <w:rFonts w:ascii="宋体" w:hAnsi="宋体"/>
          <w:bCs/>
        </w:rPr>
      </w:pPr>
      <w:r>
        <w:rPr>
          <w:rFonts w:ascii="宋体" w:hAnsi="宋体"/>
          <w:bCs/>
        </w:rPr>
        <w:t>（8）对基金管理人、基金托管人损害其合法权益的行为依法提起仲裁；</w:t>
      </w:r>
    </w:p>
    <w:p w14:paraId="5F163A8A" w14:textId="77777777" w:rsidR="0082364D" w:rsidRDefault="00BF2824">
      <w:pPr>
        <w:spacing w:line="360" w:lineRule="auto"/>
        <w:ind w:firstLineChars="200" w:firstLine="420"/>
        <w:jc w:val="left"/>
        <w:rPr>
          <w:rFonts w:ascii="宋体" w:hAnsi="宋体"/>
          <w:bCs/>
        </w:rPr>
      </w:pPr>
      <w:r>
        <w:rPr>
          <w:rFonts w:ascii="宋体" w:hAnsi="宋体"/>
          <w:bCs/>
        </w:rPr>
        <w:t>（9）</w:t>
      </w:r>
      <w:r>
        <w:rPr>
          <w:rFonts w:ascii="宋体" w:hAnsi="宋体" w:hint="eastAsia"/>
          <w:bCs/>
        </w:rPr>
        <w:t>在购买本基金前认真阅读基金合同、托管协议，了解并接受基金管理人、基金托管人按照基金合同、托管协议就本基金海外投资运作、托管所作出的各项安排，愿意接受本基金资产在境外投资运作、托管中可能产生的法律风险、税收风险及《基金合同》所列明的其他风险；</w:t>
      </w:r>
    </w:p>
    <w:p w14:paraId="72D09819" w14:textId="77777777" w:rsidR="0082364D" w:rsidRDefault="00BF2824">
      <w:pPr>
        <w:spacing w:line="360" w:lineRule="auto"/>
        <w:ind w:firstLineChars="200" w:firstLine="420"/>
        <w:jc w:val="left"/>
        <w:rPr>
          <w:rFonts w:ascii="宋体" w:hAnsi="宋体"/>
          <w:bCs/>
        </w:rPr>
      </w:pPr>
      <w:r>
        <w:rPr>
          <w:rFonts w:ascii="宋体" w:hAnsi="宋体"/>
          <w:bCs/>
        </w:rPr>
        <w:t>（10）法律法规及中国证监会规定的和《基金合同》约定的其他权利。</w:t>
      </w:r>
    </w:p>
    <w:p w14:paraId="4767DA5D" w14:textId="77777777" w:rsidR="0082364D" w:rsidRDefault="00BF2824">
      <w:pPr>
        <w:spacing w:line="360" w:lineRule="auto"/>
        <w:ind w:firstLineChars="200" w:firstLine="420"/>
        <w:jc w:val="left"/>
        <w:rPr>
          <w:rFonts w:ascii="宋体" w:hAnsi="宋体"/>
          <w:bCs/>
        </w:rPr>
      </w:pPr>
      <w:r>
        <w:rPr>
          <w:rFonts w:ascii="宋体" w:hAnsi="宋体"/>
          <w:bCs/>
        </w:rPr>
        <w:t>2、根据《基金法》、《运作办法》</w:t>
      </w:r>
      <w:r>
        <w:rPr>
          <w:rFonts w:ascii="宋体" w:hAnsi="宋体" w:hint="eastAsia"/>
          <w:bCs/>
        </w:rPr>
        <w:t>、《试行办法》、《通知》</w:t>
      </w:r>
      <w:r>
        <w:rPr>
          <w:rFonts w:ascii="宋体" w:hAnsi="宋体"/>
          <w:bCs/>
        </w:rPr>
        <w:t>及其他有关规定，基金份额持有人的义务包括但不限于：</w:t>
      </w:r>
    </w:p>
    <w:p w14:paraId="7630EF2F" w14:textId="77777777" w:rsidR="0082364D" w:rsidRDefault="00BF2824">
      <w:pPr>
        <w:spacing w:line="360" w:lineRule="auto"/>
        <w:ind w:firstLineChars="200" w:firstLine="420"/>
        <w:jc w:val="left"/>
        <w:rPr>
          <w:rFonts w:ascii="宋体" w:hAnsi="宋体"/>
          <w:bCs/>
        </w:rPr>
      </w:pPr>
      <w:r>
        <w:rPr>
          <w:rFonts w:ascii="宋体" w:hAnsi="宋体"/>
          <w:bCs/>
        </w:rPr>
        <w:t>（1）认真阅读并遵守《基金合同》、招募说明书</w:t>
      </w:r>
      <w:r>
        <w:rPr>
          <w:rFonts w:ascii="宋体" w:hAnsi="宋体" w:hint="eastAsia"/>
          <w:bCs/>
        </w:rPr>
        <w:t>、基金产品资料概要</w:t>
      </w:r>
      <w:r>
        <w:rPr>
          <w:rFonts w:ascii="宋体" w:hAnsi="宋体"/>
          <w:bCs/>
        </w:rPr>
        <w:t>以及基金管理人按照规定就本基金发布的相关公告；</w:t>
      </w:r>
    </w:p>
    <w:p w14:paraId="4E54D044" w14:textId="77777777" w:rsidR="0082364D" w:rsidRDefault="00BF2824">
      <w:pPr>
        <w:spacing w:line="360" w:lineRule="auto"/>
        <w:ind w:firstLineChars="200" w:firstLine="420"/>
        <w:jc w:val="left"/>
        <w:rPr>
          <w:rFonts w:ascii="宋体" w:hAnsi="宋体"/>
          <w:bCs/>
        </w:rPr>
      </w:pPr>
      <w:r>
        <w:rPr>
          <w:rFonts w:ascii="宋体" w:hAnsi="宋体"/>
          <w:bCs/>
        </w:rPr>
        <w:t>（2）了解所投资基金产品，了解自身风险承受能力，自主判断基金的投资价值，自主</w:t>
      </w:r>
      <w:r>
        <w:rPr>
          <w:rFonts w:ascii="宋体" w:hAnsi="宋体"/>
          <w:bCs/>
        </w:rPr>
        <w:lastRenderedPageBreak/>
        <w:t>做出投资决策，自行承担投资风险；</w:t>
      </w:r>
    </w:p>
    <w:p w14:paraId="26C693A7" w14:textId="77777777" w:rsidR="0082364D" w:rsidRDefault="00BF2824">
      <w:pPr>
        <w:spacing w:line="360" w:lineRule="auto"/>
        <w:ind w:firstLineChars="200" w:firstLine="420"/>
        <w:jc w:val="left"/>
        <w:rPr>
          <w:rFonts w:ascii="宋体" w:hAnsi="宋体"/>
          <w:bCs/>
        </w:rPr>
      </w:pPr>
      <w:r>
        <w:rPr>
          <w:rFonts w:ascii="宋体" w:hAnsi="宋体"/>
          <w:bCs/>
        </w:rPr>
        <w:t>（3）关注基金信息披露，及时行使权利和履行义务；</w:t>
      </w:r>
    </w:p>
    <w:p w14:paraId="2B1B2411" w14:textId="77777777" w:rsidR="0082364D" w:rsidRDefault="00BF2824">
      <w:pPr>
        <w:spacing w:line="360" w:lineRule="auto"/>
        <w:ind w:firstLineChars="200" w:firstLine="420"/>
        <w:jc w:val="left"/>
        <w:rPr>
          <w:rFonts w:ascii="宋体" w:hAnsi="宋体"/>
          <w:bCs/>
        </w:rPr>
      </w:pPr>
      <w:r>
        <w:rPr>
          <w:rFonts w:ascii="宋体" w:hAnsi="宋体"/>
          <w:bCs/>
        </w:rPr>
        <w:t>（4）及时足额</w:t>
      </w:r>
      <w:r>
        <w:rPr>
          <w:rFonts w:ascii="宋体" w:hAnsi="宋体" w:hint="eastAsia"/>
          <w:bCs/>
        </w:rPr>
        <w:t>交</w:t>
      </w:r>
      <w:r>
        <w:rPr>
          <w:rFonts w:ascii="宋体" w:hAnsi="宋体"/>
          <w:bCs/>
        </w:rPr>
        <w:t>纳基金认购款项、应付申购对价及法律法规和《基金合同》所规定的费用；</w:t>
      </w:r>
    </w:p>
    <w:p w14:paraId="4B437512" w14:textId="77777777" w:rsidR="0082364D" w:rsidRDefault="00BF2824">
      <w:pPr>
        <w:spacing w:line="360" w:lineRule="auto"/>
        <w:ind w:firstLineChars="200" w:firstLine="420"/>
        <w:jc w:val="left"/>
        <w:rPr>
          <w:rFonts w:ascii="宋体" w:hAnsi="宋体"/>
          <w:bCs/>
        </w:rPr>
      </w:pPr>
      <w:r>
        <w:rPr>
          <w:rFonts w:ascii="宋体" w:hAnsi="宋体"/>
          <w:bCs/>
        </w:rPr>
        <w:t>（5）在其持有的基金份额范围内，承担基金亏损或者《基金合同》终止的有限责任；</w:t>
      </w:r>
    </w:p>
    <w:p w14:paraId="75EF05A8" w14:textId="77777777" w:rsidR="0082364D" w:rsidRDefault="00BF2824">
      <w:pPr>
        <w:spacing w:line="360" w:lineRule="auto"/>
        <w:ind w:firstLineChars="200" w:firstLine="420"/>
        <w:jc w:val="left"/>
        <w:rPr>
          <w:rFonts w:ascii="宋体" w:hAnsi="宋体"/>
          <w:bCs/>
        </w:rPr>
      </w:pPr>
      <w:r>
        <w:rPr>
          <w:rFonts w:ascii="宋体" w:hAnsi="宋体"/>
          <w:bCs/>
        </w:rPr>
        <w:t>（6）不从事任何有损基金及其他《基金合同》当事人合法权益的活动；</w:t>
      </w:r>
    </w:p>
    <w:p w14:paraId="6DB9013A" w14:textId="77777777" w:rsidR="0082364D" w:rsidRDefault="00BF2824">
      <w:pPr>
        <w:spacing w:line="360" w:lineRule="auto"/>
        <w:ind w:firstLineChars="200" w:firstLine="420"/>
        <w:jc w:val="left"/>
        <w:rPr>
          <w:rFonts w:ascii="宋体" w:hAnsi="宋体"/>
          <w:bCs/>
        </w:rPr>
      </w:pPr>
      <w:r>
        <w:rPr>
          <w:rFonts w:ascii="宋体" w:hAnsi="宋体"/>
          <w:bCs/>
        </w:rPr>
        <w:t>（7）执行生效的基金份额持有人大会的决议；</w:t>
      </w:r>
    </w:p>
    <w:p w14:paraId="6D71105E" w14:textId="77777777" w:rsidR="0082364D" w:rsidRDefault="00BF2824">
      <w:pPr>
        <w:spacing w:line="360" w:lineRule="auto"/>
        <w:ind w:firstLineChars="200" w:firstLine="420"/>
        <w:jc w:val="left"/>
        <w:rPr>
          <w:rFonts w:ascii="宋体" w:hAnsi="宋体"/>
          <w:bCs/>
        </w:rPr>
      </w:pPr>
      <w:r>
        <w:rPr>
          <w:rFonts w:ascii="宋体" w:hAnsi="宋体"/>
          <w:bCs/>
        </w:rPr>
        <w:t>（8）返还在基金交易过程中因任何原因获得的不当得利；</w:t>
      </w:r>
    </w:p>
    <w:p w14:paraId="258DE18F" w14:textId="77777777" w:rsidR="0082364D" w:rsidRDefault="00BF2824">
      <w:pPr>
        <w:spacing w:line="360" w:lineRule="auto"/>
        <w:ind w:firstLineChars="200" w:firstLine="420"/>
        <w:jc w:val="left"/>
        <w:rPr>
          <w:rFonts w:ascii="宋体" w:hAnsi="宋体"/>
          <w:bCs/>
        </w:rPr>
      </w:pPr>
      <w:r>
        <w:rPr>
          <w:rFonts w:ascii="宋体" w:hAnsi="宋体"/>
          <w:bCs/>
        </w:rPr>
        <w:t>（9）遵守基金管理人、</w:t>
      </w:r>
      <w:r>
        <w:rPr>
          <w:rFonts w:ascii="宋体" w:hAnsi="宋体" w:hint="eastAsia"/>
          <w:bCs/>
        </w:rPr>
        <w:t>证券交易所、</w:t>
      </w:r>
      <w:r>
        <w:rPr>
          <w:rFonts w:ascii="宋体" w:hAnsi="宋体"/>
          <w:bCs/>
        </w:rPr>
        <w:t>销售机构和登记结算机构的相关交易及业务规则；</w:t>
      </w:r>
    </w:p>
    <w:p w14:paraId="4F12E4B8" w14:textId="77777777" w:rsidR="0082364D" w:rsidRDefault="00BF2824">
      <w:pPr>
        <w:spacing w:line="360" w:lineRule="auto"/>
        <w:ind w:firstLineChars="200" w:firstLine="420"/>
        <w:jc w:val="left"/>
        <w:rPr>
          <w:rFonts w:ascii="宋体" w:hAnsi="宋体"/>
          <w:bCs/>
        </w:rPr>
      </w:pPr>
      <w:r>
        <w:rPr>
          <w:rFonts w:ascii="宋体" w:hAnsi="宋体" w:hint="eastAsia"/>
          <w:bCs/>
        </w:rPr>
        <w:t>（10）如实提供基金管理人或其销售机构依法要求提供的信息，并不时予以更新和补充；</w:t>
      </w:r>
    </w:p>
    <w:p w14:paraId="22DD4269" w14:textId="77777777" w:rsidR="0082364D" w:rsidRDefault="00BF2824">
      <w:pPr>
        <w:spacing w:line="360" w:lineRule="auto"/>
        <w:ind w:firstLineChars="200" w:firstLine="420"/>
        <w:jc w:val="left"/>
        <w:rPr>
          <w:rFonts w:ascii="宋体" w:hAnsi="宋体"/>
          <w:bCs/>
        </w:rPr>
      </w:pPr>
      <w:r>
        <w:rPr>
          <w:rFonts w:ascii="宋体" w:hAnsi="宋体"/>
          <w:bCs/>
        </w:rPr>
        <w:t>（11）法律法规及中国证监会规定的和《基金合同》约定的其他义务。</w:t>
      </w:r>
    </w:p>
    <w:p w14:paraId="1D496846" w14:textId="5A2E2142" w:rsidR="0082364D" w:rsidRDefault="00BF2824">
      <w:pPr>
        <w:spacing w:line="360" w:lineRule="auto"/>
        <w:ind w:firstLineChars="200" w:firstLine="420"/>
        <w:jc w:val="left"/>
        <w:rPr>
          <w:rFonts w:ascii="宋体" w:hAnsi="宋体"/>
          <w:bCs/>
        </w:rPr>
      </w:pPr>
      <w:r>
        <w:rPr>
          <w:rFonts w:ascii="宋体" w:hAnsi="宋体"/>
          <w:bCs/>
        </w:rPr>
        <w:t>B</w:t>
      </w:r>
      <w:r>
        <w:rPr>
          <w:rFonts w:ascii="宋体" w:hAnsi="宋体" w:hint="eastAsia"/>
          <w:bCs/>
        </w:rPr>
        <w:t xml:space="preserve">. </w:t>
      </w:r>
      <w:r>
        <w:rPr>
          <w:rFonts w:ascii="宋体" w:hAnsi="宋体"/>
          <w:bCs/>
        </w:rPr>
        <w:t>基金管理人的权利与义务</w:t>
      </w:r>
    </w:p>
    <w:p w14:paraId="24320CC3" w14:textId="77777777" w:rsidR="0082364D" w:rsidRDefault="00BF2824">
      <w:pPr>
        <w:spacing w:line="360" w:lineRule="auto"/>
        <w:ind w:firstLineChars="200" w:firstLine="420"/>
        <w:jc w:val="left"/>
        <w:rPr>
          <w:rFonts w:ascii="宋体" w:hAnsi="宋体"/>
          <w:bCs/>
        </w:rPr>
      </w:pPr>
      <w:r>
        <w:rPr>
          <w:rFonts w:ascii="宋体" w:hAnsi="宋体"/>
          <w:bCs/>
        </w:rPr>
        <w:t>1、根据《基金法》、《运作办法》</w:t>
      </w:r>
      <w:r>
        <w:rPr>
          <w:rFonts w:ascii="宋体" w:hAnsi="宋体" w:hint="eastAsia"/>
          <w:bCs/>
        </w:rPr>
        <w:t>、《试行办法》、《通知》</w:t>
      </w:r>
      <w:r>
        <w:rPr>
          <w:rFonts w:ascii="宋体" w:hAnsi="宋体"/>
          <w:bCs/>
        </w:rPr>
        <w:t>及其他有关规定，基金管理人的权利包括但不限于：</w:t>
      </w:r>
    </w:p>
    <w:p w14:paraId="2F206BAF" w14:textId="77777777" w:rsidR="0082364D" w:rsidRDefault="00BF2824">
      <w:pPr>
        <w:spacing w:line="360" w:lineRule="auto"/>
        <w:ind w:firstLineChars="200" w:firstLine="420"/>
        <w:jc w:val="left"/>
        <w:rPr>
          <w:rFonts w:ascii="宋体" w:hAnsi="宋体"/>
          <w:bCs/>
        </w:rPr>
      </w:pPr>
      <w:r>
        <w:rPr>
          <w:rFonts w:ascii="宋体" w:hAnsi="宋体"/>
          <w:bCs/>
        </w:rPr>
        <w:t>（1）依法募集资金；</w:t>
      </w:r>
    </w:p>
    <w:p w14:paraId="09CFE00F" w14:textId="77777777" w:rsidR="0082364D" w:rsidRDefault="00BF2824">
      <w:pPr>
        <w:spacing w:line="360" w:lineRule="auto"/>
        <w:ind w:firstLineChars="200" w:firstLine="420"/>
        <w:jc w:val="left"/>
        <w:rPr>
          <w:rFonts w:ascii="宋体" w:hAnsi="宋体"/>
          <w:bCs/>
        </w:rPr>
      </w:pPr>
      <w:r>
        <w:rPr>
          <w:rFonts w:ascii="宋体" w:hAnsi="宋体"/>
          <w:bCs/>
        </w:rPr>
        <w:t>（2）自《基金合同》生效之日起，根据法律法规和《基金合同》独立运用并管理基金财产；</w:t>
      </w:r>
    </w:p>
    <w:p w14:paraId="06D35DDE" w14:textId="77777777" w:rsidR="0082364D" w:rsidRDefault="00BF2824">
      <w:pPr>
        <w:spacing w:line="360" w:lineRule="auto"/>
        <w:ind w:firstLineChars="200" w:firstLine="420"/>
        <w:jc w:val="left"/>
        <w:rPr>
          <w:rFonts w:ascii="宋体" w:hAnsi="宋体"/>
          <w:bCs/>
        </w:rPr>
      </w:pPr>
      <w:r>
        <w:rPr>
          <w:rFonts w:ascii="宋体" w:hAnsi="宋体"/>
          <w:bCs/>
        </w:rPr>
        <w:t>（3）依照《基金合同》收取基金管理费以及法律法规规定或中国证监会批准的其他费用；</w:t>
      </w:r>
    </w:p>
    <w:p w14:paraId="75C4CCE3" w14:textId="77777777" w:rsidR="0082364D" w:rsidRDefault="00BF2824">
      <w:pPr>
        <w:spacing w:line="360" w:lineRule="auto"/>
        <w:ind w:firstLineChars="200" w:firstLine="420"/>
        <w:jc w:val="left"/>
        <w:rPr>
          <w:rFonts w:ascii="宋体" w:hAnsi="宋体"/>
          <w:bCs/>
        </w:rPr>
      </w:pPr>
      <w:r>
        <w:rPr>
          <w:rFonts w:ascii="宋体" w:hAnsi="宋体"/>
          <w:bCs/>
        </w:rPr>
        <w:t>（4）销售基金份额；</w:t>
      </w:r>
    </w:p>
    <w:p w14:paraId="19F505FF" w14:textId="77777777" w:rsidR="0082364D" w:rsidRDefault="00BF2824">
      <w:pPr>
        <w:spacing w:line="360" w:lineRule="auto"/>
        <w:ind w:firstLineChars="200" w:firstLine="420"/>
        <w:jc w:val="left"/>
        <w:rPr>
          <w:rFonts w:ascii="宋体" w:hAnsi="宋体"/>
          <w:bCs/>
        </w:rPr>
      </w:pPr>
      <w:r>
        <w:rPr>
          <w:rFonts w:ascii="宋体" w:hAnsi="宋体"/>
          <w:bCs/>
        </w:rPr>
        <w:t>（5）按照规定召集基金份额持有人大会；</w:t>
      </w:r>
    </w:p>
    <w:p w14:paraId="67F3BFE8" w14:textId="77777777" w:rsidR="0082364D" w:rsidRDefault="00BF2824">
      <w:pPr>
        <w:spacing w:line="360" w:lineRule="auto"/>
        <w:ind w:firstLineChars="200" w:firstLine="420"/>
        <w:jc w:val="left"/>
        <w:rPr>
          <w:rFonts w:ascii="宋体" w:hAnsi="宋体"/>
          <w:bCs/>
        </w:rPr>
      </w:pPr>
      <w:r>
        <w:rPr>
          <w:rFonts w:ascii="宋体" w:hAnsi="宋体"/>
          <w:bCs/>
        </w:rPr>
        <w:t>（6）依据《基金合同》及有关法律规定监督基金托管人，如认为基金托管人违反了《基金合同》及国家有关法律规定，应呈报中国证监会和其他监管部门，并采取必要措施保护基金投资者的利益；</w:t>
      </w:r>
    </w:p>
    <w:p w14:paraId="0D1610EF" w14:textId="77777777" w:rsidR="0082364D" w:rsidRDefault="00BF2824">
      <w:pPr>
        <w:spacing w:line="360" w:lineRule="auto"/>
        <w:ind w:firstLineChars="200" w:firstLine="420"/>
        <w:jc w:val="left"/>
        <w:rPr>
          <w:rFonts w:ascii="宋体" w:hAnsi="宋体"/>
          <w:bCs/>
        </w:rPr>
      </w:pPr>
      <w:r>
        <w:rPr>
          <w:rFonts w:ascii="宋体" w:hAnsi="宋体"/>
          <w:bCs/>
        </w:rPr>
        <w:t>（7）在基金托管人更换时，提名新的基金托管人；</w:t>
      </w:r>
    </w:p>
    <w:p w14:paraId="229458A6" w14:textId="77777777" w:rsidR="0082364D" w:rsidRDefault="00BF2824">
      <w:pPr>
        <w:spacing w:line="360" w:lineRule="auto"/>
        <w:ind w:firstLineChars="200" w:firstLine="420"/>
        <w:jc w:val="left"/>
        <w:rPr>
          <w:rFonts w:ascii="宋体" w:hAnsi="宋体"/>
          <w:bCs/>
        </w:rPr>
      </w:pPr>
      <w:r>
        <w:rPr>
          <w:rFonts w:ascii="宋体" w:hAnsi="宋体"/>
          <w:bCs/>
        </w:rPr>
        <w:t>（8）选择、更换为本基金提供销售、销售支付、份额登记、估值、投资顾问、法律、会计等服务的基金服务机构</w:t>
      </w:r>
      <w:r>
        <w:rPr>
          <w:rFonts w:ascii="宋体" w:hAnsi="宋体" w:hint="eastAsia"/>
          <w:bCs/>
        </w:rPr>
        <w:t>、</w:t>
      </w:r>
      <w:r>
        <w:rPr>
          <w:rFonts w:ascii="宋体" w:hAnsi="宋体"/>
          <w:bCs/>
        </w:rPr>
        <w:t>或证券经纪商</w:t>
      </w:r>
      <w:r>
        <w:rPr>
          <w:rFonts w:ascii="宋体" w:hAnsi="宋体" w:hint="eastAsia"/>
          <w:bCs/>
        </w:rPr>
        <w:t>以及证券登记机构</w:t>
      </w:r>
      <w:r>
        <w:rPr>
          <w:rFonts w:ascii="宋体" w:hAnsi="宋体"/>
          <w:bCs/>
        </w:rPr>
        <w:t>、期货经纪商或其他为基金提供服务的外部机构</w:t>
      </w:r>
      <w:r>
        <w:rPr>
          <w:rFonts w:ascii="宋体" w:hAnsi="宋体" w:hint="eastAsia"/>
          <w:bCs/>
        </w:rPr>
        <w:t>，</w:t>
      </w:r>
      <w:r>
        <w:rPr>
          <w:rFonts w:ascii="宋体" w:hAnsi="宋体"/>
          <w:bCs/>
        </w:rPr>
        <w:t xml:space="preserve">并决定相关费率，对基金服务机构的相关行为进行监督和处理； </w:t>
      </w:r>
    </w:p>
    <w:p w14:paraId="30199825" w14:textId="77777777" w:rsidR="0082364D" w:rsidRDefault="00BF2824">
      <w:pPr>
        <w:spacing w:line="360" w:lineRule="auto"/>
        <w:ind w:firstLineChars="200" w:firstLine="420"/>
        <w:jc w:val="left"/>
        <w:rPr>
          <w:rFonts w:ascii="宋体" w:hAnsi="宋体"/>
          <w:bCs/>
        </w:rPr>
      </w:pPr>
      <w:r>
        <w:rPr>
          <w:rFonts w:ascii="宋体" w:hAnsi="宋体"/>
          <w:bCs/>
        </w:rPr>
        <w:lastRenderedPageBreak/>
        <w:t xml:space="preserve">（9）担任或委托其他符合条件的机构担任基金登记结算机构办理基金登记结算业务，并按照《基金合同》规定对基金登记结算机构进行必要的监督和检查； </w:t>
      </w:r>
    </w:p>
    <w:p w14:paraId="60EE93FD" w14:textId="77777777" w:rsidR="0082364D" w:rsidRDefault="00BF2824">
      <w:pPr>
        <w:spacing w:line="360" w:lineRule="auto"/>
        <w:ind w:firstLineChars="200" w:firstLine="420"/>
        <w:jc w:val="left"/>
        <w:rPr>
          <w:rFonts w:ascii="宋体" w:hAnsi="宋体"/>
          <w:bCs/>
        </w:rPr>
      </w:pPr>
      <w:r>
        <w:rPr>
          <w:rFonts w:ascii="宋体" w:hAnsi="宋体"/>
          <w:bCs/>
        </w:rPr>
        <w:t>（10）依据《基金合同》及有关法律规定决定基金收益的分配方案；</w:t>
      </w:r>
    </w:p>
    <w:p w14:paraId="3BB034DD" w14:textId="77777777" w:rsidR="0082364D" w:rsidRDefault="00BF2824">
      <w:pPr>
        <w:spacing w:line="360" w:lineRule="auto"/>
        <w:ind w:firstLineChars="200" w:firstLine="420"/>
        <w:jc w:val="left"/>
        <w:rPr>
          <w:rFonts w:ascii="宋体" w:hAnsi="宋体"/>
          <w:bCs/>
        </w:rPr>
      </w:pPr>
      <w:r>
        <w:rPr>
          <w:rFonts w:ascii="宋体" w:hAnsi="宋体"/>
          <w:bCs/>
        </w:rPr>
        <w:t xml:space="preserve">（11）在《基金合同》约定的范围内，拒绝或暂停受理申购与赎回申请； </w:t>
      </w:r>
    </w:p>
    <w:p w14:paraId="71E8E7F6" w14:textId="77777777" w:rsidR="0082364D" w:rsidRDefault="00BF2824">
      <w:pPr>
        <w:spacing w:line="360" w:lineRule="auto"/>
        <w:ind w:firstLineChars="200" w:firstLine="420"/>
        <w:jc w:val="left"/>
        <w:rPr>
          <w:rFonts w:ascii="宋体" w:hAnsi="宋体"/>
          <w:bCs/>
        </w:rPr>
      </w:pPr>
      <w:r>
        <w:rPr>
          <w:rFonts w:ascii="宋体" w:hAnsi="宋体"/>
          <w:bCs/>
        </w:rPr>
        <w:t>（12）依照法律法规为基金的利益行使因基金财产投资所产生的权利；</w:t>
      </w:r>
    </w:p>
    <w:p w14:paraId="0F17B4DE" w14:textId="77777777" w:rsidR="0082364D" w:rsidRDefault="00BF2824">
      <w:pPr>
        <w:spacing w:line="360" w:lineRule="auto"/>
        <w:ind w:firstLineChars="200" w:firstLine="420"/>
        <w:jc w:val="left"/>
        <w:rPr>
          <w:rFonts w:ascii="宋体" w:hAnsi="宋体"/>
          <w:bCs/>
        </w:rPr>
      </w:pPr>
      <w:r>
        <w:rPr>
          <w:rFonts w:ascii="宋体" w:hAnsi="宋体"/>
          <w:bCs/>
        </w:rPr>
        <w:t>（1</w:t>
      </w:r>
      <w:r>
        <w:rPr>
          <w:rFonts w:ascii="宋体" w:hAnsi="宋体" w:hint="eastAsia"/>
          <w:bCs/>
        </w:rPr>
        <w:t>3</w:t>
      </w:r>
      <w:r>
        <w:rPr>
          <w:rFonts w:ascii="宋体" w:hAnsi="宋体"/>
          <w:bCs/>
        </w:rPr>
        <w:t>）</w:t>
      </w:r>
      <w:r>
        <w:rPr>
          <w:rFonts w:ascii="宋体" w:hAnsi="宋体" w:hint="eastAsia"/>
          <w:bCs/>
        </w:rPr>
        <w:t>在法律法规允许的前提下，为基金的利益依法为基金申请和办理融资、转融通证券出借等相关业务；</w:t>
      </w:r>
    </w:p>
    <w:p w14:paraId="1B825CBA" w14:textId="77777777" w:rsidR="0082364D" w:rsidRDefault="00BF2824">
      <w:pPr>
        <w:spacing w:line="360" w:lineRule="auto"/>
        <w:ind w:firstLineChars="200" w:firstLine="420"/>
        <w:jc w:val="left"/>
        <w:rPr>
          <w:rFonts w:ascii="宋体" w:hAnsi="宋体"/>
          <w:bCs/>
        </w:rPr>
      </w:pPr>
      <w:r>
        <w:rPr>
          <w:rFonts w:ascii="宋体" w:hAnsi="宋体" w:hint="eastAsia"/>
          <w:bCs/>
        </w:rPr>
        <w:t>（1</w:t>
      </w:r>
      <w:r>
        <w:rPr>
          <w:rFonts w:ascii="宋体" w:hAnsi="宋体"/>
          <w:bCs/>
        </w:rPr>
        <w:t>4</w:t>
      </w:r>
      <w:r>
        <w:rPr>
          <w:rFonts w:ascii="宋体" w:hAnsi="宋体" w:hint="eastAsia"/>
          <w:bCs/>
        </w:rPr>
        <w:t>）</w:t>
      </w:r>
      <w:r>
        <w:rPr>
          <w:rFonts w:ascii="宋体" w:hAnsi="宋体"/>
          <w:bCs/>
        </w:rPr>
        <w:t>以基金管理人的名义，代表基金份额持有人的利益行使诉讼权利或者实施其他法律行为；</w:t>
      </w:r>
    </w:p>
    <w:p w14:paraId="732C0842" w14:textId="77777777" w:rsidR="0082364D" w:rsidRDefault="00BF2824">
      <w:pPr>
        <w:spacing w:line="360" w:lineRule="auto"/>
        <w:ind w:firstLineChars="200" w:firstLine="420"/>
        <w:jc w:val="left"/>
        <w:rPr>
          <w:rFonts w:ascii="宋体" w:hAnsi="宋体"/>
          <w:bCs/>
        </w:rPr>
      </w:pPr>
      <w:r>
        <w:rPr>
          <w:rFonts w:ascii="宋体" w:hAnsi="宋体"/>
          <w:bCs/>
        </w:rPr>
        <w:t>（15）在符合有关法律、法规、《基金合同》、相关证券交易所及登记结算机构相关业务规则的前提下，制订、修改并公布有关基金认购、申购、赎回及其他相关业务规则；</w:t>
      </w:r>
    </w:p>
    <w:p w14:paraId="7B45D11F" w14:textId="77777777" w:rsidR="0082364D" w:rsidRDefault="00BF2824">
      <w:pPr>
        <w:spacing w:line="360" w:lineRule="auto"/>
        <w:ind w:firstLineChars="200" w:firstLine="420"/>
        <w:jc w:val="left"/>
        <w:rPr>
          <w:rFonts w:ascii="宋体" w:hAnsi="宋体"/>
          <w:bCs/>
        </w:rPr>
      </w:pPr>
      <w:r>
        <w:rPr>
          <w:rFonts w:ascii="宋体" w:hAnsi="宋体"/>
          <w:bCs/>
        </w:rPr>
        <w:t>（16）法律法规及中国证监会规定的和《基金合同》约定的其他权利。</w:t>
      </w:r>
    </w:p>
    <w:p w14:paraId="407489EC" w14:textId="77777777" w:rsidR="0082364D" w:rsidRDefault="00BF2824">
      <w:pPr>
        <w:spacing w:line="360" w:lineRule="auto"/>
        <w:ind w:firstLineChars="200" w:firstLine="420"/>
        <w:jc w:val="left"/>
        <w:rPr>
          <w:rFonts w:ascii="宋体" w:hAnsi="宋体"/>
          <w:bCs/>
        </w:rPr>
      </w:pPr>
      <w:r>
        <w:rPr>
          <w:rFonts w:ascii="宋体" w:hAnsi="宋体"/>
          <w:bCs/>
        </w:rPr>
        <w:t>2、根据《基金法》、《运作办法》</w:t>
      </w:r>
      <w:r>
        <w:rPr>
          <w:rFonts w:ascii="宋体" w:hAnsi="宋体" w:hint="eastAsia"/>
          <w:bCs/>
        </w:rPr>
        <w:t>、《试行办法》、《通知》</w:t>
      </w:r>
      <w:r>
        <w:rPr>
          <w:rFonts w:ascii="宋体" w:hAnsi="宋体"/>
          <w:bCs/>
        </w:rPr>
        <w:t>及其他有关规定，基金管理人的义务包括但不限于：</w:t>
      </w:r>
    </w:p>
    <w:p w14:paraId="51DBFFB8" w14:textId="77777777" w:rsidR="0082364D" w:rsidRDefault="00BF2824">
      <w:pPr>
        <w:spacing w:line="360" w:lineRule="auto"/>
        <w:ind w:firstLineChars="200" w:firstLine="420"/>
        <w:jc w:val="left"/>
        <w:rPr>
          <w:rFonts w:ascii="宋体" w:hAnsi="宋体"/>
          <w:bCs/>
        </w:rPr>
      </w:pPr>
      <w:r>
        <w:rPr>
          <w:rFonts w:ascii="宋体" w:hAnsi="宋体"/>
          <w:bCs/>
        </w:rPr>
        <w:t>（1）依法募集资金，办理或者委托经中国证监会认定的其他机构代为办理基金份额的发售、申购、赎回和登记结算事宜；</w:t>
      </w:r>
    </w:p>
    <w:p w14:paraId="7FEE1FA4" w14:textId="77777777" w:rsidR="0082364D" w:rsidRDefault="00BF2824">
      <w:pPr>
        <w:spacing w:line="360" w:lineRule="auto"/>
        <w:ind w:firstLineChars="200" w:firstLine="420"/>
        <w:jc w:val="left"/>
        <w:rPr>
          <w:rFonts w:ascii="宋体" w:hAnsi="宋体"/>
          <w:bCs/>
        </w:rPr>
      </w:pPr>
      <w:r>
        <w:rPr>
          <w:rFonts w:ascii="宋体" w:hAnsi="宋体"/>
          <w:bCs/>
        </w:rPr>
        <w:t>（2）办理基金备案手续；</w:t>
      </w:r>
    </w:p>
    <w:p w14:paraId="6D40C2B2" w14:textId="77777777" w:rsidR="0082364D" w:rsidRDefault="00BF2824">
      <w:pPr>
        <w:spacing w:line="360" w:lineRule="auto"/>
        <w:ind w:firstLineChars="200" w:firstLine="420"/>
        <w:jc w:val="left"/>
        <w:rPr>
          <w:rFonts w:ascii="宋体" w:hAnsi="宋体"/>
          <w:bCs/>
        </w:rPr>
      </w:pPr>
      <w:r>
        <w:rPr>
          <w:rFonts w:ascii="宋体" w:hAnsi="宋体"/>
          <w:bCs/>
        </w:rPr>
        <w:t>（3）自《基金合同》生效之日起，以诚实信用、谨慎勤勉的原则管理和运用基金财产；</w:t>
      </w:r>
    </w:p>
    <w:p w14:paraId="687A2B0F" w14:textId="77777777" w:rsidR="0082364D" w:rsidRDefault="00BF2824">
      <w:pPr>
        <w:spacing w:line="360" w:lineRule="auto"/>
        <w:ind w:firstLineChars="200" w:firstLine="420"/>
        <w:jc w:val="left"/>
        <w:rPr>
          <w:rFonts w:ascii="宋体" w:hAnsi="宋体"/>
          <w:bCs/>
        </w:rPr>
      </w:pPr>
      <w:r>
        <w:rPr>
          <w:rFonts w:ascii="宋体" w:hAnsi="宋体"/>
          <w:bCs/>
        </w:rPr>
        <w:t>（4）配备足够的具有专业资格的人员进行基金投资分析、决策，以专业化的经营方式管理和运作基金财产；</w:t>
      </w:r>
    </w:p>
    <w:p w14:paraId="31D2DD27" w14:textId="77777777" w:rsidR="0082364D" w:rsidRDefault="00BF2824">
      <w:pPr>
        <w:spacing w:line="360" w:lineRule="auto"/>
        <w:ind w:firstLineChars="200" w:firstLine="420"/>
        <w:jc w:val="left"/>
        <w:rPr>
          <w:rFonts w:ascii="宋体" w:hAnsi="宋体"/>
          <w:bCs/>
        </w:rPr>
      </w:pPr>
      <w:r>
        <w:rPr>
          <w:rFonts w:ascii="宋体" w:hAnsi="宋体"/>
          <w:bCs/>
        </w:rPr>
        <w:t>（5）建立健全内部风险控制、监察与稽核、财务管理及人事管理等制度，保证所管理的基金财产和基金管理人的财产相互独立，对所管理的不同基金分别管理，分别记账，进行证券投资；</w:t>
      </w:r>
    </w:p>
    <w:p w14:paraId="017B00EE" w14:textId="77777777" w:rsidR="0082364D" w:rsidRDefault="00BF2824">
      <w:pPr>
        <w:spacing w:line="360" w:lineRule="auto"/>
        <w:ind w:firstLineChars="200" w:firstLine="420"/>
        <w:jc w:val="left"/>
        <w:rPr>
          <w:rFonts w:ascii="宋体" w:hAnsi="宋体"/>
          <w:bCs/>
        </w:rPr>
      </w:pPr>
      <w:r>
        <w:rPr>
          <w:rFonts w:ascii="宋体" w:hAnsi="宋体"/>
          <w:bCs/>
        </w:rPr>
        <w:t>（6）除依据《基金法》、《基金合同》及其他有关规定外，不得利用基金财产为自己及任何第三人谋取利益，不得委托第三人运作基金财产；</w:t>
      </w:r>
    </w:p>
    <w:p w14:paraId="66DF632E" w14:textId="77777777" w:rsidR="0082364D" w:rsidRDefault="00BF2824">
      <w:pPr>
        <w:spacing w:line="360" w:lineRule="auto"/>
        <w:ind w:firstLineChars="200" w:firstLine="420"/>
        <w:jc w:val="left"/>
        <w:rPr>
          <w:rFonts w:ascii="宋体" w:hAnsi="宋体"/>
          <w:bCs/>
        </w:rPr>
      </w:pPr>
      <w:r>
        <w:rPr>
          <w:rFonts w:ascii="宋体" w:hAnsi="宋体"/>
          <w:bCs/>
        </w:rPr>
        <w:t>（7）依法接受基金托管人的监督；</w:t>
      </w:r>
    </w:p>
    <w:p w14:paraId="22ECC8CF" w14:textId="77777777" w:rsidR="0082364D" w:rsidRDefault="00BF2824">
      <w:pPr>
        <w:spacing w:line="360" w:lineRule="auto"/>
        <w:ind w:firstLineChars="200" w:firstLine="420"/>
        <w:jc w:val="left"/>
        <w:rPr>
          <w:rFonts w:ascii="宋体" w:hAnsi="宋体"/>
          <w:bCs/>
        </w:rPr>
      </w:pPr>
      <w:r>
        <w:rPr>
          <w:rFonts w:ascii="宋体" w:hAnsi="宋体"/>
          <w:bCs/>
        </w:rPr>
        <w:t>（8）采取适当合理的措施使计算基金份额认购价格、申购对价、赎回对价的方法符合《基金合同》等法律文件的规定，按有关规定计算并公告基金净值信息，确定基金份额申购、赎回对价，编制申购赎回清单；</w:t>
      </w:r>
    </w:p>
    <w:p w14:paraId="70E07E1E" w14:textId="77777777" w:rsidR="0082364D" w:rsidRDefault="00BF2824">
      <w:pPr>
        <w:spacing w:line="360" w:lineRule="auto"/>
        <w:ind w:firstLineChars="200" w:firstLine="420"/>
        <w:jc w:val="left"/>
        <w:rPr>
          <w:rFonts w:ascii="宋体" w:hAnsi="宋体"/>
          <w:bCs/>
        </w:rPr>
      </w:pPr>
      <w:r>
        <w:rPr>
          <w:rFonts w:ascii="宋体" w:hAnsi="宋体"/>
          <w:bCs/>
        </w:rPr>
        <w:lastRenderedPageBreak/>
        <w:t>（9）进行基金会计核算并编制基金财务会计报告；</w:t>
      </w:r>
    </w:p>
    <w:p w14:paraId="6F534BB1" w14:textId="77777777" w:rsidR="0082364D" w:rsidRDefault="00BF2824">
      <w:pPr>
        <w:spacing w:line="360" w:lineRule="auto"/>
        <w:ind w:firstLineChars="200" w:firstLine="420"/>
        <w:jc w:val="left"/>
        <w:rPr>
          <w:rFonts w:ascii="宋体" w:hAnsi="宋体"/>
          <w:bCs/>
        </w:rPr>
      </w:pPr>
      <w:r>
        <w:rPr>
          <w:rFonts w:ascii="宋体" w:hAnsi="宋体"/>
          <w:bCs/>
        </w:rPr>
        <w:t>（10）编制季度报告、中期报告和年度报告；</w:t>
      </w:r>
    </w:p>
    <w:p w14:paraId="698BBCCF" w14:textId="77777777" w:rsidR="0082364D" w:rsidRDefault="00BF2824">
      <w:pPr>
        <w:spacing w:line="360" w:lineRule="auto"/>
        <w:ind w:firstLineChars="200" w:firstLine="420"/>
        <w:jc w:val="left"/>
        <w:rPr>
          <w:rFonts w:ascii="宋体" w:hAnsi="宋体"/>
          <w:bCs/>
        </w:rPr>
      </w:pPr>
      <w:r>
        <w:rPr>
          <w:rFonts w:ascii="宋体" w:hAnsi="宋体"/>
          <w:bCs/>
        </w:rPr>
        <w:t>（11）严格按照《基金法》、《基金合同》及其他有关规定，履行信息披露及报告义务；</w:t>
      </w:r>
    </w:p>
    <w:p w14:paraId="30D7469D" w14:textId="77777777" w:rsidR="0082364D" w:rsidRDefault="00BF2824">
      <w:pPr>
        <w:spacing w:line="360" w:lineRule="auto"/>
        <w:ind w:firstLineChars="200" w:firstLine="420"/>
        <w:jc w:val="left"/>
        <w:rPr>
          <w:rFonts w:ascii="宋体" w:hAnsi="宋体"/>
          <w:bCs/>
        </w:rPr>
      </w:pPr>
      <w:r>
        <w:rPr>
          <w:rFonts w:ascii="宋体" w:hAnsi="宋体"/>
          <w:bCs/>
        </w:rPr>
        <w:t>（12）保守基金商业秘密，不泄露基金投资计划、投资意向等。除《基金法》、《基金合同》及其他有关规定另有规定</w:t>
      </w:r>
      <w:r>
        <w:rPr>
          <w:rFonts w:ascii="宋体" w:hAnsi="宋体" w:hint="eastAsia"/>
          <w:bCs/>
        </w:rPr>
        <w:t>或有权机关另有要求</w:t>
      </w:r>
      <w:r>
        <w:rPr>
          <w:rFonts w:ascii="宋体" w:hAnsi="宋体"/>
          <w:bCs/>
        </w:rPr>
        <w:t>外，在基金信息公开披露前应予保密，不向他人泄露</w:t>
      </w:r>
      <w:r>
        <w:rPr>
          <w:rFonts w:ascii="宋体" w:hAnsi="宋体" w:hint="eastAsia"/>
          <w:bCs/>
        </w:rPr>
        <w:t>，但向审计、法律等外部专业顾问提供的除外</w:t>
      </w:r>
      <w:r>
        <w:rPr>
          <w:rFonts w:ascii="宋体" w:hAnsi="宋体"/>
          <w:bCs/>
        </w:rPr>
        <w:t>；</w:t>
      </w:r>
    </w:p>
    <w:p w14:paraId="4DBCC0B6" w14:textId="77777777" w:rsidR="0082364D" w:rsidRDefault="00BF2824">
      <w:pPr>
        <w:spacing w:line="360" w:lineRule="auto"/>
        <w:ind w:firstLineChars="200" w:firstLine="420"/>
        <w:jc w:val="left"/>
        <w:rPr>
          <w:rFonts w:ascii="宋体" w:hAnsi="宋体"/>
          <w:bCs/>
        </w:rPr>
      </w:pPr>
      <w:r>
        <w:rPr>
          <w:rFonts w:ascii="宋体" w:hAnsi="宋体"/>
          <w:bCs/>
        </w:rPr>
        <w:t>（13）按《基金合同》的约定确定基金收益分配方案，及时向基金份额持有人分配基金收益；</w:t>
      </w:r>
    </w:p>
    <w:p w14:paraId="5D39F17D" w14:textId="77777777" w:rsidR="0082364D" w:rsidRDefault="00BF2824">
      <w:pPr>
        <w:spacing w:line="360" w:lineRule="auto"/>
        <w:ind w:firstLineChars="200" w:firstLine="420"/>
        <w:jc w:val="left"/>
        <w:rPr>
          <w:rFonts w:ascii="宋体" w:hAnsi="宋体"/>
          <w:bCs/>
        </w:rPr>
      </w:pPr>
      <w:r>
        <w:rPr>
          <w:rFonts w:ascii="宋体" w:hAnsi="宋体"/>
          <w:bCs/>
        </w:rPr>
        <w:t>（14）按规定受理申购与赎回申请，及时、足额支付赎回对价；</w:t>
      </w:r>
    </w:p>
    <w:p w14:paraId="12F22D6B" w14:textId="77777777" w:rsidR="0082364D" w:rsidRDefault="00BF2824">
      <w:pPr>
        <w:spacing w:line="360" w:lineRule="auto"/>
        <w:ind w:firstLineChars="200" w:firstLine="420"/>
        <w:jc w:val="left"/>
        <w:rPr>
          <w:rFonts w:ascii="宋体" w:hAnsi="宋体"/>
          <w:bCs/>
        </w:rPr>
      </w:pPr>
      <w:r>
        <w:rPr>
          <w:rFonts w:ascii="宋体" w:hAnsi="宋体"/>
          <w:bCs/>
        </w:rPr>
        <w:t>（15）依据《基金法》、《基金合同》及其他有关规定召集基金份额持有人大会或配合基金托管人、基金份额持有人依法召集基金份额持有人大会；</w:t>
      </w:r>
    </w:p>
    <w:p w14:paraId="6FC50FA6" w14:textId="77777777" w:rsidR="0082364D" w:rsidRDefault="00BF2824">
      <w:pPr>
        <w:spacing w:line="360" w:lineRule="auto"/>
        <w:ind w:firstLineChars="200" w:firstLine="420"/>
        <w:jc w:val="left"/>
        <w:rPr>
          <w:rFonts w:ascii="宋体" w:hAnsi="宋体"/>
          <w:bCs/>
        </w:rPr>
      </w:pPr>
      <w:r>
        <w:rPr>
          <w:rFonts w:ascii="宋体" w:hAnsi="宋体"/>
          <w:bCs/>
        </w:rPr>
        <w:t>（16）按规定保存基金财产管理业务活动的会计账册、报表、记录和其他相关资料</w:t>
      </w:r>
      <w:r>
        <w:rPr>
          <w:rFonts w:ascii="宋体" w:hAnsi="宋体" w:hint="eastAsia"/>
          <w:bCs/>
        </w:rPr>
        <w:t>不低于法律法规规定的最低期限</w:t>
      </w:r>
      <w:r>
        <w:rPr>
          <w:rFonts w:ascii="宋体" w:hAnsi="宋体"/>
          <w:bCs/>
        </w:rPr>
        <w:t>；</w:t>
      </w:r>
    </w:p>
    <w:p w14:paraId="75F652D4" w14:textId="77777777" w:rsidR="0082364D" w:rsidRDefault="00BF2824">
      <w:pPr>
        <w:spacing w:line="360" w:lineRule="auto"/>
        <w:ind w:firstLineChars="200" w:firstLine="420"/>
        <w:jc w:val="left"/>
        <w:rPr>
          <w:rFonts w:ascii="宋体" w:hAnsi="宋体"/>
          <w:bCs/>
        </w:rPr>
      </w:pPr>
      <w:r>
        <w:rPr>
          <w:rFonts w:ascii="宋体" w:hAnsi="宋体"/>
          <w:bCs/>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5D49537" w14:textId="77777777" w:rsidR="0082364D" w:rsidRDefault="00BF2824">
      <w:pPr>
        <w:spacing w:line="360" w:lineRule="auto"/>
        <w:ind w:firstLineChars="200" w:firstLine="420"/>
        <w:jc w:val="left"/>
        <w:rPr>
          <w:rFonts w:ascii="宋体" w:hAnsi="宋体"/>
          <w:bCs/>
        </w:rPr>
      </w:pPr>
      <w:r>
        <w:rPr>
          <w:rFonts w:ascii="宋体" w:hAnsi="宋体"/>
          <w:bCs/>
        </w:rPr>
        <w:t>（18）组织并参加基金财产清算小组，参与基金财产的保管、清理、估价、变现和分配；</w:t>
      </w:r>
    </w:p>
    <w:p w14:paraId="476D1EBF" w14:textId="77777777" w:rsidR="0082364D" w:rsidRDefault="00BF2824">
      <w:pPr>
        <w:spacing w:line="360" w:lineRule="auto"/>
        <w:ind w:firstLineChars="200" w:firstLine="420"/>
        <w:jc w:val="left"/>
        <w:rPr>
          <w:rFonts w:ascii="宋体" w:hAnsi="宋体"/>
          <w:bCs/>
        </w:rPr>
      </w:pPr>
      <w:r>
        <w:rPr>
          <w:rFonts w:ascii="宋体" w:hAnsi="宋体"/>
          <w:bCs/>
        </w:rPr>
        <w:t>（19）面临解散、依法被撤销或者被依法宣告破产时，及时报告中国证监会并通知基金托管人；</w:t>
      </w:r>
    </w:p>
    <w:p w14:paraId="40414EF7" w14:textId="77777777" w:rsidR="0082364D" w:rsidRDefault="00BF2824">
      <w:pPr>
        <w:spacing w:line="360" w:lineRule="auto"/>
        <w:ind w:firstLineChars="200" w:firstLine="420"/>
        <w:jc w:val="left"/>
        <w:rPr>
          <w:rFonts w:ascii="宋体" w:hAnsi="宋体"/>
          <w:bCs/>
        </w:rPr>
      </w:pPr>
      <w:r>
        <w:rPr>
          <w:rFonts w:ascii="宋体" w:hAnsi="宋体"/>
          <w:bCs/>
        </w:rPr>
        <w:t>（20）因违反《基金合同》导致基金财产的损失或损害基金份额持有人合法权益时，应当承担赔偿责任，其赔偿责任不因其退任而免除；</w:t>
      </w:r>
    </w:p>
    <w:p w14:paraId="247F41CF" w14:textId="77777777" w:rsidR="0082364D" w:rsidRDefault="00BF2824">
      <w:pPr>
        <w:spacing w:line="360" w:lineRule="auto"/>
        <w:ind w:firstLineChars="200" w:firstLine="420"/>
        <w:jc w:val="left"/>
        <w:rPr>
          <w:rFonts w:ascii="宋体" w:hAnsi="宋体"/>
          <w:bCs/>
        </w:rPr>
      </w:pPr>
      <w:r>
        <w:rPr>
          <w:rFonts w:ascii="宋体" w:hAnsi="宋体"/>
          <w:bCs/>
        </w:rPr>
        <w:t>（21）监督基金托管人按法律法规和《基金合同》规定履行</w:t>
      </w:r>
      <w:r>
        <w:rPr>
          <w:rFonts w:ascii="宋体" w:hAnsi="宋体" w:hint="eastAsia"/>
          <w:bCs/>
        </w:rPr>
        <w:t>自己的</w:t>
      </w:r>
      <w:r>
        <w:rPr>
          <w:rFonts w:ascii="宋体" w:hAnsi="宋体"/>
          <w:bCs/>
        </w:rPr>
        <w:t>义务，基金托管人违反《基金合同》造成基金财产损失时，基金管理人应为基金份额持有人利益向基金托管人追偿；</w:t>
      </w:r>
    </w:p>
    <w:p w14:paraId="410C6124" w14:textId="77777777" w:rsidR="0082364D" w:rsidRDefault="00BF2824">
      <w:pPr>
        <w:spacing w:line="360" w:lineRule="auto"/>
        <w:ind w:firstLineChars="200" w:firstLine="420"/>
        <w:jc w:val="left"/>
        <w:rPr>
          <w:rFonts w:ascii="宋体" w:hAnsi="宋体"/>
          <w:bCs/>
        </w:rPr>
      </w:pPr>
      <w:r>
        <w:rPr>
          <w:rFonts w:ascii="宋体" w:hAnsi="宋体"/>
          <w:bCs/>
        </w:rPr>
        <w:t>（22）当基金管理人将其义务委托第三方处理时，应当对第三方处理有关基金事务的行为承担责任；</w:t>
      </w:r>
    </w:p>
    <w:p w14:paraId="12F76BBC" w14:textId="77777777" w:rsidR="0082364D" w:rsidRDefault="00BF2824">
      <w:pPr>
        <w:spacing w:line="360" w:lineRule="auto"/>
        <w:ind w:firstLineChars="200" w:firstLine="420"/>
        <w:jc w:val="left"/>
        <w:rPr>
          <w:rFonts w:ascii="宋体" w:hAnsi="宋体"/>
          <w:bCs/>
        </w:rPr>
      </w:pPr>
      <w:r>
        <w:rPr>
          <w:rFonts w:ascii="宋体" w:hAnsi="宋体"/>
          <w:bCs/>
        </w:rPr>
        <w:t>（23）以基金管理人名义，代表基金份额持有人利益行使诉讼权利或实施其他法律行为；</w:t>
      </w:r>
    </w:p>
    <w:p w14:paraId="38ECD3FA" w14:textId="77777777" w:rsidR="0082364D" w:rsidRDefault="00BF2824">
      <w:pPr>
        <w:spacing w:line="360" w:lineRule="auto"/>
        <w:ind w:firstLineChars="200" w:firstLine="420"/>
        <w:jc w:val="left"/>
        <w:rPr>
          <w:rFonts w:ascii="宋体" w:hAnsi="宋体"/>
          <w:bCs/>
        </w:rPr>
      </w:pPr>
      <w:r>
        <w:rPr>
          <w:rFonts w:ascii="宋体" w:hAnsi="宋体" w:hint="eastAsia"/>
          <w:bCs/>
        </w:rPr>
        <w:lastRenderedPageBreak/>
        <w:t>（</w:t>
      </w:r>
      <w:r>
        <w:rPr>
          <w:rFonts w:ascii="宋体" w:hAnsi="宋体"/>
          <w:bCs/>
        </w:rPr>
        <w:t>24</w:t>
      </w:r>
      <w:r>
        <w:rPr>
          <w:rFonts w:ascii="宋体" w:hAnsi="宋体" w:hint="eastAsia"/>
          <w:bCs/>
        </w:rPr>
        <w:t>）</w:t>
      </w:r>
      <w:r>
        <w:rPr>
          <w:rFonts w:ascii="宋体" w:hAnsi="宋体"/>
          <w:bCs/>
        </w:rPr>
        <w:t>基金管理人在募集期满未能达到基金的备案条件，《基金合同》不能生效，基金管理人</w:t>
      </w:r>
      <w:r>
        <w:rPr>
          <w:rFonts w:ascii="宋体" w:hAnsi="宋体" w:hint="eastAsia"/>
          <w:bCs/>
        </w:rPr>
        <w:t>应</w:t>
      </w:r>
      <w:r>
        <w:rPr>
          <w:rFonts w:ascii="宋体" w:hAnsi="宋体"/>
          <w:bCs/>
        </w:rPr>
        <w:t>将已</w:t>
      </w:r>
      <w:r>
        <w:rPr>
          <w:rFonts w:ascii="宋体" w:hAnsi="宋体" w:hint="eastAsia"/>
          <w:bCs/>
        </w:rPr>
        <w:t>募集的</w:t>
      </w:r>
      <w:r>
        <w:rPr>
          <w:rFonts w:ascii="宋体" w:hAnsi="宋体"/>
          <w:bCs/>
        </w:rPr>
        <w:t>认购款项</w:t>
      </w:r>
      <w:r>
        <w:rPr>
          <w:rFonts w:ascii="宋体" w:hAnsi="宋体" w:hint="eastAsia"/>
          <w:bCs/>
        </w:rPr>
        <w:t>（</w:t>
      </w:r>
      <w:r>
        <w:rPr>
          <w:rFonts w:ascii="宋体" w:hAnsi="宋体"/>
          <w:bCs/>
        </w:rPr>
        <w:t>加计银行同期</w:t>
      </w:r>
      <w:r>
        <w:rPr>
          <w:rFonts w:ascii="宋体" w:hAnsi="宋体" w:hint="eastAsia"/>
          <w:bCs/>
        </w:rPr>
        <w:t>活期</w:t>
      </w:r>
      <w:r>
        <w:rPr>
          <w:rFonts w:ascii="宋体" w:hAnsi="宋体"/>
          <w:bCs/>
        </w:rPr>
        <w:t>存款利息</w:t>
      </w:r>
      <w:r>
        <w:rPr>
          <w:rFonts w:ascii="宋体" w:hAnsi="宋体" w:hint="eastAsia"/>
          <w:bCs/>
        </w:rPr>
        <w:t>）</w:t>
      </w:r>
      <w:r>
        <w:rPr>
          <w:rFonts w:ascii="宋体" w:hAnsi="宋体"/>
          <w:bCs/>
        </w:rPr>
        <w:t>在基金募集期结束后</w:t>
      </w:r>
      <w:r>
        <w:rPr>
          <w:rFonts w:ascii="宋体" w:hAnsi="宋体" w:hint="eastAsia"/>
          <w:bCs/>
        </w:rPr>
        <w:t>30</w:t>
      </w:r>
      <w:r>
        <w:rPr>
          <w:rFonts w:ascii="宋体" w:hAnsi="宋体"/>
          <w:bCs/>
        </w:rPr>
        <w:t>日内退还基金认购人；</w:t>
      </w:r>
    </w:p>
    <w:p w14:paraId="708CFF00" w14:textId="77777777" w:rsidR="0082364D" w:rsidRDefault="00BF2824">
      <w:pPr>
        <w:spacing w:line="360" w:lineRule="auto"/>
        <w:ind w:firstLineChars="200" w:firstLine="420"/>
        <w:jc w:val="left"/>
        <w:rPr>
          <w:rFonts w:ascii="宋体" w:hAnsi="宋体"/>
          <w:bCs/>
        </w:rPr>
      </w:pPr>
      <w:r>
        <w:rPr>
          <w:rFonts w:ascii="宋体" w:hAnsi="宋体" w:hint="eastAsia"/>
          <w:bCs/>
        </w:rPr>
        <w:t>（2</w:t>
      </w:r>
      <w:r>
        <w:rPr>
          <w:rFonts w:ascii="宋体" w:hAnsi="宋体"/>
          <w:bCs/>
        </w:rPr>
        <w:t>5</w:t>
      </w:r>
      <w:r>
        <w:rPr>
          <w:rFonts w:ascii="宋体" w:hAnsi="宋体" w:hint="eastAsia"/>
          <w:bCs/>
        </w:rPr>
        <w:t>）基金管理人应按照《中华人民共和国反洗钱法》等有关反洗钱的法律法规和监管要求履行反洗钱义务，包括但不限于投资者身份识别、投资者身份和交易资料留存、资金来源和用途合法性审查、大额可疑交易报告、制裁筛查等，并为托管人开展反洗钱工作提供充分的协助，法律法规另有规定的除外；</w:t>
      </w:r>
    </w:p>
    <w:p w14:paraId="6C1F9364" w14:textId="77777777" w:rsidR="0082364D" w:rsidRDefault="00BF2824">
      <w:pPr>
        <w:spacing w:line="360" w:lineRule="auto"/>
        <w:ind w:firstLineChars="200" w:firstLine="420"/>
        <w:jc w:val="left"/>
        <w:rPr>
          <w:rFonts w:ascii="宋体" w:hAnsi="宋体"/>
          <w:bCs/>
        </w:rPr>
      </w:pPr>
      <w:r>
        <w:rPr>
          <w:rFonts w:ascii="宋体" w:hAnsi="宋体"/>
          <w:bCs/>
        </w:rPr>
        <w:t>（26）执行生效的基金份额持有人大会的决议；</w:t>
      </w:r>
    </w:p>
    <w:p w14:paraId="12664EDA" w14:textId="77777777" w:rsidR="0082364D" w:rsidRDefault="00BF2824">
      <w:pPr>
        <w:spacing w:line="360" w:lineRule="auto"/>
        <w:ind w:firstLineChars="200" w:firstLine="420"/>
        <w:jc w:val="left"/>
        <w:rPr>
          <w:rFonts w:ascii="宋体" w:hAnsi="宋体"/>
          <w:bCs/>
        </w:rPr>
      </w:pPr>
      <w:r>
        <w:rPr>
          <w:rFonts w:ascii="宋体" w:hAnsi="宋体"/>
          <w:bCs/>
        </w:rPr>
        <w:t>（27）建立并保存基金份额持有人名册；</w:t>
      </w:r>
    </w:p>
    <w:p w14:paraId="79EBCDD8" w14:textId="77777777" w:rsidR="0082364D" w:rsidRDefault="00BF2824">
      <w:pPr>
        <w:spacing w:line="360" w:lineRule="auto"/>
        <w:ind w:firstLineChars="200" w:firstLine="420"/>
        <w:jc w:val="left"/>
        <w:rPr>
          <w:rFonts w:ascii="宋体" w:hAnsi="宋体"/>
          <w:bCs/>
        </w:rPr>
      </w:pPr>
      <w:r>
        <w:rPr>
          <w:rFonts w:ascii="宋体" w:hAnsi="宋体"/>
          <w:bCs/>
        </w:rPr>
        <w:t>（28）法律法规及中国证监会规定的和《基金合同》约定的其他义务。</w:t>
      </w:r>
    </w:p>
    <w:p w14:paraId="6644D0B3" w14:textId="36BECD79" w:rsidR="0082364D" w:rsidRDefault="00BF2824">
      <w:pPr>
        <w:spacing w:line="360" w:lineRule="auto"/>
        <w:ind w:firstLineChars="200" w:firstLine="420"/>
        <w:jc w:val="left"/>
        <w:rPr>
          <w:rFonts w:ascii="宋体" w:hAnsi="宋体"/>
          <w:bCs/>
        </w:rPr>
      </w:pPr>
      <w:r>
        <w:rPr>
          <w:rFonts w:ascii="宋体" w:hAnsi="宋体" w:hint="eastAsia"/>
        </w:rPr>
        <w:t xml:space="preserve">C. </w:t>
      </w:r>
      <w:r>
        <w:rPr>
          <w:rFonts w:ascii="宋体" w:hAnsi="宋体"/>
          <w:bCs/>
        </w:rPr>
        <w:t>基金托管人的权利与义务</w:t>
      </w:r>
    </w:p>
    <w:p w14:paraId="79075F55" w14:textId="77777777" w:rsidR="0082364D" w:rsidRDefault="00BF2824">
      <w:pPr>
        <w:spacing w:line="360" w:lineRule="auto"/>
        <w:ind w:firstLineChars="200" w:firstLine="420"/>
        <w:jc w:val="left"/>
        <w:rPr>
          <w:rFonts w:ascii="宋体" w:hAnsi="宋体"/>
          <w:bCs/>
        </w:rPr>
      </w:pPr>
      <w:r>
        <w:rPr>
          <w:rFonts w:ascii="宋体" w:hAnsi="宋体"/>
          <w:bCs/>
        </w:rPr>
        <w:t>1、根据《基金法》、《运作办法》</w:t>
      </w:r>
      <w:r>
        <w:rPr>
          <w:rFonts w:ascii="宋体" w:hAnsi="宋体" w:hint="eastAsia"/>
          <w:bCs/>
        </w:rPr>
        <w:t>、《试行办法》、《通知》</w:t>
      </w:r>
      <w:r>
        <w:rPr>
          <w:rFonts w:ascii="宋体" w:hAnsi="宋体"/>
          <w:bCs/>
        </w:rPr>
        <w:t>及其他有关规定，基金托管人的权利包括但不限于：</w:t>
      </w:r>
    </w:p>
    <w:p w14:paraId="2AE126D5" w14:textId="77777777" w:rsidR="0082364D" w:rsidRDefault="00BF2824">
      <w:pPr>
        <w:spacing w:line="360" w:lineRule="auto"/>
        <w:ind w:firstLineChars="200" w:firstLine="420"/>
        <w:jc w:val="left"/>
        <w:rPr>
          <w:rFonts w:ascii="宋体" w:hAnsi="宋体"/>
          <w:bCs/>
        </w:rPr>
      </w:pPr>
      <w:r>
        <w:rPr>
          <w:rFonts w:ascii="宋体" w:hAnsi="宋体"/>
          <w:bCs/>
        </w:rPr>
        <w:t>（1）自《基金合同》生效之日起，依法律法规和《基金合同》的规定安全保管基金财产；</w:t>
      </w:r>
    </w:p>
    <w:p w14:paraId="1A9B8309" w14:textId="77777777" w:rsidR="0082364D" w:rsidRDefault="00BF2824">
      <w:pPr>
        <w:spacing w:line="360" w:lineRule="auto"/>
        <w:ind w:firstLineChars="200" w:firstLine="420"/>
        <w:jc w:val="left"/>
        <w:rPr>
          <w:rFonts w:ascii="宋体" w:hAnsi="宋体"/>
          <w:bCs/>
        </w:rPr>
      </w:pPr>
      <w:r>
        <w:rPr>
          <w:rFonts w:ascii="宋体" w:hAnsi="宋体"/>
          <w:bCs/>
        </w:rPr>
        <w:t>（2）依《基金合同》约定获得基金托管费以及法律法规规定或监管部门批准的其他费用；</w:t>
      </w:r>
    </w:p>
    <w:p w14:paraId="5AFEB8F3" w14:textId="77777777" w:rsidR="0082364D" w:rsidRDefault="00BF2824">
      <w:pPr>
        <w:spacing w:line="360" w:lineRule="auto"/>
        <w:ind w:firstLineChars="200" w:firstLine="420"/>
        <w:jc w:val="left"/>
        <w:rPr>
          <w:rFonts w:ascii="宋体" w:hAnsi="宋体"/>
          <w:bCs/>
        </w:rPr>
      </w:pPr>
      <w:r>
        <w:rPr>
          <w:rFonts w:ascii="宋体" w:hAnsi="宋体"/>
          <w:bCs/>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90A2375" w14:textId="77777777" w:rsidR="0082364D" w:rsidRDefault="00BF2824">
      <w:pPr>
        <w:spacing w:line="360" w:lineRule="auto"/>
        <w:ind w:firstLineChars="200" w:firstLine="420"/>
        <w:jc w:val="left"/>
        <w:rPr>
          <w:rFonts w:ascii="宋体" w:hAnsi="宋体"/>
          <w:bCs/>
        </w:rPr>
      </w:pPr>
      <w:r>
        <w:rPr>
          <w:rFonts w:ascii="宋体" w:hAnsi="宋体"/>
          <w:bCs/>
        </w:rPr>
        <w:t>（4）根据相关市场规则，为基金开设</w:t>
      </w:r>
      <w:r>
        <w:rPr>
          <w:rFonts w:ascii="宋体" w:hAnsi="宋体" w:hint="eastAsia"/>
          <w:bCs/>
        </w:rPr>
        <w:t>或注销</w:t>
      </w:r>
      <w:r>
        <w:rPr>
          <w:rFonts w:ascii="宋体" w:hAnsi="宋体"/>
          <w:bCs/>
        </w:rPr>
        <w:t>证券账户、资金账户等投资所需账户，为基金办理证券</w:t>
      </w:r>
      <w:r>
        <w:rPr>
          <w:rFonts w:ascii="宋体" w:hAnsi="宋体" w:hint="eastAsia"/>
          <w:bCs/>
        </w:rPr>
        <w:t>、期货</w:t>
      </w:r>
      <w:r>
        <w:rPr>
          <w:rFonts w:ascii="宋体" w:hAnsi="宋体"/>
          <w:bCs/>
        </w:rPr>
        <w:t>交易资金清算；</w:t>
      </w:r>
    </w:p>
    <w:p w14:paraId="14FF2FE6" w14:textId="77777777" w:rsidR="0082364D" w:rsidRDefault="00BF2824">
      <w:pPr>
        <w:spacing w:line="360" w:lineRule="auto"/>
        <w:ind w:firstLineChars="200" w:firstLine="420"/>
        <w:jc w:val="left"/>
        <w:rPr>
          <w:rFonts w:ascii="宋体" w:hAnsi="宋体"/>
          <w:bCs/>
        </w:rPr>
      </w:pPr>
      <w:r>
        <w:rPr>
          <w:rFonts w:ascii="宋体" w:hAnsi="宋体"/>
          <w:bCs/>
        </w:rPr>
        <w:t>（5）提议召开或召集基金份额持有人大会；</w:t>
      </w:r>
    </w:p>
    <w:p w14:paraId="1CDD4FB7" w14:textId="77777777" w:rsidR="0082364D" w:rsidRDefault="00BF2824">
      <w:pPr>
        <w:spacing w:line="360" w:lineRule="auto"/>
        <w:ind w:firstLineChars="200" w:firstLine="420"/>
        <w:jc w:val="left"/>
        <w:rPr>
          <w:rFonts w:ascii="宋体" w:hAnsi="宋体"/>
          <w:bCs/>
        </w:rPr>
      </w:pPr>
      <w:r>
        <w:rPr>
          <w:rFonts w:ascii="宋体" w:hAnsi="宋体"/>
          <w:bCs/>
        </w:rPr>
        <w:t>（6）在基金管理人更换时，提名新的基金管理人；</w:t>
      </w:r>
    </w:p>
    <w:p w14:paraId="7147EC0E" w14:textId="77777777" w:rsidR="0082364D" w:rsidRDefault="00BF2824">
      <w:pPr>
        <w:spacing w:line="360" w:lineRule="auto"/>
        <w:ind w:firstLineChars="200" w:firstLine="420"/>
        <w:jc w:val="left"/>
        <w:rPr>
          <w:rFonts w:ascii="宋体" w:hAnsi="宋体"/>
          <w:bCs/>
        </w:rPr>
      </w:pPr>
      <w:r>
        <w:rPr>
          <w:rFonts w:ascii="宋体" w:hAnsi="宋体" w:hint="eastAsia"/>
          <w:bCs/>
        </w:rPr>
        <w:t>（7）选择、更换或撤销境外托管人并与之签署有关协议；</w:t>
      </w:r>
    </w:p>
    <w:p w14:paraId="6F37C759" w14:textId="77777777" w:rsidR="0082364D" w:rsidRDefault="00BF2824">
      <w:pPr>
        <w:spacing w:line="360" w:lineRule="auto"/>
        <w:ind w:firstLineChars="200" w:firstLine="420"/>
        <w:jc w:val="left"/>
        <w:rPr>
          <w:rFonts w:ascii="宋体" w:hAnsi="宋体"/>
          <w:bCs/>
        </w:rPr>
      </w:pPr>
      <w:r>
        <w:rPr>
          <w:rFonts w:ascii="宋体" w:hAnsi="宋体"/>
          <w:bCs/>
        </w:rPr>
        <w:t>（8）法律法规及中国证监会规定的和《基金合同》约定的其他权利。</w:t>
      </w:r>
    </w:p>
    <w:p w14:paraId="49E7A1AF" w14:textId="77777777" w:rsidR="0082364D" w:rsidRDefault="00BF2824">
      <w:pPr>
        <w:spacing w:line="360" w:lineRule="auto"/>
        <w:ind w:firstLineChars="200" w:firstLine="420"/>
        <w:jc w:val="left"/>
        <w:rPr>
          <w:rFonts w:ascii="宋体" w:hAnsi="宋体"/>
          <w:bCs/>
        </w:rPr>
      </w:pPr>
      <w:r>
        <w:rPr>
          <w:rFonts w:ascii="宋体" w:hAnsi="宋体"/>
          <w:bCs/>
        </w:rPr>
        <w:t>2、根据《基金法》、《运作办法》</w:t>
      </w:r>
      <w:r>
        <w:rPr>
          <w:rFonts w:ascii="宋体" w:hAnsi="宋体" w:hint="eastAsia"/>
          <w:bCs/>
        </w:rPr>
        <w:t>、《试行办法》、《通知》</w:t>
      </w:r>
      <w:r>
        <w:rPr>
          <w:rFonts w:ascii="宋体" w:hAnsi="宋体"/>
          <w:bCs/>
        </w:rPr>
        <w:t>及其他有关规定，基金托管人的义务包括但不限于：</w:t>
      </w:r>
    </w:p>
    <w:p w14:paraId="56329642" w14:textId="77777777" w:rsidR="0082364D" w:rsidRDefault="00BF2824">
      <w:pPr>
        <w:spacing w:line="360" w:lineRule="auto"/>
        <w:ind w:firstLineChars="200" w:firstLine="420"/>
        <w:jc w:val="left"/>
        <w:rPr>
          <w:rFonts w:ascii="宋体" w:hAnsi="宋体"/>
          <w:bCs/>
        </w:rPr>
      </w:pPr>
      <w:r>
        <w:rPr>
          <w:rFonts w:ascii="宋体" w:hAnsi="宋体"/>
          <w:bCs/>
        </w:rPr>
        <w:t>（1）以诚实信用、勤勉尽责的原则持有并安全保管基金财产</w:t>
      </w:r>
      <w:r>
        <w:rPr>
          <w:rFonts w:ascii="宋体" w:hAnsi="宋体" w:hint="eastAsia"/>
          <w:bCs/>
        </w:rPr>
        <w:t>，</w:t>
      </w:r>
      <w:r>
        <w:rPr>
          <w:rFonts w:ascii="宋体" w:hAnsi="宋体"/>
          <w:bCs/>
        </w:rPr>
        <w:t>准时将公司行为信息通知</w:t>
      </w:r>
      <w:r>
        <w:rPr>
          <w:rFonts w:ascii="宋体" w:hAnsi="宋体" w:hint="eastAsia"/>
          <w:bCs/>
        </w:rPr>
        <w:t>基金</w:t>
      </w:r>
      <w:r>
        <w:rPr>
          <w:rFonts w:ascii="宋体" w:hAnsi="宋体"/>
          <w:bCs/>
        </w:rPr>
        <w:t>管理人；</w:t>
      </w:r>
    </w:p>
    <w:p w14:paraId="6DBB3A17" w14:textId="77777777" w:rsidR="0082364D" w:rsidRDefault="00BF2824">
      <w:pPr>
        <w:spacing w:line="360" w:lineRule="auto"/>
        <w:ind w:firstLineChars="200" w:firstLine="420"/>
        <w:jc w:val="left"/>
        <w:rPr>
          <w:rFonts w:ascii="宋体" w:hAnsi="宋体"/>
          <w:bCs/>
        </w:rPr>
      </w:pPr>
      <w:r>
        <w:rPr>
          <w:rFonts w:ascii="宋体" w:hAnsi="宋体"/>
          <w:bCs/>
        </w:rPr>
        <w:lastRenderedPageBreak/>
        <w:t>（2）设立专门的基金托管部门，具有符合要求的营业场所，配备足够的、合格的熟悉基金托管业务的专职人员，负责基金财产托管事宜；</w:t>
      </w:r>
    </w:p>
    <w:p w14:paraId="42B07593" w14:textId="77777777" w:rsidR="0082364D" w:rsidRDefault="00BF2824">
      <w:pPr>
        <w:spacing w:line="360" w:lineRule="auto"/>
        <w:ind w:firstLineChars="200" w:firstLine="420"/>
        <w:jc w:val="left"/>
        <w:rPr>
          <w:rFonts w:ascii="宋体" w:hAnsi="宋体"/>
          <w:bCs/>
        </w:rPr>
      </w:pPr>
      <w:r>
        <w:rPr>
          <w:rFonts w:ascii="宋体" w:hAnsi="宋体"/>
          <w:bCs/>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69B4D91" w14:textId="77777777" w:rsidR="0082364D" w:rsidRDefault="00BF2824">
      <w:pPr>
        <w:spacing w:line="360" w:lineRule="auto"/>
        <w:ind w:firstLineChars="200" w:firstLine="420"/>
        <w:jc w:val="left"/>
        <w:rPr>
          <w:rFonts w:ascii="宋体" w:hAnsi="宋体"/>
          <w:bCs/>
        </w:rPr>
      </w:pPr>
      <w:r>
        <w:rPr>
          <w:rFonts w:ascii="宋体" w:hAnsi="宋体"/>
          <w:bCs/>
        </w:rPr>
        <w:t>（4）除依据《基金法》、《基金合同》及其他有关规定外，不得利用基金财产为自己及任何第三人谋取利益，不得委托第三人托管基金财产；</w:t>
      </w:r>
    </w:p>
    <w:p w14:paraId="0EFB59E4" w14:textId="77777777" w:rsidR="0082364D" w:rsidRDefault="00BF2824">
      <w:pPr>
        <w:spacing w:line="360" w:lineRule="auto"/>
        <w:ind w:firstLineChars="200" w:firstLine="420"/>
        <w:jc w:val="left"/>
        <w:rPr>
          <w:rFonts w:ascii="宋体" w:hAnsi="宋体"/>
          <w:bCs/>
        </w:rPr>
      </w:pPr>
      <w:r>
        <w:rPr>
          <w:rFonts w:ascii="宋体" w:hAnsi="宋体"/>
          <w:bCs/>
        </w:rPr>
        <w:t>（5）保管由基金管理人代表基金签订的与基金有关的重大合同及有关凭证；</w:t>
      </w:r>
    </w:p>
    <w:p w14:paraId="5BB44BBB" w14:textId="77777777" w:rsidR="0082364D" w:rsidRDefault="00BF2824">
      <w:pPr>
        <w:spacing w:line="360" w:lineRule="auto"/>
        <w:ind w:firstLineChars="200" w:firstLine="420"/>
        <w:jc w:val="left"/>
        <w:rPr>
          <w:rFonts w:ascii="宋体" w:hAnsi="宋体"/>
          <w:bCs/>
        </w:rPr>
      </w:pPr>
      <w:r>
        <w:rPr>
          <w:rFonts w:ascii="宋体" w:hAnsi="宋体"/>
          <w:bCs/>
        </w:rPr>
        <w:t>（6）按规定开设</w:t>
      </w:r>
      <w:r>
        <w:rPr>
          <w:rFonts w:ascii="宋体" w:hAnsi="宋体" w:hint="eastAsia"/>
          <w:bCs/>
        </w:rPr>
        <w:t>或注销</w:t>
      </w:r>
      <w:r>
        <w:rPr>
          <w:rFonts w:ascii="宋体" w:hAnsi="宋体"/>
          <w:bCs/>
        </w:rPr>
        <w:t>基金财产的资金账户、证券账户及投资所需的账户，按照《基金合同》的约定，根据基金管理人的投资指令，及时办理清算、交割事宜；</w:t>
      </w:r>
    </w:p>
    <w:p w14:paraId="2ECA1ED9" w14:textId="77777777" w:rsidR="0082364D" w:rsidRDefault="00BF2824">
      <w:pPr>
        <w:spacing w:line="360" w:lineRule="auto"/>
        <w:ind w:firstLineChars="200" w:firstLine="420"/>
        <w:jc w:val="left"/>
        <w:rPr>
          <w:rFonts w:ascii="宋体" w:hAnsi="宋体"/>
          <w:bCs/>
        </w:rPr>
      </w:pPr>
      <w:r>
        <w:rPr>
          <w:rFonts w:ascii="宋体" w:hAnsi="宋体"/>
          <w:bCs/>
        </w:rPr>
        <w:t>（7）保守基金商业秘密，除《基金法》、《基金合同》及其他有关规定另有规定</w:t>
      </w:r>
      <w:r>
        <w:rPr>
          <w:rFonts w:ascii="宋体" w:hAnsi="宋体" w:hint="eastAsia"/>
          <w:bCs/>
        </w:rPr>
        <w:t>或有权机关另有要求</w:t>
      </w:r>
      <w:r>
        <w:rPr>
          <w:rFonts w:ascii="宋体" w:hAnsi="宋体"/>
          <w:bCs/>
        </w:rPr>
        <w:t>外，在基金信息公开披露前予以保密，不得向他人泄露</w:t>
      </w:r>
      <w:r>
        <w:rPr>
          <w:rFonts w:ascii="宋体" w:hAnsi="宋体" w:hint="eastAsia"/>
          <w:bCs/>
        </w:rPr>
        <w:t>，因向审计、法律等外部专业顾问提供的情况除外</w:t>
      </w:r>
      <w:r>
        <w:rPr>
          <w:rFonts w:ascii="宋体" w:hAnsi="宋体"/>
          <w:bCs/>
        </w:rPr>
        <w:t>；</w:t>
      </w:r>
    </w:p>
    <w:p w14:paraId="1B0E437A" w14:textId="77777777" w:rsidR="0082364D" w:rsidRDefault="00BF2824">
      <w:pPr>
        <w:spacing w:line="360" w:lineRule="auto"/>
        <w:ind w:firstLineChars="200" w:firstLine="420"/>
        <w:jc w:val="left"/>
        <w:rPr>
          <w:rFonts w:ascii="宋体" w:hAnsi="宋体"/>
          <w:bCs/>
        </w:rPr>
      </w:pPr>
      <w:r>
        <w:rPr>
          <w:rFonts w:ascii="宋体" w:hAnsi="宋体"/>
          <w:bCs/>
        </w:rPr>
        <w:t>（8）复核、审查基金管理人计算的基金资产净值、</w:t>
      </w:r>
      <w:r>
        <w:rPr>
          <w:rFonts w:ascii="宋体" w:hAnsi="宋体" w:hint="eastAsia"/>
          <w:bCs/>
        </w:rPr>
        <w:t>基金份额净值、基金份额申购、赎回对价</w:t>
      </w:r>
      <w:r>
        <w:rPr>
          <w:rFonts w:ascii="宋体" w:hAnsi="宋体"/>
          <w:bCs/>
        </w:rPr>
        <w:t>；</w:t>
      </w:r>
    </w:p>
    <w:p w14:paraId="0D3F4E3B" w14:textId="77777777" w:rsidR="0082364D" w:rsidRDefault="00BF2824">
      <w:pPr>
        <w:spacing w:line="360" w:lineRule="auto"/>
        <w:ind w:firstLineChars="200" w:firstLine="420"/>
        <w:jc w:val="left"/>
        <w:rPr>
          <w:rFonts w:ascii="宋体" w:hAnsi="宋体"/>
          <w:bCs/>
        </w:rPr>
      </w:pPr>
      <w:r>
        <w:rPr>
          <w:rFonts w:ascii="宋体" w:hAnsi="宋体"/>
          <w:bCs/>
        </w:rPr>
        <w:t>（9）办理与基金托管业务活动有关的信息披露事项；</w:t>
      </w:r>
    </w:p>
    <w:p w14:paraId="50A8D5AB" w14:textId="77777777" w:rsidR="0082364D" w:rsidRDefault="00BF2824">
      <w:pPr>
        <w:spacing w:line="360" w:lineRule="auto"/>
        <w:ind w:firstLineChars="200" w:firstLine="420"/>
        <w:jc w:val="left"/>
        <w:rPr>
          <w:rFonts w:ascii="宋体" w:hAnsi="宋体"/>
          <w:bCs/>
        </w:rPr>
      </w:pPr>
      <w:r>
        <w:rPr>
          <w:rFonts w:ascii="宋体" w:hAnsi="宋体"/>
          <w:bCs/>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819EFB6" w14:textId="77777777" w:rsidR="0082364D" w:rsidRDefault="00BF2824">
      <w:pPr>
        <w:spacing w:line="360" w:lineRule="auto"/>
        <w:ind w:firstLineChars="200" w:firstLine="420"/>
        <w:jc w:val="left"/>
        <w:rPr>
          <w:rFonts w:ascii="宋体" w:hAnsi="宋体"/>
          <w:bCs/>
        </w:rPr>
      </w:pPr>
      <w:r>
        <w:rPr>
          <w:rFonts w:ascii="宋体" w:hAnsi="宋体"/>
          <w:bCs/>
        </w:rPr>
        <w:t>（11）</w:t>
      </w:r>
      <w:r>
        <w:rPr>
          <w:rFonts w:ascii="宋体" w:hAnsi="宋体" w:hint="eastAsia"/>
          <w:bCs/>
        </w:rPr>
        <w:t>保存基金托管业务活动的记录、账册、报表和其他相关资料不低于法律法规要求的最低年限</w:t>
      </w:r>
      <w:r>
        <w:rPr>
          <w:rFonts w:ascii="宋体" w:hAnsi="宋体"/>
          <w:bCs/>
        </w:rPr>
        <w:t>；</w:t>
      </w:r>
    </w:p>
    <w:p w14:paraId="160E1D38" w14:textId="77777777" w:rsidR="0082364D" w:rsidRDefault="00BF2824">
      <w:pPr>
        <w:spacing w:line="360" w:lineRule="auto"/>
        <w:ind w:firstLineChars="200" w:firstLine="420"/>
        <w:jc w:val="left"/>
        <w:rPr>
          <w:rFonts w:ascii="宋体" w:hAnsi="宋体"/>
          <w:bCs/>
        </w:rPr>
      </w:pPr>
      <w:r>
        <w:rPr>
          <w:rFonts w:ascii="宋体" w:hAnsi="宋体"/>
          <w:bCs/>
        </w:rPr>
        <w:t>（12）</w:t>
      </w:r>
      <w:r>
        <w:rPr>
          <w:rFonts w:ascii="宋体" w:hAnsi="宋体" w:hint="eastAsia"/>
          <w:bCs/>
        </w:rPr>
        <w:t>保存从基金管理人或其委托的登记结算机构处接收的</w:t>
      </w:r>
      <w:r>
        <w:rPr>
          <w:rFonts w:ascii="宋体" w:hAnsi="宋体"/>
          <w:bCs/>
        </w:rPr>
        <w:t>基金份额持有人名册；</w:t>
      </w:r>
    </w:p>
    <w:p w14:paraId="3683A9D0" w14:textId="77777777" w:rsidR="0082364D" w:rsidRDefault="00BF2824">
      <w:pPr>
        <w:spacing w:line="360" w:lineRule="auto"/>
        <w:ind w:firstLineChars="200" w:firstLine="420"/>
        <w:jc w:val="left"/>
        <w:rPr>
          <w:rFonts w:ascii="宋体" w:hAnsi="宋体"/>
          <w:bCs/>
        </w:rPr>
      </w:pPr>
      <w:r>
        <w:rPr>
          <w:rFonts w:ascii="宋体" w:hAnsi="宋体"/>
          <w:bCs/>
        </w:rPr>
        <w:t>（13）按规定制作相关账册并与基金管理人核对；</w:t>
      </w:r>
    </w:p>
    <w:p w14:paraId="74165A70" w14:textId="77777777" w:rsidR="0082364D" w:rsidRDefault="00BF2824">
      <w:pPr>
        <w:spacing w:line="360" w:lineRule="auto"/>
        <w:ind w:firstLineChars="200" w:firstLine="420"/>
        <w:jc w:val="left"/>
        <w:rPr>
          <w:rFonts w:ascii="宋体" w:hAnsi="宋体"/>
          <w:bCs/>
        </w:rPr>
      </w:pPr>
      <w:r>
        <w:rPr>
          <w:rFonts w:ascii="宋体" w:hAnsi="宋体"/>
          <w:bCs/>
        </w:rPr>
        <w:t>（14）依据基金管理人的指令或有关规定向基金份额持有人支付基金收益和赎回对价的现金部分；</w:t>
      </w:r>
    </w:p>
    <w:p w14:paraId="18987EA4" w14:textId="77777777" w:rsidR="0082364D" w:rsidRDefault="00BF2824">
      <w:pPr>
        <w:spacing w:line="360" w:lineRule="auto"/>
        <w:ind w:firstLineChars="200" w:firstLine="420"/>
        <w:jc w:val="left"/>
        <w:rPr>
          <w:rFonts w:ascii="宋体" w:hAnsi="宋体"/>
          <w:bCs/>
        </w:rPr>
      </w:pPr>
      <w:r>
        <w:rPr>
          <w:rFonts w:ascii="宋体" w:hAnsi="宋体"/>
          <w:bCs/>
        </w:rPr>
        <w:t>（15）依据《基金法》、《基金合同》及其他有关规定，召集基金份额持有人大会或配合基金管理人、基金份额持有人依法召集基金份额持有人大会；</w:t>
      </w:r>
    </w:p>
    <w:p w14:paraId="2D3F081C" w14:textId="77777777" w:rsidR="0082364D" w:rsidRDefault="00BF2824">
      <w:pPr>
        <w:spacing w:line="360" w:lineRule="auto"/>
        <w:ind w:firstLineChars="200" w:firstLine="420"/>
        <w:jc w:val="left"/>
        <w:rPr>
          <w:rFonts w:ascii="宋体" w:hAnsi="宋体"/>
          <w:bCs/>
        </w:rPr>
      </w:pPr>
      <w:r>
        <w:rPr>
          <w:rFonts w:ascii="宋体" w:hAnsi="宋体"/>
          <w:bCs/>
        </w:rPr>
        <w:t>（16）按照法律法规和《基金合同》的规定监督基金管理人的投资运作；</w:t>
      </w:r>
    </w:p>
    <w:p w14:paraId="6626EC4B" w14:textId="77777777" w:rsidR="0082364D" w:rsidRDefault="00BF2824">
      <w:pPr>
        <w:spacing w:line="360" w:lineRule="auto"/>
        <w:ind w:firstLineChars="200" w:firstLine="420"/>
        <w:jc w:val="left"/>
        <w:rPr>
          <w:rFonts w:ascii="宋体" w:hAnsi="宋体"/>
          <w:bCs/>
        </w:rPr>
      </w:pPr>
      <w:r>
        <w:rPr>
          <w:rFonts w:ascii="宋体" w:hAnsi="宋体"/>
          <w:bCs/>
        </w:rPr>
        <w:t>（17）参加基金财产清算小组，参与基金财产的保管、清理、估价、变现和分配；</w:t>
      </w:r>
    </w:p>
    <w:p w14:paraId="7E43D614" w14:textId="77777777" w:rsidR="0082364D" w:rsidRDefault="00BF2824">
      <w:pPr>
        <w:spacing w:line="360" w:lineRule="auto"/>
        <w:ind w:firstLineChars="200" w:firstLine="420"/>
        <w:jc w:val="left"/>
        <w:rPr>
          <w:rFonts w:ascii="宋体" w:hAnsi="宋体"/>
          <w:bCs/>
        </w:rPr>
      </w:pPr>
      <w:r>
        <w:rPr>
          <w:rFonts w:ascii="宋体" w:hAnsi="宋体"/>
          <w:bCs/>
        </w:rPr>
        <w:lastRenderedPageBreak/>
        <w:t>（18）面临解散、依法被撤销或者被依法宣告破产时，及时报告中国证监会和银行</w:t>
      </w:r>
      <w:r>
        <w:rPr>
          <w:rFonts w:ascii="宋体" w:hAnsi="宋体" w:hint="eastAsia"/>
          <w:bCs/>
        </w:rPr>
        <w:t>业</w:t>
      </w:r>
      <w:r>
        <w:rPr>
          <w:rFonts w:ascii="宋体" w:hAnsi="宋体"/>
          <w:bCs/>
        </w:rPr>
        <w:t>监</w:t>
      </w:r>
      <w:r>
        <w:rPr>
          <w:rFonts w:ascii="宋体" w:hAnsi="宋体" w:hint="eastAsia"/>
          <w:bCs/>
        </w:rPr>
        <w:t>督</w:t>
      </w:r>
      <w:r>
        <w:rPr>
          <w:rFonts w:ascii="宋体" w:hAnsi="宋体"/>
          <w:bCs/>
        </w:rPr>
        <w:t>管</w:t>
      </w:r>
      <w:r>
        <w:rPr>
          <w:rFonts w:ascii="宋体" w:hAnsi="宋体" w:hint="eastAsia"/>
          <w:bCs/>
        </w:rPr>
        <w:t>理</w:t>
      </w:r>
      <w:r>
        <w:rPr>
          <w:rFonts w:ascii="宋体" w:hAnsi="宋体"/>
          <w:bCs/>
        </w:rPr>
        <w:t>机构，并通知基金管理人；</w:t>
      </w:r>
    </w:p>
    <w:p w14:paraId="0B78BF7F" w14:textId="77777777" w:rsidR="0082364D" w:rsidRDefault="00BF2824">
      <w:pPr>
        <w:spacing w:line="360" w:lineRule="auto"/>
        <w:ind w:firstLineChars="200" w:firstLine="420"/>
        <w:jc w:val="left"/>
        <w:rPr>
          <w:rFonts w:ascii="宋体" w:hAnsi="宋体"/>
          <w:bCs/>
        </w:rPr>
      </w:pPr>
      <w:r>
        <w:rPr>
          <w:rFonts w:ascii="宋体" w:hAnsi="宋体"/>
          <w:bCs/>
        </w:rPr>
        <w:t>（19）因违反《基金合同》导致基金财产损失时，应承担赔偿责任，其赔偿责任不因其退任而免除；</w:t>
      </w:r>
    </w:p>
    <w:p w14:paraId="325712ED" w14:textId="77777777" w:rsidR="0082364D" w:rsidRDefault="00BF2824">
      <w:pPr>
        <w:spacing w:line="360" w:lineRule="auto"/>
        <w:ind w:firstLineChars="200" w:firstLine="420"/>
        <w:jc w:val="left"/>
        <w:rPr>
          <w:rFonts w:ascii="宋体" w:hAnsi="宋体"/>
          <w:bCs/>
        </w:rPr>
      </w:pPr>
      <w:r>
        <w:rPr>
          <w:rFonts w:ascii="宋体" w:hAnsi="宋体"/>
          <w:bCs/>
        </w:rPr>
        <w:t>（20）按规定监督基金管理人按法律法规和《基金合同》规定履行自己的义务，基金管理人因违反《基金合同》造成基金财产损失时，应为基金份额持有人利益向基金管理人追偿；</w:t>
      </w:r>
    </w:p>
    <w:p w14:paraId="517DD2E2" w14:textId="77777777" w:rsidR="0082364D" w:rsidRDefault="00BF2824">
      <w:pPr>
        <w:spacing w:line="360" w:lineRule="auto"/>
        <w:ind w:firstLineChars="200" w:firstLine="420"/>
        <w:jc w:val="left"/>
        <w:rPr>
          <w:rFonts w:ascii="宋体" w:hAnsi="宋体"/>
          <w:bCs/>
        </w:rPr>
      </w:pPr>
      <w:r>
        <w:rPr>
          <w:rFonts w:ascii="宋体" w:hAnsi="宋体"/>
          <w:bCs/>
        </w:rPr>
        <w:t>（21）执行生效的基金份额持有人大会的决议；</w:t>
      </w:r>
    </w:p>
    <w:p w14:paraId="630FF833" w14:textId="77777777" w:rsidR="0082364D" w:rsidRDefault="00BF2824">
      <w:pPr>
        <w:spacing w:line="360" w:lineRule="auto"/>
        <w:ind w:firstLineChars="200" w:firstLine="420"/>
        <w:jc w:val="left"/>
        <w:rPr>
          <w:rFonts w:ascii="宋体" w:hAnsi="宋体"/>
          <w:bCs/>
        </w:rPr>
      </w:pPr>
      <w:r>
        <w:rPr>
          <w:rFonts w:ascii="宋体" w:hAnsi="宋体" w:hint="eastAsia"/>
          <w:bCs/>
        </w:rPr>
        <w:t>（22）选择符合《试行办法》第十九条规定的境外托管人。对基金的境外财产，基金托管人可授权境外托管人代为履行其承担的职责；境外托管人在履行职责过程中，因本身过错、疏忽原因而导致的基金财产受损的，由基金托管人承担相应责任；在决定境外托管人是否存在过错、疏忽等不当行为时，应根据基金托管人与境外托管人之间的协议适用法律及当地的证券市场惯例决定，但基金托管人已按照谨慎、尽职的原则选择、委任和监督境外托管人，且境外托管人已按照当地法律法规的要求托管资产的前提下，对境外托管人的破产而产生的损失，托管人不承担责任；</w:t>
      </w:r>
    </w:p>
    <w:p w14:paraId="76B19D08" w14:textId="77777777" w:rsidR="0082364D" w:rsidRDefault="00BF2824">
      <w:pPr>
        <w:spacing w:line="360" w:lineRule="auto"/>
        <w:ind w:firstLineChars="200" w:firstLine="420"/>
        <w:jc w:val="left"/>
        <w:rPr>
          <w:rFonts w:ascii="宋体" w:hAnsi="宋体"/>
          <w:bCs/>
        </w:rPr>
      </w:pPr>
      <w:r>
        <w:rPr>
          <w:rFonts w:ascii="宋体" w:hAnsi="宋体" w:hint="eastAsia"/>
          <w:bCs/>
        </w:rPr>
        <w:t>（23）保护基金份额持有人利益，按照规定对基金日常投资行为和资金汇出入情况实施监督，如发现投资指令或资金汇出入违法、违规，应当及时向中国证监会、外管局报告；</w:t>
      </w:r>
    </w:p>
    <w:p w14:paraId="16E23A50" w14:textId="77777777" w:rsidR="0082364D" w:rsidRDefault="00BF2824">
      <w:pPr>
        <w:spacing w:line="360" w:lineRule="auto"/>
        <w:ind w:firstLineChars="200" w:firstLine="420"/>
        <w:jc w:val="left"/>
        <w:rPr>
          <w:rFonts w:ascii="宋体" w:hAnsi="宋体"/>
          <w:bCs/>
        </w:rPr>
      </w:pPr>
      <w:r>
        <w:rPr>
          <w:rFonts w:ascii="宋体" w:hAnsi="宋体" w:hint="eastAsia"/>
          <w:bCs/>
        </w:rPr>
        <w:t>（24）每月结束后7个工作日内，向中国证监会和外管局报告基金管理人境外投资情况，并按相关规定进行国际收支申报；</w:t>
      </w:r>
    </w:p>
    <w:p w14:paraId="7FE3D305" w14:textId="77777777" w:rsidR="0082364D" w:rsidRDefault="00BF2824">
      <w:pPr>
        <w:spacing w:line="360" w:lineRule="auto"/>
        <w:ind w:firstLineChars="200" w:firstLine="420"/>
        <w:jc w:val="left"/>
        <w:rPr>
          <w:rFonts w:ascii="宋体" w:hAnsi="宋体"/>
          <w:bCs/>
        </w:rPr>
      </w:pPr>
      <w:r>
        <w:rPr>
          <w:rFonts w:ascii="宋体" w:hAnsi="宋体" w:hint="eastAsia"/>
          <w:bCs/>
        </w:rPr>
        <w:t>（25）办理基金管理人就管理本基金的有关结汇、售汇、收汇、付汇和人民币资金结算业务；</w:t>
      </w:r>
    </w:p>
    <w:p w14:paraId="62235D5A" w14:textId="77777777" w:rsidR="0082364D" w:rsidRDefault="00BF2824">
      <w:pPr>
        <w:spacing w:line="360" w:lineRule="auto"/>
        <w:ind w:firstLineChars="200" w:firstLine="420"/>
        <w:jc w:val="left"/>
        <w:rPr>
          <w:rFonts w:ascii="宋体" w:hAnsi="宋体"/>
          <w:bCs/>
        </w:rPr>
      </w:pPr>
      <w:r>
        <w:rPr>
          <w:rFonts w:ascii="宋体" w:hAnsi="宋体"/>
          <w:bCs/>
        </w:rPr>
        <w:t>（26）</w:t>
      </w:r>
      <w:r>
        <w:rPr>
          <w:rFonts w:ascii="宋体" w:hAnsi="宋体" w:hint="eastAsia"/>
          <w:bCs/>
        </w:rPr>
        <w:t>保存本基金的资金汇出、汇入、兑换、收汇、付汇、资金往来、委托及成交记录等相关资料不低于法律法规要求的最低年限；</w:t>
      </w:r>
    </w:p>
    <w:p w14:paraId="01C12D53" w14:textId="77777777" w:rsidR="0082364D" w:rsidRDefault="00BF2824">
      <w:pPr>
        <w:spacing w:line="360" w:lineRule="auto"/>
        <w:ind w:firstLineChars="200" w:firstLine="420"/>
        <w:jc w:val="left"/>
        <w:rPr>
          <w:rFonts w:ascii="宋体" w:hAnsi="宋体"/>
          <w:bCs/>
        </w:rPr>
      </w:pPr>
      <w:r>
        <w:rPr>
          <w:rFonts w:ascii="宋体" w:hAnsi="宋体" w:hint="eastAsia"/>
          <w:bCs/>
        </w:rPr>
        <w:t>（2</w:t>
      </w:r>
      <w:r>
        <w:rPr>
          <w:rFonts w:ascii="宋体" w:hAnsi="宋体"/>
          <w:bCs/>
        </w:rPr>
        <w:t>7</w:t>
      </w:r>
      <w:r>
        <w:rPr>
          <w:rFonts w:ascii="宋体" w:hAnsi="宋体" w:hint="eastAsia"/>
          <w:bCs/>
        </w:rPr>
        <w:t>）</w:t>
      </w:r>
      <w:r>
        <w:rPr>
          <w:rFonts w:ascii="宋体" w:hAnsi="宋体"/>
          <w:bCs/>
        </w:rPr>
        <w:t>法律法规及中国证监会规定的和《基金合同》约定的其他义务。</w:t>
      </w:r>
    </w:p>
    <w:p w14:paraId="41919053" w14:textId="77777777" w:rsidR="0082364D" w:rsidRDefault="00BF2824">
      <w:pPr>
        <w:spacing w:line="360" w:lineRule="auto"/>
        <w:ind w:firstLineChars="200" w:firstLine="420"/>
        <w:jc w:val="left"/>
      </w:pPr>
      <w:r>
        <w:rPr>
          <w:rFonts w:ascii="宋体" w:hAnsi="宋体"/>
        </w:rPr>
        <w:t>（二）基金份额持有人大会召集、议事及表决程序和规则</w:t>
      </w:r>
    </w:p>
    <w:p w14:paraId="085A9D97" w14:textId="77777777" w:rsidR="0082364D" w:rsidRDefault="00BF2824">
      <w:pPr>
        <w:spacing w:line="360" w:lineRule="auto"/>
        <w:ind w:firstLineChars="200" w:firstLine="420"/>
        <w:jc w:val="left"/>
        <w:rPr>
          <w:rFonts w:ascii="宋体" w:hAnsi="宋体"/>
          <w:bCs/>
        </w:rPr>
      </w:pPr>
      <w:r>
        <w:rPr>
          <w:rFonts w:ascii="宋体" w:hAnsi="宋体"/>
          <w:bCs/>
        </w:rPr>
        <w:t>基金份额持有人大会由基金份额持有人组成，基金份额持有人的合法授权代表有权代表基金份额持有人出席会议并表决。就本部分所述基金份额持有人大会事宜</w:t>
      </w:r>
      <w:r>
        <w:rPr>
          <w:rFonts w:ascii="宋体" w:hAnsi="宋体" w:hint="eastAsia"/>
          <w:bCs/>
        </w:rPr>
        <w:t>，</w:t>
      </w:r>
      <w:r>
        <w:rPr>
          <w:rFonts w:ascii="宋体" w:hAnsi="宋体"/>
          <w:bCs/>
        </w:rPr>
        <w:t>除</w:t>
      </w:r>
      <w:r>
        <w:rPr>
          <w:rFonts w:ascii="宋体" w:hAnsi="宋体" w:hint="eastAsia"/>
          <w:bCs/>
        </w:rPr>
        <w:t>法律法规另有规定或</w:t>
      </w:r>
      <w:r>
        <w:rPr>
          <w:rFonts w:ascii="宋体" w:hAnsi="宋体"/>
          <w:bCs/>
        </w:rPr>
        <w:t>基金合同另有约定外，基金份额持有人持有的每一基金份额拥有平等的权利。</w:t>
      </w:r>
    </w:p>
    <w:p w14:paraId="175C70BE" w14:textId="77777777" w:rsidR="0082364D" w:rsidRDefault="00BF2824">
      <w:pPr>
        <w:spacing w:line="360" w:lineRule="auto"/>
        <w:ind w:firstLineChars="200" w:firstLine="420"/>
        <w:jc w:val="left"/>
        <w:rPr>
          <w:rFonts w:ascii="宋体" w:hAnsi="宋体"/>
          <w:bCs/>
        </w:rPr>
      </w:pPr>
      <w:r>
        <w:rPr>
          <w:rFonts w:ascii="宋体" w:hAnsi="宋体"/>
          <w:bCs/>
        </w:rPr>
        <w:t>ETF联接基金的基金合同生效后，鉴于本基金和ETF联接基金的相关性，ETF联接基金</w:t>
      </w:r>
      <w:r>
        <w:rPr>
          <w:rFonts w:ascii="宋体" w:hAnsi="宋体"/>
          <w:bCs/>
        </w:rPr>
        <w:lastRenderedPageBreak/>
        <w:t>的基金份额持有人可以凭所持有的ETF联接基金的</w:t>
      </w:r>
      <w:r>
        <w:rPr>
          <w:rFonts w:ascii="宋体" w:hAnsi="宋体" w:hint="eastAsia"/>
          <w:bCs/>
        </w:rPr>
        <w:t>基金</w:t>
      </w:r>
      <w:r>
        <w:rPr>
          <w:rFonts w:ascii="宋体" w:hAnsi="宋体"/>
          <w:bCs/>
        </w:rPr>
        <w:t>份额出席或者委派代表出席本基金的</w:t>
      </w:r>
      <w:r>
        <w:rPr>
          <w:rFonts w:ascii="宋体" w:hAnsi="宋体" w:hint="eastAsia"/>
          <w:bCs/>
        </w:rPr>
        <w:t>基金</w:t>
      </w:r>
      <w:r>
        <w:rPr>
          <w:rFonts w:ascii="宋体" w:hAnsi="宋体"/>
          <w:bCs/>
        </w:rPr>
        <w:t>份额持有人大会并参与表决。在计算参会份额和计票时，ETF联接基金持有人持有的享有表决权的基金份额数和表决票数为</w:t>
      </w:r>
      <w:r>
        <w:rPr>
          <w:rFonts w:ascii="宋体" w:hAnsi="宋体" w:hint="eastAsia"/>
          <w:bCs/>
        </w:rPr>
        <w:t>：</w:t>
      </w:r>
      <w:r>
        <w:rPr>
          <w:rFonts w:ascii="宋体" w:hAnsi="宋体"/>
          <w:bCs/>
        </w:rPr>
        <w:t>在本基金基金份额持有人大会的权益登记日，ETF联接基金持有本基金份额的总数乘以该</w:t>
      </w:r>
      <w:r>
        <w:rPr>
          <w:rFonts w:ascii="宋体" w:hAnsi="宋体" w:hint="eastAsia"/>
          <w:bCs/>
        </w:rPr>
        <w:t>基金份额</w:t>
      </w:r>
      <w:r>
        <w:rPr>
          <w:rFonts w:ascii="宋体" w:hAnsi="宋体"/>
          <w:bCs/>
        </w:rPr>
        <w:t>持有人所持有的ETF联接基金份额占ETF联接基金总份额的比例，计算结果按照四舍五入的方法，保留到整数位。</w:t>
      </w:r>
    </w:p>
    <w:p w14:paraId="505DD60E" w14:textId="77777777" w:rsidR="0082364D" w:rsidRDefault="00BF2824">
      <w:pPr>
        <w:spacing w:line="360" w:lineRule="auto"/>
        <w:ind w:firstLineChars="200" w:firstLine="420"/>
        <w:jc w:val="left"/>
        <w:rPr>
          <w:rFonts w:ascii="宋体" w:hAnsi="宋体"/>
          <w:bCs/>
        </w:rPr>
      </w:pPr>
      <w:r>
        <w:rPr>
          <w:rFonts w:ascii="宋体" w:hAnsi="宋体"/>
          <w:bCs/>
        </w:rPr>
        <w:t>ETF联接基金的基金管理人不应以ETF联接基金的名义代表ETF联接基金的全体基金份额持有人以本基金的基金份额持有人的身份行使表决权，但可接受ETF联接基金的特定基金份额持有人的委托以ETF联接基金的基金份额持有人代理人的身份出席本基金的基金份额持有人大会并参与表决。</w:t>
      </w:r>
    </w:p>
    <w:p w14:paraId="3AE9B74B" w14:textId="77777777" w:rsidR="0082364D" w:rsidRDefault="00BF2824">
      <w:pPr>
        <w:spacing w:line="360" w:lineRule="auto"/>
        <w:ind w:firstLineChars="200" w:firstLine="420"/>
        <w:jc w:val="left"/>
        <w:rPr>
          <w:rFonts w:ascii="宋体" w:hAnsi="宋体"/>
          <w:bCs/>
        </w:rPr>
      </w:pPr>
      <w:r>
        <w:rPr>
          <w:rFonts w:ascii="宋体" w:hAnsi="宋体"/>
          <w:bCs/>
        </w:rPr>
        <w:t>ETF联接基金的基金管理人代表ETF联接基金的基金份额持有人提议召开或召集本基金份额持有人大会的，须先遵照ETF联接基金基金合同的约定召开ETF联接基金的基金份额持有人大会，ETF联接基金的基金份额持有人大会决定提议召开或召集本基金份额持有人大会的，由ETF联接基金的基金管理人代表ETF联接基金的基金份额持有人提议召开或召集本基金份额持有人大会。</w:t>
      </w:r>
    </w:p>
    <w:p w14:paraId="33299AC7" w14:textId="77777777" w:rsidR="0082364D" w:rsidRDefault="00BF2824">
      <w:pPr>
        <w:spacing w:line="360" w:lineRule="auto"/>
        <w:ind w:firstLineChars="200" w:firstLine="420"/>
        <w:jc w:val="left"/>
        <w:rPr>
          <w:rFonts w:ascii="宋体" w:hAnsi="宋体"/>
        </w:rPr>
      </w:pPr>
      <w:r>
        <w:rPr>
          <w:rFonts w:ascii="宋体" w:hAnsi="宋体"/>
        </w:rPr>
        <w:t>A. 召开事由</w:t>
      </w:r>
    </w:p>
    <w:p w14:paraId="5E2398A9" w14:textId="77777777" w:rsidR="0082364D" w:rsidRDefault="00BF2824">
      <w:pPr>
        <w:spacing w:line="360" w:lineRule="auto"/>
        <w:ind w:firstLineChars="200" w:firstLine="420"/>
        <w:jc w:val="left"/>
        <w:rPr>
          <w:rFonts w:ascii="宋体" w:hAnsi="宋体"/>
          <w:bCs/>
        </w:rPr>
      </w:pPr>
      <w:r>
        <w:rPr>
          <w:rFonts w:ascii="宋体" w:hAnsi="宋体"/>
          <w:bCs/>
        </w:rPr>
        <w:t>1、</w:t>
      </w:r>
      <w:r>
        <w:rPr>
          <w:rFonts w:ascii="宋体" w:hAnsi="宋体" w:hint="eastAsia"/>
          <w:bCs/>
        </w:rPr>
        <w:t>除法律法规，或基金合同，或中国证监会另有规定外，</w:t>
      </w:r>
      <w:r>
        <w:rPr>
          <w:rFonts w:ascii="宋体" w:hAnsi="宋体"/>
          <w:bCs/>
        </w:rPr>
        <w:t>当需要决定下列事由之一的，应当召开基金份额持有人大会：</w:t>
      </w:r>
    </w:p>
    <w:p w14:paraId="16A47978" w14:textId="77777777" w:rsidR="0082364D" w:rsidRDefault="00BF2824">
      <w:pPr>
        <w:spacing w:line="360" w:lineRule="auto"/>
        <w:ind w:firstLineChars="200" w:firstLine="420"/>
        <w:jc w:val="left"/>
        <w:rPr>
          <w:rFonts w:ascii="宋体" w:hAnsi="宋体"/>
          <w:bCs/>
        </w:rPr>
      </w:pPr>
      <w:r>
        <w:rPr>
          <w:rFonts w:ascii="宋体" w:hAnsi="宋体"/>
          <w:bCs/>
        </w:rPr>
        <w:t>（1）终止基金合同；</w:t>
      </w:r>
    </w:p>
    <w:p w14:paraId="3ED49D8D" w14:textId="77777777" w:rsidR="0082364D" w:rsidRDefault="00BF2824">
      <w:pPr>
        <w:spacing w:line="360" w:lineRule="auto"/>
        <w:ind w:firstLineChars="200" w:firstLine="420"/>
        <w:jc w:val="left"/>
        <w:rPr>
          <w:rFonts w:ascii="宋体" w:hAnsi="宋体"/>
          <w:bCs/>
        </w:rPr>
      </w:pPr>
      <w:r>
        <w:rPr>
          <w:rFonts w:ascii="宋体" w:hAnsi="宋体"/>
          <w:bCs/>
        </w:rPr>
        <w:t>（2）更换基金管理人；</w:t>
      </w:r>
    </w:p>
    <w:p w14:paraId="7DAD0375" w14:textId="77777777" w:rsidR="0082364D" w:rsidRDefault="00BF2824">
      <w:pPr>
        <w:spacing w:line="360" w:lineRule="auto"/>
        <w:ind w:firstLineChars="200" w:firstLine="420"/>
        <w:jc w:val="left"/>
        <w:rPr>
          <w:rFonts w:ascii="宋体" w:hAnsi="宋体"/>
          <w:bCs/>
        </w:rPr>
      </w:pPr>
      <w:r>
        <w:rPr>
          <w:rFonts w:ascii="宋体" w:hAnsi="宋体"/>
          <w:bCs/>
        </w:rPr>
        <w:t>（3）更换基金托管人；</w:t>
      </w:r>
    </w:p>
    <w:p w14:paraId="716AAC84" w14:textId="77777777" w:rsidR="0082364D" w:rsidRDefault="00BF2824">
      <w:pPr>
        <w:spacing w:line="360" w:lineRule="auto"/>
        <w:ind w:firstLineChars="200" w:firstLine="420"/>
        <w:jc w:val="left"/>
        <w:rPr>
          <w:rFonts w:ascii="宋体" w:hAnsi="宋体"/>
          <w:bCs/>
        </w:rPr>
      </w:pPr>
      <w:r>
        <w:rPr>
          <w:rFonts w:ascii="宋体" w:hAnsi="宋体"/>
          <w:bCs/>
        </w:rPr>
        <w:t>（4）转换基金运作方式；</w:t>
      </w:r>
    </w:p>
    <w:p w14:paraId="24693E77" w14:textId="77777777" w:rsidR="0082364D" w:rsidRDefault="00BF2824">
      <w:pPr>
        <w:spacing w:line="360" w:lineRule="auto"/>
        <w:ind w:firstLineChars="200" w:firstLine="420"/>
        <w:jc w:val="left"/>
        <w:rPr>
          <w:rFonts w:ascii="宋体" w:hAnsi="宋体"/>
          <w:bCs/>
        </w:rPr>
      </w:pPr>
      <w:r>
        <w:rPr>
          <w:rFonts w:ascii="宋体" w:hAnsi="宋体"/>
          <w:bCs/>
        </w:rPr>
        <w:t>（5）</w:t>
      </w:r>
      <w:r>
        <w:rPr>
          <w:rFonts w:ascii="宋体" w:hAnsi="宋体" w:hint="eastAsia"/>
          <w:bCs/>
        </w:rPr>
        <w:t>调整</w:t>
      </w:r>
      <w:r>
        <w:rPr>
          <w:rFonts w:ascii="宋体" w:hAnsi="宋体"/>
          <w:bCs/>
        </w:rPr>
        <w:t>基金管理人、基金托管人的报酬标准；</w:t>
      </w:r>
    </w:p>
    <w:p w14:paraId="748E0E1B" w14:textId="77777777" w:rsidR="0082364D" w:rsidRDefault="00BF2824">
      <w:pPr>
        <w:spacing w:line="360" w:lineRule="auto"/>
        <w:ind w:firstLineChars="200" w:firstLine="420"/>
        <w:jc w:val="left"/>
        <w:rPr>
          <w:rFonts w:ascii="宋体" w:hAnsi="宋体"/>
          <w:bCs/>
        </w:rPr>
      </w:pPr>
      <w:r>
        <w:rPr>
          <w:rFonts w:ascii="宋体" w:hAnsi="宋体"/>
          <w:bCs/>
        </w:rPr>
        <w:t>（6）变更基金类别；</w:t>
      </w:r>
    </w:p>
    <w:p w14:paraId="08C00877" w14:textId="77777777" w:rsidR="0082364D" w:rsidRDefault="00BF2824">
      <w:pPr>
        <w:spacing w:line="360" w:lineRule="auto"/>
        <w:ind w:firstLineChars="200" w:firstLine="420"/>
        <w:jc w:val="left"/>
        <w:rPr>
          <w:rFonts w:ascii="宋体" w:hAnsi="宋体"/>
          <w:bCs/>
        </w:rPr>
      </w:pPr>
      <w:r>
        <w:rPr>
          <w:rFonts w:ascii="宋体" w:hAnsi="宋体"/>
          <w:bCs/>
        </w:rPr>
        <w:t>（7）本基金与其他基金的合并；</w:t>
      </w:r>
    </w:p>
    <w:p w14:paraId="4A116B03" w14:textId="77777777" w:rsidR="0082364D" w:rsidRDefault="00BF2824">
      <w:pPr>
        <w:spacing w:line="360" w:lineRule="auto"/>
        <w:ind w:firstLineChars="200" w:firstLine="420"/>
        <w:jc w:val="left"/>
        <w:rPr>
          <w:rFonts w:ascii="宋体" w:hAnsi="宋体"/>
          <w:bCs/>
        </w:rPr>
      </w:pPr>
      <w:r>
        <w:rPr>
          <w:rFonts w:ascii="宋体" w:hAnsi="宋体"/>
          <w:bCs/>
        </w:rPr>
        <w:t>（8）变更基金投资目标、范围或策略；</w:t>
      </w:r>
    </w:p>
    <w:p w14:paraId="19432B42" w14:textId="77777777" w:rsidR="0082364D" w:rsidRDefault="00BF2824">
      <w:pPr>
        <w:spacing w:line="360" w:lineRule="auto"/>
        <w:ind w:firstLineChars="200" w:firstLine="420"/>
        <w:jc w:val="left"/>
        <w:rPr>
          <w:rFonts w:ascii="宋体" w:hAnsi="宋体"/>
          <w:bCs/>
        </w:rPr>
      </w:pPr>
      <w:r>
        <w:rPr>
          <w:rFonts w:ascii="宋体" w:hAnsi="宋体"/>
          <w:bCs/>
        </w:rPr>
        <w:t>（9）变更基金份额持有人大会程序；</w:t>
      </w:r>
    </w:p>
    <w:p w14:paraId="40DF3C4C" w14:textId="77777777" w:rsidR="0082364D" w:rsidRDefault="00BF2824">
      <w:pPr>
        <w:spacing w:line="360" w:lineRule="auto"/>
        <w:ind w:firstLineChars="200" w:firstLine="420"/>
        <w:jc w:val="left"/>
        <w:rPr>
          <w:rFonts w:ascii="宋体" w:hAnsi="宋体"/>
          <w:bCs/>
        </w:rPr>
      </w:pPr>
      <w:r>
        <w:rPr>
          <w:rFonts w:ascii="宋体" w:hAnsi="宋体"/>
          <w:bCs/>
        </w:rPr>
        <w:t>（10）对基金</w:t>
      </w:r>
      <w:r>
        <w:rPr>
          <w:rFonts w:ascii="宋体" w:hAnsi="宋体" w:hint="eastAsia"/>
          <w:bCs/>
        </w:rPr>
        <w:t>合同</w:t>
      </w:r>
      <w:r>
        <w:rPr>
          <w:rFonts w:ascii="宋体" w:hAnsi="宋体"/>
          <w:bCs/>
        </w:rPr>
        <w:t>当事人权利和义务产生重大影响的其他事项；</w:t>
      </w:r>
    </w:p>
    <w:p w14:paraId="4F1907B9" w14:textId="77777777" w:rsidR="0082364D" w:rsidRDefault="00BF2824">
      <w:pPr>
        <w:spacing w:line="360" w:lineRule="auto"/>
        <w:ind w:firstLineChars="200" w:firstLine="420"/>
        <w:jc w:val="left"/>
        <w:rPr>
          <w:rFonts w:ascii="宋体" w:hAnsi="宋体"/>
          <w:bCs/>
        </w:rPr>
      </w:pPr>
      <w:r>
        <w:rPr>
          <w:rFonts w:ascii="宋体" w:hAnsi="宋体" w:hint="eastAsia"/>
          <w:bCs/>
        </w:rPr>
        <w:t>（11）终止基金上市，但因基金不再具备上市条件而被深圳证券交易所终止上市的情形除外；</w:t>
      </w:r>
    </w:p>
    <w:p w14:paraId="0E4A356D" w14:textId="77777777" w:rsidR="0082364D" w:rsidRDefault="00BF2824">
      <w:pPr>
        <w:spacing w:line="360" w:lineRule="auto"/>
        <w:ind w:firstLineChars="200" w:firstLine="420"/>
        <w:jc w:val="left"/>
        <w:rPr>
          <w:rFonts w:ascii="宋体" w:hAnsi="宋体"/>
          <w:bCs/>
        </w:rPr>
      </w:pPr>
      <w:r>
        <w:rPr>
          <w:rFonts w:ascii="宋体" w:hAnsi="宋体"/>
          <w:bCs/>
        </w:rPr>
        <w:t>（12）法律法规或基金合同或中国证监会规定的其他应当召开基金份额持有人大会的</w:t>
      </w:r>
      <w:r>
        <w:rPr>
          <w:rFonts w:ascii="宋体" w:hAnsi="宋体"/>
          <w:bCs/>
        </w:rPr>
        <w:lastRenderedPageBreak/>
        <w:t>事项。</w:t>
      </w:r>
    </w:p>
    <w:p w14:paraId="4FF05BAE" w14:textId="69C2AC1F" w:rsidR="0082364D" w:rsidRDefault="00BF2824">
      <w:pPr>
        <w:spacing w:line="360" w:lineRule="auto"/>
        <w:ind w:firstLineChars="200" w:firstLine="420"/>
        <w:jc w:val="left"/>
        <w:rPr>
          <w:rFonts w:ascii="宋体" w:hAnsi="宋体"/>
          <w:bCs/>
        </w:rPr>
      </w:pPr>
      <w:r>
        <w:rPr>
          <w:rFonts w:ascii="宋体" w:hAnsi="宋体"/>
          <w:bCs/>
        </w:rPr>
        <w:t>2、</w:t>
      </w:r>
      <w:r>
        <w:rPr>
          <w:rFonts w:ascii="宋体" w:hAnsi="宋体" w:hint="eastAsia"/>
          <w:bCs/>
        </w:rPr>
        <w:t>尽管有前述约定，但属于</w:t>
      </w:r>
      <w:r>
        <w:rPr>
          <w:rFonts w:ascii="宋体" w:hAnsi="宋体"/>
          <w:bCs/>
        </w:rPr>
        <w:t>以下情况</w:t>
      </w:r>
      <w:r>
        <w:rPr>
          <w:rFonts w:ascii="宋体" w:hAnsi="宋体" w:hint="eastAsia"/>
          <w:bCs/>
        </w:rPr>
        <w:t>之一</w:t>
      </w:r>
      <w:r>
        <w:rPr>
          <w:rFonts w:ascii="宋体" w:hAnsi="宋体"/>
          <w:bCs/>
        </w:rPr>
        <w:t>的，可由基金管理人和基金托管人协商</w:t>
      </w:r>
      <w:r w:rsidR="006F671D">
        <w:rPr>
          <w:rFonts w:ascii="宋体" w:hAnsi="宋体" w:hint="eastAsia"/>
          <w:bCs/>
        </w:rPr>
        <w:t>并履行适当程序</w:t>
      </w:r>
      <w:r>
        <w:rPr>
          <w:rFonts w:ascii="宋体" w:hAnsi="宋体"/>
          <w:bCs/>
        </w:rPr>
        <w:t>后修改，不需召开基金份额持有人大会：</w:t>
      </w:r>
    </w:p>
    <w:p w14:paraId="52FA0E2F" w14:textId="77777777" w:rsidR="0082364D" w:rsidRDefault="00BF2824">
      <w:pPr>
        <w:spacing w:line="360" w:lineRule="auto"/>
        <w:ind w:firstLineChars="200" w:firstLine="420"/>
        <w:jc w:val="left"/>
        <w:rPr>
          <w:rFonts w:ascii="宋体" w:hAnsi="宋体"/>
          <w:bCs/>
        </w:rPr>
      </w:pPr>
      <w:r>
        <w:rPr>
          <w:rFonts w:ascii="宋体" w:hAnsi="宋体"/>
          <w:bCs/>
        </w:rPr>
        <w:t>（</w:t>
      </w:r>
      <w:r>
        <w:rPr>
          <w:rFonts w:ascii="宋体" w:hAnsi="宋体" w:hint="eastAsia"/>
          <w:bCs/>
        </w:rPr>
        <w:t>1</w:t>
      </w:r>
      <w:r>
        <w:rPr>
          <w:rFonts w:ascii="宋体" w:hAnsi="宋体"/>
          <w:bCs/>
        </w:rPr>
        <w:t>）</w:t>
      </w:r>
      <w:r>
        <w:rPr>
          <w:rFonts w:ascii="宋体" w:hAnsi="宋体" w:hint="eastAsia"/>
          <w:bCs/>
        </w:rPr>
        <w:t>法律法规要求增加的基金费用的收取；</w:t>
      </w:r>
    </w:p>
    <w:p w14:paraId="5DFEF119"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2</w:t>
      </w:r>
      <w:r>
        <w:rPr>
          <w:rFonts w:ascii="宋体" w:hAnsi="宋体" w:hint="eastAsia"/>
          <w:bCs/>
        </w:rPr>
        <w:t>）在对现有基金份额持有人利益无实质性不利影响的前提下，增加、减少、调整本基金份额类别设置或调整本基金的申购费率、调低赎回费率或变更收费方式；</w:t>
      </w:r>
    </w:p>
    <w:p w14:paraId="187425A0"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3</w:t>
      </w:r>
      <w:r>
        <w:rPr>
          <w:rFonts w:ascii="宋体" w:hAnsi="宋体" w:hint="eastAsia"/>
          <w:bCs/>
        </w:rPr>
        <w:t>）在不违反法律法规的情况下，基金推出新业务或服务；</w:t>
      </w:r>
    </w:p>
    <w:p w14:paraId="3AD420ED"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4</w:t>
      </w:r>
      <w:r>
        <w:rPr>
          <w:rFonts w:ascii="宋体" w:hAnsi="宋体" w:hint="eastAsia"/>
          <w:bCs/>
        </w:rPr>
        <w:t>）在不违反法律法规的情况下，基金管理人、证券交易所、销售机构和登记结算机构在法律法规、基金合同规定的范围内调整有关基金认购、申购、赎回、交易、转托管、收益分配、非交易过户等业务的规则；</w:t>
      </w:r>
    </w:p>
    <w:p w14:paraId="76FFE79B"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5</w:t>
      </w:r>
      <w:r>
        <w:rPr>
          <w:rFonts w:ascii="宋体" w:hAnsi="宋体" w:hint="eastAsia"/>
          <w:bCs/>
        </w:rPr>
        <w:t>）在不违反法律法规的情况下，调整基金的申购赎回方式（如增加场内实物申赎、场外申赎）及申购对价、赎回对价组成；</w:t>
      </w:r>
    </w:p>
    <w:p w14:paraId="52651866"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6</w:t>
      </w:r>
      <w:r>
        <w:rPr>
          <w:rFonts w:ascii="宋体" w:hAnsi="宋体" w:hint="eastAsia"/>
          <w:bCs/>
        </w:rPr>
        <w:t>）在不违反法律法规的情况下，进行基金份额折算、调整基金份额净值、申购赎回清单的计算和公告时间或频率；</w:t>
      </w:r>
    </w:p>
    <w:p w14:paraId="0B65DAE6"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7</w:t>
      </w:r>
      <w:r>
        <w:rPr>
          <w:rFonts w:ascii="宋体" w:hAnsi="宋体" w:hint="eastAsia"/>
          <w:bCs/>
        </w:rPr>
        <w:t>）在不违反法律法规的情况下，本基金的联接基金采取其他方式参与本基金的申购赎回；</w:t>
      </w:r>
    </w:p>
    <w:p w14:paraId="5D8B54DD" w14:textId="77777777"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8</w:t>
      </w:r>
      <w:r>
        <w:rPr>
          <w:rFonts w:ascii="宋体" w:hAnsi="宋体" w:hint="eastAsia"/>
          <w:bCs/>
        </w:rPr>
        <w:t>）因相应的法律法规、深圳证券交易所或者登记结算机构的相关业务规则发生变动而应当对《基金合同》进行修改；</w:t>
      </w:r>
    </w:p>
    <w:p w14:paraId="48EC6A13" w14:textId="270C1BFE" w:rsidR="0082364D" w:rsidRDefault="00BF2824">
      <w:pPr>
        <w:spacing w:line="360" w:lineRule="auto"/>
        <w:ind w:firstLineChars="200" w:firstLine="420"/>
        <w:jc w:val="left"/>
        <w:rPr>
          <w:rFonts w:ascii="宋体" w:hAnsi="宋体"/>
          <w:bCs/>
        </w:rPr>
      </w:pPr>
      <w:r>
        <w:rPr>
          <w:rFonts w:ascii="宋体" w:hAnsi="宋体" w:hint="eastAsia"/>
          <w:bCs/>
        </w:rPr>
        <w:t>（</w:t>
      </w:r>
      <w:r>
        <w:rPr>
          <w:rFonts w:ascii="宋体" w:hAnsi="宋体"/>
          <w:bCs/>
        </w:rPr>
        <w:t>9</w:t>
      </w:r>
      <w:r>
        <w:rPr>
          <w:rFonts w:ascii="宋体" w:hAnsi="宋体" w:hint="eastAsia"/>
          <w:bCs/>
        </w:rPr>
        <w:t>）对《基金合同》的修改对基金份额持有人利益无实质性不利影响或修改不涉及《基金合同》当事人权利义务关系发生重大变化；</w:t>
      </w:r>
    </w:p>
    <w:p w14:paraId="30AE26A8" w14:textId="66236EC0" w:rsidR="0082364D" w:rsidRDefault="00BF2824">
      <w:pPr>
        <w:spacing w:line="360" w:lineRule="auto"/>
        <w:ind w:firstLineChars="200" w:firstLine="420"/>
        <w:jc w:val="left"/>
        <w:rPr>
          <w:rFonts w:ascii="宋体" w:hAnsi="宋体"/>
          <w:bCs/>
        </w:rPr>
      </w:pPr>
      <w:r>
        <w:rPr>
          <w:rFonts w:ascii="宋体" w:hAnsi="宋体" w:hint="eastAsia"/>
          <w:bCs/>
        </w:rPr>
        <w:t>（1</w:t>
      </w:r>
      <w:r w:rsidR="006F671D">
        <w:rPr>
          <w:rFonts w:ascii="宋体" w:hAnsi="宋体"/>
          <w:bCs/>
        </w:rPr>
        <w:t>0</w:t>
      </w:r>
      <w:r>
        <w:rPr>
          <w:rFonts w:ascii="宋体" w:hAnsi="宋体" w:hint="eastAsia"/>
          <w:bCs/>
        </w:rPr>
        <w:t>）按照法律法规和《基金合同》规定不需召开基金份额持有人大会的其他情形。</w:t>
      </w:r>
    </w:p>
    <w:p w14:paraId="240DC703" w14:textId="77777777" w:rsidR="0082364D" w:rsidRDefault="00BF2824">
      <w:pPr>
        <w:spacing w:line="360" w:lineRule="auto"/>
        <w:ind w:firstLineChars="200" w:firstLine="420"/>
        <w:jc w:val="left"/>
        <w:rPr>
          <w:rFonts w:ascii="宋体" w:hAnsi="宋体"/>
        </w:rPr>
      </w:pPr>
      <w:r>
        <w:rPr>
          <w:rFonts w:ascii="宋体" w:hAnsi="宋体"/>
        </w:rPr>
        <w:t>B. 会议召集人及召集方式</w:t>
      </w:r>
    </w:p>
    <w:p w14:paraId="3F98789C" w14:textId="77777777" w:rsidR="0082364D" w:rsidRDefault="00BF2824">
      <w:pPr>
        <w:spacing w:line="360" w:lineRule="auto"/>
        <w:ind w:firstLineChars="200" w:firstLine="420"/>
        <w:jc w:val="left"/>
        <w:rPr>
          <w:rFonts w:ascii="宋体" w:hAnsi="宋体"/>
          <w:bCs/>
        </w:rPr>
      </w:pPr>
      <w:r>
        <w:rPr>
          <w:rFonts w:ascii="宋体" w:hAnsi="宋体"/>
          <w:bCs/>
        </w:rPr>
        <w:t>1、本基金基金份额持有人大会不设日常机构。除法律法规规定或《基金合同》另有约定外，基金份额持有人大会由基金管理人召集</w:t>
      </w:r>
      <w:r>
        <w:rPr>
          <w:rFonts w:ascii="宋体" w:hAnsi="宋体" w:hint="eastAsia"/>
          <w:bCs/>
        </w:rPr>
        <w:t>。</w:t>
      </w:r>
    </w:p>
    <w:p w14:paraId="5757CD31" w14:textId="77777777" w:rsidR="0082364D" w:rsidRDefault="00BF2824">
      <w:pPr>
        <w:spacing w:line="360" w:lineRule="auto"/>
        <w:ind w:firstLineChars="200" w:firstLine="420"/>
        <w:jc w:val="left"/>
        <w:rPr>
          <w:rFonts w:ascii="宋体" w:hAnsi="宋体"/>
          <w:bCs/>
        </w:rPr>
      </w:pPr>
      <w:r>
        <w:rPr>
          <w:rFonts w:ascii="宋体" w:hAnsi="宋体"/>
          <w:bCs/>
        </w:rPr>
        <w:t>2、基金管理人未按规定召集或不能召</w:t>
      </w:r>
      <w:r>
        <w:rPr>
          <w:rFonts w:ascii="宋体" w:hAnsi="宋体" w:hint="eastAsia"/>
          <w:bCs/>
        </w:rPr>
        <w:t>开</w:t>
      </w:r>
      <w:r>
        <w:rPr>
          <w:rFonts w:ascii="宋体" w:hAnsi="宋体"/>
          <w:bCs/>
        </w:rPr>
        <w:t>时，由基金托管人召集</w:t>
      </w:r>
      <w:r>
        <w:rPr>
          <w:rFonts w:ascii="宋体" w:hAnsi="宋体" w:hint="eastAsia"/>
          <w:bCs/>
        </w:rPr>
        <w:t>。</w:t>
      </w:r>
    </w:p>
    <w:p w14:paraId="5E67A671" w14:textId="77777777" w:rsidR="0082364D" w:rsidRDefault="00BF2824">
      <w:pPr>
        <w:spacing w:line="360" w:lineRule="auto"/>
        <w:ind w:firstLineChars="200" w:firstLine="420"/>
        <w:jc w:val="left"/>
        <w:rPr>
          <w:rFonts w:ascii="宋体" w:hAnsi="宋体"/>
          <w:bCs/>
        </w:rPr>
      </w:pPr>
      <w:r>
        <w:rPr>
          <w:rFonts w:ascii="宋体" w:hAnsi="宋体"/>
          <w:bCs/>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9692E7E" w14:textId="77777777" w:rsidR="0082364D" w:rsidRDefault="00BF2824">
      <w:pPr>
        <w:spacing w:line="360" w:lineRule="auto"/>
        <w:ind w:firstLineChars="200" w:firstLine="420"/>
        <w:jc w:val="left"/>
        <w:rPr>
          <w:rFonts w:ascii="宋体" w:hAnsi="宋体"/>
          <w:bCs/>
        </w:rPr>
      </w:pPr>
      <w:r>
        <w:rPr>
          <w:rFonts w:ascii="宋体" w:hAnsi="宋体"/>
          <w:bCs/>
        </w:rPr>
        <w:lastRenderedPageBreak/>
        <w:t>4、代表基金份额10%以上（含10%，以基金管理人收到提议当日该等基金份额持有人持有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632971C3" w14:textId="77777777" w:rsidR="0082364D" w:rsidRDefault="00BF2824">
      <w:pPr>
        <w:spacing w:line="360" w:lineRule="auto"/>
        <w:ind w:firstLineChars="200" w:firstLine="420"/>
        <w:jc w:val="left"/>
        <w:rPr>
          <w:rFonts w:ascii="宋体" w:hAnsi="宋体"/>
          <w:bCs/>
        </w:rPr>
      </w:pPr>
      <w:r>
        <w:rPr>
          <w:rFonts w:ascii="宋体" w:hAnsi="宋体"/>
          <w:bCs/>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14:paraId="47FE2573" w14:textId="77777777" w:rsidR="0082364D" w:rsidRDefault="00BF2824">
      <w:pPr>
        <w:spacing w:line="360" w:lineRule="auto"/>
        <w:ind w:firstLineChars="200" w:firstLine="420"/>
        <w:jc w:val="left"/>
        <w:rPr>
          <w:rFonts w:ascii="宋体" w:hAnsi="宋体"/>
          <w:bCs/>
        </w:rPr>
      </w:pPr>
      <w:r>
        <w:rPr>
          <w:rFonts w:ascii="宋体" w:hAnsi="宋体"/>
          <w:bCs/>
        </w:rPr>
        <w:t>6、基金份额持有人大会的召集人负责选择确定开会时间、地点、方式和权益登记日。</w:t>
      </w:r>
    </w:p>
    <w:p w14:paraId="7BEF7DEC" w14:textId="77777777" w:rsidR="0082364D" w:rsidRDefault="00BF2824">
      <w:pPr>
        <w:spacing w:line="360" w:lineRule="auto"/>
        <w:ind w:firstLineChars="200" w:firstLine="420"/>
        <w:jc w:val="left"/>
        <w:rPr>
          <w:rFonts w:ascii="宋体" w:hAnsi="宋体"/>
        </w:rPr>
      </w:pPr>
      <w:r>
        <w:rPr>
          <w:rFonts w:ascii="宋体" w:hAnsi="宋体"/>
        </w:rPr>
        <w:t>C. 召开基金份额持有人大会的通知时间、通知内容、通知方式</w:t>
      </w:r>
    </w:p>
    <w:p w14:paraId="2DBEBC13" w14:textId="77777777" w:rsidR="0082364D" w:rsidRDefault="00BF2824">
      <w:pPr>
        <w:spacing w:line="360" w:lineRule="auto"/>
        <w:ind w:firstLineChars="200" w:firstLine="420"/>
        <w:jc w:val="left"/>
        <w:rPr>
          <w:rFonts w:ascii="宋体" w:hAnsi="宋体"/>
          <w:bCs/>
        </w:rPr>
      </w:pPr>
      <w:r>
        <w:rPr>
          <w:rFonts w:ascii="宋体" w:hAnsi="宋体"/>
          <w:bCs/>
        </w:rPr>
        <w:t>1、召开基金份额持有人大会，召集人应于会议召开前至少30日，</w:t>
      </w:r>
      <w:r>
        <w:rPr>
          <w:rFonts w:ascii="宋体" w:hAnsi="宋体" w:hint="eastAsia"/>
          <w:bCs/>
        </w:rPr>
        <w:t>按照《信息披露办法》的规定</w:t>
      </w:r>
      <w:r>
        <w:rPr>
          <w:rFonts w:ascii="宋体" w:hAnsi="宋体"/>
          <w:bCs/>
        </w:rPr>
        <w:t>在规定媒介发布召开基金份额持有人大会的通知。基金份额持有人大会通知应至少载明以下内容：</w:t>
      </w:r>
    </w:p>
    <w:p w14:paraId="0941E9C4" w14:textId="77777777" w:rsidR="0082364D" w:rsidRDefault="00BF2824">
      <w:pPr>
        <w:spacing w:line="360" w:lineRule="auto"/>
        <w:ind w:firstLineChars="200" w:firstLine="420"/>
        <w:jc w:val="left"/>
        <w:rPr>
          <w:rFonts w:ascii="宋体" w:hAnsi="宋体"/>
          <w:bCs/>
        </w:rPr>
      </w:pPr>
      <w:r>
        <w:rPr>
          <w:rFonts w:ascii="宋体" w:hAnsi="宋体"/>
          <w:bCs/>
        </w:rPr>
        <w:t>（1）会议召开的时间、地点和会议形式；</w:t>
      </w:r>
    </w:p>
    <w:p w14:paraId="40B1B4E8" w14:textId="77777777" w:rsidR="0082364D" w:rsidRDefault="00BF2824">
      <w:pPr>
        <w:spacing w:line="360" w:lineRule="auto"/>
        <w:ind w:firstLineChars="200" w:firstLine="420"/>
        <w:jc w:val="left"/>
        <w:rPr>
          <w:rFonts w:ascii="宋体" w:hAnsi="宋体"/>
          <w:bCs/>
        </w:rPr>
      </w:pPr>
      <w:r>
        <w:rPr>
          <w:rFonts w:ascii="宋体" w:hAnsi="宋体"/>
          <w:bCs/>
        </w:rPr>
        <w:t>（2）会议拟审议的事项、议事程序和表决方式；</w:t>
      </w:r>
    </w:p>
    <w:p w14:paraId="7C7604AA" w14:textId="77777777" w:rsidR="0082364D" w:rsidRDefault="00BF2824">
      <w:pPr>
        <w:spacing w:line="360" w:lineRule="auto"/>
        <w:ind w:firstLineChars="200" w:firstLine="420"/>
        <w:jc w:val="left"/>
        <w:rPr>
          <w:rFonts w:ascii="宋体" w:hAnsi="宋体"/>
          <w:bCs/>
        </w:rPr>
      </w:pPr>
      <w:r>
        <w:rPr>
          <w:rFonts w:ascii="宋体" w:hAnsi="宋体"/>
          <w:bCs/>
        </w:rPr>
        <w:t>（3）有权出席基金份额持有人大会的基金份额持有人的权益登记日；</w:t>
      </w:r>
    </w:p>
    <w:p w14:paraId="569DEC89" w14:textId="77777777" w:rsidR="0082364D" w:rsidRDefault="00BF2824">
      <w:pPr>
        <w:spacing w:line="360" w:lineRule="auto"/>
        <w:ind w:firstLineChars="200" w:firstLine="420"/>
        <w:jc w:val="left"/>
        <w:rPr>
          <w:rFonts w:ascii="宋体" w:hAnsi="宋体"/>
          <w:bCs/>
        </w:rPr>
      </w:pPr>
      <w:r>
        <w:rPr>
          <w:rFonts w:ascii="宋体" w:hAnsi="宋体"/>
          <w:bCs/>
        </w:rPr>
        <w:t>（4）授权委托证明的内容要求（包括但不限于代理人身份，代理权限和代理有效期限等）、送达时间和地点；</w:t>
      </w:r>
    </w:p>
    <w:p w14:paraId="03882A80" w14:textId="77777777" w:rsidR="0082364D" w:rsidRDefault="00BF2824">
      <w:pPr>
        <w:spacing w:line="360" w:lineRule="auto"/>
        <w:ind w:firstLineChars="200" w:firstLine="420"/>
        <w:jc w:val="left"/>
        <w:rPr>
          <w:rFonts w:ascii="宋体" w:hAnsi="宋体"/>
          <w:bCs/>
        </w:rPr>
      </w:pPr>
      <w:r>
        <w:rPr>
          <w:rFonts w:ascii="宋体" w:hAnsi="宋体"/>
          <w:bCs/>
        </w:rPr>
        <w:t>（5）会务常设联系人姓名及联系电话；</w:t>
      </w:r>
    </w:p>
    <w:p w14:paraId="19D3251A" w14:textId="77777777" w:rsidR="0082364D" w:rsidRDefault="00BF2824">
      <w:pPr>
        <w:spacing w:line="360" w:lineRule="auto"/>
        <w:ind w:firstLineChars="200" w:firstLine="420"/>
        <w:jc w:val="left"/>
        <w:rPr>
          <w:rFonts w:ascii="宋体" w:hAnsi="宋体"/>
          <w:bCs/>
        </w:rPr>
      </w:pPr>
      <w:r>
        <w:rPr>
          <w:rFonts w:ascii="宋体" w:hAnsi="宋体"/>
          <w:bCs/>
        </w:rPr>
        <w:t>（6）出席会议者必须准备的文件和必须履行的手续；</w:t>
      </w:r>
    </w:p>
    <w:p w14:paraId="54431D8D" w14:textId="77777777" w:rsidR="0082364D" w:rsidRDefault="00BF2824">
      <w:pPr>
        <w:spacing w:line="360" w:lineRule="auto"/>
        <w:ind w:firstLineChars="200" w:firstLine="420"/>
        <w:jc w:val="left"/>
        <w:rPr>
          <w:rFonts w:ascii="宋体" w:hAnsi="宋体"/>
          <w:bCs/>
        </w:rPr>
      </w:pPr>
      <w:r>
        <w:rPr>
          <w:rFonts w:ascii="宋体" w:hAnsi="宋体"/>
          <w:bCs/>
        </w:rPr>
        <w:t>（7）召集人需要通知的其他事项。</w:t>
      </w:r>
    </w:p>
    <w:p w14:paraId="2DD19286" w14:textId="77777777" w:rsidR="0082364D" w:rsidRDefault="00BF2824">
      <w:pPr>
        <w:spacing w:line="360" w:lineRule="auto"/>
        <w:ind w:firstLineChars="200" w:firstLine="420"/>
        <w:jc w:val="left"/>
        <w:rPr>
          <w:rFonts w:ascii="宋体" w:hAnsi="宋体"/>
          <w:bCs/>
        </w:rPr>
      </w:pPr>
      <w:r>
        <w:rPr>
          <w:rFonts w:ascii="宋体" w:hAnsi="宋体"/>
          <w:bCs/>
        </w:rPr>
        <w:t>2、采取通讯开会方式并进行表决的情况下，由会议召集人决定在会议通知中说明本次基金份额持有人大会所采取的具体通讯方式、委托的公证机关及其联系方式和联系人、书面表决意见</w:t>
      </w:r>
      <w:r>
        <w:rPr>
          <w:rFonts w:ascii="宋体" w:hAnsi="宋体" w:hint="eastAsia"/>
          <w:bCs/>
        </w:rPr>
        <w:t>送达</w:t>
      </w:r>
      <w:r>
        <w:rPr>
          <w:rFonts w:ascii="宋体" w:hAnsi="宋体"/>
          <w:bCs/>
        </w:rPr>
        <w:t>的截止时间和收取方式。</w:t>
      </w:r>
    </w:p>
    <w:p w14:paraId="5BEEF286" w14:textId="77777777" w:rsidR="0082364D" w:rsidRDefault="00BF2824">
      <w:pPr>
        <w:spacing w:line="360" w:lineRule="auto"/>
        <w:ind w:firstLineChars="200" w:firstLine="420"/>
        <w:jc w:val="left"/>
        <w:rPr>
          <w:rFonts w:ascii="宋体" w:hAnsi="宋体"/>
          <w:bCs/>
        </w:rPr>
      </w:pPr>
      <w:r>
        <w:rPr>
          <w:rFonts w:ascii="宋体" w:hAnsi="宋体"/>
          <w:bCs/>
        </w:rPr>
        <w:t>3、如召集人为基金管理人，还应另行书面通知基金托管人到指定地点对表决意见的计</w:t>
      </w:r>
      <w:r>
        <w:rPr>
          <w:rFonts w:ascii="宋体" w:hAnsi="宋体"/>
          <w:bCs/>
        </w:rPr>
        <w:lastRenderedPageBreak/>
        <w:t>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8DAE255" w14:textId="77777777" w:rsidR="0082364D" w:rsidRDefault="00BF2824">
      <w:pPr>
        <w:spacing w:line="360" w:lineRule="auto"/>
        <w:ind w:firstLineChars="200" w:firstLine="420"/>
        <w:jc w:val="left"/>
        <w:rPr>
          <w:rFonts w:ascii="宋体" w:hAnsi="宋体"/>
        </w:rPr>
      </w:pPr>
      <w:r>
        <w:rPr>
          <w:rFonts w:ascii="宋体" w:hAnsi="宋体"/>
        </w:rPr>
        <w:t>D. 基金份额持有人出席会议的方式</w:t>
      </w:r>
    </w:p>
    <w:p w14:paraId="0029C70D" w14:textId="77777777" w:rsidR="0082364D" w:rsidRDefault="00BF2824">
      <w:pPr>
        <w:spacing w:line="360" w:lineRule="auto"/>
        <w:ind w:firstLineChars="200" w:firstLine="420"/>
        <w:jc w:val="left"/>
        <w:rPr>
          <w:rFonts w:ascii="宋体" w:hAnsi="宋体"/>
          <w:bCs/>
        </w:rPr>
      </w:pPr>
      <w:r>
        <w:rPr>
          <w:rFonts w:ascii="宋体" w:hAnsi="宋体"/>
          <w:bCs/>
        </w:rPr>
        <w:t>基金份额持有人大会可通过现场开会方式</w:t>
      </w:r>
      <w:r>
        <w:rPr>
          <w:rFonts w:ascii="宋体" w:hAnsi="宋体" w:hint="eastAsia"/>
          <w:bCs/>
        </w:rPr>
        <w:t>、</w:t>
      </w:r>
      <w:r>
        <w:rPr>
          <w:rFonts w:ascii="宋体" w:hAnsi="宋体"/>
          <w:bCs/>
        </w:rPr>
        <w:t>通讯开会方式或法律法规</w:t>
      </w:r>
      <w:r>
        <w:rPr>
          <w:rFonts w:ascii="宋体" w:hAnsi="宋体" w:hint="eastAsia"/>
          <w:bCs/>
        </w:rPr>
        <w:t>、</w:t>
      </w:r>
      <w:r>
        <w:rPr>
          <w:rFonts w:ascii="宋体" w:hAnsi="宋体"/>
          <w:bCs/>
        </w:rPr>
        <w:t>监管</w:t>
      </w:r>
      <w:r>
        <w:rPr>
          <w:rFonts w:ascii="宋体" w:hAnsi="宋体" w:hint="eastAsia"/>
          <w:bCs/>
        </w:rPr>
        <w:t>机构</w:t>
      </w:r>
      <w:r>
        <w:rPr>
          <w:rFonts w:ascii="宋体" w:hAnsi="宋体"/>
          <w:bCs/>
        </w:rPr>
        <w:t>允许的其他方式召开，会议的召开方式由会议召集人确定。</w:t>
      </w:r>
    </w:p>
    <w:p w14:paraId="5DC5EE0D" w14:textId="77777777" w:rsidR="0082364D" w:rsidRDefault="00BF2824">
      <w:pPr>
        <w:spacing w:line="360" w:lineRule="auto"/>
        <w:ind w:firstLineChars="200" w:firstLine="420"/>
        <w:jc w:val="left"/>
        <w:rPr>
          <w:rFonts w:ascii="宋体" w:hAnsi="宋体"/>
          <w:bCs/>
        </w:rPr>
      </w:pPr>
      <w:r>
        <w:rPr>
          <w:rFonts w:ascii="宋体" w:hAnsi="宋体"/>
          <w:bCs/>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D4A48A3" w14:textId="77777777" w:rsidR="0082364D" w:rsidRDefault="00BF2824">
      <w:pPr>
        <w:spacing w:line="360" w:lineRule="auto"/>
        <w:ind w:firstLineChars="200" w:firstLine="420"/>
        <w:jc w:val="left"/>
        <w:rPr>
          <w:rFonts w:ascii="宋体" w:hAnsi="宋体"/>
          <w:bCs/>
        </w:rPr>
      </w:pPr>
      <w:r>
        <w:rPr>
          <w:rFonts w:ascii="宋体" w:hAnsi="宋体"/>
          <w:bCs/>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5D143E4" w14:textId="77777777" w:rsidR="0082364D" w:rsidRDefault="00BF2824">
      <w:pPr>
        <w:spacing w:line="360" w:lineRule="auto"/>
        <w:ind w:firstLineChars="200" w:firstLine="420"/>
        <w:jc w:val="left"/>
        <w:rPr>
          <w:rFonts w:ascii="宋体" w:hAnsi="宋体"/>
          <w:bCs/>
        </w:rPr>
      </w:pPr>
      <w:r>
        <w:rPr>
          <w:rFonts w:ascii="宋体" w:hAnsi="宋体"/>
          <w:bCs/>
        </w:rPr>
        <w:t>（2）经核对，汇总到会者出示的在权益登记日持有基金份额的凭证显示，有效的基金份额不少于本基金在权益登记日基金总份额的50%（含50%）。若到会者在权益登记日代表的有效的基金份额少于本基金在权益登记日基金总份额的</w:t>
      </w:r>
      <w:r>
        <w:rPr>
          <w:rFonts w:ascii="宋体" w:hAnsi="宋体" w:hint="eastAsia"/>
          <w:bCs/>
        </w:rPr>
        <w:t>5</w:t>
      </w:r>
      <w:r>
        <w:rPr>
          <w:rFonts w:ascii="宋体" w:hAnsi="宋体"/>
          <w:bCs/>
        </w:rPr>
        <w:t>0%，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826883F" w14:textId="77777777" w:rsidR="0082364D" w:rsidRDefault="00BF2824">
      <w:pPr>
        <w:spacing w:line="360" w:lineRule="auto"/>
        <w:ind w:firstLineChars="200" w:firstLine="420"/>
        <w:jc w:val="left"/>
        <w:rPr>
          <w:rFonts w:ascii="宋体" w:hAnsi="宋体"/>
          <w:bCs/>
        </w:rPr>
      </w:pPr>
      <w:r>
        <w:rPr>
          <w:rFonts w:ascii="宋体" w:hAnsi="宋体"/>
          <w:bCs/>
        </w:rPr>
        <w:t>2、通讯开会。</w:t>
      </w:r>
      <w:r>
        <w:rPr>
          <w:rFonts w:ascii="宋体" w:hAnsi="宋体" w:hint="eastAsia"/>
          <w:bCs/>
        </w:rPr>
        <w:t>通讯开会系指基金份额持有人将其对审议事项的表决意见以书面形式或大会公告载明的其他形式在收取表决意见截止时间以前送达至召集人指定的地址。通讯开会应以书面方式或大会公告载明的其他方式进行表决。</w:t>
      </w:r>
    </w:p>
    <w:p w14:paraId="7945D3FE" w14:textId="77777777" w:rsidR="0082364D" w:rsidRDefault="00BF2824">
      <w:pPr>
        <w:spacing w:line="360" w:lineRule="auto"/>
        <w:ind w:firstLineChars="200" w:firstLine="420"/>
        <w:jc w:val="left"/>
        <w:rPr>
          <w:rFonts w:ascii="宋体" w:hAnsi="宋体"/>
          <w:bCs/>
        </w:rPr>
      </w:pPr>
      <w:r>
        <w:rPr>
          <w:rFonts w:ascii="宋体" w:hAnsi="宋体"/>
          <w:bCs/>
        </w:rPr>
        <w:t>在同时符合以下条件时，通讯开会的方式视为有效：</w:t>
      </w:r>
    </w:p>
    <w:p w14:paraId="06E2A1E6" w14:textId="77777777" w:rsidR="0082364D" w:rsidRDefault="00BF2824">
      <w:pPr>
        <w:spacing w:line="360" w:lineRule="auto"/>
        <w:ind w:firstLineChars="200" w:firstLine="420"/>
        <w:jc w:val="left"/>
        <w:rPr>
          <w:rFonts w:ascii="宋体" w:hAnsi="宋体"/>
          <w:bCs/>
        </w:rPr>
      </w:pPr>
      <w:r>
        <w:rPr>
          <w:rFonts w:ascii="宋体" w:hAnsi="宋体"/>
          <w:bCs/>
        </w:rPr>
        <w:t>（1）会议召集人按《基金合同》约定公布会议通知后，在2个工作日内连续公布相关提示性公告；</w:t>
      </w:r>
    </w:p>
    <w:p w14:paraId="3F69BA50" w14:textId="77777777" w:rsidR="0082364D" w:rsidRDefault="00BF2824">
      <w:pPr>
        <w:spacing w:line="360" w:lineRule="auto"/>
        <w:ind w:firstLineChars="200" w:firstLine="420"/>
        <w:jc w:val="left"/>
        <w:rPr>
          <w:rFonts w:ascii="宋体" w:hAnsi="宋体"/>
          <w:bCs/>
        </w:rPr>
      </w:pPr>
      <w:r>
        <w:rPr>
          <w:rFonts w:ascii="宋体" w:hAnsi="宋体"/>
          <w:bCs/>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w:t>
      </w:r>
      <w:r>
        <w:rPr>
          <w:rFonts w:ascii="宋体" w:hAnsi="宋体"/>
          <w:bCs/>
        </w:rPr>
        <w:lastRenderedPageBreak/>
        <w:t>的，不影响表决效力；</w:t>
      </w:r>
    </w:p>
    <w:p w14:paraId="561D6D06" w14:textId="77777777" w:rsidR="0082364D" w:rsidRDefault="00BF2824">
      <w:pPr>
        <w:spacing w:line="360" w:lineRule="auto"/>
        <w:ind w:firstLineChars="200" w:firstLine="420"/>
        <w:jc w:val="left"/>
        <w:rPr>
          <w:rFonts w:ascii="宋体" w:hAnsi="宋体"/>
          <w:bCs/>
        </w:rPr>
      </w:pPr>
      <w:r>
        <w:rPr>
          <w:rFonts w:ascii="宋体" w:hAnsi="宋体"/>
          <w:bCs/>
        </w:rPr>
        <w:t>（3）本人直接出具书面意见或授权他人代表出具书面意见的，基金份额持有人所持有的基金份额不小于在权益登记日基金总份额的50%（含50%）；</w:t>
      </w:r>
      <w:r>
        <w:rPr>
          <w:rFonts w:ascii="宋体" w:hAnsi="宋体" w:hint="eastAsia"/>
          <w:bCs/>
        </w:rPr>
        <w:t>若本人直接出具书面意见或授权他人代表出具书面意见基金份额持有人所持有的基金份额小于在权益登记日基金总份额的50</w:t>
      </w:r>
      <w:r>
        <w:rPr>
          <w:rFonts w:ascii="宋体" w:hAnsi="宋体"/>
          <w:bCs/>
        </w:rPr>
        <w:t>%</w:t>
      </w:r>
      <w:r>
        <w:rPr>
          <w:rFonts w:ascii="宋体" w:hAnsi="宋体" w:hint="eastAsia"/>
          <w:bCs/>
        </w:rPr>
        <w:t>，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Pr>
          <w:rFonts w:ascii="宋体" w:hAnsi="宋体"/>
          <w:bCs/>
        </w:rPr>
        <w:t>；</w:t>
      </w:r>
    </w:p>
    <w:p w14:paraId="41EC507A" w14:textId="77777777" w:rsidR="0082364D" w:rsidRDefault="00BF2824">
      <w:pPr>
        <w:spacing w:line="360" w:lineRule="auto"/>
        <w:ind w:firstLineChars="200" w:firstLine="420"/>
        <w:jc w:val="left"/>
        <w:rPr>
          <w:rFonts w:ascii="宋体" w:hAnsi="宋体"/>
          <w:bCs/>
        </w:rPr>
      </w:pPr>
      <w:r>
        <w:rPr>
          <w:rFonts w:ascii="宋体" w:hAnsi="宋体"/>
          <w:bCs/>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结算机构记录相符</w:t>
      </w:r>
      <w:r>
        <w:rPr>
          <w:rFonts w:ascii="宋体" w:hAnsi="宋体" w:hint="eastAsia"/>
          <w:bCs/>
        </w:rPr>
        <w:t>。</w:t>
      </w:r>
    </w:p>
    <w:p w14:paraId="21D8353C" w14:textId="77777777" w:rsidR="0082364D" w:rsidRDefault="00BF2824">
      <w:pPr>
        <w:spacing w:line="360" w:lineRule="auto"/>
        <w:ind w:firstLineChars="200" w:firstLine="420"/>
        <w:jc w:val="left"/>
        <w:rPr>
          <w:rFonts w:ascii="宋体" w:hAnsi="宋体"/>
          <w:bCs/>
        </w:rPr>
      </w:pPr>
      <w:r>
        <w:rPr>
          <w:rFonts w:ascii="宋体" w:hAnsi="宋体"/>
          <w:bCs/>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7E7EFB43" w14:textId="77777777" w:rsidR="0082364D" w:rsidRDefault="00BF2824">
      <w:pPr>
        <w:spacing w:line="360" w:lineRule="auto"/>
        <w:ind w:firstLineChars="200" w:firstLine="420"/>
        <w:jc w:val="left"/>
        <w:rPr>
          <w:rFonts w:ascii="宋体" w:hAnsi="宋体"/>
          <w:bCs/>
        </w:rPr>
      </w:pPr>
      <w:r>
        <w:rPr>
          <w:rFonts w:ascii="宋体" w:hAnsi="宋体"/>
          <w:bCs/>
        </w:rPr>
        <w:t>4、基金份额持有人授权他人代为出席会议并表决的，授权方式可以采用书面、网络、电话、短信或其他方式，具体方式在会议通知中列明。</w:t>
      </w:r>
    </w:p>
    <w:p w14:paraId="687A2995" w14:textId="77777777" w:rsidR="0082364D" w:rsidRDefault="00BF2824">
      <w:pPr>
        <w:spacing w:line="360" w:lineRule="auto"/>
        <w:ind w:firstLineChars="200" w:firstLine="420"/>
        <w:jc w:val="left"/>
        <w:rPr>
          <w:rFonts w:ascii="宋体" w:hAnsi="宋体"/>
        </w:rPr>
      </w:pPr>
      <w:r>
        <w:rPr>
          <w:rFonts w:ascii="宋体" w:hAnsi="宋体"/>
        </w:rPr>
        <w:t>E. 议事内容与程序</w:t>
      </w:r>
    </w:p>
    <w:p w14:paraId="319A16DE" w14:textId="77777777" w:rsidR="0082364D" w:rsidRDefault="00BF2824">
      <w:pPr>
        <w:spacing w:line="360" w:lineRule="auto"/>
        <w:ind w:firstLineChars="200" w:firstLine="420"/>
        <w:jc w:val="left"/>
        <w:rPr>
          <w:rFonts w:ascii="宋体" w:hAnsi="宋体"/>
        </w:rPr>
      </w:pPr>
      <w:r>
        <w:rPr>
          <w:rFonts w:ascii="宋体" w:hAnsi="宋体"/>
        </w:rPr>
        <w:t>1、议事内容及提案权</w:t>
      </w:r>
    </w:p>
    <w:p w14:paraId="7F6BFF09" w14:textId="77777777" w:rsidR="0082364D" w:rsidRDefault="00BF2824">
      <w:pPr>
        <w:spacing w:line="360" w:lineRule="auto"/>
        <w:ind w:firstLineChars="200" w:firstLine="420"/>
        <w:jc w:val="left"/>
        <w:rPr>
          <w:rFonts w:ascii="宋体" w:hAnsi="宋体"/>
          <w:bCs/>
        </w:rPr>
      </w:pPr>
      <w:r>
        <w:rPr>
          <w:rFonts w:ascii="宋体" w:hAnsi="宋体"/>
        </w:rPr>
        <w:t>议事内容</w:t>
      </w:r>
      <w:r>
        <w:rPr>
          <w:rFonts w:ascii="宋体" w:hAnsi="宋体" w:hint="eastAsia"/>
        </w:rPr>
        <w:t>为</w:t>
      </w:r>
      <w:r>
        <w:rPr>
          <w:rFonts w:ascii="宋体" w:hAnsi="宋体"/>
        </w:rPr>
        <w:t>本部分“A.</w:t>
      </w:r>
      <w:r>
        <w:rPr>
          <w:rFonts w:ascii="宋体" w:hAnsi="宋体" w:hint="eastAsia"/>
        </w:rPr>
        <w:t>召开事由”</w:t>
      </w:r>
      <w:r>
        <w:rPr>
          <w:rFonts w:ascii="宋体" w:hAnsi="宋体"/>
          <w:bCs/>
        </w:rPr>
        <w:t>中所述应由基金份额持有人大会审议决定的事项。</w:t>
      </w:r>
    </w:p>
    <w:p w14:paraId="6D240BE8" w14:textId="77777777" w:rsidR="0082364D" w:rsidRDefault="00BF2824">
      <w:pPr>
        <w:spacing w:line="360" w:lineRule="auto"/>
        <w:ind w:firstLineChars="200" w:firstLine="420"/>
        <w:jc w:val="left"/>
        <w:rPr>
          <w:rFonts w:ascii="宋体" w:hAnsi="宋体"/>
          <w:bCs/>
        </w:rPr>
      </w:pPr>
      <w:r>
        <w:rPr>
          <w:rFonts w:ascii="宋体" w:hAnsi="宋体"/>
          <w:bCs/>
        </w:rPr>
        <w:t>基金份额持有人大会的召集人发出召集会议的通知后，对原有提案的修改应当在基金份额持有人大会召开前及时公告。</w:t>
      </w:r>
    </w:p>
    <w:p w14:paraId="1AE9A511" w14:textId="77777777" w:rsidR="0082364D" w:rsidRDefault="00BF2824">
      <w:pPr>
        <w:spacing w:line="360" w:lineRule="auto"/>
        <w:ind w:firstLineChars="200" w:firstLine="420"/>
        <w:jc w:val="left"/>
        <w:rPr>
          <w:rFonts w:ascii="宋体" w:hAnsi="宋体"/>
          <w:bCs/>
        </w:rPr>
      </w:pPr>
      <w:r>
        <w:rPr>
          <w:rFonts w:ascii="宋体" w:hAnsi="宋体"/>
          <w:bCs/>
        </w:rPr>
        <w:t>基金份额持有人大会不得对未事先公告的议事内容进行表决。</w:t>
      </w:r>
    </w:p>
    <w:p w14:paraId="106E324E" w14:textId="77777777" w:rsidR="0082364D" w:rsidRDefault="00BF2824">
      <w:pPr>
        <w:spacing w:line="360" w:lineRule="auto"/>
        <w:ind w:firstLineChars="200" w:firstLine="420"/>
        <w:jc w:val="left"/>
        <w:rPr>
          <w:rFonts w:ascii="宋体" w:hAnsi="宋体"/>
          <w:bCs/>
        </w:rPr>
      </w:pPr>
      <w:r>
        <w:rPr>
          <w:rFonts w:ascii="宋体" w:hAnsi="宋体"/>
          <w:bCs/>
        </w:rPr>
        <w:t>2、议事程序</w:t>
      </w:r>
    </w:p>
    <w:p w14:paraId="6E8C857E" w14:textId="77777777" w:rsidR="0082364D" w:rsidRDefault="00BF2824">
      <w:pPr>
        <w:spacing w:line="360" w:lineRule="auto"/>
        <w:ind w:firstLineChars="200" w:firstLine="420"/>
        <w:jc w:val="left"/>
        <w:rPr>
          <w:rFonts w:ascii="宋体" w:hAnsi="宋体"/>
          <w:bCs/>
        </w:rPr>
      </w:pPr>
      <w:r>
        <w:rPr>
          <w:rFonts w:ascii="宋体" w:hAnsi="宋体"/>
          <w:bCs/>
        </w:rPr>
        <w:t>（1）现场开会</w:t>
      </w:r>
    </w:p>
    <w:p w14:paraId="1FEA2498" w14:textId="77777777" w:rsidR="0082364D" w:rsidRDefault="00BF2824">
      <w:pPr>
        <w:spacing w:line="360" w:lineRule="auto"/>
        <w:ind w:firstLineChars="200" w:firstLine="420"/>
        <w:jc w:val="left"/>
        <w:rPr>
          <w:rFonts w:ascii="宋体" w:hAnsi="宋体"/>
          <w:bCs/>
        </w:rPr>
      </w:pPr>
      <w:r>
        <w:rPr>
          <w:rFonts w:ascii="宋体" w:hAnsi="宋体"/>
          <w:bCs/>
        </w:rPr>
        <w:t>在现场开会的方式下，首先由大会主持人按照下列第</w:t>
      </w:r>
      <w:r>
        <w:rPr>
          <w:rFonts w:ascii="宋体" w:hAnsi="宋体" w:hint="eastAsia"/>
          <w:bCs/>
        </w:rPr>
        <w:t>G</w:t>
      </w:r>
      <w:r>
        <w:rPr>
          <w:rFonts w:ascii="宋体" w:hAnsi="宋体"/>
          <w:bCs/>
        </w:rPr>
        <w:t>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w:t>
      </w:r>
      <w:r>
        <w:rPr>
          <w:rFonts w:ascii="宋体" w:hAnsi="宋体"/>
          <w:bCs/>
        </w:rPr>
        <w:lastRenderedPageBreak/>
        <w:t>产生一名基金份额持有人作为该次基金份额持有人大会的主持人。基金管理人和基金托管人拒不出席或主持基金份额持有人大会，不影响基金份额持有人大会作出的决议的效力。</w:t>
      </w:r>
    </w:p>
    <w:p w14:paraId="748A8B65" w14:textId="77777777" w:rsidR="0082364D" w:rsidRDefault="00BF2824">
      <w:pPr>
        <w:spacing w:line="360" w:lineRule="auto"/>
        <w:ind w:firstLineChars="200" w:firstLine="420"/>
        <w:jc w:val="left"/>
        <w:rPr>
          <w:rFonts w:ascii="宋体" w:hAnsi="宋体"/>
          <w:bCs/>
        </w:rPr>
      </w:pPr>
      <w:r>
        <w:rPr>
          <w:rFonts w:ascii="宋体" w:hAnsi="宋体"/>
          <w:bCs/>
        </w:rPr>
        <w:t>会议召集人应当制作出席会议人员的签名册。签名册载明参加会议人员姓名（或单位名称）、身份证明文件号码、持有或代表有表决权的基金份额、委托人姓名（或单位名称）和联系方式等事项。</w:t>
      </w:r>
    </w:p>
    <w:p w14:paraId="02129A08" w14:textId="77777777" w:rsidR="0082364D" w:rsidRDefault="00BF2824">
      <w:pPr>
        <w:spacing w:line="360" w:lineRule="auto"/>
        <w:ind w:firstLineChars="200" w:firstLine="420"/>
        <w:jc w:val="left"/>
        <w:rPr>
          <w:rFonts w:ascii="宋体" w:hAnsi="宋体"/>
          <w:bCs/>
        </w:rPr>
      </w:pPr>
      <w:r>
        <w:rPr>
          <w:rFonts w:ascii="宋体" w:hAnsi="宋体"/>
          <w:bCs/>
        </w:rPr>
        <w:t>（2）通讯开会</w:t>
      </w:r>
    </w:p>
    <w:p w14:paraId="1EABCD98" w14:textId="77777777" w:rsidR="0082364D" w:rsidRDefault="00BF2824">
      <w:pPr>
        <w:spacing w:line="360" w:lineRule="auto"/>
        <w:ind w:firstLineChars="200" w:firstLine="420"/>
        <w:jc w:val="left"/>
        <w:rPr>
          <w:rFonts w:ascii="宋体" w:hAnsi="宋体"/>
          <w:bCs/>
        </w:rPr>
      </w:pPr>
      <w:r>
        <w:rPr>
          <w:rFonts w:ascii="宋体" w:hAnsi="宋体"/>
          <w:bCs/>
        </w:rPr>
        <w:t>在通讯开会的情况下，首先由召集人</w:t>
      </w:r>
      <w:r>
        <w:rPr>
          <w:rFonts w:ascii="宋体" w:hAnsi="宋体" w:hint="eastAsia"/>
          <w:bCs/>
        </w:rPr>
        <w:t>在收取会议审议事项书面表决意见截止日期前</w:t>
      </w:r>
      <w:r>
        <w:rPr>
          <w:rFonts w:ascii="宋体" w:hAnsi="宋体"/>
          <w:bCs/>
        </w:rPr>
        <w:t>至少提前30日公布提案，在所通知的</w:t>
      </w:r>
      <w:r>
        <w:rPr>
          <w:rFonts w:ascii="宋体" w:hAnsi="宋体" w:hint="eastAsia"/>
          <w:bCs/>
        </w:rPr>
        <w:t>收取</w:t>
      </w:r>
      <w:r>
        <w:rPr>
          <w:rFonts w:ascii="宋体" w:hAnsi="宋体"/>
          <w:bCs/>
        </w:rPr>
        <w:t>表决</w:t>
      </w:r>
      <w:r>
        <w:rPr>
          <w:rFonts w:ascii="宋体" w:hAnsi="宋体" w:hint="eastAsia"/>
          <w:bCs/>
        </w:rPr>
        <w:t>意见</w:t>
      </w:r>
      <w:r>
        <w:rPr>
          <w:rFonts w:ascii="宋体" w:hAnsi="宋体"/>
          <w:bCs/>
        </w:rPr>
        <w:t>截止日期后2个工作日内在公证机关监督下由召集人统计全部有效表决，在公证机关监督下形成决议。</w:t>
      </w:r>
    </w:p>
    <w:p w14:paraId="3FFB0BE6" w14:textId="77777777" w:rsidR="0082364D" w:rsidRDefault="00BF2824">
      <w:pPr>
        <w:spacing w:line="360" w:lineRule="auto"/>
        <w:ind w:firstLineChars="200" w:firstLine="420"/>
        <w:jc w:val="left"/>
        <w:rPr>
          <w:rFonts w:ascii="宋体" w:hAnsi="宋体"/>
        </w:rPr>
      </w:pPr>
      <w:r>
        <w:rPr>
          <w:rFonts w:ascii="宋体" w:hAnsi="宋体"/>
        </w:rPr>
        <w:t>F. 表决</w:t>
      </w:r>
    </w:p>
    <w:p w14:paraId="1D045292" w14:textId="77777777" w:rsidR="0082364D" w:rsidRDefault="00BF2824">
      <w:pPr>
        <w:spacing w:line="360" w:lineRule="auto"/>
        <w:ind w:firstLineChars="200" w:firstLine="420"/>
        <w:jc w:val="left"/>
        <w:rPr>
          <w:rFonts w:ascii="宋体" w:hAnsi="宋体"/>
          <w:bCs/>
        </w:rPr>
      </w:pPr>
      <w:r>
        <w:rPr>
          <w:rFonts w:ascii="宋体" w:hAnsi="宋体"/>
          <w:bCs/>
        </w:rPr>
        <w:t>基金份额持有人所持每份基金份额有一票表决权。</w:t>
      </w:r>
    </w:p>
    <w:p w14:paraId="49E0609D" w14:textId="77777777" w:rsidR="0082364D" w:rsidRDefault="00BF2824">
      <w:pPr>
        <w:spacing w:line="360" w:lineRule="auto"/>
        <w:ind w:firstLineChars="200" w:firstLine="420"/>
        <w:jc w:val="left"/>
        <w:rPr>
          <w:rFonts w:ascii="宋体" w:hAnsi="宋体"/>
          <w:bCs/>
        </w:rPr>
      </w:pPr>
      <w:r>
        <w:rPr>
          <w:rFonts w:ascii="宋体" w:hAnsi="宋体"/>
          <w:bCs/>
        </w:rPr>
        <w:t>基金份额持有人大会决议分为一般决议和特别决议：</w:t>
      </w:r>
    </w:p>
    <w:p w14:paraId="3FE73C01" w14:textId="77777777" w:rsidR="0082364D" w:rsidRDefault="00BF2824">
      <w:pPr>
        <w:spacing w:line="360" w:lineRule="auto"/>
        <w:ind w:firstLineChars="200" w:firstLine="420"/>
        <w:jc w:val="left"/>
        <w:rPr>
          <w:rFonts w:ascii="宋体" w:hAnsi="宋体"/>
          <w:bCs/>
        </w:rPr>
      </w:pPr>
      <w:r>
        <w:rPr>
          <w:rFonts w:ascii="宋体" w:hAnsi="宋体"/>
          <w:bCs/>
        </w:rPr>
        <w:t>1、一般决议，一般决议须经参加大会的基金份额持有人或其代理人所持表决权的50%以上（含50%）通过方为有效；除下列第2项所规定的须以特别决议通过事项以外的其他事项均以一般决议的方式通过。</w:t>
      </w:r>
    </w:p>
    <w:p w14:paraId="24F5CB74" w14:textId="77777777" w:rsidR="0082364D" w:rsidRDefault="00BF2824">
      <w:pPr>
        <w:spacing w:line="360" w:lineRule="auto"/>
        <w:ind w:firstLineChars="200" w:firstLine="420"/>
        <w:jc w:val="left"/>
        <w:rPr>
          <w:rFonts w:ascii="宋体" w:hAnsi="宋体"/>
          <w:bCs/>
        </w:rPr>
      </w:pPr>
      <w:r>
        <w:rPr>
          <w:rFonts w:ascii="宋体" w:hAnsi="宋体"/>
          <w:bCs/>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048AF9DC" w14:textId="77777777" w:rsidR="0082364D" w:rsidRDefault="00BF2824">
      <w:pPr>
        <w:spacing w:line="360" w:lineRule="auto"/>
        <w:ind w:firstLineChars="200" w:firstLine="420"/>
        <w:jc w:val="left"/>
        <w:rPr>
          <w:rFonts w:ascii="宋体" w:hAnsi="宋体"/>
          <w:bCs/>
        </w:rPr>
      </w:pPr>
      <w:r>
        <w:rPr>
          <w:rFonts w:ascii="宋体" w:hAnsi="宋体"/>
          <w:bCs/>
        </w:rPr>
        <w:t>基金份额持有人大会采取记名方式进行投票表决。</w:t>
      </w:r>
    </w:p>
    <w:p w14:paraId="62A022CB" w14:textId="77777777" w:rsidR="0082364D" w:rsidRDefault="00BF2824">
      <w:pPr>
        <w:spacing w:line="360" w:lineRule="auto"/>
        <w:ind w:firstLineChars="200" w:firstLine="420"/>
        <w:jc w:val="left"/>
        <w:rPr>
          <w:rFonts w:ascii="宋体" w:hAnsi="宋体"/>
          <w:bCs/>
        </w:rPr>
      </w:pPr>
      <w:r>
        <w:rPr>
          <w:rFonts w:ascii="宋体" w:hAnsi="宋体"/>
          <w:bCs/>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3463B697" w14:textId="77777777" w:rsidR="0082364D" w:rsidRDefault="00BF2824">
      <w:pPr>
        <w:spacing w:line="360" w:lineRule="auto"/>
        <w:ind w:firstLineChars="200" w:firstLine="420"/>
        <w:jc w:val="left"/>
        <w:rPr>
          <w:rFonts w:ascii="宋体" w:hAnsi="宋体"/>
          <w:bCs/>
        </w:rPr>
      </w:pPr>
      <w:r>
        <w:rPr>
          <w:rFonts w:ascii="宋体" w:hAnsi="宋体"/>
          <w:bCs/>
        </w:rPr>
        <w:t>基金份额持有人大会的各项提案或同一项提案内并列的各项议题应当分开审议、逐项表决。</w:t>
      </w:r>
    </w:p>
    <w:p w14:paraId="70608775" w14:textId="77777777" w:rsidR="0082364D" w:rsidRDefault="00BF2824">
      <w:pPr>
        <w:spacing w:line="360" w:lineRule="auto"/>
        <w:ind w:firstLineChars="200" w:firstLine="420"/>
        <w:jc w:val="left"/>
        <w:rPr>
          <w:rFonts w:ascii="宋体" w:hAnsi="宋体"/>
        </w:rPr>
      </w:pPr>
      <w:r>
        <w:rPr>
          <w:rFonts w:ascii="宋体" w:hAnsi="宋体"/>
        </w:rPr>
        <w:t>G. 计票</w:t>
      </w:r>
    </w:p>
    <w:p w14:paraId="42399415" w14:textId="77777777" w:rsidR="0082364D" w:rsidRDefault="00BF2824">
      <w:pPr>
        <w:spacing w:line="360" w:lineRule="auto"/>
        <w:ind w:firstLineChars="200" w:firstLine="420"/>
        <w:jc w:val="left"/>
        <w:rPr>
          <w:rFonts w:ascii="宋体" w:hAnsi="宋体"/>
          <w:bCs/>
        </w:rPr>
      </w:pPr>
      <w:r>
        <w:rPr>
          <w:rFonts w:ascii="宋体" w:hAnsi="宋体" w:hint="eastAsia"/>
          <w:bCs/>
        </w:rPr>
        <w:t>1、现场开会</w:t>
      </w:r>
    </w:p>
    <w:p w14:paraId="35F2B7C8" w14:textId="77777777" w:rsidR="0082364D" w:rsidRDefault="00BF2824">
      <w:pPr>
        <w:spacing w:line="360" w:lineRule="auto"/>
        <w:ind w:firstLineChars="200" w:firstLine="420"/>
        <w:jc w:val="left"/>
        <w:rPr>
          <w:rFonts w:ascii="宋体" w:hAnsi="宋体"/>
          <w:bCs/>
        </w:rPr>
      </w:pPr>
      <w:r>
        <w:rPr>
          <w:rFonts w:ascii="宋体" w:hAnsi="宋体" w:hint="eastAsia"/>
          <w:bCs/>
        </w:rPr>
        <w:t>（1）如大会由基金管理人或基金托管人召集，基金份额持有人大会的主持人应当在会议开始后宣布在出席会议的基金份额持有人和代理人中选举两名基金份额持有人代表与大</w:t>
      </w:r>
      <w:r>
        <w:rPr>
          <w:rFonts w:ascii="宋体" w:hAnsi="宋体" w:hint="eastAsia"/>
          <w:bCs/>
        </w:rPr>
        <w:lastRenderedPageBreak/>
        <w:t>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3B813871" w14:textId="77777777" w:rsidR="0082364D" w:rsidRDefault="00BF2824">
      <w:pPr>
        <w:spacing w:line="360" w:lineRule="auto"/>
        <w:ind w:firstLineChars="200" w:firstLine="420"/>
        <w:jc w:val="left"/>
        <w:rPr>
          <w:rFonts w:ascii="宋体" w:hAnsi="宋体"/>
          <w:bCs/>
        </w:rPr>
      </w:pPr>
      <w:r>
        <w:rPr>
          <w:rFonts w:ascii="宋体" w:hAnsi="宋体" w:hint="eastAsia"/>
          <w:bCs/>
        </w:rPr>
        <w:t>（2）计票人应当在基金份额持有人表决后立即进行清点并由大会主持人当场公布计票结果。</w:t>
      </w:r>
    </w:p>
    <w:p w14:paraId="675F1726" w14:textId="77777777" w:rsidR="0082364D" w:rsidRDefault="00BF2824">
      <w:pPr>
        <w:spacing w:line="360" w:lineRule="auto"/>
        <w:ind w:firstLineChars="200" w:firstLine="420"/>
        <w:jc w:val="left"/>
        <w:rPr>
          <w:rFonts w:ascii="宋体" w:hAnsi="宋体"/>
          <w:bCs/>
        </w:rPr>
      </w:pPr>
      <w:r>
        <w:rPr>
          <w:rFonts w:ascii="宋体" w:hAnsi="宋体" w:hint="eastAsia"/>
          <w:bCs/>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14:paraId="4607ED50" w14:textId="77777777" w:rsidR="0082364D" w:rsidRDefault="00BF2824">
      <w:pPr>
        <w:spacing w:line="360" w:lineRule="auto"/>
        <w:ind w:firstLineChars="200" w:firstLine="420"/>
        <w:jc w:val="left"/>
        <w:rPr>
          <w:rFonts w:ascii="宋体" w:hAnsi="宋体"/>
          <w:bCs/>
        </w:rPr>
      </w:pPr>
      <w:r>
        <w:rPr>
          <w:rFonts w:ascii="宋体" w:hAnsi="宋体" w:hint="eastAsia"/>
          <w:bCs/>
        </w:rPr>
        <w:t>（4）计票过程应由公证机关予以公证，基金管理人或基金托管人拒不出席大会的，不影响计票的效力。</w:t>
      </w:r>
    </w:p>
    <w:p w14:paraId="3927EE1B" w14:textId="77777777" w:rsidR="0082364D" w:rsidRDefault="00BF2824">
      <w:pPr>
        <w:spacing w:line="360" w:lineRule="auto"/>
        <w:ind w:firstLineChars="200" w:firstLine="420"/>
        <w:jc w:val="left"/>
        <w:rPr>
          <w:rFonts w:ascii="宋体" w:hAnsi="宋体"/>
          <w:bCs/>
        </w:rPr>
      </w:pPr>
      <w:r>
        <w:rPr>
          <w:rFonts w:ascii="宋体" w:hAnsi="宋体" w:hint="eastAsia"/>
          <w:bCs/>
        </w:rPr>
        <w:t>2、通讯开会</w:t>
      </w:r>
    </w:p>
    <w:p w14:paraId="4BE645B1" w14:textId="77777777" w:rsidR="0082364D" w:rsidRDefault="00BF2824">
      <w:pPr>
        <w:spacing w:line="360" w:lineRule="auto"/>
        <w:ind w:firstLineChars="200" w:firstLine="420"/>
        <w:jc w:val="left"/>
        <w:rPr>
          <w:rFonts w:ascii="宋体" w:hAnsi="宋体"/>
          <w:bCs/>
        </w:rPr>
      </w:pPr>
      <w:r>
        <w:rPr>
          <w:rFonts w:ascii="宋体" w:hAnsi="宋体" w:hint="eastAsia"/>
          <w:bCs/>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5C0C86DE" w14:textId="77777777" w:rsidR="0082364D" w:rsidRDefault="00BF2824">
      <w:pPr>
        <w:spacing w:line="360" w:lineRule="auto"/>
        <w:ind w:firstLineChars="200" w:firstLine="420"/>
        <w:jc w:val="left"/>
        <w:rPr>
          <w:rFonts w:ascii="宋体" w:hAnsi="宋体"/>
        </w:rPr>
      </w:pPr>
      <w:r>
        <w:rPr>
          <w:rFonts w:ascii="宋体" w:hAnsi="宋体"/>
        </w:rPr>
        <w:t>H. 生效与公告</w:t>
      </w:r>
    </w:p>
    <w:p w14:paraId="679EDE3E" w14:textId="77777777" w:rsidR="0082364D" w:rsidRDefault="00BF2824">
      <w:pPr>
        <w:spacing w:line="360" w:lineRule="auto"/>
        <w:ind w:firstLineChars="200" w:firstLine="420"/>
        <w:jc w:val="left"/>
        <w:rPr>
          <w:rFonts w:ascii="宋体" w:hAnsi="宋体"/>
          <w:bCs/>
        </w:rPr>
      </w:pPr>
      <w:r>
        <w:rPr>
          <w:rFonts w:ascii="宋体" w:hAnsi="宋体"/>
          <w:bCs/>
        </w:rPr>
        <w:t>基金份额持有人大会的决议，召集人应当自通过之日起</w:t>
      </w:r>
      <w:r>
        <w:rPr>
          <w:rFonts w:ascii="宋体" w:hAnsi="宋体" w:hint="eastAsia"/>
          <w:bCs/>
        </w:rPr>
        <w:t>5</w:t>
      </w:r>
      <w:r>
        <w:rPr>
          <w:rFonts w:ascii="宋体" w:hAnsi="宋体"/>
          <w:bCs/>
        </w:rPr>
        <w:t>日内报中国证监会备案。</w:t>
      </w:r>
    </w:p>
    <w:p w14:paraId="54C0EA6E" w14:textId="77777777" w:rsidR="0082364D" w:rsidRDefault="00BF2824">
      <w:pPr>
        <w:spacing w:line="360" w:lineRule="auto"/>
        <w:ind w:firstLineChars="200" w:firstLine="420"/>
        <w:jc w:val="left"/>
        <w:rPr>
          <w:rFonts w:ascii="宋体" w:hAnsi="宋体"/>
          <w:bCs/>
        </w:rPr>
      </w:pPr>
      <w:r>
        <w:rPr>
          <w:rFonts w:ascii="宋体" w:hAnsi="宋体"/>
          <w:bCs/>
        </w:rPr>
        <w:t>基金份额持有人大会的决议自表决通过之日起生效。该表决通过之日为基金份额持有人大会计票完成且计票结果符合法律法规和基金合同规定的决议通过条件之日。</w:t>
      </w:r>
    </w:p>
    <w:p w14:paraId="07EE6C1C" w14:textId="77777777" w:rsidR="0082364D" w:rsidRDefault="00BF2824">
      <w:pPr>
        <w:spacing w:line="360" w:lineRule="auto"/>
        <w:ind w:firstLineChars="200" w:firstLine="420"/>
        <w:jc w:val="left"/>
        <w:rPr>
          <w:rFonts w:ascii="宋体" w:hAnsi="宋体"/>
          <w:bCs/>
        </w:rPr>
      </w:pPr>
      <w:r>
        <w:rPr>
          <w:rFonts w:ascii="宋体" w:hAnsi="宋体"/>
          <w:bCs/>
        </w:rPr>
        <w:t>基金份额持有人大会决议生效</w:t>
      </w:r>
      <w:r>
        <w:rPr>
          <w:rFonts w:ascii="宋体" w:hAnsi="宋体" w:hint="eastAsia"/>
          <w:bCs/>
        </w:rPr>
        <w:t>后应依照《信息披露办法》的有关规定</w:t>
      </w:r>
      <w:r>
        <w:rPr>
          <w:rFonts w:ascii="宋体" w:hAnsi="宋体"/>
          <w:bCs/>
        </w:rPr>
        <w:t>在规定媒介上公告。</w:t>
      </w:r>
    </w:p>
    <w:p w14:paraId="60B62218" w14:textId="77777777" w:rsidR="0082364D" w:rsidRDefault="00BF2824">
      <w:pPr>
        <w:spacing w:line="360" w:lineRule="auto"/>
        <w:ind w:firstLineChars="200" w:firstLine="420"/>
        <w:jc w:val="left"/>
        <w:rPr>
          <w:rFonts w:ascii="宋体" w:hAnsi="宋体"/>
          <w:bCs/>
        </w:rPr>
      </w:pPr>
      <w:r>
        <w:rPr>
          <w:rFonts w:ascii="宋体" w:hAnsi="宋体"/>
          <w:bCs/>
        </w:rPr>
        <w:t>基金管理人、基金托管人和基金份额持有人应当执行生效的基金份额持有人大会的决议。生效的基金份额持有人大会决议对全体基金份额持有人、基金管理人、基金托管人均有约束力。</w:t>
      </w:r>
    </w:p>
    <w:p w14:paraId="4646EE33" w14:textId="77777777" w:rsidR="0082364D" w:rsidRDefault="00BF2824">
      <w:pPr>
        <w:spacing w:line="360" w:lineRule="auto"/>
        <w:ind w:firstLineChars="200" w:firstLine="420"/>
        <w:jc w:val="left"/>
        <w:rPr>
          <w:rFonts w:ascii="宋体" w:hAnsi="宋体"/>
        </w:rPr>
      </w:pPr>
      <w:r>
        <w:rPr>
          <w:rFonts w:ascii="宋体" w:hAnsi="宋体"/>
        </w:rPr>
        <w:t>I.</w:t>
      </w:r>
      <w:r>
        <w:rPr>
          <w:rFonts w:hint="eastAsia"/>
        </w:rPr>
        <w:t xml:space="preserve"> </w:t>
      </w:r>
      <w:r>
        <w:rPr>
          <w:rFonts w:ascii="宋体" w:hAnsi="宋体" w:hint="eastAsia"/>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2A2D018E" w14:textId="77777777" w:rsidR="0082364D" w:rsidRDefault="00BF2824">
      <w:pPr>
        <w:spacing w:line="360" w:lineRule="auto"/>
        <w:ind w:firstLineChars="200" w:firstLine="420"/>
        <w:jc w:val="left"/>
      </w:pPr>
      <w:r>
        <w:rPr>
          <w:rFonts w:ascii="宋体" w:hAnsi="宋体"/>
        </w:rPr>
        <w:lastRenderedPageBreak/>
        <w:t>（三）基金合同解除和终止的事由、程序以及基金财产清算方式</w:t>
      </w:r>
    </w:p>
    <w:p w14:paraId="1BA17510" w14:textId="77777777" w:rsidR="0082364D" w:rsidRDefault="00BF2824">
      <w:pPr>
        <w:spacing w:line="360" w:lineRule="auto"/>
        <w:ind w:firstLineChars="200" w:firstLine="420"/>
        <w:jc w:val="left"/>
        <w:rPr>
          <w:rFonts w:ascii="宋体" w:hAnsi="宋体"/>
        </w:rPr>
      </w:pPr>
      <w:r>
        <w:rPr>
          <w:rFonts w:ascii="宋体" w:hAnsi="宋体"/>
        </w:rPr>
        <w:t>A</w:t>
      </w:r>
      <w:r>
        <w:rPr>
          <w:rFonts w:ascii="宋体" w:hAnsi="宋体" w:hint="eastAsia"/>
        </w:rPr>
        <w:t>.《基金合同》的变更</w:t>
      </w:r>
    </w:p>
    <w:p w14:paraId="1C149D70" w14:textId="77777777" w:rsidR="0082364D" w:rsidRDefault="00BF2824">
      <w:pPr>
        <w:spacing w:line="360" w:lineRule="auto"/>
        <w:ind w:firstLineChars="200" w:firstLine="420"/>
        <w:jc w:val="left"/>
        <w:rPr>
          <w:rFonts w:ascii="宋体" w:hAnsi="宋体"/>
          <w:bCs/>
        </w:rPr>
      </w:pPr>
      <w:r>
        <w:rPr>
          <w:rFonts w:ascii="宋体" w:hAnsi="宋体"/>
          <w:bCs/>
        </w:rPr>
        <w:t>1、变更基金合同涉及法律法规规定或本</w:t>
      </w:r>
      <w:r>
        <w:rPr>
          <w:rFonts w:ascii="宋体" w:hAnsi="宋体" w:hint="eastAsia"/>
          <w:bCs/>
        </w:rPr>
        <w:t>基金</w:t>
      </w:r>
      <w:r>
        <w:rPr>
          <w:rFonts w:ascii="宋体" w:hAnsi="宋体"/>
          <w:bCs/>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Pr>
          <w:rFonts w:ascii="宋体" w:hAnsi="宋体" w:hint="eastAsia"/>
          <w:bCs/>
        </w:rPr>
        <w:t>或变更注册</w:t>
      </w:r>
      <w:r>
        <w:rPr>
          <w:rFonts w:ascii="宋体" w:hAnsi="宋体"/>
          <w:bCs/>
        </w:rPr>
        <w:t>。</w:t>
      </w:r>
    </w:p>
    <w:p w14:paraId="5DE8951F" w14:textId="77777777" w:rsidR="0082364D" w:rsidRDefault="00BF2824">
      <w:pPr>
        <w:spacing w:line="360" w:lineRule="auto"/>
        <w:ind w:firstLineChars="200" w:firstLine="420"/>
        <w:jc w:val="left"/>
        <w:rPr>
          <w:rFonts w:ascii="宋体" w:hAnsi="宋体"/>
          <w:bCs/>
        </w:rPr>
      </w:pPr>
      <w:r>
        <w:rPr>
          <w:rFonts w:ascii="宋体" w:hAnsi="宋体"/>
          <w:bCs/>
        </w:rPr>
        <w:t>2、关于《基金合同》变更的基金份额持有人大会决议自生效后方可执行，</w:t>
      </w:r>
      <w:r>
        <w:rPr>
          <w:rFonts w:ascii="宋体" w:hAnsi="宋体" w:hint="eastAsia"/>
          <w:bCs/>
        </w:rPr>
        <w:t>信息披露义务人应在</w:t>
      </w:r>
      <w:r>
        <w:rPr>
          <w:rFonts w:ascii="宋体" w:hAnsi="宋体"/>
          <w:bCs/>
        </w:rPr>
        <w:t>决议生效后依照《信息披露办法》的有关规定在规定媒介公告。</w:t>
      </w:r>
    </w:p>
    <w:p w14:paraId="3EADB262" w14:textId="50DD7565" w:rsidR="0082364D" w:rsidRDefault="00BF2824">
      <w:pPr>
        <w:spacing w:line="360" w:lineRule="auto"/>
        <w:ind w:firstLineChars="200" w:firstLine="420"/>
        <w:jc w:val="left"/>
        <w:rPr>
          <w:rFonts w:ascii="宋体" w:hAnsi="宋体"/>
        </w:rPr>
      </w:pPr>
      <w:r>
        <w:rPr>
          <w:rFonts w:ascii="宋体" w:hAnsi="宋体"/>
        </w:rPr>
        <w:t>B.《基金合同》的终止事由</w:t>
      </w:r>
    </w:p>
    <w:p w14:paraId="28A13790" w14:textId="77777777" w:rsidR="0082364D" w:rsidRDefault="00BF2824">
      <w:pPr>
        <w:spacing w:line="360" w:lineRule="auto"/>
        <w:ind w:firstLineChars="200" w:firstLine="420"/>
        <w:jc w:val="left"/>
        <w:rPr>
          <w:rFonts w:ascii="宋体" w:hAnsi="宋体"/>
          <w:bCs/>
        </w:rPr>
      </w:pPr>
      <w:r>
        <w:rPr>
          <w:rFonts w:ascii="宋体" w:hAnsi="宋体"/>
          <w:bCs/>
        </w:rPr>
        <w:t>有</w:t>
      </w:r>
      <w:r>
        <w:rPr>
          <w:rFonts w:ascii="宋体" w:hAnsi="宋体" w:hint="eastAsia"/>
          <w:bCs/>
        </w:rPr>
        <w:t>下列情形</w:t>
      </w:r>
      <w:r>
        <w:rPr>
          <w:rFonts w:ascii="宋体" w:hAnsi="宋体"/>
          <w:bCs/>
        </w:rPr>
        <w:t>之一的，</w:t>
      </w:r>
      <w:r>
        <w:rPr>
          <w:rFonts w:ascii="宋体" w:hAnsi="宋体" w:hint="eastAsia"/>
          <w:bCs/>
        </w:rPr>
        <w:t>经履行相关程序后，</w:t>
      </w:r>
      <w:r>
        <w:rPr>
          <w:rFonts w:ascii="宋体" w:hAnsi="宋体"/>
          <w:bCs/>
        </w:rPr>
        <w:t>《基金合同》应当</w:t>
      </w:r>
      <w:r>
        <w:rPr>
          <w:rFonts w:ascii="宋体" w:hAnsi="宋体" w:hint="eastAsia"/>
          <w:bCs/>
        </w:rPr>
        <w:t>终止：</w:t>
      </w:r>
    </w:p>
    <w:p w14:paraId="4BDD609C" w14:textId="77777777" w:rsidR="0082364D" w:rsidRDefault="00BF2824">
      <w:pPr>
        <w:spacing w:line="360" w:lineRule="auto"/>
        <w:ind w:firstLineChars="200" w:firstLine="420"/>
        <w:jc w:val="left"/>
        <w:rPr>
          <w:rFonts w:ascii="宋体" w:hAnsi="宋体"/>
          <w:bCs/>
        </w:rPr>
      </w:pPr>
      <w:r>
        <w:rPr>
          <w:rFonts w:ascii="宋体" w:hAnsi="宋体"/>
          <w:bCs/>
        </w:rPr>
        <w:t>1、基金份额持有人大会决定终止的；</w:t>
      </w:r>
    </w:p>
    <w:p w14:paraId="06D01D96" w14:textId="77777777" w:rsidR="0082364D" w:rsidRDefault="00BF2824">
      <w:pPr>
        <w:spacing w:line="360" w:lineRule="auto"/>
        <w:ind w:firstLineChars="200" w:firstLine="420"/>
        <w:jc w:val="left"/>
        <w:rPr>
          <w:rFonts w:ascii="宋体" w:hAnsi="宋体"/>
          <w:bCs/>
        </w:rPr>
      </w:pPr>
      <w:r>
        <w:rPr>
          <w:rFonts w:ascii="宋体" w:hAnsi="宋体"/>
          <w:bCs/>
        </w:rPr>
        <w:t>2、基金管理人、基金托管人职责终止，在6个月内没有新基金管理人、新基金托管人承接的；</w:t>
      </w:r>
    </w:p>
    <w:p w14:paraId="790BBFF5" w14:textId="77777777" w:rsidR="0082364D" w:rsidRDefault="00BF2824">
      <w:pPr>
        <w:spacing w:line="360" w:lineRule="auto"/>
        <w:ind w:firstLineChars="200" w:firstLine="420"/>
        <w:jc w:val="left"/>
        <w:rPr>
          <w:rFonts w:ascii="宋体" w:hAnsi="宋体"/>
          <w:bCs/>
        </w:rPr>
      </w:pPr>
      <w:r>
        <w:rPr>
          <w:rFonts w:ascii="宋体" w:hAnsi="宋体"/>
          <w:bCs/>
        </w:rPr>
        <w:t>3、</w:t>
      </w:r>
      <w:r>
        <w:rPr>
          <w:rFonts w:ascii="宋体" w:hAnsi="宋体" w:hint="eastAsia"/>
          <w:bCs/>
        </w:rPr>
        <w:t>出现标的指数不符合要求（因成份股价格波动等指数编制方法变动之外的因素致使标的指数不符合要求的情形除外）、指数编制机构退出、指数编制机构终止指数协议等情形，基金管理人召集基金份额持有人大会对解决方案进行表决，基金份额持有人大会未成功召开或就上述事项表决未通过的；</w:t>
      </w:r>
    </w:p>
    <w:p w14:paraId="52D00A3F" w14:textId="77777777" w:rsidR="0082364D" w:rsidRDefault="00BF2824">
      <w:pPr>
        <w:spacing w:line="360" w:lineRule="auto"/>
        <w:ind w:firstLineChars="200" w:firstLine="420"/>
        <w:jc w:val="left"/>
        <w:rPr>
          <w:rFonts w:ascii="宋体" w:hAnsi="宋体"/>
          <w:bCs/>
        </w:rPr>
      </w:pPr>
      <w:r>
        <w:rPr>
          <w:rFonts w:ascii="宋体" w:hAnsi="宋体" w:hint="eastAsia"/>
          <w:bCs/>
        </w:rPr>
        <w:t>4、</w:t>
      </w:r>
      <w:r>
        <w:rPr>
          <w:rFonts w:ascii="宋体" w:hAnsi="宋体"/>
          <w:bCs/>
        </w:rPr>
        <w:t>《基金合同》约定的其他情形；</w:t>
      </w:r>
    </w:p>
    <w:p w14:paraId="1225F0A0" w14:textId="77777777" w:rsidR="0082364D" w:rsidRDefault="00BF2824">
      <w:pPr>
        <w:spacing w:line="360" w:lineRule="auto"/>
        <w:ind w:firstLineChars="200" w:firstLine="420"/>
        <w:jc w:val="left"/>
        <w:rPr>
          <w:rFonts w:ascii="宋体" w:hAnsi="宋体"/>
          <w:bCs/>
        </w:rPr>
      </w:pPr>
      <w:r>
        <w:rPr>
          <w:rFonts w:ascii="宋体" w:hAnsi="宋体"/>
          <w:bCs/>
        </w:rPr>
        <w:t>5、相关法律法规</w:t>
      </w:r>
      <w:r>
        <w:rPr>
          <w:rFonts w:ascii="宋体" w:hAnsi="宋体" w:hint="eastAsia"/>
          <w:bCs/>
        </w:rPr>
        <w:t>和</w:t>
      </w:r>
      <w:r>
        <w:rPr>
          <w:rFonts w:ascii="宋体" w:hAnsi="宋体"/>
          <w:bCs/>
        </w:rPr>
        <w:t>中国证监会规定的其他情况。</w:t>
      </w:r>
    </w:p>
    <w:p w14:paraId="548CE684" w14:textId="77777777" w:rsidR="0082364D" w:rsidRDefault="00BF2824">
      <w:pPr>
        <w:spacing w:line="360" w:lineRule="auto"/>
        <w:ind w:firstLineChars="200" w:firstLine="420"/>
        <w:jc w:val="left"/>
        <w:rPr>
          <w:rFonts w:ascii="宋体" w:hAnsi="宋体"/>
        </w:rPr>
      </w:pPr>
      <w:r>
        <w:rPr>
          <w:rFonts w:ascii="宋体" w:hAnsi="宋体"/>
        </w:rPr>
        <w:t>C.基金财产的清算</w:t>
      </w:r>
    </w:p>
    <w:p w14:paraId="3C743F3A" w14:textId="77777777" w:rsidR="0082364D" w:rsidRDefault="00BF2824">
      <w:pPr>
        <w:spacing w:line="360" w:lineRule="auto"/>
        <w:ind w:firstLineChars="200" w:firstLine="420"/>
        <w:jc w:val="left"/>
        <w:rPr>
          <w:rFonts w:ascii="宋体" w:hAnsi="宋体"/>
          <w:bCs/>
        </w:rPr>
      </w:pPr>
      <w:r>
        <w:rPr>
          <w:rFonts w:ascii="宋体" w:hAnsi="宋体"/>
          <w:bCs/>
        </w:rPr>
        <w:t>1、基金财产清算小组：自出现《基金合同》终止事由之日起30个工作日内成立清算小组，基金管理人组织基金财产清算小组并在中国证监会的监督下进行基金清算。</w:t>
      </w:r>
    </w:p>
    <w:p w14:paraId="52AA75C7" w14:textId="77777777" w:rsidR="0082364D" w:rsidRDefault="00BF2824">
      <w:pPr>
        <w:spacing w:line="360" w:lineRule="auto"/>
        <w:ind w:firstLineChars="200" w:firstLine="420"/>
        <w:jc w:val="left"/>
        <w:rPr>
          <w:rFonts w:ascii="宋体" w:hAnsi="宋体"/>
          <w:bCs/>
        </w:rPr>
      </w:pPr>
      <w:r>
        <w:rPr>
          <w:rFonts w:ascii="宋体" w:hAnsi="宋体"/>
          <w:bCs/>
        </w:rPr>
        <w:t>2、在基金财产清算小组接管基金财产之前，基金管理人和基金托管人应按照基金合同和托管协议的规定继续履行保护基金财产安全的职责。</w:t>
      </w:r>
    </w:p>
    <w:p w14:paraId="707527BC" w14:textId="77777777" w:rsidR="0082364D" w:rsidRDefault="00BF2824">
      <w:pPr>
        <w:spacing w:line="360" w:lineRule="auto"/>
        <w:ind w:firstLineChars="200" w:firstLine="420"/>
        <w:jc w:val="left"/>
        <w:rPr>
          <w:rFonts w:ascii="宋体" w:hAnsi="宋体"/>
          <w:bCs/>
        </w:rPr>
      </w:pPr>
      <w:r>
        <w:rPr>
          <w:rFonts w:ascii="宋体" w:hAnsi="宋体"/>
          <w:bCs/>
        </w:rPr>
        <w:t>3、基金财产清算小组组成：基金财产清算小组成员由基金管理人、基金托管人、</w:t>
      </w:r>
      <w:r>
        <w:rPr>
          <w:rFonts w:ascii="宋体" w:hAnsi="宋体" w:hint="eastAsia"/>
          <w:bCs/>
        </w:rPr>
        <w:t>符合《证券法》规定</w:t>
      </w:r>
      <w:r>
        <w:rPr>
          <w:rFonts w:ascii="宋体" w:hAnsi="宋体"/>
          <w:bCs/>
        </w:rPr>
        <w:t>的注册会计师、律师组成。基金财产清算小组可以聘用必要的工作人员。</w:t>
      </w:r>
    </w:p>
    <w:p w14:paraId="59824C55" w14:textId="77777777" w:rsidR="0082364D" w:rsidRDefault="00BF2824">
      <w:pPr>
        <w:spacing w:line="360" w:lineRule="auto"/>
        <w:ind w:firstLineChars="200" w:firstLine="420"/>
        <w:jc w:val="left"/>
        <w:rPr>
          <w:rFonts w:ascii="宋体" w:hAnsi="宋体"/>
          <w:bCs/>
        </w:rPr>
      </w:pPr>
      <w:r>
        <w:rPr>
          <w:rFonts w:ascii="宋体" w:hAnsi="宋体"/>
          <w:bCs/>
        </w:rPr>
        <w:t>4、基金财产清算小组职责：基金财产清算小组负责基金财产的保管、清理、估价、变现和分配。基金财产清算小组可以依法进行必要的民事活动。</w:t>
      </w:r>
    </w:p>
    <w:p w14:paraId="76B74E97" w14:textId="77777777" w:rsidR="0082364D" w:rsidRDefault="00BF2824">
      <w:pPr>
        <w:spacing w:line="360" w:lineRule="auto"/>
        <w:ind w:firstLineChars="200" w:firstLine="420"/>
        <w:jc w:val="left"/>
        <w:rPr>
          <w:rFonts w:ascii="宋体" w:hAnsi="宋体"/>
          <w:bCs/>
        </w:rPr>
      </w:pPr>
      <w:r>
        <w:rPr>
          <w:rFonts w:ascii="宋体" w:hAnsi="宋体"/>
          <w:bCs/>
        </w:rPr>
        <w:t>5、基金财产清算程序：</w:t>
      </w:r>
    </w:p>
    <w:p w14:paraId="714EDE67" w14:textId="77777777" w:rsidR="0082364D" w:rsidRDefault="00BF2824">
      <w:pPr>
        <w:spacing w:line="360" w:lineRule="auto"/>
        <w:ind w:firstLineChars="200" w:firstLine="420"/>
        <w:jc w:val="left"/>
        <w:rPr>
          <w:rFonts w:ascii="宋体" w:hAnsi="宋体"/>
          <w:bCs/>
        </w:rPr>
      </w:pPr>
      <w:r>
        <w:rPr>
          <w:rFonts w:ascii="宋体" w:hAnsi="宋体"/>
          <w:bCs/>
        </w:rPr>
        <w:t>（1）基金财产清算小组成立后，由基金财产清算小组统一接管基金；</w:t>
      </w:r>
    </w:p>
    <w:p w14:paraId="79B716D1" w14:textId="77777777" w:rsidR="0082364D" w:rsidRDefault="00BF2824">
      <w:pPr>
        <w:spacing w:line="360" w:lineRule="auto"/>
        <w:ind w:firstLineChars="200" w:firstLine="420"/>
        <w:jc w:val="left"/>
        <w:rPr>
          <w:rFonts w:ascii="宋体" w:hAnsi="宋体"/>
          <w:bCs/>
        </w:rPr>
      </w:pPr>
      <w:r>
        <w:rPr>
          <w:rFonts w:ascii="宋体" w:hAnsi="宋体"/>
          <w:bCs/>
        </w:rPr>
        <w:lastRenderedPageBreak/>
        <w:t>（2）对基金财产和债权债务进行清理和确认；</w:t>
      </w:r>
    </w:p>
    <w:p w14:paraId="7FF34470" w14:textId="77777777" w:rsidR="0082364D" w:rsidRDefault="00BF2824">
      <w:pPr>
        <w:spacing w:line="360" w:lineRule="auto"/>
        <w:ind w:firstLineChars="200" w:firstLine="420"/>
        <w:jc w:val="left"/>
        <w:rPr>
          <w:rFonts w:ascii="宋体" w:hAnsi="宋体"/>
          <w:bCs/>
        </w:rPr>
      </w:pPr>
      <w:r>
        <w:rPr>
          <w:rFonts w:ascii="宋体" w:hAnsi="宋体"/>
          <w:bCs/>
        </w:rPr>
        <w:t>（3）对基金财产进行估值和变现；</w:t>
      </w:r>
    </w:p>
    <w:p w14:paraId="329567E9" w14:textId="77777777" w:rsidR="0082364D" w:rsidRDefault="00BF2824">
      <w:pPr>
        <w:spacing w:line="360" w:lineRule="auto"/>
        <w:ind w:firstLineChars="200" w:firstLine="420"/>
        <w:jc w:val="left"/>
        <w:rPr>
          <w:rFonts w:ascii="宋体" w:hAnsi="宋体"/>
          <w:bCs/>
        </w:rPr>
      </w:pPr>
      <w:r>
        <w:rPr>
          <w:rFonts w:ascii="宋体" w:hAnsi="宋体"/>
          <w:bCs/>
        </w:rPr>
        <w:t>（4）制作清算报告；</w:t>
      </w:r>
    </w:p>
    <w:p w14:paraId="28C02CCA" w14:textId="77777777" w:rsidR="0082364D" w:rsidRDefault="00BF2824">
      <w:pPr>
        <w:spacing w:line="360" w:lineRule="auto"/>
        <w:ind w:firstLineChars="200" w:firstLine="420"/>
        <w:jc w:val="left"/>
        <w:rPr>
          <w:rFonts w:ascii="宋体" w:hAnsi="宋体"/>
          <w:bCs/>
        </w:rPr>
      </w:pPr>
      <w:r>
        <w:rPr>
          <w:rFonts w:ascii="宋体" w:hAnsi="宋体"/>
          <w:bCs/>
        </w:rPr>
        <w:t>（5）聘请会计师事务所对清算报告进行外部审计，聘请律师事务所对清算报告出具法律意见书；</w:t>
      </w:r>
    </w:p>
    <w:p w14:paraId="6F82FE5F" w14:textId="77777777" w:rsidR="0082364D" w:rsidRDefault="00BF2824">
      <w:pPr>
        <w:spacing w:line="360" w:lineRule="auto"/>
        <w:ind w:firstLineChars="200" w:firstLine="420"/>
        <w:jc w:val="left"/>
        <w:rPr>
          <w:rFonts w:ascii="宋体" w:hAnsi="宋体"/>
          <w:bCs/>
        </w:rPr>
      </w:pPr>
      <w:r>
        <w:rPr>
          <w:rFonts w:ascii="宋体" w:hAnsi="宋体"/>
          <w:bCs/>
        </w:rPr>
        <w:t>（6）将清算报告报中国证监会备案并公告；</w:t>
      </w:r>
    </w:p>
    <w:p w14:paraId="0F657D2C" w14:textId="77777777" w:rsidR="0082364D" w:rsidRDefault="00BF2824">
      <w:pPr>
        <w:spacing w:line="360" w:lineRule="auto"/>
        <w:ind w:firstLineChars="200" w:firstLine="420"/>
        <w:jc w:val="left"/>
        <w:rPr>
          <w:rFonts w:ascii="宋体" w:hAnsi="宋体"/>
          <w:bCs/>
        </w:rPr>
      </w:pPr>
      <w:r>
        <w:rPr>
          <w:rFonts w:ascii="宋体" w:hAnsi="宋体"/>
          <w:bCs/>
        </w:rPr>
        <w:t>（7）对基金</w:t>
      </w:r>
      <w:r>
        <w:rPr>
          <w:rFonts w:ascii="宋体" w:hAnsi="宋体" w:hint="eastAsia"/>
          <w:bCs/>
        </w:rPr>
        <w:t>剩余</w:t>
      </w:r>
      <w:r>
        <w:rPr>
          <w:rFonts w:ascii="宋体" w:hAnsi="宋体"/>
          <w:bCs/>
        </w:rPr>
        <w:t>财产进行分配</w:t>
      </w:r>
      <w:r>
        <w:rPr>
          <w:rFonts w:ascii="宋体" w:hAnsi="宋体" w:hint="eastAsia"/>
          <w:bCs/>
        </w:rPr>
        <w:t>。</w:t>
      </w:r>
    </w:p>
    <w:p w14:paraId="437FC1CC" w14:textId="77777777" w:rsidR="0082364D" w:rsidRDefault="00BF2824">
      <w:pPr>
        <w:spacing w:line="360" w:lineRule="auto"/>
        <w:ind w:firstLineChars="200" w:firstLine="420"/>
        <w:jc w:val="left"/>
        <w:rPr>
          <w:rFonts w:ascii="宋体" w:hAnsi="宋体"/>
          <w:bCs/>
        </w:rPr>
      </w:pPr>
      <w:r>
        <w:rPr>
          <w:rFonts w:ascii="宋体" w:hAnsi="宋体"/>
          <w:bCs/>
        </w:rPr>
        <w:t>6、基金财产清算的期限为6个月，但因本基金所持证券的流动性受到限制而不能及时变现</w:t>
      </w:r>
      <w:r>
        <w:rPr>
          <w:rFonts w:ascii="宋体" w:hAnsi="宋体" w:hint="eastAsia"/>
          <w:bCs/>
        </w:rPr>
        <w:t>、结算保证金相关规定等客观因素</w:t>
      </w:r>
      <w:r>
        <w:rPr>
          <w:rFonts w:ascii="宋体" w:hAnsi="宋体"/>
          <w:bCs/>
        </w:rPr>
        <w:t>，清算期限相应顺延。</w:t>
      </w:r>
    </w:p>
    <w:p w14:paraId="173A8D86" w14:textId="77777777" w:rsidR="0082364D" w:rsidRDefault="00BF2824">
      <w:pPr>
        <w:spacing w:line="360" w:lineRule="auto"/>
        <w:ind w:firstLineChars="200" w:firstLine="420"/>
        <w:jc w:val="left"/>
        <w:rPr>
          <w:rFonts w:ascii="宋体" w:hAnsi="宋体"/>
        </w:rPr>
      </w:pPr>
      <w:r>
        <w:rPr>
          <w:rFonts w:ascii="宋体" w:hAnsi="宋体"/>
        </w:rPr>
        <w:t>D.清算费用</w:t>
      </w:r>
    </w:p>
    <w:p w14:paraId="3C53FC10" w14:textId="77777777" w:rsidR="0082364D" w:rsidRDefault="00BF2824">
      <w:pPr>
        <w:spacing w:line="360" w:lineRule="auto"/>
        <w:ind w:firstLineChars="200" w:firstLine="420"/>
        <w:jc w:val="left"/>
        <w:rPr>
          <w:rFonts w:ascii="宋体" w:hAnsi="宋体"/>
          <w:bCs/>
        </w:rPr>
      </w:pPr>
      <w:r>
        <w:rPr>
          <w:rFonts w:ascii="宋体" w:hAnsi="宋体"/>
          <w:bCs/>
        </w:rPr>
        <w:t>清算费用是指基金财产清算小组在进行基金清算过程中发生的所有合理费用，清算费用由基金财产清算小组优先从基金财产中支付。</w:t>
      </w:r>
    </w:p>
    <w:p w14:paraId="7CF9B5FE" w14:textId="77777777" w:rsidR="0082364D" w:rsidRDefault="00BF2824">
      <w:pPr>
        <w:spacing w:line="360" w:lineRule="auto"/>
        <w:ind w:firstLineChars="200" w:firstLine="420"/>
        <w:jc w:val="left"/>
        <w:rPr>
          <w:rFonts w:ascii="宋体" w:hAnsi="宋体"/>
        </w:rPr>
      </w:pPr>
      <w:r>
        <w:rPr>
          <w:rFonts w:ascii="宋体" w:hAnsi="宋体"/>
        </w:rPr>
        <w:t>E.基金财产清算剩余资产的分配</w:t>
      </w:r>
    </w:p>
    <w:p w14:paraId="12C7DCB8" w14:textId="77777777" w:rsidR="0082364D" w:rsidRDefault="00BF2824">
      <w:pPr>
        <w:spacing w:line="360" w:lineRule="auto"/>
        <w:ind w:firstLineChars="200" w:firstLine="420"/>
        <w:jc w:val="left"/>
        <w:rPr>
          <w:rFonts w:ascii="宋体" w:hAnsi="宋体"/>
          <w:bCs/>
        </w:rPr>
      </w:pPr>
      <w:r>
        <w:rPr>
          <w:rFonts w:ascii="宋体" w:hAnsi="宋体"/>
          <w:bCs/>
        </w:rPr>
        <w:t>依据基金财产清算的分配方案，将基金财产清算后的全部剩余资产扣除基金财产清算费用、交纳所欠税款并清偿基金债务后，按基金份额持有人持有的基金份额比例进行分配。</w:t>
      </w:r>
    </w:p>
    <w:p w14:paraId="186B33AC" w14:textId="77777777" w:rsidR="0082364D" w:rsidRDefault="00BF2824">
      <w:pPr>
        <w:spacing w:line="360" w:lineRule="auto"/>
        <w:ind w:firstLineChars="200" w:firstLine="420"/>
        <w:jc w:val="left"/>
        <w:rPr>
          <w:rFonts w:ascii="宋体" w:hAnsi="宋体"/>
        </w:rPr>
      </w:pPr>
      <w:r>
        <w:rPr>
          <w:rFonts w:ascii="宋体" w:hAnsi="宋体"/>
        </w:rPr>
        <w:t>F.基金财产清算的公告</w:t>
      </w:r>
    </w:p>
    <w:p w14:paraId="63AA0322" w14:textId="77777777" w:rsidR="0082364D" w:rsidRDefault="00BF2824">
      <w:pPr>
        <w:spacing w:line="360" w:lineRule="auto"/>
        <w:ind w:firstLineChars="200" w:firstLine="420"/>
        <w:jc w:val="left"/>
        <w:rPr>
          <w:rFonts w:ascii="宋体" w:hAnsi="宋体"/>
          <w:bCs/>
        </w:rPr>
      </w:pPr>
      <w:r>
        <w:rPr>
          <w:rFonts w:ascii="宋体" w:hAnsi="宋体"/>
          <w:bCs/>
        </w:rPr>
        <w:t>清算过程中的有关重大事项</w:t>
      </w:r>
      <w:r>
        <w:rPr>
          <w:rFonts w:ascii="宋体" w:hAnsi="宋体" w:hint="eastAsia"/>
          <w:bCs/>
        </w:rPr>
        <w:t>应</w:t>
      </w:r>
      <w:r>
        <w:rPr>
          <w:rFonts w:ascii="宋体" w:hAnsi="宋体"/>
          <w:bCs/>
        </w:rPr>
        <w:t>及时公告；基金财产清算报告经</w:t>
      </w:r>
      <w:r>
        <w:rPr>
          <w:rFonts w:ascii="宋体" w:hAnsi="宋体" w:hint="eastAsia"/>
          <w:bCs/>
        </w:rPr>
        <w:t>符合《证券法》规定的</w:t>
      </w:r>
      <w:r>
        <w:rPr>
          <w:rFonts w:ascii="宋体" w:hAnsi="宋体"/>
          <w:bCs/>
        </w:rPr>
        <w:t>会计师事务所审计并由律师事务所出具法律意见书后报中国证监会备案并公告。基金财产清算报告报中国证监会备案后</w:t>
      </w:r>
      <w:r>
        <w:rPr>
          <w:rFonts w:ascii="宋体" w:hAnsi="宋体" w:hint="eastAsia"/>
          <w:bCs/>
        </w:rPr>
        <w:t>按照《信息披露办法》的规定</w:t>
      </w:r>
      <w:r>
        <w:rPr>
          <w:rFonts w:ascii="宋体" w:hAnsi="宋体"/>
          <w:bCs/>
        </w:rPr>
        <w:t>由基金财产清算小组进行公告。</w:t>
      </w:r>
    </w:p>
    <w:p w14:paraId="0C470B4B" w14:textId="77777777" w:rsidR="0082364D" w:rsidRDefault="00BF2824">
      <w:pPr>
        <w:spacing w:line="360" w:lineRule="auto"/>
        <w:ind w:firstLineChars="200" w:firstLine="420"/>
        <w:jc w:val="left"/>
        <w:rPr>
          <w:rFonts w:ascii="宋体" w:hAnsi="宋体"/>
        </w:rPr>
      </w:pPr>
      <w:r>
        <w:rPr>
          <w:rFonts w:ascii="宋体" w:hAnsi="宋体"/>
        </w:rPr>
        <w:t>G.基金财产清算账册及文件的保存</w:t>
      </w:r>
    </w:p>
    <w:p w14:paraId="1C88EADB" w14:textId="77777777" w:rsidR="0082364D" w:rsidRDefault="00BF2824">
      <w:pPr>
        <w:spacing w:line="360" w:lineRule="auto"/>
        <w:ind w:firstLineChars="200" w:firstLine="420"/>
        <w:jc w:val="left"/>
        <w:rPr>
          <w:rFonts w:ascii="宋体" w:hAnsi="宋体"/>
          <w:bCs/>
        </w:rPr>
      </w:pPr>
      <w:r>
        <w:rPr>
          <w:rFonts w:ascii="宋体" w:hAnsi="宋体" w:hint="eastAsia"/>
          <w:bCs/>
        </w:rPr>
        <w:t>基金财产清算账册及有关文件由基金托管人保存，保存期限不低于法律法规规定的最低期限。</w:t>
      </w:r>
    </w:p>
    <w:p w14:paraId="4BA68649" w14:textId="77777777" w:rsidR="0082364D" w:rsidRDefault="00BF2824">
      <w:pPr>
        <w:spacing w:line="360" w:lineRule="auto"/>
        <w:ind w:firstLineChars="200" w:firstLine="420"/>
        <w:jc w:val="left"/>
      </w:pPr>
      <w:r>
        <w:rPr>
          <w:rFonts w:ascii="宋体" w:hAnsi="宋体"/>
        </w:rPr>
        <w:t>（四）争议解决方式</w:t>
      </w:r>
    </w:p>
    <w:p w14:paraId="4E7A773C" w14:textId="77777777" w:rsidR="0082364D" w:rsidRDefault="00BF2824">
      <w:pPr>
        <w:spacing w:line="360" w:lineRule="auto"/>
        <w:ind w:firstLineChars="200" w:firstLine="420"/>
        <w:jc w:val="left"/>
        <w:rPr>
          <w:rFonts w:ascii="宋体" w:hAnsi="宋体"/>
          <w:bCs/>
        </w:rPr>
      </w:pPr>
      <w:r>
        <w:rPr>
          <w:rFonts w:ascii="宋体" w:hAnsi="宋体"/>
          <w:bCs/>
        </w:rPr>
        <w:t>各方当事人同意，因《基金合同》而产生的或与《基金合同》有关的一切争议，各方当事人应尽量通过协商、调解解决。协商、调解不能解决的任何一方均有权将争议提交</w:t>
      </w:r>
      <w:r>
        <w:rPr>
          <w:rFonts w:ascii="宋体" w:hAnsi="宋体" w:hint="eastAsia"/>
          <w:bCs/>
        </w:rPr>
        <w:t>中国国际经济贸易仲裁委员会</w:t>
      </w:r>
      <w:r>
        <w:rPr>
          <w:rFonts w:ascii="宋体" w:hAnsi="宋体"/>
          <w:bCs/>
        </w:rPr>
        <w:t>，按照</w:t>
      </w:r>
      <w:r>
        <w:rPr>
          <w:rFonts w:ascii="宋体" w:hAnsi="宋体" w:hint="eastAsia"/>
          <w:bCs/>
        </w:rPr>
        <w:t>中国国际经济贸易仲裁委员会</w:t>
      </w:r>
      <w:r>
        <w:rPr>
          <w:rFonts w:ascii="宋体" w:hAnsi="宋体"/>
          <w:bCs/>
        </w:rPr>
        <w:t>届时有效的仲裁规则进行仲裁。仲裁地点为</w:t>
      </w:r>
      <w:r>
        <w:rPr>
          <w:rFonts w:ascii="宋体" w:hAnsi="宋体" w:hint="eastAsia"/>
          <w:bCs/>
        </w:rPr>
        <w:t>北京市</w:t>
      </w:r>
      <w:r>
        <w:rPr>
          <w:rFonts w:ascii="宋体" w:hAnsi="宋体"/>
          <w:bCs/>
        </w:rPr>
        <w:t>。仲裁裁决是终局的，对仲裁各方当事人均具有约束力。仲裁费用由败诉方承担</w:t>
      </w:r>
      <w:r>
        <w:rPr>
          <w:rFonts w:ascii="宋体" w:hAnsi="宋体" w:hint="eastAsia"/>
          <w:bCs/>
        </w:rPr>
        <w:t>，除非仲裁裁决另有决定</w:t>
      </w:r>
      <w:r>
        <w:rPr>
          <w:rFonts w:ascii="宋体" w:hAnsi="宋体"/>
          <w:bCs/>
        </w:rPr>
        <w:t>。</w:t>
      </w:r>
    </w:p>
    <w:p w14:paraId="4B3D1509" w14:textId="77777777" w:rsidR="0082364D" w:rsidRDefault="00BF2824">
      <w:pPr>
        <w:spacing w:line="360" w:lineRule="auto"/>
        <w:ind w:firstLineChars="200" w:firstLine="420"/>
        <w:jc w:val="left"/>
        <w:rPr>
          <w:rFonts w:ascii="宋体" w:hAnsi="宋体"/>
          <w:bCs/>
        </w:rPr>
      </w:pPr>
      <w:r>
        <w:rPr>
          <w:rFonts w:ascii="宋体" w:hAnsi="宋体"/>
          <w:bCs/>
        </w:rPr>
        <w:lastRenderedPageBreak/>
        <w:t>争议处理期间，各方当事人应恪守各自的职责，继续忠实、勤勉、尽责地履行基金合同规定的义务，维护基金份额持有人的合法权益。</w:t>
      </w:r>
    </w:p>
    <w:p w14:paraId="015CC4C1" w14:textId="77777777" w:rsidR="0082364D" w:rsidRDefault="00BF2824">
      <w:pPr>
        <w:spacing w:line="360" w:lineRule="auto"/>
        <w:ind w:firstLineChars="200" w:firstLine="420"/>
        <w:jc w:val="left"/>
        <w:rPr>
          <w:rFonts w:ascii="宋体" w:hAnsi="宋体"/>
          <w:bCs/>
        </w:rPr>
      </w:pPr>
      <w:r>
        <w:rPr>
          <w:rFonts w:ascii="宋体" w:hAnsi="宋体"/>
          <w:bCs/>
        </w:rPr>
        <w:t>《基金合同》受中国法律</w:t>
      </w:r>
      <w:r>
        <w:rPr>
          <w:rFonts w:ascii="宋体" w:hAnsi="宋体" w:hint="eastAsia"/>
          <w:bCs/>
        </w:rPr>
        <w:t>（为本基金合同之目的，不包括香港特别行政区、澳门特别行政区和台湾地区法律）</w:t>
      </w:r>
      <w:r>
        <w:rPr>
          <w:rFonts w:ascii="宋体" w:hAnsi="宋体"/>
          <w:bCs/>
        </w:rPr>
        <w:t>管辖</w:t>
      </w:r>
      <w:r>
        <w:rPr>
          <w:rFonts w:ascii="宋体" w:hAnsi="宋体" w:hint="eastAsia"/>
          <w:bCs/>
        </w:rPr>
        <w:t>并从其解释</w:t>
      </w:r>
      <w:r>
        <w:rPr>
          <w:rFonts w:ascii="宋体" w:hAnsi="宋体"/>
          <w:bCs/>
        </w:rPr>
        <w:t>。</w:t>
      </w:r>
    </w:p>
    <w:p w14:paraId="5EF4C25B" w14:textId="77777777" w:rsidR="0082364D" w:rsidRDefault="00BF2824">
      <w:pPr>
        <w:spacing w:line="360" w:lineRule="auto"/>
        <w:ind w:firstLineChars="200" w:firstLine="420"/>
        <w:jc w:val="left"/>
      </w:pPr>
      <w:r>
        <w:rPr>
          <w:rFonts w:ascii="宋体" w:hAnsi="宋体"/>
        </w:rPr>
        <w:t>（五）基金合同存放地和投资者取得基金合同的方式</w:t>
      </w:r>
    </w:p>
    <w:p w14:paraId="6ED0F745" w14:textId="77777777" w:rsidR="0082364D" w:rsidRDefault="00BF2824">
      <w:pPr>
        <w:spacing w:line="360" w:lineRule="auto"/>
        <w:ind w:firstLineChars="200" w:firstLine="420"/>
        <w:jc w:val="left"/>
        <w:rPr>
          <w:rFonts w:ascii="宋体" w:hAnsi="宋体"/>
        </w:rPr>
      </w:pPr>
      <w:r>
        <w:rPr>
          <w:rFonts w:ascii="宋体" w:hAnsi="宋体"/>
        </w:rPr>
        <w:t>《基金合同》正本一式</w:t>
      </w:r>
      <w:r>
        <w:rPr>
          <w:rFonts w:ascii="宋体" w:hAnsi="宋体" w:hint="eastAsia"/>
        </w:rPr>
        <w:t>三</w:t>
      </w:r>
      <w:r>
        <w:rPr>
          <w:rFonts w:ascii="宋体" w:hAnsi="宋体"/>
        </w:rPr>
        <w:t>份，除上报有关监管机构</w:t>
      </w:r>
      <w:r>
        <w:rPr>
          <w:rFonts w:ascii="宋体" w:hAnsi="宋体" w:hint="eastAsia"/>
        </w:rPr>
        <w:t>一</w:t>
      </w:r>
      <w:r>
        <w:rPr>
          <w:rFonts w:ascii="宋体" w:hAnsi="宋体"/>
        </w:rPr>
        <w:t>份外，基金管理人、基金托管人各持有</w:t>
      </w:r>
      <w:r>
        <w:rPr>
          <w:rFonts w:ascii="宋体" w:hAnsi="宋体" w:hint="eastAsia"/>
        </w:rPr>
        <w:t>一</w:t>
      </w:r>
      <w:r>
        <w:rPr>
          <w:rFonts w:ascii="宋体" w:hAnsi="宋体"/>
        </w:rPr>
        <w:t>份，每份具有同等的法律效力。</w:t>
      </w:r>
    </w:p>
    <w:p w14:paraId="61AB120B" w14:textId="77777777" w:rsidR="0082364D" w:rsidRDefault="00BF2824">
      <w:pPr>
        <w:spacing w:line="360" w:lineRule="auto"/>
        <w:ind w:firstLineChars="200" w:firstLine="420"/>
        <w:jc w:val="left"/>
        <w:rPr>
          <w:rFonts w:ascii="宋体" w:hAnsi="宋体"/>
        </w:rPr>
      </w:pPr>
      <w:r>
        <w:rPr>
          <w:rFonts w:ascii="宋体" w:hAnsi="宋体"/>
        </w:rPr>
        <w:t>《基金合同》可印制成册，供投资者在基金管理人、基金托管人、销售机构的办公场所和营业场所查阅。</w:t>
      </w:r>
    </w:p>
    <w:p w14:paraId="7AE0131F" w14:textId="77777777" w:rsidR="0082364D" w:rsidRDefault="00BF2824">
      <w:pPr>
        <w:widowControl/>
        <w:jc w:val="left"/>
        <w:rPr>
          <w:rFonts w:ascii="宋体" w:hAnsi="宋体"/>
        </w:rPr>
      </w:pPr>
      <w:r>
        <w:rPr>
          <w:rFonts w:ascii="宋体" w:hAnsi="宋体"/>
        </w:rPr>
        <w:br w:type="page"/>
      </w:r>
    </w:p>
    <w:p w14:paraId="014A9862" w14:textId="77777777" w:rsidR="0082364D" w:rsidRPr="00F43B98" w:rsidRDefault="00BF2824">
      <w:pPr>
        <w:pStyle w:val="1"/>
        <w:jc w:val="center"/>
        <w:rPr>
          <w:rFonts w:hAnsi="宋体"/>
          <w:bCs w:val="0"/>
          <w:color w:val="000000" w:themeColor="text1"/>
          <w:sz w:val="28"/>
          <w:szCs w:val="28"/>
        </w:rPr>
      </w:pPr>
      <w:bookmarkStart w:id="146" w:name="_Toc76747255"/>
      <w:bookmarkStart w:id="147" w:name="_Toc108598532"/>
      <w:bookmarkStart w:id="148" w:name="_Toc449611775"/>
      <w:r w:rsidRPr="00F43B98">
        <w:rPr>
          <w:rFonts w:hAnsi="宋体" w:hint="eastAsia"/>
          <w:color w:val="000000" w:themeColor="text1"/>
          <w:sz w:val="28"/>
          <w:szCs w:val="28"/>
        </w:rPr>
        <w:lastRenderedPageBreak/>
        <w:t>二十一、基金托管协议的内容摘要</w:t>
      </w:r>
      <w:bookmarkEnd w:id="146"/>
      <w:bookmarkEnd w:id="147"/>
      <w:bookmarkEnd w:id="148"/>
    </w:p>
    <w:p w14:paraId="009B35AB"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（一）基金托管协议当事人</w:t>
      </w:r>
    </w:p>
    <w:p w14:paraId="5D66A172" w14:textId="5AED86BF"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A、基金管理人</w:t>
      </w:r>
    </w:p>
    <w:p w14:paraId="454C7D13"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名称：嘉实基金管理有限公司</w:t>
      </w:r>
    </w:p>
    <w:p w14:paraId="226729C1"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住所：中国（上海）自由贸易试验区陆家嘴环路1318号1806A单元</w:t>
      </w:r>
    </w:p>
    <w:p w14:paraId="6AB9A182"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办公地址：北京市朝阳区建国门外大街21号北京国际俱乐部C座写字楼12A层</w:t>
      </w:r>
    </w:p>
    <w:p w14:paraId="6E75F49B"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邮政编码：100020</w:t>
      </w:r>
    </w:p>
    <w:p w14:paraId="3E35CC3B" w14:textId="65572C2B"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法定代表人：经雷</w:t>
      </w:r>
    </w:p>
    <w:p w14:paraId="30E8B8E5"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成立时间：1999 年3 月25 日</w:t>
      </w:r>
    </w:p>
    <w:p w14:paraId="6B09EB47" w14:textId="5C466535"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批准设立机关：中国证监会</w:t>
      </w:r>
    </w:p>
    <w:p w14:paraId="7693E492" w14:textId="13A57833"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批准设立文号：证监基字【1999】5号</w:t>
      </w:r>
    </w:p>
    <w:p w14:paraId="22B4B6E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组织形式：有限责任公司（中外合资）</w:t>
      </w:r>
    </w:p>
    <w:p w14:paraId="09D91A6E" w14:textId="4E00FD1D"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注册资本： 1.5亿元</w:t>
      </w:r>
    </w:p>
    <w:p w14:paraId="68D79A0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存续期间：持续经营</w:t>
      </w:r>
    </w:p>
    <w:p w14:paraId="323C842A" w14:textId="16FB3168"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经营范围：基金募集、基金销售、资产管理以及中国证监会许可的其它业务</w:t>
      </w:r>
    </w:p>
    <w:p w14:paraId="614FDEB6" w14:textId="35B0871B"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B、基金托管人</w:t>
      </w:r>
    </w:p>
    <w:p w14:paraId="501FE19B"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名称：招商银行股份有限公司</w:t>
      </w:r>
    </w:p>
    <w:p w14:paraId="721EC9F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住所：深圳市福田区深南大道</w:t>
      </w:r>
      <w:r>
        <w:rPr>
          <w:rFonts w:ascii="宋体" w:hAnsi="宋体"/>
          <w:color w:val="000000" w:themeColor="text1"/>
        </w:rPr>
        <w:t>7088</w:t>
      </w:r>
      <w:r>
        <w:rPr>
          <w:rFonts w:ascii="宋体" w:hAnsi="宋体" w:hint="eastAsia"/>
          <w:color w:val="000000" w:themeColor="text1"/>
        </w:rPr>
        <w:t>号招商银行大厦</w:t>
      </w:r>
    </w:p>
    <w:p w14:paraId="22367CE5"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办公地址：深圳市福田区深南大道</w:t>
      </w:r>
      <w:r>
        <w:rPr>
          <w:rFonts w:ascii="宋体" w:hAnsi="宋体"/>
          <w:color w:val="000000" w:themeColor="text1"/>
        </w:rPr>
        <w:t>7088</w:t>
      </w:r>
      <w:r>
        <w:rPr>
          <w:rFonts w:ascii="宋体" w:hAnsi="宋体" w:hint="eastAsia"/>
          <w:color w:val="000000" w:themeColor="text1"/>
        </w:rPr>
        <w:t>号招商银行大厦</w:t>
      </w:r>
    </w:p>
    <w:p w14:paraId="1F621C5C"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邮政编码：</w:t>
      </w:r>
      <w:r>
        <w:rPr>
          <w:rFonts w:ascii="宋体" w:hAnsi="宋体"/>
          <w:color w:val="000000" w:themeColor="text1"/>
        </w:rPr>
        <w:t>518040</w:t>
      </w:r>
    </w:p>
    <w:p w14:paraId="11E6AD9F"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法定代表人：缪建民</w:t>
      </w:r>
    </w:p>
    <w:p w14:paraId="599F691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成立时间：</w:t>
      </w:r>
      <w:r>
        <w:rPr>
          <w:rFonts w:ascii="宋体" w:hAnsi="宋体"/>
          <w:color w:val="000000" w:themeColor="text1"/>
        </w:rPr>
        <w:t>1987</w:t>
      </w:r>
      <w:r>
        <w:rPr>
          <w:rFonts w:ascii="宋体" w:hAnsi="宋体" w:hint="eastAsia"/>
          <w:color w:val="000000" w:themeColor="text1"/>
        </w:rPr>
        <w:t>年</w:t>
      </w:r>
      <w:r>
        <w:rPr>
          <w:rFonts w:ascii="宋体" w:hAnsi="宋体"/>
          <w:color w:val="000000" w:themeColor="text1"/>
        </w:rPr>
        <w:t>4</w:t>
      </w:r>
      <w:r>
        <w:rPr>
          <w:rFonts w:ascii="宋体" w:hAnsi="宋体" w:hint="eastAsia"/>
          <w:color w:val="000000" w:themeColor="text1"/>
        </w:rPr>
        <w:t>月</w:t>
      </w:r>
      <w:r>
        <w:rPr>
          <w:rFonts w:ascii="宋体" w:hAnsi="宋体"/>
          <w:color w:val="000000" w:themeColor="text1"/>
        </w:rPr>
        <w:t>8</w:t>
      </w:r>
      <w:r>
        <w:rPr>
          <w:rFonts w:ascii="宋体" w:hAnsi="宋体" w:hint="eastAsia"/>
          <w:color w:val="000000" w:themeColor="text1"/>
        </w:rPr>
        <w:t>日</w:t>
      </w:r>
    </w:p>
    <w:p w14:paraId="538F0692"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基金托管业务批准文号：证监基金字[2002]83号</w:t>
      </w:r>
    </w:p>
    <w:p w14:paraId="30FBF4DE"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组织形式：股份有限公司</w:t>
      </w:r>
    </w:p>
    <w:p w14:paraId="4CEDBCB8"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注册资本：252.20亿元</w:t>
      </w:r>
    </w:p>
    <w:p w14:paraId="576DB10A"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存续期间：持续经营</w:t>
      </w:r>
    </w:p>
    <w:p w14:paraId="262DB070"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经营范围：吸收公众存款；发放短期、中期和长期贷款；办理结算；办理票据贴现；发行金融债券；代理发行、代理兑付、承销政府债券；买卖政府债券；同业拆借；提供信用证</w:t>
      </w:r>
      <w:r>
        <w:rPr>
          <w:rFonts w:ascii="宋体" w:hAnsi="宋体" w:hint="eastAsia"/>
          <w:color w:val="000000" w:themeColor="text1"/>
        </w:rPr>
        <w:lastRenderedPageBreak/>
        <w:t>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14:paraId="158782A7"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（二）基金托管人对基金管理人的业务监督和核查</w:t>
      </w:r>
    </w:p>
    <w:p w14:paraId="0AAC0FF2" w14:textId="2FF7206C"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A、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05EC7123" w14:textId="3FFBCB2D"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1、本基金的投资范围为：</w:t>
      </w:r>
    </w:p>
    <w:p w14:paraId="5ABD045C" w14:textId="77777777" w:rsidR="0082364D" w:rsidRDefault="00BF2824">
      <w:pPr>
        <w:spacing w:line="360" w:lineRule="auto"/>
        <w:ind w:firstLineChars="200" w:firstLine="420"/>
        <w:rPr>
          <w:rFonts w:ascii="宋体" w:hAnsi="宋体"/>
          <w:color w:val="000000" w:themeColor="text1"/>
        </w:rPr>
      </w:pPr>
      <w:bookmarkStart w:id="149" w:name="_Hlk125990110"/>
      <w:r>
        <w:rPr>
          <w:rFonts w:ascii="宋体" w:hAnsi="宋体" w:hint="eastAsia"/>
          <w:color w:val="000000" w:themeColor="text1"/>
        </w:rPr>
        <w:t>本基金主要投资于标的指数成份股、备选成份股（含中国存托凭证、美国存托凭证、全球存托凭证，下同）。此外，为更好地实现投资目标，本基金可参与其他境外市场投资工具和境内市场投资工具投资。</w:t>
      </w:r>
    </w:p>
    <w:p w14:paraId="205D238D"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境外市场投资工具包括在已与中国证监会签署双边监管合作谅解备忘录的国家或地区证券监管机构登记注册的公募基金（包括开放式基金和交易型开放式基金（ETF））；香港联合交易所上市的股票（含港股通标的股票）；已与中国证监会签署双边监管合作谅解备忘录的国家或地区证券市场挂牌交易的普通股、优先股、全球存托凭证和美国存托凭证、房地产信托凭证；政府债券、公司债券、可转换债券、住房按揭支持证券、资产支持证券以及经中国证监会认可的国际金融组织发行的证券；银行存款、可转让存单、银行承兑汇票、银行票据、商业票据、回购协议、短期政府债券等货币市场工具；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其中，对于非成份股、备选成份股的投资部分，本基金若投资于香港市场的，可通过合格境内机构投资者（QDII）境外投资额度或内地与香港股票市场交易互联互通机制进行投资。</w:t>
      </w:r>
    </w:p>
    <w:p w14:paraId="3029A1CE"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境内市场投资工具包括国内依法发行上市的其他股票（包括主板、创业板及其他中国证监会允许基金投资的股票）、中国存托凭证、债券（包括国债、央行票据、金融债、企业债、公司债、中期票据、短期融资券、超短期融资券、次级债、地方政府债券、可转换债券（含</w:t>
      </w:r>
      <w:r>
        <w:rPr>
          <w:rFonts w:ascii="宋体" w:hAnsi="宋体" w:hint="eastAsia"/>
          <w:color w:val="000000" w:themeColor="text1"/>
        </w:rPr>
        <w:lastRenderedPageBreak/>
        <w:t>可分离交易可转债）、可交换债券及其他经中国证监会允许投资的债券）、货币市场工具、同业存单、债券回购、资产支持证券、银行存款、股指期货、国债期货、股票期权以及法律法规或中国证监会允许基金投资的其他金融工具（但须符合中国证监会的相关规定）。本基金可根据相关法律法规和基金合同的约定，参与融资业务和转融通证券出借业务。</w:t>
      </w:r>
    </w:p>
    <w:p w14:paraId="48311D8C"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如法律法规或监管机构以后允许基金投资其他品种，基金管理人在履行适当程序后，可以将其纳入本基金的投资范围。</w:t>
      </w:r>
    </w:p>
    <w:p w14:paraId="23052468" w14:textId="32D7340A"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本基金投资于标的指数成份股及备选成份股的比例不低于基金资产净值的90%，且不低于非现金基金资产的80%，因法律法规的规定而受限制的情形除外。股指期货、股票期权和国债期货及其他金融工具的投资比例符合法律法规和监管机构的规定。</w:t>
      </w:r>
    </w:p>
    <w:p w14:paraId="51937353" w14:textId="52E829A1"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2、本基金各类品种的投资比例、投资限制为：</w:t>
      </w:r>
    </w:p>
    <w:p w14:paraId="20BC1112"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（1）本基金投资于标的指数成份股及备选成份股的比例不低于基金资产净值的90%，且不低于非现金基金资产的80%，因法律法规的规定而受限制的情形除外；</w:t>
      </w:r>
    </w:p>
    <w:p w14:paraId="69E791D0"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（2）本基金资产总值不超过基金资产净值的140%；</w:t>
      </w:r>
    </w:p>
    <w:p w14:paraId="73D1D431"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（3）本基金境外投资组合应遵循以下限制：</w:t>
      </w:r>
    </w:p>
    <w:p w14:paraId="53C650C3"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本基金持有同一家银行的存款不得超过基金资产净值的20%，其中银行应当是中资商业银行在境外设立的分行或在最近一个会计年度达到中国证监会认可的信用评级机构评级的境外银行，但在基金托管账户的存款不受此限制。</w:t>
      </w:r>
    </w:p>
    <w:p w14:paraId="7A153781"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2）本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14:paraId="1AFF5AEF"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3）基金持有非流动性资产市值不得超过基金资产净值的10%。其中，非流动性资产是指法律或基金合同规定的流通受限证券以及中国证监会认定的其他资产。</w:t>
      </w:r>
    </w:p>
    <w:p w14:paraId="51503B18"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4）本基金持有境外基金的市值合计不得超过基金资产净值的10%，但持有货币市场基金不受此限制。</w:t>
      </w:r>
    </w:p>
    <w:p w14:paraId="0DF7F15F"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5）本基金管理人管理的全部基金（含本基金）持有任何一只境外基金，不得超过该境外基金总份额的20%。</w:t>
      </w:r>
    </w:p>
    <w:p w14:paraId="7BF38154"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6）本基金的金融衍生品全部敞口不得高于基金资产净值的100%。</w:t>
      </w:r>
    </w:p>
    <w:p w14:paraId="47B58015"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7）本基金投资期货支付的初始保证金、投资期权支付或收取的期权费、投资柜台交易衍生品支付的初始费用的总额不得高于基金资产净值的10%。</w:t>
      </w:r>
    </w:p>
    <w:p w14:paraId="18FF762E"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8）本基金投资于远期合约、互换等柜台交易金融衍生品，应当符合以下要求：所有参</w:t>
      </w:r>
      <w:r>
        <w:rPr>
          <w:rFonts w:ascii="宋体" w:hAnsi="宋体" w:hint="eastAsia"/>
          <w:bCs/>
          <w:color w:val="000000" w:themeColor="text1"/>
        </w:rPr>
        <w:lastRenderedPageBreak/>
        <w:t>与交易的对手方（中资商业银行除外）应当具有不低于中国证监会认可的信用评级机构评级；交易对手方应当至少每个工作日对交易进行估值，并且基金可在任何时候以公允价值终止交易；任一交易对手方的市值计价敞口不得超过基金资产净值的20%。</w:t>
      </w:r>
    </w:p>
    <w:p w14:paraId="1B65804E"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9）本基金可以参与证券借贷交易，并且应当遵守下列规定：</w:t>
      </w:r>
    </w:p>
    <w:p w14:paraId="1FF7EFA7"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i）所有参与交易的对手方（中资商业银行除外）应当具有中国证监会认可的信用评级机构评级。</w:t>
      </w:r>
    </w:p>
    <w:p w14:paraId="05B19FCE"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ii）应当采取市值计价制度进行调整以确保担保物市值不低于已借出证券市值的102%。</w:t>
      </w:r>
    </w:p>
    <w:p w14:paraId="0A4C55EA"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iii）借方应当在交易期内及时向本基金支付已借出证券产生的所有股息、利息和分红。一旦借方违约，本基金根据协议和有关法律有权保留和处置担保物以满足索赔需要。</w:t>
      </w:r>
    </w:p>
    <w:p w14:paraId="2D88AEB4"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iv）除中国证监会另有规定外，担保物可以是以下金融工具或品种：</w:t>
      </w:r>
    </w:p>
    <w:p w14:paraId="6FA2E7CF"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a) 现金。</w:t>
      </w:r>
    </w:p>
    <w:p w14:paraId="57A3E7C9"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b) 存款证明。</w:t>
      </w:r>
    </w:p>
    <w:p w14:paraId="45FFDFF6"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c) 商业票据。</w:t>
      </w:r>
    </w:p>
    <w:p w14:paraId="043FC753"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d) 政府债券。</w:t>
      </w:r>
    </w:p>
    <w:p w14:paraId="1DCE5E4C"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e) 中资商业银行或由不低于中国证监会认可的信用评级机构评级的境外金融机构（作为交易对手方或其关联方的除外）出具的不可撤销信用证。</w:t>
      </w:r>
    </w:p>
    <w:p w14:paraId="1104445B"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v）本基金有权在任何时候终止证券借贷交易并在正常市场惯例的合理期限内要求归还任一或所有已借出的证券。</w:t>
      </w:r>
    </w:p>
    <w:p w14:paraId="6BBF1A1E"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vi）基金管理人应当对基金参与证券借贷交易中发生的任何损失负相应责任。</w:t>
      </w:r>
    </w:p>
    <w:p w14:paraId="1D59E08B"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10）本基金可以根据正常市场惯例参与正回购交易、逆回购交易，并且应当遵守下列规定：</w:t>
      </w:r>
    </w:p>
    <w:p w14:paraId="1C0800DA"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i）所有参与正回购交易的对手方（中资商业银行除外）应当具有中国证监会认可的信用评级机构信用评级。</w:t>
      </w:r>
    </w:p>
    <w:p w14:paraId="7A156231"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ii）参与正回购交易，应当采取市值计价制度对卖出收益进行调整以确保现金不低于已售出证券市值的102%。一旦买方违约，本基金根据协议和有关法律有权保留或处置卖出收益以满足索赔需要。</w:t>
      </w:r>
    </w:p>
    <w:p w14:paraId="2164D815"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iii）买方应当在正回购交易期内及时向本基金支付售出证券产生的所有股息、利息和分红。</w:t>
      </w:r>
    </w:p>
    <w:p w14:paraId="34C24EDC"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iv）参与逆回购交易，应当对购入证券采取市值计价制度进行调整以确保已购入证券市值不低于支付现金的102%。一旦卖方违约，本基金根据协议和有关法律有权保留或处置已</w:t>
      </w:r>
      <w:r>
        <w:rPr>
          <w:rFonts w:ascii="宋体" w:hAnsi="宋体" w:hint="eastAsia"/>
          <w:bCs/>
          <w:color w:val="000000" w:themeColor="text1"/>
        </w:rPr>
        <w:lastRenderedPageBreak/>
        <w:t>购入证券以满足索赔需要。</w:t>
      </w:r>
    </w:p>
    <w:p w14:paraId="1D580E5D"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v）基金管理人应当对基金参与证券正回购交易、逆回购交易中发生的任何损失负相应责任。</w:t>
      </w:r>
    </w:p>
    <w:p w14:paraId="562BC15A"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11）本基金参与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14:paraId="67A5830B"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12）为应付赎回、交易清算等临时用途，借入现金的比例不得超过基金资产净值的10%。</w:t>
      </w:r>
    </w:p>
    <w:p w14:paraId="53A125AC"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（4）本基金境内投资组合应遵循以下限制：</w:t>
      </w:r>
    </w:p>
    <w:p w14:paraId="682F07CE"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1）本基金进入全国银行间同业市场进行债券回购的资金余额不得超过基金资产净值的40%，进入全国银行间同业市场进行债券回购的最长期限为1 年，债券回购到期后不得展期；</w:t>
      </w:r>
    </w:p>
    <w:p w14:paraId="6F4B5F3F"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2）本基金投资于同一原始权益人的各类资产支持证券的比例，不得超过基金资产净值的10％；</w:t>
      </w:r>
    </w:p>
    <w:p w14:paraId="3991E5EE"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3）本基金持有的全部资产支持证券，其市值不得超过基金资产净值的20％；</w:t>
      </w:r>
    </w:p>
    <w:p w14:paraId="2D2EA09F"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4）本基金持有的同一(指同一信用级别)资产支持证券的比例，不得超过该资产支持证券规模的10％；</w:t>
      </w:r>
    </w:p>
    <w:p w14:paraId="70D4C056"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5）本基金管理人管理的全部基金投资于同一原始权益人的各类资产支持证券，不得超过其各类资产支持证券合计规模的10％；</w:t>
      </w:r>
    </w:p>
    <w:p w14:paraId="2CE39582"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6）本基金应投资于信用级别评级为BBB以上(含BBB)的资产支持证券。基金持有资产支持证券期间，如果其信用等级下降、不再符合投资标准，应在评级报告发布之日起3个月内予以全部卖出；</w:t>
      </w:r>
    </w:p>
    <w:p w14:paraId="31EB7637"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7）基金财产参与股票发行申购，本基金所申报的金额不超过本基金的总资产，本基金所申报的股票数量不超过拟发行股票公司本次发行股票的总量；</w:t>
      </w:r>
    </w:p>
    <w:p w14:paraId="3122FB97"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8）本基金投资中国存托凭证的比例限制依照境内上市交易的股票执行；</w:t>
      </w:r>
    </w:p>
    <w:p w14:paraId="261AA101"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9）本基金若参与股指期货交易，应当符合下列投资限制：</w:t>
      </w:r>
    </w:p>
    <w:p w14:paraId="669F7256"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①本基金在任何交易日日终，持有的买入股指期货合约价值，不得超过基金资产净值的10%；</w:t>
      </w:r>
    </w:p>
    <w:p w14:paraId="0DF23851"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②本基金在任何交易日日终，持有的买入股指期货、国债期货合约价值与有价证券市值之和，不得超过基金资产净值的100%。</w:t>
      </w:r>
    </w:p>
    <w:p w14:paraId="2067448F"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其中，有价证券指股票、债券（不含到期日在一年以内的政府债券）、资产支持证券、买入返售金融资产（不含质押式回购）等；</w:t>
      </w:r>
    </w:p>
    <w:p w14:paraId="34BDE037"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lastRenderedPageBreak/>
        <w:t>③本基金在任何交易日日终，持有的卖出股指期货合约价值不得超过基金持有的股票总市值的20%。</w:t>
      </w:r>
    </w:p>
    <w:p w14:paraId="734F75A5"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④本基金所持有的股票市值和买入、卖出股指期货合约价值，合计（轧差计算）应当符合基金合同关于股票投资比例的有关约定；</w:t>
      </w:r>
    </w:p>
    <w:p w14:paraId="4A6128B6"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⑤本基金在任何交易日内交易（不包括平仓）的股指期货合约的成交金额不得超过上一交易日基金资产净值的20%；</w:t>
      </w:r>
    </w:p>
    <w:p w14:paraId="0C63AC01"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⑥每个交易日日终，在扣除股指期货和国债期货合约需缴纳的交易保证金后，本基金应当保持不低于交易保证金一倍的现金；</w:t>
      </w:r>
    </w:p>
    <w:p w14:paraId="66CA6CB1"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10）本基金若参与国债期货交易，应当符合下列投资限制：</w:t>
      </w:r>
    </w:p>
    <w:p w14:paraId="7EB8A354"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①本基金在任何交易日日终，持有的买入国债期货合约价值，不得超过基金资产净值的15%；</w:t>
      </w:r>
    </w:p>
    <w:p w14:paraId="0C5ED657"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 xml:space="preserve">②本基金在任何交易日日终，在扣除股指期货和国债期货合约需缴纳的交易保证金后，应当保持不低于交易保证金一倍的现金； </w:t>
      </w:r>
    </w:p>
    <w:p w14:paraId="2D516ECB"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③本基金在任何交易日日终，持有的买入股指期货、国债期货合约价值与有价证券市值之和，不得超过基金资产净值的100%。</w:t>
      </w:r>
    </w:p>
    <w:p w14:paraId="28143B83"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其中，有价证券指股票、债券（不含到期日在一年以内的政府债券）、资产支持证券、买入返售金融资产（不含质押式回购）等；</w:t>
      </w:r>
    </w:p>
    <w:p w14:paraId="2B3BDB4C"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④本基金在任何交易日日终，持有的卖出国债期货合约价值不得超过基金持有的债券总市值的30%；</w:t>
      </w:r>
    </w:p>
    <w:p w14:paraId="3258A9C2"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⑤本基金所持有的债券(不含到期日在一年以内的政府债券)市值和买入、卖出国债期货合约价值，合计(轧差计算)应当符合基金合同关于债券投资比例的有关约定；</w:t>
      </w:r>
    </w:p>
    <w:p w14:paraId="0E754555"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⑥本基金在任何交易日内交易（不包括平仓）的国债期货合约的成交金额不得超过上一交易日基金资产净值的30%；</w:t>
      </w:r>
    </w:p>
    <w:p w14:paraId="43F176CA"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11）本基金若参与股票期权交易，应当符合下列投资限制：</w:t>
      </w:r>
    </w:p>
    <w:p w14:paraId="216703F8"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①基金因未平仓的期权合约支付和收取的权利金总额不得超过基金资产净值的10%；</w:t>
      </w:r>
    </w:p>
    <w:p w14:paraId="080FF9BE"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②开仓卖出认购期权的，应持有足额标的证券；开仓卖出认沽期权的，应持有合约行权所需的全额现金或交易所规则认可的可冲抵期权保证金的现金等价物；</w:t>
      </w:r>
    </w:p>
    <w:p w14:paraId="67ECADC9"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③未平仓的期权合约面值不得超过基金资产净值的20%。其中，合约面值按照行权价乘以合约乘数计算；</w:t>
      </w:r>
    </w:p>
    <w:p w14:paraId="7DD3E7F5"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12）本基金参与融资业务后，在任何交易日日终，持有的融资买入股票与其他有价证券</w:t>
      </w:r>
      <w:r>
        <w:rPr>
          <w:rFonts w:ascii="宋体" w:hAnsi="宋体" w:hint="eastAsia"/>
          <w:bCs/>
          <w:color w:val="000000" w:themeColor="text1"/>
        </w:rPr>
        <w:lastRenderedPageBreak/>
        <w:t>市值之和，不得超过基金资产净值的 95%；</w:t>
      </w:r>
    </w:p>
    <w:p w14:paraId="4576B071"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13）本基金参与转融通证券出借业务，应当符合下列投资限制：</w:t>
      </w:r>
    </w:p>
    <w:p w14:paraId="755BC46D"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①出借证券资产不得超过基金资产净值的30%，出借期限在10个交易日以上的出借证券应纳入《流动性风险管理规定》所述流动性受限证券的范围；</w:t>
      </w:r>
    </w:p>
    <w:p w14:paraId="5C8B8095"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②本基金参与出借业务的单只证券不得超过基金持有该证券总量的30%；</w:t>
      </w:r>
    </w:p>
    <w:p w14:paraId="6ED0BF0D"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③最近6个月内日均基金资产净值不得低于2亿元；</w:t>
      </w:r>
    </w:p>
    <w:p w14:paraId="593E3747"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④证券出借的平均剩余期限不得超过30天，平均剩余期限按照市值加权平均计算；</w:t>
      </w:r>
    </w:p>
    <w:p w14:paraId="42DB8BD0"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因证券市场波动、上市公司合并、基金规模变动等基金管理人之外的因素致使基金投资不符合上述规定的，基金管理人不得新增出借业务；</w:t>
      </w:r>
    </w:p>
    <w:p w14:paraId="7B8F8F6A"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D7DC214"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15）本基金与私募类证券资管产品及中国证监会认定的其他主体为交易对手开展逆回购交易的，可接受质押品的资质要求应当与基金合同约定的投资范围保持一致；</w:t>
      </w:r>
    </w:p>
    <w:p w14:paraId="6C8B5ABF"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（5）法律法规及中国证监会规定的和《基金合同》约定的其他投资限制。</w:t>
      </w:r>
    </w:p>
    <w:p w14:paraId="3925374A"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对于上述第（3）条第1）、2）、3）、4）、5）项，若基金超过规定的投资比例限制，应当在超过比例后30 个工作日内采用合理的商业措施减仓以符合投资比例限制要求。对于上述第（1）条、第（2）条、第（4）条第1）-5）项及第7）-12）项，因证券、期货市场波动、证券发行人合并、基金规模变动、标的指数成份股调整、标的指数成份股流动性限制等基金管理人之外的因素致使基金投资比例不符合上述规定投资比例的，基金管理人应当在所涉境内证券可交易之日起10个交易日内进行调整，所涉境外证券可交易之日起30个交易日内进行调整，但中国证监会规定的特殊情形除外。法律法规或监管部门另有规定的，从其规定。</w:t>
      </w:r>
    </w:p>
    <w:p w14:paraId="63C6ECEB" w14:textId="77777777"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544D0E5" w14:textId="72F1AC93" w:rsidR="0082364D" w:rsidRDefault="00BF2824">
      <w:pPr>
        <w:spacing w:line="360" w:lineRule="auto"/>
        <w:ind w:firstLineChars="200" w:firstLine="420"/>
        <w:rPr>
          <w:rFonts w:ascii="宋体" w:hAnsi="宋体"/>
          <w:bCs/>
          <w:color w:val="000000" w:themeColor="text1"/>
        </w:rPr>
      </w:pPr>
      <w:r>
        <w:rPr>
          <w:rFonts w:ascii="宋体" w:hAnsi="宋体" w:hint="eastAsia"/>
          <w:bCs/>
          <w:color w:val="000000" w:themeColor="text1"/>
        </w:rPr>
        <w:t>对于因交易对手违约、境外证券经纪机构破产等情形给基金财产造成损失的，基金管理人应从维护投资者利益出发，向交易对手、境外证券经纪机构主张权利，尽可能将由此给基金财产造成的损失降到最低。</w:t>
      </w:r>
    </w:p>
    <w:p w14:paraId="5C0EB5A2" w14:textId="77777777" w:rsidR="0082364D" w:rsidRDefault="00BF2824">
      <w:pPr>
        <w:spacing w:line="360" w:lineRule="auto"/>
        <w:ind w:firstLineChars="200" w:firstLine="420"/>
        <w:rPr>
          <w:rFonts w:ascii="宋体" w:hAnsi="宋体"/>
          <w:color w:val="000000" w:themeColor="text1"/>
        </w:rPr>
      </w:pPr>
      <w:bookmarkStart w:id="150" w:name="_Hlk38295565"/>
      <w:bookmarkEnd w:id="149"/>
      <w:r>
        <w:rPr>
          <w:rFonts w:ascii="宋体" w:hAnsi="宋体"/>
          <w:color w:val="000000" w:themeColor="text1"/>
        </w:rPr>
        <w:t>3、本基金财产不得用于以下投资或者活动：</w:t>
      </w:r>
    </w:p>
    <w:p w14:paraId="3B5AFCE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（1）购买不动产；</w:t>
      </w:r>
    </w:p>
    <w:p w14:paraId="2CA48607"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（2）购买房地产抵押按揭；</w:t>
      </w:r>
    </w:p>
    <w:p w14:paraId="3EB69428"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（3）购买贵重金属或代表贵重金属的凭证；</w:t>
      </w:r>
    </w:p>
    <w:p w14:paraId="7D5EA5A8"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（4）购买实物商品；</w:t>
      </w:r>
    </w:p>
    <w:p w14:paraId="33062A26"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（5）除应付赎回、交易清算等临时用途以外，借入现金；</w:t>
      </w:r>
    </w:p>
    <w:p w14:paraId="0E8BC10F"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（6）利用融资购买证券，但投资金融衍生品除外；</w:t>
      </w:r>
    </w:p>
    <w:p w14:paraId="227A1A58"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（7）参与未持有基础资产的卖空交易；</w:t>
      </w:r>
    </w:p>
    <w:p w14:paraId="415156CB"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（8）购买证券用于控制或影响发行该证券的机构或其管理层；</w:t>
      </w:r>
    </w:p>
    <w:p w14:paraId="687B85C2"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（9）直接投资与实物商品相关的衍生品；</w:t>
      </w:r>
    </w:p>
    <w:p w14:paraId="65C73F69"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（10）承销证券；</w:t>
      </w:r>
    </w:p>
    <w:p w14:paraId="27D89A7A"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（11）违反规定向他人贷款或者提供担保；</w:t>
      </w:r>
    </w:p>
    <w:p w14:paraId="3BAB1369"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（12）从事承担无限责任的投资；</w:t>
      </w:r>
    </w:p>
    <w:p w14:paraId="2D147BDC"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（13）向其基金管理人、基金托管人出资；</w:t>
      </w:r>
    </w:p>
    <w:p w14:paraId="05E0832A"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（14）从事内幕交易、操纵证券交易价格及其他不正当的证券交易活动；</w:t>
      </w:r>
    </w:p>
    <w:p w14:paraId="11148660"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（15）法律、行政法规和中国证监会规定禁止的其他活动。</w:t>
      </w:r>
    </w:p>
    <w:p w14:paraId="5B73D97B"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4、</w:t>
      </w:r>
      <w:r>
        <w:rPr>
          <w:rFonts w:ascii="宋体" w:hAnsi="宋体" w:hint="eastAsia"/>
          <w:color w:val="000000" w:themeColor="text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bookmarkEnd w:id="150"/>
    <w:p w14:paraId="066B1DE7" w14:textId="068FFB0A"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5、</w:t>
      </w:r>
      <w:r>
        <w:rPr>
          <w:rFonts w:ascii="宋体" w:hAnsi="宋体" w:hint="eastAsia"/>
          <w:color w:val="000000" w:themeColor="text1"/>
        </w:rPr>
        <w:t>法律法规或监管部门对基金合同所述投资比例、投资限制、组合限制、禁止行为等作出强制性调整的，本基金应当按照法律法规或监管部门的规定执行。</w:t>
      </w:r>
    </w:p>
    <w:p w14:paraId="5666CEB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B、</w:t>
      </w:r>
      <w:r>
        <w:rPr>
          <w:rFonts w:ascii="宋体" w:hAnsi="宋体"/>
          <w:color w:val="000000" w:themeColor="text1"/>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4114BA8A"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本基金投资银行存款应符合如下规定：</w:t>
      </w:r>
    </w:p>
    <w:p w14:paraId="5345103B"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lastRenderedPageBreak/>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1B8C87F2"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（1）基金管理人负责控制信用风险。信用风险主要包括存款银行的信用等级、存款银行的支付能力等涉及到存款银行选择方面的风险。</w:t>
      </w:r>
    </w:p>
    <w:p w14:paraId="79480097"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基金管理人负责控制流动性风险。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5A4B8B1A"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（3）基金管理人须加强内部风险控制制度的建设。如因基金管理人员工职务行为导致基金财产受到损失的，需由基金管理人承担由此造成的损失。</w:t>
      </w:r>
    </w:p>
    <w:p w14:paraId="1F24542A"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（4）基金管理人与基金托管人在开展基金存款业务时，应严格遵守《基金法》、《运作办法》等有关法律法规，以及国家有关账户管理、利率管理、支付结算等的各项规定。</w:t>
      </w:r>
    </w:p>
    <w:p w14:paraId="4FBDA26D"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C、</w:t>
      </w:r>
      <w:r>
        <w:rPr>
          <w:rFonts w:ascii="宋体" w:hAnsi="宋体"/>
          <w:color w:val="000000" w:themeColor="text1"/>
        </w:rPr>
        <w:t>基金投资银行存款协议的签订、账户开设与管理、投资指令与资金划付、账目核对、到期兑付、提前支取</w:t>
      </w:r>
    </w:p>
    <w:p w14:paraId="390D2144"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1、基金投资银行存款协议的签订</w:t>
      </w:r>
    </w:p>
    <w:p w14:paraId="47C1F63C"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（1）基金管理人应在《存款协议书》中明确存款证实书或其他有效存款凭证的办理方式、邮寄地址、联系人和联系电话，以及存款证实书或其他有效凭证在邮寄过程中遗失后，存款余额的确认及兑付办法等。</w:t>
      </w:r>
    </w:p>
    <w:p w14:paraId="77102F0A"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42E98B44"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（3）基金管理人应在《存款协议书》中规定，基金存放到期或提前兑付的资金应全部划转到指定的基金托管账户，并在《存款协议书》写明账户名称和账号，未划入指定账户的，由存款银行承担一切责任。</w:t>
      </w:r>
    </w:p>
    <w:p w14:paraId="14909AA1"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4）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w:t>
      </w:r>
      <w:r>
        <w:rPr>
          <w:rFonts w:ascii="宋体" w:hAnsi="宋体"/>
          <w:color w:val="000000" w:themeColor="text1"/>
        </w:rPr>
        <w:lastRenderedPageBreak/>
        <w:t>章书面通知对方。</w:t>
      </w:r>
    </w:p>
    <w:p w14:paraId="0A88CDA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（5）基金管理人应在《存款协议书》中规定，因定期存款产生的存单不得被质押或以任何方式被抵押，不得用于转让和背书。</w:t>
      </w:r>
    </w:p>
    <w:p w14:paraId="3D477915"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2、基金投资银行存款时的账户开设与管理</w:t>
      </w:r>
    </w:p>
    <w:p w14:paraId="79FCF18B"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（1）基金投资于银行存款时，基金管理人应当依据基金管理人与存款银行签订的《存款协议书》等，以基金的名义在存款银行总行或授权分行指定的分支机构开立银行账户。</w:t>
      </w:r>
    </w:p>
    <w:p w14:paraId="77CB564E"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（2）基金投资于银行存款时的预留印鉴由基金托管人保管和使用。</w:t>
      </w:r>
    </w:p>
    <w:p w14:paraId="4EBAF56E"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3、存款凭证传递、账目核对及到期兑付</w:t>
      </w:r>
    </w:p>
    <w:p w14:paraId="756669FB"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（1）存款证实书等存款凭证传递</w:t>
      </w:r>
    </w:p>
    <w:p w14:paraId="74FCA709"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1BA0F0FE"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（2）存款凭证的遗失补办</w:t>
      </w:r>
    </w:p>
    <w:p w14:paraId="084A0955"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存款凭证在邮寄过程中遗失的，由基金管理人向存款银行提出补办申请，基金管理人应督促存款银行尽快补办存款凭证，并按以上（1）的方式快递或上门交付至托管人，原存款凭证自动作废。</w:t>
      </w:r>
    </w:p>
    <w:p w14:paraId="1B54B92E"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（3）账目核对</w:t>
      </w:r>
    </w:p>
    <w:p w14:paraId="1C50CF23"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每个工作日，基金管理人应与基金托管人核对各项银行存款投资余额及应计利息。</w:t>
      </w:r>
    </w:p>
    <w:p w14:paraId="632738B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基金管理人应在《存款协议书》中规定，对于存期超过3个月的定期存款，存款银行应于每季末后5个工作日内向基金托管人指定人员寄送对账单。</w:t>
      </w:r>
    </w:p>
    <w:p w14:paraId="72B8D8B7"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因存款银行未寄送对账单造成的资金被挪用、盗取的责任由存款银行承担。</w:t>
      </w:r>
    </w:p>
    <w:p w14:paraId="385EE2C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存款银行应配合基金托管人对存款凭证的询证，并在询证函上加盖存款银行公章寄送至基金托管人指定联系人。</w:t>
      </w:r>
    </w:p>
    <w:p w14:paraId="2B3002A1"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（4）到期兑付</w:t>
      </w:r>
    </w:p>
    <w:p w14:paraId="6BE1B5C0"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基金管理人提前通知基金托管人通过快递将存款凭证原件寄给存款银行分支机构指定的会计主管。存款银行未收到存款凭证原件的，应与基金托管人电话询问。存款到期前基金</w:t>
      </w:r>
      <w:r>
        <w:rPr>
          <w:rFonts w:ascii="宋体" w:hAnsi="宋体"/>
          <w:color w:val="000000" w:themeColor="text1"/>
        </w:rPr>
        <w:lastRenderedPageBreak/>
        <w:t>管理人与存款银行确认存款凭证收到并于到期日兑付存款本息事宜。</w:t>
      </w:r>
    </w:p>
    <w:p w14:paraId="4D0669BB"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0A1302D4"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166034F8"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4、提前支取</w:t>
      </w:r>
    </w:p>
    <w:p w14:paraId="03DCB92E"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如果在存款期限内，由于基金规模发生缩减的原因或者出于流动性管理的需要等原因，基金管理人可以提前支取全部或部分资金。</w:t>
      </w:r>
    </w:p>
    <w:p w14:paraId="45B8DE32"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提前支取的具体事项按照基金管理人与存款银行签订的《存款协议书》执行。</w:t>
      </w:r>
    </w:p>
    <w:p w14:paraId="6030FEC0"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5、基金投资银行存款的监督</w:t>
      </w:r>
    </w:p>
    <w:p w14:paraId="52A9FCBE"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w:t>
      </w:r>
    </w:p>
    <w:p w14:paraId="5E51DB90"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D、</w:t>
      </w:r>
      <w:r>
        <w:rPr>
          <w:rFonts w:ascii="宋体" w:hAnsi="宋体"/>
          <w:color w:val="000000" w:themeColor="text1"/>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w:t>
      </w:r>
      <w:r>
        <w:rPr>
          <w:rFonts w:ascii="宋体" w:hAnsi="宋体" w:hint="eastAsia"/>
          <w:color w:val="000000" w:themeColor="text1"/>
        </w:rPr>
        <w:t>如基金管理人在基金投资运作之前未向基金托管人提供银行间债券市场交易对手名单，视为基金管理人认可全市场交易对手。</w:t>
      </w:r>
      <w:r>
        <w:rPr>
          <w:rFonts w:ascii="宋体" w:hAnsi="宋体"/>
          <w:color w:val="000000" w:themeColor="text1"/>
        </w:rPr>
        <w:t>在基金存续期间基金管理人可以调整交易对手名单，但应将调整结果至少提前一个工作日书面通知基金托管人。新名单确定时已与本次剔除的交易对手所进行但尚未结算的交易，仍应按照协议进行结算，但</w:t>
      </w:r>
      <w:r>
        <w:rPr>
          <w:rFonts w:ascii="宋体" w:hAnsi="宋体"/>
          <w:color w:val="000000" w:themeColor="text1"/>
        </w:rPr>
        <w:lastRenderedPageBreak/>
        <w:t>不得再发生新的交易。如基金管理人根据市场需要临时调整银行间债券交易对手名单及结算方式的，应向基金托管人说明理由，并在与交易对手发生交易前3个交易日内与基金托管人协商解决。</w:t>
      </w:r>
    </w:p>
    <w:p w14:paraId="05611BA7"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基金管理人负责对交易对手的资信控制，按银行间债券市场的交易规则进行交易，并负责</w:t>
      </w:r>
      <w:r>
        <w:rPr>
          <w:rFonts w:ascii="宋体" w:hAnsi="宋体" w:hint="eastAsia"/>
          <w:color w:val="000000" w:themeColor="text1"/>
        </w:rPr>
        <w:t>处理</w:t>
      </w:r>
      <w:r>
        <w:rPr>
          <w:rFonts w:ascii="宋体" w:hAnsi="宋体"/>
          <w:color w:val="000000" w:themeColor="text1"/>
        </w:rPr>
        <w:t>因交易对手不履行合同而造成的纠纷及损失。若未履约的交易对手在基金管理人确定的时间内仍未承担违约责任及其他相关法律责任的，</w:t>
      </w:r>
      <w:r>
        <w:rPr>
          <w:rFonts w:ascii="宋体" w:hAnsi="宋体" w:hint="eastAsia"/>
          <w:color w:val="000000" w:themeColor="text1"/>
        </w:rPr>
        <w:t>由基金管理人负责</w:t>
      </w:r>
      <w:r>
        <w:rPr>
          <w:rFonts w:ascii="宋体" w:hAnsi="宋体"/>
          <w:color w:val="000000" w:themeColor="text1"/>
        </w:rPr>
        <w:t>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796E7E33"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E、</w:t>
      </w:r>
      <w:r>
        <w:rPr>
          <w:rFonts w:ascii="宋体" w:hAnsi="宋体"/>
          <w:color w:val="000000" w:themeColor="text1"/>
        </w:rPr>
        <w:t>本基金投资流通受限证券，应遵守《关于基金投资非公开发行股票等流通受限证券有关问题的通知》等有关监管规定。</w:t>
      </w:r>
    </w:p>
    <w:p w14:paraId="1EEC74F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本协议所指的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705127E3"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747413B7"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本基金不得投资未经中国证监会批准的非公开发行证券。</w:t>
      </w:r>
    </w:p>
    <w:p w14:paraId="2425552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本基金参与非公开发行证券的认购，不得预付任何形式的保证金，法律法规或中国证监会另有规定的除外。</w:t>
      </w:r>
    </w:p>
    <w:p w14:paraId="4741AFBC"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2、基金管理人应在基金首次投资流通受限证券前，向基金托管人提供经基金管理人董事会批准的有关基金投资流通受限证券的投资决策流程、风险控制制度。</w:t>
      </w:r>
      <w:r>
        <w:rPr>
          <w:rFonts w:ascii="宋体" w:hAnsi="宋体" w:hint="eastAsia"/>
          <w:color w:val="000000" w:themeColor="text1"/>
        </w:rPr>
        <w:t>基金投资非公开发行股票，基金管理人还应提供基金管理人董事会批准的流动性风险处置预案。</w:t>
      </w:r>
      <w:r>
        <w:rPr>
          <w:rFonts w:ascii="宋体" w:hAnsi="宋体"/>
          <w:color w:val="000000" w:themeColor="text1"/>
        </w:rPr>
        <w:t>上述资料应包括但不限于基金投资流通受限证券的投资额度和投资比例控制情况。</w:t>
      </w:r>
    </w:p>
    <w:p w14:paraId="3DFF99F6"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11C243F8"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基金管理人对本基金投资流通受限证券的流动性风险负责，确保对相关风险采取积极有效的措施，在合理的时间内有效解决基金运作的流动性问题。如因基金巨额赎回或市场发生</w:t>
      </w:r>
      <w:r>
        <w:rPr>
          <w:rFonts w:ascii="宋体" w:hAnsi="宋体"/>
          <w:color w:val="000000" w:themeColor="text1"/>
        </w:rPr>
        <w:lastRenderedPageBreak/>
        <w:t>剧烈变动等原因而导致基金现金周转困难时，基金管理人应</w:t>
      </w:r>
      <w:r>
        <w:rPr>
          <w:rFonts w:ascii="宋体" w:hAnsi="宋体" w:hint="eastAsia"/>
          <w:color w:val="000000" w:themeColor="text1"/>
        </w:rPr>
        <w:t>按照基金合同的约定进行处理</w:t>
      </w:r>
      <w:r>
        <w:rPr>
          <w:rFonts w:ascii="宋体" w:hAnsi="宋体"/>
          <w:color w:val="000000" w:themeColor="text1"/>
        </w:rPr>
        <w:t>。对本基金因投资流通受限证券导致的流动性风险，基金托管人不承担任何责任。</w:t>
      </w:r>
    </w:p>
    <w:p w14:paraId="64B62D26"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拨的认购款、资金划拨时间等。基金管理人应保证上述信息的真实、完整，并应至少于拟执行投资指令前两个工作日将上述信息书面发至基金托管人，保证基金托管人有足够的时间进行审核。</w:t>
      </w:r>
    </w:p>
    <w:p w14:paraId="3BEF0384"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由于基金管理人未及时提供有关证券的具体的必要的信息，致使托管人无法审核认购指令而影响认购款项划拨的，基金托管人免于承担责任。</w:t>
      </w:r>
    </w:p>
    <w:p w14:paraId="5B66AA54"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对基金管理人的违法、违规以及违反《基金合同》、《托管协议》的投资指令不予执行，并立即通知基金管理人纠正，基金管理人不予纠正或已代表基金签署合同不得不执行时，基金托管人应向中国证监会报告。</w:t>
      </w:r>
    </w:p>
    <w:p w14:paraId="0CA14E62"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5、基金管理人应在基金投资非公开发行股票后两个交易日内</w:t>
      </w:r>
      <w:r>
        <w:rPr>
          <w:rFonts w:ascii="宋体" w:hAnsi="宋体" w:hint="eastAsia"/>
          <w:color w:val="000000" w:themeColor="text1"/>
        </w:rPr>
        <w:t>，</w:t>
      </w:r>
      <w:r>
        <w:rPr>
          <w:rFonts w:ascii="宋体" w:hAnsi="宋体"/>
          <w:color w:val="000000" w:themeColor="text1"/>
        </w:rPr>
        <w:t>在中国证监会规定媒介披露所投资非公开发行股票的名称、数量、总成本、账面价值</w:t>
      </w:r>
      <w:r>
        <w:rPr>
          <w:rFonts w:ascii="宋体" w:hAnsi="宋体" w:hint="eastAsia"/>
          <w:color w:val="000000" w:themeColor="text1"/>
        </w:rPr>
        <w:t>，</w:t>
      </w:r>
      <w:r>
        <w:rPr>
          <w:rFonts w:ascii="宋体" w:hAnsi="宋体"/>
          <w:color w:val="000000" w:themeColor="text1"/>
        </w:rPr>
        <w:t>以及总成本和账面价值占基金资产净值的比例、锁定期等信息。</w:t>
      </w:r>
    </w:p>
    <w:p w14:paraId="2348AE5D"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F、</w:t>
      </w:r>
      <w:r>
        <w:rPr>
          <w:rFonts w:ascii="宋体" w:hAnsi="宋体"/>
          <w:color w:val="000000" w:themeColor="text1"/>
        </w:rPr>
        <w:t>基金托管人根据有关法律法规的规定及《基金合同》的约定，对基金资产净值计算、基金份额净值计算、基金</w:t>
      </w:r>
      <w:r>
        <w:rPr>
          <w:rFonts w:ascii="宋体" w:hAnsi="宋体" w:hint="eastAsia"/>
          <w:color w:val="000000" w:themeColor="text1"/>
        </w:rPr>
        <w:t>份额</w:t>
      </w:r>
      <w:r>
        <w:rPr>
          <w:rFonts w:ascii="宋体" w:hAnsi="宋体"/>
          <w:color w:val="000000" w:themeColor="text1"/>
        </w:rPr>
        <w:t>参考净值、基金费用开支及收入确定、基金收益分配、相关信息披露、基金宣传推介材料中登载基金业绩表现数据等进行监督和核查。</w:t>
      </w:r>
    </w:p>
    <w:p w14:paraId="3655F86F"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G、</w:t>
      </w:r>
      <w:r>
        <w:rPr>
          <w:rFonts w:ascii="宋体" w:hAnsi="宋体"/>
          <w:color w:val="000000" w:themeColor="text1"/>
        </w:rPr>
        <w:t>基金托管人发现基金管理人的上述事项及投资指令或实际投资运作违反法律法规、《基金合同》和本托管协议的规定，应及时以电话提醒</w:t>
      </w:r>
      <w:r>
        <w:rPr>
          <w:rFonts w:ascii="宋体" w:hAnsi="宋体" w:hint="eastAsia"/>
          <w:color w:val="000000" w:themeColor="text1"/>
        </w:rPr>
        <w:t>、邮件</w:t>
      </w:r>
      <w:r>
        <w:rPr>
          <w:rFonts w:ascii="宋体" w:hAnsi="宋体"/>
          <w:color w:val="000000" w:themeColor="text1"/>
        </w:rPr>
        <w:t>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w:t>
      </w:r>
      <w:r>
        <w:rPr>
          <w:rFonts w:ascii="宋体" w:hAnsi="宋体" w:hint="eastAsia"/>
          <w:color w:val="000000" w:themeColor="text1"/>
        </w:rPr>
        <w:t>合理</w:t>
      </w:r>
      <w:r>
        <w:rPr>
          <w:rFonts w:ascii="宋体" w:hAnsi="宋体"/>
          <w:color w:val="000000" w:themeColor="text1"/>
        </w:rPr>
        <w:t>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B287B37"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H、</w:t>
      </w:r>
      <w:r>
        <w:rPr>
          <w:rFonts w:ascii="宋体" w:hAnsi="宋体"/>
          <w:color w:val="000000" w:themeColor="text1"/>
        </w:rPr>
        <w:t>基金管理人有义务配合和协助基金托管人依照法律法规、《基金合同》和本托管协议对基金业务执行核查。包括但不限于：对基金托管人发出的提示，基金管理人应在规定时</w:t>
      </w:r>
      <w:r>
        <w:rPr>
          <w:rFonts w:ascii="宋体" w:hAnsi="宋体"/>
          <w:color w:val="000000" w:themeColor="text1"/>
        </w:rPr>
        <w:lastRenderedPageBreak/>
        <w:t>间内答复并改正，或就基金托管人的</w:t>
      </w:r>
      <w:r>
        <w:rPr>
          <w:rFonts w:ascii="宋体" w:hAnsi="宋体" w:hint="eastAsia"/>
          <w:color w:val="000000" w:themeColor="text1"/>
        </w:rPr>
        <w:t>合理</w:t>
      </w:r>
      <w:r>
        <w:rPr>
          <w:rFonts w:ascii="宋体" w:hAnsi="宋体"/>
          <w:color w:val="000000" w:themeColor="text1"/>
        </w:rPr>
        <w:t>疑义进行解释或举证；对基金托管人按照法律法规、基金合同和本托管协议的要求需向中国证监会报送基金监督报告的事项，基金管理人应积极配合提供相关数据资料和制度等。</w:t>
      </w:r>
    </w:p>
    <w:p w14:paraId="7B0BABFE"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I、</w:t>
      </w:r>
      <w:r>
        <w:rPr>
          <w:rFonts w:ascii="宋体" w:hAnsi="宋体"/>
          <w:color w:val="000000" w:themeColor="text1"/>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09D22643"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J、</w:t>
      </w:r>
      <w:r>
        <w:rPr>
          <w:rFonts w:ascii="宋体" w:hAnsi="宋体"/>
          <w:color w:val="000000" w:themeColor="text1"/>
        </w:rPr>
        <w:t>基金托管人发现基金管理人有重大违规行为，应及时报告中国证监会，同时通知基金管理人限期纠正。</w:t>
      </w:r>
    </w:p>
    <w:p w14:paraId="3D748A0B" w14:textId="5AC2999A" w:rsidR="0082364D" w:rsidRDefault="0082364D">
      <w:pPr>
        <w:spacing w:line="360" w:lineRule="auto"/>
        <w:ind w:firstLineChars="200" w:firstLine="420"/>
        <w:rPr>
          <w:rFonts w:ascii="宋体" w:hAnsi="宋体"/>
          <w:color w:val="000000" w:themeColor="text1"/>
        </w:rPr>
      </w:pPr>
    </w:p>
    <w:p w14:paraId="3AE09207"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（三）基金管理人对基金托管人的业务核查</w:t>
      </w:r>
    </w:p>
    <w:p w14:paraId="544EDBB3"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A、</w:t>
      </w:r>
      <w:r>
        <w:rPr>
          <w:rFonts w:ascii="宋体" w:hAnsi="宋体"/>
          <w:color w:val="000000" w:themeColor="text1"/>
        </w:rPr>
        <w:t>基金管理人对基金托管人履行托管职责情况进行核查，核查事项包括基金托管人安全保管基金财产、开设基金财产的资金账户、证券账户等投资所需账户、复核基金管理人计算的基金资产净值</w:t>
      </w:r>
      <w:r>
        <w:rPr>
          <w:rFonts w:ascii="宋体" w:hAnsi="宋体" w:hint="eastAsia"/>
          <w:color w:val="000000" w:themeColor="text1"/>
        </w:rPr>
        <w:t>、</w:t>
      </w:r>
      <w:r>
        <w:rPr>
          <w:rFonts w:ascii="宋体" w:hAnsi="宋体"/>
          <w:color w:val="000000" w:themeColor="text1"/>
        </w:rPr>
        <w:t>基金份额净值、</w:t>
      </w:r>
      <w:r>
        <w:rPr>
          <w:rFonts w:ascii="宋体" w:hAnsi="宋体" w:hint="eastAsia"/>
          <w:color w:val="000000" w:themeColor="text1"/>
        </w:rPr>
        <w:t>基金份额参考净值、</w:t>
      </w:r>
      <w:r>
        <w:rPr>
          <w:rFonts w:ascii="宋体" w:hAnsi="宋体"/>
          <w:color w:val="000000" w:themeColor="text1"/>
        </w:rPr>
        <w:t>根据基金管理人指令办理清算交收、相关信息披露和监督基金投资运作等行为。</w:t>
      </w:r>
    </w:p>
    <w:p w14:paraId="704F54F7"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B、</w:t>
      </w:r>
      <w:r>
        <w:rPr>
          <w:rFonts w:ascii="宋体" w:hAnsi="宋体"/>
          <w:color w:val="000000" w:themeColor="text1"/>
        </w:rPr>
        <w:t>基金管理人发现基金托管人擅自挪用基金财产、未对基金财产实行分账管理、未执行或无故延迟执行基金管理人资金划拨指令、泄露基金投资信息等违反《基金法》、基金合同、托管协议及其他有关规定时，应及时以电话提醒</w:t>
      </w:r>
      <w:r>
        <w:rPr>
          <w:rFonts w:ascii="宋体" w:hAnsi="宋体" w:hint="eastAsia"/>
          <w:color w:val="000000" w:themeColor="text1"/>
        </w:rPr>
        <w:t>、邮件</w:t>
      </w:r>
      <w:r>
        <w:rPr>
          <w:rFonts w:ascii="宋体" w:hAnsi="宋体"/>
          <w:color w:val="000000" w:themeColor="text1"/>
        </w:rPr>
        <w:t>或书面提示等</w:t>
      </w:r>
      <w:r>
        <w:rPr>
          <w:rFonts w:ascii="宋体" w:hAnsi="宋体" w:hint="eastAsia"/>
          <w:color w:val="000000" w:themeColor="text1"/>
        </w:rPr>
        <w:t>方式</w:t>
      </w:r>
      <w:r>
        <w:rPr>
          <w:rFonts w:ascii="宋体" w:hAnsi="宋体"/>
          <w:color w:val="000000" w:themeColor="text1"/>
        </w:rPr>
        <w:t>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2E7B79FF"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C、</w:t>
      </w:r>
      <w:r>
        <w:rPr>
          <w:rFonts w:ascii="宋体" w:hAnsi="宋体"/>
          <w:color w:val="000000" w:themeColor="text1"/>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520405A0"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D、</w:t>
      </w:r>
      <w:r>
        <w:rPr>
          <w:rFonts w:ascii="宋体" w:hAnsi="宋体"/>
          <w:color w:val="000000" w:themeColor="text1"/>
        </w:rPr>
        <w:t>基金管理人发现基金托管人有重大违规行为，应及时报告中国证监会，同时通知基金托管人限期纠正，并将纠正结果报告中国证监会。</w:t>
      </w:r>
    </w:p>
    <w:p w14:paraId="56AF4776" w14:textId="094D4F0B" w:rsidR="0082364D" w:rsidRDefault="0082364D">
      <w:pPr>
        <w:spacing w:line="360" w:lineRule="auto"/>
        <w:ind w:firstLineChars="200" w:firstLine="420"/>
        <w:rPr>
          <w:rFonts w:ascii="宋体" w:hAnsi="宋体"/>
          <w:color w:val="000000" w:themeColor="text1"/>
        </w:rPr>
      </w:pPr>
    </w:p>
    <w:p w14:paraId="1D556BE9"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（四）基金财产的保管</w:t>
      </w:r>
    </w:p>
    <w:p w14:paraId="71198EA7"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A、</w:t>
      </w:r>
      <w:r>
        <w:rPr>
          <w:rFonts w:ascii="宋体" w:hAnsi="宋体"/>
          <w:color w:val="000000" w:themeColor="text1"/>
        </w:rPr>
        <w:t>基金财产保管的原则</w:t>
      </w:r>
    </w:p>
    <w:p w14:paraId="7C8281AB"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w:t>
      </w:r>
      <w:r>
        <w:rPr>
          <w:rFonts w:ascii="宋体" w:hAnsi="宋体" w:hint="eastAsia"/>
          <w:color w:val="000000" w:themeColor="text1"/>
        </w:rPr>
        <w:t>、基金财产应独立于基金管理人、基金托管人、境外托管人的固有财产。</w:t>
      </w:r>
    </w:p>
    <w:p w14:paraId="35B577A1"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lastRenderedPageBreak/>
        <w:t>2、基金托管人应安全保管基金财产。</w:t>
      </w:r>
    </w:p>
    <w:p w14:paraId="0DBB34BB"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3、基金托管人按照规定开设基金财产投资所需的相关账户。</w:t>
      </w:r>
    </w:p>
    <w:p w14:paraId="61E2AA38"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4、基金托管人对所托管的不同基金财产分别设置账户，确保基金财产的完整与独立。</w:t>
      </w:r>
    </w:p>
    <w:p w14:paraId="4FA920B3"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2658649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r>
        <w:rPr>
          <w:rFonts w:ascii="宋体" w:hAnsi="宋体" w:hint="eastAsia"/>
          <w:color w:val="000000" w:themeColor="text1"/>
        </w:rPr>
        <w:t>，基金托管人予以必要的协助和配合</w:t>
      </w:r>
      <w:r>
        <w:rPr>
          <w:rFonts w:ascii="宋体" w:hAnsi="宋体"/>
          <w:color w:val="000000" w:themeColor="text1"/>
        </w:rPr>
        <w:t>。</w:t>
      </w:r>
    </w:p>
    <w:p w14:paraId="2818E953"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7、</w:t>
      </w:r>
      <w:r>
        <w:rPr>
          <w:rFonts w:ascii="宋体" w:hAnsi="宋体" w:hint="eastAsia"/>
          <w:color w:val="000000" w:themeColor="text1"/>
        </w:rPr>
        <w:t>基金托管人可将基金财产安全保管和办理与基金财产过户有关的手续等职责委托给第三方机构履行。</w:t>
      </w:r>
    </w:p>
    <w:p w14:paraId="5EBBEC8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8、</w:t>
      </w:r>
      <w:r>
        <w:rPr>
          <w:rFonts w:ascii="宋体" w:hAnsi="宋体"/>
          <w:color w:val="000000" w:themeColor="text1"/>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r>
        <w:rPr>
          <w:rFonts w:ascii="宋体" w:hAnsi="宋体" w:hint="eastAsia"/>
          <w:color w:val="000000" w:themeColor="text1"/>
        </w:rPr>
        <w:t>，但基金托管人有过错的除外</w:t>
      </w:r>
      <w:r>
        <w:rPr>
          <w:rFonts w:ascii="宋体" w:hAnsi="宋体"/>
          <w:color w:val="000000" w:themeColor="text1"/>
        </w:rPr>
        <w:t>。</w:t>
      </w:r>
    </w:p>
    <w:p w14:paraId="6A6D7C36"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9、</w:t>
      </w:r>
      <w:r>
        <w:rPr>
          <w:rFonts w:ascii="宋体" w:hAnsi="宋体" w:hint="eastAsia"/>
          <w:color w:val="000000" w:themeColor="text1"/>
        </w:rPr>
        <w:t>除依据有关法律法规规定和本协议约定外，基金托管人、及其境外托管人不得利用基金财产为自己或第三方谋取利益，违反此义务所得利益归于基金财产，由此造成的直接损失由基金托管人承担，该等责任包括但不限于恢复基金财产的原状、承担因此所引起的直接损失的赔偿责任。</w:t>
      </w:r>
    </w:p>
    <w:p w14:paraId="054311EA"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10</w:t>
      </w:r>
      <w:r>
        <w:rPr>
          <w:rFonts w:ascii="宋体" w:hAnsi="宋体" w:hint="eastAsia"/>
          <w:color w:val="000000" w:themeColor="text1"/>
        </w:rPr>
        <w:t>、除非根据基金管理人书面同意，基金托管人不得在任何托管资产上设立任何担保权利，包括但不限于抵押、质押、留置等，基金托管人将尽商业上的合理努力确保境外托管人不得在任何托管资产上设立任何担保权利，包括但不限于抵押、质押、留置等，但根据有关适用法律的规定而产生的担保权利除外；</w:t>
      </w:r>
    </w:p>
    <w:p w14:paraId="7912FFDE"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11</w:t>
      </w:r>
      <w:r>
        <w:rPr>
          <w:rFonts w:ascii="宋体" w:hAnsi="宋体" w:hint="eastAsia"/>
          <w:color w:val="000000" w:themeColor="text1"/>
        </w:rPr>
        <w:t>、基金托管人自身，并尽商业上的合理努力确保境外托管人不得自行运用、处分、分配托管证券；</w:t>
      </w:r>
    </w:p>
    <w:p w14:paraId="68EEDAE3"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12</w:t>
      </w:r>
      <w:r>
        <w:rPr>
          <w:rFonts w:ascii="宋体" w:hAnsi="宋体" w:hint="eastAsia"/>
          <w:color w:val="000000" w:themeColor="text1"/>
        </w:rPr>
        <w:t>、除依据法律法规和基金合同的规定外，基金托管人不得委托第三人托管基金财产。</w:t>
      </w:r>
    </w:p>
    <w:p w14:paraId="2E501E6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B、</w:t>
      </w:r>
      <w:r>
        <w:rPr>
          <w:rFonts w:ascii="宋体" w:hAnsi="宋体"/>
          <w:color w:val="000000" w:themeColor="text1"/>
        </w:rPr>
        <w:t>基金募集期间及募集资金的验资</w:t>
      </w:r>
    </w:p>
    <w:p w14:paraId="52AAB9B2"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lastRenderedPageBreak/>
        <w:t>1、基金募集期间募集的资金应开立“基金募集专户”。该账户由基金管理人开立并管理。</w:t>
      </w:r>
    </w:p>
    <w:p w14:paraId="7AA2B38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w:t>
      </w:r>
      <w:r>
        <w:rPr>
          <w:rFonts w:ascii="宋体" w:hAnsi="宋体" w:hint="eastAsia"/>
          <w:color w:val="000000" w:themeColor="text1"/>
        </w:rPr>
        <w:t>符合《中华人民共和国证券法》（以下简称“《证券法》”）规定</w:t>
      </w:r>
      <w:r>
        <w:rPr>
          <w:rFonts w:ascii="宋体" w:hAnsi="宋体"/>
          <w:color w:val="000000" w:themeColor="text1"/>
        </w:rPr>
        <w:t>的会计师事务所进行验资，出具验资报告。出具的验资报告由参加验资的2名或2名以上中国注册会计师签字方为有效。</w:t>
      </w:r>
    </w:p>
    <w:p w14:paraId="4ECF633E"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3、若基金募集期限届满，未能达到基金合同生效的条件，由基金管理人按规定办理退款等事宜</w:t>
      </w:r>
      <w:r>
        <w:rPr>
          <w:rFonts w:ascii="宋体" w:hAnsi="宋体" w:hint="eastAsia"/>
          <w:color w:val="000000" w:themeColor="text1"/>
        </w:rPr>
        <w:t>，基金托管人应予以必要的协助和配合</w:t>
      </w:r>
      <w:r>
        <w:rPr>
          <w:rFonts w:ascii="宋体" w:hAnsi="宋体"/>
          <w:color w:val="000000" w:themeColor="text1"/>
        </w:rPr>
        <w:t>。</w:t>
      </w:r>
    </w:p>
    <w:p w14:paraId="051F29C1"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C、</w:t>
      </w:r>
      <w:r>
        <w:rPr>
          <w:rFonts w:ascii="宋体" w:hAnsi="宋体"/>
          <w:color w:val="000000" w:themeColor="text1"/>
        </w:rPr>
        <w:t>基金资金账户的开立和管理</w:t>
      </w:r>
    </w:p>
    <w:p w14:paraId="179177A1"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1、基金托管人以本基金的名义在其营业机构开立基金的资金账户（也可称为“托管账户”），保管基金的银行存款，并根据基金管理人的指令办理资金收付。托管账户名称应为“</w:t>
      </w:r>
      <w:r>
        <w:rPr>
          <w:rFonts w:ascii="宋体" w:hAnsi="宋体" w:hint="eastAsia"/>
          <w:color w:val="000000" w:themeColor="text1"/>
        </w:rPr>
        <w:t>嘉实纳斯达克100交易型开放式指数</w:t>
      </w:r>
      <w:r>
        <w:rPr>
          <w:rFonts w:ascii="宋体" w:hAnsi="宋体"/>
          <w:color w:val="000000" w:themeColor="text1"/>
        </w:rPr>
        <w:t>证券投资基金（QDII）”，预留印鉴为基金托管人印章。</w:t>
      </w:r>
    </w:p>
    <w:p w14:paraId="42A71CE7"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2、基金资金账户的开立和使用，限于满足开展本基金业务的需要。基金托管人和基金管理人不得假借本基金的名义开立任何其他银行账户；亦不得使用基金的任何账户进行本基金业务以外的活动。</w:t>
      </w:r>
    </w:p>
    <w:p w14:paraId="200C935A"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3、基金资金账户的开立和管理应符合法律法规</w:t>
      </w:r>
      <w:r>
        <w:rPr>
          <w:rFonts w:ascii="宋体" w:hAnsi="宋体" w:hint="eastAsia"/>
          <w:color w:val="000000" w:themeColor="text1"/>
        </w:rPr>
        <w:t>、</w:t>
      </w:r>
      <w:r>
        <w:rPr>
          <w:rFonts w:ascii="宋体" w:hAnsi="宋体"/>
          <w:color w:val="000000" w:themeColor="text1"/>
        </w:rPr>
        <w:t>银行业监督管理机构</w:t>
      </w:r>
      <w:r>
        <w:rPr>
          <w:rFonts w:ascii="宋体" w:hAnsi="宋体" w:hint="eastAsia"/>
          <w:color w:val="000000" w:themeColor="text1"/>
        </w:rPr>
        <w:t>及账户所在国或地区监管</w:t>
      </w:r>
      <w:r>
        <w:rPr>
          <w:rFonts w:ascii="宋体" w:hAnsi="宋体"/>
          <w:color w:val="000000" w:themeColor="text1"/>
        </w:rPr>
        <w:t>的有关规定。</w:t>
      </w:r>
    </w:p>
    <w:p w14:paraId="1D7D9779"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D、</w:t>
      </w:r>
      <w:r>
        <w:rPr>
          <w:rFonts w:ascii="宋体" w:hAnsi="宋体"/>
          <w:color w:val="000000" w:themeColor="text1"/>
        </w:rPr>
        <w:t>基金证券账户和结算备付金账户的开立和管理</w:t>
      </w:r>
    </w:p>
    <w:p w14:paraId="7628C423"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1、基金托管人在中国证券登记结算有限责任公司上海分公司、深圳分公司为基金开立基金托管人与基金联名的证券账户</w:t>
      </w:r>
      <w:r>
        <w:rPr>
          <w:rFonts w:ascii="宋体" w:hAnsi="宋体" w:hint="eastAsia"/>
          <w:color w:val="000000" w:themeColor="text1"/>
        </w:rPr>
        <w:t>；境外托管人在基金所投资市场的交易所或登记结算机构处按照该交易所或登记结算机构的业务规则开立证券账户</w:t>
      </w:r>
      <w:r>
        <w:rPr>
          <w:rFonts w:ascii="宋体" w:hAnsi="宋体"/>
          <w:color w:val="000000" w:themeColor="text1"/>
        </w:rPr>
        <w:t>。</w:t>
      </w:r>
    </w:p>
    <w:p w14:paraId="14F961FC"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2、基金证券账户的开立和使用，仅限于满足开展本基金业务的需要。基金托管人和基金管理人</w:t>
      </w:r>
      <w:r>
        <w:rPr>
          <w:rFonts w:ascii="宋体" w:hAnsi="宋体" w:hint="eastAsia"/>
          <w:color w:val="000000" w:themeColor="text1"/>
        </w:rPr>
        <w:t>以及境外托管人</w:t>
      </w:r>
      <w:r>
        <w:rPr>
          <w:rFonts w:ascii="宋体" w:hAnsi="宋体"/>
          <w:color w:val="000000" w:themeColor="text1"/>
        </w:rPr>
        <w:t>不得出借或未经</w:t>
      </w:r>
      <w:r>
        <w:rPr>
          <w:rFonts w:ascii="宋体" w:hAnsi="宋体" w:hint="eastAsia"/>
          <w:color w:val="000000" w:themeColor="text1"/>
        </w:rPr>
        <w:t>各方书面</w:t>
      </w:r>
      <w:r>
        <w:rPr>
          <w:rFonts w:ascii="宋体" w:hAnsi="宋体"/>
          <w:color w:val="000000" w:themeColor="text1"/>
        </w:rPr>
        <w:t>同意擅自转让基金的任何证券账户，亦不得使用基金的任何账户进行本基金业务以外的活动。</w:t>
      </w:r>
    </w:p>
    <w:p w14:paraId="3E30D059"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3、基金证券账户的开立和证券账户卡的保管由基金托管人负责，账户资产的管理和运用由基金管理人负责。</w:t>
      </w:r>
    </w:p>
    <w:p w14:paraId="71B5AAF7"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4、基金托管人以基金托管人的名义在中国证券登记结算有限责任公司开立结算备付金</w:t>
      </w:r>
      <w:r>
        <w:rPr>
          <w:rFonts w:ascii="宋体" w:hAnsi="宋体"/>
          <w:color w:val="000000" w:themeColor="text1"/>
        </w:rPr>
        <w:lastRenderedPageBreak/>
        <w:t>账户，并代表所托管的基金完成与中国证券登记结算有限责任公司的一级法人清算工作，基金管理人应予以积极协助。结算备付金、客户结算保证金、交收价差保证金等的收取按照中国证券登记结算有限责任公司的规定执行。</w:t>
      </w:r>
      <w:r>
        <w:rPr>
          <w:rFonts w:ascii="宋体" w:hAnsi="宋体" w:hint="eastAsia"/>
          <w:color w:val="000000" w:themeColor="text1"/>
        </w:rPr>
        <w:t>基金证券账户的开立和管理应符合账户所在国或地区有关法律的规定。</w:t>
      </w:r>
    </w:p>
    <w:p w14:paraId="616CAE41"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2165DC71"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E、</w:t>
      </w:r>
      <w:r>
        <w:rPr>
          <w:rFonts w:ascii="宋体" w:hAnsi="宋体"/>
          <w:color w:val="000000" w:themeColor="text1"/>
        </w:rPr>
        <w:t>其他账户的开立和管理</w:t>
      </w:r>
    </w:p>
    <w:p w14:paraId="5BC692F2"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w:t>
      </w:r>
      <w:r>
        <w:rPr>
          <w:rFonts w:ascii="宋体" w:hAnsi="宋体" w:hint="eastAsia"/>
          <w:color w:val="000000" w:themeColor="text1"/>
        </w:rPr>
        <w:t>因业务发展需要而开立的其他账户，可以根据投资市场所在国家或地区法律法规和基金合同的规定，由基金托管人或境外托管人负责开立，基金管理人应提供必要的协助。新账户按有关规则使用并管理。</w:t>
      </w:r>
    </w:p>
    <w:p w14:paraId="6C003B15"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2、投资市场所在国家或地区法律法规等有关规定对相关账户的开立和管理另有规定的，从其规定办理。</w:t>
      </w:r>
    </w:p>
    <w:p w14:paraId="5FE7876B"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F、</w:t>
      </w:r>
      <w:r>
        <w:rPr>
          <w:rFonts w:ascii="宋体" w:hAnsi="宋体"/>
          <w:color w:val="000000" w:themeColor="text1"/>
        </w:rPr>
        <w:t>基金财产投资的有关有价凭证等的保管</w:t>
      </w:r>
    </w:p>
    <w:p w14:paraId="5042F833"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基金财产投资的有关实物证券等有价凭证按约定由基金托管人存放于基金托管人</w:t>
      </w:r>
      <w:r>
        <w:rPr>
          <w:rFonts w:ascii="宋体" w:hAnsi="宋体" w:hint="eastAsia"/>
          <w:color w:val="000000" w:themeColor="text1"/>
        </w:rPr>
        <w:t>及其境外托管人</w:t>
      </w:r>
      <w:r>
        <w:rPr>
          <w:rFonts w:ascii="宋体" w:hAnsi="宋体"/>
          <w:color w:val="000000" w:themeColor="text1"/>
        </w:rPr>
        <w:t>的保管库，或存入中央国债登记结算有限责任公司、银行间市场清算所股份有限公司、中国证券登记结算有限责任公司上海分公司/深圳分公司或票据营业中心的代保管库，实物保管凭证由基金托管人持有。实物证券等有价凭证的购买和转让，由基金托管人</w:t>
      </w:r>
      <w:r>
        <w:rPr>
          <w:rFonts w:ascii="宋体" w:hAnsi="宋体" w:hint="eastAsia"/>
          <w:color w:val="000000" w:themeColor="text1"/>
        </w:rPr>
        <w:t>及其境外托管人</w:t>
      </w:r>
      <w:r>
        <w:rPr>
          <w:rFonts w:ascii="宋体" w:hAnsi="宋体"/>
          <w:color w:val="000000" w:themeColor="text1"/>
        </w:rPr>
        <w:t>根据基金管理人的指令办理。基金托管人</w:t>
      </w:r>
      <w:r>
        <w:rPr>
          <w:rFonts w:ascii="宋体" w:hAnsi="宋体" w:hint="eastAsia"/>
          <w:color w:val="000000" w:themeColor="text1"/>
        </w:rPr>
        <w:t>及其境外托管人</w:t>
      </w:r>
      <w:r>
        <w:rPr>
          <w:rFonts w:ascii="宋体" w:hAnsi="宋体"/>
          <w:color w:val="000000" w:themeColor="text1"/>
        </w:rPr>
        <w:t>对由上述存放机构及基金托管人以外机构实际有效控制的有价凭证不承担保管责任。</w:t>
      </w:r>
    </w:p>
    <w:p w14:paraId="34389EAF"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G、证券登记</w:t>
      </w:r>
    </w:p>
    <w:p w14:paraId="7B2C7776"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1、境外证券的注册登记方式应符合投资当地市场的有关法律、法规和市场惯例。</w:t>
      </w:r>
    </w:p>
    <w:p w14:paraId="73EFEC8A"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2、基金托管人应确保基金管理人所管理的基金或基金份额持有人始终是所有证券的实益所有人(beneficial owner)的方式持有基金财产中的所有证券。</w:t>
      </w:r>
    </w:p>
    <w:p w14:paraId="565261F1"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3、基金托管人应该：(a)在其账目和记录中单独列记属于本基金的证券，并且(b)要求和尽商业上的合理努力确保其境外托管人在其账目和记录中单独清楚列记证券不属于境外托管人，不论证券以何人的名义登记。而且，若证券由基金托管人、境外托管人以无记名方式实际持有，要求和确保其境外托管人将这些证券和基金托管人、其境外托管人自有的资产、任何其他人的资产分别独立存放。</w:t>
      </w:r>
    </w:p>
    <w:p w14:paraId="3184457A"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4、除非基金托管人及其境外托管人存在过失、疏忽、欺诈或故意不当行为，基金托管</w:t>
      </w:r>
      <w:r>
        <w:rPr>
          <w:rFonts w:ascii="宋体" w:hAnsi="宋体" w:hint="eastAsia"/>
          <w:color w:val="000000" w:themeColor="text1"/>
        </w:rPr>
        <w:lastRenderedPageBreak/>
        <w:t>人将不保证其或其境外托管人所接收基金财产中的证券的所有权、合法性或真实性（包括是否以良好形式转让）及其他效力瑕疵。基金管理人、基金托管人不对境外托管人依据当地法律法规、证券、期货交易所规则、市场惯例的作为或不作为承担责任。</w:t>
      </w:r>
    </w:p>
    <w:p w14:paraId="3A6A148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5、存放在证券系统的证券应按照基金托管人及其境外托管人的指示为基金的实际所有人持有，但须遵守管辖该系统运营的规则、条例和条件。</w:t>
      </w:r>
    </w:p>
    <w:p w14:paraId="12A1D277"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6、由基金托管人及其境外托管人为基金的利益而持有的证券(无记名证券和在证券系统持有的证券除外)应按本协议约定登记。</w:t>
      </w:r>
    </w:p>
    <w:p w14:paraId="6513CFC8"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7、基金托管人及其境外托管人应就其为基金利益而持有证券的市场有关证券登记方式的重大改变通知基金管理人，并应基金管理人要求将这些市场发生的事件或惯例变化通知基金管理人。若基金管理人要求改变本协议约定的证券登记方式，基金托管人及其境外托管人应就此予以充分配合。</w:t>
      </w:r>
    </w:p>
    <w:p w14:paraId="44172078"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H、</w:t>
      </w:r>
      <w:r>
        <w:rPr>
          <w:rFonts w:ascii="宋体" w:hAnsi="宋体"/>
          <w:color w:val="000000" w:themeColor="text1"/>
        </w:rPr>
        <w:t>与基金财产有关的重大合同的保管</w:t>
      </w:r>
    </w:p>
    <w:p w14:paraId="46457C40"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w:t>
      </w:r>
      <w:r>
        <w:rPr>
          <w:rFonts w:ascii="宋体" w:hAnsi="宋体" w:hint="eastAsia"/>
          <w:color w:val="000000" w:themeColor="text1"/>
        </w:rPr>
        <w:t>，并在三十个工作日内将正本送达基金托管人处。</w:t>
      </w:r>
      <w:r>
        <w:rPr>
          <w:rFonts w:ascii="宋体" w:hAnsi="宋体"/>
          <w:color w:val="000000" w:themeColor="text1"/>
        </w:rPr>
        <w:t>因基金管理人发送的合同传真件与事后送达的合同原件不一致所造成的后果，由基金管理人负责。重大合同的保管期限</w:t>
      </w:r>
      <w:r>
        <w:rPr>
          <w:rFonts w:ascii="宋体" w:hAnsi="宋体" w:hint="eastAsia"/>
          <w:color w:val="000000" w:themeColor="text1"/>
        </w:rPr>
        <w:t>不低于法律法规规定的最低期限</w:t>
      </w:r>
      <w:r>
        <w:rPr>
          <w:rFonts w:ascii="宋体" w:hAnsi="宋体"/>
          <w:color w:val="000000" w:themeColor="text1"/>
        </w:rPr>
        <w:t>。</w:t>
      </w:r>
    </w:p>
    <w:p w14:paraId="70E3CD98" w14:textId="00E9B732"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6E532C30"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（五）基金资产净值计算、估值和会计核算</w:t>
      </w:r>
    </w:p>
    <w:p w14:paraId="07D323E7"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基金资产的净值计算和会计核算按照相关的法律法规进行，基金管理人可以委托第三方机构完成。基金托管人可委托境外托管人完成。</w:t>
      </w:r>
    </w:p>
    <w:p w14:paraId="4A150F23"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A、</w:t>
      </w:r>
      <w:r>
        <w:rPr>
          <w:rFonts w:ascii="宋体" w:hAnsi="宋体"/>
          <w:color w:val="000000" w:themeColor="text1"/>
        </w:rPr>
        <w:t>基金资产净值的计算、复核与完成的时间及程序</w:t>
      </w:r>
    </w:p>
    <w:p w14:paraId="24F290BA"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1、基金资产净值</w:t>
      </w:r>
    </w:p>
    <w:p w14:paraId="08A6EF57"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基金资产净值是指基金资产总值减去基金负债后的价值。</w:t>
      </w:r>
    </w:p>
    <w:p w14:paraId="07387FD3"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基金份额净值是按照每个估值日的基金资产净值除以该估值日基金份额的余额数量计算，精确到0.0001元，小数点后第5位四舍五入。基金管理人可以设立大额赎回情形下的净值精度应急调整机制。国家另有规定的，从其规定。</w:t>
      </w:r>
    </w:p>
    <w:p w14:paraId="1D8C835E"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lastRenderedPageBreak/>
        <w:t>2、复核程序</w:t>
      </w:r>
    </w:p>
    <w:p w14:paraId="32986C17"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基金管理人应每个估值日对前一估值日的基金资产估值。但基金管理人根据法律法规或基金合同的规定暂停估值时除外。基金管理人每个估值日对前一估值日的基金资产估值后，将基金份额净值结果发送基金托管人，经基金托管人复核无误后，由基金管理人按照规定对外公布。</w:t>
      </w:r>
    </w:p>
    <w:p w14:paraId="1C777803"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w:t>
      </w:r>
      <w:r>
        <w:rPr>
          <w:rFonts w:ascii="宋体" w:hAnsi="宋体" w:hint="eastAsia"/>
          <w:color w:val="000000" w:themeColor="text1"/>
        </w:rPr>
        <w:t>本基金的会计责任方由基金管理人担任，负责基金净值计算和基金会计核算，就与本基金有关的会计问题，如经相关各方在平等基础上充分讨论后，仍无法达成一致的意见，基金管理人向基金托管人出具盖章的书面说明后，按照基金管理人对基金净值信息的计算结果对外予以公布。</w:t>
      </w:r>
    </w:p>
    <w:p w14:paraId="2E43D3C6"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B、</w:t>
      </w:r>
      <w:r>
        <w:rPr>
          <w:rFonts w:ascii="宋体" w:hAnsi="宋体"/>
          <w:color w:val="000000" w:themeColor="text1"/>
        </w:rPr>
        <w:t>基金资产的估值</w:t>
      </w:r>
    </w:p>
    <w:p w14:paraId="7B200DB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基金管理人及基金托管人应当按照《基金合同》的约定进行估值。</w:t>
      </w:r>
    </w:p>
    <w:p w14:paraId="17BC48C8"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C、</w:t>
      </w:r>
      <w:r>
        <w:rPr>
          <w:rFonts w:ascii="宋体" w:hAnsi="宋体"/>
          <w:color w:val="000000" w:themeColor="text1"/>
        </w:rPr>
        <w:t>基金份额净值错误的处理方式</w:t>
      </w:r>
    </w:p>
    <w:p w14:paraId="2D40E5D1"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基金管理人及基金托管人应当按照《基金合同》的约定处理份额净值错误。</w:t>
      </w:r>
    </w:p>
    <w:p w14:paraId="2DBD4F81"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D、</w:t>
      </w:r>
      <w:r>
        <w:rPr>
          <w:rFonts w:ascii="宋体" w:hAnsi="宋体"/>
          <w:color w:val="000000" w:themeColor="text1"/>
        </w:rPr>
        <w:t>基金会计制度</w:t>
      </w:r>
    </w:p>
    <w:p w14:paraId="529FD3C4"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按国家有关部门规定的会计制度执行。</w:t>
      </w:r>
    </w:p>
    <w:p w14:paraId="588BE01E"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E、</w:t>
      </w:r>
      <w:r>
        <w:rPr>
          <w:rFonts w:ascii="宋体" w:hAnsi="宋体"/>
          <w:color w:val="000000" w:themeColor="text1"/>
        </w:rPr>
        <w:t>基金账册的建立</w:t>
      </w:r>
    </w:p>
    <w:p w14:paraId="0921B78B"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6D8AFE66"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F、</w:t>
      </w:r>
      <w:r>
        <w:rPr>
          <w:rFonts w:ascii="宋体" w:hAnsi="宋体"/>
          <w:color w:val="000000" w:themeColor="text1"/>
        </w:rPr>
        <w:t>基金财务报表与报告的编制和复核</w:t>
      </w:r>
    </w:p>
    <w:p w14:paraId="084E8405"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1、财务报表的编制</w:t>
      </w:r>
    </w:p>
    <w:p w14:paraId="472B7C1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基金财务报表由基金管理人编制，基金托管人复核。</w:t>
      </w:r>
    </w:p>
    <w:p w14:paraId="6A4595F7"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2、报表复核</w:t>
      </w:r>
    </w:p>
    <w:p w14:paraId="0A97035E"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基金托管人在收到基金管理人编制的基金财务报表后，进行独立的复核。核对不符时，应及时通知基金管理人共同查出原因，进行调整，直至双方数据完全一致。</w:t>
      </w:r>
    </w:p>
    <w:p w14:paraId="5E68F06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3、财务报表的编制与复核时间安排</w:t>
      </w:r>
    </w:p>
    <w:p w14:paraId="7ADCB081"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基金管理人、基金托管人应当在每月结束后5个工作日内完成月度报表的编制及复核；在季度结束之日起15个工作日内完成基金季度报告的编制及复核；在上半年结束之日起2</w:t>
      </w:r>
      <w:r>
        <w:rPr>
          <w:rFonts w:ascii="宋体" w:hAnsi="宋体" w:hint="eastAsia"/>
          <w:color w:val="000000" w:themeColor="text1"/>
        </w:rPr>
        <w:t>个月</w:t>
      </w:r>
      <w:r>
        <w:rPr>
          <w:rFonts w:ascii="宋体" w:hAnsi="宋体"/>
          <w:color w:val="000000" w:themeColor="text1"/>
        </w:rPr>
        <w:t>内完成基金</w:t>
      </w:r>
      <w:r>
        <w:rPr>
          <w:rFonts w:ascii="宋体" w:hAnsi="宋体" w:hint="eastAsia"/>
          <w:color w:val="000000" w:themeColor="text1"/>
        </w:rPr>
        <w:t>中期</w:t>
      </w:r>
      <w:r>
        <w:rPr>
          <w:rFonts w:ascii="宋体" w:hAnsi="宋体"/>
          <w:color w:val="000000" w:themeColor="text1"/>
        </w:rPr>
        <w:t>报告的编制及复核；在每年结束之日起</w:t>
      </w:r>
      <w:r>
        <w:rPr>
          <w:rFonts w:ascii="宋体" w:hAnsi="宋体" w:hint="eastAsia"/>
          <w:color w:val="000000" w:themeColor="text1"/>
        </w:rPr>
        <w:t>3个月</w:t>
      </w:r>
      <w:r>
        <w:rPr>
          <w:rFonts w:ascii="宋体" w:hAnsi="宋体"/>
          <w:color w:val="000000" w:themeColor="text1"/>
        </w:rPr>
        <w:t>内完成基金年度报告的编制及复核。基金托管人在复核过程中，发现双方的报表存在不符时，基金管理人和基金托</w:t>
      </w:r>
      <w:r>
        <w:rPr>
          <w:rFonts w:ascii="宋体" w:hAnsi="宋体"/>
          <w:color w:val="000000" w:themeColor="text1"/>
        </w:rPr>
        <w:lastRenderedPageBreak/>
        <w:t>管人应共同查明原因，进行调整，调整以国家有关规定为准。基金年度报告</w:t>
      </w:r>
      <w:r>
        <w:rPr>
          <w:rFonts w:ascii="宋体" w:hAnsi="宋体" w:hint="eastAsia"/>
          <w:color w:val="000000" w:themeColor="text1"/>
        </w:rPr>
        <w:t>中</w:t>
      </w:r>
      <w:r>
        <w:rPr>
          <w:rFonts w:ascii="宋体" w:hAnsi="宋体"/>
          <w:color w:val="000000" w:themeColor="text1"/>
        </w:rPr>
        <w:t>的财务会计报告应当经过</w:t>
      </w:r>
      <w:r>
        <w:rPr>
          <w:rFonts w:ascii="宋体" w:hAnsi="宋体" w:hint="eastAsia"/>
          <w:color w:val="000000" w:themeColor="text1"/>
        </w:rPr>
        <w:t>符合《证券法》规定的会计师事务所</w:t>
      </w:r>
      <w:r>
        <w:rPr>
          <w:rFonts w:ascii="宋体" w:hAnsi="宋体"/>
          <w:color w:val="000000" w:themeColor="text1"/>
        </w:rPr>
        <w:t>审计。基金合同生效不足两个月的，基金管理人可以不编制当期季度报告、</w:t>
      </w:r>
      <w:r>
        <w:rPr>
          <w:rFonts w:ascii="宋体" w:hAnsi="宋体" w:hint="eastAsia"/>
          <w:color w:val="000000" w:themeColor="text1"/>
        </w:rPr>
        <w:t>中期</w:t>
      </w:r>
      <w:r>
        <w:rPr>
          <w:rFonts w:ascii="宋体" w:hAnsi="宋体"/>
          <w:color w:val="000000" w:themeColor="text1"/>
        </w:rPr>
        <w:t>报告或者年度报告。</w:t>
      </w:r>
    </w:p>
    <w:p w14:paraId="7F6C516D"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G、</w:t>
      </w:r>
      <w:r>
        <w:rPr>
          <w:rFonts w:ascii="宋体" w:hAnsi="宋体"/>
          <w:color w:val="000000" w:themeColor="text1"/>
        </w:rPr>
        <w:t>在有需要时，基金管理人应每季度向基金托管人提供基金业绩比较基准的基础数据和编制结果。</w:t>
      </w:r>
    </w:p>
    <w:p w14:paraId="12DC6BF7" w14:textId="624DA44D"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H、对于相关信息的发送与复核，基金管理人和基金托管人也可以采用法律法规规定或者双方认可的其他方式进行。</w:t>
      </w:r>
    </w:p>
    <w:p w14:paraId="2D269F6D"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（六）基金份额持有人名册的保管</w:t>
      </w:r>
    </w:p>
    <w:p w14:paraId="3DBED105"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限不低于法律法规规定的最低期限。如不能妥善保管，则按相关法律法规承担责任。</w:t>
      </w:r>
    </w:p>
    <w:p w14:paraId="3CA11B93" w14:textId="76E9DACA"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0BABBD5B" w14:textId="047B6C6D"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（七）争议解决方式</w:t>
      </w:r>
    </w:p>
    <w:p w14:paraId="568C1590"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各方当事人同意，因本协议产生或与之相关的争议，如经友好协商、调解未能解决的，则任何一方均有权将争议提交中国国际经济贸易仲裁委员会，按照中国国际经济贸易仲裁委员会届时有效的仲裁规则进行仲裁。仲裁地点为北京市。仲裁裁决是终局的，对仲裁各方当事人均有约束力。仲裁费用由败诉方承担，除非仲裁裁决另有决定。</w:t>
      </w:r>
    </w:p>
    <w:p w14:paraId="5724166B"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争议处理期间，双方当事人应恪守各自的职责，各自继续忠实、勤勉、尽责地履行基金合同和本托管协议规定的义务，维护基金份额持有人的合法权益。</w:t>
      </w:r>
    </w:p>
    <w:p w14:paraId="46C76308" w14:textId="535E18EB" w:rsidR="0082364D" w:rsidRDefault="00BF2824">
      <w:pPr>
        <w:spacing w:line="360" w:lineRule="auto"/>
        <w:ind w:firstLineChars="200" w:firstLine="420"/>
        <w:rPr>
          <w:rFonts w:ascii="宋体" w:hAnsi="宋体"/>
          <w:color w:val="000000" w:themeColor="text1"/>
          <w:lang w:bidi="en-US"/>
        </w:rPr>
      </w:pPr>
      <w:r>
        <w:rPr>
          <w:rFonts w:ascii="宋体" w:hAnsi="宋体" w:hint="eastAsia"/>
          <w:color w:val="000000" w:themeColor="text1"/>
        </w:rPr>
        <w:t>本协议适用中华人民共和国法律，（为本协议之目的，不含港澳台立法）管辖并从其解释。</w:t>
      </w:r>
    </w:p>
    <w:p w14:paraId="6A2EF95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（八）托管协议的变更、终止与基金财产的清算</w:t>
      </w:r>
    </w:p>
    <w:p w14:paraId="271FFA09"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A、</w:t>
      </w:r>
      <w:r>
        <w:rPr>
          <w:rFonts w:ascii="宋体" w:hAnsi="宋体"/>
          <w:color w:val="000000" w:themeColor="text1"/>
        </w:rPr>
        <w:t>托管协议的变更程序</w:t>
      </w:r>
    </w:p>
    <w:p w14:paraId="10C8020A"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本协议双方当事人经协商一致，可以对协议进行修改。修改后的新协议，其内容不得与基金合同的规定有任何冲突。基金托管协议的变更应报中国证监会备案。</w:t>
      </w:r>
    </w:p>
    <w:p w14:paraId="6402FA25"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B、</w:t>
      </w:r>
      <w:r>
        <w:rPr>
          <w:rFonts w:ascii="宋体" w:hAnsi="宋体"/>
          <w:color w:val="000000" w:themeColor="text1"/>
        </w:rPr>
        <w:t>基金托管协议终止的情形</w:t>
      </w:r>
    </w:p>
    <w:p w14:paraId="61434657"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lastRenderedPageBreak/>
        <w:t>1、《基金合同》终止</w:t>
      </w:r>
      <w:r>
        <w:rPr>
          <w:rFonts w:ascii="宋体" w:hAnsi="宋体" w:hint="eastAsia"/>
          <w:color w:val="000000" w:themeColor="text1"/>
        </w:rPr>
        <w:t>。</w:t>
      </w:r>
    </w:p>
    <w:p w14:paraId="6CEE5CD5"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2、基金托管人因解散、破产、依法被撤销等事由，不能继续担任基金托管人的职务，而在6个月内无其他适当的托管机构承接其原有权利义务</w:t>
      </w:r>
      <w:r>
        <w:rPr>
          <w:rFonts w:ascii="宋体" w:hAnsi="宋体" w:hint="eastAsia"/>
          <w:color w:val="000000" w:themeColor="text1"/>
        </w:rPr>
        <w:t>。</w:t>
      </w:r>
    </w:p>
    <w:p w14:paraId="0F6C406F"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3、基金管理人因解散、破产、依法被撤销等事由，不能继续担任基金管理人的职务，而在6个月内无其他适当的基金管理公司承接其原有权利义务</w:t>
      </w:r>
      <w:r>
        <w:rPr>
          <w:rFonts w:ascii="宋体" w:hAnsi="宋体" w:hint="eastAsia"/>
          <w:color w:val="000000" w:themeColor="text1"/>
        </w:rPr>
        <w:t>。</w:t>
      </w:r>
    </w:p>
    <w:p w14:paraId="46F088EA"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4、发生法律法规或《基金合同》规定的其他终止事项。</w:t>
      </w:r>
    </w:p>
    <w:p w14:paraId="14C14164" w14:textId="77777777" w:rsidR="0082364D" w:rsidRDefault="00BF2824">
      <w:pPr>
        <w:spacing w:line="360" w:lineRule="auto"/>
        <w:ind w:firstLineChars="200" w:firstLine="420"/>
        <w:rPr>
          <w:rFonts w:ascii="宋体" w:hAnsi="宋体"/>
          <w:color w:val="000000" w:themeColor="text1"/>
        </w:rPr>
      </w:pPr>
      <w:r>
        <w:rPr>
          <w:rFonts w:ascii="宋体" w:hAnsi="宋体" w:hint="eastAsia"/>
          <w:color w:val="000000" w:themeColor="text1"/>
        </w:rPr>
        <w:t>C、</w:t>
      </w:r>
      <w:r>
        <w:rPr>
          <w:rFonts w:ascii="宋体" w:hAnsi="宋体"/>
          <w:color w:val="000000" w:themeColor="text1"/>
        </w:rPr>
        <w:t>基金财产的清算</w:t>
      </w:r>
    </w:p>
    <w:p w14:paraId="54F65EA3" w14:textId="77777777" w:rsidR="0082364D" w:rsidRDefault="00BF2824">
      <w:pPr>
        <w:spacing w:line="360" w:lineRule="auto"/>
        <w:ind w:firstLineChars="200" w:firstLine="420"/>
        <w:rPr>
          <w:rFonts w:ascii="宋体" w:hAnsi="宋体"/>
          <w:color w:val="000000" w:themeColor="text1"/>
        </w:rPr>
      </w:pPr>
      <w:r>
        <w:rPr>
          <w:rFonts w:ascii="宋体" w:hAnsi="宋体"/>
          <w:color w:val="000000" w:themeColor="text1"/>
        </w:rPr>
        <w:t>基金管理人与基金托管人按照《基金合同》的约定处理基金财产的清算。</w:t>
      </w:r>
    </w:p>
    <w:p w14:paraId="52D7E471" w14:textId="77777777" w:rsidR="0082364D" w:rsidRDefault="0082364D">
      <w:pPr>
        <w:spacing w:line="360" w:lineRule="auto"/>
        <w:ind w:firstLineChars="200" w:firstLine="420"/>
        <w:rPr>
          <w:rFonts w:ascii="宋体" w:hAnsi="宋体"/>
          <w:color w:val="000000" w:themeColor="text1"/>
        </w:rPr>
      </w:pPr>
    </w:p>
    <w:bookmarkEnd w:id="143"/>
    <w:p w14:paraId="3F639373" w14:textId="77777777" w:rsidR="0082364D" w:rsidRDefault="0082364D">
      <w:pPr>
        <w:spacing w:line="360" w:lineRule="auto"/>
        <w:ind w:firstLineChars="200" w:firstLine="420"/>
        <w:rPr>
          <w:rFonts w:ascii="宋体" w:hAnsi="宋体"/>
          <w:color w:val="000000" w:themeColor="text1"/>
        </w:rPr>
      </w:pPr>
    </w:p>
    <w:p w14:paraId="6A1C78CB" w14:textId="77777777" w:rsidR="0082364D" w:rsidRDefault="00BF2824">
      <w:pPr>
        <w:widowControl/>
        <w:jc w:val="left"/>
        <w:rPr>
          <w:rFonts w:ascii="宋体" w:hAnsi="宋体"/>
          <w:b/>
          <w:bCs/>
          <w:kern w:val="44"/>
          <w:sz w:val="28"/>
          <w:szCs w:val="44"/>
        </w:rPr>
      </w:pPr>
      <w:bookmarkStart w:id="151" w:name="_Toc108598533"/>
      <w:bookmarkEnd w:id="144"/>
      <w:r>
        <w:rPr>
          <w:rFonts w:ascii="宋体" w:hAnsi="宋体"/>
          <w:sz w:val="28"/>
        </w:rPr>
        <w:br w:type="page"/>
      </w:r>
    </w:p>
    <w:p w14:paraId="6152F1AA" w14:textId="77777777" w:rsidR="0082364D" w:rsidRDefault="00BF2824">
      <w:pPr>
        <w:pStyle w:val="1"/>
        <w:spacing w:before="120" w:after="120" w:line="360" w:lineRule="auto"/>
        <w:jc w:val="center"/>
        <w:rPr>
          <w:rFonts w:ascii="宋体" w:hAnsi="宋体"/>
          <w:sz w:val="28"/>
        </w:rPr>
      </w:pPr>
      <w:r>
        <w:rPr>
          <w:rFonts w:ascii="宋体" w:hAnsi="宋体"/>
          <w:sz w:val="28"/>
        </w:rPr>
        <w:lastRenderedPageBreak/>
        <w:t>二十</w:t>
      </w:r>
      <w:r>
        <w:rPr>
          <w:rFonts w:ascii="宋体" w:hAnsi="宋体" w:hint="eastAsia"/>
          <w:sz w:val="28"/>
        </w:rPr>
        <w:t>二</w:t>
      </w:r>
      <w:r>
        <w:rPr>
          <w:rFonts w:ascii="宋体" w:hAnsi="宋体"/>
          <w:sz w:val="28"/>
        </w:rPr>
        <w:t>、对基金份额持有人的服务</w:t>
      </w:r>
      <w:bookmarkEnd w:id="137"/>
      <w:bookmarkEnd w:id="138"/>
      <w:bookmarkEnd w:id="139"/>
      <w:bookmarkEnd w:id="140"/>
      <w:bookmarkEnd w:id="141"/>
      <w:bookmarkEnd w:id="151"/>
    </w:p>
    <w:p w14:paraId="460DF281" w14:textId="77777777" w:rsidR="0082364D" w:rsidRDefault="00BF2824">
      <w:pPr>
        <w:spacing w:line="360" w:lineRule="auto"/>
        <w:ind w:firstLineChars="200" w:firstLine="420"/>
        <w:jc w:val="left"/>
        <w:rPr>
          <w:rFonts w:ascii="宋体" w:hAnsi="宋体"/>
        </w:rPr>
      </w:pPr>
      <w:r>
        <w:rPr>
          <w:rFonts w:ascii="宋体" w:hAnsi="宋体"/>
        </w:rPr>
        <w:t>对本基金份额持有人的服务主要由基金管理人、发售代理机构、申购赎回代理券商提供。</w:t>
      </w:r>
    </w:p>
    <w:p w14:paraId="201D2059" w14:textId="77777777" w:rsidR="0082364D" w:rsidRDefault="00BF2824">
      <w:pPr>
        <w:spacing w:line="360" w:lineRule="auto"/>
        <w:ind w:firstLineChars="200" w:firstLine="420"/>
        <w:jc w:val="left"/>
        <w:rPr>
          <w:rFonts w:ascii="宋体" w:hAnsi="宋体"/>
        </w:rPr>
      </w:pPr>
      <w:r>
        <w:rPr>
          <w:rFonts w:ascii="宋体" w:hAnsi="宋体"/>
        </w:rPr>
        <w:t>以下是基金管理人提供的主要服务内容，基金管理人根据基金份额持有人的需要和市场的变化，有权增加或变更服务项目。</w:t>
      </w:r>
    </w:p>
    <w:p w14:paraId="186EB5E0" w14:textId="77777777" w:rsidR="0082364D" w:rsidRDefault="00BF2824">
      <w:pPr>
        <w:spacing w:line="360" w:lineRule="auto"/>
        <w:ind w:firstLineChars="200" w:firstLine="420"/>
        <w:jc w:val="left"/>
      </w:pPr>
      <w:r>
        <w:rPr>
          <w:rFonts w:ascii="宋体" w:hAnsi="宋体"/>
        </w:rPr>
        <w:t>（一）产品讯息咨询服务</w:t>
      </w:r>
    </w:p>
    <w:p w14:paraId="6A44070C" w14:textId="77777777" w:rsidR="0082364D" w:rsidRDefault="00BF2824">
      <w:pPr>
        <w:spacing w:line="360" w:lineRule="auto"/>
        <w:ind w:firstLineChars="200" w:firstLine="420"/>
        <w:rPr>
          <w:rFonts w:ascii="宋体" w:hAnsi="宋体"/>
        </w:rPr>
      </w:pPr>
      <w:r>
        <w:rPr>
          <w:rFonts w:ascii="宋体" w:hAnsi="宋体"/>
        </w:rPr>
        <w:t>投资者如果想查询基金净值、相关公告、基金产品与服务等信息，可通过拨打基金管理人客户服务电话400-600-8800（免长途话费）、（010）85712266，或登录本基金管理人网站（www.jsfund.c</w:t>
      </w:r>
      <w:r>
        <w:rPr>
          <w:rFonts w:ascii="宋体" w:hAnsi="宋体" w:hint="eastAsia"/>
        </w:rPr>
        <w:t>n</w:t>
      </w:r>
      <w:r>
        <w:rPr>
          <w:rFonts w:ascii="宋体" w:hAnsi="宋体"/>
        </w:rPr>
        <w:t>）进行咨询、查询。</w:t>
      </w:r>
    </w:p>
    <w:p w14:paraId="4ECF4BCC" w14:textId="77777777" w:rsidR="0082364D" w:rsidRDefault="00BF2824">
      <w:pPr>
        <w:spacing w:line="360" w:lineRule="auto"/>
        <w:ind w:firstLineChars="200" w:firstLine="420"/>
        <w:jc w:val="left"/>
      </w:pPr>
      <w:r>
        <w:rPr>
          <w:rFonts w:ascii="宋体" w:hAnsi="宋体"/>
        </w:rPr>
        <w:t>（二）客户投诉与建议受理服务</w:t>
      </w:r>
    </w:p>
    <w:p w14:paraId="019BB54B" w14:textId="77777777" w:rsidR="0082364D" w:rsidRDefault="00BF2824">
      <w:pPr>
        <w:spacing w:line="360" w:lineRule="auto"/>
        <w:ind w:firstLineChars="200" w:firstLine="420"/>
        <w:rPr>
          <w:rFonts w:ascii="宋体" w:hAnsi="宋体"/>
        </w:rPr>
      </w:pPr>
      <w:r>
        <w:rPr>
          <w:rFonts w:ascii="宋体" w:hAnsi="宋体"/>
        </w:rPr>
        <w:t>客户对我们工作的意见和建议，可通过客服热线、留言信箱、电子邮件或信函等方式向我们提出，对于普通投诉我们会在两天内予以回复，对于重大投诉的回复不超过72小时。</w:t>
      </w:r>
    </w:p>
    <w:p w14:paraId="4D86AC1A" w14:textId="77777777" w:rsidR="0082364D" w:rsidRDefault="0082364D">
      <w:pPr>
        <w:autoSpaceDE w:val="0"/>
        <w:autoSpaceDN w:val="0"/>
        <w:adjustRightInd w:val="0"/>
        <w:spacing w:line="360" w:lineRule="auto"/>
        <w:ind w:firstLine="315"/>
        <w:jc w:val="left"/>
        <w:rPr>
          <w:rFonts w:ascii="宋体" w:hAnsi="宋体"/>
          <w:kern w:val="0"/>
          <w:sz w:val="20"/>
        </w:rPr>
      </w:pPr>
    </w:p>
    <w:p w14:paraId="42854194" w14:textId="77777777" w:rsidR="0082364D" w:rsidRDefault="00BF2824">
      <w:pPr>
        <w:pStyle w:val="1"/>
        <w:spacing w:before="120" w:after="120" w:line="360" w:lineRule="auto"/>
        <w:jc w:val="center"/>
        <w:rPr>
          <w:rFonts w:ascii="宋体" w:hAnsi="宋体"/>
          <w:sz w:val="28"/>
        </w:rPr>
      </w:pPr>
      <w:bookmarkStart w:id="152" w:name="_Toc283892164"/>
      <w:bookmarkStart w:id="153" w:name="_Toc283892844"/>
      <w:bookmarkStart w:id="154" w:name="_Toc283892792"/>
      <w:r>
        <w:rPr>
          <w:rFonts w:ascii="宋体" w:hAnsi="宋体"/>
          <w:sz w:val="28"/>
          <w:szCs w:val="28"/>
        </w:rPr>
        <w:br w:type="page"/>
      </w:r>
      <w:bookmarkStart w:id="155" w:name="_Toc353291732"/>
      <w:bookmarkStart w:id="156" w:name="_Toc449605680"/>
      <w:bookmarkStart w:id="157" w:name="_Toc108598534"/>
      <w:r>
        <w:rPr>
          <w:rFonts w:ascii="宋体" w:hAnsi="宋体"/>
          <w:sz w:val="28"/>
        </w:rPr>
        <w:lastRenderedPageBreak/>
        <w:t>二十</w:t>
      </w:r>
      <w:r>
        <w:rPr>
          <w:rFonts w:ascii="宋体" w:hAnsi="宋体" w:hint="eastAsia"/>
          <w:sz w:val="28"/>
        </w:rPr>
        <w:t>三</w:t>
      </w:r>
      <w:r>
        <w:rPr>
          <w:rFonts w:ascii="宋体" w:hAnsi="宋体"/>
          <w:sz w:val="28"/>
        </w:rPr>
        <w:t>、其他应披露事项</w:t>
      </w:r>
      <w:bookmarkEnd w:id="152"/>
      <w:bookmarkEnd w:id="153"/>
      <w:bookmarkEnd w:id="154"/>
      <w:bookmarkEnd w:id="155"/>
      <w:bookmarkEnd w:id="156"/>
      <w:bookmarkEnd w:id="157"/>
    </w:p>
    <w:p w14:paraId="0D31B1CC" w14:textId="77777777" w:rsidR="0082364D" w:rsidRDefault="00BF2824">
      <w:pPr>
        <w:spacing w:line="360" w:lineRule="auto"/>
        <w:ind w:firstLineChars="200" w:firstLine="420"/>
        <w:jc w:val="left"/>
        <w:rPr>
          <w:rFonts w:ascii="宋体" w:hAnsi="宋体"/>
        </w:rPr>
      </w:pPr>
      <w:r>
        <w:rPr>
          <w:rFonts w:ascii="宋体" w:hAnsi="宋体"/>
        </w:rPr>
        <w:t>无</w:t>
      </w:r>
    </w:p>
    <w:p w14:paraId="467E8938" w14:textId="77777777" w:rsidR="0082364D" w:rsidRDefault="0082364D">
      <w:pPr>
        <w:spacing w:line="360" w:lineRule="auto"/>
        <w:ind w:firstLineChars="200" w:firstLine="420"/>
        <w:jc w:val="left"/>
        <w:rPr>
          <w:rFonts w:ascii="宋体" w:hAnsi="宋体"/>
        </w:rPr>
      </w:pPr>
    </w:p>
    <w:p w14:paraId="7F630654" w14:textId="77777777" w:rsidR="0082364D" w:rsidRDefault="00BF2824">
      <w:pPr>
        <w:pStyle w:val="1"/>
        <w:spacing w:before="120" w:after="120" w:line="360" w:lineRule="auto"/>
        <w:jc w:val="center"/>
        <w:rPr>
          <w:rFonts w:ascii="宋体" w:hAnsi="宋体"/>
          <w:sz w:val="28"/>
        </w:rPr>
      </w:pPr>
      <w:r>
        <w:rPr>
          <w:rFonts w:ascii="宋体" w:hAnsi="宋体"/>
          <w:sz w:val="28"/>
          <w:szCs w:val="28"/>
        </w:rPr>
        <w:br w:type="page"/>
      </w:r>
      <w:bookmarkStart w:id="158" w:name="_Toc108598535"/>
      <w:bookmarkStart w:id="159" w:name="_Toc449605681"/>
      <w:r>
        <w:rPr>
          <w:rFonts w:ascii="宋体" w:hAnsi="宋体"/>
          <w:sz w:val="28"/>
        </w:rPr>
        <w:lastRenderedPageBreak/>
        <w:t>二十</w:t>
      </w:r>
      <w:bookmarkStart w:id="160" w:name="_Toc353291733"/>
      <w:bookmarkStart w:id="161" w:name="_Toc283892793"/>
      <w:bookmarkStart w:id="162" w:name="_Toc283892165"/>
      <w:bookmarkStart w:id="163" w:name="_Toc283892845"/>
      <w:r>
        <w:rPr>
          <w:rFonts w:ascii="宋体" w:hAnsi="宋体" w:hint="eastAsia"/>
          <w:sz w:val="28"/>
        </w:rPr>
        <w:t>四</w:t>
      </w:r>
      <w:r>
        <w:rPr>
          <w:rFonts w:ascii="宋体" w:hAnsi="宋体"/>
          <w:sz w:val="28"/>
        </w:rPr>
        <w:t>、招募说明书存放及查阅方式</w:t>
      </w:r>
      <w:bookmarkEnd w:id="158"/>
      <w:bookmarkEnd w:id="159"/>
      <w:bookmarkEnd w:id="160"/>
      <w:bookmarkEnd w:id="161"/>
      <w:bookmarkEnd w:id="162"/>
      <w:bookmarkEnd w:id="163"/>
    </w:p>
    <w:p w14:paraId="14F6AE51" w14:textId="77777777" w:rsidR="0082364D" w:rsidRDefault="00BF2824">
      <w:pPr>
        <w:spacing w:line="360" w:lineRule="auto"/>
        <w:ind w:firstLineChars="200" w:firstLine="420"/>
        <w:jc w:val="left"/>
        <w:rPr>
          <w:rFonts w:ascii="宋体" w:hAnsi="宋体"/>
        </w:rPr>
      </w:pPr>
      <w:r>
        <w:rPr>
          <w:rFonts w:ascii="宋体" w:hAnsi="宋体"/>
        </w:rPr>
        <w:t>本招募说明书存放在基金管理人、基金托管人及基金代销机构住所</w:t>
      </w:r>
      <w:r>
        <w:rPr>
          <w:rFonts w:ascii="宋体" w:hAnsi="宋体" w:hint="eastAsia"/>
        </w:rPr>
        <w:t>、基金上市交易的证券交易所</w:t>
      </w:r>
      <w:r>
        <w:rPr>
          <w:rFonts w:ascii="宋体" w:hAnsi="宋体"/>
        </w:rPr>
        <w:t>,投资者可在营业时间免费查阅,也可按工本费购买复印件。基金管理人和基金托管人保证其所提供的文本的内容与所公告的内容完全一致。</w:t>
      </w:r>
    </w:p>
    <w:p w14:paraId="568A1F2F" w14:textId="77777777" w:rsidR="0082364D" w:rsidRDefault="0082364D">
      <w:pPr>
        <w:spacing w:line="360" w:lineRule="auto"/>
        <w:ind w:firstLineChars="200" w:firstLine="420"/>
        <w:jc w:val="left"/>
        <w:rPr>
          <w:rFonts w:ascii="宋体" w:hAnsi="宋体"/>
        </w:rPr>
      </w:pPr>
    </w:p>
    <w:p w14:paraId="0BDB2C0A" w14:textId="77777777" w:rsidR="0082364D" w:rsidRDefault="00BF2824">
      <w:pPr>
        <w:pStyle w:val="1"/>
        <w:spacing w:before="120" w:after="120" w:line="360" w:lineRule="auto"/>
        <w:jc w:val="center"/>
        <w:rPr>
          <w:rFonts w:ascii="宋体" w:hAnsi="宋体"/>
          <w:sz w:val="28"/>
        </w:rPr>
      </w:pPr>
      <w:bookmarkStart w:id="164" w:name="_Toc283892166"/>
      <w:bookmarkStart w:id="165" w:name="_Toc283892846"/>
      <w:bookmarkStart w:id="166" w:name="_Toc283892794"/>
      <w:r>
        <w:rPr>
          <w:rFonts w:ascii="宋体" w:hAnsi="宋体"/>
          <w:sz w:val="28"/>
          <w:szCs w:val="28"/>
        </w:rPr>
        <w:br w:type="page"/>
      </w:r>
      <w:bookmarkStart w:id="167" w:name="_Toc353291734"/>
      <w:bookmarkStart w:id="168" w:name="_Toc108598536"/>
      <w:bookmarkStart w:id="169" w:name="_Toc449605682"/>
      <w:bookmarkStart w:id="170" w:name="_GoBack"/>
      <w:bookmarkEnd w:id="170"/>
      <w:r>
        <w:rPr>
          <w:rFonts w:ascii="宋体" w:hAnsi="宋体"/>
          <w:sz w:val="28"/>
        </w:rPr>
        <w:lastRenderedPageBreak/>
        <w:t>二十</w:t>
      </w:r>
      <w:r>
        <w:rPr>
          <w:rFonts w:ascii="宋体" w:hAnsi="宋体" w:hint="eastAsia"/>
          <w:sz w:val="28"/>
        </w:rPr>
        <w:t>五</w:t>
      </w:r>
      <w:r>
        <w:rPr>
          <w:rFonts w:ascii="宋体" w:hAnsi="宋体"/>
          <w:sz w:val="28"/>
        </w:rPr>
        <w:t>、备查文件</w:t>
      </w:r>
      <w:bookmarkEnd w:id="164"/>
      <w:bookmarkEnd w:id="165"/>
      <w:bookmarkEnd w:id="166"/>
      <w:bookmarkEnd w:id="167"/>
      <w:bookmarkEnd w:id="168"/>
      <w:bookmarkEnd w:id="169"/>
    </w:p>
    <w:p w14:paraId="72352690" w14:textId="77777777" w:rsidR="0082364D" w:rsidRDefault="00BF2824">
      <w:pPr>
        <w:spacing w:line="360" w:lineRule="auto"/>
        <w:ind w:firstLineChars="200" w:firstLine="420"/>
        <w:jc w:val="left"/>
        <w:rPr>
          <w:rFonts w:ascii="宋体" w:hAnsi="宋体"/>
        </w:rPr>
      </w:pPr>
      <w:r>
        <w:rPr>
          <w:rFonts w:ascii="宋体" w:hAnsi="宋体" w:hint="eastAsia"/>
          <w:color w:val="000000" w:themeColor="text1"/>
          <w:kern w:val="0"/>
          <w:szCs w:val="21"/>
        </w:rPr>
        <w:t>（</w:t>
      </w:r>
      <w:r>
        <w:rPr>
          <w:rFonts w:ascii="宋体" w:hAnsi="宋体" w:hint="eastAsia"/>
          <w:color w:val="000000" w:themeColor="text1"/>
          <w:szCs w:val="21"/>
        </w:rPr>
        <w:t>一）备查文件目录</w:t>
      </w:r>
    </w:p>
    <w:p w14:paraId="7C156595" w14:textId="3A299AC4" w:rsidR="0082364D" w:rsidRDefault="00BF2824">
      <w:pPr>
        <w:spacing w:line="360" w:lineRule="auto"/>
        <w:ind w:firstLineChars="200" w:firstLine="420"/>
        <w:jc w:val="left"/>
        <w:rPr>
          <w:rFonts w:ascii="宋体" w:hAnsi="宋体"/>
        </w:rPr>
      </w:pPr>
      <w:r>
        <w:rPr>
          <w:rFonts w:ascii="宋体" w:hAnsi="宋体"/>
        </w:rPr>
        <w:t>1</w:t>
      </w:r>
      <w:r>
        <w:rPr>
          <w:rFonts w:ascii="宋体" w:hAnsi="宋体" w:hint="eastAsia"/>
        </w:rPr>
        <w:t>、中国证监会准予嘉实纳斯达克100交易型开放式指数证券投资基金（QDII）募集注册的文件</w:t>
      </w:r>
    </w:p>
    <w:p w14:paraId="5BE70E52" w14:textId="692336F4" w:rsidR="0082364D" w:rsidRDefault="00BF2824">
      <w:pPr>
        <w:spacing w:line="360" w:lineRule="auto"/>
        <w:ind w:firstLineChars="200" w:firstLine="420"/>
        <w:jc w:val="left"/>
        <w:rPr>
          <w:rFonts w:ascii="宋体" w:hAnsi="宋体"/>
        </w:rPr>
      </w:pPr>
      <w:r>
        <w:rPr>
          <w:rFonts w:ascii="宋体" w:hAnsi="宋体" w:hint="eastAsia"/>
        </w:rPr>
        <w:t>2、《嘉实纳斯达克100交易型开放式指数证券投资基金（QDII）基金合同》</w:t>
      </w:r>
    </w:p>
    <w:p w14:paraId="4A1D501B" w14:textId="0700221C" w:rsidR="0082364D" w:rsidRDefault="00BF2824">
      <w:pPr>
        <w:spacing w:line="360" w:lineRule="auto"/>
        <w:ind w:firstLineChars="200" w:firstLine="420"/>
        <w:jc w:val="left"/>
        <w:rPr>
          <w:rFonts w:ascii="宋体" w:hAnsi="宋体"/>
        </w:rPr>
      </w:pPr>
      <w:r>
        <w:rPr>
          <w:rFonts w:ascii="宋体" w:hAnsi="宋体" w:hint="eastAsia"/>
        </w:rPr>
        <w:t>3、《嘉实纳斯达克100交易型开放式指数证券投资基金（QDII）托管协议》</w:t>
      </w:r>
    </w:p>
    <w:p w14:paraId="6197005C" w14:textId="77777777" w:rsidR="0082364D" w:rsidRDefault="00BF2824">
      <w:pPr>
        <w:spacing w:line="360" w:lineRule="auto"/>
        <w:ind w:firstLineChars="200" w:firstLine="420"/>
        <w:jc w:val="left"/>
        <w:rPr>
          <w:rFonts w:ascii="宋体" w:hAnsi="宋体"/>
        </w:rPr>
      </w:pPr>
      <w:r>
        <w:rPr>
          <w:rFonts w:ascii="宋体" w:hAnsi="宋体" w:hint="eastAsia"/>
        </w:rPr>
        <w:t>4、基金管理人业务资格批件、营业执照</w:t>
      </w:r>
    </w:p>
    <w:p w14:paraId="78F5C07B" w14:textId="77777777" w:rsidR="0082364D" w:rsidRDefault="00BF2824">
      <w:pPr>
        <w:spacing w:line="360" w:lineRule="auto"/>
        <w:ind w:firstLineChars="200" w:firstLine="420"/>
        <w:jc w:val="left"/>
        <w:rPr>
          <w:rFonts w:ascii="宋体" w:hAnsi="宋体"/>
        </w:rPr>
      </w:pPr>
      <w:r>
        <w:rPr>
          <w:rFonts w:ascii="宋体" w:hAnsi="宋体" w:hint="eastAsia"/>
        </w:rPr>
        <w:t>5、基金托管人业务资格批件、营业执照</w:t>
      </w:r>
    </w:p>
    <w:p w14:paraId="06E62094" w14:textId="77777777" w:rsidR="0082364D" w:rsidRDefault="00BF2824">
      <w:pPr>
        <w:spacing w:line="360" w:lineRule="auto"/>
        <w:ind w:firstLineChars="200" w:firstLine="420"/>
        <w:jc w:val="left"/>
        <w:rPr>
          <w:rFonts w:ascii="宋体" w:hAnsi="宋体"/>
        </w:rPr>
      </w:pPr>
      <w:r>
        <w:rPr>
          <w:rFonts w:ascii="宋体" w:hAnsi="宋体" w:hint="eastAsia"/>
        </w:rPr>
        <w:t>6、法律意见书</w:t>
      </w:r>
    </w:p>
    <w:p w14:paraId="457C84D7" w14:textId="77777777" w:rsidR="0082364D" w:rsidRDefault="00BF2824">
      <w:pPr>
        <w:spacing w:line="360" w:lineRule="auto"/>
        <w:ind w:firstLineChars="200" w:firstLine="420"/>
        <w:jc w:val="left"/>
        <w:rPr>
          <w:rFonts w:ascii="宋体" w:hAnsi="宋体"/>
        </w:rPr>
      </w:pPr>
      <w:r>
        <w:rPr>
          <w:rFonts w:ascii="宋体" w:hAnsi="宋体" w:hint="eastAsia"/>
        </w:rPr>
        <w:t>7、注册登记协议</w:t>
      </w:r>
    </w:p>
    <w:p w14:paraId="5500F2FD" w14:textId="77777777" w:rsidR="0082364D" w:rsidRDefault="00BF2824">
      <w:pPr>
        <w:tabs>
          <w:tab w:val="left" w:pos="3780"/>
        </w:tabs>
        <w:autoSpaceDE w:val="0"/>
        <w:autoSpaceDN w:val="0"/>
        <w:adjustRightInd w:val="0"/>
        <w:spacing w:line="360" w:lineRule="auto"/>
        <w:ind w:firstLine="420"/>
        <w:rPr>
          <w:rFonts w:ascii="宋体" w:hAnsi="宋体"/>
          <w:color w:val="000000" w:themeColor="text1"/>
          <w:szCs w:val="21"/>
        </w:rPr>
      </w:pPr>
      <w:r>
        <w:rPr>
          <w:rFonts w:ascii="宋体" w:hAnsi="宋体" w:hint="eastAsia"/>
          <w:color w:val="000000" w:themeColor="text1"/>
          <w:kern w:val="0"/>
          <w:szCs w:val="21"/>
        </w:rPr>
        <w:t>（</w:t>
      </w:r>
      <w:r>
        <w:rPr>
          <w:rFonts w:ascii="宋体" w:hAnsi="宋体" w:hint="eastAsia"/>
          <w:color w:val="000000" w:themeColor="text1"/>
          <w:szCs w:val="21"/>
        </w:rPr>
        <w:t>二）存放地点</w:t>
      </w:r>
    </w:p>
    <w:p w14:paraId="2076A74F" w14:textId="77777777" w:rsidR="0082364D" w:rsidRDefault="00BF2824">
      <w:pPr>
        <w:tabs>
          <w:tab w:val="left" w:pos="3780"/>
        </w:tabs>
        <w:autoSpaceDE w:val="0"/>
        <w:autoSpaceDN w:val="0"/>
        <w:adjustRightInd w:val="0"/>
        <w:spacing w:line="360" w:lineRule="auto"/>
        <w:ind w:firstLine="420"/>
        <w:rPr>
          <w:rFonts w:ascii="宋体" w:hAnsi="宋体"/>
          <w:color w:val="000000" w:themeColor="text1"/>
          <w:szCs w:val="21"/>
        </w:rPr>
      </w:pPr>
      <w:r>
        <w:rPr>
          <w:rFonts w:ascii="宋体" w:hAnsi="宋体" w:hint="eastAsia"/>
          <w:color w:val="000000" w:themeColor="text1"/>
          <w:szCs w:val="21"/>
        </w:rPr>
        <w:t>备查文件存放于基金管理人和</w:t>
      </w:r>
      <w:r>
        <w:rPr>
          <w:rFonts w:ascii="宋体" w:hAnsi="宋体"/>
          <w:color w:val="000000" w:themeColor="text1"/>
          <w:szCs w:val="21"/>
        </w:rPr>
        <w:t>/</w:t>
      </w:r>
      <w:r>
        <w:rPr>
          <w:rFonts w:ascii="宋体" w:hAnsi="宋体" w:hint="eastAsia"/>
          <w:color w:val="000000" w:themeColor="text1"/>
          <w:szCs w:val="21"/>
        </w:rPr>
        <w:t>或基金托管人处。</w:t>
      </w:r>
    </w:p>
    <w:p w14:paraId="02FD3B8C" w14:textId="77777777" w:rsidR="0082364D" w:rsidRDefault="00BF2824">
      <w:pPr>
        <w:tabs>
          <w:tab w:val="left" w:pos="3780"/>
        </w:tabs>
        <w:autoSpaceDE w:val="0"/>
        <w:autoSpaceDN w:val="0"/>
        <w:adjustRightInd w:val="0"/>
        <w:spacing w:line="360" w:lineRule="auto"/>
        <w:ind w:firstLine="420"/>
        <w:rPr>
          <w:rFonts w:ascii="宋体" w:hAnsi="宋体"/>
          <w:color w:val="000000" w:themeColor="text1"/>
          <w:szCs w:val="21"/>
        </w:rPr>
      </w:pPr>
      <w:r>
        <w:rPr>
          <w:rFonts w:ascii="宋体" w:hAnsi="宋体" w:hint="eastAsia"/>
          <w:color w:val="000000" w:themeColor="text1"/>
          <w:kern w:val="0"/>
          <w:szCs w:val="21"/>
        </w:rPr>
        <w:t>（</w:t>
      </w:r>
      <w:r>
        <w:rPr>
          <w:rFonts w:ascii="宋体" w:hAnsi="宋体" w:hint="eastAsia"/>
          <w:color w:val="000000" w:themeColor="text1"/>
          <w:szCs w:val="21"/>
        </w:rPr>
        <w:t>三）查阅方式</w:t>
      </w:r>
    </w:p>
    <w:p w14:paraId="1C6BCE1A" w14:textId="77777777" w:rsidR="0082364D" w:rsidRDefault="00BF2824">
      <w:pPr>
        <w:tabs>
          <w:tab w:val="left" w:pos="3780"/>
        </w:tabs>
        <w:autoSpaceDE w:val="0"/>
        <w:autoSpaceDN w:val="0"/>
        <w:adjustRightInd w:val="0"/>
        <w:spacing w:line="360" w:lineRule="auto"/>
        <w:ind w:firstLine="420"/>
        <w:rPr>
          <w:rFonts w:ascii="宋体" w:hAnsi="宋体"/>
          <w:color w:val="000000" w:themeColor="text1"/>
          <w:szCs w:val="21"/>
        </w:rPr>
        <w:sectPr w:rsidR="0082364D">
          <w:footerReference w:type="default" r:id="rId11"/>
          <w:pgSz w:w="11906" w:h="16838"/>
          <w:pgMar w:top="1440" w:right="1800" w:bottom="1440" w:left="1800" w:header="851" w:footer="992" w:gutter="0"/>
          <w:pgNumType w:start="1"/>
          <w:cols w:space="720"/>
          <w:docGrid w:type="lines" w:linePitch="312"/>
        </w:sectPr>
      </w:pPr>
      <w:r>
        <w:rPr>
          <w:rFonts w:ascii="宋体" w:hAnsi="宋体" w:hint="eastAsia"/>
          <w:color w:val="000000" w:themeColor="text1"/>
          <w:szCs w:val="21"/>
        </w:rPr>
        <w:t>投资者可在营业时间免费查阅备查文件。在支付工本费后，可在合理时间内取得备查文件的复制件或复印件。</w:t>
      </w:r>
    </w:p>
    <w:p w14:paraId="6ECE6F25" w14:textId="77777777" w:rsidR="0082364D" w:rsidRDefault="0082364D">
      <w:pPr>
        <w:spacing w:line="360" w:lineRule="auto"/>
        <w:jc w:val="left"/>
        <w:rPr>
          <w:rFonts w:ascii="宋体" w:hAnsi="宋体"/>
        </w:rPr>
      </w:pPr>
    </w:p>
    <w:p w14:paraId="008AC506" w14:textId="77777777" w:rsidR="0082364D" w:rsidRDefault="0082364D">
      <w:pPr>
        <w:spacing w:line="360" w:lineRule="auto"/>
        <w:jc w:val="left"/>
        <w:rPr>
          <w:rFonts w:ascii="宋体" w:hAnsi="宋体"/>
        </w:rPr>
      </w:pPr>
    </w:p>
    <w:p w14:paraId="66B51DEA" w14:textId="77777777" w:rsidR="0082364D" w:rsidRDefault="0082364D">
      <w:pPr>
        <w:spacing w:line="360" w:lineRule="auto"/>
        <w:jc w:val="left"/>
        <w:rPr>
          <w:rFonts w:ascii="宋体" w:hAnsi="宋体"/>
        </w:rPr>
      </w:pPr>
    </w:p>
    <w:p w14:paraId="4D4996B0" w14:textId="77777777" w:rsidR="0082364D" w:rsidRDefault="00BF2824">
      <w:pPr>
        <w:spacing w:line="360" w:lineRule="auto"/>
        <w:ind w:rightChars="440" w:right="924" w:firstLineChars="200" w:firstLine="420"/>
        <w:jc w:val="right"/>
        <w:rPr>
          <w:rFonts w:ascii="宋体" w:hAnsi="宋体"/>
        </w:rPr>
      </w:pPr>
      <w:r>
        <w:rPr>
          <w:rFonts w:ascii="宋体" w:hAnsi="宋体"/>
        </w:rPr>
        <w:t>嘉实基金管理有限公司</w:t>
      </w:r>
    </w:p>
    <w:p w14:paraId="5C8AB4F5" w14:textId="4E6A503D" w:rsidR="0082364D" w:rsidRPr="00BC0CDF" w:rsidRDefault="00BF2824" w:rsidP="00F43B98">
      <w:pPr>
        <w:wordWrap w:val="0"/>
        <w:spacing w:line="360" w:lineRule="auto"/>
        <w:ind w:rightChars="440" w:right="924" w:firstLineChars="200" w:firstLine="420"/>
        <w:jc w:val="right"/>
        <w:rPr>
          <w:rFonts w:ascii="宋体" w:hAnsi="宋体"/>
        </w:rPr>
      </w:pPr>
      <w:r>
        <w:rPr>
          <w:rFonts w:ascii="宋体" w:hAnsi="宋体" w:hint="eastAsia"/>
        </w:rPr>
        <w:t>20</w:t>
      </w:r>
      <w:r>
        <w:rPr>
          <w:rFonts w:ascii="宋体" w:hAnsi="宋体"/>
        </w:rPr>
        <w:t>23</w:t>
      </w:r>
      <w:r>
        <w:rPr>
          <w:rFonts w:ascii="宋体" w:hAnsi="宋体" w:hint="eastAsia"/>
        </w:rPr>
        <w:t>年</w:t>
      </w:r>
      <w:r w:rsidR="00133F89">
        <w:rPr>
          <w:rFonts w:ascii="宋体" w:hAnsi="宋体"/>
        </w:rPr>
        <w:t>5</w:t>
      </w:r>
      <w:r>
        <w:rPr>
          <w:rFonts w:ascii="宋体" w:hAnsi="宋体"/>
        </w:rPr>
        <w:t>月</w:t>
      </w:r>
      <w:r w:rsidR="00765FE2">
        <w:rPr>
          <w:rFonts w:ascii="宋体" w:hAnsi="宋体" w:hint="eastAsia"/>
        </w:rPr>
        <w:t>1</w:t>
      </w:r>
      <w:r w:rsidR="00765FE2">
        <w:rPr>
          <w:rFonts w:ascii="宋体" w:hAnsi="宋体"/>
        </w:rPr>
        <w:t>5</w:t>
      </w:r>
      <w:r>
        <w:rPr>
          <w:rFonts w:ascii="宋体" w:hAnsi="宋体"/>
        </w:rPr>
        <w:t>日</w:t>
      </w:r>
    </w:p>
    <w:sectPr w:rsidR="0082364D" w:rsidRPr="00BC0CDF">
      <w:headerReference w:type="default" r:id="rId12"/>
      <w:footerReference w:type="default" r:id="rId13"/>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A22A" w14:textId="77777777" w:rsidR="008B408C" w:rsidRDefault="008B408C">
      <w:r>
        <w:separator/>
      </w:r>
    </w:p>
  </w:endnote>
  <w:endnote w:type="continuationSeparator" w:id="0">
    <w:p w14:paraId="2AC83193" w14:textId="77777777" w:rsidR="008B408C" w:rsidRDefault="008B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B330" w14:textId="77777777" w:rsidR="00F8226A" w:rsidRDefault="00F8226A">
    <w:pPr>
      <w:pStyle w:val="aa"/>
      <w:framePr w:wrap="around" w:vAnchor="text" w:hAnchor="margin" w:xAlign="center" w:y="1"/>
      <w:rPr>
        <w:rStyle w:val="af4"/>
      </w:rPr>
    </w:pPr>
    <w:r>
      <w:fldChar w:fldCharType="begin"/>
    </w:r>
    <w:r>
      <w:rPr>
        <w:rStyle w:val="af4"/>
      </w:rPr>
      <w:instrText xml:space="preserve">PAGE  </w:instrText>
    </w:r>
    <w:r>
      <w:fldChar w:fldCharType="end"/>
    </w:r>
  </w:p>
  <w:p w14:paraId="0516FEA6" w14:textId="77777777" w:rsidR="00F8226A" w:rsidRDefault="00F8226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AEEA" w14:textId="4D24D105" w:rsidR="00F8226A" w:rsidRDefault="00F8226A">
    <w:pPr>
      <w:pStyle w:val="aa"/>
      <w:framePr w:w="571" w:h="304" w:hRule="exact" w:wrap="around" w:vAnchor="text" w:hAnchor="margin" w:xAlign="center" w:y="7"/>
      <w:rPr>
        <w:rStyle w:val="af4"/>
        <w:sz w:val="21"/>
        <w:szCs w:val="21"/>
      </w:rPr>
    </w:pPr>
    <w:r>
      <w:rPr>
        <w:sz w:val="21"/>
        <w:szCs w:val="21"/>
      </w:rPr>
      <w:fldChar w:fldCharType="begin"/>
    </w:r>
    <w:r>
      <w:rPr>
        <w:rStyle w:val="af4"/>
        <w:sz w:val="21"/>
        <w:szCs w:val="21"/>
      </w:rPr>
      <w:instrText xml:space="preserve">PAGE  </w:instrText>
    </w:r>
    <w:r>
      <w:rPr>
        <w:sz w:val="21"/>
        <w:szCs w:val="21"/>
      </w:rPr>
      <w:fldChar w:fldCharType="separate"/>
    </w:r>
    <w:r w:rsidR="001620AD">
      <w:rPr>
        <w:rStyle w:val="af4"/>
        <w:noProof/>
        <w:sz w:val="21"/>
        <w:szCs w:val="21"/>
      </w:rPr>
      <w:t>130</w:t>
    </w:r>
    <w:r>
      <w:rPr>
        <w:sz w:val="21"/>
        <w:szCs w:val="21"/>
      </w:rPr>
      <w:fldChar w:fldCharType="end"/>
    </w:r>
  </w:p>
  <w:p w14:paraId="3F1825B8" w14:textId="77777777" w:rsidR="00F8226A" w:rsidRDefault="00F8226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CFDA" w14:textId="77777777" w:rsidR="00F8226A" w:rsidRDefault="00F822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EB927" w14:textId="77777777" w:rsidR="008B408C" w:rsidRDefault="008B408C">
      <w:r>
        <w:separator/>
      </w:r>
    </w:p>
  </w:footnote>
  <w:footnote w:type="continuationSeparator" w:id="0">
    <w:p w14:paraId="69653E55" w14:textId="77777777" w:rsidR="008B408C" w:rsidRDefault="008B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BB65" w14:textId="68A87C8B" w:rsidR="00F8226A" w:rsidRDefault="00F8226A">
    <w:pPr>
      <w:pStyle w:val="ac"/>
      <w:pBdr>
        <w:bottom w:val="thickThinLargeGap" w:sz="24" w:space="10" w:color="auto"/>
      </w:pBdr>
      <w:tabs>
        <w:tab w:val="right" w:pos="8280"/>
      </w:tabs>
      <w:adjustRightInd w:val="0"/>
    </w:pPr>
    <w:r>
      <w:rPr>
        <w:rFonts w:hint="eastAsia"/>
        <w:color w:val="000000"/>
      </w:rPr>
      <w:t>嘉实纳斯达克</w:t>
    </w:r>
    <w:r>
      <w:rPr>
        <w:rFonts w:hint="eastAsia"/>
        <w:color w:val="000000"/>
      </w:rPr>
      <w:t>1</w:t>
    </w:r>
    <w:r>
      <w:rPr>
        <w:color w:val="000000"/>
      </w:rPr>
      <w:t>00</w:t>
    </w:r>
    <w:r>
      <w:rPr>
        <w:rFonts w:hint="eastAsia"/>
        <w:color w:val="000000"/>
      </w:rPr>
      <w:t>交易型开放式指数证券投资基金（</w:t>
    </w:r>
    <w:r>
      <w:rPr>
        <w:rFonts w:hint="eastAsia"/>
        <w:color w:val="000000"/>
      </w:rPr>
      <w:t>QDII</w:t>
    </w:r>
    <w:r>
      <w:rPr>
        <w:rFonts w:hint="eastAsia"/>
        <w:color w:val="000000"/>
      </w:rPr>
      <w:t>）</w:t>
    </w:r>
    <w:r>
      <w:rPr>
        <w:rFonts w:hint="eastAsia"/>
      </w:rPr>
      <w:t>招募说明书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FE65" w14:textId="77777777" w:rsidR="00F8226A" w:rsidRDefault="00F8226A">
    <w:pPr>
      <w:pStyle w:val="ac"/>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EF5"/>
    <w:multiLevelType w:val="multilevel"/>
    <w:tmpl w:val="0D176EF5"/>
    <w:lvl w:ilvl="0">
      <w:start w:val="1"/>
      <w:numFmt w:val="decimal"/>
      <w:suff w:val="nothing"/>
      <w:lvlText w:val="%1、"/>
      <w:lvlJc w:val="left"/>
      <w:pPr>
        <w:ind w:left="420" w:hanging="420"/>
      </w:pPr>
      <w:rPr>
        <w:rFonts w:hint="eastAsia"/>
        <w:snapToGrid w:val="0"/>
        <w:spacing w:val="0"/>
        <w:kern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47D73EE"/>
    <w:multiLevelType w:val="multilevel"/>
    <w:tmpl w:val="547D73EE"/>
    <w:lvl w:ilvl="0">
      <w:start w:val="1"/>
      <w:numFmt w:val="decimal"/>
      <w:pStyle w:val="XBRLTitle1"/>
      <w:suff w:val="space"/>
      <w:lvlText w:val="§%1"/>
      <w:lvlJc w:val="left"/>
      <w:pPr>
        <w:ind w:left="425" w:hanging="425"/>
      </w:pPr>
    </w:lvl>
    <w:lvl w:ilvl="1">
      <w:start w:val="1"/>
      <w:numFmt w:val="decimal"/>
      <w:pStyle w:val="XBRLTitle2"/>
      <w:lvlText w:val="%2."/>
      <w:lvlJc w:val="left"/>
      <w:pPr>
        <w:ind w:left="454" w:hanging="454"/>
      </w:pPr>
      <w:rPr>
        <w:rFonts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XBRLTitle3"/>
      <w:lvlText w:val="（%3）"/>
      <w:lvlJc w:val="left"/>
      <w:pPr>
        <w:ind w:left="1050" w:hanging="624"/>
      </w:pPr>
      <w:rPr>
        <w:rFonts w:hint="eastAsia"/>
        <w:sz w:val="24"/>
        <w:szCs w:val="24"/>
      </w:rPr>
    </w:lvl>
    <w:lvl w:ilvl="3">
      <w:start w:val="1"/>
      <w:numFmt w:val="lowerLetter"/>
      <w:pStyle w:val="XBRLTitle4"/>
      <w:lvlText w:val="%4)"/>
      <w:lvlJc w:val="left"/>
      <w:pPr>
        <w:ind w:left="794" w:hanging="79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commondata" w:val="eyJoZGlkIjoiN2MxZmM0NGFjMzRmYzk2MDIyZjcyMDllY2ZlOGQ0YzIifQ=="/>
    <w:docVar w:name="KSO_WPS_MARK_KEY" w:val="68de6d3b-3b9a-4987-abe9-29b66fb705ec"/>
  </w:docVars>
  <w:rsids>
    <w:rsidRoot w:val="00C41F4E"/>
    <w:rsid w:val="000004B7"/>
    <w:rsid w:val="00000C87"/>
    <w:rsid w:val="0000317C"/>
    <w:rsid w:val="00003198"/>
    <w:rsid w:val="000032A2"/>
    <w:rsid w:val="00004D71"/>
    <w:rsid w:val="00010409"/>
    <w:rsid w:val="0001087E"/>
    <w:rsid w:val="00012079"/>
    <w:rsid w:val="0001389C"/>
    <w:rsid w:val="00013D5C"/>
    <w:rsid w:val="00014823"/>
    <w:rsid w:val="00015241"/>
    <w:rsid w:val="00016C11"/>
    <w:rsid w:val="00016C5E"/>
    <w:rsid w:val="0002009B"/>
    <w:rsid w:val="00020E4F"/>
    <w:rsid w:val="000236F9"/>
    <w:rsid w:val="00023FB7"/>
    <w:rsid w:val="000240FF"/>
    <w:rsid w:val="00024402"/>
    <w:rsid w:val="00024483"/>
    <w:rsid w:val="000246C0"/>
    <w:rsid w:val="000251FF"/>
    <w:rsid w:val="00025876"/>
    <w:rsid w:val="0002654D"/>
    <w:rsid w:val="00027119"/>
    <w:rsid w:val="00031010"/>
    <w:rsid w:val="000316BD"/>
    <w:rsid w:val="00031FE6"/>
    <w:rsid w:val="00031FFB"/>
    <w:rsid w:val="000326D4"/>
    <w:rsid w:val="00035427"/>
    <w:rsid w:val="00036519"/>
    <w:rsid w:val="00036BA4"/>
    <w:rsid w:val="000377AB"/>
    <w:rsid w:val="000402E1"/>
    <w:rsid w:val="00041DFC"/>
    <w:rsid w:val="000428E2"/>
    <w:rsid w:val="00043F34"/>
    <w:rsid w:val="00045030"/>
    <w:rsid w:val="00047EC3"/>
    <w:rsid w:val="00050D38"/>
    <w:rsid w:val="00050E46"/>
    <w:rsid w:val="000519A3"/>
    <w:rsid w:val="00053F86"/>
    <w:rsid w:val="00054727"/>
    <w:rsid w:val="0005683D"/>
    <w:rsid w:val="00057257"/>
    <w:rsid w:val="00060228"/>
    <w:rsid w:val="00060E57"/>
    <w:rsid w:val="00062FD3"/>
    <w:rsid w:val="00063396"/>
    <w:rsid w:val="000633F0"/>
    <w:rsid w:val="0006419B"/>
    <w:rsid w:val="0006451B"/>
    <w:rsid w:val="00065C11"/>
    <w:rsid w:val="000669F7"/>
    <w:rsid w:val="00070967"/>
    <w:rsid w:val="00072E08"/>
    <w:rsid w:val="00073C67"/>
    <w:rsid w:val="00074BB3"/>
    <w:rsid w:val="00074D39"/>
    <w:rsid w:val="000757BB"/>
    <w:rsid w:val="00075A6D"/>
    <w:rsid w:val="00075CF5"/>
    <w:rsid w:val="00075D9E"/>
    <w:rsid w:val="00075EC4"/>
    <w:rsid w:val="0007704D"/>
    <w:rsid w:val="00077C10"/>
    <w:rsid w:val="00080059"/>
    <w:rsid w:val="00080A5F"/>
    <w:rsid w:val="00082051"/>
    <w:rsid w:val="000822DA"/>
    <w:rsid w:val="00082692"/>
    <w:rsid w:val="000847DB"/>
    <w:rsid w:val="000866CA"/>
    <w:rsid w:val="0008678A"/>
    <w:rsid w:val="00086860"/>
    <w:rsid w:val="00091380"/>
    <w:rsid w:val="00092136"/>
    <w:rsid w:val="000936F5"/>
    <w:rsid w:val="00094883"/>
    <w:rsid w:val="00094BCD"/>
    <w:rsid w:val="00094C36"/>
    <w:rsid w:val="00095053"/>
    <w:rsid w:val="0009567C"/>
    <w:rsid w:val="00095A76"/>
    <w:rsid w:val="000A17C6"/>
    <w:rsid w:val="000A2811"/>
    <w:rsid w:val="000A2E79"/>
    <w:rsid w:val="000A4147"/>
    <w:rsid w:val="000A4B24"/>
    <w:rsid w:val="000B07FE"/>
    <w:rsid w:val="000B09F0"/>
    <w:rsid w:val="000B0C6D"/>
    <w:rsid w:val="000B0F6C"/>
    <w:rsid w:val="000B258F"/>
    <w:rsid w:val="000B2A1D"/>
    <w:rsid w:val="000B417A"/>
    <w:rsid w:val="000B5841"/>
    <w:rsid w:val="000B60ED"/>
    <w:rsid w:val="000B6DA5"/>
    <w:rsid w:val="000B6E1A"/>
    <w:rsid w:val="000B7949"/>
    <w:rsid w:val="000C6640"/>
    <w:rsid w:val="000C67E6"/>
    <w:rsid w:val="000C7892"/>
    <w:rsid w:val="000C7AD1"/>
    <w:rsid w:val="000C7E37"/>
    <w:rsid w:val="000D05F6"/>
    <w:rsid w:val="000D1604"/>
    <w:rsid w:val="000D1EA7"/>
    <w:rsid w:val="000D37F3"/>
    <w:rsid w:val="000D4D49"/>
    <w:rsid w:val="000D61C5"/>
    <w:rsid w:val="000D6409"/>
    <w:rsid w:val="000D649B"/>
    <w:rsid w:val="000D69EC"/>
    <w:rsid w:val="000D7BD2"/>
    <w:rsid w:val="000E19AE"/>
    <w:rsid w:val="000E2151"/>
    <w:rsid w:val="000E35B2"/>
    <w:rsid w:val="000E3815"/>
    <w:rsid w:val="000E4AC0"/>
    <w:rsid w:val="000E6AC2"/>
    <w:rsid w:val="000E6D6D"/>
    <w:rsid w:val="000E7FF0"/>
    <w:rsid w:val="000F0227"/>
    <w:rsid w:val="000F1B28"/>
    <w:rsid w:val="000F365F"/>
    <w:rsid w:val="000F3764"/>
    <w:rsid w:val="000F38BE"/>
    <w:rsid w:val="000F4834"/>
    <w:rsid w:val="000F49B9"/>
    <w:rsid w:val="000F49C4"/>
    <w:rsid w:val="000F4B07"/>
    <w:rsid w:val="000F6D0B"/>
    <w:rsid w:val="0010043E"/>
    <w:rsid w:val="00100A94"/>
    <w:rsid w:val="00100B29"/>
    <w:rsid w:val="00101182"/>
    <w:rsid w:val="00101DA7"/>
    <w:rsid w:val="0010215D"/>
    <w:rsid w:val="00102FDA"/>
    <w:rsid w:val="001039D6"/>
    <w:rsid w:val="00105701"/>
    <w:rsid w:val="0010611C"/>
    <w:rsid w:val="00107FF5"/>
    <w:rsid w:val="00111B8C"/>
    <w:rsid w:val="00111EE0"/>
    <w:rsid w:val="00112FD9"/>
    <w:rsid w:val="001149CE"/>
    <w:rsid w:val="00114C64"/>
    <w:rsid w:val="001168BD"/>
    <w:rsid w:val="00117016"/>
    <w:rsid w:val="00117878"/>
    <w:rsid w:val="00117F20"/>
    <w:rsid w:val="00120D0E"/>
    <w:rsid w:val="001216A3"/>
    <w:rsid w:val="001226D6"/>
    <w:rsid w:val="00122E0A"/>
    <w:rsid w:val="00123259"/>
    <w:rsid w:val="00123405"/>
    <w:rsid w:val="00123625"/>
    <w:rsid w:val="00123E32"/>
    <w:rsid w:val="0012489E"/>
    <w:rsid w:val="0012497F"/>
    <w:rsid w:val="00125470"/>
    <w:rsid w:val="00125E16"/>
    <w:rsid w:val="00125F39"/>
    <w:rsid w:val="00125F91"/>
    <w:rsid w:val="00126983"/>
    <w:rsid w:val="00127588"/>
    <w:rsid w:val="001309FE"/>
    <w:rsid w:val="00131673"/>
    <w:rsid w:val="001325D0"/>
    <w:rsid w:val="00132738"/>
    <w:rsid w:val="00132A20"/>
    <w:rsid w:val="00132FFF"/>
    <w:rsid w:val="001337A3"/>
    <w:rsid w:val="00133C91"/>
    <w:rsid w:val="00133F89"/>
    <w:rsid w:val="00135EA3"/>
    <w:rsid w:val="001360B7"/>
    <w:rsid w:val="00136597"/>
    <w:rsid w:val="001368A7"/>
    <w:rsid w:val="001368B9"/>
    <w:rsid w:val="001406E1"/>
    <w:rsid w:val="00141B48"/>
    <w:rsid w:val="001420DD"/>
    <w:rsid w:val="00142AAD"/>
    <w:rsid w:val="00142FC8"/>
    <w:rsid w:val="00143194"/>
    <w:rsid w:val="001454F7"/>
    <w:rsid w:val="001456EB"/>
    <w:rsid w:val="001459E3"/>
    <w:rsid w:val="001467F8"/>
    <w:rsid w:val="00146AD9"/>
    <w:rsid w:val="00146BAA"/>
    <w:rsid w:val="00147F53"/>
    <w:rsid w:val="00150B79"/>
    <w:rsid w:val="00151796"/>
    <w:rsid w:val="00151C56"/>
    <w:rsid w:val="00151DA1"/>
    <w:rsid w:val="0015264F"/>
    <w:rsid w:val="00154DB1"/>
    <w:rsid w:val="00156EC0"/>
    <w:rsid w:val="00156FE5"/>
    <w:rsid w:val="00157511"/>
    <w:rsid w:val="00157B8E"/>
    <w:rsid w:val="00161B46"/>
    <w:rsid w:val="001620AD"/>
    <w:rsid w:val="00162379"/>
    <w:rsid w:val="00162E61"/>
    <w:rsid w:val="001634D8"/>
    <w:rsid w:val="00163BD7"/>
    <w:rsid w:val="00163D87"/>
    <w:rsid w:val="00164E1E"/>
    <w:rsid w:val="00165079"/>
    <w:rsid w:val="0016556D"/>
    <w:rsid w:val="00165F9D"/>
    <w:rsid w:val="00172763"/>
    <w:rsid w:val="00173175"/>
    <w:rsid w:val="0017366D"/>
    <w:rsid w:val="00175B57"/>
    <w:rsid w:val="00185CC8"/>
    <w:rsid w:val="0018670B"/>
    <w:rsid w:val="001868FA"/>
    <w:rsid w:val="001870DB"/>
    <w:rsid w:val="00187484"/>
    <w:rsid w:val="00187A57"/>
    <w:rsid w:val="00192695"/>
    <w:rsid w:val="001938B7"/>
    <w:rsid w:val="00194A9F"/>
    <w:rsid w:val="001962AC"/>
    <w:rsid w:val="00197F29"/>
    <w:rsid w:val="001A1F36"/>
    <w:rsid w:val="001A3ABD"/>
    <w:rsid w:val="001A3BD4"/>
    <w:rsid w:val="001A4FCF"/>
    <w:rsid w:val="001A665C"/>
    <w:rsid w:val="001A6AAE"/>
    <w:rsid w:val="001A6E42"/>
    <w:rsid w:val="001A6F6E"/>
    <w:rsid w:val="001A735D"/>
    <w:rsid w:val="001B19D1"/>
    <w:rsid w:val="001B20CF"/>
    <w:rsid w:val="001B3078"/>
    <w:rsid w:val="001B4921"/>
    <w:rsid w:val="001B509B"/>
    <w:rsid w:val="001B5B5C"/>
    <w:rsid w:val="001B5C68"/>
    <w:rsid w:val="001B6582"/>
    <w:rsid w:val="001B7048"/>
    <w:rsid w:val="001B71B9"/>
    <w:rsid w:val="001C131F"/>
    <w:rsid w:val="001C227D"/>
    <w:rsid w:val="001C2801"/>
    <w:rsid w:val="001C499F"/>
    <w:rsid w:val="001C50B8"/>
    <w:rsid w:val="001C59F1"/>
    <w:rsid w:val="001D0469"/>
    <w:rsid w:val="001D0A99"/>
    <w:rsid w:val="001D0F68"/>
    <w:rsid w:val="001D2998"/>
    <w:rsid w:val="001D32B9"/>
    <w:rsid w:val="001D3E68"/>
    <w:rsid w:val="001D515E"/>
    <w:rsid w:val="001D557B"/>
    <w:rsid w:val="001D5894"/>
    <w:rsid w:val="001D5F9A"/>
    <w:rsid w:val="001D6759"/>
    <w:rsid w:val="001D67BE"/>
    <w:rsid w:val="001D6897"/>
    <w:rsid w:val="001D7870"/>
    <w:rsid w:val="001E0181"/>
    <w:rsid w:val="001E3532"/>
    <w:rsid w:val="001E4BC5"/>
    <w:rsid w:val="001E58D9"/>
    <w:rsid w:val="001E5FDD"/>
    <w:rsid w:val="001E6414"/>
    <w:rsid w:val="001E78E3"/>
    <w:rsid w:val="001F0E4A"/>
    <w:rsid w:val="001F216F"/>
    <w:rsid w:val="001F25FE"/>
    <w:rsid w:val="001F28B3"/>
    <w:rsid w:val="001F64A6"/>
    <w:rsid w:val="001F672D"/>
    <w:rsid w:val="001F7F06"/>
    <w:rsid w:val="00200483"/>
    <w:rsid w:val="002004D2"/>
    <w:rsid w:val="00201989"/>
    <w:rsid w:val="00202DE9"/>
    <w:rsid w:val="00202E21"/>
    <w:rsid w:val="00203CB0"/>
    <w:rsid w:val="0020638E"/>
    <w:rsid w:val="002069CF"/>
    <w:rsid w:val="00206CE4"/>
    <w:rsid w:val="0020794E"/>
    <w:rsid w:val="002108C2"/>
    <w:rsid w:val="002114ED"/>
    <w:rsid w:val="00211F20"/>
    <w:rsid w:val="00212532"/>
    <w:rsid w:val="0021358E"/>
    <w:rsid w:val="00213E18"/>
    <w:rsid w:val="00214FDC"/>
    <w:rsid w:val="0021634A"/>
    <w:rsid w:val="0022121F"/>
    <w:rsid w:val="0022149B"/>
    <w:rsid w:val="00221A67"/>
    <w:rsid w:val="00222FD8"/>
    <w:rsid w:val="00223940"/>
    <w:rsid w:val="002250F1"/>
    <w:rsid w:val="0022520A"/>
    <w:rsid w:val="002257E7"/>
    <w:rsid w:val="0022713A"/>
    <w:rsid w:val="00230935"/>
    <w:rsid w:val="00231AEE"/>
    <w:rsid w:val="00232261"/>
    <w:rsid w:val="0023229E"/>
    <w:rsid w:val="00232E37"/>
    <w:rsid w:val="00232E9C"/>
    <w:rsid w:val="0023394D"/>
    <w:rsid w:val="00233C93"/>
    <w:rsid w:val="00234A0F"/>
    <w:rsid w:val="002356CD"/>
    <w:rsid w:val="00235C8D"/>
    <w:rsid w:val="00236B9D"/>
    <w:rsid w:val="0023735D"/>
    <w:rsid w:val="002376A6"/>
    <w:rsid w:val="00237832"/>
    <w:rsid w:val="00237C2E"/>
    <w:rsid w:val="00240028"/>
    <w:rsid w:val="002400E3"/>
    <w:rsid w:val="00240543"/>
    <w:rsid w:val="002409A2"/>
    <w:rsid w:val="00241095"/>
    <w:rsid w:val="0024160D"/>
    <w:rsid w:val="0024180F"/>
    <w:rsid w:val="002419A5"/>
    <w:rsid w:val="00241AF0"/>
    <w:rsid w:val="002421C6"/>
    <w:rsid w:val="00244782"/>
    <w:rsid w:val="0024524A"/>
    <w:rsid w:val="00245901"/>
    <w:rsid w:val="00246017"/>
    <w:rsid w:val="002476BE"/>
    <w:rsid w:val="00247BEB"/>
    <w:rsid w:val="002502A1"/>
    <w:rsid w:val="0025038F"/>
    <w:rsid w:val="002503B6"/>
    <w:rsid w:val="00251325"/>
    <w:rsid w:val="002513FB"/>
    <w:rsid w:val="00251576"/>
    <w:rsid w:val="00252571"/>
    <w:rsid w:val="002529A9"/>
    <w:rsid w:val="00253179"/>
    <w:rsid w:val="00253601"/>
    <w:rsid w:val="00253CF4"/>
    <w:rsid w:val="0025402C"/>
    <w:rsid w:val="002547E6"/>
    <w:rsid w:val="00255DC9"/>
    <w:rsid w:val="00255F4B"/>
    <w:rsid w:val="00256B1D"/>
    <w:rsid w:val="00257419"/>
    <w:rsid w:val="00261C52"/>
    <w:rsid w:val="002623F6"/>
    <w:rsid w:val="00264568"/>
    <w:rsid w:val="0026503F"/>
    <w:rsid w:val="002651D8"/>
    <w:rsid w:val="00266B98"/>
    <w:rsid w:val="00266C15"/>
    <w:rsid w:val="00266DC1"/>
    <w:rsid w:val="00267EA7"/>
    <w:rsid w:val="0027147D"/>
    <w:rsid w:val="002717F9"/>
    <w:rsid w:val="00272D90"/>
    <w:rsid w:val="002736B7"/>
    <w:rsid w:val="00274FEE"/>
    <w:rsid w:val="00277D32"/>
    <w:rsid w:val="0028095F"/>
    <w:rsid w:val="00280AB2"/>
    <w:rsid w:val="0028223E"/>
    <w:rsid w:val="00282D57"/>
    <w:rsid w:val="00283CE9"/>
    <w:rsid w:val="002849A1"/>
    <w:rsid w:val="00286047"/>
    <w:rsid w:val="002871B1"/>
    <w:rsid w:val="0029141D"/>
    <w:rsid w:val="0029195B"/>
    <w:rsid w:val="00292A97"/>
    <w:rsid w:val="00293125"/>
    <w:rsid w:val="00293E29"/>
    <w:rsid w:val="00294772"/>
    <w:rsid w:val="00295F50"/>
    <w:rsid w:val="002973CF"/>
    <w:rsid w:val="002A0194"/>
    <w:rsid w:val="002A0EF9"/>
    <w:rsid w:val="002A1A38"/>
    <w:rsid w:val="002A298A"/>
    <w:rsid w:val="002A307B"/>
    <w:rsid w:val="002A3887"/>
    <w:rsid w:val="002A486B"/>
    <w:rsid w:val="002A5078"/>
    <w:rsid w:val="002A554C"/>
    <w:rsid w:val="002A5568"/>
    <w:rsid w:val="002A5734"/>
    <w:rsid w:val="002A5AE1"/>
    <w:rsid w:val="002A5BFB"/>
    <w:rsid w:val="002A613D"/>
    <w:rsid w:val="002A67BC"/>
    <w:rsid w:val="002A6954"/>
    <w:rsid w:val="002A6B44"/>
    <w:rsid w:val="002A78CC"/>
    <w:rsid w:val="002A7F60"/>
    <w:rsid w:val="002A7F76"/>
    <w:rsid w:val="002B015C"/>
    <w:rsid w:val="002B0423"/>
    <w:rsid w:val="002B101B"/>
    <w:rsid w:val="002B1267"/>
    <w:rsid w:val="002B421C"/>
    <w:rsid w:val="002B4691"/>
    <w:rsid w:val="002B4945"/>
    <w:rsid w:val="002B59CA"/>
    <w:rsid w:val="002B6702"/>
    <w:rsid w:val="002B6CD5"/>
    <w:rsid w:val="002B7151"/>
    <w:rsid w:val="002B7235"/>
    <w:rsid w:val="002B78B1"/>
    <w:rsid w:val="002B78FA"/>
    <w:rsid w:val="002C1743"/>
    <w:rsid w:val="002C44A6"/>
    <w:rsid w:val="002C454B"/>
    <w:rsid w:val="002C4854"/>
    <w:rsid w:val="002C55C8"/>
    <w:rsid w:val="002C58E3"/>
    <w:rsid w:val="002C7305"/>
    <w:rsid w:val="002C7345"/>
    <w:rsid w:val="002C7A99"/>
    <w:rsid w:val="002C7C60"/>
    <w:rsid w:val="002D011A"/>
    <w:rsid w:val="002D01A3"/>
    <w:rsid w:val="002D2D44"/>
    <w:rsid w:val="002D3E7A"/>
    <w:rsid w:val="002D3F54"/>
    <w:rsid w:val="002D4608"/>
    <w:rsid w:val="002D4768"/>
    <w:rsid w:val="002D55E3"/>
    <w:rsid w:val="002D6767"/>
    <w:rsid w:val="002D709A"/>
    <w:rsid w:val="002D7AD7"/>
    <w:rsid w:val="002E174D"/>
    <w:rsid w:val="002E3183"/>
    <w:rsid w:val="002E4FDB"/>
    <w:rsid w:val="002E51E2"/>
    <w:rsid w:val="002E532A"/>
    <w:rsid w:val="002E5CCC"/>
    <w:rsid w:val="002E6611"/>
    <w:rsid w:val="002E7DED"/>
    <w:rsid w:val="002F18D4"/>
    <w:rsid w:val="002F1940"/>
    <w:rsid w:val="002F27AD"/>
    <w:rsid w:val="002F2ED5"/>
    <w:rsid w:val="002F321D"/>
    <w:rsid w:val="002F3478"/>
    <w:rsid w:val="002F3E27"/>
    <w:rsid w:val="002F51BA"/>
    <w:rsid w:val="002F5FED"/>
    <w:rsid w:val="002F61C8"/>
    <w:rsid w:val="002F6E7E"/>
    <w:rsid w:val="002F7098"/>
    <w:rsid w:val="002F77AA"/>
    <w:rsid w:val="003047E7"/>
    <w:rsid w:val="00304CFF"/>
    <w:rsid w:val="00305083"/>
    <w:rsid w:val="00305330"/>
    <w:rsid w:val="003066F7"/>
    <w:rsid w:val="003076AF"/>
    <w:rsid w:val="00310E00"/>
    <w:rsid w:val="00312014"/>
    <w:rsid w:val="00312340"/>
    <w:rsid w:val="003135D8"/>
    <w:rsid w:val="003157ED"/>
    <w:rsid w:val="0031640F"/>
    <w:rsid w:val="003178D9"/>
    <w:rsid w:val="003179E4"/>
    <w:rsid w:val="00317E9E"/>
    <w:rsid w:val="00320021"/>
    <w:rsid w:val="00322372"/>
    <w:rsid w:val="0032251D"/>
    <w:rsid w:val="00322DA8"/>
    <w:rsid w:val="0032302B"/>
    <w:rsid w:val="003231B0"/>
    <w:rsid w:val="003231BC"/>
    <w:rsid w:val="0032377A"/>
    <w:rsid w:val="00325938"/>
    <w:rsid w:val="0032596C"/>
    <w:rsid w:val="003259F1"/>
    <w:rsid w:val="00325EB5"/>
    <w:rsid w:val="00326334"/>
    <w:rsid w:val="0032760F"/>
    <w:rsid w:val="00327BB3"/>
    <w:rsid w:val="00330258"/>
    <w:rsid w:val="00330C89"/>
    <w:rsid w:val="00331833"/>
    <w:rsid w:val="0033262A"/>
    <w:rsid w:val="00332D28"/>
    <w:rsid w:val="003351B4"/>
    <w:rsid w:val="003354A8"/>
    <w:rsid w:val="00335C4D"/>
    <w:rsid w:val="00335E96"/>
    <w:rsid w:val="0033628B"/>
    <w:rsid w:val="00337014"/>
    <w:rsid w:val="003374BC"/>
    <w:rsid w:val="00340690"/>
    <w:rsid w:val="003413C5"/>
    <w:rsid w:val="00342280"/>
    <w:rsid w:val="0034372C"/>
    <w:rsid w:val="00344A5B"/>
    <w:rsid w:val="00344F5D"/>
    <w:rsid w:val="0034762C"/>
    <w:rsid w:val="00347E10"/>
    <w:rsid w:val="00350379"/>
    <w:rsid w:val="00352C47"/>
    <w:rsid w:val="00353C50"/>
    <w:rsid w:val="003559B2"/>
    <w:rsid w:val="00355DB6"/>
    <w:rsid w:val="00355F79"/>
    <w:rsid w:val="003564C6"/>
    <w:rsid w:val="003567C3"/>
    <w:rsid w:val="00356C39"/>
    <w:rsid w:val="00356EC2"/>
    <w:rsid w:val="00356F64"/>
    <w:rsid w:val="00357448"/>
    <w:rsid w:val="00357B41"/>
    <w:rsid w:val="00365446"/>
    <w:rsid w:val="003658AD"/>
    <w:rsid w:val="00367D1B"/>
    <w:rsid w:val="00370266"/>
    <w:rsid w:val="0037089B"/>
    <w:rsid w:val="00370A23"/>
    <w:rsid w:val="00371308"/>
    <w:rsid w:val="00371549"/>
    <w:rsid w:val="00372807"/>
    <w:rsid w:val="003728F7"/>
    <w:rsid w:val="00374009"/>
    <w:rsid w:val="00374FEB"/>
    <w:rsid w:val="003754D6"/>
    <w:rsid w:val="00375B85"/>
    <w:rsid w:val="00376F06"/>
    <w:rsid w:val="00376FAA"/>
    <w:rsid w:val="00377BC0"/>
    <w:rsid w:val="00381684"/>
    <w:rsid w:val="003820D6"/>
    <w:rsid w:val="00382CF8"/>
    <w:rsid w:val="00383073"/>
    <w:rsid w:val="003831C0"/>
    <w:rsid w:val="00383BC4"/>
    <w:rsid w:val="00383D8F"/>
    <w:rsid w:val="00383FA1"/>
    <w:rsid w:val="00384F58"/>
    <w:rsid w:val="0038633D"/>
    <w:rsid w:val="0038666D"/>
    <w:rsid w:val="003908E2"/>
    <w:rsid w:val="00390ADE"/>
    <w:rsid w:val="00390DBC"/>
    <w:rsid w:val="003912E7"/>
    <w:rsid w:val="003916B4"/>
    <w:rsid w:val="003920E4"/>
    <w:rsid w:val="00393413"/>
    <w:rsid w:val="00397E58"/>
    <w:rsid w:val="003A10C7"/>
    <w:rsid w:val="003A13FD"/>
    <w:rsid w:val="003A2B1D"/>
    <w:rsid w:val="003A2F02"/>
    <w:rsid w:val="003A332D"/>
    <w:rsid w:val="003A6295"/>
    <w:rsid w:val="003A6299"/>
    <w:rsid w:val="003A686F"/>
    <w:rsid w:val="003A735D"/>
    <w:rsid w:val="003A7F3F"/>
    <w:rsid w:val="003B0715"/>
    <w:rsid w:val="003B07BF"/>
    <w:rsid w:val="003B1B39"/>
    <w:rsid w:val="003B1C81"/>
    <w:rsid w:val="003B2C54"/>
    <w:rsid w:val="003B327A"/>
    <w:rsid w:val="003B37CC"/>
    <w:rsid w:val="003B621A"/>
    <w:rsid w:val="003B6DF2"/>
    <w:rsid w:val="003B70C4"/>
    <w:rsid w:val="003C0289"/>
    <w:rsid w:val="003C1FBF"/>
    <w:rsid w:val="003C266B"/>
    <w:rsid w:val="003C2F67"/>
    <w:rsid w:val="003C4BB6"/>
    <w:rsid w:val="003C52CF"/>
    <w:rsid w:val="003C535E"/>
    <w:rsid w:val="003C75DE"/>
    <w:rsid w:val="003C79F4"/>
    <w:rsid w:val="003D14DF"/>
    <w:rsid w:val="003D188C"/>
    <w:rsid w:val="003D19B3"/>
    <w:rsid w:val="003D1E96"/>
    <w:rsid w:val="003D200B"/>
    <w:rsid w:val="003D2B8A"/>
    <w:rsid w:val="003D319C"/>
    <w:rsid w:val="003D4AAC"/>
    <w:rsid w:val="003D4AD1"/>
    <w:rsid w:val="003D5375"/>
    <w:rsid w:val="003D6CBF"/>
    <w:rsid w:val="003D735E"/>
    <w:rsid w:val="003D77AF"/>
    <w:rsid w:val="003E1577"/>
    <w:rsid w:val="003E18F7"/>
    <w:rsid w:val="003E318D"/>
    <w:rsid w:val="003E3DC8"/>
    <w:rsid w:val="003E4783"/>
    <w:rsid w:val="003E4A21"/>
    <w:rsid w:val="003E4FFD"/>
    <w:rsid w:val="003E50BB"/>
    <w:rsid w:val="003E546F"/>
    <w:rsid w:val="003F01F7"/>
    <w:rsid w:val="003F0313"/>
    <w:rsid w:val="003F0612"/>
    <w:rsid w:val="003F0861"/>
    <w:rsid w:val="003F0F20"/>
    <w:rsid w:val="003F1048"/>
    <w:rsid w:val="003F2034"/>
    <w:rsid w:val="003F3D10"/>
    <w:rsid w:val="003F5B56"/>
    <w:rsid w:val="003F5CBF"/>
    <w:rsid w:val="00401572"/>
    <w:rsid w:val="00401767"/>
    <w:rsid w:val="004018D2"/>
    <w:rsid w:val="00402F25"/>
    <w:rsid w:val="00403056"/>
    <w:rsid w:val="00403D1B"/>
    <w:rsid w:val="00403D4C"/>
    <w:rsid w:val="00404256"/>
    <w:rsid w:val="0040541C"/>
    <w:rsid w:val="00405F0A"/>
    <w:rsid w:val="00405F2D"/>
    <w:rsid w:val="00406688"/>
    <w:rsid w:val="004068F8"/>
    <w:rsid w:val="00406C54"/>
    <w:rsid w:val="00410746"/>
    <w:rsid w:val="00410E1A"/>
    <w:rsid w:val="00411439"/>
    <w:rsid w:val="00413FD5"/>
    <w:rsid w:val="00414665"/>
    <w:rsid w:val="00414981"/>
    <w:rsid w:val="00416A24"/>
    <w:rsid w:val="00417658"/>
    <w:rsid w:val="00417A8A"/>
    <w:rsid w:val="00417E2B"/>
    <w:rsid w:val="00420636"/>
    <w:rsid w:val="004207EC"/>
    <w:rsid w:val="00420A4E"/>
    <w:rsid w:val="00420B3B"/>
    <w:rsid w:val="00420C14"/>
    <w:rsid w:val="00421ADF"/>
    <w:rsid w:val="00421E4E"/>
    <w:rsid w:val="004221FE"/>
    <w:rsid w:val="004228AD"/>
    <w:rsid w:val="004231FC"/>
    <w:rsid w:val="00423BBD"/>
    <w:rsid w:val="00423CBF"/>
    <w:rsid w:val="00423F71"/>
    <w:rsid w:val="00424FDC"/>
    <w:rsid w:val="00424FE7"/>
    <w:rsid w:val="004257B1"/>
    <w:rsid w:val="004261AF"/>
    <w:rsid w:val="00427304"/>
    <w:rsid w:val="004305CB"/>
    <w:rsid w:val="00430ACB"/>
    <w:rsid w:val="00431FCE"/>
    <w:rsid w:val="004323E5"/>
    <w:rsid w:val="00433726"/>
    <w:rsid w:val="0043391D"/>
    <w:rsid w:val="00434277"/>
    <w:rsid w:val="0043570C"/>
    <w:rsid w:val="00435D96"/>
    <w:rsid w:val="00435ED3"/>
    <w:rsid w:val="00440464"/>
    <w:rsid w:val="0044124F"/>
    <w:rsid w:val="0044191C"/>
    <w:rsid w:val="00443E8D"/>
    <w:rsid w:val="00443FFF"/>
    <w:rsid w:val="0044452D"/>
    <w:rsid w:val="0044462C"/>
    <w:rsid w:val="004446F5"/>
    <w:rsid w:val="0044487F"/>
    <w:rsid w:val="00444F4C"/>
    <w:rsid w:val="00445E3C"/>
    <w:rsid w:val="0044741D"/>
    <w:rsid w:val="00447B92"/>
    <w:rsid w:val="00447CBB"/>
    <w:rsid w:val="00451B8C"/>
    <w:rsid w:val="00454135"/>
    <w:rsid w:val="0045677B"/>
    <w:rsid w:val="00460318"/>
    <w:rsid w:val="0046059B"/>
    <w:rsid w:val="00463987"/>
    <w:rsid w:val="00463FD1"/>
    <w:rsid w:val="00464035"/>
    <w:rsid w:val="00464206"/>
    <w:rsid w:val="004647C0"/>
    <w:rsid w:val="004653BF"/>
    <w:rsid w:val="004672AC"/>
    <w:rsid w:val="00467936"/>
    <w:rsid w:val="0047048F"/>
    <w:rsid w:val="004704CD"/>
    <w:rsid w:val="004704EE"/>
    <w:rsid w:val="00470652"/>
    <w:rsid w:val="004709CB"/>
    <w:rsid w:val="0047164F"/>
    <w:rsid w:val="004717EB"/>
    <w:rsid w:val="004719BE"/>
    <w:rsid w:val="00472F1C"/>
    <w:rsid w:val="004738A8"/>
    <w:rsid w:val="00474031"/>
    <w:rsid w:val="0047580D"/>
    <w:rsid w:val="004767A9"/>
    <w:rsid w:val="00477533"/>
    <w:rsid w:val="00477E39"/>
    <w:rsid w:val="004803DA"/>
    <w:rsid w:val="00482133"/>
    <w:rsid w:val="00482F10"/>
    <w:rsid w:val="00483A53"/>
    <w:rsid w:val="00484134"/>
    <w:rsid w:val="00484AC8"/>
    <w:rsid w:val="0048660F"/>
    <w:rsid w:val="00486D92"/>
    <w:rsid w:val="0049053E"/>
    <w:rsid w:val="00490623"/>
    <w:rsid w:val="00490D91"/>
    <w:rsid w:val="004917FB"/>
    <w:rsid w:val="004927DB"/>
    <w:rsid w:val="00493778"/>
    <w:rsid w:val="004945F2"/>
    <w:rsid w:val="004950D6"/>
    <w:rsid w:val="004960C3"/>
    <w:rsid w:val="00497404"/>
    <w:rsid w:val="00497A87"/>
    <w:rsid w:val="00497B7E"/>
    <w:rsid w:val="00497BC1"/>
    <w:rsid w:val="004A0B07"/>
    <w:rsid w:val="004A182E"/>
    <w:rsid w:val="004A2A98"/>
    <w:rsid w:val="004A4197"/>
    <w:rsid w:val="004A4A0A"/>
    <w:rsid w:val="004A4D38"/>
    <w:rsid w:val="004A5306"/>
    <w:rsid w:val="004A5E1E"/>
    <w:rsid w:val="004B0EE4"/>
    <w:rsid w:val="004B1910"/>
    <w:rsid w:val="004B1E4F"/>
    <w:rsid w:val="004B34AB"/>
    <w:rsid w:val="004B5BE4"/>
    <w:rsid w:val="004B5C8F"/>
    <w:rsid w:val="004B68E5"/>
    <w:rsid w:val="004B7262"/>
    <w:rsid w:val="004B7CF2"/>
    <w:rsid w:val="004C03A3"/>
    <w:rsid w:val="004C189F"/>
    <w:rsid w:val="004C2F42"/>
    <w:rsid w:val="004C419C"/>
    <w:rsid w:val="004C47AA"/>
    <w:rsid w:val="004C4D2F"/>
    <w:rsid w:val="004C5964"/>
    <w:rsid w:val="004C6369"/>
    <w:rsid w:val="004C6C8E"/>
    <w:rsid w:val="004C7800"/>
    <w:rsid w:val="004C79F9"/>
    <w:rsid w:val="004C7D69"/>
    <w:rsid w:val="004D1633"/>
    <w:rsid w:val="004D20A4"/>
    <w:rsid w:val="004D3060"/>
    <w:rsid w:val="004D3B80"/>
    <w:rsid w:val="004D4238"/>
    <w:rsid w:val="004D4A42"/>
    <w:rsid w:val="004D4E8F"/>
    <w:rsid w:val="004D54B3"/>
    <w:rsid w:val="004D5DD2"/>
    <w:rsid w:val="004D6FC3"/>
    <w:rsid w:val="004D78D2"/>
    <w:rsid w:val="004E2FAB"/>
    <w:rsid w:val="004E5181"/>
    <w:rsid w:val="004E64D5"/>
    <w:rsid w:val="004E766A"/>
    <w:rsid w:val="004E77E1"/>
    <w:rsid w:val="004F10AF"/>
    <w:rsid w:val="004F2AFF"/>
    <w:rsid w:val="004F3F6E"/>
    <w:rsid w:val="004F40AA"/>
    <w:rsid w:val="004F4A94"/>
    <w:rsid w:val="004F4AC1"/>
    <w:rsid w:val="005001BF"/>
    <w:rsid w:val="00500524"/>
    <w:rsid w:val="005013E7"/>
    <w:rsid w:val="00501F4E"/>
    <w:rsid w:val="00502A64"/>
    <w:rsid w:val="00503CFE"/>
    <w:rsid w:val="005049EC"/>
    <w:rsid w:val="005064D2"/>
    <w:rsid w:val="0051051B"/>
    <w:rsid w:val="00511170"/>
    <w:rsid w:val="005114BB"/>
    <w:rsid w:val="00511D14"/>
    <w:rsid w:val="00511D4D"/>
    <w:rsid w:val="00512342"/>
    <w:rsid w:val="005131A4"/>
    <w:rsid w:val="0051347D"/>
    <w:rsid w:val="005135DF"/>
    <w:rsid w:val="00514372"/>
    <w:rsid w:val="00515251"/>
    <w:rsid w:val="00515779"/>
    <w:rsid w:val="00515A4F"/>
    <w:rsid w:val="005165D4"/>
    <w:rsid w:val="005172E4"/>
    <w:rsid w:val="00517ADA"/>
    <w:rsid w:val="00517E0A"/>
    <w:rsid w:val="005210A1"/>
    <w:rsid w:val="0052164A"/>
    <w:rsid w:val="005219F1"/>
    <w:rsid w:val="00521F96"/>
    <w:rsid w:val="00522E92"/>
    <w:rsid w:val="0052385C"/>
    <w:rsid w:val="005238C2"/>
    <w:rsid w:val="00526E2A"/>
    <w:rsid w:val="00527697"/>
    <w:rsid w:val="00530F30"/>
    <w:rsid w:val="00531B15"/>
    <w:rsid w:val="005326F0"/>
    <w:rsid w:val="00533E9B"/>
    <w:rsid w:val="00536561"/>
    <w:rsid w:val="00536591"/>
    <w:rsid w:val="00536798"/>
    <w:rsid w:val="0053705B"/>
    <w:rsid w:val="00537267"/>
    <w:rsid w:val="005374FA"/>
    <w:rsid w:val="0054030C"/>
    <w:rsid w:val="00540C04"/>
    <w:rsid w:val="0054135F"/>
    <w:rsid w:val="00541BAA"/>
    <w:rsid w:val="00544AD2"/>
    <w:rsid w:val="005457C3"/>
    <w:rsid w:val="005460EC"/>
    <w:rsid w:val="005470C3"/>
    <w:rsid w:val="00547380"/>
    <w:rsid w:val="00550E18"/>
    <w:rsid w:val="00551A22"/>
    <w:rsid w:val="00551D3B"/>
    <w:rsid w:val="00552814"/>
    <w:rsid w:val="00553D92"/>
    <w:rsid w:val="005542FC"/>
    <w:rsid w:val="00554FD7"/>
    <w:rsid w:val="0056027E"/>
    <w:rsid w:val="005602BF"/>
    <w:rsid w:val="00560725"/>
    <w:rsid w:val="00560B2E"/>
    <w:rsid w:val="00563A51"/>
    <w:rsid w:val="00563A7E"/>
    <w:rsid w:val="005657E8"/>
    <w:rsid w:val="00565819"/>
    <w:rsid w:val="00565F28"/>
    <w:rsid w:val="00570A54"/>
    <w:rsid w:val="00571C54"/>
    <w:rsid w:val="0057229D"/>
    <w:rsid w:val="00572382"/>
    <w:rsid w:val="005726E1"/>
    <w:rsid w:val="005745DB"/>
    <w:rsid w:val="00574767"/>
    <w:rsid w:val="00575B0B"/>
    <w:rsid w:val="005814E9"/>
    <w:rsid w:val="00581AE5"/>
    <w:rsid w:val="00582C0B"/>
    <w:rsid w:val="00583B63"/>
    <w:rsid w:val="00584CA9"/>
    <w:rsid w:val="005851A6"/>
    <w:rsid w:val="005868E3"/>
    <w:rsid w:val="00587BEA"/>
    <w:rsid w:val="00590BD6"/>
    <w:rsid w:val="0059105D"/>
    <w:rsid w:val="005921AA"/>
    <w:rsid w:val="00592C98"/>
    <w:rsid w:val="00593121"/>
    <w:rsid w:val="00594B75"/>
    <w:rsid w:val="00595933"/>
    <w:rsid w:val="00596EC3"/>
    <w:rsid w:val="005A02E6"/>
    <w:rsid w:val="005A120B"/>
    <w:rsid w:val="005A1299"/>
    <w:rsid w:val="005A1FA2"/>
    <w:rsid w:val="005A220A"/>
    <w:rsid w:val="005A2610"/>
    <w:rsid w:val="005A27AC"/>
    <w:rsid w:val="005A3CFB"/>
    <w:rsid w:val="005A4246"/>
    <w:rsid w:val="005A4319"/>
    <w:rsid w:val="005A461B"/>
    <w:rsid w:val="005A611D"/>
    <w:rsid w:val="005A713E"/>
    <w:rsid w:val="005A7518"/>
    <w:rsid w:val="005B084A"/>
    <w:rsid w:val="005B0B69"/>
    <w:rsid w:val="005B1791"/>
    <w:rsid w:val="005B193B"/>
    <w:rsid w:val="005B1C38"/>
    <w:rsid w:val="005B24F5"/>
    <w:rsid w:val="005B2905"/>
    <w:rsid w:val="005B33B2"/>
    <w:rsid w:val="005B3BC8"/>
    <w:rsid w:val="005B4A85"/>
    <w:rsid w:val="005B690D"/>
    <w:rsid w:val="005B6A34"/>
    <w:rsid w:val="005B6EBA"/>
    <w:rsid w:val="005B747E"/>
    <w:rsid w:val="005C0077"/>
    <w:rsid w:val="005C0B53"/>
    <w:rsid w:val="005C0F05"/>
    <w:rsid w:val="005C194D"/>
    <w:rsid w:val="005C3200"/>
    <w:rsid w:val="005C493B"/>
    <w:rsid w:val="005C4E45"/>
    <w:rsid w:val="005C51C3"/>
    <w:rsid w:val="005C603D"/>
    <w:rsid w:val="005D0380"/>
    <w:rsid w:val="005D0444"/>
    <w:rsid w:val="005D0EC3"/>
    <w:rsid w:val="005D1B03"/>
    <w:rsid w:val="005D268E"/>
    <w:rsid w:val="005D2A81"/>
    <w:rsid w:val="005D3DA4"/>
    <w:rsid w:val="005D439D"/>
    <w:rsid w:val="005D485D"/>
    <w:rsid w:val="005D56FF"/>
    <w:rsid w:val="005D5C7F"/>
    <w:rsid w:val="005D75D2"/>
    <w:rsid w:val="005D7D5C"/>
    <w:rsid w:val="005E06FD"/>
    <w:rsid w:val="005E1B0B"/>
    <w:rsid w:val="005E2768"/>
    <w:rsid w:val="005E417C"/>
    <w:rsid w:val="005E4706"/>
    <w:rsid w:val="005E58BA"/>
    <w:rsid w:val="005E68E3"/>
    <w:rsid w:val="005F077F"/>
    <w:rsid w:val="005F247A"/>
    <w:rsid w:val="005F29FA"/>
    <w:rsid w:val="005F4E1B"/>
    <w:rsid w:val="005F584E"/>
    <w:rsid w:val="005F5BD8"/>
    <w:rsid w:val="005F6965"/>
    <w:rsid w:val="005F6F87"/>
    <w:rsid w:val="00601702"/>
    <w:rsid w:val="00602F4F"/>
    <w:rsid w:val="0060537A"/>
    <w:rsid w:val="00607593"/>
    <w:rsid w:val="0060794E"/>
    <w:rsid w:val="00607992"/>
    <w:rsid w:val="006104AF"/>
    <w:rsid w:val="00611ED3"/>
    <w:rsid w:val="00613C9A"/>
    <w:rsid w:val="00614F10"/>
    <w:rsid w:val="006153D7"/>
    <w:rsid w:val="00620F5D"/>
    <w:rsid w:val="0062469A"/>
    <w:rsid w:val="006264B0"/>
    <w:rsid w:val="00626553"/>
    <w:rsid w:val="00630658"/>
    <w:rsid w:val="006316DB"/>
    <w:rsid w:val="00632793"/>
    <w:rsid w:val="006330F3"/>
    <w:rsid w:val="00635906"/>
    <w:rsid w:val="00635F92"/>
    <w:rsid w:val="00636177"/>
    <w:rsid w:val="00636390"/>
    <w:rsid w:val="00636DD3"/>
    <w:rsid w:val="0063770E"/>
    <w:rsid w:val="006405A4"/>
    <w:rsid w:val="006415FC"/>
    <w:rsid w:val="0064390E"/>
    <w:rsid w:val="00643993"/>
    <w:rsid w:val="00644025"/>
    <w:rsid w:val="00650ABF"/>
    <w:rsid w:val="00651706"/>
    <w:rsid w:val="0065380A"/>
    <w:rsid w:val="00653829"/>
    <w:rsid w:val="00653C97"/>
    <w:rsid w:val="00654413"/>
    <w:rsid w:val="00654BA1"/>
    <w:rsid w:val="00655BA9"/>
    <w:rsid w:val="00655DFF"/>
    <w:rsid w:val="006562F2"/>
    <w:rsid w:val="006568A7"/>
    <w:rsid w:val="00656DDA"/>
    <w:rsid w:val="00657C86"/>
    <w:rsid w:val="00662538"/>
    <w:rsid w:val="00663ADD"/>
    <w:rsid w:val="00664D7B"/>
    <w:rsid w:val="00664F5F"/>
    <w:rsid w:val="00665175"/>
    <w:rsid w:val="0066721A"/>
    <w:rsid w:val="00670493"/>
    <w:rsid w:val="00670C19"/>
    <w:rsid w:val="006710AF"/>
    <w:rsid w:val="00673AA6"/>
    <w:rsid w:val="00675726"/>
    <w:rsid w:val="00677613"/>
    <w:rsid w:val="0068057A"/>
    <w:rsid w:val="00680E5E"/>
    <w:rsid w:val="00680F0B"/>
    <w:rsid w:val="006819AC"/>
    <w:rsid w:val="00681BAD"/>
    <w:rsid w:val="00681DB9"/>
    <w:rsid w:val="00682E0F"/>
    <w:rsid w:val="00683008"/>
    <w:rsid w:val="00684028"/>
    <w:rsid w:val="00684722"/>
    <w:rsid w:val="00685746"/>
    <w:rsid w:val="0068581C"/>
    <w:rsid w:val="00685AD8"/>
    <w:rsid w:val="00685D98"/>
    <w:rsid w:val="00687D45"/>
    <w:rsid w:val="00687D79"/>
    <w:rsid w:val="006905BB"/>
    <w:rsid w:val="0069274D"/>
    <w:rsid w:val="00693094"/>
    <w:rsid w:val="006930ED"/>
    <w:rsid w:val="0069314F"/>
    <w:rsid w:val="006931FA"/>
    <w:rsid w:val="00693B8D"/>
    <w:rsid w:val="00694867"/>
    <w:rsid w:val="00695B7F"/>
    <w:rsid w:val="006973C4"/>
    <w:rsid w:val="00697C38"/>
    <w:rsid w:val="006A0422"/>
    <w:rsid w:val="006A064B"/>
    <w:rsid w:val="006A0868"/>
    <w:rsid w:val="006A134C"/>
    <w:rsid w:val="006A150B"/>
    <w:rsid w:val="006A1FFD"/>
    <w:rsid w:val="006A219D"/>
    <w:rsid w:val="006A4149"/>
    <w:rsid w:val="006A47EC"/>
    <w:rsid w:val="006A4941"/>
    <w:rsid w:val="006A4D3B"/>
    <w:rsid w:val="006A582E"/>
    <w:rsid w:val="006A6249"/>
    <w:rsid w:val="006A79C4"/>
    <w:rsid w:val="006B0F04"/>
    <w:rsid w:val="006B1F52"/>
    <w:rsid w:val="006B27C0"/>
    <w:rsid w:val="006B303C"/>
    <w:rsid w:val="006B303F"/>
    <w:rsid w:val="006B3EBD"/>
    <w:rsid w:val="006B406B"/>
    <w:rsid w:val="006B4F87"/>
    <w:rsid w:val="006B5D71"/>
    <w:rsid w:val="006B7BDB"/>
    <w:rsid w:val="006C0498"/>
    <w:rsid w:val="006C0585"/>
    <w:rsid w:val="006C0B1A"/>
    <w:rsid w:val="006C37E3"/>
    <w:rsid w:val="006C574E"/>
    <w:rsid w:val="006C596B"/>
    <w:rsid w:val="006D0ED8"/>
    <w:rsid w:val="006D14FE"/>
    <w:rsid w:val="006D20DF"/>
    <w:rsid w:val="006D2162"/>
    <w:rsid w:val="006D260B"/>
    <w:rsid w:val="006D2B38"/>
    <w:rsid w:val="006D2FF5"/>
    <w:rsid w:val="006D3F3A"/>
    <w:rsid w:val="006D4053"/>
    <w:rsid w:val="006D491A"/>
    <w:rsid w:val="006D6646"/>
    <w:rsid w:val="006E08C1"/>
    <w:rsid w:val="006E1C95"/>
    <w:rsid w:val="006E1FB1"/>
    <w:rsid w:val="006E20C4"/>
    <w:rsid w:val="006E2434"/>
    <w:rsid w:val="006E32E7"/>
    <w:rsid w:val="006E5B38"/>
    <w:rsid w:val="006E61AB"/>
    <w:rsid w:val="006E6238"/>
    <w:rsid w:val="006E71FC"/>
    <w:rsid w:val="006E77C1"/>
    <w:rsid w:val="006E7C43"/>
    <w:rsid w:val="006F135A"/>
    <w:rsid w:val="006F166A"/>
    <w:rsid w:val="006F2007"/>
    <w:rsid w:val="006F2038"/>
    <w:rsid w:val="006F2F9B"/>
    <w:rsid w:val="006F3361"/>
    <w:rsid w:val="006F3B99"/>
    <w:rsid w:val="006F5EE9"/>
    <w:rsid w:val="006F671D"/>
    <w:rsid w:val="006F7A37"/>
    <w:rsid w:val="006F7C6A"/>
    <w:rsid w:val="006F7E81"/>
    <w:rsid w:val="00701C51"/>
    <w:rsid w:val="00701EC0"/>
    <w:rsid w:val="007034A8"/>
    <w:rsid w:val="00704DB3"/>
    <w:rsid w:val="0070563E"/>
    <w:rsid w:val="007067DE"/>
    <w:rsid w:val="00707F8A"/>
    <w:rsid w:val="00710214"/>
    <w:rsid w:val="007124B0"/>
    <w:rsid w:val="00713CD5"/>
    <w:rsid w:val="00713E70"/>
    <w:rsid w:val="007148AC"/>
    <w:rsid w:val="00714A89"/>
    <w:rsid w:val="00715E99"/>
    <w:rsid w:val="00716181"/>
    <w:rsid w:val="00717345"/>
    <w:rsid w:val="00721A76"/>
    <w:rsid w:val="00722598"/>
    <w:rsid w:val="0072359B"/>
    <w:rsid w:val="0072390A"/>
    <w:rsid w:val="00726179"/>
    <w:rsid w:val="00726196"/>
    <w:rsid w:val="007264DB"/>
    <w:rsid w:val="007265F6"/>
    <w:rsid w:val="00726E57"/>
    <w:rsid w:val="00727F43"/>
    <w:rsid w:val="0073040D"/>
    <w:rsid w:val="00730FAB"/>
    <w:rsid w:val="0073130B"/>
    <w:rsid w:val="007320B1"/>
    <w:rsid w:val="00732D78"/>
    <w:rsid w:val="00732D9C"/>
    <w:rsid w:val="00733E09"/>
    <w:rsid w:val="0073440B"/>
    <w:rsid w:val="007347CC"/>
    <w:rsid w:val="00735960"/>
    <w:rsid w:val="007368A9"/>
    <w:rsid w:val="00737B77"/>
    <w:rsid w:val="007400C6"/>
    <w:rsid w:val="007403AD"/>
    <w:rsid w:val="0074151D"/>
    <w:rsid w:val="007424BD"/>
    <w:rsid w:val="007424E7"/>
    <w:rsid w:val="00742F10"/>
    <w:rsid w:val="0074377F"/>
    <w:rsid w:val="00743B08"/>
    <w:rsid w:val="007453B1"/>
    <w:rsid w:val="00745A2D"/>
    <w:rsid w:val="00746600"/>
    <w:rsid w:val="00746F7A"/>
    <w:rsid w:val="007547FB"/>
    <w:rsid w:val="00755491"/>
    <w:rsid w:val="00756814"/>
    <w:rsid w:val="007602A0"/>
    <w:rsid w:val="00761145"/>
    <w:rsid w:val="0076241C"/>
    <w:rsid w:val="007624E1"/>
    <w:rsid w:val="00763082"/>
    <w:rsid w:val="007657E0"/>
    <w:rsid w:val="00765FE2"/>
    <w:rsid w:val="00767B3F"/>
    <w:rsid w:val="00770771"/>
    <w:rsid w:val="00770E1B"/>
    <w:rsid w:val="0077330F"/>
    <w:rsid w:val="00776238"/>
    <w:rsid w:val="007811E2"/>
    <w:rsid w:val="00781528"/>
    <w:rsid w:val="00781B3F"/>
    <w:rsid w:val="00781DEF"/>
    <w:rsid w:val="007822EE"/>
    <w:rsid w:val="00783F91"/>
    <w:rsid w:val="00784037"/>
    <w:rsid w:val="007843C0"/>
    <w:rsid w:val="00784896"/>
    <w:rsid w:val="00784947"/>
    <w:rsid w:val="00784B64"/>
    <w:rsid w:val="007852C4"/>
    <w:rsid w:val="00785453"/>
    <w:rsid w:val="00785EAC"/>
    <w:rsid w:val="00785F23"/>
    <w:rsid w:val="0078753B"/>
    <w:rsid w:val="00787556"/>
    <w:rsid w:val="00787EAC"/>
    <w:rsid w:val="00790637"/>
    <w:rsid w:val="0079083E"/>
    <w:rsid w:val="00793C79"/>
    <w:rsid w:val="0079416E"/>
    <w:rsid w:val="00794B1F"/>
    <w:rsid w:val="007950F3"/>
    <w:rsid w:val="00797108"/>
    <w:rsid w:val="007A1C60"/>
    <w:rsid w:val="007A6BDF"/>
    <w:rsid w:val="007A6FED"/>
    <w:rsid w:val="007A726F"/>
    <w:rsid w:val="007A7C8F"/>
    <w:rsid w:val="007B0059"/>
    <w:rsid w:val="007B341B"/>
    <w:rsid w:val="007B3CBA"/>
    <w:rsid w:val="007B4F6E"/>
    <w:rsid w:val="007B55A2"/>
    <w:rsid w:val="007B6B75"/>
    <w:rsid w:val="007C001E"/>
    <w:rsid w:val="007C0D13"/>
    <w:rsid w:val="007C2CD6"/>
    <w:rsid w:val="007C2D95"/>
    <w:rsid w:val="007C31A0"/>
    <w:rsid w:val="007C35B3"/>
    <w:rsid w:val="007C51B2"/>
    <w:rsid w:val="007C525D"/>
    <w:rsid w:val="007C57A1"/>
    <w:rsid w:val="007C5B5B"/>
    <w:rsid w:val="007D0E43"/>
    <w:rsid w:val="007D0E89"/>
    <w:rsid w:val="007D1930"/>
    <w:rsid w:val="007D2868"/>
    <w:rsid w:val="007D3582"/>
    <w:rsid w:val="007D4C02"/>
    <w:rsid w:val="007D4D47"/>
    <w:rsid w:val="007D5278"/>
    <w:rsid w:val="007D5935"/>
    <w:rsid w:val="007D5CCE"/>
    <w:rsid w:val="007D65F4"/>
    <w:rsid w:val="007D75E4"/>
    <w:rsid w:val="007E14C3"/>
    <w:rsid w:val="007E3C8F"/>
    <w:rsid w:val="007E5C77"/>
    <w:rsid w:val="007E5E7D"/>
    <w:rsid w:val="007E7D78"/>
    <w:rsid w:val="007F02B6"/>
    <w:rsid w:val="007F0F21"/>
    <w:rsid w:val="007F1BA5"/>
    <w:rsid w:val="007F2279"/>
    <w:rsid w:val="007F6FE8"/>
    <w:rsid w:val="007F748B"/>
    <w:rsid w:val="007F7F2A"/>
    <w:rsid w:val="007F7F3C"/>
    <w:rsid w:val="00800ED1"/>
    <w:rsid w:val="008037D2"/>
    <w:rsid w:val="00803CD2"/>
    <w:rsid w:val="0080564D"/>
    <w:rsid w:val="00806242"/>
    <w:rsid w:val="00806452"/>
    <w:rsid w:val="008077A4"/>
    <w:rsid w:val="008100C5"/>
    <w:rsid w:val="00810D38"/>
    <w:rsid w:val="00810D86"/>
    <w:rsid w:val="0081133E"/>
    <w:rsid w:val="00811FB4"/>
    <w:rsid w:val="00812826"/>
    <w:rsid w:val="00816693"/>
    <w:rsid w:val="00820C50"/>
    <w:rsid w:val="0082186A"/>
    <w:rsid w:val="00822D1A"/>
    <w:rsid w:val="00822FE5"/>
    <w:rsid w:val="0082364D"/>
    <w:rsid w:val="0082393A"/>
    <w:rsid w:val="00824C6C"/>
    <w:rsid w:val="0082723B"/>
    <w:rsid w:val="00827264"/>
    <w:rsid w:val="00827D51"/>
    <w:rsid w:val="00830295"/>
    <w:rsid w:val="008332CA"/>
    <w:rsid w:val="00834ECD"/>
    <w:rsid w:val="00835799"/>
    <w:rsid w:val="00835E14"/>
    <w:rsid w:val="00836BF0"/>
    <w:rsid w:val="00836CB2"/>
    <w:rsid w:val="00837485"/>
    <w:rsid w:val="0084020B"/>
    <w:rsid w:val="00840535"/>
    <w:rsid w:val="008408CC"/>
    <w:rsid w:val="00841D79"/>
    <w:rsid w:val="00842063"/>
    <w:rsid w:val="00842B0D"/>
    <w:rsid w:val="00844893"/>
    <w:rsid w:val="0084798F"/>
    <w:rsid w:val="00850105"/>
    <w:rsid w:val="008505A3"/>
    <w:rsid w:val="00851220"/>
    <w:rsid w:val="00852124"/>
    <w:rsid w:val="008523BB"/>
    <w:rsid w:val="00853AFB"/>
    <w:rsid w:val="00853F3B"/>
    <w:rsid w:val="008545CD"/>
    <w:rsid w:val="0085479E"/>
    <w:rsid w:val="00854E39"/>
    <w:rsid w:val="00856B7D"/>
    <w:rsid w:val="00857134"/>
    <w:rsid w:val="00860D0C"/>
    <w:rsid w:val="00860D84"/>
    <w:rsid w:val="00860E10"/>
    <w:rsid w:val="00860E40"/>
    <w:rsid w:val="00861108"/>
    <w:rsid w:val="00861BD6"/>
    <w:rsid w:val="008621E3"/>
    <w:rsid w:val="00862293"/>
    <w:rsid w:val="0086246E"/>
    <w:rsid w:val="00862EB8"/>
    <w:rsid w:val="00863E9C"/>
    <w:rsid w:val="00864726"/>
    <w:rsid w:val="008654F0"/>
    <w:rsid w:val="00866635"/>
    <w:rsid w:val="008713F1"/>
    <w:rsid w:val="0087326B"/>
    <w:rsid w:val="0087341F"/>
    <w:rsid w:val="008738EE"/>
    <w:rsid w:val="0087391E"/>
    <w:rsid w:val="008740D6"/>
    <w:rsid w:val="00874D40"/>
    <w:rsid w:val="008752C2"/>
    <w:rsid w:val="008773F6"/>
    <w:rsid w:val="00877961"/>
    <w:rsid w:val="008800C0"/>
    <w:rsid w:val="00880E95"/>
    <w:rsid w:val="00881162"/>
    <w:rsid w:val="008814A4"/>
    <w:rsid w:val="00881627"/>
    <w:rsid w:val="00882C8B"/>
    <w:rsid w:val="00882D64"/>
    <w:rsid w:val="00883216"/>
    <w:rsid w:val="00884FEE"/>
    <w:rsid w:val="008900BE"/>
    <w:rsid w:val="008904E0"/>
    <w:rsid w:val="00890E72"/>
    <w:rsid w:val="00891BEB"/>
    <w:rsid w:val="00892D94"/>
    <w:rsid w:val="0089516E"/>
    <w:rsid w:val="00895892"/>
    <w:rsid w:val="00897240"/>
    <w:rsid w:val="00897D24"/>
    <w:rsid w:val="008A006F"/>
    <w:rsid w:val="008A0678"/>
    <w:rsid w:val="008A080D"/>
    <w:rsid w:val="008A24E1"/>
    <w:rsid w:val="008A2F12"/>
    <w:rsid w:val="008A35C6"/>
    <w:rsid w:val="008A3AFB"/>
    <w:rsid w:val="008A40C7"/>
    <w:rsid w:val="008A4BE9"/>
    <w:rsid w:val="008A575B"/>
    <w:rsid w:val="008A60A8"/>
    <w:rsid w:val="008A60E5"/>
    <w:rsid w:val="008A6370"/>
    <w:rsid w:val="008A65D5"/>
    <w:rsid w:val="008A75E7"/>
    <w:rsid w:val="008B1225"/>
    <w:rsid w:val="008B1517"/>
    <w:rsid w:val="008B2C15"/>
    <w:rsid w:val="008B2D95"/>
    <w:rsid w:val="008B2F4A"/>
    <w:rsid w:val="008B3942"/>
    <w:rsid w:val="008B3E30"/>
    <w:rsid w:val="008B408C"/>
    <w:rsid w:val="008B42EE"/>
    <w:rsid w:val="008B55AE"/>
    <w:rsid w:val="008B6A56"/>
    <w:rsid w:val="008B6C1E"/>
    <w:rsid w:val="008B711E"/>
    <w:rsid w:val="008B7C88"/>
    <w:rsid w:val="008C0FCF"/>
    <w:rsid w:val="008C13ED"/>
    <w:rsid w:val="008C18F4"/>
    <w:rsid w:val="008C1BB5"/>
    <w:rsid w:val="008C22F4"/>
    <w:rsid w:val="008C384B"/>
    <w:rsid w:val="008C3E37"/>
    <w:rsid w:val="008C4106"/>
    <w:rsid w:val="008C4FC7"/>
    <w:rsid w:val="008C5322"/>
    <w:rsid w:val="008C56CC"/>
    <w:rsid w:val="008D007B"/>
    <w:rsid w:val="008D09C0"/>
    <w:rsid w:val="008D1BCD"/>
    <w:rsid w:val="008D2AE4"/>
    <w:rsid w:val="008D2E02"/>
    <w:rsid w:val="008D47B0"/>
    <w:rsid w:val="008D5609"/>
    <w:rsid w:val="008D5D9D"/>
    <w:rsid w:val="008D7075"/>
    <w:rsid w:val="008D7FD7"/>
    <w:rsid w:val="008E0693"/>
    <w:rsid w:val="008E20E8"/>
    <w:rsid w:val="008E301E"/>
    <w:rsid w:val="008E3AA7"/>
    <w:rsid w:val="008E3B04"/>
    <w:rsid w:val="008E3EFC"/>
    <w:rsid w:val="008E5790"/>
    <w:rsid w:val="008E5B45"/>
    <w:rsid w:val="008E626C"/>
    <w:rsid w:val="008E6540"/>
    <w:rsid w:val="008E6999"/>
    <w:rsid w:val="008E770B"/>
    <w:rsid w:val="008F1530"/>
    <w:rsid w:val="008F1AF4"/>
    <w:rsid w:val="008F1B8B"/>
    <w:rsid w:val="008F1C4E"/>
    <w:rsid w:val="008F2EE1"/>
    <w:rsid w:val="008F2F56"/>
    <w:rsid w:val="008F31CC"/>
    <w:rsid w:val="008F32F0"/>
    <w:rsid w:val="008F34DE"/>
    <w:rsid w:val="008F3B3C"/>
    <w:rsid w:val="008F4095"/>
    <w:rsid w:val="008F441A"/>
    <w:rsid w:val="008F441F"/>
    <w:rsid w:val="008F56F8"/>
    <w:rsid w:val="008F680C"/>
    <w:rsid w:val="008F7D04"/>
    <w:rsid w:val="00900A48"/>
    <w:rsid w:val="009018BD"/>
    <w:rsid w:val="00902530"/>
    <w:rsid w:val="0090400F"/>
    <w:rsid w:val="009041F4"/>
    <w:rsid w:val="009042EF"/>
    <w:rsid w:val="009048F1"/>
    <w:rsid w:val="00904BCB"/>
    <w:rsid w:val="0090557F"/>
    <w:rsid w:val="00905C48"/>
    <w:rsid w:val="00907D74"/>
    <w:rsid w:val="0091125F"/>
    <w:rsid w:val="0091164A"/>
    <w:rsid w:val="00911AD1"/>
    <w:rsid w:val="00911DB1"/>
    <w:rsid w:val="009128CC"/>
    <w:rsid w:val="009143DD"/>
    <w:rsid w:val="009156AD"/>
    <w:rsid w:val="00916C90"/>
    <w:rsid w:val="00916EEE"/>
    <w:rsid w:val="00916FDB"/>
    <w:rsid w:val="009171C9"/>
    <w:rsid w:val="0092010E"/>
    <w:rsid w:val="00920544"/>
    <w:rsid w:val="00922010"/>
    <w:rsid w:val="0092294C"/>
    <w:rsid w:val="00923C4D"/>
    <w:rsid w:val="00923C88"/>
    <w:rsid w:val="00923D3B"/>
    <w:rsid w:val="00923F7A"/>
    <w:rsid w:val="00923F8B"/>
    <w:rsid w:val="009249E8"/>
    <w:rsid w:val="0092500E"/>
    <w:rsid w:val="00925355"/>
    <w:rsid w:val="009266FD"/>
    <w:rsid w:val="00927067"/>
    <w:rsid w:val="00927BAA"/>
    <w:rsid w:val="009306F5"/>
    <w:rsid w:val="00932AB5"/>
    <w:rsid w:val="00932E8E"/>
    <w:rsid w:val="0093313B"/>
    <w:rsid w:val="0093440A"/>
    <w:rsid w:val="00934630"/>
    <w:rsid w:val="00934ED2"/>
    <w:rsid w:val="009359B2"/>
    <w:rsid w:val="009370BA"/>
    <w:rsid w:val="00937BA7"/>
    <w:rsid w:val="0094042E"/>
    <w:rsid w:val="0094465C"/>
    <w:rsid w:val="00944ABD"/>
    <w:rsid w:val="00944F11"/>
    <w:rsid w:val="00947041"/>
    <w:rsid w:val="00947793"/>
    <w:rsid w:val="00947CA0"/>
    <w:rsid w:val="00947E9A"/>
    <w:rsid w:val="0095298D"/>
    <w:rsid w:val="0095426A"/>
    <w:rsid w:val="0095474E"/>
    <w:rsid w:val="00954BB8"/>
    <w:rsid w:val="00955543"/>
    <w:rsid w:val="00955F7E"/>
    <w:rsid w:val="00956F29"/>
    <w:rsid w:val="0095775E"/>
    <w:rsid w:val="00957C70"/>
    <w:rsid w:val="00961675"/>
    <w:rsid w:val="00962520"/>
    <w:rsid w:val="00962F1B"/>
    <w:rsid w:val="0096497B"/>
    <w:rsid w:val="0096596D"/>
    <w:rsid w:val="009700E0"/>
    <w:rsid w:val="0097034F"/>
    <w:rsid w:val="00970993"/>
    <w:rsid w:val="00971176"/>
    <w:rsid w:val="009712F9"/>
    <w:rsid w:val="009718AB"/>
    <w:rsid w:val="00971BBE"/>
    <w:rsid w:val="00972257"/>
    <w:rsid w:val="0097333C"/>
    <w:rsid w:val="009735F2"/>
    <w:rsid w:val="009737D0"/>
    <w:rsid w:val="00973810"/>
    <w:rsid w:val="00973C33"/>
    <w:rsid w:val="00973ED3"/>
    <w:rsid w:val="00976BBA"/>
    <w:rsid w:val="00977B81"/>
    <w:rsid w:val="00980A80"/>
    <w:rsid w:val="00980CAF"/>
    <w:rsid w:val="00982861"/>
    <w:rsid w:val="00982EB7"/>
    <w:rsid w:val="0098347D"/>
    <w:rsid w:val="009837F1"/>
    <w:rsid w:val="0098536C"/>
    <w:rsid w:val="00986854"/>
    <w:rsid w:val="00986AF6"/>
    <w:rsid w:val="00986B50"/>
    <w:rsid w:val="0098782C"/>
    <w:rsid w:val="00992D59"/>
    <w:rsid w:val="00993E58"/>
    <w:rsid w:val="00994286"/>
    <w:rsid w:val="00994E35"/>
    <w:rsid w:val="00995A81"/>
    <w:rsid w:val="00995E00"/>
    <w:rsid w:val="009A1C30"/>
    <w:rsid w:val="009A2C11"/>
    <w:rsid w:val="009A3069"/>
    <w:rsid w:val="009A31DF"/>
    <w:rsid w:val="009A3503"/>
    <w:rsid w:val="009A4779"/>
    <w:rsid w:val="009A57F5"/>
    <w:rsid w:val="009A5886"/>
    <w:rsid w:val="009A6494"/>
    <w:rsid w:val="009B0642"/>
    <w:rsid w:val="009B1F09"/>
    <w:rsid w:val="009B4B55"/>
    <w:rsid w:val="009B4E60"/>
    <w:rsid w:val="009B576B"/>
    <w:rsid w:val="009B5F3A"/>
    <w:rsid w:val="009B6F11"/>
    <w:rsid w:val="009C037F"/>
    <w:rsid w:val="009C2E59"/>
    <w:rsid w:val="009C645F"/>
    <w:rsid w:val="009C6EA8"/>
    <w:rsid w:val="009D00CB"/>
    <w:rsid w:val="009D075E"/>
    <w:rsid w:val="009D0C37"/>
    <w:rsid w:val="009D0F88"/>
    <w:rsid w:val="009D11B2"/>
    <w:rsid w:val="009D18E3"/>
    <w:rsid w:val="009D2EC5"/>
    <w:rsid w:val="009D3CC5"/>
    <w:rsid w:val="009D44DB"/>
    <w:rsid w:val="009D6B45"/>
    <w:rsid w:val="009D6FB2"/>
    <w:rsid w:val="009D7B10"/>
    <w:rsid w:val="009E2AEE"/>
    <w:rsid w:val="009E3BD2"/>
    <w:rsid w:val="009E4118"/>
    <w:rsid w:val="009E467B"/>
    <w:rsid w:val="009E48A6"/>
    <w:rsid w:val="009E6F8A"/>
    <w:rsid w:val="009E7E3D"/>
    <w:rsid w:val="009F09E5"/>
    <w:rsid w:val="009F0A5B"/>
    <w:rsid w:val="009F16E5"/>
    <w:rsid w:val="009F1BCF"/>
    <w:rsid w:val="009F1DD6"/>
    <w:rsid w:val="009F2D0F"/>
    <w:rsid w:val="009F3AC4"/>
    <w:rsid w:val="009F4C00"/>
    <w:rsid w:val="009F54A1"/>
    <w:rsid w:val="009F60A8"/>
    <w:rsid w:val="009F675E"/>
    <w:rsid w:val="009F6EAE"/>
    <w:rsid w:val="009F7391"/>
    <w:rsid w:val="009F7708"/>
    <w:rsid w:val="00A00916"/>
    <w:rsid w:val="00A030D5"/>
    <w:rsid w:val="00A03258"/>
    <w:rsid w:val="00A03370"/>
    <w:rsid w:val="00A03968"/>
    <w:rsid w:val="00A03F3A"/>
    <w:rsid w:val="00A05C53"/>
    <w:rsid w:val="00A05CC8"/>
    <w:rsid w:val="00A05D4C"/>
    <w:rsid w:val="00A06A64"/>
    <w:rsid w:val="00A07265"/>
    <w:rsid w:val="00A079B8"/>
    <w:rsid w:val="00A108EA"/>
    <w:rsid w:val="00A119D6"/>
    <w:rsid w:val="00A11F9E"/>
    <w:rsid w:val="00A14DA3"/>
    <w:rsid w:val="00A1564E"/>
    <w:rsid w:val="00A15E87"/>
    <w:rsid w:val="00A16EBB"/>
    <w:rsid w:val="00A17008"/>
    <w:rsid w:val="00A20B31"/>
    <w:rsid w:val="00A20D80"/>
    <w:rsid w:val="00A20FAB"/>
    <w:rsid w:val="00A21232"/>
    <w:rsid w:val="00A24448"/>
    <w:rsid w:val="00A25A7D"/>
    <w:rsid w:val="00A264D8"/>
    <w:rsid w:val="00A3079C"/>
    <w:rsid w:val="00A33311"/>
    <w:rsid w:val="00A34012"/>
    <w:rsid w:val="00A34A52"/>
    <w:rsid w:val="00A35F0C"/>
    <w:rsid w:val="00A36DF4"/>
    <w:rsid w:val="00A37EAE"/>
    <w:rsid w:val="00A40268"/>
    <w:rsid w:val="00A467D8"/>
    <w:rsid w:val="00A53A57"/>
    <w:rsid w:val="00A55699"/>
    <w:rsid w:val="00A556FA"/>
    <w:rsid w:val="00A5708D"/>
    <w:rsid w:val="00A60B9A"/>
    <w:rsid w:val="00A6158A"/>
    <w:rsid w:val="00A619E7"/>
    <w:rsid w:val="00A61AB9"/>
    <w:rsid w:val="00A621C3"/>
    <w:rsid w:val="00A6238C"/>
    <w:rsid w:val="00A62B73"/>
    <w:rsid w:val="00A62D0C"/>
    <w:rsid w:val="00A62E51"/>
    <w:rsid w:val="00A64FF0"/>
    <w:rsid w:val="00A65A3B"/>
    <w:rsid w:val="00A70DC4"/>
    <w:rsid w:val="00A71399"/>
    <w:rsid w:val="00A71C1D"/>
    <w:rsid w:val="00A73E30"/>
    <w:rsid w:val="00A75249"/>
    <w:rsid w:val="00A76881"/>
    <w:rsid w:val="00A80300"/>
    <w:rsid w:val="00A80497"/>
    <w:rsid w:val="00A811E8"/>
    <w:rsid w:val="00A8171D"/>
    <w:rsid w:val="00A81B5B"/>
    <w:rsid w:val="00A861B4"/>
    <w:rsid w:val="00A878B2"/>
    <w:rsid w:val="00A87F3B"/>
    <w:rsid w:val="00A9008D"/>
    <w:rsid w:val="00A90629"/>
    <w:rsid w:val="00A90638"/>
    <w:rsid w:val="00A90C25"/>
    <w:rsid w:val="00A90CA8"/>
    <w:rsid w:val="00A90CCE"/>
    <w:rsid w:val="00A9105E"/>
    <w:rsid w:val="00A9279D"/>
    <w:rsid w:val="00A92CAF"/>
    <w:rsid w:val="00A94504"/>
    <w:rsid w:val="00A94E06"/>
    <w:rsid w:val="00A9501F"/>
    <w:rsid w:val="00A96119"/>
    <w:rsid w:val="00A97C6F"/>
    <w:rsid w:val="00AA0DF3"/>
    <w:rsid w:val="00AA108F"/>
    <w:rsid w:val="00AA1ECA"/>
    <w:rsid w:val="00AA27A2"/>
    <w:rsid w:val="00AA2D91"/>
    <w:rsid w:val="00AA5507"/>
    <w:rsid w:val="00AA67AF"/>
    <w:rsid w:val="00AA6964"/>
    <w:rsid w:val="00AA7144"/>
    <w:rsid w:val="00AA7CDA"/>
    <w:rsid w:val="00AB0189"/>
    <w:rsid w:val="00AB1FB4"/>
    <w:rsid w:val="00AB2182"/>
    <w:rsid w:val="00AB2680"/>
    <w:rsid w:val="00AB36AD"/>
    <w:rsid w:val="00AB3F97"/>
    <w:rsid w:val="00AB4531"/>
    <w:rsid w:val="00AB4676"/>
    <w:rsid w:val="00AB63CB"/>
    <w:rsid w:val="00AB665D"/>
    <w:rsid w:val="00AB7671"/>
    <w:rsid w:val="00AC2FBF"/>
    <w:rsid w:val="00AC308E"/>
    <w:rsid w:val="00AC3D35"/>
    <w:rsid w:val="00AC590C"/>
    <w:rsid w:val="00AC7AAC"/>
    <w:rsid w:val="00AD0515"/>
    <w:rsid w:val="00AD08E9"/>
    <w:rsid w:val="00AD3CED"/>
    <w:rsid w:val="00AD3EAE"/>
    <w:rsid w:val="00AD40F2"/>
    <w:rsid w:val="00AD4ED1"/>
    <w:rsid w:val="00AD5755"/>
    <w:rsid w:val="00AD7BD7"/>
    <w:rsid w:val="00AD7CF1"/>
    <w:rsid w:val="00AE0046"/>
    <w:rsid w:val="00AE13DD"/>
    <w:rsid w:val="00AE1421"/>
    <w:rsid w:val="00AE159F"/>
    <w:rsid w:val="00AE27B2"/>
    <w:rsid w:val="00AE2BD7"/>
    <w:rsid w:val="00AE3908"/>
    <w:rsid w:val="00AE3E6C"/>
    <w:rsid w:val="00AE4C61"/>
    <w:rsid w:val="00AE53C1"/>
    <w:rsid w:val="00AE54D3"/>
    <w:rsid w:val="00AE59A2"/>
    <w:rsid w:val="00AF0981"/>
    <w:rsid w:val="00AF10C3"/>
    <w:rsid w:val="00AF10E4"/>
    <w:rsid w:val="00AF1528"/>
    <w:rsid w:val="00AF4C03"/>
    <w:rsid w:val="00AF528E"/>
    <w:rsid w:val="00AF6F6E"/>
    <w:rsid w:val="00AF73EF"/>
    <w:rsid w:val="00AF7556"/>
    <w:rsid w:val="00AF7754"/>
    <w:rsid w:val="00B02DED"/>
    <w:rsid w:val="00B03FD6"/>
    <w:rsid w:val="00B045FB"/>
    <w:rsid w:val="00B0590C"/>
    <w:rsid w:val="00B0687C"/>
    <w:rsid w:val="00B06EE3"/>
    <w:rsid w:val="00B07090"/>
    <w:rsid w:val="00B1034E"/>
    <w:rsid w:val="00B1220E"/>
    <w:rsid w:val="00B15BAC"/>
    <w:rsid w:val="00B16F90"/>
    <w:rsid w:val="00B17E14"/>
    <w:rsid w:val="00B22362"/>
    <w:rsid w:val="00B228F5"/>
    <w:rsid w:val="00B22FE8"/>
    <w:rsid w:val="00B23444"/>
    <w:rsid w:val="00B23A42"/>
    <w:rsid w:val="00B245FE"/>
    <w:rsid w:val="00B24A24"/>
    <w:rsid w:val="00B2655D"/>
    <w:rsid w:val="00B276EB"/>
    <w:rsid w:val="00B277FB"/>
    <w:rsid w:val="00B3108B"/>
    <w:rsid w:val="00B33E59"/>
    <w:rsid w:val="00B34946"/>
    <w:rsid w:val="00B34A8D"/>
    <w:rsid w:val="00B34C36"/>
    <w:rsid w:val="00B34F1B"/>
    <w:rsid w:val="00B3607B"/>
    <w:rsid w:val="00B37242"/>
    <w:rsid w:val="00B40B82"/>
    <w:rsid w:val="00B41B13"/>
    <w:rsid w:val="00B420CC"/>
    <w:rsid w:val="00B42475"/>
    <w:rsid w:val="00B42783"/>
    <w:rsid w:val="00B42C31"/>
    <w:rsid w:val="00B4370D"/>
    <w:rsid w:val="00B4438C"/>
    <w:rsid w:val="00B444C8"/>
    <w:rsid w:val="00B447A5"/>
    <w:rsid w:val="00B448A7"/>
    <w:rsid w:val="00B458C2"/>
    <w:rsid w:val="00B45C64"/>
    <w:rsid w:val="00B46CBC"/>
    <w:rsid w:val="00B478A4"/>
    <w:rsid w:val="00B47A7D"/>
    <w:rsid w:val="00B5187F"/>
    <w:rsid w:val="00B5523F"/>
    <w:rsid w:val="00B5645A"/>
    <w:rsid w:val="00B56BFA"/>
    <w:rsid w:val="00B56D4D"/>
    <w:rsid w:val="00B60E8D"/>
    <w:rsid w:val="00B61B8E"/>
    <w:rsid w:val="00B61DB5"/>
    <w:rsid w:val="00B62556"/>
    <w:rsid w:val="00B625AA"/>
    <w:rsid w:val="00B63DF9"/>
    <w:rsid w:val="00B65A5E"/>
    <w:rsid w:val="00B67585"/>
    <w:rsid w:val="00B70853"/>
    <w:rsid w:val="00B710D9"/>
    <w:rsid w:val="00B713A1"/>
    <w:rsid w:val="00B716BB"/>
    <w:rsid w:val="00B729E7"/>
    <w:rsid w:val="00B73703"/>
    <w:rsid w:val="00B73A68"/>
    <w:rsid w:val="00B74332"/>
    <w:rsid w:val="00B74341"/>
    <w:rsid w:val="00B74900"/>
    <w:rsid w:val="00B75015"/>
    <w:rsid w:val="00B76114"/>
    <w:rsid w:val="00B7727F"/>
    <w:rsid w:val="00B779B5"/>
    <w:rsid w:val="00B801B0"/>
    <w:rsid w:val="00B8051F"/>
    <w:rsid w:val="00B8114B"/>
    <w:rsid w:val="00B83AD9"/>
    <w:rsid w:val="00B8479E"/>
    <w:rsid w:val="00B84A64"/>
    <w:rsid w:val="00B84D0B"/>
    <w:rsid w:val="00B86EC8"/>
    <w:rsid w:val="00B87B06"/>
    <w:rsid w:val="00B90291"/>
    <w:rsid w:val="00B90D5E"/>
    <w:rsid w:val="00B91E10"/>
    <w:rsid w:val="00B921C5"/>
    <w:rsid w:val="00B92770"/>
    <w:rsid w:val="00B9317E"/>
    <w:rsid w:val="00B93907"/>
    <w:rsid w:val="00B93A3D"/>
    <w:rsid w:val="00B9420C"/>
    <w:rsid w:val="00B947AC"/>
    <w:rsid w:val="00B94D9E"/>
    <w:rsid w:val="00B96248"/>
    <w:rsid w:val="00B9654E"/>
    <w:rsid w:val="00B96CE8"/>
    <w:rsid w:val="00BA0CEB"/>
    <w:rsid w:val="00BA0F0C"/>
    <w:rsid w:val="00BA1953"/>
    <w:rsid w:val="00BA241D"/>
    <w:rsid w:val="00BA54A0"/>
    <w:rsid w:val="00BA5CF1"/>
    <w:rsid w:val="00BA5D77"/>
    <w:rsid w:val="00BA5DAC"/>
    <w:rsid w:val="00BA6439"/>
    <w:rsid w:val="00BA7241"/>
    <w:rsid w:val="00BB0980"/>
    <w:rsid w:val="00BB1F18"/>
    <w:rsid w:val="00BB1FF9"/>
    <w:rsid w:val="00BB460F"/>
    <w:rsid w:val="00BB53C1"/>
    <w:rsid w:val="00BB6A5A"/>
    <w:rsid w:val="00BB6F7F"/>
    <w:rsid w:val="00BB7F48"/>
    <w:rsid w:val="00BC0C05"/>
    <w:rsid w:val="00BC0CDF"/>
    <w:rsid w:val="00BC1C0F"/>
    <w:rsid w:val="00BC2B80"/>
    <w:rsid w:val="00BC2C16"/>
    <w:rsid w:val="00BC3EEF"/>
    <w:rsid w:val="00BC49EA"/>
    <w:rsid w:val="00BC5A94"/>
    <w:rsid w:val="00BC613E"/>
    <w:rsid w:val="00BD05B1"/>
    <w:rsid w:val="00BD0A09"/>
    <w:rsid w:val="00BD0BCA"/>
    <w:rsid w:val="00BD12C9"/>
    <w:rsid w:val="00BD2A4D"/>
    <w:rsid w:val="00BD3BC6"/>
    <w:rsid w:val="00BD4586"/>
    <w:rsid w:val="00BD4EEC"/>
    <w:rsid w:val="00BD50C0"/>
    <w:rsid w:val="00BD5746"/>
    <w:rsid w:val="00BD5F71"/>
    <w:rsid w:val="00BD5FBA"/>
    <w:rsid w:val="00BD61D7"/>
    <w:rsid w:val="00BD635D"/>
    <w:rsid w:val="00BE0135"/>
    <w:rsid w:val="00BE01C0"/>
    <w:rsid w:val="00BE04FB"/>
    <w:rsid w:val="00BE06F1"/>
    <w:rsid w:val="00BE08F4"/>
    <w:rsid w:val="00BE2910"/>
    <w:rsid w:val="00BE3823"/>
    <w:rsid w:val="00BE45E8"/>
    <w:rsid w:val="00BE6148"/>
    <w:rsid w:val="00BE6B28"/>
    <w:rsid w:val="00BE7A49"/>
    <w:rsid w:val="00BE7D78"/>
    <w:rsid w:val="00BE7F06"/>
    <w:rsid w:val="00BF001C"/>
    <w:rsid w:val="00BF04D4"/>
    <w:rsid w:val="00BF076A"/>
    <w:rsid w:val="00BF0E6F"/>
    <w:rsid w:val="00BF240C"/>
    <w:rsid w:val="00BF2824"/>
    <w:rsid w:val="00BF48E5"/>
    <w:rsid w:val="00BF691D"/>
    <w:rsid w:val="00BF693D"/>
    <w:rsid w:val="00BF76EA"/>
    <w:rsid w:val="00C00018"/>
    <w:rsid w:val="00C00157"/>
    <w:rsid w:val="00C00775"/>
    <w:rsid w:val="00C00925"/>
    <w:rsid w:val="00C021E9"/>
    <w:rsid w:val="00C02A0F"/>
    <w:rsid w:val="00C031E2"/>
    <w:rsid w:val="00C033D8"/>
    <w:rsid w:val="00C043AC"/>
    <w:rsid w:val="00C04875"/>
    <w:rsid w:val="00C04EE8"/>
    <w:rsid w:val="00C05459"/>
    <w:rsid w:val="00C054D7"/>
    <w:rsid w:val="00C06489"/>
    <w:rsid w:val="00C10C8D"/>
    <w:rsid w:val="00C10EDB"/>
    <w:rsid w:val="00C1126B"/>
    <w:rsid w:val="00C11CAD"/>
    <w:rsid w:val="00C1299A"/>
    <w:rsid w:val="00C12EA8"/>
    <w:rsid w:val="00C141CD"/>
    <w:rsid w:val="00C1422B"/>
    <w:rsid w:val="00C14944"/>
    <w:rsid w:val="00C14FC4"/>
    <w:rsid w:val="00C15DAC"/>
    <w:rsid w:val="00C16B8A"/>
    <w:rsid w:val="00C16CE0"/>
    <w:rsid w:val="00C17409"/>
    <w:rsid w:val="00C2108E"/>
    <w:rsid w:val="00C219EB"/>
    <w:rsid w:val="00C227DB"/>
    <w:rsid w:val="00C24071"/>
    <w:rsid w:val="00C2418B"/>
    <w:rsid w:val="00C24271"/>
    <w:rsid w:val="00C24457"/>
    <w:rsid w:val="00C25158"/>
    <w:rsid w:val="00C255F0"/>
    <w:rsid w:val="00C265D5"/>
    <w:rsid w:val="00C270C4"/>
    <w:rsid w:val="00C309AB"/>
    <w:rsid w:val="00C30B46"/>
    <w:rsid w:val="00C3118C"/>
    <w:rsid w:val="00C31CB1"/>
    <w:rsid w:val="00C32C0F"/>
    <w:rsid w:val="00C3364C"/>
    <w:rsid w:val="00C33816"/>
    <w:rsid w:val="00C344E0"/>
    <w:rsid w:val="00C3490A"/>
    <w:rsid w:val="00C352DD"/>
    <w:rsid w:val="00C36584"/>
    <w:rsid w:val="00C366F8"/>
    <w:rsid w:val="00C41A3D"/>
    <w:rsid w:val="00C41F4E"/>
    <w:rsid w:val="00C42BD6"/>
    <w:rsid w:val="00C42DAA"/>
    <w:rsid w:val="00C43735"/>
    <w:rsid w:val="00C452C0"/>
    <w:rsid w:val="00C45A11"/>
    <w:rsid w:val="00C4646C"/>
    <w:rsid w:val="00C4745B"/>
    <w:rsid w:val="00C478C4"/>
    <w:rsid w:val="00C5003A"/>
    <w:rsid w:val="00C5020C"/>
    <w:rsid w:val="00C50365"/>
    <w:rsid w:val="00C5103D"/>
    <w:rsid w:val="00C511C7"/>
    <w:rsid w:val="00C51AC9"/>
    <w:rsid w:val="00C51B40"/>
    <w:rsid w:val="00C51FBD"/>
    <w:rsid w:val="00C55DDD"/>
    <w:rsid w:val="00C5655A"/>
    <w:rsid w:val="00C56F6C"/>
    <w:rsid w:val="00C579AD"/>
    <w:rsid w:val="00C57F0D"/>
    <w:rsid w:val="00C61355"/>
    <w:rsid w:val="00C61382"/>
    <w:rsid w:val="00C62A91"/>
    <w:rsid w:val="00C63240"/>
    <w:rsid w:val="00C63EE9"/>
    <w:rsid w:val="00C64320"/>
    <w:rsid w:val="00C64AB8"/>
    <w:rsid w:val="00C64D95"/>
    <w:rsid w:val="00C654F9"/>
    <w:rsid w:val="00C65BDD"/>
    <w:rsid w:val="00C65FFD"/>
    <w:rsid w:val="00C6601A"/>
    <w:rsid w:val="00C66446"/>
    <w:rsid w:val="00C67400"/>
    <w:rsid w:val="00C70FF4"/>
    <w:rsid w:val="00C7159A"/>
    <w:rsid w:val="00C71742"/>
    <w:rsid w:val="00C73C32"/>
    <w:rsid w:val="00C74570"/>
    <w:rsid w:val="00C7562C"/>
    <w:rsid w:val="00C7603E"/>
    <w:rsid w:val="00C771B8"/>
    <w:rsid w:val="00C77974"/>
    <w:rsid w:val="00C77B70"/>
    <w:rsid w:val="00C825D1"/>
    <w:rsid w:val="00C82B88"/>
    <w:rsid w:val="00C8305E"/>
    <w:rsid w:val="00C843E6"/>
    <w:rsid w:val="00C85B80"/>
    <w:rsid w:val="00C8643F"/>
    <w:rsid w:val="00C86A5A"/>
    <w:rsid w:val="00C86C20"/>
    <w:rsid w:val="00C87569"/>
    <w:rsid w:val="00C875AA"/>
    <w:rsid w:val="00C87F0F"/>
    <w:rsid w:val="00C900FB"/>
    <w:rsid w:val="00C92033"/>
    <w:rsid w:val="00C933EE"/>
    <w:rsid w:val="00C93CF0"/>
    <w:rsid w:val="00C93D69"/>
    <w:rsid w:val="00C97C78"/>
    <w:rsid w:val="00CA0009"/>
    <w:rsid w:val="00CA07F0"/>
    <w:rsid w:val="00CA1C84"/>
    <w:rsid w:val="00CA2AD0"/>
    <w:rsid w:val="00CA381D"/>
    <w:rsid w:val="00CA3D2C"/>
    <w:rsid w:val="00CA3FE5"/>
    <w:rsid w:val="00CA4014"/>
    <w:rsid w:val="00CA43B0"/>
    <w:rsid w:val="00CA4A3D"/>
    <w:rsid w:val="00CA551D"/>
    <w:rsid w:val="00CA709C"/>
    <w:rsid w:val="00CA74E2"/>
    <w:rsid w:val="00CB04E7"/>
    <w:rsid w:val="00CB25CA"/>
    <w:rsid w:val="00CB2A0F"/>
    <w:rsid w:val="00CB3CD9"/>
    <w:rsid w:val="00CB41FE"/>
    <w:rsid w:val="00CB54A3"/>
    <w:rsid w:val="00CB55E9"/>
    <w:rsid w:val="00CB7602"/>
    <w:rsid w:val="00CB77B2"/>
    <w:rsid w:val="00CC0381"/>
    <w:rsid w:val="00CC1678"/>
    <w:rsid w:val="00CC1DD3"/>
    <w:rsid w:val="00CC1E17"/>
    <w:rsid w:val="00CC43A5"/>
    <w:rsid w:val="00CC5788"/>
    <w:rsid w:val="00CC5DD2"/>
    <w:rsid w:val="00CC6242"/>
    <w:rsid w:val="00CD3CD1"/>
    <w:rsid w:val="00CD3F83"/>
    <w:rsid w:val="00CD51B0"/>
    <w:rsid w:val="00CD53C0"/>
    <w:rsid w:val="00CD630A"/>
    <w:rsid w:val="00CE10A9"/>
    <w:rsid w:val="00CE1794"/>
    <w:rsid w:val="00CE1AC3"/>
    <w:rsid w:val="00CE230F"/>
    <w:rsid w:val="00CE3439"/>
    <w:rsid w:val="00CE3A29"/>
    <w:rsid w:val="00CE4900"/>
    <w:rsid w:val="00CE4A37"/>
    <w:rsid w:val="00CE5CA5"/>
    <w:rsid w:val="00CE6335"/>
    <w:rsid w:val="00CE6605"/>
    <w:rsid w:val="00CE7C31"/>
    <w:rsid w:val="00CF11D0"/>
    <w:rsid w:val="00CF26C7"/>
    <w:rsid w:val="00CF282F"/>
    <w:rsid w:val="00CF3143"/>
    <w:rsid w:val="00CF3AD7"/>
    <w:rsid w:val="00CF40D3"/>
    <w:rsid w:val="00CF4186"/>
    <w:rsid w:val="00CF566E"/>
    <w:rsid w:val="00CF684F"/>
    <w:rsid w:val="00CF6D65"/>
    <w:rsid w:val="00CF6EF0"/>
    <w:rsid w:val="00D009D6"/>
    <w:rsid w:val="00D00B5F"/>
    <w:rsid w:val="00D01886"/>
    <w:rsid w:val="00D01950"/>
    <w:rsid w:val="00D0282D"/>
    <w:rsid w:val="00D0413E"/>
    <w:rsid w:val="00D04703"/>
    <w:rsid w:val="00D10312"/>
    <w:rsid w:val="00D10593"/>
    <w:rsid w:val="00D13875"/>
    <w:rsid w:val="00D13F66"/>
    <w:rsid w:val="00D15502"/>
    <w:rsid w:val="00D1657F"/>
    <w:rsid w:val="00D17C0A"/>
    <w:rsid w:val="00D17FC0"/>
    <w:rsid w:val="00D204B8"/>
    <w:rsid w:val="00D2187E"/>
    <w:rsid w:val="00D22201"/>
    <w:rsid w:val="00D237DF"/>
    <w:rsid w:val="00D23839"/>
    <w:rsid w:val="00D24454"/>
    <w:rsid w:val="00D24A86"/>
    <w:rsid w:val="00D263EC"/>
    <w:rsid w:val="00D269AF"/>
    <w:rsid w:val="00D27E16"/>
    <w:rsid w:val="00D31CD0"/>
    <w:rsid w:val="00D32AC7"/>
    <w:rsid w:val="00D33AB4"/>
    <w:rsid w:val="00D340FB"/>
    <w:rsid w:val="00D35168"/>
    <w:rsid w:val="00D35439"/>
    <w:rsid w:val="00D366AC"/>
    <w:rsid w:val="00D375AD"/>
    <w:rsid w:val="00D3799C"/>
    <w:rsid w:val="00D406D8"/>
    <w:rsid w:val="00D4189C"/>
    <w:rsid w:val="00D42633"/>
    <w:rsid w:val="00D44804"/>
    <w:rsid w:val="00D46348"/>
    <w:rsid w:val="00D46AD3"/>
    <w:rsid w:val="00D47242"/>
    <w:rsid w:val="00D519FE"/>
    <w:rsid w:val="00D51A1A"/>
    <w:rsid w:val="00D52353"/>
    <w:rsid w:val="00D53800"/>
    <w:rsid w:val="00D542DE"/>
    <w:rsid w:val="00D5463B"/>
    <w:rsid w:val="00D54BCA"/>
    <w:rsid w:val="00D55058"/>
    <w:rsid w:val="00D561B3"/>
    <w:rsid w:val="00D56A62"/>
    <w:rsid w:val="00D5756C"/>
    <w:rsid w:val="00D57B77"/>
    <w:rsid w:val="00D57E85"/>
    <w:rsid w:val="00D57ED2"/>
    <w:rsid w:val="00D60E5F"/>
    <w:rsid w:val="00D61A1B"/>
    <w:rsid w:val="00D61A70"/>
    <w:rsid w:val="00D63865"/>
    <w:rsid w:val="00D63FF3"/>
    <w:rsid w:val="00D65563"/>
    <w:rsid w:val="00D6642D"/>
    <w:rsid w:val="00D67EC9"/>
    <w:rsid w:val="00D717B7"/>
    <w:rsid w:val="00D71C58"/>
    <w:rsid w:val="00D72255"/>
    <w:rsid w:val="00D72638"/>
    <w:rsid w:val="00D73C48"/>
    <w:rsid w:val="00D74175"/>
    <w:rsid w:val="00D745F8"/>
    <w:rsid w:val="00D74CA6"/>
    <w:rsid w:val="00D74F2E"/>
    <w:rsid w:val="00D75912"/>
    <w:rsid w:val="00D7649B"/>
    <w:rsid w:val="00D76E03"/>
    <w:rsid w:val="00D7722C"/>
    <w:rsid w:val="00D777B6"/>
    <w:rsid w:val="00D80502"/>
    <w:rsid w:val="00D80931"/>
    <w:rsid w:val="00D8224E"/>
    <w:rsid w:val="00D83052"/>
    <w:rsid w:val="00D83CD8"/>
    <w:rsid w:val="00D83F66"/>
    <w:rsid w:val="00D840F8"/>
    <w:rsid w:val="00D846ED"/>
    <w:rsid w:val="00D84B07"/>
    <w:rsid w:val="00D85A05"/>
    <w:rsid w:val="00D85C72"/>
    <w:rsid w:val="00D86403"/>
    <w:rsid w:val="00D864D4"/>
    <w:rsid w:val="00D86ACC"/>
    <w:rsid w:val="00D86F81"/>
    <w:rsid w:val="00D871BD"/>
    <w:rsid w:val="00D9423F"/>
    <w:rsid w:val="00D944B5"/>
    <w:rsid w:val="00D94BFC"/>
    <w:rsid w:val="00D94D06"/>
    <w:rsid w:val="00D94E8D"/>
    <w:rsid w:val="00D95548"/>
    <w:rsid w:val="00D95A85"/>
    <w:rsid w:val="00D96385"/>
    <w:rsid w:val="00D97055"/>
    <w:rsid w:val="00DA071E"/>
    <w:rsid w:val="00DA1AC8"/>
    <w:rsid w:val="00DA2387"/>
    <w:rsid w:val="00DA6772"/>
    <w:rsid w:val="00DA7DB0"/>
    <w:rsid w:val="00DB220F"/>
    <w:rsid w:val="00DB2461"/>
    <w:rsid w:val="00DB44C7"/>
    <w:rsid w:val="00DB4643"/>
    <w:rsid w:val="00DB4DBD"/>
    <w:rsid w:val="00DB55A4"/>
    <w:rsid w:val="00DB5956"/>
    <w:rsid w:val="00DB5BF4"/>
    <w:rsid w:val="00DB638C"/>
    <w:rsid w:val="00DB6478"/>
    <w:rsid w:val="00DB67FB"/>
    <w:rsid w:val="00DC355B"/>
    <w:rsid w:val="00DC3597"/>
    <w:rsid w:val="00DC3AC2"/>
    <w:rsid w:val="00DC6E14"/>
    <w:rsid w:val="00DD0ED4"/>
    <w:rsid w:val="00DD3E58"/>
    <w:rsid w:val="00DD45A0"/>
    <w:rsid w:val="00DD5BBD"/>
    <w:rsid w:val="00DD6144"/>
    <w:rsid w:val="00DD6506"/>
    <w:rsid w:val="00DD6BFF"/>
    <w:rsid w:val="00DD6F41"/>
    <w:rsid w:val="00DD7D8E"/>
    <w:rsid w:val="00DE208B"/>
    <w:rsid w:val="00DE269E"/>
    <w:rsid w:val="00DE2872"/>
    <w:rsid w:val="00DE37B7"/>
    <w:rsid w:val="00DE4407"/>
    <w:rsid w:val="00DE4EA4"/>
    <w:rsid w:val="00DE5CCF"/>
    <w:rsid w:val="00DE630C"/>
    <w:rsid w:val="00DE70A3"/>
    <w:rsid w:val="00DF0893"/>
    <w:rsid w:val="00DF1549"/>
    <w:rsid w:val="00DF17B3"/>
    <w:rsid w:val="00DF1D62"/>
    <w:rsid w:val="00DF1DDA"/>
    <w:rsid w:val="00DF2009"/>
    <w:rsid w:val="00DF24BD"/>
    <w:rsid w:val="00DF27B5"/>
    <w:rsid w:val="00DF30E8"/>
    <w:rsid w:val="00DF3664"/>
    <w:rsid w:val="00DF3AA1"/>
    <w:rsid w:val="00DF3E97"/>
    <w:rsid w:val="00DF4299"/>
    <w:rsid w:val="00DF4AC2"/>
    <w:rsid w:val="00DF5F18"/>
    <w:rsid w:val="00DF601A"/>
    <w:rsid w:val="00E00A8B"/>
    <w:rsid w:val="00E0229A"/>
    <w:rsid w:val="00E02926"/>
    <w:rsid w:val="00E042F8"/>
    <w:rsid w:val="00E07006"/>
    <w:rsid w:val="00E07137"/>
    <w:rsid w:val="00E07B21"/>
    <w:rsid w:val="00E07D4D"/>
    <w:rsid w:val="00E10746"/>
    <w:rsid w:val="00E1089E"/>
    <w:rsid w:val="00E108E2"/>
    <w:rsid w:val="00E115AC"/>
    <w:rsid w:val="00E11896"/>
    <w:rsid w:val="00E11F6C"/>
    <w:rsid w:val="00E1270F"/>
    <w:rsid w:val="00E127F0"/>
    <w:rsid w:val="00E12EDA"/>
    <w:rsid w:val="00E133AD"/>
    <w:rsid w:val="00E135B8"/>
    <w:rsid w:val="00E13871"/>
    <w:rsid w:val="00E13C99"/>
    <w:rsid w:val="00E1536B"/>
    <w:rsid w:val="00E15665"/>
    <w:rsid w:val="00E15D39"/>
    <w:rsid w:val="00E17893"/>
    <w:rsid w:val="00E20E35"/>
    <w:rsid w:val="00E213DB"/>
    <w:rsid w:val="00E2547C"/>
    <w:rsid w:val="00E257F1"/>
    <w:rsid w:val="00E259DC"/>
    <w:rsid w:val="00E269BD"/>
    <w:rsid w:val="00E26A1F"/>
    <w:rsid w:val="00E279D3"/>
    <w:rsid w:val="00E30EC2"/>
    <w:rsid w:val="00E31555"/>
    <w:rsid w:val="00E325E2"/>
    <w:rsid w:val="00E334B1"/>
    <w:rsid w:val="00E349B9"/>
    <w:rsid w:val="00E37CE1"/>
    <w:rsid w:val="00E37D02"/>
    <w:rsid w:val="00E409CE"/>
    <w:rsid w:val="00E40B60"/>
    <w:rsid w:val="00E410D1"/>
    <w:rsid w:val="00E4162B"/>
    <w:rsid w:val="00E421FB"/>
    <w:rsid w:val="00E42A44"/>
    <w:rsid w:val="00E4478F"/>
    <w:rsid w:val="00E45417"/>
    <w:rsid w:val="00E459A2"/>
    <w:rsid w:val="00E465D0"/>
    <w:rsid w:val="00E508A7"/>
    <w:rsid w:val="00E5099C"/>
    <w:rsid w:val="00E51D68"/>
    <w:rsid w:val="00E51DA5"/>
    <w:rsid w:val="00E521B1"/>
    <w:rsid w:val="00E525DA"/>
    <w:rsid w:val="00E53091"/>
    <w:rsid w:val="00E533A6"/>
    <w:rsid w:val="00E53797"/>
    <w:rsid w:val="00E53962"/>
    <w:rsid w:val="00E53DF9"/>
    <w:rsid w:val="00E56EE9"/>
    <w:rsid w:val="00E57367"/>
    <w:rsid w:val="00E579ED"/>
    <w:rsid w:val="00E60EB4"/>
    <w:rsid w:val="00E6214F"/>
    <w:rsid w:val="00E6227E"/>
    <w:rsid w:val="00E62D47"/>
    <w:rsid w:val="00E64DC8"/>
    <w:rsid w:val="00E6508F"/>
    <w:rsid w:val="00E65113"/>
    <w:rsid w:val="00E6518D"/>
    <w:rsid w:val="00E67D3A"/>
    <w:rsid w:val="00E702A2"/>
    <w:rsid w:val="00E73078"/>
    <w:rsid w:val="00E7346E"/>
    <w:rsid w:val="00E74900"/>
    <w:rsid w:val="00E76002"/>
    <w:rsid w:val="00E76B0B"/>
    <w:rsid w:val="00E809C6"/>
    <w:rsid w:val="00E8107A"/>
    <w:rsid w:val="00E813AC"/>
    <w:rsid w:val="00E817CC"/>
    <w:rsid w:val="00E82766"/>
    <w:rsid w:val="00E842DF"/>
    <w:rsid w:val="00E8448D"/>
    <w:rsid w:val="00E85E77"/>
    <w:rsid w:val="00E86337"/>
    <w:rsid w:val="00E86676"/>
    <w:rsid w:val="00E87F09"/>
    <w:rsid w:val="00E9041B"/>
    <w:rsid w:val="00E915CA"/>
    <w:rsid w:val="00E91959"/>
    <w:rsid w:val="00E92068"/>
    <w:rsid w:val="00E926E7"/>
    <w:rsid w:val="00E92977"/>
    <w:rsid w:val="00E92E1E"/>
    <w:rsid w:val="00E932CC"/>
    <w:rsid w:val="00E942E6"/>
    <w:rsid w:val="00E95056"/>
    <w:rsid w:val="00E95B04"/>
    <w:rsid w:val="00E95E26"/>
    <w:rsid w:val="00E9654E"/>
    <w:rsid w:val="00E97948"/>
    <w:rsid w:val="00EA0668"/>
    <w:rsid w:val="00EA0EBD"/>
    <w:rsid w:val="00EA3A63"/>
    <w:rsid w:val="00EA4D7D"/>
    <w:rsid w:val="00EA644A"/>
    <w:rsid w:val="00EA781F"/>
    <w:rsid w:val="00EB12AF"/>
    <w:rsid w:val="00EB1E9B"/>
    <w:rsid w:val="00EB1F1F"/>
    <w:rsid w:val="00EB24D9"/>
    <w:rsid w:val="00EB29C6"/>
    <w:rsid w:val="00EB37E1"/>
    <w:rsid w:val="00EB48EB"/>
    <w:rsid w:val="00EB4C9A"/>
    <w:rsid w:val="00EB63D2"/>
    <w:rsid w:val="00EB6E35"/>
    <w:rsid w:val="00EC0C78"/>
    <w:rsid w:val="00EC2513"/>
    <w:rsid w:val="00EC2F5B"/>
    <w:rsid w:val="00EC3245"/>
    <w:rsid w:val="00EC366B"/>
    <w:rsid w:val="00EC5277"/>
    <w:rsid w:val="00EC6F62"/>
    <w:rsid w:val="00EC72B7"/>
    <w:rsid w:val="00EC79CB"/>
    <w:rsid w:val="00ED10B3"/>
    <w:rsid w:val="00ED1A45"/>
    <w:rsid w:val="00ED2945"/>
    <w:rsid w:val="00ED2A6F"/>
    <w:rsid w:val="00ED32E2"/>
    <w:rsid w:val="00ED3E38"/>
    <w:rsid w:val="00ED414A"/>
    <w:rsid w:val="00ED4171"/>
    <w:rsid w:val="00ED4D4B"/>
    <w:rsid w:val="00ED625D"/>
    <w:rsid w:val="00ED7184"/>
    <w:rsid w:val="00ED7316"/>
    <w:rsid w:val="00EE033F"/>
    <w:rsid w:val="00EE0548"/>
    <w:rsid w:val="00EE08C5"/>
    <w:rsid w:val="00EE1806"/>
    <w:rsid w:val="00EE1DCD"/>
    <w:rsid w:val="00EE1F0D"/>
    <w:rsid w:val="00EE22AC"/>
    <w:rsid w:val="00EE6737"/>
    <w:rsid w:val="00EE6F2B"/>
    <w:rsid w:val="00EE7146"/>
    <w:rsid w:val="00EE74B0"/>
    <w:rsid w:val="00EF0137"/>
    <w:rsid w:val="00EF1357"/>
    <w:rsid w:val="00EF1B3E"/>
    <w:rsid w:val="00EF1EA8"/>
    <w:rsid w:val="00EF2483"/>
    <w:rsid w:val="00EF24A0"/>
    <w:rsid w:val="00EF2755"/>
    <w:rsid w:val="00EF3267"/>
    <w:rsid w:val="00EF37E7"/>
    <w:rsid w:val="00EF3E70"/>
    <w:rsid w:val="00EF4255"/>
    <w:rsid w:val="00EF6F8E"/>
    <w:rsid w:val="00EF71B1"/>
    <w:rsid w:val="00EF758C"/>
    <w:rsid w:val="00F01469"/>
    <w:rsid w:val="00F01944"/>
    <w:rsid w:val="00F020B9"/>
    <w:rsid w:val="00F02459"/>
    <w:rsid w:val="00F02FC7"/>
    <w:rsid w:val="00F02FDD"/>
    <w:rsid w:val="00F05BBE"/>
    <w:rsid w:val="00F05FA1"/>
    <w:rsid w:val="00F10069"/>
    <w:rsid w:val="00F103A6"/>
    <w:rsid w:val="00F106E8"/>
    <w:rsid w:val="00F10A61"/>
    <w:rsid w:val="00F12BB4"/>
    <w:rsid w:val="00F13084"/>
    <w:rsid w:val="00F13F12"/>
    <w:rsid w:val="00F15437"/>
    <w:rsid w:val="00F16703"/>
    <w:rsid w:val="00F167F7"/>
    <w:rsid w:val="00F173FA"/>
    <w:rsid w:val="00F218C3"/>
    <w:rsid w:val="00F22ABF"/>
    <w:rsid w:val="00F22D6F"/>
    <w:rsid w:val="00F237AC"/>
    <w:rsid w:val="00F25DEE"/>
    <w:rsid w:val="00F27C4B"/>
    <w:rsid w:val="00F31E57"/>
    <w:rsid w:val="00F33031"/>
    <w:rsid w:val="00F335D3"/>
    <w:rsid w:val="00F3374B"/>
    <w:rsid w:val="00F36475"/>
    <w:rsid w:val="00F372A7"/>
    <w:rsid w:val="00F37BF8"/>
    <w:rsid w:val="00F40115"/>
    <w:rsid w:val="00F40B08"/>
    <w:rsid w:val="00F4137A"/>
    <w:rsid w:val="00F42619"/>
    <w:rsid w:val="00F4270F"/>
    <w:rsid w:val="00F432F1"/>
    <w:rsid w:val="00F43B98"/>
    <w:rsid w:val="00F43D65"/>
    <w:rsid w:val="00F4489E"/>
    <w:rsid w:val="00F458D3"/>
    <w:rsid w:val="00F50949"/>
    <w:rsid w:val="00F511F3"/>
    <w:rsid w:val="00F523EA"/>
    <w:rsid w:val="00F52B94"/>
    <w:rsid w:val="00F53870"/>
    <w:rsid w:val="00F53C13"/>
    <w:rsid w:val="00F53E60"/>
    <w:rsid w:val="00F53EB5"/>
    <w:rsid w:val="00F54004"/>
    <w:rsid w:val="00F55525"/>
    <w:rsid w:val="00F55686"/>
    <w:rsid w:val="00F57943"/>
    <w:rsid w:val="00F57C5A"/>
    <w:rsid w:val="00F608AC"/>
    <w:rsid w:val="00F61525"/>
    <w:rsid w:val="00F648C4"/>
    <w:rsid w:val="00F6569D"/>
    <w:rsid w:val="00F66CB9"/>
    <w:rsid w:val="00F67236"/>
    <w:rsid w:val="00F7058D"/>
    <w:rsid w:val="00F70D4B"/>
    <w:rsid w:val="00F71461"/>
    <w:rsid w:val="00F716A6"/>
    <w:rsid w:val="00F721F6"/>
    <w:rsid w:val="00F72228"/>
    <w:rsid w:val="00F7346A"/>
    <w:rsid w:val="00F74166"/>
    <w:rsid w:val="00F74DC2"/>
    <w:rsid w:val="00F75F5B"/>
    <w:rsid w:val="00F76F3D"/>
    <w:rsid w:val="00F77052"/>
    <w:rsid w:val="00F77623"/>
    <w:rsid w:val="00F778A4"/>
    <w:rsid w:val="00F77C89"/>
    <w:rsid w:val="00F8020E"/>
    <w:rsid w:val="00F80273"/>
    <w:rsid w:val="00F80C2E"/>
    <w:rsid w:val="00F8226A"/>
    <w:rsid w:val="00F83C7F"/>
    <w:rsid w:val="00F83FFB"/>
    <w:rsid w:val="00F86EC5"/>
    <w:rsid w:val="00F93077"/>
    <w:rsid w:val="00F93E32"/>
    <w:rsid w:val="00F95574"/>
    <w:rsid w:val="00FA1010"/>
    <w:rsid w:val="00FA3167"/>
    <w:rsid w:val="00FA3DFE"/>
    <w:rsid w:val="00FA5BFA"/>
    <w:rsid w:val="00FA6996"/>
    <w:rsid w:val="00FA7D14"/>
    <w:rsid w:val="00FB0361"/>
    <w:rsid w:val="00FB0A4A"/>
    <w:rsid w:val="00FB14F8"/>
    <w:rsid w:val="00FB18D2"/>
    <w:rsid w:val="00FB22BF"/>
    <w:rsid w:val="00FB23D3"/>
    <w:rsid w:val="00FB347F"/>
    <w:rsid w:val="00FB36CD"/>
    <w:rsid w:val="00FB3943"/>
    <w:rsid w:val="00FB3A21"/>
    <w:rsid w:val="00FB496C"/>
    <w:rsid w:val="00FB4FB5"/>
    <w:rsid w:val="00FB52A6"/>
    <w:rsid w:val="00FB53A2"/>
    <w:rsid w:val="00FB579C"/>
    <w:rsid w:val="00FC027E"/>
    <w:rsid w:val="00FC0F14"/>
    <w:rsid w:val="00FC2B6B"/>
    <w:rsid w:val="00FC3B42"/>
    <w:rsid w:val="00FC46FE"/>
    <w:rsid w:val="00FC4DE5"/>
    <w:rsid w:val="00FC55E0"/>
    <w:rsid w:val="00FC60AD"/>
    <w:rsid w:val="00FC6296"/>
    <w:rsid w:val="00FC7119"/>
    <w:rsid w:val="00FC720D"/>
    <w:rsid w:val="00FC7BDD"/>
    <w:rsid w:val="00FD10D1"/>
    <w:rsid w:val="00FD1227"/>
    <w:rsid w:val="00FD1B28"/>
    <w:rsid w:val="00FD25CC"/>
    <w:rsid w:val="00FD2B93"/>
    <w:rsid w:val="00FD2D3A"/>
    <w:rsid w:val="00FD5442"/>
    <w:rsid w:val="00FD753B"/>
    <w:rsid w:val="00FE03A3"/>
    <w:rsid w:val="00FE1B13"/>
    <w:rsid w:val="00FE3A5A"/>
    <w:rsid w:val="00FE4FBF"/>
    <w:rsid w:val="00FE5FEB"/>
    <w:rsid w:val="00FE7975"/>
    <w:rsid w:val="00FF04EA"/>
    <w:rsid w:val="00FF0ACA"/>
    <w:rsid w:val="00FF126E"/>
    <w:rsid w:val="00FF238A"/>
    <w:rsid w:val="00FF4B34"/>
    <w:rsid w:val="00FF5901"/>
    <w:rsid w:val="00FF5B99"/>
    <w:rsid w:val="00FF5F48"/>
    <w:rsid w:val="00FF6DD3"/>
    <w:rsid w:val="00FF7244"/>
    <w:rsid w:val="011D74FC"/>
    <w:rsid w:val="0128290E"/>
    <w:rsid w:val="013768C8"/>
    <w:rsid w:val="013850C0"/>
    <w:rsid w:val="0153764F"/>
    <w:rsid w:val="01566CDE"/>
    <w:rsid w:val="015B6E69"/>
    <w:rsid w:val="01745290"/>
    <w:rsid w:val="0181304A"/>
    <w:rsid w:val="019D0799"/>
    <w:rsid w:val="019D3DF3"/>
    <w:rsid w:val="01A00C4B"/>
    <w:rsid w:val="01A66A4A"/>
    <w:rsid w:val="01AF479D"/>
    <w:rsid w:val="01C22622"/>
    <w:rsid w:val="01D6578B"/>
    <w:rsid w:val="01D76DCB"/>
    <w:rsid w:val="01E00B6C"/>
    <w:rsid w:val="02163AEB"/>
    <w:rsid w:val="02185A79"/>
    <w:rsid w:val="021C21D3"/>
    <w:rsid w:val="025036A6"/>
    <w:rsid w:val="02564ACE"/>
    <w:rsid w:val="025F4BD3"/>
    <w:rsid w:val="026544B4"/>
    <w:rsid w:val="02690FB6"/>
    <w:rsid w:val="02707F5C"/>
    <w:rsid w:val="02864D3C"/>
    <w:rsid w:val="02875467"/>
    <w:rsid w:val="029B4874"/>
    <w:rsid w:val="02A50812"/>
    <w:rsid w:val="02A843AE"/>
    <w:rsid w:val="02C9031E"/>
    <w:rsid w:val="02D518DF"/>
    <w:rsid w:val="02D85B1A"/>
    <w:rsid w:val="02E01308"/>
    <w:rsid w:val="02E0695A"/>
    <w:rsid w:val="02EC4A63"/>
    <w:rsid w:val="02EE34AB"/>
    <w:rsid w:val="02F5162E"/>
    <w:rsid w:val="02F77068"/>
    <w:rsid w:val="0302277B"/>
    <w:rsid w:val="03111516"/>
    <w:rsid w:val="032138B9"/>
    <w:rsid w:val="03390E42"/>
    <w:rsid w:val="0340237B"/>
    <w:rsid w:val="0366642E"/>
    <w:rsid w:val="03916DD8"/>
    <w:rsid w:val="03953DE8"/>
    <w:rsid w:val="0396533F"/>
    <w:rsid w:val="039A6EF5"/>
    <w:rsid w:val="03A41479"/>
    <w:rsid w:val="03A60572"/>
    <w:rsid w:val="03B87CAB"/>
    <w:rsid w:val="03BB6948"/>
    <w:rsid w:val="03F65351"/>
    <w:rsid w:val="03FB4C4F"/>
    <w:rsid w:val="040B6A82"/>
    <w:rsid w:val="041A202C"/>
    <w:rsid w:val="041E336C"/>
    <w:rsid w:val="044445ED"/>
    <w:rsid w:val="04513B5A"/>
    <w:rsid w:val="04541C20"/>
    <w:rsid w:val="04552CEF"/>
    <w:rsid w:val="045B393E"/>
    <w:rsid w:val="04696297"/>
    <w:rsid w:val="04A70316"/>
    <w:rsid w:val="04AA4566"/>
    <w:rsid w:val="04B02EE2"/>
    <w:rsid w:val="04B70B92"/>
    <w:rsid w:val="04C95106"/>
    <w:rsid w:val="04CA6DC5"/>
    <w:rsid w:val="04D470D7"/>
    <w:rsid w:val="04D64AF3"/>
    <w:rsid w:val="04D943F7"/>
    <w:rsid w:val="04F71727"/>
    <w:rsid w:val="04FB1F04"/>
    <w:rsid w:val="04FD6415"/>
    <w:rsid w:val="050A6E01"/>
    <w:rsid w:val="05136998"/>
    <w:rsid w:val="051B11A7"/>
    <w:rsid w:val="051E0A2E"/>
    <w:rsid w:val="052462B1"/>
    <w:rsid w:val="05281CB7"/>
    <w:rsid w:val="05462ED3"/>
    <w:rsid w:val="0549380E"/>
    <w:rsid w:val="054A4CBC"/>
    <w:rsid w:val="054C0FF7"/>
    <w:rsid w:val="05522E9C"/>
    <w:rsid w:val="055E2D25"/>
    <w:rsid w:val="056A7F3A"/>
    <w:rsid w:val="05715C60"/>
    <w:rsid w:val="05872D97"/>
    <w:rsid w:val="058A4082"/>
    <w:rsid w:val="058B7DE8"/>
    <w:rsid w:val="058E068A"/>
    <w:rsid w:val="05982AA9"/>
    <w:rsid w:val="05A25265"/>
    <w:rsid w:val="05B84E24"/>
    <w:rsid w:val="05E166DC"/>
    <w:rsid w:val="05E60FD8"/>
    <w:rsid w:val="05F96935"/>
    <w:rsid w:val="060023E7"/>
    <w:rsid w:val="06286B97"/>
    <w:rsid w:val="06394FDE"/>
    <w:rsid w:val="064E1C4D"/>
    <w:rsid w:val="06622E74"/>
    <w:rsid w:val="066574C5"/>
    <w:rsid w:val="066A1554"/>
    <w:rsid w:val="06717CAC"/>
    <w:rsid w:val="067357E6"/>
    <w:rsid w:val="069A1C17"/>
    <w:rsid w:val="06A84E86"/>
    <w:rsid w:val="06BC0E81"/>
    <w:rsid w:val="06C16827"/>
    <w:rsid w:val="06D13FBA"/>
    <w:rsid w:val="06F06340"/>
    <w:rsid w:val="06F24B37"/>
    <w:rsid w:val="06F812B8"/>
    <w:rsid w:val="07016FDF"/>
    <w:rsid w:val="070D3F46"/>
    <w:rsid w:val="071A245F"/>
    <w:rsid w:val="072F03D3"/>
    <w:rsid w:val="073402F0"/>
    <w:rsid w:val="07350300"/>
    <w:rsid w:val="073B4049"/>
    <w:rsid w:val="07603950"/>
    <w:rsid w:val="0762118D"/>
    <w:rsid w:val="079C1042"/>
    <w:rsid w:val="07C15553"/>
    <w:rsid w:val="07F5778E"/>
    <w:rsid w:val="07FB6585"/>
    <w:rsid w:val="07FC4484"/>
    <w:rsid w:val="08002AE8"/>
    <w:rsid w:val="080726DF"/>
    <w:rsid w:val="0812799B"/>
    <w:rsid w:val="08187FF4"/>
    <w:rsid w:val="081B7BBC"/>
    <w:rsid w:val="082C530E"/>
    <w:rsid w:val="083E484A"/>
    <w:rsid w:val="08437B71"/>
    <w:rsid w:val="08555C38"/>
    <w:rsid w:val="085B0A4D"/>
    <w:rsid w:val="086D0413"/>
    <w:rsid w:val="08761DE0"/>
    <w:rsid w:val="088C2485"/>
    <w:rsid w:val="0890260A"/>
    <w:rsid w:val="08987F27"/>
    <w:rsid w:val="08E41BC2"/>
    <w:rsid w:val="08F767C2"/>
    <w:rsid w:val="09003402"/>
    <w:rsid w:val="09033CB8"/>
    <w:rsid w:val="09036A16"/>
    <w:rsid w:val="09072D0E"/>
    <w:rsid w:val="090F175A"/>
    <w:rsid w:val="091750DE"/>
    <w:rsid w:val="09185483"/>
    <w:rsid w:val="09280DF8"/>
    <w:rsid w:val="09316387"/>
    <w:rsid w:val="093B66B5"/>
    <w:rsid w:val="09472A87"/>
    <w:rsid w:val="0969654A"/>
    <w:rsid w:val="098B01AC"/>
    <w:rsid w:val="098E2361"/>
    <w:rsid w:val="09901746"/>
    <w:rsid w:val="09905D77"/>
    <w:rsid w:val="099D1EEE"/>
    <w:rsid w:val="09A908FB"/>
    <w:rsid w:val="09B622C0"/>
    <w:rsid w:val="09B96D14"/>
    <w:rsid w:val="09C60FB7"/>
    <w:rsid w:val="09F168F0"/>
    <w:rsid w:val="0A0F2A5A"/>
    <w:rsid w:val="0A127E9F"/>
    <w:rsid w:val="0A1427DA"/>
    <w:rsid w:val="0A1C2271"/>
    <w:rsid w:val="0A595EBA"/>
    <w:rsid w:val="0A5F49C5"/>
    <w:rsid w:val="0A6E384F"/>
    <w:rsid w:val="0A713333"/>
    <w:rsid w:val="0A83174F"/>
    <w:rsid w:val="0A89564B"/>
    <w:rsid w:val="0A983C56"/>
    <w:rsid w:val="0A9A162B"/>
    <w:rsid w:val="0A9B4B62"/>
    <w:rsid w:val="0A9D042C"/>
    <w:rsid w:val="0AA36B2A"/>
    <w:rsid w:val="0AB07A18"/>
    <w:rsid w:val="0AB460E6"/>
    <w:rsid w:val="0AB90193"/>
    <w:rsid w:val="0AD82DFC"/>
    <w:rsid w:val="0ADD7C95"/>
    <w:rsid w:val="0AE10DA3"/>
    <w:rsid w:val="0AF74261"/>
    <w:rsid w:val="0B0D0CD1"/>
    <w:rsid w:val="0B170C64"/>
    <w:rsid w:val="0B1F6283"/>
    <w:rsid w:val="0B32271B"/>
    <w:rsid w:val="0B390656"/>
    <w:rsid w:val="0B4376E3"/>
    <w:rsid w:val="0B55192F"/>
    <w:rsid w:val="0B7E0719"/>
    <w:rsid w:val="0B97407F"/>
    <w:rsid w:val="0BA44089"/>
    <w:rsid w:val="0BB26D12"/>
    <w:rsid w:val="0BD3194B"/>
    <w:rsid w:val="0BD421CC"/>
    <w:rsid w:val="0BD77BE6"/>
    <w:rsid w:val="0BE36CCB"/>
    <w:rsid w:val="0C0E64D7"/>
    <w:rsid w:val="0C35350D"/>
    <w:rsid w:val="0C465865"/>
    <w:rsid w:val="0C4D0943"/>
    <w:rsid w:val="0C4F7036"/>
    <w:rsid w:val="0C5661DE"/>
    <w:rsid w:val="0C630382"/>
    <w:rsid w:val="0C6E0DA5"/>
    <w:rsid w:val="0C720292"/>
    <w:rsid w:val="0C730F2D"/>
    <w:rsid w:val="0C7E21DE"/>
    <w:rsid w:val="0C872D05"/>
    <w:rsid w:val="0C9C0038"/>
    <w:rsid w:val="0CA57CE7"/>
    <w:rsid w:val="0CB84E14"/>
    <w:rsid w:val="0CBC7DD0"/>
    <w:rsid w:val="0CC43151"/>
    <w:rsid w:val="0CD94572"/>
    <w:rsid w:val="0CDB3075"/>
    <w:rsid w:val="0CE760AE"/>
    <w:rsid w:val="0CF733D1"/>
    <w:rsid w:val="0CFC713D"/>
    <w:rsid w:val="0D0730A2"/>
    <w:rsid w:val="0D0D50BB"/>
    <w:rsid w:val="0D0F7704"/>
    <w:rsid w:val="0D156D06"/>
    <w:rsid w:val="0D22192C"/>
    <w:rsid w:val="0D300CDA"/>
    <w:rsid w:val="0D3F0B77"/>
    <w:rsid w:val="0D5F3BDF"/>
    <w:rsid w:val="0D656C46"/>
    <w:rsid w:val="0D7D6C88"/>
    <w:rsid w:val="0D857258"/>
    <w:rsid w:val="0DA5705A"/>
    <w:rsid w:val="0DA8084C"/>
    <w:rsid w:val="0DC22D0F"/>
    <w:rsid w:val="0DDA7A0D"/>
    <w:rsid w:val="0DE85E53"/>
    <w:rsid w:val="0DE86D06"/>
    <w:rsid w:val="0DEF5EC1"/>
    <w:rsid w:val="0DF37DFC"/>
    <w:rsid w:val="0DFB6FBB"/>
    <w:rsid w:val="0E1C6F7C"/>
    <w:rsid w:val="0E3B53AA"/>
    <w:rsid w:val="0E4950E0"/>
    <w:rsid w:val="0E4C0B1F"/>
    <w:rsid w:val="0E6D5943"/>
    <w:rsid w:val="0E6E3F8A"/>
    <w:rsid w:val="0E7620E1"/>
    <w:rsid w:val="0E9F436A"/>
    <w:rsid w:val="0EB5750C"/>
    <w:rsid w:val="0EC178C6"/>
    <w:rsid w:val="0EC82995"/>
    <w:rsid w:val="0ECF094D"/>
    <w:rsid w:val="0ED56C24"/>
    <w:rsid w:val="0EED5465"/>
    <w:rsid w:val="0EF63597"/>
    <w:rsid w:val="0EF66865"/>
    <w:rsid w:val="0F0D7845"/>
    <w:rsid w:val="0F12521A"/>
    <w:rsid w:val="0F16736E"/>
    <w:rsid w:val="0F1B747F"/>
    <w:rsid w:val="0F460EC0"/>
    <w:rsid w:val="0F660C9C"/>
    <w:rsid w:val="0F6F4A12"/>
    <w:rsid w:val="0F72010F"/>
    <w:rsid w:val="0F7E34BF"/>
    <w:rsid w:val="0F96278A"/>
    <w:rsid w:val="0F985E97"/>
    <w:rsid w:val="0F997A77"/>
    <w:rsid w:val="0FAC428E"/>
    <w:rsid w:val="0FB720C4"/>
    <w:rsid w:val="0FC550B5"/>
    <w:rsid w:val="0FC8602A"/>
    <w:rsid w:val="0FCC78FE"/>
    <w:rsid w:val="0FCE634D"/>
    <w:rsid w:val="0FD35762"/>
    <w:rsid w:val="0FD841BB"/>
    <w:rsid w:val="0FE468A1"/>
    <w:rsid w:val="0FF1216B"/>
    <w:rsid w:val="0FFB6184"/>
    <w:rsid w:val="10122AB4"/>
    <w:rsid w:val="10127E04"/>
    <w:rsid w:val="10185DB9"/>
    <w:rsid w:val="1031274B"/>
    <w:rsid w:val="104244A5"/>
    <w:rsid w:val="10477309"/>
    <w:rsid w:val="104B23BD"/>
    <w:rsid w:val="10533B6A"/>
    <w:rsid w:val="10537D1E"/>
    <w:rsid w:val="10577595"/>
    <w:rsid w:val="105D37FA"/>
    <w:rsid w:val="10617CF5"/>
    <w:rsid w:val="106F16FD"/>
    <w:rsid w:val="107F283F"/>
    <w:rsid w:val="10816A04"/>
    <w:rsid w:val="109B3F0B"/>
    <w:rsid w:val="10A32DD5"/>
    <w:rsid w:val="10A4643E"/>
    <w:rsid w:val="10AB0EA9"/>
    <w:rsid w:val="10AE48D7"/>
    <w:rsid w:val="10BD4611"/>
    <w:rsid w:val="10BF1CA5"/>
    <w:rsid w:val="10C723E1"/>
    <w:rsid w:val="10CE78E5"/>
    <w:rsid w:val="10D06702"/>
    <w:rsid w:val="10D41E94"/>
    <w:rsid w:val="10D720CE"/>
    <w:rsid w:val="10DF4C21"/>
    <w:rsid w:val="10E4676F"/>
    <w:rsid w:val="10FF587C"/>
    <w:rsid w:val="11007022"/>
    <w:rsid w:val="110E59BC"/>
    <w:rsid w:val="111066BD"/>
    <w:rsid w:val="1119089A"/>
    <w:rsid w:val="111B533C"/>
    <w:rsid w:val="1127696D"/>
    <w:rsid w:val="11372B5C"/>
    <w:rsid w:val="11382C01"/>
    <w:rsid w:val="11383FBA"/>
    <w:rsid w:val="114A3571"/>
    <w:rsid w:val="11581E7E"/>
    <w:rsid w:val="119071CA"/>
    <w:rsid w:val="11A549BB"/>
    <w:rsid w:val="11A651A1"/>
    <w:rsid w:val="11AA0200"/>
    <w:rsid w:val="11AF3EC2"/>
    <w:rsid w:val="11DC0882"/>
    <w:rsid w:val="11FA7515"/>
    <w:rsid w:val="12044FFE"/>
    <w:rsid w:val="12072ECD"/>
    <w:rsid w:val="12121776"/>
    <w:rsid w:val="1215487B"/>
    <w:rsid w:val="12162EEA"/>
    <w:rsid w:val="1225617B"/>
    <w:rsid w:val="1227659B"/>
    <w:rsid w:val="12377199"/>
    <w:rsid w:val="123A56C9"/>
    <w:rsid w:val="124979D9"/>
    <w:rsid w:val="1260153A"/>
    <w:rsid w:val="128159EA"/>
    <w:rsid w:val="129C3095"/>
    <w:rsid w:val="129F0A72"/>
    <w:rsid w:val="12A72B98"/>
    <w:rsid w:val="12AD28A4"/>
    <w:rsid w:val="12D8726A"/>
    <w:rsid w:val="12E44D9C"/>
    <w:rsid w:val="12E63271"/>
    <w:rsid w:val="12F1226B"/>
    <w:rsid w:val="12F84D66"/>
    <w:rsid w:val="12FE6095"/>
    <w:rsid w:val="12FF605E"/>
    <w:rsid w:val="1307455C"/>
    <w:rsid w:val="131205C7"/>
    <w:rsid w:val="131F0319"/>
    <w:rsid w:val="1333563C"/>
    <w:rsid w:val="13456C2B"/>
    <w:rsid w:val="135B0BDD"/>
    <w:rsid w:val="13633BA0"/>
    <w:rsid w:val="136E21AD"/>
    <w:rsid w:val="13735FD7"/>
    <w:rsid w:val="1375426B"/>
    <w:rsid w:val="13806148"/>
    <w:rsid w:val="138106C4"/>
    <w:rsid w:val="139A0B87"/>
    <w:rsid w:val="139A1699"/>
    <w:rsid w:val="13B20B8B"/>
    <w:rsid w:val="13B447DB"/>
    <w:rsid w:val="13B60F10"/>
    <w:rsid w:val="13D64A2F"/>
    <w:rsid w:val="13E33875"/>
    <w:rsid w:val="13EA4532"/>
    <w:rsid w:val="13EB321B"/>
    <w:rsid w:val="13F14CFF"/>
    <w:rsid w:val="140246F6"/>
    <w:rsid w:val="140967C0"/>
    <w:rsid w:val="14171D8B"/>
    <w:rsid w:val="14273991"/>
    <w:rsid w:val="142E4C01"/>
    <w:rsid w:val="1431332A"/>
    <w:rsid w:val="14354F68"/>
    <w:rsid w:val="144E5888"/>
    <w:rsid w:val="1457402D"/>
    <w:rsid w:val="14725B33"/>
    <w:rsid w:val="14777E86"/>
    <w:rsid w:val="147A1C83"/>
    <w:rsid w:val="14894CB5"/>
    <w:rsid w:val="148F414E"/>
    <w:rsid w:val="149955C5"/>
    <w:rsid w:val="14A8531E"/>
    <w:rsid w:val="14AE5168"/>
    <w:rsid w:val="14B2160C"/>
    <w:rsid w:val="14D9478C"/>
    <w:rsid w:val="14EA4BAC"/>
    <w:rsid w:val="14FF55EE"/>
    <w:rsid w:val="152359C3"/>
    <w:rsid w:val="15283AA6"/>
    <w:rsid w:val="152C4AED"/>
    <w:rsid w:val="1530451E"/>
    <w:rsid w:val="15334B60"/>
    <w:rsid w:val="155F5485"/>
    <w:rsid w:val="15626D26"/>
    <w:rsid w:val="156415A5"/>
    <w:rsid w:val="15780A67"/>
    <w:rsid w:val="157C1777"/>
    <w:rsid w:val="15827878"/>
    <w:rsid w:val="158F386E"/>
    <w:rsid w:val="15903448"/>
    <w:rsid w:val="15A241B2"/>
    <w:rsid w:val="15AD6815"/>
    <w:rsid w:val="15AE4E9A"/>
    <w:rsid w:val="15B35C0F"/>
    <w:rsid w:val="15B90F02"/>
    <w:rsid w:val="15C12EE0"/>
    <w:rsid w:val="15CD5134"/>
    <w:rsid w:val="15D22916"/>
    <w:rsid w:val="15E769A7"/>
    <w:rsid w:val="15E937E5"/>
    <w:rsid w:val="15F810E6"/>
    <w:rsid w:val="16141473"/>
    <w:rsid w:val="1622021D"/>
    <w:rsid w:val="16226A81"/>
    <w:rsid w:val="163566BA"/>
    <w:rsid w:val="163C7A3F"/>
    <w:rsid w:val="163D4CBC"/>
    <w:rsid w:val="164358DA"/>
    <w:rsid w:val="165C49D2"/>
    <w:rsid w:val="16645FAE"/>
    <w:rsid w:val="1668648D"/>
    <w:rsid w:val="166F0EC6"/>
    <w:rsid w:val="166F4E53"/>
    <w:rsid w:val="16726CF5"/>
    <w:rsid w:val="167A57D9"/>
    <w:rsid w:val="168460D2"/>
    <w:rsid w:val="168D2D06"/>
    <w:rsid w:val="16C544B1"/>
    <w:rsid w:val="16C566E3"/>
    <w:rsid w:val="16E57E06"/>
    <w:rsid w:val="16EB33C5"/>
    <w:rsid w:val="17265E16"/>
    <w:rsid w:val="17295B4B"/>
    <w:rsid w:val="175D5A94"/>
    <w:rsid w:val="176128FC"/>
    <w:rsid w:val="176574AB"/>
    <w:rsid w:val="177C5FAE"/>
    <w:rsid w:val="179E341D"/>
    <w:rsid w:val="17B0754B"/>
    <w:rsid w:val="17CC1A47"/>
    <w:rsid w:val="17D905D1"/>
    <w:rsid w:val="17DB4BD5"/>
    <w:rsid w:val="17E34FC8"/>
    <w:rsid w:val="17F31705"/>
    <w:rsid w:val="17FF77AF"/>
    <w:rsid w:val="181A2578"/>
    <w:rsid w:val="184065C8"/>
    <w:rsid w:val="18443877"/>
    <w:rsid w:val="184A7097"/>
    <w:rsid w:val="185174FD"/>
    <w:rsid w:val="18576869"/>
    <w:rsid w:val="18745ABB"/>
    <w:rsid w:val="188D4009"/>
    <w:rsid w:val="18A91A78"/>
    <w:rsid w:val="18B05439"/>
    <w:rsid w:val="18BD773D"/>
    <w:rsid w:val="18BF1543"/>
    <w:rsid w:val="18E55CBC"/>
    <w:rsid w:val="18EB5819"/>
    <w:rsid w:val="18F62E6F"/>
    <w:rsid w:val="18F74D22"/>
    <w:rsid w:val="18FC3356"/>
    <w:rsid w:val="19095BEC"/>
    <w:rsid w:val="190E0C4C"/>
    <w:rsid w:val="190E3737"/>
    <w:rsid w:val="191E1E90"/>
    <w:rsid w:val="192B4AAB"/>
    <w:rsid w:val="192C62EC"/>
    <w:rsid w:val="193E1B4C"/>
    <w:rsid w:val="195251B8"/>
    <w:rsid w:val="19546A11"/>
    <w:rsid w:val="196140D7"/>
    <w:rsid w:val="19622FFE"/>
    <w:rsid w:val="197371C9"/>
    <w:rsid w:val="197B7D45"/>
    <w:rsid w:val="19A33444"/>
    <w:rsid w:val="19AF40BD"/>
    <w:rsid w:val="19B04947"/>
    <w:rsid w:val="19B96073"/>
    <w:rsid w:val="19DF6D3C"/>
    <w:rsid w:val="19E75241"/>
    <w:rsid w:val="19ED724E"/>
    <w:rsid w:val="19F9242E"/>
    <w:rsid w:val="1A0923F9"/>
    <w:rsid w:val="1A153EEC"/>
    <w:rsid w:val="1A1E6C4A"/>
    <w:rsid w:val="1A2443F0"/>
    <w:rsid w:val="1A246DA6"/>
    <w:rsid w:val="1A38524F"/>
    <w:rsid w:val="1A46435E"/>
    <w:rsid w:val="1A58258F"/>
    <w:rsid w:val="1A58624A"/>
    <w:rsid w:val="1A5B47C4"/>
    <w:rsid w:val="1A5C0484"/>
    <w:rsid w:val="1A634B7D"/>
    <w:rsid w:val="1A6B184D"/>
    <w:rsid w:val="1A6C7E45"/>
    <w:rsid w:val="1AA45A27"/>
    <w:rsid w:val="1ABF6CFA"/>
    <w:rsid w:val="1AD80BA0"/>
    <w:rsid w:val="1ADC70C4"/>
    <w:rsid w:val="1AE16016"/>
    <w:rsid w:val="1AE52DCD"/>
    <w:rsid w:val="1AEF071D"/>
    <w:rsid w:val="1AF15338"/>
    <w:rsid w:val="1AFF2666"/>
    <w:rsid w:val="1B0447FE"/>
    <w:rsid w:val="1B05002D"/>
    <w:rsid w:val="1B1216A6"/>
    <w:rsid w:val="1B4C76E1"/>
    <w:rsid w:val="1B5F2E6F"/>
    <w:rsid w:val="1B637953"/>
    <w:rsid w:val="1B8151F2"/>
    <w:rsid w:val="1B8B0D82"/>
    <w:rsid w:val="1B8B4934"/>
    <w:rsid w:val="1B8E5F06"/>
    <w:rsid w:val="1B9C2CF9"/>
    <w:rsid w:val="1BA10230"/>
    <w:rsid w:val="1BA57755"/>
    <w:rsid w:val="1BAD3C56"/>
    <w:rsid w:val="1BBB4370"/>
    <w:rsid w:val="1BC0206C"/>
    <w:rsid w:val="1BC0630B"/>
    <w:rsid w:val="1BCC308B"/>
    <w:rsid w:val="1BEA3B5F"/>
    <w:rsid w:val="1BED46F1"/>
    <w:rsid w:val="1BF40A7A"/>
    <w:rsid w:val="1BF92BC0"/>
    <w:rsid w:val="1C0044F8"/>
    <w:rsid w:val="1C0D3E62"/>
    <w:rsid w:val="1C103FD8"/>
    <w:rsid w:val="1C2064EF"/>
    <w:rsid w:val="1C42696B"/>
    <w:rsid w:val="1C503F57"/>
    <w:rsid w:val="1C5B230D"/>
    <w:rsid w:val="1C6403E8"/>
    <w:rsid w:val="1C6C2259"/>
    <w:rsid w:val="1C6F5883"/>
    <w:rsid w:val="1C771D8B"/>
    <w:rsid w:val="1C7F0076"/>
    <w:rsid w:val="1CDC592F"/>
    <w:rsid w:val="1CDD6366"/>
    <w:rsid w:val="1D045966"/>
    <w:rsid w:val="1D14690B"/>
    <w:rsid w:val="1D3011E3"/>
    <w:rsid w:val="1D36718A"/>
    <w:rsid w:val="1D370931"/>
    <w:rsid w:val="1D4B23BA"/>
    <w:rsid w:val="1D4E18B4"/>
    <w:rsid w:val="1D583125"/>
    <w:rsid w:val="1D5929D0"/>
    <w:rsid w:val="1D7A546F"/>
    <w:rsid w:val="1D9F55E7"/>
    <w:rsid w:val="1DD8165F"/>
    <w:rsid w:val="1DEB6A26"/>
    <w:rsid w:val="1DEB6F5E"/>
    <w:rsid w:val="1DF4541A"/>
    <w:rsid w:val="1E016B0F"/>
    <w:rsid w:val="1E0B3677"/>
    <w:rsid w:val="1E26734C"/>
    <w:rsid w:val="1E304B65"/>
    <w:rsid w:val="1E642B39"/>
    <w:rsid w:val="1E676CB3"/>
    <w:rsid w:val="1E685F94"/>
    <w:rsid w:val="1E6B5CC1"/>
    <w:rsid w:val="1E891F35"/>
    <w:rsid w:val="1E995863"/>
    <w:rsid w:val="1EA232BE"/>
    <w:rsid w:val="1EA2477F"/>
    <w:rsid w:val="1EB336A7"/>
    <w:rsid w:val="1ECD130A"/>
    <w:rsid w:val="1ED456DD"/>
    <w:rsid w:val="1ED54B37"/>
    <w:rsid w:val="1EDE3CDD"/>
    <w:rsid w:val="1EE8469B"/>
    <w:rsid w:val="1EF038CD"/>
    <w:rsid w:val="1EF46E44"/>
    <w:rsid w:val="1EF54F83"/>
    <w:rsid w:val="1F154B5E"/>
    <w:rsid w:val="1F1A383E"/>
    <w:rsid w:val="1F1F60F5"/>
    <w:rsid w:val="1F2F7672"/>
    <w:rsid w:val="1F3139E8"/>
    <w:rsid w:val="1F365920"/>
    <w:rsid w:val="1F410A9A"/>
    <w:rsid w:val="1F5A5219"/>
    <w:rsid w:val="1F650698"/>
    <w:rsid w:val="1F7D171F"/>
    <w:rsid w:val="1F8753E0"/>
    <w:rsid w:val="1F8D5CE9"/>
    <w:rsid w:val="1F906C72"/>
    <w:rsid w:val="1FA738ED"/>
    <w:rsid w:val="1FAE3EF5"/>
    <w:rsid w:val="1FC5397A"/>
    <w:rsid w:val="1FCA31EF"/>
    <w:rsid w:val="1FD12ECC"/>
    <w:rsid w:val="1FF20C0B"/>
    <w:rsid w:val="1FFD6E69"/>
    <w:rsid w:val="20001BF9"/>
    <w:rsid w:val="201604A3"/>
    <w:rsid w:val="2016427B"/>
    <w:rsid w:val="201F2EE2"/>
    <w:rsid w:val="2032599E"/>
    <w:rsid w:val="20353B52"/>
    <w:rsid w:val="20392737"/>
    <w:rsid w:val="2049144A"/>
    <w:rsid w:val="20540F1A"/>
    <w:rsid w:val="20553595"/>
    <w:rsid w:val="20573CB9"/>
    <w:rsid w:val="20580CB7"/>
    <w:rsid w:val="206472FA"/>
    <w:rsid w:val="207F3671"/>
    <w:rsid w:val="20853435"/>
    <w:rsid w:val="208951CA"/>
    <w:rsid w:val="208B4D14"/>
    <w:rsid w:val="20C02C0D"/>
    <w:rsid w:val="20CA6F5D"/>
    <w:rsid w:val="20CD0A96"/>
    <w:rsid w:val="20F745E4"/>
    <w:rsid w:val="20FB07BC"/>
    <w:rsid w:val="20FB34D9"/>
    <w:rsid w:val="21044180"/>
    <w:rsid w:val="211A3181"/>
    <w:rsid w:val="211E56F3"/>
    <w:rsid w:val="21247010"/>
    <w:rsid w:val="212B6C00"/>
    <w:rsid w:val="212D1DB0"/>
    <w:rsid w:val="213E32FD"/>
    <w:rsid w:val="216A1765"/>
    <w:rsid w:val="21713BAD"/>
    <w:rsid w:val="21797822"/>
    <w:rsid w:val="2192504D"/>
    <w:rsid w:val="21A53147"/>
    <w:rsid w:val="21B53840"/>
    <w:rsid w:val="21B94F78"/>
    <w:rsid w:val="21B96245"/>
    <w:rsid w:val="21BD3332"/>
    <w:rsid w:val="21D37820"/>
    <w:rsid w:val="21D6233E"/>
    <w:rsid w:val="21E21256"/>
    <w:rsid w:val="21FE46B0"/>
    <w:rsid w:val="22110C99"/>
    <w:rsid w:val="22137FAF"/>
    <w:rsid w:val="22232C5B"/>
    <w:rsid w:val="22264FDE"/>
    <w:rsid w:val="2226731F"/>
    <w:rsid w:val="222A4995"/>
    <w:rsid w:val="22313851"/>
    <w:rsid w:val="224001F9"/>
    <w:rsid w:val="225E3824"/>
    <w:rsid w:val="22825091"/>
    <w:rsid w:val="22882ED0"/>
    <w:rsid w:val="228F4BA7"/>
    <w:rsid w:val="22A00226"/>
    <w:rsid w:val="22A61769"/>
    <w:rsid w:val="22BF4728"/>
    <w:rsid w:val="22D45283"/>
    <w:rsid w:val="22D738C3"/>
    <w:rsid w:val="22EE37AE"/>
    <w:rsid w:val="231C1735"/>
    <w:rsid w:val="23203272"/>
    <w:rsid w:val="23290EF9"/>
    <w:rsid w:val="232C42ED"/>
    <w:rsid w:val="232F0794"/>
    <w:rsid w:val="23494F7C"/>
    <w:rsid w:val="234B5041"/>
    <w:rsid w:val="23543DB7"/>
    <w:rsid w:val="236E4660"/>
    <w:rsid w:val="23781B6C"/>
    <w:rsid w:val="237A280B"/>
    <w:rsid w:val="23833F52"/>
    <w:rsid w:val="23B51E06"/>
    <w:rsid w:val="23BD4804"/>
    <w:rsid w:val="23BF0FAD"/>
    <w:rsid w:val="23D573BF"/>
    <w:rsid w:val="23E2539E"/>
    <w:rsid w:val="23E62F43"/>
    <w:rsid w:val="23F546FB"/>
    <w:rsid w:val="23F65F12"/>
    <w:rsid w:val="240A7A7F"/>
    <w:rsid w:val="241011BB"/>
    <w:rsid w:val="24103451"/>
    <w:rsid w:val="241B1C0B"/>
    <w:rsid w:val="241E65EF"/>
    <w:rsid w:val="242F5D20"/>
    <w:rsid w:val="243A3DAE"/>
    <w:rsid w:val="244715BF"/>
    <w:rsid w:val="244A2BA8"/>
    <w:rsid w:val="244C68B0"/>
    <w:rsid w:val="244E28E2"/>
    <w:rsid w:val="245C2E77"/>
    <w:rsid w:val="24804A66"/>
    <w:rsid w:val="24855613"/>
    <w:rsid w:val="24BD745D"/>
    <w:rsid w:val="24EC47D6"/>
    <w:rsid w:val="24F35505"/>
    <w:rsid w:val="24FB5559"/>
    <w:rsid w:val="250B036F"/>
    <w:rsid w:val="252654F4"/>
    <w:rsid w:val="252E3B34"/>
    <w:rsid w:val="25364EA8"/>
    <w:rsid w:val="25410372"/>
    <w:rsid w:val="254756F6"/>
    <w:rsid w:val="254B5E78"/>
    <w:rsid w:val="2551214B"/>
    <w:rsid w:val="25545BA1"/>
    <w:rsid w:val="2562483E"/>
    <w:rsid w:val="256B3CA3"/>
    <w:rsid w:val="25AF1021"/>
    <w:rsid w:val="25CB6D3F"/>
    <w:rsid w:val="25D71FE3"/>
    <w:rsid w:val="25DD2EE3"/>
    <w:rsid w:val="25FE0659"/>
    <w:rsid w:val="2602265C"/>
    <w:rsid w:val="26046BC5"/>
    <w:rsid w:val="2607000A"/>
    <w:rsid w:val="260D427A"/>
    <w:rsid w:val="26114ED5"/>
    <w:rsid w:val="26253C97"/>
    <w:rsid w:val="26263670"/>
    <w:rsid w:val="262B550B"/>
    <w:rsid w:val="262C35A4"/>
    <w:rsid w:val="26307F51"/>
    <w:rsid w:val="2644644A"/>
    <w:rsid w:val="26474CE8"/>
    <w:rsid w:val="2647634D"/>
    <w:rsid w:val="264C7B75"/>
    <w:rsid w:val="2651096D"/>
    <w:rsid w:val="26534189"/>
    <w:rsid w:val="265979A7"/>
    <w:rsid w:val="26606CB6"/>
    <w:rsid w:val="26666E61"/>
    <w:rsid w:val="267275ED"/>
    <w:rsid w:val="26950D0E"/>
    <w:rsid w:val="26A87AA6"/>
    <w:rsid w:val="26BB7100"/>
    <w:rsid w:val="26CA449B"/>
    <w:rsid w:val="26DA7A68"/>
    <w:rsid w:val="26E83D6E"/>
    <w:rsid w:val="26F21A97"/>
    <w:rsid w:val="26FC0CC6"/>
    <w:rsid w:val="26FD7F5F"/>
    <w:rsid w:val="270A185D"/>
    <w:rsid w:val="270E6C4F"/>
    <w:rsid w:val="27153909"/>
    <w:rsid w:val="271A3972"/>
    <w:rsid w:val="27323F3B"/>
    <w:rsid w:val="273E576A"/>
    <w:rsid w:val="275A468D"/>
    <w:rsid w:val="279A37A1"/>
    <w:rsid w:val="27D10C54"/>
    <w:rsid w:val="27EF6D05"/>
    <w:rsid w:val="28171E61"/>
    <w:rsid w:val="281B207A"/>
    <w:rsid w:val="28285DD6"/>
    <w:rsid w:val="282D22D9"/>
    <w:rsid w:val="28313A77"/>
    <w:rsid w:val="283B6F9F"/>
    <w:rsid w:val="283C3919"/>
    <w:rsid w:val="283E5420"/>
    <w:rsid w:val="28657925"/>
    <w:rsid w:val="28686346"/>
    <w:rsid w:val="286A07AF"/>
    <w:rsid w:val="287543E8"/>
    <w:rsid w:val="288555CC"/>
    <w:rsid w:val="288A611A"/>
    <w:rsid w:val="289B55B3"/>
    <w:rsid w:val="28A73461"/>
    <w:rsid w:val="28E418D7"/>
    <w:rsid w:val="28E76B48"/>
    <w:rsid w:val="28EF2784"/>
    <w:rsid w:val="28F65828"/>
    <w:rsid w:val="28FC2CF8"/>
    <w:rsid w:val="290B3D1F"/>
    <w:rsid w:val="290C3E53"/>
    <w:rsid w:val="290F7703"/>
    <w:rsid w:val="292358C4"/>
    <w:rsid w:val="292D6080"/>
    <w:rsid w:val="29637918"/>
    <w:rsid w:val="29757E70"/>
    <w:rsid w:val="297F6989"/>
    <w:rsid w:val="29801640"/>
    <w:rsid w:val="29B57DA8"/>
    <w:rsid w:val="29BA7747"/>
    <w:rsid w:val="29C301B2"/>
    <w:rsid w:val="29D17D47"/>
    <w:rsid w:val="29EF464F"/>
    <w:rsid w:val="29F03CD6"/>
    <w:rsid w:val="2A2A436F"/>
    <w:rsid w:val="2A2C4265"/>
    <w:rsid w:val="2A2C7BB5"/>
    <w:rsid w:val="2A341F5B"/>
    <w:rsid w:val="2A4002C4"/>
    <w:rsid w:val="2A4813B2"/>
    <w:rsid w:val="2A4F2771"/>
    <w:rsid w:val="2A516E74"/>
    <w:rsid w:val="2A55761C"/>
    <w:rsid w:val="2A736C5B"/>
    <w:rsid w:val="2A740852"/>
    <w:rsid w:val="2A762529"/>
    <w:rsid w:val="2A7804F2"/>
    <w:rsid w:val="2A7B2982"/>
    <w:rsid w:val="2A7C371C"/>
    <w:rsid w:val="2A894EEA"/>
    <w:rsid w:val="2A9E3443"/>
    <w:rsid w:val="2AA912E9"/>
    <w:rsid w:val="2AE0799B"/>
    <w:rsid w:val="2AE875B9"/>
    <w:rsid w:val="2AF55CE8"/>
    <w:rsid w:val="2AFB0B99"/>
    <w:rsid w:val="2AFC24EF"/>
    <w:rsid w:val="2B0745A7"/>
    <w:rsid w:val="2B232EC3"/>
    <w:rsid w:val="2B263AF6"/>
    <w:rsid w:val="2B4A16AF"/>
    <w:rsid w:val="2B6064AB"/>
    <w:rsid w:val="2BA71AC2"/>
    <w:rsid w:val="2BC14187"/>
    <w:rsid w:val="2BCA1A85"/>
    <w:rsid w:val="2BD54F02"/>
    <w:rsid w:val="2BE152B1"/>
    <w:rsid w:val="2BF8453F"/>
    <w:rsid w:val="2BFD66C1"/>
    <w:rsid w:val="2C022B9A"/>
    <w:rsid w:val="2C09406A"/>
    <w:rsid w:val="2C10747D"/>
    <w:rsid w:val="2C2A236F"/>
    <w:rsid w:val="2C306E76"/>
    <w:rsid w:val="2C320C5D"/>
    <w:rsid w:val="2C4C1E92"/>
    <w:rsid w:val="2C5C6338"/>
    <w:rsid w:val="2C603D42"/>
    <w:rsid w:val="2C616113"/>
    <w:rsid w:val="2C695746"/>
    <w:rsid w:val="2C6B19A8"/>
    <w:rsid w:val="2C6C5AB3"/>
    <w:rsid w:val="2C6F6E69"/>
    <w:rsid w:val="2C963F06"/>
    <w:rsid w:val="2C9A48E2"/>
    <w:rsid w:val="2C9F5FCD"/>
    <w:rsid w:val="2CAE3390"/>
    <w:rsid w:val="2CBF4492"/>
    <w:rsid w:val="2CC1277A"/>
    <w:rsid w:val="2CCD447C"/>
    <w:rsid w:val="2CCF541D"/>
    <w:rsid w:val="2CDD0B6E"/>
    <w:rsid w:val="2CF74632"/>
    <w:rsid w:val="2D0038F0"/>
    <w:rsid w:val="2D084463"/>
    <w:rsid w:val="2D18403B"/>
    <w:rsid w:val="2D2348F9"/>
    <w:rsid w:val="2D265770"/>
    <w:rsid w:val="2D2D44DA"/>
    <w:rsid w:val="2D39531B"/>
    <w:rsid w:val="2D3D1F57"/>
    <w:rsid w:val="2D4C6EBC"/>
    <w:rsid w:val="2D5964FE"/>
    <w:rsid w:val="2D5B0BF6"/>
    <w:rsid w:val="2D5F66F3"/>
    <w:rsid w:val="2D67224E"/>
    <w:rsid w:val="2D873B5A"/>
    <w:rsid w:val="2DA20AAC"/>
    <w:rsid w:val="2DD46D81"/>
    <w:rsid w:val="2DE528A2"/>
    <w:rsid w:val="2DE93C9B"/>
    <w:rsid w:val="2DF23910"/>
    <w:rsid w:val="2DF835E2"/>
    <w:rsid w:val="2E010AAA"/>
    <w:rsid w:val="2E020CFF"/>
    <w:rsid w:val="2E0341E4"/>
    <w:rsid w:val="2E0A0E25"/>
    <w:rsid w:val="2E3B7E3B"/>
    <w:rsid w:val="2E415AAE"/>
    <w:rsid w:val="2E4A556E"/>
    <w:rsid w:val="2E59227A"/>
    <w:rsid w:val="2E593446"/>
    <w:rsid w:val="2E5D103E"/>
    <w:rsid w:val="2E812F57"/>
    <w:rsid w:val="2E9B4672"/>
    <w:rsid w:val="2EC001AA"/>
    <w:rsid w:val="2ED27420"/>
    <w:rsid w:val="2EDB7AC3"/>
    <w:rsid w:val="2F072230"/>
    <w:rsid w:val="2F172141"/>
    <w:rsid w:val="2F275446"/>
    <w:rsid w:val="2F2C426B"/>
    <w:rsid w:val="2F4035D3"/>
    <w:rsid w:val="2F631BF6"/>
    <w:rsid w:val="2F6C7A26"/>
    <w:rsid w:val="2F71551C"/>
    <w:rsid w:val="2FA17958"/>
    <w:rsid w:val="2FA277A3"/>
    <w:rsid w:val="2FAC5125"/>
    <w:rsid w:val="2FAF3A2E"/>
    <w:rsid w:val="2FB43FD4"/>
    <w:rsid w:val="2FCC1434"/>
    <w:rsid w:val="2FE1775E"/>
    <w:rsid w:val="2FED29FE"/>
    <w:rsid w:val="2FEF3F7C"/>
    <w:rsid w:val="2FF12EDC"/>
    <w:rsid w:val="3009167C"/>
    <w:rsid w:val="3009798F"/>
    <w:rsid w:val="300F1AAB"/>
    <w:rsid w:val="30102996"/>
    <w:rsid w:val="301963C5"/>
    <w:rsid w:val="301E39D2"/>
    <w:rsid w:val="30222BF4"/>
    <w:rsid w:val="303361C1"/>
    <w:rsid w:val="303B0289"/>
    <w:rsid w:val="3051254A"/>
    <w:rsid w:val="3051524F"/>
    <w:rsid w:val="30560627"/>
    <w:rsid w:val="30566280"/>
    <w:rsid w:val="30573AEC"/>
    <w:rsid w:val="305C0B2E"/>
    <w:rsid w:val="305D112C"/>
    <w:rsid w:val="30601A40"/>
    <w:rsid w:val="30604123"/>
    <w:rsid w:val="30620675"/>
    <w:rsid w:val="30714957"/>
    <w:rsid w:val="3075795C"/>
    <w:rsid w:val="308A7E19"/>
    <w:rsid w:val="309F5F97"/>
    <w:rsid w:val="30AD02AB"/>
    <w:rsid w:val="30B94ACD"/>
    <w:rsid w:val="30BB2CF0"/>
    <w:rsid w:val="30D42F95"/>
    <w:rsid w:val="30D851C0"/>
    <w:rsid w:val="30DF1985"/>
    <w:rsid w:val="31012534"/>
    <w:rsid w:val="3109294F"/>
    <w:rsid w:val="310F0C61"/>
    <w:rsid w:val="31465506"/>
    <w:rsid w:val="314E2022"/>
    <w:rsid w:val="314F44B2"/>
    <w:rsid w:val="31620AB8"/>
    <w:rsid w:val="316C731A"/>
    <w:rsid w:val="31845172"/>
    <w:rsid w:val="31860716"/>
    <w:rsid w:val="31892A95"/>
    <w:rsid w:val="31910626"/>
    <w:rsid w:val="3192385D"/>
    <w:rsid w:val="319B115A"/>
    <w:rsid w:val="31A527C7"/>
    <w:rsid w:val="31A60B3A"/>
    <w:rsid w:val="31AF054D"/>
    <w:rsid w:val="31AF1859"/>
    <w:rsid w:val="31BF6124"/>
    <w:rsid w:val="31C05DC5"/>
    <w:rsid w:val="31C90930"/>
    <w:rsid w:val="31E41CC7"/>
    <w:rsid w:val="31EC7C15"/>
    <w:rsid w:val="32115DBC"/>
    <w:rsid w:val="32125BCF"/>
    <w:rsid w:val="324366C4"/>
    <w:rsid w:val="324450D5"/>
    <w:rsid w:val="324D3457"/>
    <w:rsid w:val="324F0A2E"/>
    <w:rsid w:val="32531577"/>
    <w:rsid w:val="325A6699"/>
    <w:rsid w:val="326C06A7"/>
    <w:rsid w:val="327006B0"/>
    <w:rsid w:val="32717B2F"/>
    <w:rsid w:val="32791EA2"/>
    <w:rsid w:val="3286607E"/>
    <w:rsid w:val="32942639"/>
    <w:rsid w:val="3295616B"/>
    <w:rsid w:val="32970EBD"/>
    <w:rsid w:val="32974FEC"/>
    <w:rsid w:val="329D0ACE"/>
    <w:rsid w:val="32AA6A9E"/>
    <w:rsid w:val="32AC3BE5"/>
    <w:rsid w:val="32B1370A"/>
    <w:rsid w:val="32BF545D"/>
    <w:rsid w:val="32C90BAC"/>
    <w:rsid w:val="32D16DA5"/>
    <w:rsid w:val="330B7D86"/>
    <w:rsid w:val="330F0510"/>
    <w:rsid w:val="333751E1"/>
    <w:rsid w:val="333A380B"/>
    <w:rsid w:val="3346405C"/>
    <w:rsid w:val="334C28D5"/>
    <w:rsid w:val="336E5F4D"/>
    <w:rsid w:val="338602F2"/>
    <w:rsid w:val="338864FE"/>
    <w:rsid w:val="33A22F72"/>
    <w:rsid w:val="33A97E36"/>
    <w:rsid w:val="33B063FC"/>
    <w:rsid w:val="33C30E5A"/>
    <w:rsid w:val="33C31C7D"/>
    <w:rsid w:val="33CB7F08"/>
    <w:rsid w:val="33CE64C8"/>
    <w:rsid w:val="33F87517"/>
    <w:rsid w:val="3406488E"/>
    <w:rsid w:val="3407317A"/>
    <w:rsid w:val="341A7E45"/>
    <w:rsid w:val="341F148A"/>
    <w:rsid w:val="3420147A"/>
    <w:rsid w:val="34251A34"/>
    <w:rsid w:val="343A704D"/>
    <w:rsid w:val="344A0059"/>
    <w:rsid w:val="345E5554"/>
    <w:rsid w:val="347117FC"/>
    <w:rsid w:val="34747229"/>
    <w:rsid w:val="347570ED"/>
    <w:rsid w:val="348B0AC0"/>
    <w:rsid w:val="34946029"/>
    <w:rsid w:val="34C12970"/>
    <w:rsid w:val="34C348D7"/>
    <w:rsid w:val="34C61937"/>
    <w:rsid w:val="351409CD"/>
    <w:rsid w:val="351472A3"/>
    <w:rsid w:val="35154B8C"/>
    <w:rsid w:val="351F1A75"/>
    <w:rsid w:val="352F3272"/>
    <w:rsid w:val="35367F1E"/>
    <w:rsid w:val="35400CA8"/>
    <w:rsid w:val="35597A3D"/>
    <w:rsid w:val="355B6AB3"/>
    <w:rsid w:val="35603781"/>
    <w:rsid w:val="35664709"/>
    <w:rsid w:val="356E329A"/>
    <w:rsid w:val="35824845"/>
    <w:rsid w:val="3584691A"/>
    <w:rsid w:val="358B2E94"/>
    <w:rsid w:val="35945D79"/>
    <w:rsid w:val="35980C7B"/>
    <w:rsid w:val="35AF1556"/>
    <w:rsid w:val="35B460BC"/>
    <w:rsid w:val="35B55137"/>
    <w:rsid w:val="35D27FA9"/>
    <w:rsid w:val="35E35F85"/>
    <w:rsid w:val="35E471E2"/>
    <w:rsid w:val="35E911B8"/>
    <w:rsid w:val="360F60E2"/>
    <w:rsid w:val="362D1516"/>
    <w:rsid w:val="36356DC9"/>
    <w:rsid w:val="364635E7"/>
    <w:rsid w:val="3647727E"/>
    <w:rsid w:val="3662716F"/>
    <w:rsid w:val="3664254C"/>
    <w:rsid w:val="3669222E"/>
    <w:rsid w:val="366B7262"/>
    <w:rsid w:val="36740584"/>
    <w:rsid w:val="368F458F"/>
    <w:rsid w:val="36906E73"/>
    <w:rsid w:val="369F1930"/>
    <w:rsid w:val="36B34AC3"/>
    <w:rsid w:val="36CC1446"/>
    <w:rsid w:val="36CF628A"/>
    <w:rsid w:val="36D14A22"/>
    <w:rsid w:val="36DE3D4B"/>
    <w:rsid w:val="36ED4798"/>
    <w:rsid w:val="3700507A"/>
    <w:rsid w:val="37092378"/>
    <w:rsid w:val="371F07C5"/>
    <w:rsid w:val="374E3EBA"/>
    <w:rsid w:val="37522F78"/>
    <w:rsid w:val="37557B9F"/>
    <w:rsid w:val="376C4C6B"/>
    <w:rsid w:val="377314E4"/>
    <w:rsid w:val="378D099C"/>
    <w:rsid w:val="37990A80"/>
    <w:rsid w:val="379E75CF"/>
    <w:rsid w:val="37A12318"/>
    <w:rsid w:val="37A55305"/>
    <w:rsid w:val="37AB6CEF"/>
    <w:rsid w:val="37BE6D8C"/>
    <w:rsid w:val="37BF4B72"/>
    <w:rsid w:val="37C426C4"/>
    <w:rsid w:val="37CA5F22"/>
    <w:rsid w:val="37EF27C9"/>
    <w:rsid w:val="37FA4F5D"/>
    <w:rsid w:val="37FB6AFB"/>
    <w:rsid w:val="38174F0F"/>
    <w:rsid w:val="38341B4E"/>
    <w:rsid w:val="3838648F"/>
    <w:rsid w:val="383E3316"/>
    <w:rsid w:val="384A33C6"/>
    <w:rsid w:val="384D7479"/>
    <w:rsid w:val="38602285"/>
    <w:rsid w:val="38623F35"/>
    <w:rsid w:val="38650944"/>
    <w:rsid w:val="38863130"/>
    <w:rsid w:val="38884F2B"/>
    <w:rsid w:val="388D3A40"/>
    <w:rsid w:val="38963BC7"/>
    <w:rsid w:val="38A0737B"/>
    <w:rsid w:val="38A249A8"/>
    <w:rsid w:val="38A61599"/>
    <w:rsid w:val="38C41503"/>
    <w:rsid w:val="38E1432D"/>
    <w:rsid w:val="38EA4BF1"/>
    <w:rsid w:val="38F868AC"/>
    <w:rsid w:val="390B5A82"/>
    <w:rsid w:val="39143383"/>
    <w:rsid w:val="39196C13"/>
    <w:rsid w:val="392222E5"/>
    <w:rsid w:val="392703A5"/>
    <w:rsid w:val="3929091F"/>
    <w:rsid w:val="3945354C"/>
    <w:rsid w:val="39563605"/>
    <w:rsid w:val="395A4783"/>
    <w:rsid w:val="397628F1"/>
    <w:rsid w:val="39841EED"/>
    <w:rsid w:val="3987266E"/>
    <w:rsid w:val="398A6A47"/>
    <w:rsid w:val="399A5D8F"/>
    <w:rsid w:val="39A05E9C"/>
    <w:rsid w:val="39B51640"/>
    <w:rsid w:val="39B71C98"/>
    <w:rsid w:val="39C10F70"/>
    <w:rsid w:val="39DA2245"/>
    <w:rsid w:val="39DE2382"/>
    <w:rsid w:val="39E71089"/>
    <w:rsid w:val="39F472AF"/>
    <w:rsid w:val="39F60F14"/>
    <w:rsid w:val="39F658E6"/>
    <w:rsid w:val="39FA119C"/>
    <w:rsid w:val="39FE4D6E"/>
    <w:rsid w:val="3A0450FE"/>
    <w:rsid w:val="3A1B2746"/>
    <w:rsid w:val="3A39360E"/>
    <w:rsid w:val="3A4728DB"/>
    <w:rsid w:val="3A486899"/>
    <w:rsid w:val="3A4E3D9D"/>
    <w:rsid w:val="3A5455F1"/>
    <w:rsid w:val="3A5B1A41"/>
    <w:rsid w:val="3A790A95"/>
    <w:rsid w:val="3A7C6F5C"/>
    <w:rsid w:val="3A7E2699"/>
    <w:rsid w:val="3AAE4F1C"/>
    <w:rsid w:val="3AB3630D"/>
    <w:rsid w:val="3AB66572"/>
    <w:rsid w:val="3AB70530"/>
    <w:rsid w:val="3AB84CAA"/>
    <w:rsid w:val="3AC11BF5"/>
    <w:rsid w:val="3AE54609"/>
    <w:rsid w:val="3B057114"/>
    <w:rsid w:val="3B083FA7"/>
    <w:rsid w:val="3B244DF9"/>
    <w:rsid w:val="3B2B0FE0"/>
    <w:rsid w:val="3B3E0DEF"/>
    <w:rsid w:val="3B3F4DB9"/>
    <w:rsid w:val="3B5A53E0"/>
    <w:rsid w:val="3B5F2CBC"/>
    <w:rsid w:val="3B625E05"/>
    <w:rsid w:val="3B690A27"/>
    <w:rsid w:val="3B7B7C5B"/>
    <w:rsid w:val="3BA31603"/>
    <w:rsid w:val="3BC70B03"/>
    <w:rsid w:val="3BC73FDD"/>
    <w:rsid w:val="3BD553CC"/>
    <w:rsid w:val="3BDA030C"/>
    <w:rsid w:val="3BDA3A53"/>
    <w:rsid w:val="3BF036FD"/>
    <w:rsid w:val="3BF22585"/>
    <w:rsid w:val="3BF57501"/>
    <w:rsid w:val="3C01229A"/>
    <w:rsid w:val="3C035BAD"/>
    <w:rsid w:val="3C0F6387"/>
    <w:rsid w:val="3C1742C7"/>
    <w:rsid w:val="3C1E18BA"/>
    <w:rsid w:val="3C27755C"/>
    <w:rsid w:val="3C324E96"/>
    <w:rsid w:val="3C3E1AA3"/>
    <w:rsid w:val="3C437EA6"/>
    <w:rsid w:val="3C790D89"/>
    <w:rsid w:val="3C94698A"/>
    <w:rsid w:val="3CB138BA"/>
    <w:rsid w:val="3CC10EC3"/>
    <w:rsid w:val="3CDE6A16"/>
    <w:rsid w:val="3CF54929"/>
    <w:rsid w:val="3D0442B9"/>
    <w:rsid w:val="3D1538F1"/>
    <w:rsid w:val="3D2A1C67"/>
    <w:rsid w:val="3D2F510F"/>
    <w:rsid w:val="3D300DA9"/>
    <w:rsid w:val="3D313B85"/>
    <w:rsid w:val="3D3E6A73"/>
    <w:rsid w:val="3D4B020D"/>
    <w:rsid w:val="3D554444"/>
    <w:rsid w:val="3D560905"/>
    <w:rsid w:val="3D5764AC"/>
    <w:rsid w:val="3D5A523E"/>
    <w:rsid w:val="3D67532F"/>
    <w:rsid w:val="3D695A7A"/>
    <w:rsid w:val="3D8800B6"/>
    <w:rsid w:val="3D907E3A"/>
    <w:rsid w:val="3DB762F2"/>
    <w:rsid w:val="3DB80E2E"/>
    <w:rsid w:val="3DBB0983"/>
    <w:rsid w:val="3DBE654B"/>
    <w:rsid w:val="3DCE7C90"/>
    <w:rsid w:val="3DD67309"/>
    <w:rsid w:val="3DD90A03"/>
    <w:rsid w:val="3DF42340"/>
    <w:rsid w:val="3E0635D1"/>
    <w:rsid w:val="3E063EC0"/>
    <w:rsid w:val="3E1A5963"/>
    <w:rsid w:val="3E31343E"/>
    <w:rsid w:val="3E370C7B"/>
    <w:rsid w:val="3E401C93"/>
    <w:rsid w:val="3E530B08"/>
    <w:rsid w:val="3E5641E2"/>
    <w:rsid w:val="3E5E7EA2"/>
    <w:rsid w:val="3E6026DE"/>
    <w:rsid w:val="3E877CAB"/>
    <w:rsid w:val="3E8A38D6"/>
    <w:rsid w:val="3EAA2833"/>
    <w:rsid w:val="3EDD1124"/>
    <w:rsid w:val="3EE233AF"/>
    <w:rsid w:val="3EEF22D0"/>
    <w:rsid w:val="3F03736B"/>
    <w:rsid w:val="3F20226E"/>
    <w:rsid w:val="3F3036BF"/>
    <w:rsid w:val="3F3D2C07"/>
    <w:rsid w:val="3F4F3A69"/>
    <w:rsid w:val="3F5603EB"/>
    <w:rsid w:val="3F601B20"/>
    <w:rsid w:val="3F7B31EE"/>
    <w:rsid w:val="3F80771A"/>
    <w:rsid w:val="3F8322DD"/>
    <w:rsid w:val="3F8A3909"/>
    <w:rsid w:val="3F8E3426"/>
    <w:rsid w:val="3F945090"/>
    <w:rsid w:val="3F9842E9"/>
    <w:rsid w:val="3FA304EA"/>
    <w:rsid w:val="3FA70991"/>
    <w:rsid w:val="3FA93A5F"/>
    <w:rsid w:val="3FBF2371"/>
    <w:rsid w:val="3FDD3E2D"/>
    <w:rsid w:val="3FE1537B"/>
    <w:rsid w:val="3FEF044E"/>
    <w:rsid w:val="400F6A23"/>
    <w:rsid w:val="40154A7A"/>
    <w:rsid w:val="401F7995"/>
    <w:rsid w:val="40355C95"/>
    <w:rsid w:val="404016B0"/>
    <w:rsid w:val="405B1D91"/>
    <w:rsid w:val="407C67F0"/>
    <w:rsid w:val="407D42D1"/>
    <w:rsid w:val="407E52B3"/>
    <w:rsid w:val="409441C9"/>
    <w:rsid w:val="40A82254"/>
    <w:rsid w:val="40AB46A9"/>
    <w:rsid w:val="40B158DD"/>
    <w:rsid w:val="40B22328"/>
    <w:rsid w:val="40B37B52"/>
    <w:rsid w:val="40D1777B"/>
    <w:rsid w:val="410927D0"/>
    <w:rsid w:val="413B3021"/>
    <w:rsid w:val="414F176A"/>
    <w:rsid w:val="4151769D"/>
    <w:rsid w:val="415273E9"/>
    <w:rsid w:val="417A3128"/>
    <w:rsid w:val="417D3F93"/>
    <w:rsid w:val="41B71A4A"/>
    <w:rsid w:val="41B97EA5"/>
    <w:rsid w:val="41FC6D37"/>
    <w:rsid w:val="42153108"/>
    <w:rsid w:val="422C3AB7"/>
    <w:rsid w:val="424A10EC"/>
    <w:rsid w:val="42521CA5"/>
    <w:rsid w:val="42762565"/>
    <w:rsid w:val="428803A8"/>
    <w:rsid w:val="42906410"/>
    <w:rsid w:val="42A6793E"/>
    <w:rsid w:val="42A97BF3"/>
    <w:rsid w:val="42AF1F15"/>
    <w:rsid w:val="42BB5F78"/>
    <w:rsid w:val="42C53DF3"/>
    <w:rsid w:val="42CE4455"/>
    <w:rsid w:val="42E370CB"/>
    <w:rsid w:val="42F140A6"/>
    <w:rsid w:val="43086615"/>
    <w:rsid w:val="432010AC"/>
    <w:rsid w:val="43406237"/>
    <w:rsid w:val="43406B58"/>
    <w:rsid w:val="434C155E"/>
    <w:rsid w:val="4351449F"/>
    <w:rsid w:val="435472F2"/>
    <w:rsid w:val="43557A1F"/>
    <w:rsid w:val="435B3496"/>
    <w:rsid w:val="43652743"/>
    <w:rsid w:val="43671245"/>
    <w:rsid w:val="43765E5A"/>
    <w:rsid w:val="43786C42"/>
    <w:rsid w:val="43870E48"/>
    <w:rsid w:val="43B1517E"/>
    <w:rsid w:val="43B6598E"/>
    <w:rsid w:val="43C318D5"/>
    <w:rsid w:val="43C36C22"/>
    <w:rsid w:val="43D61FEC"/>
    <w:rsid w:val="43EE1EB6"/>
    <w:rsid w:val="43EF4E15"/>
    <w:rsid w:val="43F817DF"/>
    <w:rsid w:val="43F96134"/>
    <w:rsid w:val="44113BF9"/>
    <w:rsid w:val="441658A5"/>
    <w:rsid w:val="4424717D"/>
    <w:rsid w:val="4426789A"/>
    <w:rsid w:val="442D05B2"/>
    <w:rsid w:val="44315B73"/>
    <w:rsid w:val="443F617F"/>
    <w:rsid w:val="44457A4F"/>
    <w:rsid w:val="444B064C"/>
    <w:rsid w:val="444C6C63"/>
    <w:rsid w:val="444D77FE"/>
    <w:rsid w:val="44597152"/>
    <w:rsid w:val="44836596"/>
    <w:rsid w:val="44871641"/>
    <w:rsid w:val="44BB0431"/>
    <w:rsid w:val="44C06E2D"/>
    <w:rsid w:val="44C4157C"/>
    <w:rsid w:val="44D47C04"/>
    <w:rsid w:val="45005021"/>
    <w:rsid w:val="450B7794"/>
    <w:rsid w:val="45160728"/>
    <w:rsid w:val="451E2677"/>
    <w:rsid w:val="45276C8F"/>
    <w:rsid w:val="453266B6"/>
    <w:rsid w:val="454E6DDA"/>
    <w:rsid w:val="45532CCA"/>
    <w:rsid w:val="45670ACD"/>
    <w:rsid w:val="4568135C"/>
    <w:rsid w:val="45697F85"/>
    <w:rsid w:val="457441EF"/>
    <w:rsid w:val="4576180B"/>
    <w:rsid w:val="457E09C3"/>
    <w:rsid w:val="4590631D"/>
    <w:rsid w:val="45A10CD4"/>
    <w:rsid w:val="45A10D95"/>
    <w:rsid w:val="45AC08FB"/>
    <w:rsid w:val="45B0493B"/>
    <w:rsid w:val="45CE3ECC"/>
    <w:rsid w:val="45DB35CC"/>
    <w:rsid w:val="45DF2720"/>
    <w:rsid w:val="4606109C"/>
    <w:rsid w:val="46096FC6"/>
    <w:rsid w:val="460B0702"/>
    <w:rsid w:val="4624284B"/>
    <w:rsid w:val="463A5012"/>
    <w:rsid w:val="46411EAC"/>
    <w:rsid w:val="46543E4C"/>
    <w:rsid w:val="46754E58"/>
    <w:rsid w:val="467A5304"/>
    <w:rsid w:val="468D173C"/>
    <w:rsid w:val="46A416D9"/>
    <w:rsid w:val="46A91719"/>
    <w:rsid w:val="46B1284A"/>
    <w:rsid w:val="46BC3529"/>
    <w:rsid w:val="46CA26BB"/>
    <w:rsid w:val="46E87D8E"/>
    <w:rsid w:val="46EB76C2"/>
    <w:rsid w:val="46FB3A5D"/>
    <w:rsid w:val="470D5738"/>
    <w:rsid w:val="4713360A"/>
    <w:rsid w:val="47315AA2"/>
    <w:rsid w:val="47452497"/>
    <w:rsid w:val="474C1CD7"/>
    <w:rsid w:val="476A318E"/>
    <w:rsid w:val="476D72A7"/>
    <w:rsid w:val="4770760B"/>
    <w:rsid w:val="477E1E1C"/>
    <w:rsid w:val="478570B0"/>
    <w:rsid w:val="4792716E"/>
    <w:rsid w:val="47953150"/>
    <w:rsid w:val="4798721F"/>
    <w:rsid w:val="47B435DD"/>
    <w:rsid w:val="47B834D4"/>
    <w:rsid w:val="47BE539A"/>
    <w:rsid w:val="47C22546"/>
    <w:rsid w:val="47CE4683"/>
    <w:rsid w:val="47F063B9"/>
    <w:rsid w:val="47FE2C6E"/>
    <w:rsid w:val="4819083E"/>
    <w:rsid w:val="481B2D96"/>
    <w:rsid w:val="481E67FC"/>
    <w:rsid w:val="48262C3D"/>
    <w:rsid w:val="483C48E5"/>
    <w:rsid w:val="48421053"/>
    <w:rsid w:val="48484711"/>
    <w:rsid w:val="484B5D06"/>
    <w:rsid w:val="4852767E"/>
    <w:rsid w:val="48805930"/>
    <w:rsid w:val="48833DDC"/>
    <w:rsid w:val="48AF64CF"/>
    <w:rsid w:val="48B21272"/>
    <w:rsid w:val="48B223C3"/>
    <w:rsid w:val="48B7067E"/>
    <w:rsid w:val="48B839CC"/>
    <w:rsid w:val="48C24A4A"/>
    <w:rsid w:val="48C31738"/>
    <w:rsid w:val="48C53733"/>
    <w:rsid w:val="48D212B1"/>
    <w:rsid w:val="48D71744"/>
    <w:rsid w:val="48DF3234"/>
    <w:rsid w:val="48E525F4"/>
    <w:rsid w:val="48EA29D0"/>
    <w:rsid w:val="48F668C1"/>
    <w:rsid w:val="48FD3E67"/>
    <w:rsid w:val="49055EC9"/>
    <w:rsid w:val="491F0C2A"/>
    <w:rsid w:val="49340035"/>
    <w:rsid w:val="49420C91"/>
    <w:rsid w:val="494A5EEF"/>
    <w:rsid w:val="49582762"/>
    <w:rsid w:val="49623C16"/>
    <w:rsid w:val="496A542E"/>
    <w:rsid w:val="496E2328"/>
    <w:rsid w:val="497468E5"/>
    <w:rsid w:val="49774280"/>
    <w:rsid w:val="49775C33"/>
    <w:rsid w:val="497761F7"/>
    <w:rsid w:val="497F4130"/>
    <w:rsid w:val="49975B85"/>
    <w:rsid w:val="49A30DBE"/>
    <w:rsid w:val="49AC58D1"/>
    <w:rsid w:val="49BD43ED"/>
    <w:rsid w:val="49C75AFE"/>
    <w:rsid w:val="49CA38DB"/>
    <w:rsid w:val="49D95F6E"/>
    <w:rsid w:val="4A272F56"/>
    <w:rsid w:val="4A446F8F"/>
    <w:rsid w:val="4A5E239E"/>
    <w:rsid w:val="4A866803"/>
    <w:rsid w:val="4A9D0727"/>
    <w:rsid w:val="4AB15D7F"/>
    <w:rsid w:val="4AB30737"/>
    <w:rsid w:val="4ABD7B0A"/>
    <w:rsid w:val="4AF10375"/>
    <w:rsid w:val="4B0D7356"/>
    <w:rsid w:val="4B136B30"/>
    <w:rsid w:val="4B1B2CF3"/>
    <w:rsid w:val="4B200D3D"/>
    <w:rsid w:val="4B2A2CBA"/>
    <w:rsid w:val="4B2F5A6D"/>
    <w:rsid w:val="4B3676D6"/>
    <w:rsid w:val="4B5D2176"/>
    <w:rsid w:val="4B694F1D"/>
    <w:rsid w:val="4B6A56B1"/>
    <w:rsid w:val="4B740F8B"/>
    <w:rsid w:val="4B7F6301"/>
    <w:rsid w:val="4B8B318A"/>
    <w:rsid w:val="4B90070A"/>
    <w:rsid w:val="4B9124D1"/>
    <w:rsid w:val="4BA136B3"/>
    <w:rsid w:val="4BA47A2E"/>
    <w:rsid w:val="4BAD7FAF"/>
    <w:rsid w:val="4BB84949"/>
    <w:rsid w:val="4BDE39AE"/>
    <w:rsid w:val="4C166103"/>
    <w:rsid w:val="4C1C4115"/>
    <w:rsid w:val="4C233BDC"/>
    <w:rsid w:val="4C316C76"/>
    <w:rsid w:val="4C4B50F7"/>
    <w:rsid w:val="4C4C76FE"/>
    <w:rsid w:val="4C527C31"/>
    <w:rsid w:val="4C5B30D0"/>
    <w:rsid w:val="4C621794"/>
    <w:rsid w:val="4C7160BD"/>
    <w:rsid w:val="4C7451C6"/>
    <w:rsid w:val="4C7F1EDA"/>
    <w:rsid w:val="4C850CD5"/>
    <w:rsid w:val="4C897B2D"/>
    <w:rsid w:val="4C965803"/>
    <w:rsid w:val="4CAC1744"/>
    <w:rsid w:val="4CB16218"/>
    <w:rsid w:val="4CB441F0"/>
    <w:rsid w:val="4CC7283D"/>
    <w:rsid w:val="4CCE2DA5"/>
    <w:rsid w:val="4CCE35D0"/>
    <w:rsid w:val="4CDC4902"/>
    <w:rsid w:val="4CEA25E1"/>
    <w:rsid w:val="4CF92A07"/>
    <w:rsid w:val="4D142D15"/>
    <w:rsid w:val="4D144B84"/>
    <w:rsid w:val="4D147AB2"/>
    <w:rsid w:val="4D1B5B90"/>
    <w:rsid w:val="4D3A4E63"/>
    <w:rsid w:val="4D4228DB"/>
    <w:rsid w:val="4D4F2DF0"/>
    <w:rsid w:val="4D507D8A"/>
    <w:rsid w:val="4D5505B5"/>
    <w:rsid w:val="4D7F2BD3"/>
    <w:rsid w:val="4D923AB3"/>
    <w:rsid w:val="4D97102A"/>
    <w:rsid w:val="4DB87835"/>
    <w:rsid w:val="4DC94682"/>
    <w:rsid w:val="4DE27E6A"/>
    <w:rsid w:val="4DE41314"/>
    <w:rsid w:val="4DF301FC"/>
    <w:rsid w:val="4DF4173A"/>
    <w:rsid w:val="4DF62C17"/>
    <w:rsid w:val="4DF906DD"/>
    <w:rsid w:val="4DFB3B2D"/>
    <w:rsid w:val="4E15529E"/>
    <w:rsid w:val="4E204FE5"/>
    <w:rsid w:val="4E2F27A9"/>
    <w:rsid w:val="4E3241FB"/>
    <w:rsid w:val="4E326279"/>
    <w:rsid w:val="4E3A1398"/>
    <w:rsid w:val="4E45620C"/>
    <w:rsid w:val="4E491194"/>
    <w:rsid w:val="4E4A2EAD"/>
    <w:rsid w:val="4E5823C8"/>
    <w:rsid w:val="4E5E04FA"/>
    <w:rsid w:val="4E612689"/>
    <w:rsid w:val="4E6536ED"/>
    <w:rsid w:val="4E7D348A"/>
    <w:rsid w:val="4E875BD0"/>
    <w:rsid w:val="4E8F537B"/>
    <w:rsid w:val="4E9230E7"/>
    <w:rsid w:val="4E931D95"/>
    <w:rsid w:val="4EA1111F"/>
    <w:rsid w:val="4EAD30A2"/>
    <w:rsid w:val="4EAE6B1C"/>
    <w:rsid w:val="4EBD3318"/>
    <w:rsid w:val="4EC225F4"/>
    <w:rsid w:val="4EC7629C"/>
    <w:rsid w:val="4ED83E68"/>
    <w:rsid w:val="4EF1509A"/>
    <w:rsid w:val="4F0C330B"/>
    <w:rsid w:val="4F0F7919"/>
    <w:rsid w:val="4F3C1F29"/>
    <w:rsid w:val="4F412475"/>
    <w:rsid w:val="4F456F76"/>
    <w:rsid w:val="4F534577"/>
    <w:rsid w:val="4F654AA7"/>
    <w:rsid w:val="4F7027D5"/>
    <w:rsid w:val="4F883677"/>
    <w:rsid w:val="4F9801F4"/>
    <w:rsid w:val="4FA87B41"/>
    <w:rsid w:val="4FB02A2C"/>
    <w:rsid w:val="4FD17C09"/>
    <w:rsid w:val="4FE50D39"/>
    <w:rsid w:val="4FEC294E"/>
    <w:rsid w:val="50097F72"/>
    <w:rsid w:val="50236F11"/>
    <w:rsid w:val="50291BB2"/>
    <w:rsid w:val="503638BC"/>
    <w:rsid w:val="50375BE8"/>
    <w:rsid w:val="503A33CA"/>
    <w:rsid w:val="504B21F1"/>
    <w:rsid w:val="50561C11"/>
    <w:rsid w:val="50615D5D"/>
    <w:rsid w:val="50780D63"/>
    <w:rsid w:val="50844EAA"/>
    <w:rsid w:val="509A1686"/>
    <w:rsid w:val="50A161DC"/>
    <w:rsid w:val="50A71C57"/>
    <w:rsid w:val="50D44D1D"/>
    <w:rsid w:val="50DF7D43"/>
    <w:rsid w:val="50F76E1D"/>
    <w:rsid w:val="510476F1"/>
    <w:rsid w:val="511B1515"/>
    <w:rsid w:val="512019B2"/>
    <w:rsid w:val="51225067"/>
    <w:rsid w:val="512306C4"/>
    <w:rsid w:val="5125440E"/>
    <w:rsid w:val="51312F35"/>
    <w:rsid w:val="51357D65"/>
    <w:rsid w:val="515625C8"/>
    <w:rsid w:val="515749F7"/>
    <w:rsid w:val="515C6DD0"/>
    <w:rsid w:val="51856D95"/>
    <w:rsid w:val="51942A7D"/>
    <w:rsid w:val="519A0C1C"/>
    <w:rsid w:val="51A54053"/>
    <w:rsid w:val="51A71F11"/>
    <w:rsid w:val="51C0070E"/>
    <w:rsid w:val="51C36825"/>
    <w:rsid w:val="51C537EB"/>
    <w:rsid w:val="51D03F56"/>
    <w:rsid w:val="51D5130F"/>
    <w:rsid w:val="51E346CA"/>
    <w:rsid w:val="51E34EE3"/>
    <w:rsid w:val="51EA6F0F"/>
    <w:rsid w:val="51F02402"/>
    <w:rsid w:val="51F95BEE"/>
    <w:rsid w:val="520A795D"/>
    <w:rsid w:val="5210515A"/>
    <w:rsid w:val="521D39D5"/>
    <w:rsid w:val="522964DF"/>
    <w:rsid w:val="522A688C"/>
    <w:rsid w:val="522E4F94"/>
    <w:rsid w:val="52462B66"/>
    <w:rsid w:val="52510C3C"/>
    <w:rsid w:val="52596006"/>
    <w:rsid w:val="52645A5F"/>
    <w:rsid w:val="52650706"/>
    <w:rsid w:val="527500B3"/>
    <w:rsid w:val="528242CB"/>
    <w:rsid w:val="52981014"/>
    <w:rsid w:val="52A763B2"/>
    <w:rsid w:val="52B92AF0"/>
    <w:rsid w:val="52CB3636"/>
    <w:rsid w:val="52CF3867"/>
    <w:rsid w:val="52F31DA0"/>
    <w:rsid w:val="52F7308C"/>
    <w:rsid w:val="52FE1C19"/>
    <w:rsid w:val="530579EE"/>
    <w:rsid w:val="530F1323"/>
    <w:rsid w:val="53175ADF"/>
    <w:rsid w:val="531A768E"/>
    <w:rsid w:val="53433B55"/>
    <w:rsid w:val="53585246"/>
    <w:rsid w:val="53774EE3"/>
    <w:rsid w:val="537B610C"/>
    <w:rsid w:val="53884923"/>
    <w:rsid w:val="5388635E"/>
    <w:rsid w:val="539D556F"/>
    <w:rsid w:val="53A35D1E"/>
    <w:rsid w:val="53B17E50"/>
    <w:rsid w:val="53B76D6B"/>
    <w:rsid w:val="53C60CCD"/>
    <w:rsid w:val="53C9045D"/>
    <w:rsid w:val="53D934C8"/>
    <w:rsid w:val="53E12898"/>
    <w:rsid w:val="541025CA"/>
    <w:rsid w:val="541E4C77"/>
    <w:rsid w:val="54250550"/>
    <w:rsid w:val="543E441F"/>
    <w:rsid w:val="54453A8D"/>
    <w:rsid w:val="544C5231"/>
    <w:rsid w:val="54643D74"/>
    <w:rsid w:val="54683175"/>
    <w:rsid w:val="54752444"/>
    <w:rsid w:val="54757F46"/>
    <w:rsid w:val="5490565C"/>
    <w:rsid w:val="549E306A"/>
    <w:rsid w:val="54C82742"/>
    <w:rsid w:val="54CA2DA6"/>
    <w:rsid w:val="54DB1118"/>
    <w:rsid w:val="54F07941"/>
    <w:rsid w:val="54F4705A"/>
    <w:rsid w:val="550107B3"/>
    <w:rsid w:val="5534591F"/>
    <w:rsid w:val="5544233A"/>
    <w:rsid w:val="554A4F0F"/>
    <w:rsid w:val="55546E4B"/>
    <w:rsid w:val="555508BB"/>
    <w:rsid w:val="55716A09"/>
    <w:rsid w:val="557E3D7D"/>
    <w:rsid w:val="558839ED"/>
    <w:rsid w:val="55940588"/>
    <w:rsid w:val="559772C4"/>
    <w:rsid w:val="55AC44CE"/>
    <w:rsid w:val="55B67B88"/>
    <w:rsid w:val="55BD1DCE"/>
    <w:rsid w:val="55D06AD2"/>
    <w:rsid w:val="55E04389"/>
    <w:rsid w:val="560739DE"/>
    <w:rsid w:val="560A3EE1"/>
    <w:rsid w:val="560D6454"/>
    <w:rsid w:val="56120E8B"/>
    <w:rsid w:val="56133A95"/>
    <w:rsid w:val="5613596A"/>
    <w:rsid w:val="562E1A69"/>
    <w:rsid w:val="56425AE7"/>
    <w:rsid w:val="565F024A"/>
    <w:rsid w:val="56771459"/>
    <w:rsid w:val="56A77B5C"/>
    <w:rsid w:val="56AE7531"/>
    <w:rsid w:val="56B645C3"/>
    <w:rsid w:val="56B864D8"/>
    <w:rsid w:val="56BB3FEF"/>
    <w:rsid w:val="56C411CC"/>
    <w:rsid w:val="570C570C"/>
    <w:rsid w:val="571141EC"/>
    <w:rsid w:val="57123EAA"/>
    <w:rsid w:val="57294842"/>
    <w:rsid w:val="574915B6"/>
    <w:rsid w:val="57582893"/>
    <w:rsid w:val="575C6929"/>
    <w:rsid w:val="576E08BB"/>
    <w:rsid w:val="57720E2B"/>
    <w:rsid w:val="577A49AF"/>
    <w:rsid w:val="57890553"/>
    <w:rsid w:val="5791091A"/>
    <w:rsid w:val="57974AAF"/>
    <w:rsid w:val="57A641EA"/>
    <w:rsid w:val="57AD6316"/>
    <w:rsid w:val="57BF10C5"/>
    <w:rsid w:val="57C67099"/>
    <w:rsid w:val="57DD32BA"/>
    <w:rsid w:val="57DF21DA"/>
    <w:rsid w:val="57E60F18"/>
    <w:rsid w:val="57EE4B36"/>
    <w:rsid w:val="57FA2134"/>
    <w:rsid w:val="58147AC8"/>
    <w:rsid w:val="58165191"/>
    <w:rsid w:val="58343893"/>
    <w:rsid w:val="585B65CE"/>
    <w:rsid w:val="586569D3"/>
    <w:rsid w:val="58723A81"/>
    <w:rsid w:val="588D0CF4"/>
    <w:rsid w:val="589B2FC5"/>
    <w:rsid w:val="58BC60E3"/>
    <w:rsid w:val="58D65492"/>
    <w:rsid w:val="58EA3EFB"/>
    <w:rsid w:val="58F67606"/>
    <w:rsid w:val="59243320"/>
    <w:rsid w:val="594031F4"/>
    <w:rsid w:val="59427BF5"/>
    <w:rsid w:val="59761892"/>
    <w:rsid w:val="597B5AEC"/>
    <w:rsid w:val="59922741"/>
    <w:rsid w:val="59B45CA7"/>
    <w:rsid w:val="59BC32F0"/>
    <w:rsid w:val="59BD4382"/>
    <w:rsid w:val="59C57693"/>
    <w:rsid w:val="59E81871"/>
    <w:rsid w:val="59FB6266"/>
    <w:rsid w:val="59FF59D4"/>
    <w:rsid w:val="5A065365"/>
    <w:rsid w:val="5A0B1B15"/>
    <w:rsid w:val="5A185E7F"/>
    <w:rsid w:val="5A272DA5"/>
    <w:rsid w:val="5A400B82"/>
    <w:rsid w:val="5A5E2570"/>
    <w:rsid w:val="5A724A6C"/>
    <w:rsid w:val="5A7B5B0E"/>
    <w:rsid w:val="5A7C2C16"/>
    <w:rsid w:val="5A8022A4"/>
    <w:rsid w:val="5A867426"/>
    <w:rsid w:val="5A8E563E"/>
    <w:rsid w:val="5AB27D85"/>
    <w:rsid w:val="5ABA0517"/>
    <w:rsid w:val="5ABC2550"/>
    <w:rsid w:val="5ACE51C0"/>
    <w:rsid w:val="5ACF1C11"/>
    <w:rsid w:val="5AF47437"/>
    <w:rsid w:val="5AFA7491"/>
    <w:rsid w:val="5B0469B4"/>
    <w:rsid w:val="5B0E3166"/>
    <w:rsid w:val="5B260EC5"/>
    <w:rsid w:val="5B2A08C7"/>
    <w:rsid w:val="5B3C0B6E"/>
    <w:rsid w:val="5B3D4A02"/>
    <w:rsid w:val="5B546DCA"/>
    <w:rsid w:val="5B6658D7"/>
    <w:rsid w:val="5B6D0612"/>
    <w:rsid w:val="5B722DCB"/>
    <w:rsid w:val="5B767B5D"/>
    <w:rsid w:val="5B772536"/>
    <w:rsid w:val="5B78363F"/>
    <w:rsid w:val="5B7F7C6C"/>
    <w:rsid w:val="5B8E5CD2"/>
    <w:rsid w:val="5B961182"/>
    <w:rsid w:val="5B9830E8"/>
    <w:rsid w:val="5BB308F1"/>
    <w:rsid w:val="5BB93EDF"/>
    <w:rsid w:val="5BC06ED3"/>
    <w:rsid w:val="5BD578A1"/>
    <w:rsid w:val="5BD83E01"/>
    <w:rsid w:val="5BE955BC"/>
    <w:rsid w:val="5BEE22BD"/>
    <w:rsid w:val="5BFE53CC"/>
    <w:rsid w:val="5C107414"/>
    <w:rsid w:val="5C395FBB"/>
    <w:rsid w:val="5C3B2433"/>
    <w:rsid w:val="5C3E3E7A"/>
    <w:rsid w:val="5C425A95"/>
    <w:rsid w:val="5C653E07"/>
    <w:rsid w:val="5C744BDE"/>
    <w:rsid w:val="5C856AE4"/>
    <w:rsid w:val="5CA4621E"/>
    <w:rsid w:val="5CB9338D"/>
    <w:rsid w:val="5CC268D5"/>
    <w:rsid w:val="5CD638DB"/>
    <w:rsid w:val="5CDC46B0"/>
    <w:rsid w:val="5CFA002A"/>
    <w:rsid w:val="5D1B6B7A"/>
    <w:rsid w:val="5D2F1C9E"/>
    <w:rsid w:val="5D313672"/>
    <w:rsid w:val="5D3407BC"/>
    <w:rsid w:val="5D5E7A1F"/>
    <w:rsid w:val="5D6026AF"/>
    <w:rsid w:val="5D6B6049"/>
    <w:rsid w:val="5D6E28EF"/>
    <w:rsid w:val="5D6E3EB4"/>
    <w:rsid w:val="5D8D7B2E"/>
    <w:rsid w:val="5D976A33"/>
    <w:rsid w:val="5D9C6A53"/>
    <w:rsid w:val="5DA141A9"/>
    <w:rsid w:val="5DA214E4"/>
    <w:rsid w:val="5DA246E6"/>
    <w:rsid w:val="5DBB7F57"/>
    <w:rsid w:val="5DC67CBD"/>
    <w:rsid w:val="5DDA11F8"/>
    <w:rsid w:val="5DFC6D1F"/>
    <w:rsid w:val="5E0647CA"/>
    <w:rsid w:val="5E0D65F0"/>
    <w:rsid w:val="5E1155F1"/>
    <w:rsid w:val="5E126EAB"/>
    <w:rsid w:val="5E2540F0"/>
    <w:rsid w:val="5E37554D"/>
    <w:rsid w:val="5E3D592D"/>
    <w:rsid w:val="5E511AE5"/>
    <w:rsid w:val="5E5F65C5"/>
    <w:rsid w:val="5E69720E"/>
    <w:rsid w:val="5E741CAA"/>
    <w:rsid w:val="5E821D0F"/>
    <w:rsid w:val="5E876FBB"/>
    <w:rsid w:val="5E9B2C22"/>
    <w:rsid w:val="5EC22222"/>
    <w:rsid w:val="5EC66096"/>
    <w:rsid w:val="5ECC20E5"/>
    <w:rsid w:val="5ECC70D2"/>
    <w:rsid w:val="5ED465B5"/>
    <w:rsid w:val="5EFA76CA"/>
    <w:rsid w:val="5EFD4BF9"/>
    <w:rsid w:val="5F0D3270"/>
    <w:rsid w:val="5F275C7F"/>
    <w:rsid w:val="5F34337C"/>
    <w:rsid w:val="5F384F01"/>
    <w:rsid w:val="5F391209"/>
    <w:rsid w:val="5F5D71B5"/>
    <w:rsid w:val="5F73700D"/>
    <w:rsid w:val="5F896F6F"/>
    <w:rsid w:val="5F99577E"/>
    <w:rsid w:val="5FA6525C"/>
    <w:rsid w:val="5FAA1B89"/>
    <w:rsid w:val="5FAF1740"/>
    <w:rsid w:val="5FB96E37"/>
    <w:rsid w:val="5FDB0F42"/>
    <w:rsid w:val="5FFB6EF1"/>
    <w:rsid w:val="600451BE"/>
    <w:rsid w:val="60055758"/>
    <w:rsid w:val="6025122C"/>
    <w:rsid w:val="602A0E9D"/>
    <w:rsid w:val="60392E4F"/>
    <w:rsid w:val="60486ECF"/>
    <w:rsid w:val="605225A3"/>
    <w:rsid w:val="606D5CB6"/>
    <w:rsid w:val="606D77CE"/>
    <w:rsid w:val="608B0D92"/>
    <w:rsid w:val="60915F40"/>
    <w:rsid w:val="6096514E"/>
    <w:rsid w:val="609915DB"/>
    <w:rsid w:val="609C6A6B"/>
    <w:rsid w:val="60B240C6"/>
    <w:rsid w:val="60D82767"/>
    <w:rsid w:val="60D9459E"/>
    <w:rsid w:val="60EB1BB0"/>
    <w:rsid w:val="60FE6021"/>
    <w:rsid w:val="61337719"/>
    <w:rsid w:val="61760E1B"/>
    <w:rsid w:val="6178029A"/>
    <w:rsid w:val="617916AC"/>
    <w:rsid w:val="61954951"/>
    <w:rsid w:val="619D3850"/>
    <w:rsid w:val="619E1B18"/>
    <w:rsid w:val="61A16487"/>
    <w:rsid w:val="61B03139"/>
    <w:rsid w:val="61C36401"/>
    <w:rsid w:val="61CB01DE"/>
    <w:rsid w:val="61CC1CFB"/>
    <w:rsid w:val="61CF061A"/>
    <w:rsid w:val="61DC0514"/>
    <w:rsid w:val="61E46465"/>
    <w:rsid w:val="61E912AE"/>
    <w:rsid w:val="61F40295"/>
    <w:rsid w:val="61F85411"/>
    <w:rsid w:val="61F95F8A"/>
    <w:rsid w:val="61FB4F4E"/>
    <w:rsid w:val="61FD25C6"/>
    <w:rsid w:val="62182053"/>
    <w:rsid w:val="62206F8F"/>
    <w:rsid w:val="623851EF"/>
    <w:rsid w:val="62394549"/>
    <w:rsid w:val="62520F59"/>
    <w:rsid w:val="62546005"/>
    <w:rsid w:val="6261448D"/>
    <w:rsid w:val="626732AD"/>
    <w:rsid w:val="627A0387"/>
    <w:rsid w:val="627C2892"/>
    <w:rsid w:val="62A2234A"/>
    <w:rsid w:val="62CF3BC9"/>
    <w:rsid w:val="62D75123"/>
    <w:rsid w:val="62DE585A"/>
    <w:rsid w:val="62F82712"/>
    <w:rsid w:val="62FC4881"/>
    <w:rsid w:val="63007F8A"/>
    <w:rsid w:val="630B2B40"/>
    <w:rsid w:val="63143903"/>
    <w:rsid w:val="631457BD"/>
    <w:rsid w:val="631944BB"/>
    <w:rsid w:val="63391BF9"/>
    <w:rsid w:val="63430E34"/>
    <w:rsid w:val="636852EA"/>
    <w:rsid w:val="63856467"/>
    <w:rsid w:val="638F667D"/>
    <w:rsid w:val="63B84F03"/>
    <w:rsid w:val="63C317DA"/>
    <w:rsid w:val="63C6580A"/>
    <w:rsid w:val="63EC57F6"/>
    <w:rsid w:val="63EF5D96"/>
    <w:rsid w:val="6403769B"/>
    <w:rsid w:val="640F6AE0"/>
    <w:rsid w:val="64137FD9"/>
    <w:rsid w:val="64167DD9"/>
    <w:rsid w:val="642217E1"/>
    <w:rsid w:val="64294F33"/>
    <w:rsid w:val="644C23C4"/>
    <w:rsid w:val="64583F19"/>
    <w:rsid w:val="645E70A9"/>
    <w:rsid w:val="64844C0E"/>
    <w:rsid w:val="649736A3"/>
    <w:rsid w:val="64E364A2"/>
    <w:rsid w:val="653014FE"/>
    <w:rsid w:val="653454D4"/>
    <w:rsid w:val="653A6152"/>
    <w:rsid w:val="65403F71"/>
    <w:rsid w:val="655D49F2"/>
    <w:rsid w:val="657437A8"/>
    <w:rsid w:val="657C44CB"/>
    <w:rsid w:val="65842B1A"/>
    <w:rsid w:val="65847DDC"/>
    <w:rsid w:val="658630FD"/>
    <w:rsid w:val="658B5499"/>
    <w:rsid w:val="65970A49"/>
    <w:rsid w:val="65A16BCC"/>
    <w:rsid w:val="65AE7A8A"/>
    <w:rsid w:val="65AF02DB"/>
    <w:rsid w:val="65B22A60"/>
    <w:rsid w:val="65B938BB"/>
    <w:rsid w:val="65BE2493"/>
    <w:rsid w:val="65CD3195"/>
    <w:rsid w:val="66013B0C"/>
    <w:rsid w:val="660A6554"/>
    <w:rsid w:val="661F75F7"/>
    <w:rsid w:val="662C5E7C"/>
    <w:rsid w:val="66467D61"/>
    <w:rsid w:val="66710341"/>
    <w:rsid w:val="66752433"/>
    <w:rsid w:val="6676437C"/>
    <w:rsid w:val="668F1209"/>
    <w:rsid w:val="669842F0"/>
    <w:rsid w:val="66A650E2"/>
    <w:rsid w:val="66A9423C"/>
    <w:rsid w:val="66B95150"/>
    <w:rsid w:val="66C87C7B"/>
    <w:rsid w:val="66CB1149"/>
    <w:rsid w:val="66E4109D"/>
    <w:rsid w:val="66EA0CAC"/>
    <w:rsid w:val="66EE635B"/>
    <w:rsid w:val="66F64EE8"/>
    <w:rsid w:val="66FA7961"/>
    <w:rsid w:val="671A6ABC"/>
    <w:rsid w:val="6725481A"/>
    <w:rsid w:val="672F73D5"/>
    <w:rsid w:val="673B3C16"/>
    <w:rsid w:val="67434972"/>
    <w:rsid w:val="67445816"/>
    <w:rsid w:val="6757284B"/>
    <w:rsid w:val="675A7ED7"/>
    <w:rsid w:val="675D0F71"/>
    <w:rsid w:val="676342B9"/>
    <w:rsid w:val="676B6AC1"/>
    <w:rsid w:val="676C46DE"/>
    <w:rsid w:val="6778053E"/>
    <w:rsid w:val="678139A4"/>
    <w:rsid w:val="678D01E5"/>
    <w:rsid w:val="6790164C"/>
    <w:rsid w:val="679B7462"/>
    <w:rsid w:val="679D765B"/>
    <w:rsid w:val="67BE0CDA"/>
    <w:rsid w:val="67BE53DA"/>
    <w:rsid w:val="67C346BF"/>
    <w:rsid w:val="67D13951"/>
    <w:rsid w:val="67D30E1E"/>
    <w:rsid w:val="67EC21C2"/>
    <w:rsid w:val="67FB5823"/>
    <w:rsid w:val="68031D1A"/>
    <w:rsid w:val="68155815"/>
    <w:rsid w:val="6817785F"/>
    <w:rsid w:val="682E5864"/>
    <w:rsid w:val="68377671"/>
    <w:rsid w:val="68414353"/>
    <w:rsid w:val="68731AC9"/>
    <w:rsid w:val="68851AD1"/>
    <w:rsid w:val="689A6C8E"/>
    <w:rsid w:val="689C51C7"/>
    <w:rsid w:val="68A7352D"/>
    <w:rsid w:val="68B25968"/>
    <w:rsid w:val="68C22B55"/>
    <w:rsid w:val="68E0297C"/>
    <w:rsid w:val="68E43B6F"/>
    <w:rsid w:val="68EB5726"/>
    <w:rsid w:val="69261FF7"/>
    <w:rsid w:val="692B4A2F"/>
    <w:rsid w:val="69316A99"/>
    <w:rsid w:val="69363DC4"/>
    <w:rsid w:val="69397B4C"/>
    <w:rsid w:val="693F5072"/>
    <w:rsid w:val="69437E96"/>
    <w:rsid w:val="6956691E"/>
    <w:rsid w:val="695816C5"/>
    <w:rsid w:val="695E1414"/>
    <w:rsid w:val="6960264C"/>
    <w:rsid w:val="697B42C2"/>
    <w:rsid w:val="698206F4"/>
    <w:rsid w:val="69871D88"/>
    <w:rsid w:val="699668E7"/>
    <w:rsid w:val="69BE7E62"/>
    <w:rsid w:val="69DF2E97"/>
    <w:rsid w:val="69E51CE4"/>
    <w:rsid w:val="69F22E60"/>
    <w:rsid w:val="6A075055"/>
    <w:rsid w:val="6A0834F3"/>
    <w:rsid w:val="6A097CFF"/>
    <w:rsid w:val="6A1458DB"/>
    <w:rsid w:val="6A2C64D6"/>
    <w:rsid w:val="6A315946"/>
    <w:rsid w:val="6A4156D9"/>
    <w:rsid w:val="6A470F4F"/>
    <w:rsid w:val="6A4C594C"/>
    <w:rsid w:val="6A4F1271"/>
    <w:rsid w:val="6A5E02F7"/>
    <w:rsid w:val="6A5F3BCD"/>
    <w:rsid w:val="6A6176B1"/>
    <w:rsid w:val="6A740789"/>
    <w:rsid w:val="6A85483E"/>
    <w:rsid w:val="6A953552"/>
    <w:rsid w:val="6AA20841"/>
    <w:rsid w:val="6AAF49F7"/>
    <w:rsid w:val="6AAF766B"/>
    <w:rsid w:val="6ABC730E"/>
    <w:rsid w:val="6AC50554"/>
    <w:rsid w:val="6B2B13FC"/>
    <w:rsid w:val="6B3A7C4A"/>
    <w:rsid w:val="6B3C41FE"/>
    <w:rsid w:val="6B567DC1"/>
    <w:rsid w:val="6B5B2936"/>
    <w:rsid w:val="6B696CFF"/>
    <w:rsid w:val="6B7746A6"/>
    <w:rsid w:val="6B8156F2"/>
    <w:rsid w:val="6B847698"/>
    <w:rsid w:val="6B92002F"/>
    <w:rsid w:val="6BA1771F"/>
    <w:rsid w:val="6BA21F7B"/>
    <w:rsid w:val="6BAA5A85"/>
    <w:rsid w:val="6BAF393D"/>
    <w:rsid w:val="6BB75339"/>
    <w:rsid w:val="6BC26A1D"/>
    <w:rsid w:val="6BD467DA"/>
    <w:rsid w:val="6BD536A3"/>
    <w:rsid w:val="6BE670E6"/>
    <w:rsid w:val="6BEB2572"/>
    <w:rsid w:val="6BEE78E0"/>
    <w:rsid w:val="6BEF1B47"/>
    <w:rsid w:val="6BFA2DD9"/>
    <w:rsid w:val="6C107452"/>
    <w:rsid w:val="6C1919A6"/>
    <w:rsid w:val="6C1C025B"/>
    <w:rsid w:val="6C1F0D77"/>
    <w:rsid w:val="6C2356D5"/>
    <w:rsid w:val="6C2D2794"/>
    <w:rsid w:val="6C30071D"/>
    <w:rsid w:val="6C377C07"/>
    <w:rsid w:val="6C4B41DA"/>
    <w:rsid w:val="6C5225CC"/>
    <w:rsid w:val="6C63797D"/>
    <w:rsid w:val="6C6707D6"/>
    <w:rsid w:val="6C725D4B"/>
    <w:rsid w:val="6C8B2CBF"/>
    <w:rsid w:val="6C8E1AE1"/>
    <w:rsid w:val="6C91589E"/>
    <w:rsid w:val="6C957F59"/>
    <w:rsid w:val="6C9A21D7"/>
    <w:rsid w:val="6CA356F9"/>
    <w:rsid w:val="6CA636F4"/>
    <w:rsid w:val="6CB10482"/>
    <w:rsid w:val="6CB93C41"/>
    <w:rsid w:val="6CBE11CD"/>
    <w:rsid w:val="6CC43130"/>
    <w:rsid w:val="6CCB1ADD"/>
    <w:rsid w:val="6CD867CC"/>
    <w:rsid w:val="6CDD4239"/>
    <w:rsid w:val="6CF51CA0"/>
    <w:rsid w:val="6CFB220C"/>
    <w:rsid w:val="6D1873E8"/>
    <w:rsid w:val="6D1E592E"/>
    <w:rsid w:val="6D1F43CA"/>
    <w:rsid w:val="6D211E37"/>
    <w:rsid w:val="6D23492E"/>
    <w:rsid w:val="6D3476BE"/>
    <w:rsid w:val="6D46596E"/>
    <w:rsid w:val="6D483CFC"/>
    <w:rsid w:val="6D671742"/>
    <w:rsid w:val="6D705EBD"/>
    <w:rsid w:val="6D9117ED"/>
    <w:rsid w:val="6D9917CD"/>
    <w:rsid w:val="6DB43652"/>
    <w:rsid w:val="6DB567C1"/>
    <w:rsid w:val="6DF10874"/>
    <w:rsid w:val="6DF73DF8"/>
    <w:rsid w:val="6E184A69"/>
    <w:rsid w:val="6E1D6FAE"/>
    <w:rsid w:val="6E20323A"/>
    <w:rsid w:val="6E2E6298"/>
    <w:rsid w:val="6E324F9D"/>
    <w:rsid w:val="6E3273B3"/>
    <w:rsid w:val="6E39117E"/>
    <w:rsid w:val="6E3C0E30"/>
    <w:rsid w:val="6E3D2C83"/>
    <w:rsid w:val="6E4D7715"/>
    <w:rsid w:val="6E5E4299"/>
    <w:rsid w:val="6E6231A1"/>
    <w:rsid w:val="6E6C78A4"/>
    <w:rsid w:val="6E6F04F3"/>
    <w:rsid w:val="6E877007"/>
    <w:rsid w:val="6E8B69E1"/>
    <w:rsid w:val="6E8F24A1"/>
    <w:rsid w:val="6E9B1BD2"/>
    <w:rsid w:val="6ECB570E"/>
    <w:rsid w:val="6EDF48AA"/>
    <w:rsid w:val="6EEB2C87"/>
    <w:rsid w:val="6EF55ACA"/>
    <w:rsid w:val="6F136BAE"/>
    <w:rsid w:val="6F220AF5"/>
    <w:rsid w:val="6F2B359A"/>
    <w:rsid w:val="6F2F18D4"/>
    <w:rsid w:val="6F3028F7"/>
    <w:rsid w:val="6F457C6A"/>
    <w:rsid w:val="6F4E792B"/>
    <w:rsid w:val="6F516610"/>
    <w:rsid w:val="6F541E8D"/>
    <w:rsid w:val="6F582A95"/>
    <w:rsid w:val="6F601021"/>
    <w:rsid w:val="6F670779"/>
    <w:rsid w:val="6F677759"/>
    <w:rsid w:val="6F682415"/>
    <w:rsid w:val="6F7A2262"/>
    <w:rsid w:val="6F8E0A00"/>
    <w:rsid w:val="6F9F0B06"/>
    <w:rsid w:val="6FC10958"/>
    <w:rsid w:val="6FC20A13"/>
    <w:rsid w:val="6FD05B08"/>
    <w:rsid w:val="6FD231EC"/>
    <w:rsid w:val="6FEA2EFE"/>
    <w:rsid w:val="6FEE7440"/>
    <w:rsid w:val="6FFF5E39"/>
    <w:rsid w:val="700B7C47"/>
    <w:rsid w:val="70132CBB"/>
    <w:rsid w:val="70181F99"/>
    <w:rsid w:val="701D70ED"/>
    <w:rsid w:val="701F5268"/>
    <w:rsid w:val="70230C8F"/>
    <w:rsid w:val="70260DAE"/>
    <w:rsid w:val="704930A6"/>
    <w:rsid w:val="704C6512"/>
    <w:rsid w:val="705576E3"/>
    <w:rsid w:val="7058627C"/>
    <w:rsid w:val="708737CB"/>
    <w:rsid w:val="708952BC"/>
    <w:rsid w:val="70A96AA0"/>
    <w:rsid w:val="70B37257"/>
    <w:rsid w:val="70BE085E"/>
    <w:rsid w:val="70BE489E"/>
    <w:rsid w:val="70C765C0"/>
    <w:rsid w:val="70D81F8B"/>
    <w:rsid w:val="70DA4E2A"/>
    <w:rsid w:val="70E57B3A"/>
    <w:rsid w:val="70F043AA"/>
    <w:rsid w:val="70F32BA7"/>
    <w:rsid w:val="70F733B7"/>
    <w:rsid w:val="70FF596C"/>
    <w:rsid w:val="71114B25"/>
    <w:rsid w:val="71171EDB"/>
    <w:rsid w:val="712D6A41"/>
    <w:rsid w:val="71431946"/>
    <w:rsid w:val="71493994"/>
    <w:rsid w:val="714F692D"/>
    <w:rsid w:val="71547246"/>
    <w:rsid w:val="71552870"/>
    <w:rsid w:val="7159205F"/>
    <w:rsid w:val="71863262"/>
    <w:rsid w:val="71A86F5D"/>
    <w:rsid w:val="71C36891"/>
    <w:rsid w:val="71CD0054"/>
    <w:rsid w:val="71CE63FB"/>
    <w:rsid w:val="71D25794"/>
    <w:rsid w:val="71DE1164"/>
    <w:rsid w:val="71DF30B2"/>
    <w:rsid w:val="71E62361"/>
    <w:rsid w:val="71FF47DA"/>
    <w:rsid w:val="723632FA"/>
    <w:rsid w:val="723D4592"/>
    <w:rsid w:val="723F3B5E"/>
    <w:rsid w:val="72464B19"/>
    <w:rsid w:val="724667B9"/>
    <w:rsid w:val="726414D0"/>
    <w:rsid w:val="72675FFF"/>
    <w:rsid w:val="726F2445"/>
    <w:rsid w:val="727169E1"/>
    <w:rsid w:val="7284586C"/>
    <w:rsid w:val="72880ABF"/>
    <w:rsid w:val="728A276E"/>
    <w:rsid w:val="728C2E54"/>
    <w:rsid w:val="72902BEB"/>
    <w:rsid w:val="729A63EA"/>
    <w:rsid w:val="729D56C3"/>
    <w:rsid w:val="72C1637B"/>
    <w:rsid w:val="72C852A7"/>
    <w:rsid w:val="72C926D3"/>
    <w:rsid w:val="72C9527A"/>
    <w:rsid w:val="72CA40E8"/>
    <w:rsid w:val="72DD0D59"/>
    <w:rsid w:val="72E00BF1"/>
    <w:rsid w:val="72E3163D"/>
    <w:rsid w:val="72F420A8"/>
    <w:rsid w:val="730076C9"/>
    <w:rsid w:val="730A0356"/>
    <w:rsid w:val="73171FE4"/>
    <w:rsid w:val="731B6F00"/>
    <w:rsid w:val="732B5507"/>
    <w:rsid w:val="733B01BF"/>
    <w:rsid w:val="73480F4C"/>
    <w:rsid w:val="73612525"/>
    <w:rsid w:val="73782B8D"/>
    <w:rsid w:val="73897373"/>
    <w:rsid w:val="73973898"/>
    <w:rsid w:val="739914DE"/>
    <w:rsid w:val="739953B4"/>
    <w:rsid w:val="73B5606E"/>
    <w:rsid w:val="73D30E53"/>
    <w:rsid w:val="73D35D0A"/>
    <w:rsid w:val="73E71D9D"/>
    <w:rsid w:val="740A5F99"/>
    <w:rsid w:val="74116FEC"/>
    <w:rsid w:val="74173E49"/>
    <w:rsid w:val="7426147D"/>
    <w:rsid w:val="742616E7"/>
    <w:rsid w:val="742F380E"/>
    <w:rsid w:val="74311F98"/>
    <w:rsid w:val="7438673C"/>
    <w:rsid w:val="7450434B"/>
    <w:rsid w:val="745D14CD"/>
    <w:rsid w:val="74611AAD"/>
    <w:rsid w:val="7464042F"/>
    <w:rsid w:val="747F4C63"/>
    <w:rsid w:val="7480504F"/>
    <w:rsid w:val="74827FA6"/>
    <w:rsid w:val="74A045B4"/>
    <w:rsid w:val="74A46A2C"/>
    <w:rsid w:val="74A478C8"/>
    <w:rsid w:val="74AA2FE7"/>
    <w:rsid w:val="74AA6146"/>
    <w:rsid w:val="74AE6A59"/>
    <w:rsid w:val="74B07BC5"/>
    <w:rsid w:val="74B44921"/>
    <w:rsid w:val="74B5679E"/>
    <w:rsid w:val="74E4158A"/>
    <w:rsid w:val="74E5727F"/>
    <w:rsid w:val="74E73703"/>
    <w:rsid w:val="74E96A41"/>
    <w:rsid w:val="74EE7C99"/>
    <w:rsid w:val="74F20D02"/>
    <w:rsid w:val="74FC26F9"/>
    <w:rsid w:val="74FF3B52"/>
    <w:rsid w:val="75030EED"/>
    <w:rsid w:val="751D4D26"/>
    <w:rsid w:val="7523059A"/>
    <w:rsid w:val="7534383B"/>
    <w:rsid w:val="754071BA"/>
    <w:rsid w:val="754954C3"/>
    <w:rsid w:val="755325D3"/>
    <w:rsid w:val="756916F1"/>
    <w:rsid w:val="757014BF"/>
    <w:rsid w:val="757E30A9"/>
    <w:rsid w:val="757F219F"/>
    <w:rsid w:val="757F7796"/>
    <w:rsid w:val="758451D9"/>
    <w:rsid w:val="758937C8"/>
    <w:rsid w:val="758B7FF5"/>
    <w:rsid w:val="7599706B"/>
    <w:rsid w:val="75D658E8"/>
    <w:rsid w:val="75F97725"/>
    <w:rsid w:val="76075102"/>
    <w:rsid w:val="76094D9A"/>
    <w:rsid w:val="76190C9B"/>
    <w:rsid w:val="7619646F"/>
    <w:rsid w:val="761D7763"/>
    <w:rsid w:val="76341521"/>
    <w:rsid w:val="764A2871"/>
    <w:rsid w:val="7661530F"/>
    <w:rsid w:val="767C7402"/>
    <w:rsid w:val="768B11BA"/>
    <w:rsid w:val="769004A7"/>
    <w:rsid w:val="76A44E0F"/>
    <w:rsid w:val="76A517E4"/>
    <w:rsid w:val="76A71398"/>
    <w:rsid w:val="76B52F11"/>
    <w:rsid w:val="76BA1D3D"/>
    <w:rsid w:val="76CF7BA0"/>
    <w:rsid w:val="76E27F54"/>
    <w:rsid w:val="76E711BB"/>
    <w:rsid w:val="76EB1797"/>
    <w:rsid w:val="76F1030B"/>
    <w:rsid w:val="770310AD"/>
    <w:rsid w:val="77111CA8"/>
    <w:rsid w:val="771377C4"/>
    <w:rsid w:val="773C3BB9"/>
    <w:rsid w:val="77400098"/>
    <w:rsid w:val="77422696"/>
    <w:rsid w:val="774B12EF"/>
    <w:rsid w:val="775C6138"/>
    <w:rsid w:val="7769375C"/>
    <w:rsid w:val="77724CCD"/>
    <w:rsid w:val="77772A1D"/>
    <w:rsid w:val="777F6C35"/>
    <w:rsid w:val="778B168F"/>
    <w:rsid w:val="77A9663D"/>
    <w:rsid w:val="77BB6680"/>
    <w:rsid w:val="77C71FFC"/>
    <w:rsid w:val="77C82A89"/>
    <w:rsid w:val="77F167AD"/>
    <w:rsid w:val="780F38E5"/>
    <w:rsid w:val="7810626D"/>
    <w:rsid w:val="78190759"/>
    <w:rsid w:val="781A36FB"/>
    <w:rsid w:val="781C76E1"/>
    <w:rsid w:val="781D489A"/>
    <w:rsid w:val="782C71B9"/>
    <w:rsid w:val="782E5249"/>
    <w:rsid w:val="78321E94"/>
    <w:rsid w:val="78604C6A"/>
    <w:rsid w:val="78694970"/>
    <w:rsid w:val="786C0439"/>
    <w:rsid w:val="786F7B34"/>
    <w:rsid w:val="787101EB"/>
    <w:rsid w:val="78807DAA"/>
    <w:rsid w:val="78842EC8"/>
    <w:rsid w:val="78897460"/>
    <w:rsid w:val="788F4D3A"/>
    <w:rsid w:val="788F788E"/>
    <w:rsid w:val="7896311F"/>
    <w:rsid w:val="789823A4"/>
    <w:rsid w:val="78A910AD"/>
    <w:rsid w:val="78BB4A3A"/>
    <w:rsid w:val="78CC1701"/>
    <w:rsid w:val="78CF3475"/>
    <w:rsid w:val="78F11EAC"/>
    <w:rsid w:val="78F60D5B"/>
    <w:rsid w:val="78F81167"/>
    <w:rsid w:val="79031692"/>
    <w:rsid w:val="79091979"/>
    <w:rsid w:val="790D6DBD"/>
    <w:rsid w:val="79201B52"/>
    <w:rsid w:val="7920702A"/>
    <w:rsid w:val="792E3B51"/>
    <w:rsid w:val="79423590"/>
    <w:rsid w:val="79534309"/>
    <w:rsid w:val="79736D16"/>
    <w:rsid w:val="7992172A"/>
    <w:rsid w:val="79922DC6"/>
    <w:rsid w:val="79995E60"/>
    <w:rsid w:val="799C0EA0"/>
    <w:rsid w:val="79B335D0"/>
    <w:rsid w:val="79B55D44"/>
    <w:rsid w:val="79C72D69"/>
    <w:rsid w:val="79D269AE"/>
    <w:rsid w:val="79E84DA0"/>
    <w:rsid w:val="79EE56D5"/>
    <w:rsid w:val="79F2394F"/>
    <w:rsid w:val="79F41239"/>
    <w:rsid w:val="7A037DF8"/>
    <w:rsid w:val="7A1B067D"/>
    <w:rsid w:val="7A223AB3"/>
    <w:rsid w:val="7A35260B"/>
    <w:rsid w:val="7A376624"/>
    <w:rsid w:val="7A3C3AF6"/>
    <w:rsid w:val="7A416C69"/>
    <w:rsid w:val="7A422DA0"/>
    <w:rsid w:val="7A436393"/>
    <w:rsid w:val="7A5660AB"/>
    <w:rsid w:val="7A5F70F2"/>
    <w:rsid w:val="7A6E1D60"/>
    <w:rsid w:val="7A705EA2"/>
    <w:rsid w:val="7A7273D4"/>
    <w:rsid w:val="7A9F0039"/>
    <w:rsid w:val="7AB706BB"/>
    <w:rsid w:val="7AB95295"/>
    <w:rsid w:val="7ABD5D20"/>
    <w:rsid w:val="7AD22B19"/>
    <w:rsid w:val="7AEC48D5"/>
    <w:rsid w:val="7AF3450A"/>
    <w:rsid w:val="7AF567E8"/>
    <w:rsid w:val="7B122E35"/>
    <w:rsid w:val="7B171811"/>
    <w:rsid w:val="7B19099D"/>
    <w:rsid w:val="7B1A1A7B"/>
    <w:rsid w:val="7B6C362A"/>
    <w:rsid w:val="7B7A194D"/>
    <w:rsid w:val="7B7A2963"/>
    <w:rsid w:val="7B8912E8"/>
    <w:rsid w:val="7B900851"/>
    <w:rsid w:val="7B996560"/>
    <w:rsid w:val="7BBA7573"/>
    <w:rsid w:val="7BBB7F69"/>
    <w:rsid w:val="7BCF4D26"/>
    <w:rsid w:val="7BD13499"/>
    <w:rsid w:val="7BDC44FB"/>
    <w:rsid w:val="7C041BA0"/>
    <w:rsid w:val="7C0D7474"/>
    <w:rsid w:val="7C1B7008"/>
    <w:rsid w:val="7C384330"/>
    <w:rsid w:val="7C3A6F74"/>
    <w:rsid w:val="7C444D20"/>
    <w:rsid w:val="7C505E8A"/>
    <w:rsid w:val="7C6B786F"/>
    <w:rsid w:val="7C7127B9"/>
    <w:rsid w:val="7C763703"/>
    <w:rsid w:val="7C7B1C70"/>
    <w:rsid w:val="7C7D6920"/>
    <w:rsid w:val="7C943374"/>
    <w:rsid w:val="7CE131BC"/>
    <w:rsid w:val="7CE316E3"/>
    <w:rsid w:val="7CEC0A07"/>
    <w:rsid w:val="7CF336C5"/>
    <w:rsid w:val="7D005B56"/>
    <w:rsid w:val="7D252E42"/>
    <w:rsid w:val="7D315710"/>
    <w:rsid w:val="7D4E6211"/>
    <w:rsid w:val="7D5061CF"/>
    <w:rsid w:val="7D6E41AE"/>
    <w:rsid w:val="7D705B3E"/>
    <w:rsid w:val="7D7276AF"/>
    <w:rsid w:val="7D7E70DC"/>
    <w:rsid w:val="7D854D50"/>
    <w:rsid w:val="7D8E742B"/>
    <w:rsid w:val="7D9F005B"/>
    <w:rsid w:val="7D9F498F"/>
    <w:rsid w:val="7DB81166"/>
    <w:rsid w:val="7DD15538"/>
    <w:rsid w:val="7DD84D75"/>
    <w:rsid w:val="7DDB557A"/>
    <w:rsid w:val="7DEC256A"/>
    <w:rsid w:val="7DFB501C"/>
    <w:rsid w:val="7E061248"/>
    <w:rsid w:val="7E293666"/>
    <w:rsid w:val="7E373B3B"/>
    <w:rsid w:val="7E4C240A"/>
    <w:rsid w:val="7E630C62"/>
    <w:rsid w:val="7E824717"/>
    <w:rsid w:val="7E9D4F3F"/>
    <w:rsid w:val="7EA15434"/>
    <w:rsid w:val="7EAB3BA4"/>
    <w:rsid w:val="7EBA3991"/>
    <w:rsid w:val="7EDC1452"/>
    <w:rsid w:val="7EDC59B9"/>
    <w:rsid w:val="7EDC5FE5"/>
    <w:rsid w:val="7EEE6B9D"/>
    <w:rsid w:val="7EF72B36"/>
    <w:rsid w:val="7EFD4441"/>
    <w:rsid w:val="7F0341EA"/>
    <w:rsid w:val="7F0D5B5E"/>
    <w:rsid w:val="7F0E03F8"/>
    <w:rsid w:val="7F112B24"/>
    <w:rsid w:val="7F1F5E8D"/>
    <w:rsid w:val="7F2B415A"/>
    <w:rsid w:val="7F2F1BF1"/>
    <w:rsid w:val="7F3324E7"/>
    <w:rsid w:val="7F3E10DC"/>
    <w:rsid w:val="7F446671"/>
    <w:rsid w:val="7F465848"/>
    <w:rsid w:val="7F527ED3"/>
    <w:rsid w:val="7F541CA7"/>
    <w:rsid w:val="7F5D0894"/>
    <w:rsid w:val="7F715EC7"/>
    <w:rsid w:val="7F8C722B"/>
    <w:rsid w:val="7F903E4F"/>
    <w:rsid w:val="7F9713DB"/>
    <w:rsid w:val="7F9A3615"/>
    <w:rsid w:val="7FA37A7F"/>
    <w:rsid w:val="7FB41098"/>
    <w:rsid w:val="7FB60089"/>
    <w:rsid w:val="7FCC6B4C"/>
    <w:rsid w:val="7FF5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D2205"/>
  <w15:docId w15:val="{1B5835A3-4CCD-4E91-A440-1BA44ABB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qFormat="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line="480" w:lineRule="auto"/>
      <w:ind w:firstLineChars="200" w:firstLine="420"/>
      <w:outlineLvl w:val="1"/>
    </w:pPr>
    <w:rPr>
      <w:rFonts w:ascii="宋体" w:hAnsi="宋体"/>
      <w:kern w:val="0"/>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ind w:left="1260"/>
      <w:jc w:val="left"/>
    </w:pPr>
    <w:rPr>
      <w:sz w:val="18"/>
      <w:szCs w:val="18"/>
    </w:rPr>
  </w:style>
  <w:style w:type="paragraph" w:styleId="a3">
    <w:name w:val="Document Map"/>
    <w:basedOn w:val="a"/>
    <w:semiHidden/>
    <w:qFormat/>
    <w:pPr>
      <w:shd w:val="clear" w:color="auto" w:fill="000080"/>
    </w:pPr>
  </w:style>
  <w:style w:type="paragraph" w:styleId="a4">
    <w:name w:val="annotation text"/>
    <w:basedOn w:val="a"/>
    <w:qFormat/>
    <w:pPr>
      <w:jc w:val="left"/>
    </w:pPr>
  </w:style>
  <w:style w:type="paragraph" w:styleId="a5">
    <w:name w:val="Salutation"/>
    <w:basedOn w:val="a"/>
    <w:next w:val="a"/>
    <w:qFormat/>
  </w:style>
  <w:style w:type="paragraph" w:styleId="a6">
    <w:name w:val="Body Text Indent"/>
    <w:basedOn w:val="a"/>
    <w:qFormat/>
    <w:pPr>
      <w:spacing w:after="120"/>
      <w:ind w:leftChars="200" w:left="420"/>
    </w:pPr>
  </w:style>
  <w:style w:type="paragraph" w:styleId="5">
    <w:name w:val="toc 5"/>
    <w:basedOn w:val="a"/>
    <w:next w:val="a"/>
    <w:semiHidden/>
    <w:qFormat/>
    <w:pPr>
      <w:ind w:left="840"/>
      <w:jc w:val="left"/>
    </w:pPr>
    <w:rPr>
      <w:sz w:val="18"/>
      <w:szCs w:val="18"/>
    </w:rPr>
  </w:style>
  <w:style w:type="paragraph" w:styleId="31">
    <w:name w:val="toc 3"/>
    <w:basedOn w:val="a"/>
    <w:next w:val="a"/>
    <w:semiHidden/>
    <w:qFormat/>
    <w:pPr>
      <w:ind w:left="420"/>
      <w:jc w:val="left"/>
    </w:pPr>
    <w:rPr>
      <w:i/>
      <w:iCs/>
      <w:sz w:val="20"/>
      <w:szCs w:val="20"/>
    </w:rPr>
  </w:style>
  <w:style w:type="paragraph" w:styleId="a7">
    <w:name w:val="Plain Text"/>
    <w:basedOn w:val="a"/>
    <w:qFormat/>
    <w:rPr>
      <w:rFonts w:ascii="宋体" w:hAnsi="Courier New"/>
      <w:szCs w:val="21"/>
    </w:rPr>
  </w:style>
  <w:style w:type="paragraph" w:styleId="8">
    <w:name w:val="toc 8"/>
    <w:basedOn w:val="a"/>
    <w:next w:val="a"/>
    <w:semiHidden/>
    <w:qFormat/>
    <w:pPr>
      <w:ind w:left="1470"/>
      <w:jc w:val="left"/>
    </w:pPr>
    <w:rPr>
      <w:sz w:val="18"/>
      <w:szCs w:val="18"/>
    </w:rPr>
  </w:style>
  <w:style w:type="paragraph" w:styleId="a8">
    <w:name w:val="Date"/>
    <w:basedOn w:val="a"/>
    <w:next w:val="a"/>
    <w:qFormat/>
    <w:pPr>
      <w:ind w:leftChars="2500" w:left="100"/>
    </w:pPr>
  </w:style>
  <w:style w:type="paragraph" w:styleId="21">
    <w:name w:val="Body Text Indent 2"/>
    <w:basedOn w:val="a"/>
    <w:link w:val="22"/>
    <w:semiHidden/>
    <w:unhideWhenUsed/>
    <w:qFormat/>
    <w:pPr>
      <w:spacing w:after="120" w:line="480" w:lineRule="auto"/>
      <w:ind w:leftChars="200" w:left="420"/>
    </w:pPr>
  </w:style>
  <w:style w:type="paragraph" w:styleId="a9">
    <w:name w:val="Balloon Text"/>
    <w:basedOn w:val="a"/>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1">
    <w:name w:val="toc 4"/>
    <w:basedOn w:val="a"/>
    <w:next w:val="a"/>
    <w:semiHidden/>
    <w:qFormat/>
    <w:pPr>
      <w:ind w:left="630"/>
      <w:jc w:val="left"/>
    </w:pPr>
    <w:rPr>
      <w:sz w:val="18"/>
      <w:szCs w:val="18"/>
    </w:rPr>
  </w:style>
  <w:style w:type="paragraph" w:styleId="ae">
    <w:name w:val="Subtitle"/>
    <w:basedOn w:val="a"/>
    <w:next w:val="a"/>
    <w:link w:val="af"/>
    <w:qFormat/>
    <w:pPr>
      <w:spacing w:before="240" w:after="60" w:line="312" w:lineRule="auto"/>
      <w:jc w:val="center"/>
      <w:outlineLvl w:val="1"/>
    </w:pPr>
    <w:rPr>
      <w:rFonts w:asciiTheme="majorHAnsi" w:hAnsiTheme="majorHAnsi" w:cstheme="majorBidi"/>
      <w:b/>
      <w:bCs/>
      <w:kern w:val="28"/>
      <w:sz w:val="32"/>
      <w:szCs w:val="32"/>
    </w:rPr>
  </w:style>
  <w:style w:type="paragraph" w:styleId="6">
    <w:name w:val="toc 6"/>
    <w:basedOn w:val="a"/>
    <w:next w:val="a"/>
    <w:semiHidden/>
    <w:qFormat/>
    <w:pPr>
      <w:ind w:left="1050"/>
      <w:jc w:val="left"/>
    </w:pPr>
    <w:rPr>
      <w:sz w:val="18"/>
      <w:szCs w:val="18"/>
    </w:rPr>
  </w:style>
  <w:style w:type="paragraph" w:styleId="32">
    <w:name w:val="Body Text Indent 3"/>
    <w:basedOn w:val="a"/>
    <w:qFormat/>
    <w:pPr>
      <w:autoSpaceDE w:val="0"/>
      <w:autoSpaceDN w:val="0"/>
      <w:adjustRightInd w:val="0"/>
      <w:spacing w:line="360" w:lineRule="auto"/>
      <w:ind w:firstLineChars="179" w:firstLine="376"/>
    </w:pPr>
    <w:rPr>
      <w:rFonts w:ascii="宋体" w:hAnsi="宋体"/>
      <w:kern w:val="0"/>
      <w:szCs w:val="20"/>
    </w:rPr>
  </w:style>
  <w:style w:type="paragraph" w:styleId="23">
    <w:name w:val="toc 2"/>
    <w:basedOn w:val="a"/>
    <w:next w:val="a"/>
    <w:semiHidden/>
    <w:qFormat/>
    <w:pPr>
      <w:ind w:left="210"/>
      <w:jc w:val="left"/>
    </w:pPr>
    <w:rPr>
      <w:smallCaps/>
      <w:sz w:val="20"/>
      <w:szCs w:val="20"/>
    </w:rPr>
  </w:style>
  <w:style w:type="paragraph" w:styleId="9">
    <w:name w:val="toc 9"/>
    <w:basedOn w:val="a"/>
    <w:next w:val="a"/>
    <w:semiHidden/>
    <w:qFormat/>
    <w:pPr>
      <w:ind w:left="1680"/>
      <w:jc w:val="left"/>
    </w:pPr>
    <w:rPr>
      <w:sz w:val="18"/>
      <w:szCs w:val="18"/>
    </w:rPr>
  </w:style>
  <w:style w:type="paragraph" w:styleId="af0">
    <w:name w:val="Normal (Web)"/>
    <w:basedOn w:val="a"/>
    <w:link w:val="af1"/>
    <w:uiPriority w:val="99"/>
    <w:qFormat/>
    <w:pPr>
      <w:widowControl/>
      <w:spacing w:before="100" w:beforeAutospacing="1" w:after="100" w:afterAutospacing="1" w:line="300" w:lineRule="atLeast"/>
      <w:jc w:val="left"/>
    </w:pPr>
    <w:rPr>
      <w:rFonts w:ascii="Arial Unicode MS" w:hAnsi="Arial Unicode MS" w:cs="Arial Unicode MS"/>
      <w:kern w:val="0"/>
      <w:sz w:val="18"/>
      <w:szCs w:val="18"/>
    </w:rPr>
  </w:style>
  <w:style w:type="paragraph" w:styleId="af2">
    <w:name w:val="annotation subject"/>
    <w:basedOn w:val="a4"/>
    <w:next w:val="a4"/>
    <w:semiHidden/>
    <w:qFormat/>
    <w:rPr>
      <w:b/>
      <w:bCs/>
    </w:r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FollowedHyperlink"/>
    <w:basedOn w:val="a0"/>
    <w:semiHidden/>
    <w:unhideWhenUsed/>
    <w:qFormat/>
    <w:rPr>
      <w:color w:val="800080" w:themeColor="followedHyperlink"/>
      <w:u w:val="single"/>
    </w:rPr>
  </w:style>
  <w:style w:type="character" w:styleId="af6">
    <w:name w:val="Hyperlink"/>
    <w:uiPriority w:val="99"/>
    <w:qFormat/>
    <w:rPr>
      <w:color w:val="0000FF"/>
      <w:u w:val="single"/>
    </w:rPr>
  </w:style>
  <w:style w:type="character" w:styleId="af7">
    <w:name w:val="annotation reference"/>
    <w:qFormat/>
    <w:rPr>
      <w:sz w:val="21"/>
      <w:szCs w:val="21"/>
    </w:rPr>
  </w:style>
  <w:style w:type="character" w:customStyle="1" w:styleId="chenzhengxian">
    <w:name w:val="chenzhengxian"/>
    <w:semiHidden/>
    <w:qFormat/>
    <w:rPr>
      <w:rFonts w:ascii="宋体" w:eastAsia="宋体"/>
      <w:color w:val="auto"/>
      <w:sz w:val="21"/>
      <w:szCs w:val="21"/>
      <w:u w:val="none"/>
    </w:rPr>
  </w:style>
  <w:style w:type="character" w:customStyle="1" w:styleId="ad">
    <w:name w:val="页眉 字符"/>
    <w:link w:val="ac"/>
    <w:uiPriority w:val="99"/>
    <w:qFormat/>
    <w:rPr>
      <w:kern w:val="2"/>
      <w:sz w:val="18"/>
      <w:szCs w:val="18"/>
    </w:rPr>
  </w:style>
  <w:style w:type="character" w:customStyle="1" w:styleId="11">
    <w:name w:val="日期1"/>
    <w:basedOn w:val="a0"/>
    <w:qFormat/>
  </w:style>
  <w:style w:type="character" w:customStyle="1" w:styleId="ab">
    <w:name w:val="页脚 字符"/>
    <w:link w:val="aa"/>
    <w:uiPriority w:val="99"/>
    <w:qFormat/>
    <w:rPr>
      <w:kern w:val="2"/>
      <w:sz w:val="18"/>
      <w:szCs w:val="18"/>
    </w:rPr>
  </w:style>
  <w:style w:type="paragraph" w:customStyle="1" w:styleId="CharCharCharCharChar1Char">
    <w:name w:val="Char Char Char Char Char1 Char"/>
    <w:basedOn w:val="a"/>
    <w:qFormat/>
  </w:style>
  <w:style w:type="paragraph" w:customStyle="1" w:styleId="12">
    <w:name w:val="修订1"/>
    <w:uiPriority w:val="99"/>
    <w:semiHidden/>
    <w:qFormat/>
    <w:rPr>
      <w:kern w:val="2"/>
      <w:sz w:val="21"/>
      <w:szCs w:val="24"/>
    </w:rPr>
  </w:style>
  <w:style w:type="paragraph" w:customStyle="1" w:styleId="xl30">
    <w:name w:val="xl30"/>
    <w:basedOn w:val="a"/>
    <w:qFormat/>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8">
    <w:name w:val="正文所"/>
    <w:basedOn w:val="a"/>
    <w:qFormat/>
    <w:pPr>
      <w:spacing w:line="360" w:lineRule="auto"/>
      <w:ind w:firstLineChars="200" w:firstLine="420"/>
    </w:pPr>
    <w:rPr>
      <w:rFonts w:ascii="宋体"/>
      <w:szCs w:val="20"/>
    </w:rPr>
  </w:style>
  <w:style w:type="paragraph" w:styleId="af9">
    <w:name w:val="List Paragraph"/>
    <w:basedOn w:val="a"/>
    <w:uiPriority w:val="34"/>
    <w:qFormat/>
    <w:pPr>
      <w:widowControl/>
      <w:spacing w:after="200" w:line="276" w:lineRule="auto"/>
      <w:ind w:left="720"/>
      <w:contextualSpacing/>
      <w:jc w:val="left"/>
    </w:pPr>
    <w:rPr>
      <w:rFonts w:ascii="Calibri" w:hAnsi="Calibri"/>
      <w:kern w:val="0"/>
      <w:sz w:val="22"/>
      <w:szCs w:val="22"/>
      <w:lang w:eastAsia="en-US"/>
    </w:rPr>
  </w:style>
  <w:style w:type="paragraph" w:customStyle="1" w:styleId="XBRLTitle6">
    <w:name w:val="XBRLTitle6"/>
    <w:basedOn w:val="ae"/>
    <w:next w:val="4"/>
    <w:qFormat/>
    <w:pPr>
      <w:keepNext/>
      <w:keepLines/>
      <w:numPr>
        <w:ilvl w:val="5"/>
        <w:numId w:val="1"/>
      </w:numPr>
      <w:tabs>
        <w:tab w:val="left" w:pos="2520"/>
      </w:tabs>
      <w:spacing w:beforeLines="50" w:before="0" w:after="0" w:line="240" w:lineRule="auto"/>
      <w:ind w:left="2520" w:hanging="420"/>
      <w:jc w:val="left"/>
      <w:outlineLvl w:val="9"/>
    </w:pPr>
    <w:rPr>
      <w:rFonts w:ascii="Cambria" w:hAnsi="Cambria" w:cs="Times New Roman"/>
      <w:sz w:val="24"/>
      <w:lang w:val="zh-CN"/>
    </w:rPr>
  </w:style>
  <w:style w:type="paragraph" w:customStyle="1" w:styleId="XBRLTitle1">
    <w:name w:val="XBRLTitle1"/>
    <w:basedOn w:val="1"/>
    <w:next w:val="2"/>
    <w:qFormat/>
    <w:pPr>
      <w:keepNext w:val="0"/>
      <w:keepLines w:val="0"/>
      <w:numPr>
        <w:numId w:val="1"/>
      </w:numPr>
      <w:spacing w:beforeLines="50" w:before="0" w:after="0" w:line="240" w:lineRule="auto"/>
      <w:jc w:val="center"/>
    </w:pPr>
    <w:rPr>
      <w:rFonts w:ascii="宋体" w:hAnsi="Cambria"/>
      <w:sz w:val="28"/>
      <w:lang w:val="zh-CN"/>
    </w:rPr>
  </w:style>
  <w:style w:type="paragraph" w:customStyle="1" w:styleId="XBRLTitle2">
    <w:name w:val="XBRLTitle2"/>
    <w:basedOn w:val="ae"/>
    <w:next w:val="4"/>
    <w:qFormat/>
    <w:pPr>
      <w:numPr>
        <w:ilvl w:val="1"/>
        <w:numId w:val="1"/>
      </w:numPr>
      <w:spacing w:beforeLines="50" w:before="0" w:after="0" w:line="240" w:lineRule="auto"/>
      <w:jc w:val="left"/>
    </w:pPr>
    <w:rPr>
      <w:rFonts w:ascii="宋体" w:hAnsi="Cambria" w:cs="Times New Roman"/>
      <w:sz w:val="24"/>
      <w:lang w:val="zh-CN"/>
    </w:rPr>
  </w:style>
  <w:style w:type="paragraph" w:customStyle="1" w:styleId="XBRLTitle5">
    <w:name w:val="XBRLTitle5"/>
    <w:basedOn w:val="ae"/>
    <w:next w:val="4"/>
    <w:qFormat/>
    <w:pPr>
      <w:keepNext/>
      <w:keepLines/>
      <w:numPr>
        <w:ilvl w:val="4"/>
        <w:numId w:val="1"/>
      </w:numPr>
      <w:tabs>
        <w:tab w:val="left" w:pos="2100"/>
      </w:tabs>
      <w:spacing w:beforeLines="50" w:before="0" w:after="0" w:line="240" w:lineRule="auto"/>
      <w:ind w:left="2100" w:hanging="420"/>
      <w:jc w:val="left"/>
      <w:outlineLvl w:val="9"/>
    </w:pPr>
    <w:rPr>
      <w:rFonts w:ascii="Cambria" w:hAnsi="Cambria" w:cs="Times New Roman"/>
      <w:sz w:val="24"/>
      <w:lang w:val="zh-CN"/>
    </w:rPr>
  </w:style>
  <w:style w:type="paragraph" w:customStyle="1" w:styleId="XBRLTitle4">
    <w:name w:val="XBRLTitle4"/>
    <w:basedOn w:val="ae"/>
    <w:next w:val="4"/>
    <w:qFormat/>
    <w:pPr>
      <w:keepNext/>
      <w:keepLines/>
      <w:numPr>
        <w:ilvl w:val="3"/>
        <w:numId w:val="1"/>
      </w:numPr>
      <w:spacing w:beforeLines="50" w:before="0" w:after="0" w:line="240" w:lineRule="auto"/>
      <w:jc w:val="left"/>
      <w:outlineLvl w:val="9"/>
    </w:pPr>
    <w:rPr>
      <w:rFonts w:ascii="Cambria" w:hAnsi="Cambria" w:cs="Times New Roman"/>
      <w:sz w:val="24"/>
      <w:lang w:val="zh-CN"/>
    </w:rPr>
  </w:style>
  <w:style w:type="paragraph" w:customStyle="1" w:styleId="XBRLTitle3">
    <w:name w:val="XBRLTitle3"/>
    <w:basedOn w:val="ae"/>
    <w:next w:val="4"/>
    <w:qFormat/>
    <w:pPr>
      <w:keepNext/>
      <w:keepLines/>
      <w:numPr>
        <w:ilvl w:val="2"/>
        <w:numId w:val="1"/>
      </w:numPr>
      <w:spacing w:before="156" w:after="0" w:line="360" w:lineRule="auto"/>
      <w:jc w:val="left"/>
      <w:outlineLvl w:val="9"/>
    </w:pPr>
    <w:rPr>
      <w:rFonts w:ascii="宋体" w:hAnsi="Cambria" w:cs="Times New Roman"/>
      <w:sz w:val="24"/>
      <w:lang w:val="zh-CN"/>
    </w:rPr>
  </w:style>
  <w:style w:type="paragraph" w:customStyle="1" w:styleId="afa">
    <w:name w:val="??"/>
    <w:basedOn w:val="a"/>
    <w:qFormat/>
    <w:pPr>
      <w:spacing w:line="360" w:lineRule="auto"/>
    </w:pPr>
    <w:rPr>
      <w:rFonts w:ascii="宋体" w:hAnsi="宋体"/>
      <w:szCs w:val="20"/>
    </w:rPr>
  </w:style>
  <w:style w:type="character" w:customStyle="1" w:styleId="af">
    <w:name w:val="副标题 字符"/>
    <w:basedOn w:val="a0"/>
    <w:link w:val="ae"/>
    <w:qFormat/>
    <w:rPr>
      <w:rFonts w:asciiTheme="majorHAnsi" w:hAnsiTheme="majorHAnsi" w:cstheme="majorBidi"/>
      <w:b/>
      <w:bCs/>
      <w:kern w:val="28"/>
      <w:sz w:val="32"/>
      <w:szCs w:val="32"/>
    </w:rPr>
  </w:style>
  <w:style w:type="character" w:customStyle="1" w:styleId="40">
    <w:name w:val="标题 4 字符"/>
    <w:basedOn w:val="a0"/>
    <w:link w:val="4"/>
    <w:semiHidden/>
    <w:qFormat/>
    <w:rPr>
      <w:rFonts w:asciiTheme="majorHAnsi" w:eastAsiaTheme="majorEastAsia" w:hAnsiTheme="majorHAnsi" w:cstheme="majorBidi"/>
      <w:b/>
      <w:bCs/>
      <w:kern w:val="2"/>
      <w:sz w:val="28"/>
      <w:szCs w:val="28"/>
    </w:rPr>
  </w:style>
  <w:style w:type="character" w:customStyle="1" w:styleId="30">
    <w:name w:val="标题 3 字符"/>
    <w:basedOn w:val="a0"/>
    <w:link w:val="3"/>
    <w:semiHidden/>
    <w:qFormat/>
    <w:rPr>
      <w:b/>
      <w:bCs/>
      <w:kern w:val="2"/>
      <w:sz w:val="32"/>
      <w:szCs w:val="32"/>
    </w:rPr>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rPr>
      <w:rFonts w:ascii="Arial" w:hAnsi="Arial" w:cs="Arial"/>
      <w:vanish/>
      <w:sz w:val="16"/>
      <w:szCs w:val="16"/>
    </w:rPr>
  </w:style>
  <w:style w:type="character" w:customStyle="1" w:styleId="apple-converted-space">
    <w:name w:val="apple-converted-space"/>
    <w:basedOn w:val="a0"/>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qFormat/>
    <w:rPr>
      <w:rFonts w:ascii="Arial" w:hAnsi="Arial" w:cs="Arial"/>
      <w:vanish/>
      <w:sz w:val="16"/>
      <w:szCs w:val="16"/>
    </w:rPr>
  </w:style>
  <w:style w:type="paragraph" w:customStyle="1" w:styleId="24">
    <w:name w:val="修订2"/>
    <w:uiPriority w:val="99"/>
    <w:semiHidden/>
    <w:qFormat/>
    <w:rPr>
      <w:kern w:val="2"/>
      <w:sz w:val="21"/>
      <w:szCs w:val="24"/>
    </w:rPr>
  </w:style>
  <w:style w:type="character" w:customStyle="1" w:styleId="20">
    <w:name w:val="标题 2 字符"/>
    <w:link w:val="2"/>
    <w:qFormat/>
    <w:locked/>
    <w:rPr>
      <w:rFonts w:ascii="宋体" w:hAnsi="宋体"/>
      <w:sz w:val="21"/>
      <w:szCs w:val="32"/>
    </w:rPr>
  </w:style>
  <w:style w:type="paragraph" w:customStyle="1" w:styleId="33">
    <w:name w:val="修订3"/>
    <w:hidden/>
    <w:uiPriority w:val="99"/>
    <w:semiHidden/>
    <w:qFormat/>
    <w:rPr>
      <w:kern w:val="2"/>
      <w:sz w:val="21"/>
      <w:szCs w:val="24"/>
    </w:rPr>
  </w:style>
  <w:style w:type="paragraph" w:customStyle="1" w:styleId="-">
    <w:name w:val="模板-正文"/>
    <w:basedOn w:val="af0"/>
    <w:link w:val="-Char"/>
    <w:qFormat/>
    <w:pPr>
      <w:shd w:val="clear" w:color="auto" w:fill="FFFFFF"/>
      <w:snapToGrid w:val="0"/>
      <w:spacing w:before="0" w:beforeAutospacing="0" w:after="0" w:afterAutospacing="0" w:line="360" w:lineRule="auto"/>
      <w:ind w:firstLineChars="200" w:firstLine="200"/>
      <w:jc w:val="both"/>
    </w:pPr>
    <w:rPr>
      <w:rFonts w:ascii="宋体" w:hAnsi="宋体" w:cs="Times New Roman"/>
      <w:color w:val="222222"/>
      <w:sz w:val="21"/>
      <w:szCs w:val="21"/>
      <w:lang w:val="zh-CN"/>
    </w:rPr>
  </w:style>
  <w:style w:type="character" w:customStyle="1" w:styleId="-Char">
    <w:name w:val="模板-正文 Char"/>
    <w:link w:val="-"/>
    <w:qFormat/>
    <w:rPr>
      <w:rFonts w:ascii="宋体" w:hAnsi="宋体"/>
      <w:color w:val="222222"/>
      <w:sz w:val="21"/>
      <w:szCs w:val="21"/>
      <w:shd w:val="clear" w:color="auto" w:fill="FFFFFF"/>
      <w:lang w:val="zh-CN" w:eastAsia="zh-CN"/>
    </w:rPr>
  </w:style>
  <w:style w:type="character" w:customStyle="1" w:styleId="af1">
    <w:name w:val="普通(网站) 字符"/>
    <w:link w:val="af0"/>
    <w:uiPriority w:val="99"/>
    <w:qFormat/>
    <w:rPr>
      <w:rFonts w:ascii="Arial Unicode MS" w:hAnsi="Arial Unicode MS" w:cs="Arial Unicode MS"/>
      <w:sz w:val="18"/>
      <w:szCs w:val="18"/>
    </w:rPr>
  </w:style>
  <w:style w:type="character" w:styleId="afb">
    <w:name w:val="Placeholder Text"/>
    <w:basedOn w:val="a0"/>
    <w:uiPriority w:val="99"/>
    <w:semiHidden/>
    <w:qFormat/>
    <w:rPr>
      <w:color w:val="808080"/>
    </w:rPr>
  </w:style>
  <w:style w:type="paragraph" w:customStyle="1" w:styleId="42">
    <w:name w:val="修订4"/>
    <w:hidden/>
    <w:uiPriority w:val="99"/>
    <w:semiHidden/>
    <w:qFormat/>
    <w:rPr>
      <w:kern w:val="2"/>
      <w:sz w:val="21"/>
      <w:szCs w:val="24"/>
    </w:rPr>
  </w:style>
  <w:style w:type="paragraph" w:customStyle="1" w:styleId="CharChar">
    <w:name w:val="Char Char"/>
    <w:basedOn w:val="a"/>
    <w:qFormat/>
    <w:rPr>
      <w:rFonts w:ascii="Calibri" w:hAnsi="Calibri"/>
      <w:szCs w:val="20"/>
    </w:rPr>
  </w:style>
  <w:style w:type="character" w:customStyle="1" w:styleId="DeltaViewInsertion">
    <w:name w:val="DeltaView Insertion"/>
    <w:uiPriority w:val="99"/>
    <w:qFormat/>
    <w:rPr>
      <w:color w:val="0000FF"/>
      <w:u w:val="double"/>
    </w:rPr>
  </w:style>
  <w:style w:type="paragraph" w:customStyle="1" w:styleId="50">
    <w:name w:val="修订5"/>
    <w:hidden/>
    <w:uiPriority w:val="99"/>
    <w:semiHidden/>
    <w:qFormat/>
    <w:rPr>
      <w:kern w:val="2"/>
      <w:sz w:val="21"/>
      <w:szCs w:val="24"/>
    </w:rPr>
  </w:style>
  <w:style w:type="paragraph" w:customStyle="1" w:styleId="60">
    <w:name w:val="修订6"/>
    <w:hidden/>
    <w:uiPriority w:val="99"/>
    <w:semiHidden/>
    <w:qFormat/>
    <w:rPr>
      <w:kern w:val="2"/>
      <w:sz w:val="21"/>
      <w:szCs w:val="24"/>
    </w:rPr>
  </w:style>
  <w:style w:type="character" w:customStyle="1" w:styleId="22">
    <w:name w:val="正文文本缩进 2 字符"/>
    <w:basedOn w:val="a0"/>
    <w:link w:val="21"/>
    <w:semiHidden/>
    <w:rPr>
      <w:kern w:val="2"/>
      <w:sz w:val="21"/>
      <w:szCs w:val="24"/>
    </w:rPr>
  </w:style>
  <w:style w:type="character" w:customStyle="1" w:styleId="13">
    <w:name w:val="未处理的提及1"/>
    <w:basedOn w:val="a0"/>
    <w:uiPriority w:val="99"/>
    <w:semiHidden/>
    <w:unhideWhenUsed/>
    <w:qFormat/>
    <w:rPr>
      <w:color w:val="605E5C"/>
      <w:shd w:val="clear" w:color="auto" w:fill="E1DFDD"/>
    </w:rPr>
  </w:style>
  <w:style w:type="paragraph" w:customStyle="1" w:styleId="70">
    <w:name w:val="修订7"/>
    <w:hidden/>
    <w:uiPriority w:val="99"/>
    <w:semiHidden/>
    <w:rPr>
      <w:kern w:val="2"/>
      <w:sz w:val="21"/>
      <w:szCs w:val="24"/>
    </w:rPr>
  </w:style>
  <w:style w:type="paragraph" w:styleId="afc">
    <w:name w:val="Revision"/>
    <w:hidden/>
    <w:uiPriority w:val="99"/>
    <w:semiHidden/>
    <w:rsid w:val="00232261"/>
    <w:rPr>
      <w:kern w:val="2"/>
      <w:sz w:val="21"/>
      <w:szCs w:val="24"/>
    </w:rPr>
  </w:style>
  <w:style w:type="character" w:customStyle="1" w:styleId="UnresolvedMention">
    <w:name w:val="Unresolved Mention"/>
    <w:basedOn w:val="a0"/>
    <w:uiPriority w:val="99"/>
    <w:semiHidden/>
    <w:unhideWhenUsed/>
    <w:rsid w:val="00ED10B3"/>
    <w:rPr>
      <w:color w:val="605E5C"/>
      <w:shd w:val="clear" w:color="auto" w:fill="E1DFDD"/>
    </w:rPr>
  </w:style>
  <w:style w:type="table" w:customStyle="1" w:styleId="-0">
    <w:name w:val="模板-表格"/>
    <w:basedOn w:val="a1"/>
    <w:rsid w:val="00B0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daq.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86E7-4E98-43AC-B91D-D25B1131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16570</Words>
  <Characters>94451</Characters>
  <Application>Microsoft Office Word</Application>
  <DocSecurity>0</DocSecurity>
  <Lines>787</Lines>
  <Paragraphs>221</Paragraphs>
  <ScaleCrop>false</ScaleCrop>
  <Company>wind</Company>
  <LinksUpToDate>false</LinksUpToDate>
  <CharactersWithSpaces>110800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陈正宪</dc:creator>
  <cp:keywords/>
  <dc:description/>
  <cp:lastModifiedBy>刘婷婷[公募产品]</cp:lastModifiedBy>
  <cp:revision>14</cp:revision>
  <cp:lastPrinted>2023-02-24T06:38:00Z</cp:lastPrinted>
  <dcterms:created xsi:type="dcterms:W3CDTF">2023-02-24T06:39:00Z</dcterms:created>
  <dcterms:modified xsi:type="dcterms:W3CDTF">2023-05-08T02:20:00Z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B04A2FE2A5554CB18566D35B1F27C4B0</vt:lpwstr>
  </property>
</Properties>
</file>