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47D628" w14:textId="77777777" w:rsidR="0037652E" w:rsidRDefault="0037652E">
      <w:pPr>
        <w:spacing w:line="480" w:lineRule="auto"/>
        <w:jc w:val="center"/>
        <w:rPr>
          <w:b/>
          <w:sz w:val="44"/>
          <w:szCs w:val="44"/>
        </w:rPr>
      </w:pPr>
      <w:bookmarkStart w:id="0" w:name="_Toc10604929"/>
      <w:bookmarkStart w:id="1" w:name="_Toc174790072"/>
      <w:bookmarkStart w:id="2" w:name="_Toc10554385"/>
      <w:bookmarkStart w:id="3" w:name="_GoBack"/>
      <w:bookmarkEnd w:id="3"/>
    </w:p>
    <w:p w14:paraId="08EF9793" w14:textId="77777777" w:rsidR="0037652E" w:rsidRDefault="0037652E">
      <w:pPr>
        <w:spacing w:line="480" w:lineRule="auto"/>
        <w:jc w:val="center"/>
        <w:rPr>
          <w:b/>
          <w:sz w:val="44"/>
          <w:szCs w:val="44"/>
        </w:rPr>
      </w:pPr>
    </w:p>
    <w:p w14:paraId="6A968A1D" w14:textId="77777777" w:rsidR="0037652E" w:rsidRDefault="0037652E">
      <w:pPr>
        <w:spacing w:line="480" w:lineRule="auto"/>
        <w:jc w:val="center"/>
        <w:rPr>
          <w:b/>
          <w:sz w:val="44"/>
          <w:szCs w:val="44"/>
        </w:rPr>
      </w:pPr>
    </w:p>
    <w:p w14:paraId="2C3D5EB7" w14:textId="77777777" w:rsidR="0037652E" w:rsidRDefault="0037652E">
      <w:pPr>
        <w:spacing w:line="480" w:lineRule="auto"/>
        <w:jc w:val="center"/>
        <w:rPr>
          <w:b/>
          <w:sz w:val="44"/>
          <w:szCs w:val="44"/>
        </w:rPr>
      </w:pPr>
    </w:p>
    <w:p w14:paraId="496766B3" w14:textId="77777777" w:rsidR="0037652E" w:rsidRDefault="00BF49B0">
      <w:pPr>
        <w:spacing w:line="480" w:lineRule="auto"/>
        <w:jc w:val="center"/>
        <w:rPr>
          <w:b/>
          <w:sz w:val="36"/>
          <w:szCs w:val="36"/>
        </w:rPr>
      </w:pPr>
      <w:bookmarkStart w:id="4" w:name="_Toc182046370"/>
      <w:bookmarkStart w:id="5" w:name="_Toc182048155"/>
      <w:bookmarkStart w:id="6" w:name="_Toc178840482"/>
      <w:bookmarkStart w:id="7" w:name="_Toc182038899"/>
      <w:r>
        <w:rPr>
          <w:b/>
          <w:sz w:val="36"/>
          <w:szCs w:val="36"/>
        </w:rPr>
        <w:t>汇添富黄金及贵金属证券投资基金</w:t>
      </w:r>
      <w:bookmarkStart w:id="8" w:name="_Toc182048156"/>
      <w:bookmarkStart w:id="9" w:name="_Toc182046371"/>
      <w:bookmarkEnd w:id="4"/>
      <w:bookmarkEnd w:id="5"/>
      <w:r>
        <w:rPr>
          <w:b/>
          <w:sz w:val="36"/>
          <w:szCs w:val="36"/>
        </w:rPr>
        <w:t>（</w:t>
      </w:r>
      <w:r>
        <w:rPr>
          <w:b/>
          <w:sz w:val="36"/>
          <w:szCs w:val="36"/>
        </w:rPr>
        <w:t>LOF</w:t>
      </w:r>
      <w:r>
        <w:rPr>
          <w:b/>
          <w:sz w:val="36"/>
          <w:szCs w:val="36"/>
        </w:rPr>
        <w:t>）</w:t>
      </w:r>
    </w:p>
    <w:p w14:paraId="1EDBC12A" w14:textId="77777777" w:rsidR="0037652E" w:rsidRDefault="00BF49B0">
      <w:pPr>
        <w:spacing w:line="480" w:lineRule="auto"/>
        <w:jc w:val="center"/>
        <w:rPr>
          <w:b/>
          <w:sz w:val="36"/>
          <w:szCs w:val="36"/>
        </w:rPr>
      </w:pPr>
      <w:r>
        <w:rPr>
          <w:rFonts w:hint="eastAsia"/>
          <w:b/>
          <w:sz w:val="36"/>
          <w:szCs w:val="36"/>
        </w:rPr>
        <w:t>更新招募说明书</w:t>
      </w:r>
    </w:p>
    <w:p w14:paraId="6F8E1D74" w14:textId="1BEADF38" w:rsidR="0037652E" w:rsidRDefault="00BF49B0">
      <w:pPr>
        <w:spacing w:line="480" w:lineRule="auto"/>
        <w:jc w:val="center"/>
        <w:rPr>
          <w:b/>
          <w:sz w:val="44"/>
          <w:szCs w:val="44"/>
        </w:rPr>
      </w:pPr>
      <w:r>
        <w:rPr>
          <w:rFonts w:hint="eastAsia"/>
          <w:b/>
          <w:sz w:val="36"/>
          <w:szCs w:val="36"/>
        </w:rPr>
        <w:t>（</w:t>
      </w:r>
      <w:bookmarkEnd w:id="6"/>
      <w:bookmarkEnd w:id="7"/>
      <w:bookmarkEnd w:id="8"/>
      <w:bookmarkEnd w:id="9"/>
      <w:r w:rsidR="009A4AD5" w:rsidRPr="006F7E0F">
        <w:rPr>
          <w:rFonts w:hint="eastAsia"/>
          <w:b/>
          <w:sz w:val="36"/>
          <w:szCs w:val="36"/>
        </w:rPr>
        <w:t>2023</w:t>
      </w:r>
      <w:r w:rsidR="009A4AD5" w:rsidRPr="006F7E0F">
        <w:rPr>
          <w:rFonts w:hint="eastAsia"/>
          <w:b/>
          <w:sz w:val="36"/>
          <w:szCs w:val="36"/>
        </w:rPr>
        <w:t>年</w:t>
      </w:r>
      <w:r w:rsidR="009A4AD5">
        <w:rPr>
          <w:b/>
          <w:sz w:val="36"/>
          <w:szCs w:val="36"/>
        </w:rPr>
        <w:t>5</w:t>
      </w:r>
      <w:r w:rsidR="009A4AD5" w:rsidRPr="006F7E0F">
        <w:rPr>
          <w:rFonts w:hint="eastAsia"/>
          <w:b/>
          <w:sz w:val="36"/>
          <w:szCs w:val="36"/>
        </w:rPr>
        <w:t>月</w:t>
      </w:r>
      <w:r w:rsidR="009A4AD5">
        <w:rPr>
          <w:b/>
          <w:sz w:val="36"/>
          <w:szCs w:val="36"/>
        </w:rPr>
        <w:t>17</w:t>
      </w:r>
      <w:r w:rsidR="006F7E0F" w:rsidRPr="006F7E0F">
        <w:rPr>
          <w:rFonts w:hint="eastAsia"/>
          <w:b/>
          <w:sz w:val="36"/>
          <w:szCs w:val="36"/>
        </w:rPr>
        <w:t>日更新</w:t>
      </w:r>
      <w:r w:rsidR="00FE0FBD">
        <w:rPr>
          <w:rFonts w:hint="eastAsia"/>
          <w:b/>
          <w:sz w:val="36"/>
          <w:szCs w:val="36"/>
        </w:rPr>
        <w:t>）</w:t>
      </w:r>
    </w:p>
    <w:p w14:paraId="3A0CE9FF" w14:textId="77777777" w:rsidR="0037652E" w:rsidRDefault="0037652E">
      <w:pPr>
        <w:spacing w:line="480" w:lineRule="auto"/>
        <w:jc w:val="center"/>
        <w:rPr>
          <w:b/>
          <w:sz w:val="44"/>
          <w:szCs w:val="44"/>
        </w:rPr>
      </w:pPr>
    </w:p>
    <w:p w14:paraId="1C79A30C" w14:textId="77777777" w:rsidR="0037652E" w:rsidRDefault="0037652E">
      <w:pPr>
        <w:spacing w:line="480" w:lineRule="auto"/>
        <w:jc w:val="center"/>
        <w:rPr>
          <w:b/>
          <w:sz w:val="44"/>
          <w:szCs w:val="44"/>
        </w:rPr>
      </w:pPr>
    </w:p>
    <w:p w14:paraId="0170BACF" w14:textId="77777777" w:rsidR="0037652E" w:rsidRDefault="0037652E">
      <w:pPr>
        <w:spacing w:line="480" w:lineRule="auto"/>
        <w:jc w:val="center"/>
        <w:rPr>
          <w:b/>
          <w:sz w:val="44"/>
          <w:szCs w:val="44"/>
        </w:rPr>
      </w:pPr>
    </w:p>
    <w:p w14:paraId="5CBB5A8F" w14:textId="77777777" w:rsidR="0037652E" w:rsidRDefault="0037652E">
      <w:pPr>
        <w:spacing w:line="480" w:lineRule="auto"/>
        <w:jc w:val="center"/>
        <w:rPr>
          <w:b/>
          <w:sz w:val="44"/>
          <w:szCs w:val="44"/>
        </w:rPr>
      </w:pPr>
    </w:p>
    <w:p w14:paraId="1A8E051B" w14:textId="77777777" w:rsidR="0037652E" w:rsidRDefault="0037652E">
      <w:pPr>
        <w:spacing w:line="480" w:lineRule="auto"/>
        <w:jc w:val="center"/>
        <w:rPr>
          <w:b/>
          <w:sz w:val="44"/>
          <w:szCs w:val="44"/>
        </w:rPr>
      </w:pPr>
    </w:p>
    <w:p w14:paraId="5566A3FD" w14:textId="77777777" w:rsidR="0037652E" w:rsidRDefault="0037652E">
      <w:pPr>
        <w:spacing w:line="480" w:lineRule="auto"/>
        <w:jc w:val="center"/>
        <w:rPr>
          <w:b/>
          <w:sz w:val="44"/>
          <w:szCs w:val="44"/>
        </w:rPr>
      </w:pPr>
    </w:p>
    <w:p w14:paraId="5DAE102D" w14:textId="77777777" w:rsidR="0037652E" w:rsidRDefault="00BF49B0">
      <w:pPr>
        <w:tabs>
          <w:tab w:val="left" w:pos="0"/>
        </w:tabs>
        <w:snapToGrid w:val="0"/>
        <w:spacing w:line="360" w:lineRule="auto"/>
        <w:jc w:val="center"/>
        <w:rPr>
          <w:b/>
          <w:bCs/>
          <w:sz w:val="30"/>
          <w:szCs w:val="30"/>
        </w:rPr>
      </w:pPr>
      <w:r>
        <w:rPr>
          <w:rFonts w:hint="eastAsia"/>
          <w:b/>
          <w:bCs/>
          <w:sz w:val="30"/>
          <w:szCs w:val="30"/>
        </w:rPr>
        <w:t xml:space="preserve">    </w:t>
      </w:r>
      <w:r>
        <w:rPr>
          <w:b/>
          <w:bCs/>
          <w:sz w:val="30"/>
          <w:szCs w:val="30"/>
        </w:rPr>
        <w:t>基金管理人：汇添富基金管理股份有限公司</w:t>
      </w:r>
    </w:p>
    <w:p w14:paraId="79AF846E" w14:textId="77777777" w:rsidR="0037652E" w:rsidRDefault="00BF49B0">
      <w:pPr>
        <w:tabs>
          <w:tab w:val="left" w:pos="0"/>
        </w:tabs>
        <w:snapToGrid w:val="0"/>
        <w:spacing w:line="360" w:lineRule="auto"/>
        <w:jc w:val="center"/>
        <w:rPr>
          <w:b/>
          <w:bCs/>
          <w:sz w:val="30"/>
          <w:szCs w:val="30"/>
        </w:rPr>
      </w:pPr>
      <w:r>
        <w:rPr>
          <w:rFonts w:hint="eastAsia"/>
          <w:b/>
          <w:bCs/>
          <w:sz w:val="30"/>
          <w:szCs w:val="30"/>
        </w:rPr>
        <w:t xml:space="preserve">  </w:t>
      </w:r>
      <w:r>
        <w:rPr>
          <w:b/>
          <w:bCs/>
          <w:sz w:val="30"/>
          <w:szCs w:val="30"/>
        </w:rPr>
        <w:t>基金托管人：中国工商银行股份有限公司</w:t>
      </w:r>
      <w:bookmarkEnd w:id="0"/>
      <w:bookmarkEnd w:id="1"/>
      <w:bookmarkEnd w:id="2"/>
    </w:p>
    <w:p w14:paraId="5D787A5A" w14:textId="77777777" w:rsidR="0037652E" w:rsidRDefault="0037652E">
      <w:pPr>
        <w:tabs>
          <w:tab w:val="left" w:pos="961"/>
        </w:tabs>
        <w:snapToGrid w:val="0"/>
        <w:spacing w:line="360" w:lineRule="auto"/>
        <w:ind w:firstLineChars="200" w:firstLine="560"/>
        <w:rPr>
          <w:bCs/>
          <w:sz w:val="28"/>
          <w:szCs w:val="28"/>
        </w:rPr>
      </w:pPr>
    </w:p>
    <w:p w14:paraId="71FABB6A" w14:textId="77777777" w:rsidR="0037652E" w:rsidRDefault="0037652E">
      <w:pPr>
        <w:tabs>
          <w:tab w:val="left" w:pos="961"/>
        </w:tabs>
        <w:snapToGrid w:val="0"/>
        <w:spacing w:line="360" w:lineRule="auto"/>
        <w:ind w:firstLineChars="200" w:firstLine="420"/>
        <w:rPr>
          <w:bCs/>
          <w:szCs w:val="21"/>
        </w:rPr>
        <w:sectPr w:rsidR="0037652E">
          <w:footerReference w:type="even" r:id="rId9"/>
          <w:headerReference w:type="first" r:id="rId10"/>
          <w:footerReference w:type="first" r:id="rId11"/>
          <w:pgSz w:w="11906" w:h="16838"/>
          <w:pgMar w:top="1440" w:right="1797" w:bottom="1440" w:left="1797" w:header="851" w:footer="992" w:gutter="0"/>
          <w:cols w:space="720"/>
          <w:docGrid w:type="lines" w:linePitch="312"/>
        </w:sectPr>
      </w:pPr>
    </w:p>
    <w:p w14:paraId="3AF4C0DA" w14:textId="77777777" w:rsidR="0037652E" w:rsidRDefault="00BF49B0">
      <w:pPr>
        <w:spacing w:line="360" w:lineRule="auto"/>
        <w:jc w:val="center"/>
        <w:rPr>
          <w:rFonts w:ascii="宋体" w:hAnsi="宋体"/>
          <w:b/>
          <w:sz w:val="24"/>
          <w:szCs w:val="24"/>
        </w:rPr>
      </w:pPr>
      <w:r>
        <w:rPr>
          <w:rFonts w:ascii="宋体" w:hAnsi="宋体" w:hint="eastAsia"/>
          <w:b/>
          <w:sz w:val="24"/>
          <w:szCs w:val="24"/>
        </w:rPr>
        <w:lastRenderedPageBreak/>
        <w:t>重要提示</w:t>
      </w:r>
    </w:p>
    <w:p w14:paraId="5A974209" w14:textId="77777777" w:rsidR="0037652E" w:rsidRDefault="0037652E">
      <w:pPr>
        <w:tabs>
          <w:tab w:val="left" w:pos="961"/>
        </w:tabs>
        <w:snapToGrid w:val="0"/>
        <w:spacing w:line="360" w:lineRule="auto"/>
        <w:ind w:firstLineChars="200" w:firstLine="420"/>
        <w:rPr>
          <w:bCs/>
          <w:szCs w:val="21"/>
        </w:rPr>
      </w:pPr>
    </w:p>
    <w:p w14:paraId="77CD411C" w14:textId="77777777" w:rsidR="0037652E" w:rsidRDefault="00BF49B0">
      <w:pPr>
        <w:tabs>
          <w:tab w:val="left" w:pos="961"/>
        </w:tabs>
        <w:snapToGrid w:val="0"/>
        <w:spacing w:line="360" w:lineRule="auto"/>
        <w:ind w:firstLineChars="200" w:firstLine="480"/>
        <w:rPr>
          <w:bCs/>
          <w:sz w:val="24"/>
          <w:szCs w:val="24"/>
        </w:rPr>
      </w:pPr>
      <w:r>
        <w:rPr>
          <w:rFonts w:asciiTheme="minorEastAsia" w:eastAsiaTheme="minorEastAsia" w:hAnsiTheme="minorEastAsia" w:hint="eastAsia"/>
          <w:sz w:val="24"/>
          <w:szCs w:val="24"/>
        </w:rPr>
        <w:t>本基金</w:t>
      </w:r>
      <w:r>
        <w:rPr>
          <w:rFonts w:hint="eastAsia"/>
          <w:bCs/>
          <w:sz w:val="24"/>
          <w:szCs w:val="24"/>
        </w:rPr>
        <w:t>经</w:t>
      </w:r>
      <w:r>
        <w:rPr>
          <w:rFonts w:hint="eastAsia"/>
          <w:bCs/>
          <w:sz w:val="24"/>
          <w:szCs w:val="24"/>
        </w:rPr>
        <w:t>2011</w:t>
      </w:r>
      <w:r>
        <w:rPr>
          <w:rFonts w:hint="eastAsia"/>
          <w:bCs/>
          <w:sz w:val="24"/>
          <w:szCs w:val="24"/>
        </w:rPr>
        <w:t>年</w:t>
      </w:r>
      <w:r>
        <w:rPr>
          <w:rFonts w:hint="eastAsia"/>
          <w:bCs/>
          <w:sz w:val="24"/>
          <w:szCs w:val="24"/>
        </w:rPr>
        <w:t>5</w:t>
      </w:r>
      <w:r>
        <w:rPr>
          <w:rFonts w:hint="eastAsia"/>
          <w:bCs/>
          <w:sz w:val="24"/>
          <w:szCs w:val="24"/>
        </w:rPr>
        <w:t>月</w:t>
      </w:r>
      <w:r>
        <w:rPr>
          <w:rFonts w:hint="eastAsia"/>
          <w:bCs/>
          <w:sz w:val="24"/>
          <w:szCs w:val="24"/>
        </w:rPr>
        <w:t>31</w:t>
      </w:r>
      <w:r>
        <w:rPr>
          <w:rFonts w:hint="eastAsia"/>
          <w:bCs/>
          <w:sz w:val="24"/>
          <w:szCs w:val="24"/>
        </w:rPr>
        <w:t>日中国证券监督管理委员会证监许可【</w:t>
      </w:r>
      <w:r>
        <w:rPr>
          <w:rFonts w:hint="eastAsia"/>
          <w:bCs/>
          <w:sz w:val="24"/>
          <w:szCs w:val="24"/>
        </w:rPr>
        <w:t>2011</w:t>
      </w:r>
      <w:r>
        <w:rPr>
          <w:rFonts w:hint="eastAsia"/>
          <w:bCs/>
          <w:sz w:val="24"/>
          <w:szCs w:val="24"/>
        </w:rPr>
        <w:t>】</w:t>
      </w:r>
      <w:r>
        <w:rPr>
          <w:rFonts w:hint="eastAsia"/>
          <w:bCs/>
          <w:sz w:val="24"/>
          <w:szCs w:val="24"/>
        </w:rPr>
        <w:t>838</w:t>
      </w:r>
      <w:r>
        <w:rPr>
          <w:rFonts w:hint="eastAsia"/>
          <w:bCs/>
          <w:sz w:val="24"/>
          <w:szCs w:val="24"/>
        </w:rPr>
        <w:t>号文核准募集。本基金基金合同于</w:t>
      </w:r>
      <w:r>
        <w:rPr>
          <w:rFonts w:hint="eastAsia"/>
          <w:bCs/>
          <w:sz w:val="24"/>
          <w:szCs w:val="24"/>
        </w:rPr>
        <w:t>2011</w:t>
      </w:r>
      <w:r>
        <w:rPr>
          <w:rFonts w:hint="eastAsia"/>
          <w:bCs/>
          <w:sz w:val="24"/>
          <w:szCs w:val="24"/>
        </w:rPr>
        <w:t>年</w:t>
      </w:r>
      <w:r>
        <w:rPr>
          <w:rFonts w:hint="eastAsia"/>
          <w:bCs/>
          <w:sz w:val="24"/>
          <w:szCs w:val="24"/>
        </w:rPr>
        <w:t>8</w:t>
      </w:r>
      <w:r>
        <w:rPr>
          <w:rFonts w:hint="eastAsia"/>
          <w:bCs/>
          <w:sz w:val="24"/>
          <w:szCs w:val="24"/>
        </w:rPr>
        <w:t>月</w:t>
      </w:r>
      <w:r>
        <w:rPr>
          <w:rFonts w:hint="eastAsia"/>
          <w:bCs/>
          <w:sz w:val="24"/>
          <w:szCs w:val="24"/>
        </w:rPr>
        <w:t>31</w:t>
      </w:r>
      <w:r>
        <w:rPr>
          <w:rFonts w:hint="eastAsia"/>
          <w:bCs/>
          <w:sz w:val="24"/>
          <w:szCs w:val="24"/>
        </w:rPr>
        <w:t>日正式生效。</w:t>
      </w:r>
    </w:p>
    <w:p w14:paraId="6C7C27D3" w14:textId="55F70532" w:rsidR="005D7D3C" w:rsidRPr="005D7D3C" w:rsidRDefault="005D7D3C">
      <w:pPr>
        <w:tabs>
          <w:tab w:val="left" w:pos="961"/>
        </w:tabs>
        <w:snapToGrid w:val="0"/>
        <w:spacing w:line="360" w:lineRule="auto"/>
        <w:ind w:firstLineChars="200" w:firstLine="480"/>
        <w:rPr>
          <w:bCs/>
          <w:sz w:val="24"/>
          <w:szCs w:val="24"/>
        </w:rPr>
      </w:pPr>
      <w:r w:rsidRPr="005D7D3C">
        <w:rPr>
          <w:rFonts w:hint="eastAsia"/>
          <w:bCs/>
          <w:sz w:val="24"/>
          <w:szCs w:val="24"/>
        </w:rPr>
        <w:t>经与基金托管人协商一致，并报中国证监会备案，本基金管理人于</w:t>
      </w:r>
      <w:r w:rsidR="009A4AD5" w:rsidRPr="005D7D3C">
        <w:rPr>
          <w:rFonts w:hint="eastAsia"/>
          <w:bCs/>
          <w:sz w:val="24"/>
          <w:szCs w:val="24"/>
        </w:rPr>
        <w:t>202</w:t>
      </w:r>
      <w:r w:rsidR="009A4AD5">
        <w:rPr>
          <w:rFonts w:hint="eastAsia"/>
          <w:bCs/>
          <w:sz w:val="24"/>
          <w:szCs w:val="24"/>
        </w:rPr>
        <w:t>3</w:t>
      </w:r>
      <w:r w:rsidR="009A4AD5" w:rsidRPr="005D7D3C">
        <w:rPr>
          <w:rFonts w:hint="eastAsia"/>
          <w:bCs/>
          <w:sz w:val="24"/>
          <w:szCs w:val="24"/>
        </w:rPr>
        <w:t>年</w:t>
      </w:r>
      <w:r w:rsidR="009A4AD5">
        <w:rPr>
          <w:bCs/>
          <w:sz w:val="24"/>
          <w:szCs w:val="24"/>
        </w:rPr>
        <w:t>5</w:t>
      </w:r>
      <w:r w:rsidR="009A4AD5" w:rsidRPr="005D7D3C">
        <w:rPr>
          <w:rFonts w:hint="eastAsia"/>
          <w:bCs/>
          <w:sz w:val="24"/>
          <w:szCs w:val="24"/>
        </w:rPr>
        <w:t>月</w:t>
      </w:r>
      <w:r w:rsidR="009A4AD5">
        <w:rPr>
          <w:bCs/>
          <w:sz w:val="24"/>
          <w:szCs w:val="24"/>
        </w:rPr>
        <w:t>17</w:t>
      </w:r>
      <w:r w:rsidRPr="005D7D3C">
        <w:rPr>
          <w:rFonts w:hint="eastAsia"/>
          <w:bCs/>
          <w:sz w:val="24"/>
          <w:szCs w:val="24"/>
        </w:rPr>
        <w:t>日发布公告《汇添富基金管理股份有限公司关于汇添富黄金及贵金属证券投资基金（</w:t>
      </w:r>
      <w:r w:rsidRPr="005D7D3C">
        <w:rPr>
          <w:rFonts w:hint="eastAsia"/>
          <w:bCs/>
          <w:sz w:val="24"/>
          <w:szCs w:val="24"/>
        </w:rPr>
        <w:t>LOF</w:t>
      </w:r>
      <w:r w:rsidRPr="005D7D3C">
        <w:rPr>
          <w:rFonts w:hint="eastAsia"/>
          <w:bCs/>
          <w:sz w:val="24"/>
          <w:szCs w:val="24"/>
        </w:rPr>
        <w:t>）</w:t>
      </w:r>
      <w:r w:rsidR="006F7E0F">
        <w:rPr>
          <w:bCs/>
          <w:sz w:val="24"/>
          <w:szCs w:val="24"/>
        </w:rPr>
        <w:t>增设</w:t>
      </w:r>
      <w:r w:rsidRPr="005D7D3C">
        <w:rPr>
          <w:rFonts w:hint="eastAsia"/>
          <w:bCs/>
          <w:sz w:val="24"/>
          <w:szCs w:val="24"/>
        </w:rPr>
        <w:t>基金份额并修改法律文件的公告》，决定自</w:t>
      </w:r>
      <w:r w:rsidR="009A4AD5" w:rsidRPr="005D7D3C">
        <w:rPr>
          <w:rFonts w:hint="eastAsia"/>
          <w:bCs/>
          <w:sz w:val="24"/>
          <w:szCs w:val="24"/>
        </w:rPr>
        <w:t>202</w:t>
      </w:r>
      <w:r w:rsidR="009A4AD5">
        <w:rPr>
          <w:rFonts w:hint="eastAsia"/>
          <w:bCs/>
          <w:sz w:val="24"/>
          <w:szCs w:val="24"/>
        </w:rPr>
        <w:t>3</w:t>
      </w:r>
      <w:r w:rsidR="009A4AD5" w:rsidRPr="005D7D3C">
        <w:rPr>
          <w:rFonts w:hint="eastAsia"/>
          <w:bCs/>
          <w:sz w:val="24"/>
          <w:szCs w:val="24"/>
        </w:rPr>
        <w:t>年</w:t>
      </w:r>
      <w:r w:rsidR="009A4AD5">
        <w:rPr>
          <w:bCs/>
          <w:sz w:val="24"/>
          <w:szCs w:val="24"/>
        </w:rPr>
        <w:t>5</w:t>
      </w:r>
      <w:r w:rsidR="009A4AD5" w:rsidRPr="005D7D3C">
        <w:rPr>
          <w:rFonts w:hint="eastAsia"/>
          <w:bCs/>
          <w:sz w:val="24"/>
          <w:szCs w:val="24"/>
        </w:rPr>
        <w:t>月</w:t>
      </w:r>
      <w:r w:rsidR="009A4AD5">
        <w:rPr>
          <w:bCs/>
          <w:sz w:val="24"/>
          <w:szCs w:val="24"/>
        </w:rPr>
        <w:t>19</w:t>
      </w:r>
      <w:r w:rsidRPr="005D7D3C">
        <w:rPr>
          <w:rFonts w:hint="eastAsia"/>
          <w:bCs/>
          <w:sz w:val="24"/>
          <w:szCs w:val="24"/>
        </w:rPr>
        <w:t>日起本基金增设</w:t>
      </w:r>
      <w:r w:rsidRPr="005D7D3C">
        <w:rPr>
          <w:rFonts w:hint="eastAsia"/>
          <w:bCs/>
          <w:sz w:val="24"/>
          <w:szCs w:val="24"/>
        </w:rPr>
        <w:t>C</w:t>
      </w:r>
      <w:r w:rsidRPr="005D7D3C">
        <w:rPr>
          <w:rFonts w:hint="eastAsia"/>
          <w:bCs/>
          <w:sz w:val="24"/>
          <w:szCs w:val="24"/>
        </w:rPr>
        <w:t>类基金份额，原份额变更为</w:t>
      </w:r>
      <w:r w:rsidRPr="005D7D3C">
        <w:rPr>
          <w:rFonts w:hint="eastAsia"/>
          <w:bCs/>
          <w:sz w:val="24"/>
          <w:szCs w:val="24"/>
        </w:rPr>
        <w:t>A</w:t>
      </w:r>
      <w:r w:rsidRPr="005D7D3C">
        <w:rPr>
          <w:rFonts w:hint="eastAsia"/>
          <w:bCs/>
          <w:sz w:val="24"/>
          <w:szCs w:val="24"/>
        </w:rPr>
        <w:t>类基金份额。</w:t>
      </w:r>
    </w:p>
    <w:p w14:paraId="1847DA51"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r>
        <w:rPr>
          <w:rFonts w:hint="eastAsia"/>
          <w:bCs/>
          <w:sz w:val="24"/>
          <w:szCs w:val="24"/>
        </w:rPr>
        <w:t xml:space="preserve"> </w:t>
      </w:r>
    </w:p>
    <w:p w14:paraId="178F14BE"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基金管理人依照恪尽职守、诚实信用、谨慎勤勉的原则管理和运用基金财产，但不保证本基金一定盈利，也不保证最低收益。</w:t>
      </w:r>
      <w:r>
        <w:rPr>
          <w:rFonts w:hint="eastAsia"/>
          <w:bCs/>
          <w:sz w:val="24"/>
          <w:szCs w:val="24"/>
        </w:rPr>
        <w:t xml:space="preserve"> </w:t>
      </w:r>
    </w:p>
    <w:p w14:paraId="671B8327"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本基金投资于境外证券市场，是基金中基金，属于证券投资基金中较高预期风险较高预期收益品种。本基金基金份额净值会因为境外证券市场波动等因素产生波动。本基金</w:t>
      </w:r>
      <w:r>
        <w:rPr>
          <w:bCs/>
          <w:sz w:val="24"/>
          <w:szCs w:val="24"/>
        </w:rPr>
        <w:t>通过主动投资于有实物黄金或其他实物贵金属支持的交易所交易基金</w:t>
      </w:r>
      <w:r>
        <w:rPr>
          <w:rFonts w:hint="eastAsia"/>
          <w:bCs/>
          <w:sz w:val="24"/>
          <w:szCs w:val="24"/>
        </w:rPr>
        <w:t>（</w:t>
      </w:r>
      <w:r>
        <w:rPr>
          <w:rFonts w:hint="eastAsia"/>
          <w:bCs/>
          <w:sz w:val="24"/>
          <w:szCs w:val="24"/>
        </w:rPr>
        <w:t>ETF</w:t>
      </w:r>
      <w:r>
        <w:rPr>
          <w:rFonts w:hint="eastAsia"/>
          <w:bCs/>
          <w:sz w:val="24"/>
          <w:szCs w:val="24"/>
        </w:rPr>
        <w:t>），</w:t>
      </w:r>
      <w:r>
        <w:rPr>
          <w:bCs/>
          <w:sz w:val="24"/>
          <w:szCs w:val="24"/>
        </w:rPr>
        <w:t>在</w:t>
      </w:r>
      <w:r>
        <w:rPr>
          <w:rFonts w:hint="eastAsia"/>
          <w:bCs/>
          <w:sz w:val="24"/>
          <w:szCs w:val="24"/>
        </w:rPr>
        <w:t>严格控制风险的前提下，力争基金收益率超越同期</w:t>
      </w:r>
      <w:r>
        <w:rPr>
          <w:bCs/>
          <w:sz w:val="24"/>
          <w:szCs w:val="24"/>
        </w:rPr>
        <w:t>黄金价格走势。</w:t>
      </w:r>
    </w:p>
    <w:p w14:paraId="25836FF9"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黄金及其他贵金属价格的波动会影响基金净值，但过去走势不代表未来表现，投资者应根据自己的判断审慎投资。</w:t>
      </w:r>
    </w:p>
    <w:p w14:paraId="3E6B6026"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投资有风险，在投资本基金前，投资者拟认购（或申购）基金时应认真阅读本招募说明书、基金合同、基金产品资料概要等信息披露文件，应充分考虑自身的风险承受能力，全面认识本基金产品的风险收益特征，对于认购（或申购）基金的意愿、时机、数量等投资行为作出独立决策，并承担基金投资中出现的各类风险。</w:t>
      </w:r>
    </w:p>
    <w:p w14:paraId="38547097" w14:textId="53D95D4C" w:rsidR="0037652E" w:rsidRDefault="00584EAA">
      <w:pPr>
        <w:adjustRightInd w:val="0"/>
        <w:snapToGrid w:val="0"/>
        <w:spacing w:line="360" w:lineRule="auto"/>
        <w:ind w:firstLineChars="200" w:firstLine="480"/>
        <w:rPr>
          <w:bCs/>
          <w:sz w:val="24"/>
        </w:rPr>
      </w:pPr>
      <w:r w:rsidRPr="00584EAA">
        <w:rPr>
          <w:rFonts w:hint="eastAsia"/>
          <w:bCs/>
          <w:sz w:val="24"/>
        </w:rPr>
        <w:t>本基金招募说明书“基金的投资”章节中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销售适当性风险评价”，不同的销售机构采用的评价方法也不尽相同，因此销售机构的基金产品“风险等级评价”</w:t>
      </w:r>
      <w:r w:rsidRPr="00584EAA">
        <w:rPr>
          <w:rFonts w:hint="eastAsia"/>
          <w:bCs/>
          <w:sz w:val="24"/>
        </w:rPr>
        <w:lastRenderedPageBreak/>
        <w:t>与“基金的投资”章节中“风险收益特征”的表述可能存在不同，投资人在购买本基金时需按照销售机构的要求完成风险承受能力与产品风险之间的匹配检验。</w:t>
      </w:r>
    </w:p>
    <w:p w14:paraId="1A702215" w14:textId="77777777" w:rsidR="0037652E" w:rsidRDefault="00BF49B0">
      <w:pPr>
        <w:tabs>
          <w:tab w:val="left" w:pos="961"/>
        </w:tabs>
        <w:snapToGrid w:val="0"/>
        <w:spacing w:line="360" w:lineRule="auto"/>
        <w:ind w:firstLineChars="200" w:firstLine="480"/>
        <w:rPr>
          <w:bCs/>
          <w:sz w:val="24"/>
        </w:rPr>
      </w:pPr>
      <w:r>
        <w:rPr>
          <w:rFonts w:hint="eastAsia"/>
          <w:bCs/>
          <w:sz w:val="24"/>
          <w:szCs w:val="24"/>
        </w:rPr>
        <w:t>基金管理人提醒投资者基金投资的“买者自负”原则，在投资者作出投资决策后，须承担基金投资中出现的各类风险，包括：投资标的风险、汇率及外汇管制风险、政治风险、税务风险、法律风险等境外投资风险；利率风险、流动性风险、操作风险、会计核算风险、交易结算风险、技术系统运行风险、通讯风险、不可抗力风险等开放式基金风险。基金运营状况与基金净值变化引致的投资风险，由投资者自行负责。</w:t>
      </w:r>
    </w:p>
    <w:p w14:paraId="5AD82F35" w14:textId="77777777" w:rsidR="0037652E" w:rsidRDefault="00BF49B0">
      <w:pPr>
        <w:tabs>
          <w:tab w:val="left" w:pos="961"/>
        </w:tabs>
        <w:snapToGrid w:val="0"/>
        <w:spacing w:line="360" w:lineRule="auto"/>
        <w:ind w:firstLineChars="200" w:firstLine="480"/>
        <w:rPr>
          <w:bCs/>
          <w:sz w:val="24"/>
        </w:rPr>
      </w:pPr>
      <w:r>
        <w:rPr>
          <w:rFonts w:hint="eastAsia"/>
          <w:bCs/>
          <w:sz w:val="24"/>
        </w:rPr>
        <w:t>当本基金持有特定资产且存在或潜在大额赎回申请时，基金管理人履行相应程序后，可以启动侧袋机制，具体详见基金合同和本招募说明书“侧袋机制”等有关章节。侧袋机制实施期间，基金管理人将对基金简称进行特殊标识，并不办理侧袋账户的申购赎回。请基金份额持有人仔细阅读相关内容并关注本基金启用侧袋机制时的特定风险。</w:t>
      </w:r>
    </w:p>
    <w:p w14:paraId="3297EB35"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基金管理人管理的其他基金的业绩并不构成对本基金业绩表现的保证。基金的过往业绩并不预示其未来表现。</w:t>
      </w:r>
    </w:p>
    <w:p w14:paraId="092719C3" w14:textId="77777777" w:rsidR="0037652E" w:rsidRDefault="00BF49B0">
      <w:pPr>
        <w:tabs>
          <w:tab w:val="left" w:pos="961"/>
        </w:tabs>
        <w:snapToGrid w:val="0"/>
        <w:spacing w:line="360" w:lineRule="auto"/>
        <w:ind w:firstLineChars="200" w:firstLine="480"/>
        <w:rPr>
          <w:bCs/>
          <w:sz w:val="24"/>
          <w:szCs w:val="24"/>
        </w:rPr>
      </w:pPr>
      <w:r>
        <w:rPr>
          <w:rFonts w:hint="eastAsia"/>
          <w:bCs/>
          <w:sz w:val="24"/>
        </w:rPr>
        <w:t>本基金单一投资者持有基金份额数不得达到或超过基金份额总数的</w:t>
      </w:r>
      <w:r>
        <w:rPr>
          <w:rFonts w:hint="eastAsia"/>
          <w:bCs/>
          <w:sz w:val="24"/>
        </w:rPr>
        <w:t>50%</w:t>
      </w:r>
      <w:r>
        <w:rPr>
          <w:rFonts w:hint="eastAsia"/>
          <w:bCs/>
          <w:sz w:val="24"/>
        </w:rPr>
        <w:t>，但在基金运作过程中因基金份额赎回、基金份额上市交易、基金管理人委托的登记机构技术条件不允许等基金管理人无法予以控制的情形导致被动达到或超过</w:t>
      </w:r>
      <w:r>
        <w:rPr>
          <w:rFonts w:hint="eastAsia"/>
          <w:bCs/>
          <w:sz w:val="24"/>
        </w:rPr>
        <w:t>50%</w:t>
      </w:r>
      <w:r>
        <w:rPr>
          <w:rFonts w:hint="eastAsia"/>
          <w:bCs/>
          <w:sz w:val="24"/>
        </w:rPr>
        <w:t>的除外。</w:t>
      </w:r>
    </w:p>
    <w:p w14:paraId="3C140896" w14:textId="008F26AF" w:rsidR="0037652E" w:rsidRDefault="00C07DA7">
      <w:pPr>
        <w:tabs>
          <w:tab w:val="left" w:pos="961"/>
        </w:tabs>
        <w:snapToGrid w:val="0"/>
        <w:spacing w:line="360" w:lineRule="auto"/>
        <w:ind w:firstLineChars="200" w:firstLine="480"/>
        <w:rPr>
          <w:bCs/>
          <w:szCs w:val="21"/>
        </w:rPr>
        <w:sectPr w:rsidR="0037652E">
          <w:headerReference w:type="default" r:id="rId12"/>
          <w:footerReference w:type="default" r:id="rId13"/>
          <w:pgSz w:w="11906" w:h="16838"/>
          <w:pgMar w:top="1440" w:right="1797" w:bottom="1440" w:left="1797" w:header="851" w:footer="992" w:gutter="0"/>
          <w:pgNumType w:start="1"/>
          <w:cols w:space="720"/>
          <w:docGrid w:type="lines" w:linePitch="312"/>
        </w:sectPr>
      </w:pPr>
      <w:r w:rsidRPr="00C07DA7">
        <w:rPr>
          <w:rFonts w:ascii="宋体" w:hAnsi="宋体" w:hint="eastAsia"/>
          <w:sz w:val="24"/>
          <w:szCs w:val="24"/>
        </w:rPr>
        <w:t>本次招募说明书更新主要涉及</w:t>
      </w:r>
      <w:r w:rsidR="005D7D3C" w:rsidRPr="005D7D3C">
        <w:rPr>
          <w:rFonts w:ascii="宋体" w:hAnsi="宋体" w:hint="eastAsia"/>
          <w:sz w:val="24"/>
          <w:szCs w:val="24"/>
        </w:rPr>
        <w:t>本基金增设C类基金份额的事项</w:t>
      </w:r>
      <w:r w:rsidRPr="00C07DA7">
        <w:rPr>
          <w:rFonts w:ascii="宋体" w:hAnsi="宋体" w:hint="eastAsia"/>
          <w:sz w:val="24"/>
          <w:szCs w:val="24"/>
        </w:rPr>
        <w:t>，</w:t>
      </w:r>
      <w:r w:rsidR="000371F0">
        <w:rPr>
          <w:rFonts w:ascii="宋体" w:hAnsi="宋体" w:hint="eastAsia"/>
          <w:sz w:val="24"/>
          <w:szCs w:val="24"/>
        </w:rPr>
        <w:t>并更新了基金管理人、基金托管人信息，</w:t>
      </w:r>
      <w:r w:rsidRPr="00C07DA7">
        <w:rPr>
          <w:rFonts w:ascii="宋体" w:hAnsi="宋体" w:hint="eastAsia"/>
          <w:sz w:val="24"/>
          <w:szCs w:val="24"/>
        </w:rPr>
        <w:t>更新所载内容截止日为</w:t>
      </w:r>
      <w:r w:rsidR="005D7D3C" w:rsidRPr="00C07DA7">
        <w:rPr>
          <w:rFonts w:ascii="宋体" w:hAnsi="宋体" w:hint="eastAsia"/>
          <w:sz w:val="24"/>
          <w:szCs w:val="24"/>
        </w:rPr>
        <w:t>20</w:t>
      </w:r>
      <w:r w:rsidR="005D7D3C">
        <w:rPr>
          <w:rFonts w:ascii="宋体" w:hAnsi="宋体"/>
          <w:sz w:val="24"/>
          <w:szCs w:val="24"/>
        </w:rPr>
        <w:t>23</w:t>
      </w:r>
      <w:r w:rsidR="002664C1" w:rsidRPr="00C07DA7">
        <w:rPr>
          <w:rFonts w:ascii="宋体" w:hAnsi="宋体" w:hint="eastAsia"/>
          <w:sz w:val="24"/>
          <w:szCs w:val="24"/>
        </w:rPr>
        <w:t>年</w:t>
      </w:r>
      <w:r w:rsidR="000371F0">
        <w:rPr>
          <w:rFonts w:ascii="宋体" w:hAnsi="宋体"/>
          <w:sz w:val="24"/>
          <w:szCs w:val="24"/>
        </w:rPr>
        <w:t>5</w:t>
      </w:r>
      <w:r w:rsidRPr="00C07DA7">
        <w:rPr>
          <w:rFonts w:ascii="宋体" w:hAnsi="宋体" w:hint="eastAsia"/>
          <w:sz w:val="24"/>
          <w:szCs w:val="24"/>
        </w:rPr>
        <w:t>月</w:t>
      </w:r>
      <w:r w:rsidR="0049395F">
        <w:rPr>
          <w:rFonts w:ascii="宋体" w:hAnsi="宋体"/>
          <w:sz w:val="24"/>
          <w:szCs w:val="24"/>
        </w:rPr>
        <w:t>1</w:t>
      </w:r>
      <w:r w:rsidR="009A4AD5">
        <w:rPr>
          <w:rFonts w:ascii="宋体" w:hAnsi="宋体"/>
          <w:sz w:val="24"/>
          <w:szCs w:val="24"/>
        </w:rPr>
        <w:t>7</w:t>
      </w:r>
      <w:r w:rsidRPr="00C07DA7">
        <w:rPr>
          <w:rFonts w:ascii="宋体" w:hAnsi="宋体" w:hint="eastAsia"/>
          <w:sz w:val="24"/>
          <w:szCs w:val="24"/>
        </w:rPr>
        <w:t>日，有关财务数据和净值表现截止日为2022年6月30日。</w:t>
      </w:r>
    </w:p>
    <w:p w14:paraId="679A258D" w14:textId="77777777" w:rsidR="0037652E" w:rsidRDefault="00BF49B0">
      <w:pPr>
        <w:spacing w:line="360" w:lineRule="auto"/>
        <w:jc w:val="center"/>
        <w:rPr>
          <w:rFonts w:ascii="宋体" w:hAnsi="宋体"/>
          <w:b/>
          <w:sz w:val="30"/>
          <w:szCs w:val="30"/>
        </w:rPr>
      </w:pPr>
      <w:r>
        <w:rPr>
          <w:rFonts w:ascii="宋体" w:hAnsi="宋体" w:hint="eastAsia"/>
          <w:b/>
          <w:sz w:val="30"/>
          <w:szCs w:val="30"/>
        </w:rPr>
        <w:lastRenderedPageBreak/>
        <w:t>目    录</w:t>
      </w:r>
    </w:p>
    <w:p w14:paraId="1F9F81DE" w14:textId="77777777" w:rsidR="00C07DA7" w:rsidRDefault="00BF49B0">
      <w:pPr>
        <w:pStyle w:val="10"/>
        <w:rPr>
          <w:rFonts w:asciiTheme="minorHAnsi" w:eastAsiaTheme="minorEastAsia" w:hAnsiTheme="minorHAnsi" w:cstheme="minorBidi"/>
          <w:noProof/>
          <w:szCs w:val="22"/>
        </w:rPr>
      </w:pPr>
      <w:r>
        <w:rPr>
          <w:sz w:val="24"/>
          <w:szCs w:val="24"/>
        </w:rPr>
        <w:fldChar w:fldCharType="begin"/>
      </w:r>
      <w:r>
        <w:rPr>
          <w:sz w:val="24"/>
          <w:szCs w:val="24"/>
        </w:rPr>
        <w:instrText xml:space="preserve"> TOC \o "1-1" \h \z \u </w:instrText>
      </w:r>
      <w:r>
        <w:rPr>
          <w:sz w:val="24"/>
          <w:szCs w:val="24"/>
        </w:rPr>
        <w:fldChar w:fldCharType="separate"/>
      </w:r>
      <w:hyperlink w:anchor="_Toc110606841" w:history="1">
        <w:r w:rsidR="00C07DA7" w:rsidRPr="00B84113">
          <w:rPr>
            <w:rStyle w:val="af6"/>
            <w:rFonts w:ascii="宋体" w:hAnsi="宋体" w:hint="eastAsia"/>
            <w:b/>
            <w:noProof/>
          </w:rPr>
          <w:t>第一部分</w:t>
        </w:r>
        <w:r w:rsidR="00C07DA7" w:rsidRPr="00B84113">
          <w:rPr>
            <w:rStyle w:val="af6"/>
            <w:rFonts w:ascii="宋体" w:hAnsi="宋体"/>
            <w:b/>
            <w:noProof/>
          </w:rPr>
          <w:t xml:space="preserve"> </w:t>
        </w:r>
        <w:r w:rsidR="00C07DA7" w:rsidRPr="00B84113">
          <w:rPr>
            <w:rStyle w:val="af6"/>
            <w:rFonts w:ascii="宋体" w:hAnsi="宋体" w:hint="eastAsia"/>
            <w:b/>
            <w:noProof/>
          </w:rPr>
          <w:t>绪</w:t>
        </w:r>
        <w:r w:rsidR="00C07DA7" w:rsidRPr="00B84113">
          <w:rPr>
            <w:rStyle w:val="af6"/>
            <w:rFonts w:ascii="宋体" w:hAnsi="宋体"/>
            <w:b/>
            <w:noProof/>
          </w:rPr>
          <w:t xml:space="preserve">  </w:t>
        </w:r>
        <w:r w:rsidR="00C07DA7" w:rsidRPr="00B84113">
          <w:rPr>
            <w:rStyle w:val="af6"/>
            <w:rFonts w:ascii="宋体" w:hAnsi="宋体" w:hint="eastAsia"/>
            <w:b/>
            <w:noProof/>
          </w:rPr>
          <w:t>言</w:t>
        </w:r>
        <w:r w:rsidR="00C07DA7">
          <w:rPr>
            <w:noProof/>
            <w:webHidden/>
          </w:rPr>
          <w:tab/>
        </w:r>
        <w:r w:rsidR="00C07DA7">
          <w:rPr>
            <w:noProof/>
            <w:webHidden/>
          </w:rPr>
          <w:fldChar w:fldCharType="begin"/>
        </w:r>
        <w:r w:rsidR="00C07DA7">
          <w:rPr>
            <w:noProof/>
            <w:webHidden/>
          </w:rPr>
          <w:instrText xml:space="preserve"> PAGEREF _Toc110606841 \h </w:instrText>
        </w:r>
        <w:r w:rsidR="00C07DA7">
          <w:rPr>
            <w:noProof/>
            <w:webHidden/>
          </w:rPr>
        </w:r>
        <w:r w:rsidR="00C07DA7">
          <w:rPr>
            <w:noProof/>
            <w:webHidden/>
          </w:rPr>
          <w:fldChar w:fldCharType="separate"/>
        </w:r>
        <w:r w:rsidR="00AA7783">
          <w:rPr>
            <w:noProof/>
            <w:webHidden/>
          </w:rPr>
          <w:t>4</w:t>
        </w:r>
        <w:r w:rsidR="00C07DA7">
          <w:rPr>
            <w:noProof/>
            <w:webHidden/>
          </w:rPr>
          <w:fldChar w:fldCharType="end"/>
        </w:r>
      </w:hyperlink>
    </w:p>
    <w:p w14:paraId="4545EDDA" w14:textId="77777777" w:rsidR="00C07DA7" w:rsidRDefault="00CF5E28">
      <w:pPr>
        <w:pStyle w:val="10"/>
        <w:rPr>
          <w:rFonts w:asciiTheme="minorHAnsi" w:eastAsiaTheme="minorEastAsia" w:hAnsiTheme="minorHAnsi" w:cstheme="minorBidi"/>
          <w:noProof/>
          <w:szCs w:val="22"/>
        </w:rPr>
      </w:pPr>
      <w:hyperlink w:anchor="_Toc110606842" w:history="1">
        <w:r w:rsidR="00C07DA7" w:rsidRPr="00B84113">
          <w:rPr>
            <w:rStyle w:val="af6"/>
            <w:rFonts w:ascii="宋体" w:hAnsi="宋体" w:hint="eastAsia"/>
            <w:b/>
            <w:noProof/>
          </w:rPr>
          <w:t>第二部分</w:t>
        </w:r>
        <w:r w:rsidR="00C07DA7" w:rsidRPr="00B84113">
          <w:rPr>
            <w:rStyle w:val="af6"/>
            <w:rFonts w:ascii="宋体" w:hAnsi="宋体"/>
            <w:b/>
            <w:noProof/>
          </w:rPr>
          <w:t xml:space="preserve"> </w:t>
        </w:r>
        <w:r w:rsidR="00C07DA7" w:rsidRPr="00B84113">
          <w:rPr>
            <w:rStyle w:val="af6"/>
            <w:rFonts w:ascii="宋体" w:hAnsi="宋体" w:hint="eastAsia"/>
            <w:b/>
            <w:noProof/>
          </w:rPr>
          <w:t>释</w:t>
        </w:r>
        <w:r w:rsidR="00C07DA7" w:rsidRPr="00B84113">
          <w:rPr>
            <w:rStyle w:val="af6"/>
            <w:rFonts w:ascii="宋体" w:hAnsi="宋体"/>
            <w:b/>
            <w:noProof/>
          </w:rPr>
          <w:t xml:space="preserve">  </w:t>
        </w:r>
        <w:r w:rsidR="00C07DA7" w:rsidRPr="00B84113">
          <w:rPr>
            <w:rStyle w:val="af6"/>
            <w:rFonts w:ascii="宋体" w:hAnsi="宋体" w:hint="eastAsia"/>
            <w:b/>
            <w:noProof/>
          </w:rPr>
          <w:t>义</w:t>
        </w:r>
        <w:r w:rsidR="00C07DA7">
          <w:rPr>
            <w:noProof/>
            <w:webHidden/>
          </w:rPr>
          <w:tab/>
        </w:r>
        <w:r w:rsidR="00C07DA7">
          <w:rPr>
            <w:noProof/>
            <w:webHidden/>
          </w:rPr>
          <w:fldChar w:fldCharType="begin"/>
        </w:r>
        <w:r w:rsidR="00C07DA7">
          <w:rPr>
            <w:noProof/>
            <w:webHidden/>
          </w:rPr>
          <w:instrText xml:space="preserve"> PAGEREF _Toc110606842 \h </w:instrText>
        </w:r>
        <w:r w:rsidR="00C07DA7">
          <w:rPr>
            <w:noProof/>
            <w:webHidden/>
          </w:rPr>
        </w:r>
        <w:r w:rsidR="00C07DA7">
          <w:rPr>
            <w:noProof/>
            <w:webHidden/>
          </w:rPr>
          <w:fldChar w:fldCharType="separate"/>
        </w:r>
        <w:r w:rsidR="00AA7783">
          <w:rPr>
            <w:noProof/>
            <w:webHidden/>
          </w:rPr>
          <w:t>5</w:t>
        </w:r>
        <w:r w:rsidR="00C07DA7">
          <w:rPr>
            <w:noProof/>
            <w:webHidden/>
          </w:rPr>
          <w:fldChar w:fldCharType="end"/>
        </w:r>
      </w:hyperlink>
    </w:p>
    <w:p w14:paraId="26C2939F" w14:textId="5997EB74" w:rsidR="00C07DA7" w:rsidRDefault="00CF5E28">
      <w:pPr>
        <w:pStyle w:val="10"/>
        <w:rPr>
          <w:rFonts w:asciiTheme="minorHAnsi" w:eastAsiaTheme="minorEastAsia" w:hAnsiTheme="minorHAnsi" w:cstheme="minorBidi"/>
          <w:noProof/>
          <w:szCs w:val="22"/>
        </w:rPr>
      </w:pPr>
      <w:hyperlink w:anchor="_Toc110606843" w:history="1">
        <w:r w:rsidR="00C07DA7" w:rsidRPr="00B84113">
          <w:rPr>
            <w:rStyle w:val="af6"/>
            <w:rFonts w:ascii="宋体" w:hAnsi="宋体" w:hint="eastAsia"/>
            <w:b/>
            <w:noProof/>
          </w:rPr>
          <w:t>第三部分</w:t>
        </w:r>
        <w:r w:rsidR="00C07DA7" w:rsidRPr="00B84113">
          <w:rPr>
            <w:rStyle w:val="af6"/>
            <w:rFonts w:ascii="宋体" w:hAnsi="宋体"/>
            <w:b/>
            <w:noProof/>
          </w:rPr>
          <w:t xml:space="preserve"> </w:t>
        </w:r>
        <w:r w:rsidR="00C07DA7" w:rsidRPr="00B84113">
          <w:rPr>
            <w:rStyle w:val="af6"/>
            <w:rFonts w:ascii="宋体" w:hAnsi="宋体" w:hint="eastAsia"/>
            <w:b/>
            <w:noProof/>
          </w:rPr>
          <w:t>风险揭示</w:t>
        </w:r>
        <w:r w:rsidR="00C07DA7">
          <w:rPr>
            <w:noProof/>
            <w:webHidden/>
          </w:rPr>
          <w:tab/>
        </w:r>
        <w:r w:rsidR="00C07DA7">
          <w:rPr>
            <w:noProof/>
            <w:webHidden/>
          </w:rPr>
          <w:fldChar w:fldCharType="begin"/>
        </w:r>
        <w:r w:rsidR="00C07DA7">
          <w:rPr>
            <w:noProof/>
            <w:webHidden/>
          </w:rPr>
          <w:instrText xml:space="preserve"> PAGEREF _Toc110606843 \h </w:instrText>
        </w:r>
        <w:r w:rsidR="00C07DA7">
          <w:rPr>
            <w:noProof/>
            <w:webHidden/>
          </w:rPr>
        </w:r>
        <w:r w:rsidR="00C07DA7">
          <w:rPr>
            <w:noProof/>
            <w:webHidden/>
          </w:rPr>
          <w:fldChar w:fldCharType="separate"/>
        </w:r>
        <w:r w:rsidR="00AA7783">
          <w:rPr>
            <w:noProof/>
            <w:webHidden/>
          </w:rPr>
          <w:t>13</w:t>
        </w:r>
        <w:r w:rsidR="00C07DA7">
          <w:rPr>
            <w:noProof/>
            <w:webHidden/>
          </w:rPr>
          <w:fldChar w:fldCharType="end"/>
        </w:r>
      </w:hyperlink>
    </w:p>
    <w:p w14:paraId="11A602EC" w14:textId="3430A6E5" w:rsidR="00C07DA7" w:rsidRDefault="00CF5E28">
      <w:pPr>
        <w:pStyle w:val="10"/>
        <w:rPr>
          <w:rFonts w:asciiTheme="minorHAnsi" w:eastAsiaTheme="minorEastAsia" w:hAnsiTheme="minorHAnsi" w:cstheme="minorBidi"/>
          <w:noProof/>
          <w:szCs w:val="22"/>
        </w:rPr>
      </w:pPr>
      <w:hyperlink w:anchor="_Toc110606844" w:history="1">
        <w:r w:rsidR="00C07DA7" w:rsidRPr="00B84113">
          <w:rPr>
            <w:rStyle w:val="af6"/>
            <w:rFonts w:ascii="宋体" w:hAnsi="宋体" w:hint="eastAsia"/>
            <w:b/>
            <w:noProof/>
          </w:rPr>
          <w:t>第四部分</w:t>
        </w:r>
        <w:r w:rsidR="00C07DA7" w:rsidRPr="00B84113">
          <w:rPr>
            <w:rStyle w:val="af6"/>
            <w:rFonts w:ascii="宋体" w:hAnsi="宋体"/>
            <w:b/>
            <w:noProof/>
          </w:rPr>
          <w:t xml:space="preserve"> </w:t>
        </w:r>
        <w:r w:rsidR="00C07DA7" w:rsidRPr="00B84113">
          <w:rPr>
            <w:rStyle w:val="af6"/>
            <w:rFonts w:ascii="宋体" w:hAnsi="宋体" w:hint="eastAsia"/>
            <w:b/>
            <w:noProof/>
          </w:rPr>
          <w:t>基金的投资</w:t>
        </w:r>
        <w:r w:rsidR="00C07DA7">
          <w:rPr>
            <w:noProof/>
            <w:webHidden/>
          </w:rPr>
          <w:tab/>
        </w:r>
        <w:r w:rsidR="00C07DA7">
          <w:rPr>
            <w:noProof/>
            <w:webHidden/>
          </w:rPr>
          <w:fldChar w:fldCharType="begin"/>
        </w:r>
        <w:r w:rsidR="00C07DA7">
          <w:rPr>
            <w:noProof/>
            <w:webHidden/>
          </w:rPr>
          <w:instrText xml:space="preserve"> PAGEREF _Toc110606844 \h </w:instrText>
        </w:r>
        <w:r w:rsidR="00C07DA7">
          <w:rPr>
            <w:noProof/>
            <w:webHidden/>
          </w:rPr>
        </w:r>
        <w:r w:rsidR="00C07DA7">
          <w:rPr>
            <w:noProof/>
            <w:webHidden/>
          </w:rPr>
          <w:fldChar w:fldCharType="separate"/>
        </w:r>
        <w:r w:rsidR="00AA7783">
          <w:rPr>
            <w:noProof/>
            <w:webHidden/>
          </w:rPr>
          <w:t>19</w:t>
        </w:r>
        <w:r w:rsidR="00C07DA7">
          <w:rPr>
            <w:noProof/>
            <w:webHidden/>
          </w:rPr>
          <w:fldChar w:fldCharType="end"/>
        </w:r>
      </w:hyperlink>
    </w:p>
    <w:p w14:paraId="28CAC824" w14:textId="497F6C4B" w:rsidR="00C07DA7" w:rsidRDefault="00CF5E28">
      <w:pPr>
        <w:pStyle w:val="10"/>
        <w:rPr>
          <w:rFonts w:asciiTheme="minorHAnsi" w:eastAsiaTheme="minorEastAsia" w:hAnsiTheme="minorHAnsi" w:cstheme="minorBidi"/>
          <w:noProof/>
          <w:szCs w:val="22"/>
        </w:rPr>
      </w:pPr>
      <w:hyperlink w:anchor="_Toc110606846" w:history="1">
        <w:r w:rsidR="00C07DA7" w:rsidRPr="00B84113">
          <w:rPr>
            <w:rStyle w:val="af6"/>
            <w:rFonts w:ascii="宋体" w:hAnsi="宋体" w:hint="eastAsia"/>
            <w:b/>
            <w:noProof/>
          </w:rPr>
          <w:t>第五部分</w:t>
        </w:r>
        <w:r w:rsidR="00C07DA7" w:rsidRPr="00B84113">
          <w:rPr>
            <w:rStyle w:val="af6"/>
            <w:rFonts w:ascii="宋体" w:hAnsi="宋体"/>
            <w:b/>
            <w:noProof/>
          </w:rPr>
          <w:t xml:space="preserve"> </w:t>
        </w:r>
        <w:r w:rsidR="00C07DA7" w:rsidRPr="00B84113">
          <w:rPr>
            <w:rStyle w:val="af6"/>
            <w:rFonts w:ascii="宋体" w:hAnsi="宋体" w:hint="eastAsia"/>
            <w:b/>
            <w:noProof/>
          </w:rPr>
          <w:t>基金的业绩</w:t>
        </w:r>
        <w:r w:rsidR="00C07DA7">
          <w:rPr>
            <w:noProof/>
            <w:webHidden/>
          </w:rPr>
          <w:tab/>
        </w:r>
        <w:r w:rsidR="00C07DA7">
          <w:rPr>
            <w:noProof/>
            <w:webHidden/>
          </w:rPr>
          <w:fldChar w:fldCharType="begin"/>
        </w:r>
        <w:r w:rsidR="00C07DA7">
          <w:rPr>
            <w:noProof/>
            <w:webHidden/>
          </w:rPr>
          <w:instrText xml:space="preserve"> PAGEREF _Toc110606846 \h </w:instrText>
        </w:r>
        <w:r w:rsidR="00C07DA7">
          <w:rPr>
            <w:noProof/>
            <w:webHidden/>
          </w:rPr>
        </w:r>
        <w:r w:rsidR="00C07DA7">
          <w:rPr>
            <w:noProof/>
            <w:webHidden/>
          </w:rPr>
          <w:fldChar w:fldCharType="separate"/>
        </w:r>
        <w:r w:rsidR="00AA7783">
          <w:rPr>
            <w:noProof/>
            <w:webHidden/>
          </w:rPr>
          <w:t>31</w:t>
        </w:r>
        <w:r w:rsidR="00C07DA7">
          <w:rPr>
            <w:noProof/>
            <w:webHidden/>
          </w:rPr>
          <w:fldChar w:fldCharType="end"/>
        </w:r>
      </w:hyperlink>
    </w:p>
    <w:p w14:paraId="066CCD98" w14:textId="386A4F90" w:rsidR="00C07DA7" w:rsidRDefault="00CF5E28">
      <w:pPr>
        <w:pStyle w:val="10"/>
        <w:rPr>
          <w:rFonts w:asciiTheme="minorHAnsi" w:eastAsiaTheme="minorEastAsia" w:hAnsiTheme="minorHAnsi" w:cstheme="minorBidi"/>
          <w:noProof/>
          <w:szCs w:val="22"/>
        </w:rPr>
      </w:pPr>
      <w:hyperlink w:anchor="_Toc110606847" w:history="1">
        <w:r w:rsidR="00C07DA7" w:rsidRPr="00B84113">
          <w:rPr>
            <w:rStyle w:val="af6"/>
            <w:rFonts w:ascii="宋体" w:hAnsi="宋体" w:hint="eastAsia"/>
            <w:b/>
            <w:noProof/>
          </w:rPr>
          <w:t>第六部分</w:t>
        </w:r>
        <w:r w:rsidR="00C07DA7" w:rsidRPr="00B84113">
          <w:rPr>
            <w:rStyle w:val="af6"/>
            <w:rFonts w:ascii="宋体" w:hAnsi="宋体"/>
            <w:b/>
            <w:noProof/>
          </w:rPr>
          <w:t xml:space="preserve"> </w:t>
        </w:r>
        <w:r w:rsidR="00C07DA7" w:rsidRPr="00B84113">
          <w:rPr>
            <w:rStyle w:val="af6"/>
            <w:rFonts w:ascii="宋体" w:hAnsi="宋体" w:hint="eastAsia"/>
            <w:b/>
            <w:noProof/>
          </w:rPr>
          <w:t>基金管理人</w:t>
        </w:r>
        <w:r w:rsidR="00C07DA7">
          <w:rPr>
            <w:noProof/>
            <w:webHidden/>
          </w:rPr>
          <w:tab/>
        </w:r>
        <w:r w:rsidR="00C07DA7">
          <w:rPr>
            <w:noProof/>
            <w:webHidden/>
          </w:rPr>
          <w:fldChar w:fldCharType="begin"/>
        </w:r>
        <w:r w:rsidR="00C07DA7">
          <w:rPr>
            <w:noProof/>
            <w:webHidden/>
          </w:rPr>
          <w:instrText xml:space="preserve"> PAGEREF _Toc110606847 \h </w:instrText>
        </w:r>
        <w:r w:rsidR="00C07DA7">
          <w:rPr>
            <w:noProof/>
            <w:webHidden/>
          </w:rPr>
        </w:r>
        <w:r w:rsidR="00C07DA7">
          <w:rPr>
            <w:noProof/>
            <w:webHidden/>
          </w:rPr>
          <w:fldChar w:fldCharType="separate"/>
        </w:r>
        <w:r w:rsidR="00AA7783">
          <w:rPr>
            <w:noProof/>
            <w:webHidden/>
          </w:rPr>
          <w:t>33</w:t>
        </w:r>
        <w:r w:rsidR="00C07DA7">
          <w:rPr>
            <w:noProof/>
            <w:webHidden/>
          </w:rPr>
          <w:fldChar w:fldCharType="end"/>
        </w:r>
      </w:hyperlink>
    </w:p>
    <w:p w14:paraId="171802C2" w14:textId="617B2ABE" w:rsidR="00C07DA7" w:rsidRDefault="00CF5E28">
      <w:pPr>
        <w:pStyle w:val="10"/>
        <w:rPr>
          <w:rFonts w:asciiTheme="minorHAnsi" w:eastAsiaTheme="minorEastAsia" w:hAnsiTheme="minorHAnsi" w:cstheme="minorBidi"/>
          <w:noProof/>
          <w:szCs w:val="22"/>
        </w:rPr>
      </w:pPr>
      <w:hyperlink w:anchor="_Toc110606848" w:history="1">
        <w:r w:rsidR="00C07DA7" w:rsidRPr="00B84113">
          <w:rPr>
            <w:rStyle w:val="af6"/>
            <w:rFonts w:ascii="宋体" w:hAnsi="宋体" w:hint="eastAsia"/>
            <w:b/>
            <w:noProof/>
          </w:rPr>
          <w:t>第七部分</w:t>
        </w:r>
        <w:r w:rsidR="00C07DA7" w:rsidRPr="00B84113">
          <w:rPr>
            <w:rStyle w:val="af6"/>
            <w:rFonts w:ascii="宋体" w:hAnsi="宋体"/>
            <w:b/>
            <w:noProof/>
          </w:rPr>
          <w:t xml:space="preserve"> </w:t>
        </w:r>
        <w:r w:rsidR="00C07DA7" w:rsidRPr="00B84113">
          <w:rPr>
            <w:rStyle w:val="af6"/>
            <w:rFonts w:ascii="宋体" w:hAnsi="宋体" w:hint="eastAsia"/>
            <w:b/>
            <w:noProof/>
          </w:rPr>
          <w:t>基金的募集</w:t>
        </w:r>
        <w:r w:rsidR="00C07DA7">
          <w:rPr>
            <w:noProof/>
            <w:webHidden/>
          </w:rPr>
          <w:tab/>
        </w:r>
        <w:r w:rsidR="00C07DA7">
          <w:rPr>
            <w:noProof/>
            <w:webHidden/>
          </w:rPr>
          <w:fldChar w:fldCharType="begin"/>
        </w:r>
        <w:r w:rsidR="00C07DA7">
          <w:rPr>
            <w:noProof/>
            <w:webHidden/>
          </w:rPr>
          <w:instrText xml:space="preserve"> PAGEREF _Toc110606848 \h </w:instrText>
        </w:r>
        <w:r w:rsidR="00C07DA7">
          <w:rPr>
            <w:noProof/>
            <w:webHidden/>
          </w:rPr>
        </w:r>
        <w:r w:rsidR="00C07DA7">
          <w:rPr>
            <w:noProof/>
            <w:webHidden/>
          </w:rPr>
          <w:fldChar w:fldCharType="separate"/>
        </w:r>
        <w:r w:rsidR="00AA7783">
          <w:rPr>
            <w:noProof/>
            <w:webHidden/>
          </w:rPr>
          <w:t>46</w:t>
        </w:r>
        <w:r w:rsidR="00C07DA7">
          <w:rPr>
            <w:noProof/>
            <w:webHidden/>
          </w:rPr>
          <w:fldChar w:fldCharType="end"/>
        </w:r>
      </w:hyperlink>
    </w:p>
    <w:p w14:paraId="0F2E8B58" w14:textId="4D239649" w:rsidR="00C07DA7" w:rsidRDefault="00CF5E28">
      <w:pPr>
        <w:pStyle w:val="10"/>
        <w:rPr>
          <w:rFonts w:asciiTheme="minorHAnsi" w:eastAsiaTheme="minorEastAsia" w:hAnsiTheme="minorHAnsi" w:cstheme="minorBidi"/>
          <w:noProof/>
          <w:szCs w:val="22"/>
        </w:rPr>
      </w:pPr>
      <w:hyperlink w:anchor="_Toc110606849" w:history="1">
        <w:r w:rsidR="00C07DA7" w:rsidRPr="00B84113">
          <w:rPr>
            <w:rStyle w:val="af6"/>
            <w:rFonts w:ascii="宋体" w:hAnsi="宋体" w:hint="eastAsia"/>
            <w:b/>
            <w:noProof/>
          </w:rPr>
          <w:t>第八部分</w:t>
        </w:r>
        <w:r w:rsidR="00C07DA7" w:rsidRPr="00B84113">
          <w:rPr>
            <w:rStyle w:val="af6"/>
            <w:rFonts w:ascii="宋体" w:hAnsi="宋体"/>
            <w:b/>
            <w:noProof/>
          </w:rPr>
          <w:t xml:space="preserve"> </w:t>
        </w:r>
        <w:r w:rsidR="00C07DA7" w:rsidRPr="00B84113">
          <w:rPr>
            <w:rStyle w:val="af6"/>
            <w:rFonts w:ascii="宋体" w:hAnsi="宋体" w:hint="eastAsia"/>
            <w:b/>
            <w:noProof/>
          </w:rPr>
          <w:t>基金合同的生效</w:t>
        </w:r>
        <w:r w:rsidR="00C07DA7">
          <w:rPr>
            <w:noProof/>
            <w:webHidden/>
          </w:rPr>
          <w:tab/>
        </w:r>
        <w:r w:rsidR="00C07DA7">
          <w:rPr>
            <w:noProof/>
            <w:webHidden/>
          </w:rPr>
          <w:fldChar w:fldCharType="begin"/>
        </w:r>
        <w:r w:rsidR="00C07DA7">
          <w:rPr>
            <w:noProof/>
            <w:webHidden/>
          </w:rPr>
          <w:instrText xml:space="preserve"> PAGEREF _Toc110606849 \h </w:instrText>
        </w:r>
        <w:r w:rsidR="00C07DA7">
          <w:rPr>
            <w:noProof/>
            <w:webHidden/>
          </w:rPr>
        </w:r>
        <w:r w:rsidR="00C07DA7">
          <w:rPr>
            <w:noProof/>
            <w:webHidden/>
          </w:rPr>
          <w:fldChar w:fldCharType="separate"/>
        </w:r>
        <w:r w:rsidR="00AA7783">
          <w:rPr>
            <w:noProof/>
            <w:webHidden/>
          </w:rPr>
          <w:t>51</w:t>
        </w:r>
        <w:r w:rsidR="00C07DA7">
          <w:rPr>
            <w:noProof/>
            <w:webHidden/>
          </w:rPr>
          <w:fldChar w:fldCharType="end"/>
        </w:r>
      </w:hyperlink>
    </w:p>
    <w:p w14:paraId="07A471A9" w14:textId="6949517F" w:rsidR="00C07DA7" w:rsidRDefault="00CF5E28">
      <w:pPr>
        <w:pStyle w:val="10"/>
        <w:rPr>
          <w:rFonts w:asciiTheme="minorHAnsi" w:eastAsiaTheme="minorEastAsia" w:hAnsiTheme="minorHAnsi" w:cstheme="minorBidi"/>
          <w:noProof/>
          <w:szCs w:val="22"/>
        </w:rPr>
      </w:pPr>
      <w:hyperlink w:anchor="_Toc110606850" w:history="1">
        <w:r w:rsidR="00C07DA7" w:rsidRPr="00B84113">
          <w:rPr>
            <w:rStyle w:val="af6"/>
            <w:rFonts w:ascii="宋体" w:hAnsi="宋体" w:hint="eastAsia"/>
            <w:b/>
            <w:noProof/>
          </w:rPr>
          <w:t>第九部分</w:t>
        </w:r>
        <w:r w:rsidR="00C07DA7" w:rsidRPr="00B84113">
          <w:rPr>
            <w:rStyle w:val="af6"/>
            <w:rFonts w:ascii="宋体" w:hAnsi="宋体"/>
            <w:b/>
            <w:noProof/>
          </w:rPr>
          <w:t xml:space="preserve"> </w:t>
        </w:r>
        <w:r w:rsidR="00C07DA7" w:rsidRPr="00B84113">
          <w:rPr>
            <w:rStyle w:val="af6"/>
            <w:rFonts w:ascii="宋体" w:hAnsi="宋体" w:hint="eastAsia"/>
            <w:b/>
            <w:noProof/>
          </w:rPr>
          <w:t>基金份额的上市交易</w:t>
        </w:r>
        <w:r w:rsidR="00C07DA7">
          <w:rPr>
            <w:noProof/>
            <w:webHidden/>
          </w:rPr>
          <w:tab/>
        </w:r>
        <w:r w:rsidR="00C07DA7">
          <w:rPr>
            <w:noProof/>
            <w:webHidden/>
          </w:rPr>
          <w:fldChar w:fldCharType="begin"/>
        </w:r>
        <w:r w:rsidR="00C07DA7">
          <w:rPr>
            <w:noProof/>
            <w:webHidden/>
          </w:rPr>
          <w:instrText xml:space="preserve"> PAGEREF _Toc110606850 \h </w:instrText>
        </w:r>
        <w:r w:rsidR="00C07DA7">
          <w:rPr>
            <w:noProof/>
            <w:webHidden/>
          </w:rPr>
        </w:r>
        <w:r w:rsidR="00C07DA7">
          <w:rPr>
            <w:noProof/>
            <w:webHidden/>
          </w:rPr>
          <w:fldChar w:fldCharType="separate"/>
        </w:r>
        <w:r w:rsidR="00AA7783">
          <w:rPr>
            <w:noProof/>
            <w:webHidden/>
          </w:rPr>
          <w:t>52</w:t>
        </w:r>
        <w:r w:rsidR="00C07DA7">
          <w:rPr>
            <w:noProof/>
            <w:webHidden/>
          </w:rPr>
          <w:fldChar w:fldCharType="end"/>
        </w:r>
      </w:hyperlink>
    </w:p>
    <w:p w14:paraId="4AA906D5" w14:textId="3CC87351" w:rsidR="00C07DA7" w:rsidRDefault="00CF5E28">
      <w:pPr>
        <w:pStyle w:val="10"/>
        <w:rPr>
          <w:rFonts w:asciiTheme="minorHAnsi" w:eastAsiaTheme="minorEastAsia" w:hAnsiTheme="minorHAnsi" w:cstheme="minorBidi"/>
          <w:noProof/>
          <w:szCs w:val="22"/>
        </w:rPr>
      </w:pPr>
      <w:hyperlink w:anchor="_Toc110606851" w:history="1">
        <w:r w:rsidR="00C07DA7" w:rsidRPr="00B84113">
          <w:rPr>
            <w:rStyle w:val="af6"/>
            <w:rFonts w:ascii="宋体" w:hAnsi="宋体" w:hint="eastAsia"/>
            <w:b/>
            <w:noProof/>
          </w:rPr>
          <w:t>第十部分</w:t>
        </w:r>
        <w:r w:rsidR="00C07DA7" w:rsidRPr="00B84113">
          <w:rPr>
            <w:rStyle w:val="af6"/>
            <w:rFonts w:ascii="宋体" w:hAnsi="宋体"/>
            <w:b/>
            <w:noProof/>
          </w:rPr>
          <w:t xml:space="preserve"> </w:t>
        </w:r>
        <w:r w:rsidR="00C07DA7" w:rsidRPr="00B84113">
          <w:rPr>
            <w:rStyle w:val="af6"/>
            <w:rFonts w:ascii="宋体" w:hAnsi="宋体" w:hint="eastAsia"/>
            <w:b/>
            <w:noProof/>
          </w:rPr>
          <w:t>基金份额的申购和赎回</w:t>
        </w:r>
        <w:r w:rsidR="00C07DA7">
          <w:rPr>
            <w:noProof/>
            <w:webHidden/>
          </w:rPr>
          <w:tab/>
        </w:r>
        <w:r w:rsidR="00C07DA7">
          <w:rPr>
            <w:noProof/>
            <w:webHidden/>
          </w:rPr>
          <w:fldChar w:fldCharType="begin"/>
        </w:r>
        <w:r w:rsidR="00C07DA7">
          <w:rPr>
            <w:noProof/>
            <w:webHidden/>
          </w:rPr>
          <w:instrText xml:space="preserve"> PAGEREF _Toc110606851 \h </w:instrText>
        </w:r>
        <w:r w:rsidR="00C07DA7">
          <w:rPr>
            <w:noProof/>
            <w:webHidden/>
          </w:rPr>
        </w:r>
        <w:r w:rsidR="00C07DA7">
          <w:rPr>
            <w:noProof/>
            <w:webHidden/>
          </w:rPr>
          <w:fldChar w:fldCharType="separate"/>
        </w:r>
        <w:r w:rsidR="00AA7783">
          <w:rPr>
            <w:noProof/>
            <w:webHidden/>
          </w:rPr>
          <w:t>55</w:t>
        </w:r>
        <w:r w:rsidR="00C07DA7">
          <w:rPr>
            <w:noProof/>
            <w:webHidden/>
          </w:rPr>
          <w:fldChar w:fldCharType="end"/>
        </w:r>
      </w:hyperlink>
    </w:p>
    <w:p w14:paraId="5177FA2F" w14:textId="70FCBFC4" w:rsidR="00C07DA7" w:rsidRDefault="00CF5E28">
      <w:pPr>
        <w:pStyle w:val="10"/>
        <w:rPr>
          <w:rFonts w:asciiTheme="minorHAnsi" w:eastAsiaTheme="minorEastAsia" w:hAnsiTheme="minorHAnsi" w:cstheme="minorBidi"/>
          <w:noProof/>
          <w:szCs w:val="22"/>
        </w:rPr>
      </w:pPr>
      <w:hyperlink w:anchor="_Toc110606852" w:history="1">
        <w:r w:rsidR="00C07DA7" w:rsidRPr="00B84113">
          <w:rPr>
            <w:rStyle w:val="af6"/>
            <w:rFonts w:ascii="宋体" w:hAnsi="宋体" w:hint="eastAsia"/>
            <w:b/>
            <w:noProof/>
          </w:rPr>
          <w:t>第十一部分</w:t>
        </w:r>
        <w:r w:rsidR="00C07DA7" w:rsidRPr="00B84113">
          <w:rPr>
            <w:rStyle w:val="af6"/>
            <w:rFonts w:ascii="宋体" w:hAnsi="宋体"/>
            <w:b/>
            <w:noProof/>
          </w:rPr>
          <w:t xml:space="preserve"> </w:t>
        </w:r>
        <w:r w:rsidR="00C07DA7" w:rsidRPr="00B84113">
          <w:rPr>
            <w:rStyle w:val="af6"/>
            <w:rFonts w:ascii="宋体" w:hAnsi="宋体" w:hint="eastAsia"/>
            <w:b/>
            <w:noProof/>
          </w:rPr>
          <w:t>基金的费用与税收</w:t>
        </w:r>
        <w:r w:rsidR="00C07DA7">
          <w:rPr>
            <w:noProof/>
            <w:webHidden/>
          </w:rPr>
          <w:tab/>
        </w:r>
        <w:r w:rsidR="00C07DA7">
          <w:rPr>
            <w:noProof/>
            <w:webHidden/>
          </w:rPr>
          <w:fldChar w:fldCharType="begin"/>
        </w:r>
        <w:r w:rsidR="00C07DA7">
          <w:rPr>
            <w:noProof/>
            <w:webHidden/>
          </w:rPr>
          <w:instrText xml:space="preserve"> PAGEREF _Toc110606852 \h </w:instrText>
        </w:r>
        <w:r w:rsidR="00C07DA7">
          <w:rPr>
            <w:noProof/>
            <w:webHidden/>
          </w:rPr>
        </w:r>
        <w:r w:rsidR="00C07DA7">
          <w:rPr>
            <w:noProof/>
            <w:webHidden/>
          </w:rPr>
          <w:fldChar w:fldCharType="separate"/>
        </w:r>
        <w:r w:rsidR="00AA7783">
          <w:rPr>
            <w:noProof/>
            <w:webHidden/>
          </w:rPr>
          <w:t>68</w:t>
        </w:r>
        <w:r w:rsidR="00C07DA7">
          <w:rPr>
            <w:noProof/>
            <w:webHidden/>
          </w:rPr>
          <w:fldChar w:fldCharType="end"/>
        </w:r>
      </w:hyperlink>
    </w:p>
    <w:p w14:paraId="02C5D0FE" w14:textId="2B55BE23" w:rsidR="00C07DA7" w:rsidRDefault="00CF5E28">
      <w:pPr>
        <w:pStyle w:val="10"/>
        <w:rPr>
          <w:rFonts w:asciiTheme="minorHAnsi" w:eastAsiaTheme="minorEastAsia" w:hAnsiTheme="minorHAnsi" w:cstheme="minorBidi"/>
          <w:noProof/>
          <w:szCs w:val="22"/>
        </w:rPr>
      </w:pPr>
      <w:hyperlink w:anchor="_Toc110606853" w:history="1">
        <w:r w:rsidR="00C07DA7" w:rsidRPr="00B84113">
          <w:rPr>
            <w:rStyle w:val="af6"/>
            <w:rFonts w:ascii="宋体" w:hAnsi="宋体" w:hint="eastAsia"/>
            <w:b/>
            <w:noProof/>
          </w:rPr>
          <w:t>第十二部分</w:t>
        </w:r>
        <w:r w:rsidR="00C07DA7" w:rsidRPr="00B84113">
          <w:rPr>
            <w:rStyle w:val="af6"/>
            <w:rFonts w:ascii="宋体" w:hAnsi="宋体"/>
            <w:b/>
            <w:noProof/>
          </w:rPr>
          <w:t xml:space="preserve"> </w:t>
        </w:r>
        <w:r w:rsidR="00C07DA7" w:rsidRPr="00B84113">
          <w:rPr>
            <w:rStyle w:val="af6"/>
            <w:rFonts w:ascii="宋体" w:hAnsi="宋体" w:hint="eastAsia"/>
            <w:b/>
            <w:noProof/>
          </w:rPr>
          <w:t>基金的财产</w:t>
        </w:r>
        <w:r w:rsidR="00C07DA7">
          <w:rPr>
            <w:noProof/>
            <w:webHidden/>
          </w:rPr>
          <w:tab/>
        </w:r>
        <w:r w:rsidR="00C07DA7">
          <w:rPr>
            <w:noProof/>
            <w:webHidden/>
          </w:rPr>
          <w:fldChar w:fldCharType="begin"/>
        </w:r>
        <w:r w:rsidR="00C07DA7">
          <w:rPr>
            <w:noProof/>
            <w:webHidden/>
          </w:rPr>
          <w:instrText xml:space="preserve"> PAGEREF _Toc110606853 \h </w:instrText>
        </w:r>
        <w:r w:rsidR="00C07DA7">
          <w:rPr>
            <w:noProof/>
            <w:webHidden/>
          </w:rPr>
        </w:r>
        <w:r w:rsidR="00C07DA7">
          <w:rPr>
            <w:noProof/>
            <w:webHidden/>
          </w:rPr>
          <w:fldChar w:fldCharType="separate"/>
        </w:r>
        <w:r w:rsidR="00AA7783">
          <w:rPr>
            <w:noProof/>
            <w:webHidden/>
          </w:rPr>
          <w:t>71</w:t>
        </w:r>
        <w:r w:rsidR="00C07DA7">
          <w:rPr>
            <w:noProof/>
            <w:webHidden/>
          </w:rPr>
          <w:fldChar w:fldCharType="end"/>
        </w:r>
      </w:hyperlink>
    </w:p>
    <w:p w14:paraId="79EF53AC" w14:textId="136C08FA" w:rsidR="00C07DA7" w:rsidRDefault="00CF5E28">
      <w:pPr>
        <w:pStyle w:val="10"/>
        <w:rPr>
          <w:rFonts w:asciiTheme="minorHAnsi" w:eastAsiaTheme="minorEastAsia" w:hAnsiTheme="minorHAnsi" w:cstheme="minorBidi"/>
          <w:noProof/>
          <w:szCs w:val="22"/>
        </w:rPr>
      </w:pPr>
      <w:hyperlink w:anchor="_Toc110606854" w:history="1">
        <w:r w:rsidR="00C07DA7" w:rsidRPr="00B84113">
          <w:rPr>
            <w:rStyle w:val="af6"/>
            <w:rFonts w:ascii="宋体" w:hAnsi="宋体" w:hint="eastAsia"/>
            <w:b/>
            <w:noProof/>
          </w:rPr>
          <w:t>第十三部分</w:t>
        </w:r>
        <w:r w:rsidR="00C07DA7" w:rsidRPr="00B84113">
          <w:rPr>
            <w:rStyle w:val="af6"/>
            <w:rFonts w:ascii="宋体" w:hAnsi="宋体"/>
            <w:b/>
            <w:noProof/>
          </w:rPr>
          <w:t xml:space="preserve"> </w:t>
        </w:r>
        <w:r w:rsidR="00C07DA7" w:rsidRPr="00B84113">
          <w:rPr>
            <w:rStyle w:val="af6"/>
            <w:rFonts w:ascii="宋体" w:hAnsi="宋体" w:hint="eastAsia"/>
            <w:b/>
            <w:noProof/>
          </w:rPr>
          <w:t>基金资产估值</w:t>
        </w:r>
        <w:r w:rsidR="00C07DA7">
          <w:rPr>
            <w:noProof/>
            <w:webHidden/>
          </w:rPr>
          <w:tab/>
        </w:r>
        <w:r w:rsidR="00C07DA7">
          <w:rPr>
            <w:noProof/>
            <w:webHidden/>
          </w:rPr>
          <w:fldChar w:fldCharType="begin"/>
        </w:r>
        <w:r w:rsidR="00C07DA7">
          <w:rPr>
            <w:noProof/>
            <w:webHidden/>
          </w:rPr>
          <w:instrText xml:space="preserve"> PAGEREF _Toc110606854 \h </w:instrText>
        </w:r>
        <w:r w:rsidR="00C07DA7">
          <w:rPr>
            <w:noProof/>
            <w:webHidden/>
          </w:rPr>
        </w:r>
        <w:r w:rsidR="00C07DA7">
          <w:rPr>
            <w:noProof/>
            <w:webHidden/>
          </w:rPr>
          <w:fldChar w:fldCharType="separate"/>
        </w:r>
        <w:r w:rsidR="00AA7783">
          <w:rPr>
            <w:noProof/>
            <w:webHidden/>
          </w:rPr>
          <w:t>73</w:t>
        </w:r>
        <w:r w:rsidR="00C07DA7">
          <w:rPr>
            <w:noProof/>
            <w:webHidden/>
          </w:rPr>
          <w:fldChar w:fldCharType="end"/>
        </w:r>
      </w:hyperlink>
    </w:p>
    <w:p w14:paraId="6D69DE8D" w14:textId="32A12481" w:rsidR="00C07DA7" w:rsidRDefault="00CF5E28">
      <w:pPr>
        <w:pStyle w:val="10"/>
        <w:rPr>
          <w:rFonts w:asciiTheme="minorHAnsi" w:eastAsiaTheme="minorEastAsia" w:hAnsiTheme="minorHAnsi" w:cstheme="minorBidi"/>
          <w:noProof/>
          <w:szCs w:val="22"/>
        </w:rPr>
      </w:pPr>
      <w:hyperlink w:anchor="_Toc110606855" w:history="1">
        <w:r w:rsidR="00C07DA7" w:rsidRPr="00B84113">
          <w:rPr>
            <w:rStyle w:val="af6"/>
            <w:rFonts w:ascii="宋体" w:hAnsi="宋体" w:hint="eastAsia"/>
            <w:b/>
            <w:noProof/>
          </w:rPr>
          <w:t>第十四部分</w:t>
        </w:r>
        <w:r w:rsidR="00C07DA7" w:rsidRPr="00B84113">
          <w:rPr>
            <w:rStyle w:val="af6"/>
            <w:rFonts w:ascii="宋体" w:hAnsi="宋体"/>
            <w:b/>
            <w:noProof/>
          </w:rPr>
          <w:t xml:space="preserve"> </w:t>
        </w:r>
        <w:r w:rsidR="00C07DA7" w:rsidRPr="00B84113">
          <w:rPr>
            <w:rStyle w:val="af6"/>
            <w:rFonts w:ascii="宋体" w:hAnsi="宋体" w:hint="eastAsia"/>
            <w:b/>
            <w:noProof/>
          </w:rPr>
          <w:t>基金的收益与分配</w:t>
        </w:r>
        <w:r w:rsidR="00C07DA7">
          <w:rPr>
            <w:noProof/>
            <w:webHidden/>
          </w:rPr>
          <w:tab/>
        </w:r>
        <w:r w:rsidR="00C07DA7">
          <w:rPr>
            <w:noProof/>
            <w:webHidden/>
          </w:rPr>
          <w:fldChar w:fldCharType="begin"/>
        </w:r>
        <w:r w:rsidR="00C07DA7">
          <w:rPr>
            <w:noProof/>
            <w:webHidden/>
          </w:rPr>
          <w:instrText xml:space="preserve"> PAGEREF _Toc110606855 \h </w:instrText>
        </w:r>
        <w:r w:rsidR="00C07DA7">
          <w:rPr>
            <w:noProof/>
            <w:webHidden/>
          </w:rPr>
        </w:r>
        <w:r w:rsidR="00C07DA7">
          <w:rPr>
            <w:noProof/>
            <w:webHidden/>
          </w:rPr>
          <w:fldChar w:fldCharType="separate"/>
        </w:r>
        <w:r w:rsidR="00AA7783">
          <w:rPr>
            <w:noProof/>
            <w:webHidden/>
          </w:rPr>
          <w:t>79</w:t>
        </w:r>
        <w:r w:rsidR="00C07DA7">
          <w:rPr>
            <w:noProof/>
            <w:webHidden/>
          </w:rPr>
          <w:fldChar w:fldCharType="end"/>
        </w:r>
      </w:hyperlink>
    </w:p>
    <w:p w14:paraId="118BBBBD" w14:textId="6B023FDA" w:rsidR="00C07DA7" w:rsidRDefault="00CF5E28">
      <w:pPr>
        <w:pStyle w:val="10"/>
        <w:rPr>
          <w:rFonts w:asciiTheme="minorHAnsi" w:eastAsiaTheme="minorEastAsia" w:hAnsiTheme="minorHAnsi" w:cstheme="minorBidi"/>
          <w:noProof/>
          <w:szCs w:val="22"/>
        </w:rPr>
      </w:pPr>
      <w:hyperlink w:anchor="_Toc110606856" w:history="1">
        <w:r w:rsidR="00C07DA7" w:rsidRPr="00B84113">
          <w:rPr>
            <w:rStyle w:val="af6"/>
            <w:rFonts w:ascii="宋体" w:hAnsi="宋体" w:hint="eastAsia"/>
            <w:b/>
            <w:noProof/>
          </w:rPr>
          <w:t>第十五部分</w:t>
        </w:r>
        <w:r w:rsidR="00C07DA7" w:rsidRPr="00B84113">
          <w:rPr>
            <w:rStyle w:val="af6"/>
            <w:rFonts w:ascii="宋体" w:hAnsi="宋体"/>
            <w:b/>
            <w:noProof/>
          </w:rPr>
          <w:t xml:space="preserve"> </w:t>
        </w:r>
        <w:r w:rsidR="00C07DA7" w:rsidRPr="00B84113">
          <w:rPr>
            <w:rStyle w:val="af6"/>
            <w:rFonts w:ascii="宋体" w:hAnsi="宋体" w:hint="eastAsia"/>
            <w:b/>
            <w:noProof/>
          </w:rPr>
          <w:t>基金的会计与审计</w:t>
        </w:r>
        <w:r w:rsidR="00C07DA7">
          <w:rPr>
            <w:noProof/>
            <w:webHidden/>
          </w:rPr>
          <w:tab/>
        </w:r>
        <w:r w:rsidR="00C07DA7">
          <w:rPr>
            <w:noProof/>
            <w:webHidden/>
          </w:rPr>
          <w:fldChar w:fldCharType="begin"/>
        </w:r>
        <w:r w:rsidR="00C07DA7">
          <w:rPr>
            <w:noProof/>
            <w:webHidden/>
          </w:rPr>
          <w:instrText xml:space="preserve"> PAGEREF _Toc110606856 \h </w:instrText>
        </w:r>
        <w:r w:rsidR="00C07DA7">
          <w:rPr>
            <w:noProof/>
            <w:webHidden/>
          </w:rPr>
        </w:r>
        <w:r w:rsidR="00C07DA7">
          <w:rPr>
            <w:noProof/>
            <w:webHidden/>
          </w:rPr>
          <w:fldChar w:fldCharType="separate"/>
        </w:r>
        <w:r w:rsidR="00AA7783">
          <w:rPr>
            <w:noProof/>
            <w:webHidden/>
          </w:rPr>
          <w:t>81</w:t>
        </w:r>
        <w:r w:rsidR="00C07DA7">
          <w:rPr>
            <w:noProof/>
            <w:webHidden/>
          </w:rPr>
          <w:fldChar w:fldCharType="end"/>
        </w:r>
      </w:hyperlink>
    </w:p>
    <w:p w14:paraId="38AE0685" w14:textId="505889FA" w:rsidR="00C07DA7" w:rsidRDefault="00CF5E28">
      <w:pPr>
        <w:pStyle w:val="10"/>
        <w:rPr>
          <w:rFonts w:asciiTheme="minorHAnsi" w:eastAsiaTheme="minorEastAsia" w:hAnsiTheme="minorHAnsi" w:cstheme="minorBidi"/>
          <w:noProof/>
          <w:szCs w:val="22"/>
        </w:rPr>
      </w:pPr>
      <w:hyperlink w:anchor="_Toc110606857" w:history="1">
        <w:r w:rsidR="00C07DA7" w:rsidRPr="00B84113">
          <w:rPr>
            <w:rStyle w:val="af6"/>
            <w:rFonts w:ascii="宋体" w:hAnsi="宋体" w:hint="eastAsia"/>
            <w:b/>
            <w:noProof/>
          </w:rPr>
          <w:t>第十六部分</w:t>
        </w:r>
        <w:r w:rsidR="00C07DA7" w:rsidRPr="00B84113">
          <w:rPr>
            <w:rStyle w:val="af6"/>
            <w:rFonts w:ascii="宋体" w:hAnsi="宋体"/>
            <w:b/>
            <w:noProof/>
          </w:rPr>
          <w:t xml:space="preserve"> </w:t>
        </w:r>
        <w:r w:rsidR="00C07DA7" w:rsidRPr="00B84113">
          <w:rPr>
            <w:rStyle w:val="af6"/>
            <w:rFonts w:ascii="宋体" w:hAnsi="宋体" w:hint="eastAsia"/>
            <w:b/>
            <w:noProof/>
          </w:rPr>
          <w:t>基金的信息披露</w:t>
        </w:r>
        <w:r w:rsidR="00C07DA7">
          <w:rPr>
            <w:noProof/>
            <w:webHidden/>
          </w:rPr>
          <w:tab/>
        </w:r>
        <w:r w:rsidR="00C07DA7">
          <w:rPr>
            <w:noProof/>
            <w:webHidden/>
          </w:rPr>
          <w:fldChar w:fldCharType="begin"/>
        </w:r>
        <w:r w:rsidR="00C07DA7">
          <w:rPr>
            <w:noProof/>
            <w:webHidden/>
          </w:rPr>
          <w:instrText xml:space="preserve"> PAGEREF _Toc110606857 \h </w:instrText>
        </w:r>
        <w:r w:rsidR="00C07DA7">
          <w:rPr>
            <w:noProof/>
            <w:webHidden/>
          </w:rPr>
        </w:r>
        <w:r w:rsidR="00C07DA7">
          <w:rPr>
            <w:noProof/>
            <w:webHidden/>
          </w:rPr>
          <w:fldChar w:fldCharType="separate"/>
        </w:r>
        <w:r w:rsidR="00AA7783">
          <w:rPr>
            <w:noProof/>
            <w:webHidden/>
          </w:rPr>
          <w:t>82</w:t>
        </w:r>
        <w:r w:rsidR="00C07DA7">
          <w:rPr>
            <w:noProof/>
            <w:webHidden/>
          </w:rPr>
          <w:fldChar w:fldCharType="end"/>
        </w:r>
      </w:hyperlink>
    </w:p>
    <w:p w14:paraId="073CF363" w14:textId="6FB2185B" w:rsidR="00C07DA7" w:rsidRDefault="00CF5E28">
      <w:pPr>
        <w:pStyle w:val="10"/>
        <w:rPr>
          <w:rFonts w:asciiTheme="minorHAnsi" w:eastAsiaTheme="minorEastAsia" w:hAnsiTheme="minorHAnsi" w:cstheme="minorBidi"/>
          <w:noProof/>
          <w:szCs w:val="22"/>
        </w:rPr>
      </w:pPr>
      <w:hyperlink w:anchor="_Toc110606858" w:history="1">
        <w:r w:rsidR="00C07DA7" w:rsidRPr="00B84113">
          <w:rPr>
            <w:rStyle w:val="af6"/>
            <w:rFonts w:ascii="宋体" w:hAnsi="宋体" w:hint="eastAsia"/>
            <w:b/>
            <w:noProof/>
          </w:rPr>
          <w:t>第十七部分</w:t>
        </w:r>
        <w:r w:rsidR="00C07DA7" w:rsidRPr="00B84113">
          <w:rPr>
            <w:rStyle w:val="af6"/>
            <w:rFonts w:ascii="宋体" w:hAnsi="宋体"/>
            <w:b/>
            <w:noProof/>
          </w:rPr>
          <w:t xml:space="preserve"> </w:t>
        </w:r>
        <w:r w:rsidR="00C07DA7" w:rsidRPr="00B84113">
          <w:rPr>
            <w:rStyle w:val="af6"/>
            <w:rFonts w:ascii="宋体" w:hAnsi="宋体" w:hint="eastAsia"/>
            <w:b/>
            <w:noProof/>
          </w:rPr>
          <w:t>侧袋机制</w:t>
        </w:r>
        <w:r w:rsidR="00C07DA7">
          <w:rPr>
            <w:noProof/>
            <w:webHidden/>
          </w:rPr>
          <w:tab/>
        </w:r>
        <w:r w:rsidR="00C07DA7">
          <w:rPr>
            <w:noProof/>
            <w:webHidden/>
          </w:rPr>
          <w:fldChar w:fldCharType="begin"/>
        </w:r>
        <w:r w:rsidR="00C07DA7">
          <w:rPr>
            <w:noProof/>
            <w:webHidden/>
          </w:rPr>
          <w:instrText xml:space="preserve"> PAGEREF _Toc110606858 \h </w:instrText>
        </w:r>
        <w:r w:rsidR="00C07DA7">
          <w:rPr>
            <w:noProof/>
            <w:webHidden/>
          </w:rPr>
        </w:r>
        <w:r w:rsidR="00C07DA7">
          <w:rPr>
            <w:noProof/>
            <w:webHidden/>
          </w:rPr>
          <w:fldChar w:fldCharType="separate"/>
        </w:r>
        <w:r w:rsidR="00AA7783">
          <w:rPr>
            <w:noProof/>
            <w:webHidden/>
          </w:rPr>
          <w:t>89</w:t>
        </w:r>
        <w:r w:rsidR="00C07DA7">
          <w:rPr>
            <w:noProof/>
            <w:webHidden/>
          </w:rPr>
          <w:fldChar w:fldCharType="end"/>
        </w:r>
      </w:hyperlink>
    </w:p>
    <w:p w14:paraId="4851D2FD" w14:textId="1E5D416A" w:rsidR="00C07DA7" w:rsidRDefault="00CF5E28">
      <w:pPr>
        <w:pStyle w:val="10"/>
        <w:rPr>
          <w:rFonts w:asciiTheme="minorHAnsi" w:eastAsiaTheme="minorEastAsia" w:hAnsiTheme="minorHAnsi" w:cstheme="minorBidi"/>
          <w:noProof/>
          <w:szCs w:val="22"/>
        </w:rPr>
      </w:pPr>
      <w:hyperlink w:anchor="_Toc110606859" w:history="1">
        <w:r w:rsidR="00C07DA7" w:rsidRPr="00B84113">
          <w:rPr>
            <w:rStyle w:val="af6"/>
            <w:rFonts w:ascii="宋体" w:hAnsi="宋体" w:hint="eastAsia"/>
            <w:b/>
            <w:noProof/>
          </w:rPr>
          <w:t>第十八部分</w:t>
        </w:r>
        <w:r w:rsidR="00C07DA7" w:rsidRPr="00B84113">
          <w:rPr>
            <w:rStyle w:val="af6"/>
            <w:rFonts w:ascii="宋体" w:hAnsi="宋体"/>
            <w:b/>
            <w:noProof/>
          </w:rPr>
          <w:t xml:space="preserve"> </w:t>
        </w:r>
        <w:r w:rsidR="00C07DA7" w:rsidRPr="00B84113">
          <w:rPr>
            <w:rStyle w:val="af6"/>
            <w:rFonts w:ascii="宋体" w:hAnsi="宋体" w:hint="eastAsia"/>
            <w:b/>
            <w:noProof/>
          </w:rPr>
          <w:t>基金合同的变更、终止与基金财产的清算</w:t>
        </w:r>
        <w:r w:rsidR="00C07DA7">
          <w:rPr>
            <w:noProof/>
            <w:webHidden/>
          </w:rPr>
          <w:tab/>
        </w:r>
        <w:r w:rsidR="00C07DA7">
          <w:rPr>
            <w:noProof/>
            <w:webHidden/>
          </w:rPr>
          <w:fldChar w:fldCharType="begin"/>
        </w:r>
        <w:r w:rsidR="00C07DA7">
          <w:rPr>
            <w:noProof/>
            <w:webHidden/>
          </w:rPr>
          <w:instrText xml:space="preserve"> PAGEREF _Toc110606859 \h </w:instrText>
        </w:r>
        <w:r w:rsidR="00C07DA7">
          <w:rPr>
            <w:noProof/>
            <w:webHidden/>
          </w:rPr>
        </w:r>
        <w:r w:rsidR="00C07DA7">
          <w:rPr>
            <w:noProof/>
            <w:webHidden/>
          </w:rPr>
          <w:fldChar w:fldCharType="separate"/>
        </w:r>
        <w:r w:rsidR="00AA7783">
          <w:rPr>
            <w:noProof/>
            <w:webHidden/>
          </w:rPr>
          <w:t>92</w:t>
        </w:r>
        <w:r w:rsidR="00C07DA7">
          <w:rPr>
            <w:noProof/>
            <w:webHidden/>
          </w:rPr>
          <w:fldChar w:fldCharType="end"/>
        </w:r>
      </w:hyperlink>
    </w:p>
    <w:p w14:paraId="06180C54" w14:textId="7AA337C7" w:rsidR="00C07DA7" w:rsidRDefault="00CF5E28">
      <w:pPr>
        <w:pStyle w:val="10"/>
        <w:rPr>
          <w:rFonts w:asciiTheme="minorHAnsi" w:eastAsiaTheme="minorEastAsia" w:hAnsiTheme="minorHAnsi" w:cstheme="minorBidi"/>
          <w:noProof/>
          <w:szCs w:val="22"/>
        </w:rPr>
      </w:pPr>
      <w:hyperlink w:anchor="_Toc110606860" w:history="1">
        <w:r w:rsidR="00C07DA7" w:rsidRPr="00B84113">
          <w:rPr>
            <w:rStyle w:val="af6"/>
            <w:rFonts w:ascii="宋体" w:hAnsi="宋体" w:hint="eastAsia"/>
            <w:b/>
            <w:noProof/>
          </w:rPr>
          <w:t>第十九部分</w:t>
        </w:r>
        <w:r w:rsidR="00C07DA7" w:rsidRPr="00B84113">
          <w:rPr>
            <w:rStyle w:val="af6"/>
            <w:rFonts w:ascii="宋体" w:hAnsi="宋体"/>
            <w:b/>
            <w:noProof/>
          </w:rPr>
          <w:t xml:space="preserve"> </w:t>
        </w:r>
        <w:r w:rsidR="00C07DA7" w:rsidRPr="00B84113">
          <w:rPr>
            <w:rStyle w:val="af6"/>
            <w:rFonts w:ascii="宋体" w:hAnsi="宋体" w:hint="eastAsia"/>
            <w:b/>
            <w:noProof/>
          </w:rPr>
          <w:t>基金托管人</w:t>
        </w:r>
        <w:r w:rsidR="00C07DA7">
          <w:rPr>
            <w:noProof/>
            <w:webHidden/>
          </w:rPr>
          <w:tab/>
        </w:r>
        <w:r w:rsidR="00C07DA7">
          <w:rPr>
            <w:noProof/>
            <w:webHidden/>
          </w:rPr>
          <w:fldChar w:fldCharType="begin"/>
        </w:r>
        <w:r w:rsidR="00C07DA7">
          <w:rPr>
            <w:noProof/>
            <w:webHidden/>
          </w:rPr>
          <w:instrText xml:space="preserve"> PAGEREF _Toc110606860 \h </w:instrText>
        </w:r>
        <w:r w:rsidR="00C07DA7">
          <w:rPr>
            <w:noProof/>
            <w:webHidden/>
          </w:rPr>
        </w:r>
        <w:r w:rsidR="00C07DA7">
          <w:rPr>
            <w:noProof/>
            <w:webHidden/>
          </w:rPr>
          <w:fldChar w:fldCharType="separate"/>
        </w:r>
        <w:r w:rsidR="00AA7783">
          <w:rPr>
            <w:noProof/>
            <w:webHidden/>
          </w:rPr>
          <w:t>95</w:t>
        </w:r>
        <w:r w:rsidR="00C07DA7">
          <w:rPr>
            <w:noProof/>
            <w:webHidden/>
          </w:rPr>
          <w:fldChar w:fldCharType="end"/>
        </w:r>
      </w:hyperlink>
    </w:p>
    <w:p w14:paraId="639DB2E1" w14:textId="629FB6F1" w:rsidR="00C07DA7" w:rsidRDefault="00CF5E28">
      <w:pPr>
        <w:pStyle w:val="10"/>
        <w:rPr>
          <w:rFonts w:asciiTheme="minorHAnsi" w:eastAsiaTheme="minorEastAsia" w:hAnsiTheme="minorHAnsi" w:cstheme="minorBidi"/>
          <w:noProof/>
          <w:szCs w:val="22"/>
        </w:rPr>
      </w:pPr>
      <w:hyperlink w:anchor="_Toc110606861" w:history="1">
        <w:r w:rsidR="00C07DA7" w:rsidRPr="00B84113">
          <w:rPr>
            <w:rStyle w:val="af6"/>
            <w:rFonts w:ascii="宋体" w:hAnsi="宋体" w:hint="eastAsia"/>
            <w:b/>
            <w:noProof/>
          </w:rPr>
          <w:t>第二十部分</w:t>
        </w:r>
        <w:r w:rsidR="00C07DA7" w:rsidRPr="00B84113">
          <w:rPr>
            <w:rStyle w:val="af6"/>
            <w:rFonts w:ascii="宋体" w:hAnsi="宋体"/>
            <w:b/>
            <w:noProof/>
          </w:rPr>
          <w:t xml:space="preserve"> </w:t>
        </w:r>
        <w:r w:rsidR="00C07DA7" w:rsidRPr="00B84113">
          <w:rPr>
            <w:rStyle w:val="af6"/>
            <w:rFonts w:ascii="宋体" w:hAnsi="宋体" w:hint="eastAsia"/>
            <w:b/>
            <w:noProof/>
          </w:rPr>
          <w:t>境外托管人</w:t>
        </w:r>
        <w:r w:rsidR="00C07DA7">
          <w:rPr>
            <w:noProof/>
            <w:webHidden/>
          </w:rPr>
          <w:tab/>
        </w:r>
        <w:r w:rsidR="00C07DA7">
          <w:rPr>
            <w:noProof/>
            <w:webHidden/>
          </w:rPr>
          <w:fldChar w:fldCharType="begin"/>
        </w:r>
        <w:r w:rsidR="00C07DA7">
          <w:rPr>
            <w:noProof/>
            <w:webHidden/>
          </w:rPr>
          <w:instrText xml:space="preserve"> PAGEREF _Toc110606861 \h </w:instrText>
        </w:r>
        <w:r w:rsidR="00C07DA7">
          <w:rPr>
            <w:noProof/>
            <w:webHidden/>
          </w:rPr>
        </w:r>
        <w:r w:rsidR="00C07DA7">
          <w:rPr>
            <w:noProof/>
            <w:webHidden/>
          </w:rPr>
          <w:fldChar w:fldCharType="separate"/>
        </w:r>
        <w:r w:rsidR="00AA7783">
          <w:rPr>
            <w:noProof/>
            <w:webHidden/>
          </w:rPr>
          <w:t>100</w:t>
        </w:r>
        <w:r w:rsidR="00C07DA7">
          <w:rPr>
            <w:noProof/>
            <w:webHidden/>
          </w:rPr>
          <w:fldChar w:fldCharType="end"/>
        </w:r>
      </w:hyperlink>
    </w:p>
    <w:p w14:paraId="33E43CB4" w14:textId="243A19E3" w:rsidR="00C07DA7" w:rsidRDefault="00CF5E28">
      <w:pPr>
        <w:pStyle w:val="10"/>
        <w:rPr>
          <w:rFonts w:asciiTheme="minorHAnsi" w:eastAsiaTheme="minorEastAsia" w:hAnsiTheme="minorHAnsi" w:cstheme="minorBidi"/>
          <w:noProof/>
          <w:szCs w:val="22"/>
        </w:rPr>
      </w:pPr>
      <w:hyperlink w:anchor="_Toc110606862" w:history="1">
        <w:r w:rsidR="00C07DA7" w:rsidRPr="00B84113">
          <w:rPr>
            <w:rStyle w:val="af6"/>
            <w:rFonts w:ascii="宋体" w:hAnsi="宋体" w:hint="eastAsia"/>
            <w:b/>
            <w:noProof/>
          </w:rPr>
          <w:t>第二十一部分</w:t>
        </w:r>
        <w:r w:rsidR="00C07DA7" w:rsidRPr="00B84113">
          <w:rPr>
            <w:rStyle w:val="af6"/>
            <w:rFonts w:ascii="宋体" w:hAnsi="宋体"/>
            <w:b/>
            <w:noProof/>
          </w:rPr>
          <w:t xml:space="preserve"> </w:t>
        </w:r>
        <w:r w:rsidR="00C07DA7" w:rsidRPr="00B84113">
          <w:rPr>
            <w:rStyle w:val="af6"/>
            <w:rFonts w:ascii="宋体" w:hAnsi="宋体" w:hint="eastAsia"/>
            <w:b/>
            <w:noProof/>
          </w:rPr>
          <w:t>相关服务机构</w:t>
        </w:r>
        <w:r w:rsidR="00C07DA7">
          <w:rPr>
            <w:noProof/>
            <w:webHidden/>
          </w:rPr>
          <w:tab/>
        </w:r>
        <w:r w:rsidR="00C07DA7">
          <w:rPr>
            <w:noProof/>
            <w:webHidden/>
          </w:rPr>
          <w:fldChar w:fldCharType="begin"/>
        </w:r>
        <w:r w:rsidR="00C07DA7">
          <w:rPr>
            <w:noProof/>
            <w:webHidden/>
          </w:rPr>
          <w:instrText xml:space="preserve"> PAGEREF _Toc110606862 \h </w:instrText>
        </w:r>
        <w:r w:rsidR="00C07DA7">
          <w:rPr>
            <w:noProof/>
            <w:webHidden/>
          </w:rPr>
        </w:r>
        <w:r w:rsidR="00C07DA7">
          <w:rPr>
            <w:noProof/>
            <w:webHidden/>
          </w:rPr>
          <w:fldChar w:fldCharType="separate"/>
        </w:r>
        <w:r w:rsidR="00AA7783">
          <w:rPr>
            <w:noProof/>
            <w:webHidden/>
          </w:rPr>
          <w:t>104</w:t>
        </w:r>
        <w:r w:rsidR="00C07DA7">
          <w:rPr>
            <w:noProof/>
            <w:webHidden/>
          </w:rPr>
          <w:fldChar w:fldCharType="end"/>
        </w:r>
      </w:hyperlink>
    </w:p>
    <w:p w14:paraId="55F98C7F" w14:textId="63FFE73D" w:rsidR="00C07DA7" w:rsidRDefault="00CF5E28">
      <w:pPr>
        <w:pStyle w:val="10"/>
        <w:rPr>
          <w:rFonts w:asciiTheme="minorHAnsi" w:eastAsiaTheme="minorEastAsia" w:hAnsiTheme="minorHAnsi" w:cstheme="minorBidi"/>
          <w:noProof/>
          <w:szCs w:val="22"/>
        </w:rPr>
      </w:pPr>
      <w:hyperlink w:anchor="_Toc110606863" w:history="1">
        <w:r w:rsidR="00C07DA7" w:rsidRPr="00B84113">
          <w:rPr>
            <w:rStyle w:val="af6"/>
            <w:rFonts w:ascii="宋体" w:hAnsi="宋体" w:hint="eastAsia"/>
            <w:b/>
            <w:noProof/>
          </w:rPr>
          <w:t>第二十二部分</w:t>
        </w:r>
        <w:r w:rsidR="00C07DA7" w:rsidRPr="00B84113">
          <w:rPr>
            <w:rStyle w:val="af6"/>
            <w:rFonts w:ascii="宋体" w:hAnsi="宋体"/>
            <w:b/>
            <w:noProof/>
          </w:rPr>
          <w:t xml:space="preserve"> </w:t>
        </w:r>
        <w:r w:rsidR="00C07DA7" w:rsidRPr="00B84113">
          <w:rPr>
            <w:rStyle w:val="af6"/>
            <w:rFonts w:ascii="宋体" w:hAnsi="宋体" w:hint="eastAsia"/>
            <w:b/>
            <w:noProof/>
          </w:rPr>
          <w:t>基金合同的内容摘要</w:t>
        </w:r>
        <w:r w:rsidR="00C07DA7">
          <w:rPr>
            <w:noProof/>
            <w:webHidden/>
          </w:rPr>
          <w:tab/>
        </w:r>
        <w:r w:rsidR="00C07DA7">
          <w:rPr>
            <w:noProof/>
            <w:webHidden/>
          </w:rPr>
          <w:fldChar w:fldCharType="begin"/>
        </w:r>
        <w:r w:rsidR="00C07DA7">
          <w:rPr>
            <w:noProof/>
            <w:webHidden/>
          </w:rPr>
          <w:instrText xml:space="preserve"> PAGEREF _Toc110606863 \h </w:instrText>
        </w:r>
        <w:r w:rsidR="00C07DA7">
          <w:rPr>
            <w:noProof/>
            <w:webHidden/>
          </w:rPr>
        </w:r>
        <w:r w:rsidR="00C07DA7">
          <w:rPr>
            <w:noProof/>
            <w:webHidden/>
          </w:rPr>
          <w:fldChar w:fldCharType="separate"/>
        </w:r>
        <w:r w:rsidR="00AA7783">
          <w:rPr>
            <w:noProof/>
            <w:webHidden/>
          </w:rPr>
          <w:t>106</w:t>
        </w:r>
        <w:r w:rsidR="00C07DA7">
          <w:rPr>
            <w:noProof/>
            <w:webHidden/>
          </w:rPr>
          <w:fldChar w:fldCharType="end"/>
        </w:r>
      </w:hyperlink>
    </w:p>
    <w:p w14:paraId="618FCC6F" w14:textId="6B56FDD4" w:rsidR="00C07DA7" w:rsidRDefault="00CF5E28">
      <w:pPr>
        <w:pStyle w:val="10"/>
        <w:rPr>
          <w:rFonts w:asciiTheme="minorHAnsi" w:eastAsiaTheme="minorEastAsia" w:hAnsiTheme="minorHAnsi" w:cstheme="minorBidi"/>
          <w:noProof/>
          <w:szCs w:val="22"/>
        </w:rPr>
      </w:pPr>
      <w:hyperlink w:anchor="_Toc110606864" w:history="1">
        <w:r w:rsidR="00C07DA7" w:rsidRPr="00B84113">
          <w:rPr>
            <w:rStyle w:val="af6"/>
            <w:rFonts w:ascii="宋体" w:hAnsi="宋体" w:hint="eastAsia"/>
            <w:b/>
            <w:noProof/>
          </w:rPr>
          <w:t>第二十三部分</w:t>
        </w:r>
        <w:r w:rsidR="00C07DA7" w:rsidRPr="00B84113">
          <w:rPr>
            <w:rStyle w:val="af6"/>
            <w:rFonts w:ascii="宋体" w:hAnsi="宋体"/>
            <w:b/>
            <w:noProof/>
          </w:rPr>
          <w:t xml:space="preserve"> </w:t>
        </w:r>
        <w:r w:rsidR="00C07DA7" w:rsidRPr="00B84113">
          <w:rPr>
            <w:rStyle w:val="af6"/>
            <w:rFonts w:ascii="宋体" w:hAnsi="宋体" w:hint="eastAsia"/>
            <w:b/>
            <w:noProof/>
          </w:rPr>
          <w:t>基金托管协议的内容摘要</w:t>
        </w:r>
        <w:r w:rsidR="00C07DA7">
          <w:rPr>
            <w:noProof/>
            <w:webHidden/>
          </w:rPr>
          <w:tab/>
        </w:r>
        <w:r w:rsidR="00C07DA7">
          <w:rPr>
            <w:noProof/>
            <w:webHidden/>
          </w:rPr>
          <w:fldChar w:fldCharType="begin"/>
        </w:r>
        <w:r w:rsidR="00C07DA7">
          <w:rPr>
            <w:noProof/>
            <w:webHidden/>
          </w:rPr>
          <w:instrText xml:space="preserve"> PAGEREF _Toc110606864 \h </w:instrText>
        </w:r>
        <w:r w:rsidR="00C07DA7">
          <w:rPr>
            <w:noProof/>
            <w:webHidden/>
          </w:rPr>
        </w:r>
        <w:r w:rsidR="00C07DA7">
          <w:rPr>
            <w:noProof/>
            <w:webHidden/>
          </w:rPr>
          <w:fldChar w:fldCharType="separate"/>
        </w:r>
        <w:r w:rsidR="00AA7783">
          <w:rPr>
            <w:noProof/>
            <w:webHidden/>
          </w:rPr>
          <w:t>124</w:t>
        </w:r>
        <w:r w:rsidR="00C07DA7">
          <w:rPr>
            <w:noProof/>
            <w:webHidden/>
          </w:rPr>
          <w:fldChar w:fldCharType="end"/>
        </w:r>
      </w:hyperlink>
    </w:p>
    <w:p w14:paraId="64A2B888" w14:textId="035492B9" w:rsidR="00C07DA7" w:rsidRDefault="00CF5E28">
      <w:pPr>
        <w:pStyle w:val="10"/>
        <w:rPr>
          <w:rFonts w:asciiTheme="minorHAnsi" w:eastAsiaTheme="minorEastAsia" w:hAnsiTheme="minorHAnsi" w:cstheme="minorBidi"/>
          <w:noProof/>
          <w:szCs w:val="22"/>
        </w:rPr>
      </w:pPr>
      <w:hyperlink w:anchor="_Toc110606865" w:history="1">
        <w:r w:rsidR="00C07DA7" w:rsidRPr="00B84113">
          <w:rPr>
            <w:rStyle w:val="af6"/>
            <w:rFonts w:ascii="宋体" w:hAnsi="宋体" w:hint="eastAsia"/>
            <w:b/>
            <w:noProof/>
          </w:rPr>
          <w:t>第二十四部分</w:t>
        </w:r>
        <w:r w:rsidR="00C07DA7" w:rsidRPr="00B84113">
          <w:rPr>
            <w:rStyle w:val="af6"/>
            <w:rFonts w:ascii="宋体" w:hAnsi="宋体"/>
            <w:b/>
            <w:noProof/>
          </w:rPr>
          <w:t xml:space="preserve"> </w:t>
        </w:r>
        <w:r w:rsidR="00C07DA7" w:rsidRPr="00B84113">
          <w:rPr>
            <w:rStyle w:val="af6"/>
            <w:rFonts w:ascii="宋体" w:hAnsi="宋体" w:hint="eastAsia"/>
            <w:b/>
            <w:noProof/>
          </w:rPr>
          <w:t>对基金份额持有人的服务</w:t>
        </w:r>
        <w:r w:rsidR="00C07DA7">
          <w:rPr>
            <w:noProof/>
            <w:webHidden/>
          </w:rPr>
          <w:tab/>
        </w:r>
        <w:r w:rsidR="00C07DA7">
          <w:rPr>
            <w:noProof/>
            <w:webHidden/>
          </w:rPr>
          <w:fldChar w:fldCharType="begin"/>
        </w:r>
        <w:r w:rsidR="00C07DA7">
          <w:rPr>
            <w:noProof/>
            <w:webHidden/>
          </w:rPr>
          <w:instrText xml:space="preserve"> PAGEREF _Toc110606865 \h </w:instrText>
        </w:r>
        <w:r w:rsidR="00C07DA7">
          <w:rPr>
            <w:noProof/>
            <w:webHidden/>
          </w:rPr>
        </w:r>
        <w:r w:rsidR="00C07DA7">
          <w:rPr>
            <w:noProof/>
            <w:webHidden/>
          </w:rPr>
          <w:fldChar w:fldCharType="separate"/>
        </w:r>
        <w:r w:rsidR="00AA7783">
          <w:rPr>
            <w:noProof/>
            <w:webHidden/>
          </w:rPr>
          <w:t>145</w:t>
        </w:r>
        <w:r w:rsidR="00C07DA7">
          <w:rPr>
            <w:noProof/>
            <w:webHidden/>
          </w:rPr>
          <w:fldChar w:fldCharType="end"/>
        </w:r>
      </w:hyperlink>
    </w:p>
    <w:p w14:paraId="518E1D0F" w14:textId="5E8D7B7A" w:rsidR="00C07DA7" w:rsidRDefault="00CF5E28">
      <w:pPr>
        <w:pStyle w:val="10"/>
        <w:rPr>
          <w:rFonts w:asciiTheme="minorHAnsi" w:eastAsiaTheme="minorEastAsia" w:hAnsiTheme="minorHAnsi" w:cstheme="minorBidi"/>
          <w:noProof/>
          <w:szCs w:val="22"/>
        </w:rPr>
      </w:pPr>
      <w:hyperlink w:anchor="_Toc110606866" w:history="1">
        <w:r w:rsidR="00C07DA7" w:rsidRPr="00B84113">
          <w:rPr>
            <w:rStyle w:val="af6"/>
            <w:rFonts w:ascii="宋体" w:hAnsi="宋体" w:hint="eastAsia"/>
            <w:b/>
            <w:noProof/>
          </w:rPr>
          <w:t>第二十五部分</w:t>
        </w:r>
        <w:r w:rsidR="00C07DA7" w:rsidRPr="00B84113">
          <w:rPr>
            <w:rStyle w:val="af6"/>
            <w:rFonts w:ascii="宋体" w:hAnsi="宋体"/>
            <w:b/>
            <w:noProof/>
          </w:rPr>
          <w:t xml:space="preserve"> </w:t>
        </w:r>
        <w:r w:rsidR="00C07DA7" w:rsidRPr="00B84113">
          <w:rPr>
            <w:rStyle w:val="af6"/>
            <w:rFonts w:ascii="宋体" w:hAnsi="宋体" w:hint="eastAsia"/>
            <w:b/>
            <w:noProof/>
          </w:rPr>
          <w:t>其它应披露事项</w:t>
        </w:r>
        <w:r w:rsidR="00C07DA7">
          <w:rPr>
            <w:noProof/>
            <w:webHidden/>
          </w:rPr>
          <w:tab/>
        </w:r>
        <w:r w:rsidR="00C07DA7">
          <w:rPr>
            <w:noProof/>
            <w:webHidden/>
          </w:rPr>
          <w:fldChar w:fldCharType="begin"/>
        </w:r>
        <w:r w:rsidR="00C07DA7">
          <w:rPr>
            <w:noProof/>
            <w:webHidden/>
          </w:rPr>
          <w:instrText xml:space="preserve"> PAGEREF _Toc110606866 \h </w:instrText>
        </w:r>
        <w:r w:rsidR="00C07DA7">
          <w:rPr>
            <w:noProof/>
            <w:webHidden/>
          </w:rPr>
        </w:r>
        <w:r w:rsidR="00C07DA7">
          <w:rPr>
            <w:noProof/>
            <w:webHidden/>
          </w:rPr>
          <w:fldChar w:fldCharType="separate"/>
        </w:r>
        <w:r w:rsidR="00AA7783">
          <w:rPr>
            <w:noProof/>
            <w:webHidden/>
          </w:rPr>
          <w:t>147</w:t>
        </w:r>
        <w:r w:rsidR="00C07DA7">
          <w:rPr>
            <w:noProof/>
            <w:webHidden/>
          </w:rPr>
          <w:fldChar w:fldCharType="end"/>
        </w:r>
      </w:hyperlink>
    </w:p>
    <w:p w14:paraId="53FDB89E" w14:textId="74C6E0F8" w:rsidR="00C07DA7" w:rsidRDefault="00CF5E28">
      <w:pPr>
        <w:pStyle w:val="10"/>
        <w:rPr>
          <w:rFonts w:asciiTheme="minorHAnsi" w:eastAsiaTheme="minorEastAsia" w:hAnsiTheme="minorHAnsi" w:cstheme="minorBidi"/>
          <w:noProof/>
          <w:szCs w:val="22"/>
        </w:rPr>
      </w:pPr>
      <w:hyperlink w:anchor="_Toc110606867" w:history="1">
        <w:r w:rsidR="00C07DA7" w:rsidRPr="00B84113">
          <w:rPr>
            <w:rStyle w:val="af6"/>
            <w:rFonts w:ascii="宋体" w:hAnsi="宋体" w:hint="eastAsia"/>
            <w:b/>
            <w:noProof/>
          </w:rPr>
          <w:t>第二十六部分</w:t>
        </w:r>
        <w:r w:rsidR="00C07DA7" w:rsidRPr="00B84113">
          <w:rPr>
            <w:rStyle w:val="af6"/>
            <w:rFonts w:ascii="宋体" w:hAnsi="宋体"/>
            <w:b/>
            <w:noProof/>
          </w:rPr>
          <w:t xml:space="preserve"> </w:t>
        </w:r>
        <w:r w:rsidR="00C07DA7" w:rsidRPr="00B84113">
          <w:rPr>
            <w:rStyle w:val="af6"/>
            <w:rFonts w:ascii="宋体" w:hAnsi="宋体" w:hint="eastAsia"/>
            <w:b/>
            <w:noProof/>
          </w:rPr>
          <w:t>招募说明书的存放及查阅方式</w:t>
        </w:r>
        <w:r w:rsidR="00C07DA7">
          <w:rPr>
            <w:noProof/>
            <w:webHidden/>
          </w:rPr>
          <w:tab/>
        </w:r>
        <w:r w:rsidR="00C07DA7">
          <w:rPr>
            <w:noProof/>
            <w:webHidden/>
          </w:rPr>
          <w:fldChar w:fldCharType="begin"/>
        </w:r>
        <w:r w:rsidR="00C07DA7">
          <w:rPr>
            <w:noProof/>
            <w:webHidden/>
          </w:rPr>
          <w:instrText xml:space="preserve"> PAGEREF _Toc110606867 \h </w:instrText>
        </w:r>
        <w:r w:rsidR="00C07DA7">
          <w:rPr>
            <w:noProof/>
            <w:webHidden/>
          </w:rPr>
        </w:r>
        <w:r w:rsidR="00C07DA7">
          <w:rPr>
            <w:noProof/>
            <w:webHidden/>
          </w:rPr>
          <w:fldChar w:fldCharType="separate"/>
        </w:r>
        <w:r w:rsidR="00AA7783">
          <w:rPr>
            <w:noProof/>
            <w:webHidden/>
          </w:rPr>
          <w:t>148</w:t>
        </w:r>
        <w:r w:rsidR="00C07DA7">
          <w:rPr>
            <w:noProof/>
            <w:webHidden/>
          </w:rPr>
          <w:fldChar w:fldCharType="end"/>
        </w:r>
      </w:hyperlink>
    </w:p>
    <w:p w14:paraId="47A05C04" w14:textId="0CB17F49" w:rsidR="00C07DA7" w:rsidRDefault="00CF5E28">
      <w:pPr>
        <w:pStyle w:val="10"/>
        <w:rPr>
          <w:rFonts w:asciiTheme="minorHAnsi" w:eastAsiaTheme="minorEastAsia" w:hAnsiTheme="minorHAnsi" w:cstheme="minorBidi"/>
          <w:noProof/>
          <w:szCs w:val="22"/>
        </w:rPr>
      </w:pPr>
      <w:hyperlink w:anchor="_Toc110606868" w:history="1">
        <w:r w:rsidR="00C07DA7" w:rsidRPr="00B84113">
          <w:rPr>
            <w:rStyle w:val="af6"/>
            <w:rFonts w:ascii="宋体" w:hAnsi="宋体" w:hint="eastAsia"/>
            <w:b/>
            <w:noProof/>
          </w:rPr>
          <w:t>第二十七部分</w:t>
        </w:r>
        <w:r w:rsidR="00C07DA7" w:rsidRPr="00B84113">
          <w:rPr>
            <w:rStyle w:val="af6"/>
            <w:rFonts w:ascii="宋体" w:hAnsi="宋体"/>
            <w:b/>
            <w:noProof/>
          </w:rPr>
          <w:t xml:space="preserve"> </w:t>
        </w:r>
        <w:r w:rsidR="00C07DA7" w:rsidRPr="00B84113">
          <w:rPr>
            <w:rStyle w:val="af6"/>
            <w:rFonts w:ascii="宋体" w:hAnsi="宋体" w:hint="eastAsia"/>
            <w:b/>
            <w:noProof/>
          </w:rPr>
          <w:t>备查文件</w:t>
        </w:r>
        <w:r w:rsidR="00C07DA7">
          <w:rPr>
            <w:noProof/>
            <w:webHidden/>
          </w:rPr>
          <w:tab/>
        </w:r>
        <w:r w:rsidR="00C07DA7">
          <w:rPr>
            <w:noProof/>
            <w:webHidden/>
          </w:rPr>
          <w:fldChar w:fldCharType="begin"/>
        </w:r>
        <w:r w:rsidR="00C07DA7">
          <w:rPr>
            <w:noProof/>
            <w:webHidden/>
          </w:rPr>
          <w:instrText xml:space="preserve"> PAGEREF _Toc110606868 \h </w:instrText>
        </w:r>
        <w:r w:rsidR="00C07DA7">
          <w:rPr>
            <w:noProof/>
            <w:webHidden/>
          </w:rPr>
        </w:r>
        <w:r w:rsidR="00C07DA7">
          <w:rPr>
            <w:noProof/>
            <w:webHidden/>
          </w:rPr>
          <w:fldChar w:fldCharType="separate"/>
        </w:r>
        <w:r w:rsidR="00AA7783">
          <w:rPr>
            <w:noProof/>
            <w:webHidden/>
          </w:rPr>
          <w:t>149</w:t>
        </w:r>
        <w:r w:rsidR="00C07DA7">
          <w:rPr>
            <w:noProof/>
            <w:webHidden/>
          </w:rPr>
          <w:fldChar w:fldCharType="end"/>
        </w:r>
      </w:hyperlink>
    </w:p>
    <w:p w14:paraId="6DF6DE64" w14:textId="77777777" w:rsidR="0037652E" w:rsidRDefault="00BF49B0" w:rsidP="00046571">
      <w:pPr>
        <w:rPr>
          <w:rFonts w:ascii="宋体" w:hAnsi="宋体"/>
        </w:rPr>
        <w:sectPr w:rsidR="0037652E">
          <w:footerReference w:type="default" r:id="rId14"/>
          <w:pgSz w:w="11906" w:h="16838"/>
          <w:pgMar w:top="1440" w:right="1797" w:bottom="1440" w:left="1797" w:header="851" w:footer="992" w:gutter="0"/>
          <w:cols w:space="720"/>
          <w:titlePg/>
          <w:docGrid w:type="lines" w:linePitch="312"/>
        </w:sectPr>
      </w:pPr>
      <w:r>
        <w:fldChar w:fldCharType="end"/>
      </w:r>
    </w:p>
    <w:p w14:paraId="32BE9379" w14:textId="77777777" w:rsidR="0037652E" w:rsidRDefault="00BF49B0">
      <w:pPr>
        <w:spacing w:line="360" w:lineRule="auto"/>
        <w:ind w:firstLineChars="50" w:firstLine="120"/>
        <w:jc w:val="center"/>
        <w:outlineLvl w:val="0"/>
        <w:rPr>
          <w:rFonts w:ascii="宋体" w:hAnsi="宋体"/>
          <w:b/>
          <w:sz w:val="24"/>
          <w:szCs w:val="24"/>
        </w:rPr>
      </w:pPr>
      <w:bookmarkStart w:id="10" w:name="_Toc7117"/>
      <w:bookmarkStart w:id="11" w:name="_Toc65325108"/>
      <w:bookmarkStart w:id="12" w:name="_Toc852"/>
      <w:bookmarkStart w:id="13" w:name="_Toc110606841"/>
      <w:bookmarkStart w:id="14" w:name="_Toc192080050"/>
      <w:r>
        <w:rPr>
          <w:rFonts w:ascii="宋体" w:hAnsi="宋体" w:hint="eastAsia"/>
          <w:b/>
          <w:sz w:val="24"/>
          <w:szCs w:val="24"/>
        </w:rPr>
        <w:lastRenderedPageBreak/>
        <w:t>第一部分</w:t>
      </w:r>
      <w:r>
        <w:rPr>
          <w:rFonts w:ascii="宋体" w:hAnsi="宋体"/>
          <w:b/>
          <w:sz w:val="24"/>
          <w:szCs w:val="24"/>
        </w:rPr>
        <w:t xml:space="preserve"> </w:t>
      </w:r>
      <w:r>
        <w:rPr>
          <w:rFonts w:ascii="宋体" w:hAnsi="宋体" w:hint="eastAsia"/>
          <w:b/>
          <w:sz w:val="24"/>
          <w:szCs w:val="24"/>
        </w:rPr>
        <w:t>绪  言</w:t>
      </w:r>
      <w:bookmarkEnd w:id="10"/>
      <w:bookmarkEnd w:id="11"/>
      <w:bookmarkEnd w:id="12"/>
      <w:bookmarkEnd w:id="13"/>
    </w:p>
    <w:bookmarkEnd w:id="14"/>
    <w:p w14:paraId="542C4739" w14:textId="77777777" w:rsidR="0037652E" w:rsidRDefault="0037652E">
      <w:pPr>
        <w:tabs>
          <w:tab w:val="left" w:pos="961"/>
        </w:tabs>
        <w:snapToGrid w:val="0"/>
        <w:spacing w:line="360" w:lineRule="auto"/>
        <w:ind w:firstLineChars="200" w:firstLine="420"/>
        <w:rPr>
          <w:bCs/>
          <w:szCs w:val="21"/>
        </w:rPr>
      </w:pPr>
    </w:p>
    <w:p w14:paraId="41B52D6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招募说明书依据《中华人民共和国证券投资基金法》、《公开募集证券投资基金运作管理办法》、《证券投资基金销售管理办法》、《公开募集证券投资基金信息披露管理办法》及其他有关法律法规以及《汇添富黄金及贵金属证券投资基金（</w:t>
      </w:r>
      <w:r>
        <w:rPr>
          <w:rFonts w:hint="eastAsia"/>
          <w:bCs/>
          <w:sz w:val="24"/>
          <w:szCs w:val="24"/>
        </w:rPr>
        <w:t>LOF</w:t>
      </w:r>
      <w:r>
        <w:rPr>
          <w:rFonts w:hint="eastAsia"/>
          <w:bCs/>
          <w:sz w:val="24"/>
          <w:szCs w:val="24"/>
        </w:rPr>
        <w:t>）基金合同》编写。</w:t>
      </w:r>
    </w:p>
    <w:p w14:paraId="5E9A8348"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本招募说明书的内容涵盖汇添富黄金及贵金属证券投资基金（</w:t>
      </w:r>
      <w:r>
        <w:rPr>
          <w:rFonts w:hint="eastAsia"/>
          <w:bCs/>
          <w:sz w:val="24"/>
          <w:szCs w:val="24"/>
        </w:rPr>
        <w:t>LOF</w:t>
      </w:r>
      <w:r>
        <w:rPr>
          <w:rFonts w:hint="eastAsia"/>
          <w:bCs/>
          <w:sz w:val="24"/>
          <w:szCs w:val="24"/>
        </w:rPr>
        <w:t>）的投资目标、投资理念、投资策略、风险以及认购、申购和赎回的程序及费率等与投资本基金有关的所有相关事项，投资者在做出投资决策前应仔细阅读本招募说明书，并注意基金管理人对本招募说明书披露的更新信息。</w:t>
      </w:r>
    </w:p>
    <w:p w14:paraId="68AB3EF7"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本基金管理人承诺本招募说明书不存在任何虚假记载、误导性陈述或重大遗漏，并对其真实性、准确性、完整性承担法律责任。</w:t>
      </w:r>
      <w:r>
        <w:rPr>
          <w:rFonts w:hint="eastAsia"/>
          <w:bCs/>
          <w:sz w:val="24"/>
          <w:szCs w:val="24"/>
        </w:rPr>
        <w:t xml:space="preserve"> </w:t>
      </w:r>
    </w:p>
    <w:p w14:paraId="0C9B7375"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本基金根据本招募说明书所载明的资料申请募集。本基金管理人没有委托或授权任何其他人提供未在本招募说明书中载明的信息，或对本招募说明书作任何解释或者说明。</w:t>
      </w:r>
    </w:p>
    <w:p w14:paraId="42A90E4B"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招募说明书根据本基金的基金合同编写，并经中国证监会核准。基金合同是约定基金当事人之间权利、义务的法律文件。本基金投资者自依基金合同取得基金份额，即成为本基金份额持有人和本基金合同当事人，其持有本基金份额的行为本身即表明其对本基金合同的承认和接受，并按照《中华人民共和国证券投资基金法》、基金合同及其他有关规定享有权利、承担义务。基金投资者欲了解本基金份额持有人的权利和义务，应详细查阅基金合同。</w:t>
      </w:r>
    </w:p>
    <w:p w14:paraId="6A963553" w14:textId="77777777" w:rsidR="0037652E" w:rsidRDefault="0037652E">
      <w:pPr>
        <w:tabs>
          <w:tab w:val="left" w:pos="961"/>
        </w:tabs>
        <w:snapToGrid w:val="0"/>
        <w:spacing w:line="360" w:lineRule="auto"/>
        <w:ind w:firstLineChars="200" w:firstLine="420"/>
        <w:rPr>
          <w:bCs/>
          <w:szCs w:val="21"/>
        </w:rPr>
      </w:pPr>
    </w:p>
    <w:p w14:paraId="1F88A871" w14:textId="77777777" w:rsidR="0037652E" w:rsidRDefault="0037652E">
      <w:pPr>
        <w:tabs>
          <w:tab w:val="left" w:pos="961"/>
        </w:tabs>
        <w:snapToGrid w:val="0"/>
        <w:spacing w:line="360" w:lineRule="auto"/>
        <w:ind w:firstLineChars="200" w:firstLine="420"/>
        <w:rPr>
          <w:bCs/>
          <w:szCs w:val="21"/>
        </w:rPr>
      </w:pPr>
    </w:p>
    <w:p w14:paraId="58B2B11E" w14:textId="77777777" w:rsidR="0037652E" w:rsidRDefault="0037652E">
      <w:pPr>
        <w:tabs>
          <w:tab w:val="left" w:pos="961"/>
        </w:tabs>
        <w:snapToGrid w:val="0"/>
        <w:spacing w:line="360" w:lineRule="auto"/>
        <w:ind w:firstLineChars="200" w:firstLine="420"/>
        <w:rPr>
          <w:bCs/>
          <w:szCs w:val="21"/>
        </w:rPr>
      </w:pPr>
    </w:p>
    <w:p w14:paraId="5A41C355" w14:textId="77777777" w:rsidR="0037652E" w:rsidRDefault="00BF49B0">
      <w:pPr>
        <w:tabs>
          <w:tab w:val="left" w:pos="961"/>
        </w:tabs>
        <w:snapToGrid w:val="0"/>
        <w:spacing w:line="360" w:lineRule="auto"/>
        <w:ind w:firstLineChars="200" w:firstLine="420"/>
        <w:rPr>
          <w:bCs/>
          <w:szCs w:val="21"/>
        </w:rPr>
      </w:pPr>
      <w:r>
        <w:rPr>
          <w:rFonts w:hint="eastAsia"/>
          <w:bCs/>
          <w:szCs w:val="21"/>
        </w:rPr>
        <w:t xml:space="preserve"> </w:t>
      </w:r>
    </w:p>
    <w:p w14:paraId="27EF8240" w14:textId="77777777" w:rsidR="0037652E" w:rsidRDefault="0037652E">
      <w:pPr>
        <w:spacing w:line="360" w:lineRule="auto"/>
        <w:rPr>
          <w:rFonts w:ascii="宋体" w:hAnsi="宋体"/>
          <w:sz w:val="24"/>
          <w:szCs w:val="24"/>
        </w:rPr>
      </w:pPr>
    </w:p>
    <w:p w14:paraId="2A649A15" w14:textId="77777777" w:rsidR="0037652E" w:rsidRDefault="0037652E"/>
    <w:p w14:paraId="7077E062" w14:textId="77777777" w:rsidR="0037652E" w:rsidRDefault="0037652E"/>
    <w:p w14:paraId="41E7F7C1" w14:textId="77777777" w:rsidR="0037652E" w:rsidRDefault="00BF49B0">
      <w:r>
        <w:tab/>
      </w:r>
    </w:p>
    <w:p w14:paraId="7B186D2B" w14:textId="77777777" w:rsidR="0037652E" w:rsidRDefault="00BF49B0">
      <w:pPr>
        <w:spacing w:line="360" w:lineRule="auto"/>
        <w:ind w:firstLineChars="50" w:firstLine="105"/>
        <w:jc w:val="center"/>
        <w:outlineLvl w:val="0"/>
        <w:rPr>
          <w:b/>
        </w:rPr>
      </w:pPr>
      <w:r>
        <w:rPr>
          <w:rFonts w:hint="eastAsia"/>
        </w:rPr>
        <w:br w:type="page"/>
      </w:r>
      <w:bookmarkStart w:id="15" w:name="_Toc123701390"/>
      <w:bookmarkStart w:id="16" w:name="_Toc32066"/>
      <w:bookmarkStart w:id="17" w:name="_Toc123112269"/>
      <w:bookmarkStart w:id="18" w:name="_Toc123112230"/>
      <w:bookmarkStart w:id="19" w:name="_Toc32410"/>
      <w:bookmarkStart w:id="20" w:name="_Toc65325109"/>
      <w:bookmarkStart w:id="21" w:name="_Toc110606842"/>
      <w:bookmarkStart w:id="22" w:name="_Toc192080051"/>
      <w:r>
        <w:rPr>
          <w:rFonts w:ascii="宋体" w:hAnsi="宋体" w:hint="eastAsia"/>
          <w:b/>
          <w:sz w:val="24"/>
          <w:szCs w:val="24"/>
        </w:rPr>
        <w:lastRenderedPageBreak/>
        <w:t>第二部分 释</w:t>
      </w:r>
      <w:r>
        <w:rPr>
          <w:rFonts w:ascii="宋体" w:hAnsi="宋体"/>
          <w:b/>
          <w:sz w:val="24"/>
          <w:szCs w:val="24"/>
        </w:rPr>
        <w:t xml:space="preserve">  </w:t>
      </w:r>
      <w:r>
        <w:rPr>
          <w:rFonts w:ascii="宋体" w:hAnsi="宋体" w:hint="eastAsia"/>
          <w:b/>
          <w:sz w:val="24"/>
          <w:szCs w:val="24"/>
        </w:rPr>
        <w:t>义</w:t>
      </w:r>
      <w:bookmarkEnd w:id="15"/>
      <w:bookmarkEnd w:id="16"/>
      <w:bookmarkEnd w:id="17"/>
      <w:bookmarkEnd w:id="18"/>
      <w:bookmarkEnd w:id="19"/>
      <w:bookmarkEnd w:id="20"/>
      <w:bookmarkEnd w:id="21"/>
    </w:p>
    <w:p w14:paraId="73210474" w14:textId="77777777" w:rsidR="0037652E" w:rsidRDefault="0037652E">
      <w:pPr>
        <w:tabs>
          <w:tab w:val="left" w:pos="961"/>
        </w:tabs>
        <w:snapToGrid w:val="0"/>
        <w:spacing w:line="360" w:lineRule="auto"/>
        <w:ind w:firstLineChars="200" w:firstLine="420"/>
        <w:rPr>
          <w:bCs/>
          <w:szCs w:val="21"/>
        </w:rPr>
      </w:pPr>
    </w:p>
    <w:p w14:paraId="54B4BD77"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在本招募说明书</w:t>
      </w:r>
      <w:r>
        <w:rPr>
          <w:bCs/>
          <w:sz w:val="24"/>
          <w:szCs w:val="24"/>
        </w:rPr>
        <w:t>中</w:t>
      </w:r>
      <w:r>
        <w:rPr>
          <w:rFonts w:hint="eastAsia"/>
          <w:bCs/>
          <w:sz w:val="24"/>
          <w:szCs w:val="24"/>
        </w:rPr>
        <w:t>，</w:t>
      </w:r>
      <w:r>
        <w:rPr>
          <w:bCs/>
          <w:sz w:val="24"/>
          <w:szCs w:val="24"/>
        </w:rPr>
        <w:t>除非文意另有所指，下列词语具有如下含义：</w:t>
      </w:r>
    </w:p>
    <w:p w14:paraId="34D56AA7" w14:textId="77777777" w:rsidR="0037652E" w:rsidRDefault="0037652E">
      <w:pPr>
        <w:tabs>
          <w:tab w:val="left" w:pos="961"/>
        </w:tabs>
        <w:snapToGrid w:val="0"/>
        <w:spacing w:line="360" w:lineRule="auto"/>
        <w:ind w:firstLineChars="200" w:firstLine="480"/>
        <w:rPr>
          <w:bCs/>
          <w:sz w:val="24"/>
          <w:szCs w:val="24"/>
        </w:rPr>
      </w:pPr>
    </w:p>
    <w:p w14:paraId="7A695C23" w14:textId="77777777" w:rsidR="0037652E" w:rsidRDefault="00BF49B0">
      <w:pPr>
        <w:tabs>
          <w:tab w:val="left" w:pos="180"/>
        </w:tabs>
        <w:spacing w:line="360" w:lineRule="auto"/>
        <w:ind w:leftChars="200" w:left="3060" w:hangingChars="1100" w:hanging="2640"/>
        <w:rPr>
          <w:bCs/>
          <w:sz w:val="24"/>
          <w:szCs w:val="24"/>
        </w:rPr>
      </w:pPr>
      <w:r>
        <w:rPr>
          <w:sz w:val="24"/>
          <w:szCs w:val="24"/>
        </w:rPr>
        <w:t>本合同、《基金合同》</w:t>
      </w:r>
      <w:r>
        <w:rPr>
          <w:sz w:val="24"/>
          <w:szCs w:val="24"/>
        </w:rPr>
        <w:tab/>
      </w:r>
      <w:r>
        <w:rPr>
          <w:sz w:val="24"/>
          <w:szCs w:val="24"/>
        </w:rPr>
        <w:t>指《</w:t>
      </w:r>
      <w:r>
        <w:rPr>
          <w:bCs/>
          <w:sz w:val="24"/>
          <w:szCs w:val="24"/>
        </w:rPr>
        <w:t>汇添富黄金及贵金属证券投资基金（</w:t>
      </w:r>
      <w:r>
        <w:rPr>
          <w:bCs/>
          <w:sz w:val="24"/>
          <w:szCs w:val="24"/>
        </w:rPr>
        <w:t>LOF</w:t>
      </w:r>
      <w:r>
        <w:rPr>
          <w:bCs/>
          <w:sz w:val="24"/>
          <w:szCs w:val="24"/>
        </w:rPr>
        <w:t>）基金合同》及对本合同的任何有效的修订和补充</w:t>
      </w:r>
    </w:p>
    <w:p w14:paraId="370091E4" w14:textId="77777777" w:rsidR="0037652E" w:rsidRDefault="00BF49B0">
      <w:pPr>
        <w:tabs>
          <w:tab w:val="left" w:pos="180"/>
        </w:tabs>
        <w:spacing w:line="360" w:lineRule="auto"/>
        <w:ind w:leftChars="200" w:left="3060" w:hangingChars="1100" w:hanging="2640"/>
        <w:rPr>
          <w:bCs/>
          <w:sz w:val="24"/>
          <w:szCs w:val="24"/>
        </w:rPr>
      </w:pPr>
      <w:r>
        <w:rPr>
          <w:bCs/>
          <w:sz w:val="24"/>
          <w:szCs w:val="24"/>
        </w:rPr>
        <w:t>中国</w:t>
      </w:r>
      <w:r>
        <w:rPr>
          <w:bCs/>
          <w:sz w:val="24"/>
          <w:szCs w:val="24"/>
        </w:rPr>
        <w:tab/>
      </w:r>
      <w:r>
        <w:rPr>
          <w:bCs/>
          <w:sz w:val="24"/>
          <w:szCs w:val="24"/>
        </w:rPr>
        <w:t>指中华人民共和国（仅为《基金合同》目的不包括香港特别行政区、澳门特别行政区及台湾地区）</w:t>
      </w:r>
    </w:p>
    <w:p w14:paraId="2BE9B650" w14:textId="77777777" w:rsidR="0037652E" w:rsidRDefault="00BF49B0">
      <w:pPr>
        <w:tabs>
          <w:tab w:val="left" w:pos="180"/>
        </w:tabs>
        <w:spacing w:line="360" w:lineRule="auto"/>
        <w:ind w:leftChars="200" w:left="3060" w:hangingChars="1100" w:hanging="2640"/>
        <w:rPr>
          <w:bCs/>
          <w:sz w:val="24"/>
          <w:szCs w:val="24"/>
        </w:rPr>
      </w:pPr>
      <w:r>
        <w:rPr>
          <w:bCs/>
          <w:sz w:val="24"/>
          <w:szCs w:val="24"/>
        </w:rPr>
        <w:t>法律法规</w:t>
      </w:r>
      <w:r>
        <w:rPr>
          <w:bCs/>
          <w:sz w:val="24"/>
          <w:szCs w:val="24"/>
        </w:rPr>
        <w:tab/>
      </w:r>
      <w:r>
        <w:rPr>
          <w:bCs/>
          <w:sz w:val="24"/>
          <w:szCs w:val="24"/>
        </w:rPr>
        <w:t>指中国现时有效并公布实施的法律、行政法规、部门规章及规范性文件</w:t>
      </w:r>
    </w:p>
    <w:p w14:paraId="4003F6C6"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《基金法》</w:t>
      </w:r>
      <w:r>
        <w:rPr>
          <w:bCs/>
          <w:sz w:val="24"/>
          <w:szCs w:val="24"/>
        </w:rPr>
        <w:tab/>
      </w:r>
      <w:r>
        <w:rPr>
          <w:bCs/>
          <w:sz w:val="24"/>
          <w:szCs w:val="24"/>
        </w:rPr>
        <w:t>指《中华人民共和国证券投资基金法》</w:t>
      </w:r>
    </w:p>
    <w:p w14:paraId="731EF05B" w14:textId="77777777" w:rsidR="0037652E" w:rsidRDefault="00BF49B0">
      <w:pPr>
        <w:tabs>
          <w:tab w:val="left" w:pos="180"/>
        </w:tabs>
        <w:spacing w:line="360" w:lineRule="auto"/>
        <w:ind w:leftChars="200" w:left="3060" w:hangingChars="1100" w:hanging="2640"/>
        <w:rPr>
          <w:bCs/>
          <w:sz w:val="24"/>
          <w:szCs w:val="24"/>
        </w:rPr>
      </w:pPr>
      <w:r>
        <w:rPr>
          <w:bCs/>
          <w:sz w:val="24"/>
          <w:szCs w:val="24"/>
        </w:rPr>
        <w:t>《销售办法》</w:t>
      </w:r>
      <w:r>
        <w:rPr>
          <w:bCs/>
          <w:sz w:val="24"/>
          <w:szCs w:val="24"/>
        </w:rPr>
        <w:tab/>
      </w:r>
      <w:r>
        <w:rPr>
          <w:bCs/>
          <w:sz w:val="24"/>
          <w:szCs w:val="24"/>
        </w:rPr>
        <w:t>指《证券投资基金销售管理办法》</w:t>
      </w:r>
    </w:p>
    <w:p w14:paraId="04F7B884" w14:textId="77777777" w:rsidR="0037652E" w:rsidRDefault="00BF49B0">
      <w:pPr>
        <w:tabs>
          <w:tab w:val="left" w:pos="180"/>
        </w:tabs>
        <w:spacing w:line="360" w:lineRule="auto"/>
        <w:ind w:leftChars="200" w:left="3060" w:hangingChars="1100" w:hanging="2640"/>
        <w:rPr>
          <w:bCs/>
          <w:sz w:val="24"/>
          <w:szCs w:val="24"/>
        </w:rPr>
      </w:pPr>
      <w:r>
        <w:rPr>
          <w:bCs/>
          <w:sz w:val="24"/>
          <w:szCs w:val="24"/>
        </w:rPr>
        <w:t>《运作办法》</w:t>
      </w:r>
      <w:r>
        <w:rPr>
          <w:bCs/>
          <w:sz w:val="24"/>
          <w:szCs w:val="24"/>
        </w:rPr>
        <w:tab/>
      </w:r>
      <w:r>
        <w:rPr>
          <w:bCs/>
          <w:sz w:val="24"/>
          <w:szCs w:val="24"/>
        </w:rPr>
        <w:t>指《公开募集证券投资基金运作管理办法》</w:t>
      </w:r>
    </w:p>
    <w:p w14:paraId="2E6E5155" w14:textId="77777777" w:rsidR="0037652E" w:rsidRDefault="00BF49B0">
      <w:pPr>
        <w:tabs>
          <w:tab w:val="left" w:pos="180"/>
        </w:tabs>
        <w:spacing w:line="360" w:lineRule="auto"/>
        <w:ind w:leftChars="200" w:left="3060" w:hangingChars="1100" w:hanging="2640"/>
        <w:rPr>
          <w:bCs/>
          <w:sz w:val="24"/>
          <w:szCs w:val="24"/>
        </w:rPr>
      </w:pPr>
      <w:r>
        <w:rPr>
          <w:bCs/>
          <w:sz w:val="24"/>
          <w:szCs w:val="24"/>
        </w:rPr>
        <w:t>《信息披露办法》</w:t>
      </w:r>
      <w:r>
        <w:rPr>
          <w:bCs/>
          <w:sz w:val="24"/>
          <w:szCs w:val="24"/>
        </w:rPr>
        <w:tab/>
      </w:r>
      <w:r>
        <w:rPr>
          <w:bCs/>
          <w:sz w:val="24"/>
          <w:szCs w:val="24"/>
        </w:rPr>
        <w:t>指《</w:t>
      </w:r>
      <w:r>
        <w:rPr>
          <w:rFonts w:hint="eastAsia"/>
          <w:bCs/>
          <w:sz w:val="24"/>
          <w:szCs w:val="24"/>
        </w:rPr>
        <w:t>公开募集</w:t>
      </w:r>
      <w:r>
        <w:rPr>
          <w:bCs/>
          <w:sz w:val="24"/>
          <w:szCs w:val="24"/>
        </w:rPr>
        <w:t>证券投资基金信息披露管理办法》</w:t>
      </w:r>
    </w:p>
    <w:p w14:paraId="5932F841" w14:textId="77777777" w:rsidR="0037652E" w:rsidRDefault="00BF49B0">
      <w:pPr>
        <w:tabs>
          <w:tab w:val="left" w:pos="180"/>
        </w:tabs>
        <w:spacing w:line="360" w:lineRule="auto"/>
        <w:ind w:leftChars="200" w:left="3060" w:hangingChars="1100" w:hanging="2640"/>
        <w:rPr>
          <w:bCs/>
          <w:sz w:val="24"/>
          <w:szCs w:val="24"/>
        </w:rPr>
      </w:pPr>
      <w:r>
        <w:rPr>
          <w:bCs/>
          <w:sz w:val="24"/>
          <w:szCs w:val="24"/>
        </w:rPr>
        <w:t>《试行办法》</w:t>
      </w:r>
      <w:r>
        <w:rPr>
          <w:bCs/>
          <w:sz w:val="24"/>
          <w:szCs w:val="24"/>
        </w:rPr>
        <w:tab/>
      </w:r>
      <w:r>
        <w:rPr>
          <w:bCs/>
          <w:sz w:val="24"/>
          <w:szCs w:val="24"/>
        </w:rPr>
        <w:t>指《合格境内机构投资者境外证券投资管理试行办法》</w:t>
      </w:r>
    </w:p>
    <w:p w14:paraId="136AAF4E" w14:textId="77777777" w:rsidR="0037652E" w:rsidRDefault="00BF49B0">
      <w:pPr>
        <w:tabs>
          <w:tab w:val="left" w:pos="180"/>
        </w:tabs>
        <w:spacing w:line="360" w:lineRule="auto"/>
        <w:ind w:leftChars="200" w:left="3060" w:hangingChars="1100" w:hanging="2640"/>
        <w:rPr>
          <w:bCs/>
          <w:sz w:val="24"/>
          <w:szCs w:val="24"/>
        </w:rPr>
      </w:pPr>
      <w:r>
        <w:rPr>
          <w:bCs/>
          <w:sz w:val="24"/>
          <w:szCs w:val="24"/>
        </w:rPr>
        <w:t>《通知》</w:t>
      </w:r>
      <w:r>
        <w:rPr>
          <w:bCs/>
          <w:sz w:val="24"/>
          <w:szCs w:val="24"/>
        </w:rPr>
        <w:tab/>
      </w:r>
      <w:r>
        <w:rPr>
          <w:bCs/>
          <w:sz w:val="24"/>
          <w:szCs w:val="24"/>
        </w:rPr>
        <w:t>《关于实施</w:t>
      </w:r>
      <w:r>
        <w:rPr>
          <w:bCs/>
          <w:sz w:val="24"/>
          <w:szCs w:val="24"/>
        </w:rPr>
        <w:t>&lt;</w:t>
      </w:r>
      <w:r>
        <w:rPr>
          <w:bCs/>
          <w:sz w:val="24"/>
          <w:szCs w:val="24"/>
        </w:rPr>
        <w:t>合格境内机构投资者境外证券投资管理试行办法</w:t>
      </w:r>
      <w:r>
        <w:rPr>
          <w:bCs/>
          <w:sz w:val="24"/>
          <w:szCs w:val="24"/>
        </w:rPr>
        <w:t>&gt;</w:t>
      </w:r>
      <w:r>
        <w:rPr>
          <w:bCs/>
          <w:sz w:val="24"/>
          <w:szCs w:val="24"/>
        </w:rPr>
        <w:t>有关问题的通知》</w:t>
      </w:r>
    </w:p>
    <w:p w14:paraId="7ED40711" w14:textId="77777777" w:rsidR="0037652E" w:rsidRDefault="00BF49B0">
      <w:pPr>
        <w:tabs>
          <w:tab w:val="left" w:pos="180"/>
        </w:tabs>
        <w:spacing w:line="360" w:lineRule="auto"/>
        <w:ind w:leftChars="200" w:left="3060" w:hangingChars="1100" w:hanging="2640"/>
        <w:rPr>
          <w:bCs/>
          <w:sz w:val="24"/>
          <w:szCs w:val="24"/>
        </w:rPr>
      </w:pPr>
      <w:r>
        <w:rPr>
          <w:rFonts w:hint="eastAsia"/>
          <w:bCs/>
          <w:sz w:val="24"/>
          <w:szCs w:val="24"/>
        </w:rPr>
        <w:t>《流动性风险管理规定》</w:t>
      </w:r>
      <w:r>
        <w:rPr>
          <w:bCs/>
          <w:sz w:val="24"/>
          <w:szCs w:val="24"/>
        </w:rPr>
        <w:tab/>
      </w:r>
      <w:r>
        <w:rPr>
          <w:rFonts w:hint="eastAsia"/>
          <w:bCs/>
          <w:sz w:val="24"/>
          <w:szCs w:val="24"/>
        </w:rPr>
        <w:t>指中国证监会</w:t>
      </w:r>
      <w:r>
        <w:rPr>
          <w:rFonts w:hint="eastAsia"/>
          <w:bCs/>
          <w:sz w:val="24"/>
          <w:szCs w:val="24"/>
        </w:rPr>
        <w:t>2017</w:t>
      </w:r>
      <w:r>
        <w:rPr>
          <w:rFonts w:hint="eastAsia"/>
          <w:bCs/>
          <w:sz w:val="24"/>
          <w:szCs w:val="24"/>
        </w:rPr>
        <w:t>年</w:t>
      </w:r>
      <w:r>
        <w:rPr>
          <w:rFonts w:hint="eastAsia"/>
          <w:bCs/>
          <w:sz w:val="24"/>
          <w:szCs w:val="24"/>
        </w:rPr>
        <w:t>8</w:t>
      </w:r>
      <w:r>
        <w:rPr>
          <w:rFonts w:hint="eastAsia"/>
          <w:bCs/>
          <w:sz w:val="24"/>
          <w:szCs w:val="24"/>
        </w:rPr>
        <w:t>月</w:t>
      </w:r>
      <w:r>
        <w:rPr>
          <w:rFonts w:hint="eastAsia"/>
          <w:bCs/>
          <w:sz w:val="24"/>
          <w:szCs w:val="24"/>
        </w:rPr>
        <w:t>31</w:t>
      </w:r>
      <w:r>
        <w:rPr>
          <w:rFonts w:hint="eastAsia"/>
          <w:bCs/>
          <w:sz w:val="24"/>
          <w:szCs w:val="24"/>
        </w:rPr>
        <w:t>日颁布、同年</w:t>
      </w:r>
      <w:r>
        <w:rPr>
          <w:rFonts w:hint="eastAsia"/>
          <w:bCs/>
          <w:sz w:val="24"/>
          <w:szCs w:val="24"/>
        </w:rPr>
        <w:t>10</w:t>
      </w:r>
      <w:r>
        <w:rPr>
          <w:rFonts w:hint="eastAsia"/>
          <w:bCs/>
          <w:sz w:val="24"/>
          <w:szCs w:val="24"/>
        </w:rPr>
        <w:t>月</w:t>
      </w:r>
      <w:r>
        <w:rPr>
          <w:rFonts w:hint="eastAsia"/>
          <w:bCs/>
          <w:sz w:val="24"/>
          <w:szCs w:val="24"/>
        </w:rPr>
        <w:t>1</w:t>
      </w:r>
      <w:r>
        <w:rPr>
          <w:rFonts w:hint="eastAsia"/>
          <w:bCs/>
          <w:sz w:val="24"/>
          <w:szCs w:val="24"/>
        </w:rPr>
        <w:t>日实施的《公开募集开放式证券投资基金流动性风险管理规定》及颁布机关对其不时作出的修订</w:t>
      </w:r>
    </w:p>
    <w:p w14:paraId="27201F2C" w14:textId="77777777" w:rsidR="0037652E" w:rsidRDefault="00BF49B0">
      <w:pPr>
        <w:tabs>
          <w:tab w:val="left" w:pos="180"/>
        </w:tabs>
        <w:spacing w:line="360" w:lineRule="auto"/>
        <w:ind w:leftChars="200" w:left="3060" w:hangingChars="1100" w:hanging="2640"/>
        <w:rPr>
          <w:bCs/>
          <w:sz w:val="24"/>
          <w:szCs w:val="24"/>
        </w:rPr>
      </w:pPr>
      <w:r>
        <w:rPr>
          <w:bCs/>
          <w:sz w:val="24"/>
          <w:szCs w:val="24"/>
        </w:rPr>
        <w:t>元</w:t>
      </w:r>
      <w:r>
        <w:rPr>
          <w:bCs/>
          <w:sz w:val="24"/>
          <w:szCs w:val="24"/>
        </w:rPr>
        <w:tab/>
      </w:r>
      <w:r>
        <w:rPr>
          <w:bCs/>
          <w:sz w:val="24"/>
          <w:szCs w:val="24"/>
        </w:rPr>
        <w:t>指中国法定货币人民币元</w:t>
      </w:r>
    </w:p>
    <w:p w14:paraId="1658A88A"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基金或本基金</w:t>
      </w:r>
      <w:r>
        <w:rPr>
          <w:bCs/>
          <w:sz w:val="24"/>
          <w:szCs w:val="24"/>
        </w:rPr>
        <w:tab/>
      </w:r>
      <w:r>
        <w:rPr>
          <w:bCs/>
          <w:sz w:val="24"/>
          <w:szCs w:val="24"/>
        </w:rPr>
        <w:t>指依据《基金合同》所募集的汇添富黄金及贵金属证券投资基金（</w:t>
      </w:r>
      <w:r>
        <w:rPr>
          <w:bCs/>
          <w:sz w:val="24"/>
          <w:szCs w:val="24"/>
        </w:rPr>
        <w:t>LOF</w:t>
      </w:r>
      <w:r>
        <w:rPr>
          <w:bCs/>
          <w:sz w:val="24"/>
          <w:szCs w:val="24"/>
        </w:rPr>
        <w:t>）</w:t>
      </w:r>
    </w:p>
    <w:p w14:paraId="62466988" w14:textId="77777777" w:rsidR="0037652E" w:rsidRDefault="00BF49B0">
      <w:pPr>
        <w:tabs>
          <w:tab w:val="left" w:pos="180"/>
        </w:tabs>
        <w:spacing w:line="360" w:lineRule="auto"/>
        <w:ind w:leftChars="200" w:left="3060" w:hangingChars="1100" w:hanging="2640"/>
        <w:rPr>
          <w:bCs/>
          <w:sz w:val="24"/>
          <w:szCs w:val="24"/>
        </w:rPr>
      </w:pPr>
      <w:r>
        <w:rPr>
          <w:bCs/>
          <w:sz w:val="24"/>
          <w:szCs w:val="24"/>
        </w:rPr>
        <w:t>《招募说明书》</w:t>
      </w:r>
      <w:r>
        <w:rPr>
          <w:bCs/>
          <w:sz w:val="24"/>
          <w:szCs w:val="24"/>
        </w:rPr>
        <w:t xml:space="preserve">        </w:t>
      </w:r>
      <w:r>
        <w:rPr>
          <w:bCs/>
          <w:sz w:val="24"/>
          <w:szCs w:val="24"/>
        </w:rPr>
        <w:t>指《汇添富黄金及贵金属证券投资基金（</w:t>
      </w:r>
      <w:r>
        <w:rPr>
          <w:bCs/>
          <w:sz w:val="24"/>
          <w:szCs w:val="24"/>
        </w:rPr>
        <w:t>LOF</w:t>
      </w:r>
      <w:r>
        <w:rPr>
          <w:bCs/>
          <w:sz w:val="24"/>
          <w:szCs w:val="24"/>
        </w:rPr>
        <w:t>）招募说明书》，即供基金投资者选择并决定是否提出基金认购或申购申请的要约邀请文件，及其更新</w:t>
      </w:r>
    </w:p>
    <w:p w14:paraId="424B7779" w14:textId="77777777" w:rsidR="0037652E" w:rsidRDefault="00BF49B0">
      <w:pPr>
        <w:tabs>
          <w:tab w:val="left" w:pos="180"/>
        </w:tabs>
        <w:spacing w:line="360" w:lineRule="auto"/>
        <w:ind w:leftChars="200" w:left="3060" w:hangingChars="1100" w:hanging="2640"/>
        <w:rPr>
          <w:bCs/>
          <w:sz w:val="24"/>
          <w:szCs w:val="24"/>
        </w:rPr>
      </w:pPr>
      <w:r>
        <w:rPr>
          <w:bCs/>
          <w:sz w:val="24"/>
          <w:szCs w:val="24"/>
        </w:rPr>
        <w:t>托管协议</w:t>
      </w:r>
      <w:r>
        <w:rPr>
          <w:bCs/>
          <w:sz w:val="24"/>
          <w:szCs w:val="24"/>
        </w:rPr>
        <w:tab/>
      </w:r>
      <w:r>
        <w:rPr>
          <w:bCs/>
          <w:sz w:val="24"/>
          <w:szCs w:val="24"/>
        </w:rPr>
        <w:t>指基金管理人与基金托管人签订的《汇添富黄金及贵金属证券投资基金（</w:t>
      </w:r>
      <w:r>
        <w:rPr>
          <w:bCs/>
          <w:sz w:val="24"/>
          <w:szCs w:val="24"/>
        </w:rPr>
        <w:t>LOF</w:t>
      </w:r>
      <w:r>
        <w:rPr>
          <w:bCs/>
          <w:sz w:val="24"/>
          <w:szCs w:val="24"/>
        </w:rPr>
        <w:t>）托管协议》及其任何有效修订和补充</w:t>
      </w:r>
    </w:p>
    <w:p w14:paraId="64333A77" w14:textId="77777777" w:rsidR="0037652E" w:rsidRDefault="00BF49B0">
      <w:pPr>
        <w:tabs>
          <w:tab w:val="left" w:pos="180"/>
        </w:tabs>
        <w:spacing w:line="360" w:lineRule="auto"/>
        <w:ind w:leftChars="200" w:left="3060" w:hangingChars="1100" w:hanging="2640"/>
        <w:rPr>
          <w:bCs/>
          <w:sz w:val="24"/>
          <w:szCs w:val="24"/>
        </w:rPr>
      </w:pPr>
      <w:r>
        <w:rPr>
          <w:bCs/>
          <w:sz w:val="24"/>
          <w:szCs w:val="24"/>
        </w:rPr>
        <w:lastRenderedPageBreak/>
        <w:t>《发售公告》</w:t>
      </w:r>
      <w:r>
        <w:rPr>
          <w:bCs/>
          <w:sz w:val="24"/>
          <w:szCs w:val="24"/>
        </w:rPr>
        <w:tab/>
      </w:r>
      <w:r>
        <w:rPr>
          <w:bCs/>
          <w:sz w:val="24"/>
          <w:szCs w:val="24"/>
        </w:rPr>
        <w:t>指《汇添富黄金及贵金属证券投资基金（</w:t>
      </w:r>
      <w:r>
        <w:rPr>
          <w:bCs/>
          <w:sz w:val="24"/>
          <w:szCs w:val="24"/>
        </w:rPr>
        <w:t>LOF</w:t>
      </w:r>
      <w:r>
        <w:rPr>
          <w:bCs/>
          <w:sz w:val="24"/>
          <w:szCs w:val="24"/>
        </w:rPr>
        <w:t>）基金份额发售公告》</w:t>
      </w:r>
    </w:p>
    <w:p w14:paraId="1C56DB72" w14:textId="77777777" w:rsidR="0037652E" w:rsidRDefault="00BF49B0">
      <w:pPr>
        <w:tabs>
          <w:tab w:val="left" w:pos="180"/>
        </w:tabs>
        <w:spacing w:line="360" w:lineRule="auto"/>
        <w:ind w:leftChars="200" w:left="3060" w:hangingChars="1100" w:hanging="2640"/>
        <w:rPr>
          <w:bCs/>
          <w:sz w:val="24"/>
          <w:szCs w:val="24"/>
        </w:rPr>
      </w:pPr>
      <w:r>
        <w:rPr>
          <w:rFonts w:hint="eastAsia"/>
          <w:bCs/>
          <w:sz w:val="24"/>
          <w:szCs w:val="24"/>
        </w:rPr>
        <w:t>上市交易公告书</w:t>
      </w:r>
      <w:r>
        <w:rPr>
          <w:rFonts w:hint="eastAsia"/>
          <w:bCs/>
          <w:sz w:val="24"/>
          <w:szCs w:val="24"/>
        </w:rPr>
        <w:t xml:space="preserve">        </w:t>
      </w:r>
      <w:r>
        <w:rPr>
          <w:rFonts w:hint="eastAsia"/>
          <w:bCs/>
          <w:sz w:val="24"/>
          <w:szCs w:val="24"/>
        </w:rPr>
        <w:t>指《</w:t>
      </w:r>
      <w:r>
        <w:rPr>
          <w:bCs/>
          <w:sz w:val="24"/>
          <w:szCs w:val="24"/>
        </w:rPr>
        <w:t>汇添富黄金及贵金属证券投资基金（</w:t>
      </w:r>
      <w:r>
        <w:rPr>
          <w:bCs/>
          <w:sz w:val="24"/>
          <w:szCs w:val="24"/>
        </w:rPr>
        <w:t>LOF</w:t>
      </w:r>
      <w:r>
        <w:rPr>
          <w:bCs/>
          <w:sz w:val="24"/>
          <w:szCs w:val="24"/>
        </w:rPr>
        <w:t>）</w:t>
      </w:r>
      <w:r>
        <w:rPr>
          <w:rFonts w:hint="eastAsia"/>
          <w:bCs/>
          <w:sz w:val="24"/>
          <w:szCs w:val="24"/>
        </w:rPr>
        <w:t>基金份额上市交易公告书》</w:t>
      </w:r>
    </w:p>
    <w:p w14:paraId="4B2D73B0" w14:textId="77777777" w:rsidR="0037652E" w:rsidRDefault="00BF49B0">
      <w:pPr>
        <w:tabs>
          <w:tab w:val="left" w:pos="180"/>
        </w:tabs>
        <w:spacing w:line="360" w:lineRule="auto"/>
        <w:ind w:leftChars="200" w:left="3060" w:hangingChars="1100" w:hanging="2640"/>
        <w:rPr>
          <w:bCs/>
          <w:sz w:val="24"/>
          <w:szCs w:val="24"/>
        </w:rPr>
      </w:pPr>
      <w:r>
        <w:rPr>
          <w:bCs/>
          <w:sz w:val="24"/>
          <w:szCs w:val="24"/>
        </w:rPr>
        <w:t>业务规则</w:t>
      </w:r>
      <w:r>
        <w:rPr>
          <w:bCs/>
          <w:sz w:val="24"/>
          <w:szCs w:val="24"/>
        </w:rPr>
        <w:tab/>
      </w:r>
      <w:r>
        <w:rPr>
          <w:bCs/>
          <w:sz w:val="24"/>
          <w:szCs w:val="24"/>
        </w:rPr>
        <w:t>指</w:t>
      </w:r>
      <w:r>
        <w:rPr>
          <w:rFonts w:hint="eastAsia"/>
          <w:bCs/>
          <w:sz w:val="24"/>
          <w:szCs w:val="24"/>
        </w:rPr>
        <w:t>汇添富基金管理股份有限公司、深圳证券交易所和中国证券登记结算有限责任公司的相关</w:t>
      </w:r>
      <w:r>
        <w:rPr>
          <w:bCs/>
          <w:sz w:val="24"/>
          <w:szCs w:val="24"/>
        </w:rPr>
        <w:t>业务规则</w:t>
      </w:r>
    </w:p>
    <w:p w14:paraId="29BC0786" w14:textId="77777777" w:rsidR="0037652E" w:rsidRDefault="00BF49B0">
      <w:pPr>
        <w:tabs>
          <w:tab w:val="left" w:pos="180"/>
        </w:tabs>
        <w:spacing w:line="360" w:lineRule="auto"/>
        <w:ind w:leftChars="200" w:left="3060" w:hangingChars="1100" w:hanging="2640"/>
        <w:rPr>
          <w:bCs/>
          <w:sz w:val="24"/>
          <w:szCs w:val="24"/>
        </w:rPr>
      </w:pPr>
      <w:r>
        <w:rPr>
          <w:bCs/>
          <w:sz w:val="24"/>
          <w:szCs w:val="24"/>
        </w:rPr>
        <w:t>中国证监会</w:t>
      </w:r>
      <w:r>
        <w:rPr>
          <w:bCs/>
          <w:sz w:val="24"/>
          <w:szCs w:val="24"/>
        </w:rPr>
        <w:tab/>
      </w:r>
      <w:r>
        <w:rPr>
          <w:bCs/>
          <w:sz w:val="24"/>
          <w:szCs w:val="24"/>
        </w:rPr>
        <w:t>指中国证券监督管理委员会</w:t>
      </w:r>
    </w:p>
    <w:p w14:paraId="2D795854" w14:textId="77777777" w:rsidR="0037652E" w:rsidRDefault="00BF49B0">
      <w:pPr>
        <w:tabs>
          <w:tab w:val="left" w:pos="180"/>
        </w:tabs>
        <w:spacing w:line="360" w:lineRule="auto"/>
        <w:ind w:leftChars="200" w:left="3060" w:hangingChars="1100" w:hanging="2640"/>
        <w:rPr>
          <w:bCs/>
          <w:sz w:val="24"/>
          <w:szCs w:val="24"/>
        </w:rPr>
      </w:pPr>
      <w:r>
        <w:rPr>
          <w:bCs/>
          <w:sz w:val="24"/>
          <w:szCs w:val="24"/>
        </w:rPr>
        <w:t>银行监管机构</w:t>
      </w:r>
      <w:r>
        <w:rPr>
          <w:bCs/>
          <w:sz w:val="24"/>
          <w:szCs w:val="24"/>
        </w:rPr>
        <w:tab/>
      </w:r>
      <w:r>
        <w:rPr>
          <w:bCs/>
          <w:sz w:val="24"/>
          <w:szCs w:val="24"/>
        </w:rPr>
        <w:t>指中国银行业监督管理委员会或其他经国务院授权的机构</w:t>
      </w:r>
    </w:p>
    <w:p w14:paraId="233E4E48" w14:textId="77777777" w:rsidR="0037652E" w:rsidRDefault="00BF49B0">
      <w:pPr>
        <w:tabs>
          <w:tab w:val="left" w:pos="180"/>
        </w:tabs>
        <w:spacing w:line="360" w:lineRule="auto"/>
        <w:ind w:leftChars="200" w:left="3060" w:hangingChars="1100" w:hanging="2640"/>
        <w:rPr>
          <w:bCs/>
          <w:sz w:val="24"/>
          <w:szCs w:val="24"/>
        </w:rPr>
      </w:pPr>
      <w:r>
        <w:rPr>
          <w:bCs/>
          <w:sz w:val="24"/>
          <w:szCs w:val="24"/>
        </w:rPr>
        <w:t>外管局</w:t>
      </w:r>
      <w:r>
        <w:rPr>
          <w:bCs/>
          <w:sz w:val="24"/>
          <w:szCs w:val="24"/>
        </w:rPr>
        <w:tab/>
      </w:r>
      <w:r>
        <w:rPr>
          <w:bCs/>
          <w:sz w:val="24"/>
          <w:szCs w:val="24"/>
        </w:rPr>
        <w:t>指国家外汇管理局或其授权的代表机构</w:t>
      </w:r>
    </w:p>
    <w:p w14:paraId="284DE9BD"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基金管理人</w:t>
      </w:r>
      <w:r>
        <w:rPr>
          <w:bCs/>
          <w:sz w:val="24"/>
          <w:szCs w:val="24"/>
        </w:rPr>
        <w:tab/>
      </w:r>
      <w:r>
        <w:rPr>
          <w:bCs/>
          <w:sz w:val="24"/>
          <w:szCs w:val="24"/>
        </w:rPr>
        <w:t>指</w:t>
      </w:r>
      <w:r>
        <w:rPr>
          <w:rFonts w:hint="eastAsia"/>
          <w:bCs/>
          <w:sz w:val="24"/>
          <w:szCs w:val="24"/>
        </w:rPr>
        <w:t>汇添富基金管理股份有限公司</w:t>
      </w:r>
    </w:p>
    <w:p w14:paraId="500CB95F"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基金托管人</w:t>
      </w:r>
      <w:r>
        <w:rPr>
          <w:bCs/>
          <w:sz w:val="24"/>
          <w:szCs w:val="24"/>
        </w:rPr>
        <w:tab/>
      </w:r>
      <w:r>
        <w:rPr>
          <w:bCs/>
          <w:sz w:val="24"/>
          <w:szCs w:val="24"/>
        </w:rPr>
        <w:t>指中国工商银行股份有限公司</w:t>
      </w:r>
    </w:p>
    <w:p w14:paraId="133056D1" w14:textId="77777777" w:rsidR="0037652E" w:rsidRDefault="00BF49B0">
      <w:pPr>
        <w:tabs>
          <w:tab w:val="left" w:pos="180"/>
        </w:tabs>
        <w:spacing w:line="360" w:lineRule="auto"/>
        <w:ind w:leftChars="200" w:left="3060" w:hangingChars="1100" w:hanging="2640"/>
        <w:rPr>
          <w:bCs/>
          <w:sz w:val="24"/>
          <w:szCs w:val="24"/>
        </w:rPr>
      </w:pPr>
      <w:r>
        <w:rPr>
          <w:bCs/>
          <w:sz w:val="24"/>
          <w:szCs w:val="24"/>
        </w:rPr>
        <w:t>境外托管人</w:t>
      </w:r>
      <w:r>
        <w:rPr>
          <w:bCs/>
          <w:sz w:val="24"/>
          <w:szCs w:val="24"/>
        </w:rPr>
        <w:tab/>
      </w:r>
      <w:r>
        <w:rPr>
          <w:bCs/>
          <w:sz w:val="24"/>
          <w:szCs w:val="24"/>
        </w:rPr>
        <w:t>指符合法律法规规定的条件，根据基金托管人与其签订的合同，为本基金提供境外资产托管服务的境外金融机构</w:t>
      </w:r>
    </w:p>
    <w:p w14:paraId="407F5995"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基金份额持有人</w:t>
      </w:r>
      <w:r>
        <w:rPr>
          <w:bCs/>
          <w:sz w:val="24"/>
          <w:szCs w:val="24"/>
        </w:rPr>
        <w:tab/>
      </w:r>
      <w:r>
        <w:rPr>
          <w:bCs/>
          <w:sz w:val="24"/>
          <w:szCs w:val="24"/>
        </w:rPr>
        <w:t>指根据《招募说明书》和《基金合同》及相关文件合法取得本基金基金份额的投资者</w:t>
      </w:r>
    </w:p>
    <w:p w14:paraId="709C71CF"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基金代销机构</w:t>
      </w:r>
      <w:r>
        <w:rPr>
          <w:bCs/>
          <w:sz w:val="24"/>
          <w:szCs w:val="24"/>
        </w:rPr>
        <w:tab/>
      </w:r>
      <w:r>
        <w:rPr>
          <w:bCs/>
          <w:sz w:val="24"/>
          <w:szCs w:val="24"/>
        </w:rPr>
        <w:t>指符合《销售办法》和中国证监会规定的其他条件，取得基金代销业务资格，并与基金管理人签订基金销售与服务代理协议，代为办理本基金发售、申购、赎回和其他基金业务的代理机构</w:t>
      </w:r>
    </w:p>
    <w:p w14:paraId="3CC6F362" w14:textId="77777777" w:rsidR="0037652E" w:rsidRDefault="00BF49B0">
      <w:pPr>
        <w:tabs>
          <w:tab w:val="left" w:pos="180"/>
        </w:tabs>
        <w:spacing w:line="360" w:lineRule="auto"/>
        <w:ind w:leftChars="200" w:left="3060" w:hangingChars="1100" w:hanging="2640"/>
        <w:rPr>
          <w:bCs/>
          <w:sz w:val="24"/>
          <w:szCs w:val="24"/>
        </w:rPr>
      </w:pPr>
      <w:r>
        <w:rPr>
          <w:bCs/>
          <w:sz w:val="24"/>
          <w:szCs w:val="24"/>
        </w:rPr>
        <w:t>销售机构</w:t>
      </w:r>
      <w:r>
        <w:rPr>
          <w:bCs/>
          <w:sz w:val="24"/>
          <w:szCs w:val="24"/>
        </w:rPr>
        <w:tab/>
      </w:r>
      <w:r>
        <w:rPr>
          <w:bCs/>
          <w:sz w:val="24"/>
          <w:szCs w:val="24"/>
        </w:rPr>
        <w:t>指基金管理人及基金代销机构</w:t>
      </w:r>
    </w:p>
    <w:p w14:paraId="3773C0B5"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基金销售网点</w:t>
      </w:r>
      <w:r>
        <w:rPr>
          <w:bCs/>
          <w:sz w:val="24"/>
          <w:szCs w:val="24"/>
        </w:rPr>
        <w:tab/>
      </w:r>
      <w:r>
        <w:rPr>
          <w:bCs/>
          <w:sz w:val="24"/>
          <w:szCs w:val="24"/>
        </w:rPr>
        <w:t>指基金管理人的直销网点及基金代销机构的代销网点</w:t>
      </w:r>
    </w:p>
    <w:p w14:paraId="6EB4ABE1" w14:textId="77777777" w:rsidR="0037652E" w:rsidRDefault="00BF49B0">
      <w:pPr>
        <w:tabs>
          <w:tab w:val="left" w:pos="180"/>
        </w:tabs>
        <w:spacing w:line="360" w:lineRule="auto"/>
        <w:ind w:leftChars="200" w:left="3060" w:hangingChars="1100" w:hanging="2640"/>
        <w:rPr>
          <w:bCs/>
          <w:sz w:val="24"/>
          <w:szCs w:val="24"/>
        </w:rPr>
      </w:pPr>
      <w:r>
        <w:rPr>
          <w:bCs/>
          <w:sz w:val="24"/>
          <w:szCs w:val="24"/>
        </w:rPr>
        <w:t>注册登记业务</w:t>
      </w:r>
      <w:r>
        <w:rPr>
          <w:bCs/>
          <w:sz w:val="24"/>
          <w:szCs w:val="24"/>
        </w:rPr>
        <w:tab/>
      </w:r>
      <w:r>
        <w:rPr>
          <w:bCs/>
          <w:sz w:val="24"/>
          <w:szCs w:val="24"/>
        </w:rPr>
        <w:t>指基金登记、存管、清算和交收业务，具体内容包括投资者基金账户管理、基金份额注册登记、清算及基金交易确认、发放红利、建立并保管基金份额持有人名册等</w:t>
      </w:r>
    </w:p>
    <w:p w14:paraId="2432C58F" w14:textId="42F64122" w:rsidR="0037652E" w:rsidRDefault="00BF49B0">
      <w:pPr>
        <w:tabs>
          <w:tab w:val="left" w:pos="180"/>
        </w:tabs>
        <w:spacing w:line="360" w:lineRule="auto"/>
        <w:ind w:leftChars="200" w:left="3060" w:hangingChars="1100" w:hanging="2640"/>
        <w:rPr>
          <w:bCs/>
          <w:sz w:val="24"/>
          <w:szCs w:val="24"/>
        </w:rPr>
      </w:pPr>
      <w:r>
        <w:rPr>
          <w:bCs/>
          <w:sz w:val="24"/>
          <w:szCs w:val="24"/>
        </w:rPr>
        <w:lastRenderedPageBreak/>
        <w:t>基金注册登记机构</w:t>
      </w:r>
      <w:r>
        <w:rPr>
          <w:bCs/>
          <w:sz w:val="24"/>
          <w:szCs w:val="24"/>
        </w:rPr>
        <w:tab/>
      </w:r>
      <w:r>
        <w:rPr>
          <w:bCs/>
          <w:sz w:val="24"/>
          <w:szCs w:val="24"/>
        </w:rPr>
        <w:t>指</w:t>
      </w:r>
      <w:r>
        <w:rPr>
          <w:rFonts w:hint="eastAsia"/>
          <w:bCs/>
          <w:sz w:val="24"/>
          <w:szCs w:val="24"/>
        </w:rPr>
        <w:t>汇添富基金管理股份有限公司</w:t>
      </w:r>
      <w:r>
        <w:rPr>
          <w:bCs/>
          <w:sz w:val="24"/>
          <w:szCs w:val="24"/>
        </w:rPr>
        <w:t>或其委托的其他符合条件的办理基金注册登记业务的机构</w:t>
      </w:r>
    </w:p>
    <w:p w14:paraId="4AD1CB4D"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《基金合同》当事人</w:t>
      </w:r>
      <w:r>
        <w:rPr>
          <w:bCs/>
          <w:sz w:val="24"/>
          <w:szCs w:val="24"/>
        </w:rPr>
        <w:tab/>
      </w:r>
      <w:r>
        <w:rPr>
          <w:bCs/>
          <w:sz w:val="24"/>
          <w:szCs w:val="24"/>
        </w:rPr>
        <w:t>指受《基金合同》约束，根据《基金合同》享受权利并承担义务的法律主体，包括基金管理人、基金托管人和基金份额持有人</w:t>
      </w:r>
    </w:p>
    <w:p w14:paraId="6D712655" w14:textId="77777777" w:rsidR="0037652E" w:rsidRDefault="00BF49B0">
      <w:pPr>
        <w:tabs>
          <w:tab w:val="left" w:pos="180"/>
        </w:tabs>
        <w:spacing w:line="360" w:lineRule="auto"/>
        <w:ind w:leftChars="200" w:left="3060" w:hangingChars="1100" w:hanging="2640"/>
        <w:rPr>
          <w:bCs/>
          <w:sz w:val="24"/>
          <w:szCs w:val="24"/>
        </w:rPr>
      </w:pPr>
      <w:r>
        <w:rPr>
          <w:bCs/>
          <w:sz w:val="24"/>
          <w:szCs w:val="24"/>
        </w:rPr>
        <w:t>个人投资者</w:t>
      </w:r>
      <w:r>
        <w:rPr>
          <w:bCs/>
          <w:sz w:val="24"/>
          <w:szCs w:val="24"/>
        </w:rPr>
        <w:tab/>
      </w:r>
      <w:r>
        <w:rPr>
          <w:bCs/>
          <w:sz w:val="24"/>
          <w:szCs w:val="24"/>
        </w:rPr>
        <w:t>指符合法律法规规定的条件可以投资开放式证券投资基金的自然人</w:t>
      </w:r>
    </w:p>
    <w:p w14:paraId="28D87128" w14:textId="77777777" w:rsidR="0037652E" w:rsidRDefault="00BF49B0">
      <w:pPr>
        <w:tabs>
          <w:tab w:val="left" w:pos="180"/>
        </w:tabs>
        <w:spacing w:line="360" w:lineRule="auto"/>
        <w:ind w:leftChars="200" w:left="3060" w:hangingChars="1100" w:hanging="2640"/>
        <w:rPr>
          <w:bCs/>
          <w:sz w:val="24"/>
          <w:szCs w:val="24"/>
        </w:rPr>
      </w:pPr>
      <w:r>
        <w:rPr>
          <w:bCs/>
          <w:sz w:val="24"/>
          <w:szCs w:val="24"/>
        </w:rPr>
        <w:t>机构投资者</w:t>
      </w:r>
      <w:r>
        <w:rPr>
          <w:bCs/>
          <w:sz w:val="24"/>
          <w:szCs w:val="24"/>
        </w:rPr>
        <w:tab/>
      </w:r>
      <w:r>
        <w:rPr>
          <w:bCs/>
          <w:sz w:val="24"/>
          <w:szCs w:val="24"/>
        </w:rPr>
        <w:t>指符合法律法规规定可以投资开放式证券投资基金的在中国合法注册登记并存续或经政府有关部门批准设立并存续的企业法人、事业法人、社会团体和其他组织</w:t>
      </w:r>
    </w:p>
    <w:p w14:paraId="1279E320" w14:textId="77777777" w:rsidR="0037652E" w:rsidRDefault="00BF49B0">
      <w:pPr>
        <w:tabs>
          <w:tab w:val="left" w:pos="180"/>
        </w:tabs>
        <w:spacing w:line="360" w:lineRule="auto"/>
        <w:ind w:leftChars="200" w:left="3060" w:hangingChars="1100" w:hanging="2640"/>
        <w:rPr>
          <w:bCs/>
          <w:sz w:val="24"/>
          <w:szCs w:val="24"/>
        </w:rPr>
      </w:pPr>
      <w:r>
        <w:rPr>
          <w:bCs/>
          <w:sz w:val="24"/>
          <w:szCs w:val="24"/>
        </w:rPr>
        <w:t>投资者</w:t>
      </w:r>
      <w:r>
        <w:rPr>
          <w:bCs/>
          <w:sz w:val="24"/>
          <w:szCs w:val="24"/>
        </w:rPr>
        <w:tab/>
      </w:r>
      <w:r>
        <w:rPr>
          <w:bCs/>
          <w:sz w:val="24"/>
          <w:szCs w:val="24"/>
        </w:rPr>
        <w:t>指个人投资者、机构投资者和法律法规或中国证监会允许购买开放式证券投资基金的其他投资者的总称</w:t>
      </w:r>
    </w:p>
    <w:p w14:paraId="690B0310"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基金合同生效日</w:t>
      </w:r>
      <w:r>
        <w:rPr>
          <w:bCs/>
          <w:sz w:val="24"/>
          <w:szCs w:val="24"/>
        </w:rPr>
        <w:tab/>
      </w:r>
      <w:r>
        <w:rPr>
          <w:bCs/>
          <w:sz w:val="24"/>
          <w:szCs w:val="24"/>
        </w:rPr>
        <w:t>基金募集达到法律规定及《基金合同》约定的条件，基金管理人聘请法定机构验资并办理完毕基金备案手续，获得中国证监会书面确认之日</w:t>
      </w:r>
    </w:p>
    <w:p w14:paraId="66815EBE"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基金中基金</w:t>
      </w:r>
      <w:r>
        <w:rPr>
          <w:bCs/>
          <w:sz w:val="24"/>
          <w:szCs w:val="24"/>
        </w:rPr>
        <w:t xml:space="preserve">         </w:t>
      </w:r>
      <w:r>
        <w:rPr>
          <w:rFonts w:hint="eastAsia"/>
          <w:bCs/>
          <w:sz w:val="24"/>
          <w:szCs w:val="24"/>
        </w:rPr>
        <w:t xml:space="preserve">  </w:t>
      </w:r>
      <w:r>
        <w:rPr>
          <w:bCs/>
          <w:sz w:val="24"/>
          <w:szCs w:val="24"/>
        </w:rPr>
        <w:t xml:space="preserve"> </w:t>
      </w:r>
      <w:r>
        <w:rPr>
          <w:bCs/>
          <w:sz w:val="24"/>
          <w:szCs w:val="24"/>
        </w:rPr>
        <w:t>指投资对象为证券投资基金的基金，其投资组合由各种基金组成</w:t>
      </w:r>
    </w:p>
    <w:p w14:paraId="0C1C8860" w14:textId="77777777" w:rsidR="0037652E" w:rsidRDefault="00BF49B0">
      <w:pPr>
        <w:tabs>
          <w:tab w:val="left" w:pos="180"/>
        </w:tabs>
        <w:spacing w:line="360" w:lineRule="auto"/>
        <w:ind w:leftChars="200" w:left="3060" w:hangingChars="1100" w:hanging="2640"/>
        <w:rPr>
          <w:bCs/>
          <w:sz w:val="24"/>
          <w:szCs w:val="24"/>
        </w:rPr>
      </w:pPr>
      <w:r>
        <w:rPr>
          <w:bCs/>
          <w:sz w:val="24"/>
          <w:szCs w:val="24"/>
        </w:rPr>
        <w:t>募集期</w:t>
      </w:r>
      <w:r>
        <w:rPr>
          <w:bCs/>
          <w:sz w:val="24"/>
          <w:szCs w:val="24"/>
        </w:rPr>
        <w:tab/>
      </w:r>
      <w:r>
        <w:rPr>
          <w:bCs/>
          <w:sz w:val="24"/>
          <w:szCs w:val="24"/>
        </w:rPr>
        <w:t>指自基金份额发售之日起不超过</w:t>
      </w:r>
      <w:r>
        <w:rPr>
          <w:bCs/>
          <w:sz w:val="24"/>
          <w:szCs w:val="24"/>
        </w:rPr>
        <w:t>3</w:t>
      </w:r>
      <w:r>
        <w:rPr>
          <w:bCs/>
          <w:sz w:val="24"/>
          <w:szCs w:val="24"/>
        </w:rPr>
        <w:t>个月的期限</w:t>
      </w:r>
    </w:p>
    <w:p w14:paraId="3DA88D30"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基金存续期</w:t>
      </w:r>
      <w:r>
        <w:rPr>
          <w:bCs/>
          <w:sz w:val="24"/>
          <w:szCs w:val="24"/>
        </w:rPr>
        <w:tab/>
      </w:r>
      <w:r>
        <w:rPr>
          <w:bCs/>
          <w:sz w:val="24"/>
          <w:szCs w:val="24"/>
        </w:rPr>
        <w:t>指《基金合同》生效后合法存续的不定期之期间</w:t>
      </w:r>
    </w:p>
    <w:p w14:paraId="063D3AC4" w14:textId="77777777" w:rsidR="0037652E" w:rsidRDefault="00BF49B0">
      <w:pPr>
        <w:tabs>
          <w:tab w:val="left" w:pos="180"/>
        </w:tabs>
        <w:spacing w:line="360" w:lineRule="auto"/>
        <w:ind w:leftChars="200" w:left="3060" w:hangingChars="1100" w:hanging="2640"/>
        <w:rPr>
          <w:bCs/>
          <w:sz w:val="24"/>
          <w:szCs w:val="24"/>
        </w:rPr>
      </w:pPr>
      <w:r>
        <w:rPr>
          <w:bCs/>
          <w:sz w:val="24"/>
          <w:szCs w:val="24"/>
        </w:rPr>
        <w:t>日</w:t>
      </w:r>
      <w:r>
        <w:rPr>
          <w:bCs/>
          <w:sz w:val="24"/>
          <w:szCs w:val="24"/>
        </w:rPr>
        <w:t>/</w:t>
      </w:r>
      <w:r>
        <w:rPr>
          <w:bCs/>
          <w:sz w:val="24"/>
          <w:szCs w:val="24"/>
        </w:rPr>
        <w:t>天</w:t>
      </w:r>
      <w:r>
        <w:rPr>
          <w:bCs/>
          <w:sz w:val="24"/>
          <w:szCs w:val="24"/>
        </w:rPr>
        <w:tab/>
      </w:r>
      <w:r>
        <w:rPr>
          <w:bCs/>
          <w:sz w:val="24"/>
          <w:szCs w:val="24"/>
        </w:rPr>
        <w:t>指公历日</w:t>
      </w:r>
    </w:p>
    <w:p w14:paraId="760419E3" w14:textId="77777777" w:rsidR="0037652E" w:rsidRDefault="00BF49B0">
      <w:pPr>
        <w:tabs>
          <w:tab w:val="left" w:pos="180"/>
        </w:tabs>
        <w:spacing w:line="360" w:lineRule="auto"/>
        <w:ind w:leftChars="200" w:left="3060" w:hangingChars="1100" w:hanging="2640"/>
        <w:rPr>
          <w:bCs/>
          <w:sz w:val="24"/>
          <w:szCs w:val="24"/>
        </w:rPr>
      </w:pPr>
      <w:r>
        <w:rPr>
          <w:bCs/>
          <w:sz w:val="24"/>
          <w:szCs w:val="24"/>
        </w:rPr>
        <w:t>月</w:t>
      </w:r>
      <w:r>
        <w:rPr>
          <w:bCs/>
          <w:sz w:val="24"/>
          <w:szCs w:val="24"/>
        </w:rPr>
        <w:tab/>
      </w:r>
      <w:r>
        <w:rPr>
          <w:bCs/>
          <w:sz w:val="24"/>
          <w:szCs w:val="24"/>
        </w:rPr>
        <w:t>指公历月</w:t>
      </w:r>
    </w:p>
    <w:p w14:paraId="16620B82" w14:textId="77777777" w:rsidR="0037652E" w:rsidRDefault="00BF49B0">
      <w:pPr>
        <w:tabs>
          <w:tab w:val="left" w:pos="180"/>
        </w:tabs>
        <w:spacing w:line="360" w:lineRule="auto"/>
        <w:ind w:leftChars="200" w:left="3060" w:hangingChars="1100" w:hanging="2640"/>
        <w:rPr>
          <w:bCs/>
          <w:sz w:val="24"/>
          <w:szCs w:val="24"/>
        </w:rPr>
      </w:pPr>
      <w:r>
        <w:rPr>
          <w:bCs/>
          <w:sz w:val="24"/>
          <w:szCs w:val="24"/>
        </w:rPr>
        <w:t>工作日</w:t>
      </w:r>
      <w:r>
        <w:rPr>
          <w:bCs/>
          <w:sz w:val="24"/>
          <w:szCs w:val="24"/>
        </w:rPr>
        <w:tab/>
      </w:r>
      <w:r>
        <w:rPr>
          <w:bCs/>
          <w:sz w:val="24"/>
          <w:szCs w:val="24"/>
        </w:rPr>
        <w:t>指上海证券交易所和深圳证券交易所的正常交易日</w:t>
      </w:r>
    </w:p>
    <w:p w14:paraId="4A603F63" w14:textId="77777777" w:rsidR="0037652E" w:rsidRDefault="00BF49B0">
      <w:pPr>
        <w:tabs>
          <w:tab w:val="left" w:pos="180"/>
        </w:tabs>
        <w:spacing w:line="360" w:lineRule="auto"/>
        <w:ind w:leftChars="200" w:left="3060" w:hangingChars="1100" w:hanging="2640"/>
        <w:rPr>
          <w:bCs/>
          <w:sz w:val="24"/>
          <w:szCs w:val="24"/>
        </w:rPr>
      </w:pPr>
      <w:r>
        <w:rPr>
          <w:bCs/>
          <w:sz w:val="24"/>
          <w:szCs w:val="24"/>
        </w:rPr>
        <w:t>开放日</w:t>
      </w:r>
      <w:r>
        <w:rPr>
          <w:bCs/>
          <w:sz w:val="24"/>
          <w:szCs w:val="24"/>
        </w:rPr>
        <w:tab/>
      </w:r>
      <w:r>
        <w:rPr>
          <w:bCs/>
          <w:sz w:val="24"/>
          <w:szCs w:val="24"/>
        </w:rPr>
        <w:t>指销售机构办理本基金份额申购、赎回等业务的工作日</w:t>
      </w:r>
    </w:p>
    <w:p w14:paraId="696C858A" w14:textId="77777777" w:rsidR="0037652E" w:rsidRDefault="00BF49B0">
      <w:pPr>
        <w:tabs>
          <w:tab w:val="left" w:pos="180"/>
        </w:tabs>
        <w:spacing w:line="360" w:lineRule="auto"/>
        <w:ind w:leftChars="200" w:left="3060" w:hangingChars="1100" w:hanging="2640"/>
        <w:rPr>
          <w:bCs/>
          <w:sz w:val="24"/>
          <w:szCs w:val="24"/>
        </w:rPr>
      </w:pPr>
      <w:r>
        <w:rPr>
          <w:bCs/>
          <w:sz w:val="24"/>
          <w:szCs w:val="24"/>
        </w:rPr>
        <w:t>T</w:t>
      </w:r>
      <w:r>
        <w:rPr>
          <w:bCs/>
          <w:sz w:val="24"/>
          <w:szCs w:val="24"/>
        </w:rPr>
        <w:t>日</w:t>
      </w:r>
      <w:r>
        <w:rPr>
          <w:bCs/>
          <w:sz w:val="24"/>
          <w:szCs w:val="24"/>
        </w:rPr>
        <w:tab/>
      </w:r>
      <w:r>
        <w:rPr>
          <w:bCs/>
          <w:sz w:val="24"/>
          <w:szCs w:val="24"/>
        </w:rPr>
        <w:t>指申购、赎回或办理其他基金业务的申请日</w:t>
      </w:r>
    </w:p>
    <w:p w14:paraId="034BF167" w14:textId="77777777" w:rsidR="0037652E" w:rsidRDefault="00BF49B0">
      <w:pPr>
        <w:tabs>
          <w:tab w:val="left" w:pos="180"/>
        </w:tabs>
        <w:spacing w:line="360" w:lineRule="auto"/>
        <w:ind w:leftChars="200" w:left="3060" w:hangingChars="1100" w:hanging="2640"/>
        <w:rPr>
          <w:bCs/>
          <w:sz w:val="24"/>
          <w:szCs w:val="24"/>
        </w:rPr>
      </w:pPr>
      <w:r>
        <w:rPr>
          <w:bCs/>
          <w:sz w:val="24"/>
          <w:szCs w:val="24"/>
        </w:rPr>
        <w:t>T+n</w:t>
      </w:r>
      <w:r>
        <w:rPr>
          <w:bCs/>
          <w:sz w:val="24"/>
          <w:szCs w:val="24"/>
        </w:rPr>
        <w:t>日</w:t>
      </w:r>
      <w:r>
        <w:rPr>
          <w:bCs/>
          <w:sz w:val="24"/>
          <w:szCs w:val="24"/>
        </w:rPr>
        <w:tab/>
      </w:r>
      <w:r>
        <w:rPr>
          <w:bCs/>
          <w:sz w:val="24"/>
          <w:szCs w:val="24"/>
        </w:rPr>
        <w:t>指自</w:t>
      </w:r>
      <w:r>
        <w:rPr>
          <w:bCs/>
          <w:sz w:val="24"/>
          <w:szCs w:val="24"/>
        </w:rPr>
        <w:t>T</w:t>
      </w:r>
      <w:r>
        <w:rPr>
          <w:bCs/>
          <w:sz w:val="24"/>
          <w:szCs w:val="24"/>
        </w:rPr>
        <w:t>日起第</w:t>
      </w:r>
      <w:r>
        <w:rPr>
          <w:bCs/>
          <w:sz w:val="24"/>
          <w:szCs w:val="24"/>
        </w:rPr>
        <w:t>n</w:t>
      </w:r>
      <w:r>
        <w:rPr>
          <w:bCs/>
          <w:sz w:val="24"/>
          <w:szCs w:val="24"/>
        </w:rPr>
        <w:t>个工作日（不包含</w:t>
      </w:r>
      <w:r>
        <w:rPr>
          <w:bCs/>
          <w:sz w:val="24"/>
          <w:szCs w:val="24"/>
        </w:rPr>
        <w:t>T</w:t>
      </w:r>
      <w:r>
        <w:rPr>
          <w:bCs/>
          <w:sz w:val="24"/>
          <w:szCs w:val="24"/>
        </w:rPr>
        <w:t>日）</w:t>
      </w:r>
    </w:p>
    <w:p w14:paraId="1378AFF9" w14:textId="77777777" w:rsidR="0037652E" w:rsidRDefault="00BF49B0">
      <w:pPr>
        <w:tabs>
          <w:tab w:val="left" w:pos="180"/>
        </w:tabs>
        <w:spacing w:line="360" w:lineRule="auto"/>
        <w:ind w:leftChars="200" w:left="3060" w:hangingChars="1100" w:hanging="2640"/>
        <w:rPr>
          <w:bCs/>
          <w:sz w:val="24"/>
          <w:szCs w:val="24"/>
        </w:rPr>
      </w:pPr>
      <w:r>
        <w:rPr>
          <w:bCs/>
          <w:sz w:val="24"/>
          <w:szCs w:val="24"/>
        </w:rPr>
        <w:lastRenderedPageBreak/>
        <w:t>认购</w:t>
      </w:r>
      <w:r>
        <w:rPr>
          <w:bCs/>
          <w:sz w:val="24"/>
          <w:szCs w:val="24"/>
        </w:rPr>
        <w:tab/>
      </w:r>
      <w:r>
        <w:rPr>
          <w:bCs/>
          <w:sz w:val="24"/>
          <w:szCs w:val="24"/>
        </w:rPr>
        <w:t>指在本基金募集期内投资者购买本基金基金份额的行为</w:t>
      </w:r>
    </w:p>
    <w:p w14:paraId="180395BD" w14:textId="77777777" w:rsidR="0037652E" w:rsidRDefault="00BF49B0">
      <w:pPr>
        <w:tabs>
          <w:tab w:val="left" w:pos="180"/>
        </w:tabs>
        <w:spacing w:line="360" w:lineRule="auto"/>
        <w:ind w:leftChars="200" w:left="3060" w:hangingChars="1100" w:hanging="2640"/>
        <w:rPr>
          <w:bCs/>
          <w:sz w:val="24"/>
          <w:szCs w:val="24"/>
        </w:rPr>
      </w:pPr>
      <w:r>
        <w:rPr>
          <w:bCs/>
          <w:sz w:val="24"/>
          <w:szCs w:val="24"/>
        </w:rPr>
        <w:t>发售</w:t>
      </w:r>
      <w:r>
        <w:rPr>
          <w:bCs/>
          <w:sz w:val="24"/>
          <w:szCs w:val="24"/>
        </w:rPr>
        <w:tab/>
      </w:r>
      <w:r>
        <w:rPr>
          <w:bCs/>
          <w:sz w:val="24"/>
          <w:szCs w:val="24"/>
        </w:rPr>
        <w:t>指在本基金募集期内，销售机构向投资者销售本基金份额的行为</w:t>
      </w:r>
    </w:p>
    <w:p w14:paraId="5C943991" w14:textId="77777777" w:rsidR="0037652E" w:rsidRDefault="00BF49B0">
      <w:pPr>
        <w:tabs>
          <w:tab w:val="left" w:pos="180"/>
        </w:tabs>
        <w:spacing w:line="360" w:lineRule="auto"/>
        <w:ind w:leftChars="200" w:left="3060" w:hangingChars="1100" w:hanging="2640"/>
        <w:rPr>
          <w:bCs/>
          <w:sz w:val="24"/>
          <w:szCs w:val="24"/>
        </w:rPr>
      </w:pPr>
      <w:r>
        <w:rPr>
          <w:bCs/>
          <w:sz w:val="24"/>
          <w:szCs w:val="24"/>
        </w:rPr>
        <w:t>申购</w:t>
      </w:r>
      <w:r>
        <w:rPr>
          <w:bCs/>
          <w:sz w:val="24"/>
          <w:szCs w:val="24"/>
        </w:rPr>
        <w:tab/>
      </w:r>
      <w:r>
        <w:rPr>
          <w:bCs/>
          <w:sz w:val="24"/>
          <w:szCs w:val="24"/>
        </w:rPr>
        <w:t>指《基金合同》生效后，投资者根据基金销售网点规定的手续，向基金管理人购买基金份额的行为。本基金的日常申购自《基金合同》生效后不超过</w:t>
      </w:r>
      <w:r>
        <w:rPr>
          <w:bCs/>
          <w:sz w:val="24"/>
          <w:szCs w:val="24"/>
        </w:rPr>
        <w:t>3</w:t>
      </w:r>
      <w:r>
        <w:rPr>
          <w:bCs/>
          <w:sz w:val="24"/>
          <w:szCs w:val="24"/>
        </w:rPr>
        <w:t>个月的时间开始办理</w:t>
      </w:r>
    </w:p>
    <w:p w14:paraId="3D715B93" w14:textId="77777777" w:rsidR="0037652E" w:rsidRDefault="00BF49B0">
      <w:pPr>
        <w:tabs>
          <w:tab w:val="left" w:pos="180"/>
        </w:tabs>
        <w:spacing w:line="360" w:lineRule="auto"/>
        <w:ind w:leftChars="200" w:left="3060" w:hangingChars="1100" w:hanging="2640"/>
        <w:rPr>
          <w:bCs/>
          <w:sz w:val="24"/>
          <w:szCs w:val="24"/>
        </w:rPr>
      </w:pPr>
      <w:r>
        <w:rPr>
          <w:bCs/>
          <w:sz w:val="24"/>
          <w:szCs w:val="24"/>
        </w:rPr>
        <w:t>赎回</w:t>
      </w:r>
      <w:r>
        <w:rPr>
          <w:bCs/>
          <w:sz w:val="24"/>
          <w:szCs w:val="24"/>
        </w:rPr>
        <w:tab/>
      </w:r>
      <w:r>
        <w:rPr>
          <w:bCs/>
          <w:sz w:val="24"/>
          <w:szCs w:val="24"/>
        </w:rPr>
        <w:t>指《基金合同》生效后，基金份额持有人根据基金销售网点规定的手续，向基金管理人卖出基金份额的行为。本基金的日常赎回自《基金合同》生效后不超过</w:t>
      </w:r>
      <w:r>
        <w:rPr>
          <w:bCs/>
          <w:sz w:val="24"/>
          <w:szCs w:val="24"/>
        </w:rPr>
        <w:t>3</w:t>
      </w:r>
      <w:r>
        <w:rPr>
          <w:bCs/>
          <w:sz w:val="24"/>
          <w:szCs w:val="24"/>
        </w:rPr>
        <w:t>个月的时间开始办理</w:t>
      </w:r>
    </w:p>
    <w:p w14:paraId="40D2DF75" w14:textId="77777777" w:rsidR="0037652E" w:rsidRDefault="00BF49B0">
      <w:pPr>
        <w:tabs>
          <w:tab w:val="left" w:pos="180"/>
        </w:tabs>
        <w:spacing w:line="360" w:lineRule="auto"/>
        <w:ind w:leftChars="200" w:left="3060" w:hangingChars="1100" w:hanging="2640"/>
        <w:rPr>
          <w:bCs/>
          <w:sz w:val="24"/>
          <w:szCs w:val="24"/>
        </w:rPr>
      </w:pPr>
      <w:r>
        <w:rPr>
          <w:bCs/>
          <w:sz w:val="24"/>
          <w:szCs w:val="24"/>
        </w:rPr>
        <w:t>巨额赎回</w:t>
      </w:r>
      <w:r>
        <w:rPr>
          <w:bCs/>
          <w:sz w:val="24"/>
          <w:szCs w:val="24"/>
        </w:rPr>
        <w:tab/>
      </w:r>
      <w:r>
        <w:rPr>
          <w:bCs/>
          <w:sz w:val="24"/>
          <w:szCs w:val="24"/>
        </w:rPr>
        <w:t>指在单个开放日，本基金的基金份额净赎回申请（赎回申请总数加上基金转换中转出申请份额总数后扣除申购申请总数及基金转换中转入申请份额总数后的余额）超过上一日本基金总份额的</w:t>
      </w:r>
      <w:r>
        <w:rPr>
          <w:bCs/>
          <w:sz w:val="24"/>
          <w:szCs w:val="24"/>
        </w:rPr>
        <w:t>10%</w:t>
      </w:r>
      <w:r>
        <w:rPr>
          <w:bCs/>
          <w:sz w:val="24"/>
          <w:szCs w:val="24"/>
        </w:rPr>
        <w:t>时的情形</w:t>
      </w:r>
    </w:p>
    <w:p w14:paraId="74D36929" w14:textId="77777777" w:rsidR="0037652E" w:rsidRDefault="00BF49B0">
      <w:pPr>
        <w:tabs>
          <w:tab w:val="left" w:pos="180"/>
        </w:tabs>
        <w:spacing w:line="360" w:lineRule="auto"/>
        <w:ind w:leftChars="200" w:left="3060" w:hangingChars="1100" w:hanging="2640"/>
        <w:rPr>
          <w:bCs/>
          <w:sz w:val="24"/>
          <w:szCs w:val="24"/>
        </w:rPr>
      </w:pPr>
      <w:r>
        <w:rPr>
          <w:rFonts w:hint="eastAsia"/>
          <w:bCs/>
          <w:sz w:val="24"/>
          <w:szCs w:val="24"/>
        </w:rPr>
        <w:t>上市交易</w:t>
      </w:r>
      <w:r>
        <w:rPr>
          <w:rFonts w:hint="eastAsia"/>
          <w:bCs/>
          <w:sz w:val="24"/>
          <w:szCs w:val="24"/>
        </w:rPr>
        <w:t xml:space="preserve">              </w:t>
      </w:r>
      <w:r>
        <w:rPr>
          <w:rFonts w:hint="eastAsia"/>
          <w:bCs/>
          <w:sz w:val="24"/>
          <w:szCs w:val="24"/>
        </w:rPr>
        <w:t>基金合同生效后投资者通过深圳证券交易所会员单位以集中竞价的方式买卖基金份额的行为</w:t>
      </w:r>
    </w:p>
    <w:p w14:paraId="6D764C0B" w14:textId="77777777" w:rsidR="0037652E" w:rsidRDefault="00BF49B0">
      <w:pPr>
        <w:tabs>
          <w:tab w:val="left" w:pos="180"/>
        </w:tabs>
        <w:spacing w:line="360" w:lineRule="auto"/>
        <w:ind w:leftChars="200" w:left="3060" w:hangingChars="1100" w:hanging="2640"/>
        <w:rPr>
          <w:bCs/>
          <w:sz w:val="24"/>
          <w:szCs w:val="24"/>
        </w:rPr>
      </w:pPr>
      <w:r>
        <w:rPr>
          <w:rFonts w:hint="eastAsia"/>
          <w:bCs/>
          <w:sz w:val="24"/>
          <w:szCs w:val="24"/>
        </w:rPr>
        <w:t>场外</w:t>
      </w:r>
      <w:r>
        <w:rPr>
          <w:rFonts w:hint="eastAsia"/>
          <w:bCs/>
          <w:sz w:val="24"/>
          <w:szCs w:val="24"/>
        </w:rPr>
        <w:t xml:space="preserve">                  </w:t>
      </w:r>
      <w:r>
        <w:rPr>
          <w:rFonts w:hint="eastAsia"/>
          <w:bCs/>
          <w:sz w:val="24"/>
          <w:szCs w:val="24"/>
        </w:rPr>
        <w:t>通过深圳证券交易所外的销售机构办理基金份额认购、申购和赎回的场所。通过该等场所办理基金份额的认购、申购、赎回也称为场外认购、场外申购、场外赎回</w:t>
      </w:r>
    </w:p>
    <w:p w14:paraId="6E502F77" w14:textId="77777777" w:rsidR="0037652E" w:rsidRDefault="00BF49B0">
      <w:pPr>
        <w:tabs>
          <w:tab w:val="left" w:pos="180"/>
        </w:tabs>
        <w:spacing w:line="360" w:lineRule="auto"/>
        <w:ind w:leftChars="200" w:left="3060" w:hangingChars="1100" w:hanging="2640"/>
        <w:rPr>
          <w:bCs/>
          <w:sz w:val="24"/>
          <w:szCs w:val="24"/>
        </w:rPr>
      </w:pPr>
      <w:r>
        <w:rPr>
          <w:rFonts w:hint="eastAsia"/>
          <w:bCs/>
          <w:sz w:val="24"/>
          <w:szCs w:val="24"/>
        </w:rPr>
        <w:t>场内</w:t>
      </w:r>
      <w:r>
        <w:rPr>
          <w:rFonts w:hint="eastAsia"/>
          <w:bCs/>
          <w:sz w:val="24"/>
          <w:szCs w:val="24"/>
        </w:rPr>
        <w:t xml:space="preserve">                 </w:t>
      </w:r>
      <w:r>
        <w:rPr>
          <w:rFonts w:hint="eastAsia"/>
          <w:bCs/>
          <w:sz w:val="24"/>
          <w:szCs w:val="24"/>
        </w:rPr>
        <w:t>通过深圳证券交易所内具有相应业务资格的会员单位利用交易所交易系统办理基金份额认购、申购、赎回和上市交易的场所。通过该等场所办理基金份额的认购、申购、赎回也称为场内认购、场内申购、场内赎回</w:t>
      </w:r>
    </w:p>
    <w:p w14:paraId="1539D09C"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基金账户</w:t>
      </w:r>
      <w:r>
        <w:rPr>
          <w:bCs/>
          <w:sz w:val="24"/>
          <w:szCs w:val="24"/>
        </w:rPr>
        <w:tab/>
      </w:r>
      <w:r>
        <w:rPr>
          <w:bCs/>
          <w:sz w:val="24"/>
          <w:szCs w:val="24"/>
        </w:rPr>
        <w:t>指基金注册登记机构给投资者开立的用于记录投</w:t>
      </w:r>
      <w:r>
        <w:rPr>
          <w:bCs/>
          <w:sz w:val="24"/>
          <w:szCs w:val="24"/>
        </w:rPr>
        <w:lastRenderedPageBreak/>
        <w:t>资者持有基金管理人管理的开放式基金份额情况的账户</w:t>
      </w:r>
    </w:p>
    <w:p w14:paraId="6604A532" w14:textId="77777777" w:rsidR="0037652E" w:rsidRDefault="00BF49B0">
      <w:pPr>
        <w:tabs>
          <w:tab w:val="left" w:pos="180"/>
        </w:tabs>
        <w:spacing w:line="360" w:lineRule="auto"/>
        <w:ind w:leftChars="200" w:left="3060" w:hangingChars="1100" w:hanging="2640"/>
        <w:rPr>
          <w:bCs/>
          <w:sz w:val="24"/>
          <w:szCs w:val="24"/>
        </w:rPr>
      </w:pPr>
      <w:r>
        <w:rPr>
          <w:bCs/>
          <w:sz w:val="24"/>
          <w:szCs w:val="24"/>
        </w:rPr>
        <w:t>交易账户</w:t>
      </w:r>
      <w:r>
        <w:rPr>
          <w:bCs/>
          <w:sz w:val="24"/>
          <w:szCs w:val="24"/>
        </w:rPr>
        <w:tab/>
      </w:r>
      <w:r>
        <w:rPr>
          <w:bCs/>
          <w:sz w:val="24"/>
          <w:szCs w:val="24"/>
        </w:rPr>
        <w:t>指各销售机构为投资者开立的记录投资者通过该销售机构办理认购、申购、赎回、转换及转托管等业务而引起的基金份额的变动及结余情况的账户</w:t>
      </w:r>
    </w:p>
    <w:p w14:paraId="5B4255AA" w14:textId="77777777" w:rsidR="0037652E" w:rsidRDefault="00BF49B0">
      <w:pPr>
        <w:tabs>
          <w:tab w:val="left" w:pos="180"/>
        </w:tabs>
        <w:spacing w:line="360" w:lineRule="auto"/>
        <w:ind w:leftChars="200" w:left="3060" w:hangingChars="1100" w:hanging="2640"/>
        <w:rPr>
          <w:bCs/>
          <w:sz w:val="24"/>
          <w:szCs w:val="24"/>
        </w:rPr>
      </w:pPr>
      <w:r>
        <w:rPr>
          <w:bCs/>
          <w:sz w:val="24"/>
          <w:szCs w:val="24"/>
        </w:rPr>
        <w:t>转托管</w:t>
      </w:r>
      <w:r>
        <w:rPr>
          <w:bCs/>
          <w:sz w:val="24"/>
          <w:szCs w:val="24"/>
        </w:rPr>
        <w:tab/>
      </w:r>
      <w:r>
        <w:rPr>
          <w:bCs/>
          <w:sz w:val="24"/>
          <w:szCs w:val="24"/>
        </w:rPr>
        <w:t>指投资者将其持有的同一基金账户下的基金份额从某一交易账户转入另一交易账户的业务</w:t>
      </w:r>
    </w:p>
    <w:p w14:paraId="1ADD472F" w14:textId="08E73F33" w:rsidR="0037652E" w:rsidRDefault="00BF49B0">
      <w:pPr>
        <w:tabs>
          <w:tab w:val="left" w:pos="180"/>
        </w:tabs>
        <w:spacing w:line="360" w:lineRule="auto"/>
        <w:ind w:leftChars="200" w:left="3060" w:hangingChars="1100" w:hanging="2640"/>
        <w:rPr>
          <w:bCs/>
          <w:sz w:val="24"/>
          <w:szCs w:val="24"/>
        </w:rPr>
      </w:pPr>
      <w:r>
        <w:rPr>
          <w:rFonts w:hint="eastAsia"/>
          <w:bCs/>
          <w:sz w:val="24"/>
          <w:szCs w:val="24"/>
        </w:rPr>
        <w:t>注册登记系统</w:t>
      </w:r>
      <w:r>
        <w:rPr>
          <w:rFonts w:hint="eastAsia"/>
          <w:bCs/>
          <w:sz w:val="24"/>
          <w:szCs w:val="24"/>
        </w:rPr>
        <w:t xml:space="preserve">          </w:t>
      </w:r>
      <w:r>
        <w:rPr>
          <w:rFonts w:hint="eastAsia"/>
          <w:bCs/>
          <w:sz w:val="24"/>
          <w:szCs w:val="24"/>
        </w:rPr>
        <w:t>中国证券登记结算有限责任公司开放式基金登记结算系统</w:t>
      </w:r>
      <w:r w:rsidR="00C91487" w:rsidRPr="00C91487">
        <w:rPr>
          <w:rFonts w:hint="eastAsia"/>
          <w:bCs/>
          <w:sz w:val="24"/>
          <w:szCs w:val="24"/>
        </w:rPr>
        <w:t>或汇添富基金管理股份有限公司注册登记系统</w:t>
      </w:r>
    </w:p>
    <w:p w14:paraId="3600832F" w14:textId="77777777" w:rsidR="0037652E" w:rsidRDefault="00BF49B0">
      <w:pPr>
        <w:tabs>
          <w:tab w:val="left" w:pos="180"/>
        </w:tabs>
        <w:spacing w:line="360" w:lineRule="auto"/>
        <w:ind w:leftChars="200" w:left="3060" w:hangingChars="1100" w:hanging="2640"/>
        <w:rPr>
          <w:bCs/>
          <w:sz w:val="24"/>
          <w:szCs w:val="24"/>
        </w:rPr>
      </w:pPr>
      <w:r>
        <w:rPr>
          <w:rFonts w:hint="eastAsia"/>
          <w:bCs/>
          <w:sz w:val="24"/>
          <w:szCs w:val="24"/>
        </w:rPr>
        <w:t>证券登记结算系统</w:t>
      </w:r>
      <w:r>
        <w:rPr>
          <w:rFonts w:hint="eastAsia"/>
          <w:bCs/>
          <w:sz w:val="24"/>
          <w:szCs w:val="24"/>
        </w:rPr>
        <w:t xml:space="preserve">      </w:t>
      </w:r>
      <w:r>
        <w:rPr>
          <w:rFonts w:hint="eastAsia"/>
          <w:bCs/>
          <w:sz w:val="24"/>
          <w:szCs w:val="24"/>
        </w:rPr>
        <w:t>中国证券登记结算有限责任公司深圳分公司证券登记结算系统</w:t>
      </w:r>
    </w:p>
    <w:p w14:paraId="4CB562E3" w14:textId="77777777" w:rsidR="0037652E" w:rsidRDefault="00BF49B0">
      <w:pPr>
        <w:tabs>
          <w:tab w:val="left" w:pos="180"/>
        </w:tabs>
        <w:spacing w:line="360" w:lineRule="auto"/>
        <w:ind w:leftChars="200" w:left="3060" w:hangingChars="1100" w:hanging="2640"/>
        <w:rPr>
          <w:bCs/>
          <w:sz w:val="24"/>
          <w:szCs w:val="24"/>
        </w:rPr>
      </w:pPr>
      <w:r>
        <w:rPr>
          <w:rFonts w:hint="eastAsia"/>
          <w:bCs/>
          <w:sz w:val="24"/>
          <w:szCs w:val="24"/>
        </w:rPr>
        <w:t>场外份额</w:t>
      </w:r>
      <w:r>
        <w:rPr>
          <w:rFonts w:hint="eastAsia"/>
          <w:bCs/>
          <w:sz w:val="24"/>
          <w:szCs w:val="24"/>
        </w:rPr>
        <w:t xml:space="preserve">              </w:t>
      </w:r>
      <w:r>
        <w:rPr>
          <w:rFonts w:hint="eastAsia"/>
          <w:bCs/>
          <w:sz w:val="24"/>
          <w:szCs w:val="24"/>
        </w:rPr>
        <w:t>登记在注册登记系统下的基金份额</w:t>
      </w:r>
    </w:p>
    <w:p w14:paraId="659F7CDF" w14:textId="77777777" w:rsidR="0037652E" w:rsidRDefault="00BF49B0">
      <w:pPr>
        <w:tabs>
          <w:tab w:val="left" w:pos="180"/>
        </w:tabs>
        <w:spacing w:line="360" w:lineRule="auto"/>
        <w:ind w:leftChars="200" w:left="3060" w:hangingChars="1100" w:hanging="2640"/>
        <w:rPr>
          <w:bCs/>
          <w:sz w:val="24"/>
          <w:szCs w:val="24"/>
        </w:rPr>
      </w:pPr>
      <w:r>
        <w:rPr>
          <w:rFonts w:hint="eastAsia"/>
          <w:bCs/>
          <w:sz w:val="24"/>
          <w:szCs w:val="24"/>
        </w:rPr>
        <w:t>场内份额</w:t>
      </w:r>
      <w:r>
        <w:rPr>
          <w:rFonts w:hint="eastAsia"/>
          <w:bCs/>
          <w:sz w:val="24"/>
          <w:szCs w:val="24"/>
        </w:rPr>
        <w:t xml:space="preserve">              </w:t>
      </w:r>
      <w:r>
        <w:rPr>
          <w:rFonts w:hint="eastAsia"/>
          <w:bCs/>
          <w:sz w:val="24"/>
          <w:szCs w:val="24"/>
        </w:rPr>
        <w:t>登记在证券登记结算系统下的基金份额</w:t>
      </w:r>
    </w:p>
    <w:p w14:paraId="3286721F" w14:textId="77777777" w:rsidR="0037652E" w:rsidRDefault="00BF49B0">
      <w:pPr>
        <w:tabs>
          <w:tab w:val="left" w:pos="180"/>
        </w:tabs>
        <w:spacing w:line="360" w:lineRule="auto"/>
        <w:ind w:leftChars="200" w:left="3060" w:hangingChars="1100" w:hanging="2640"/>
        <w:rPr>
          <w:bCs/>
          <w:sz w:val="24"/>
          <w:szCs w:val="24"/>
        </w:rPr>
      </w:pPr>
      <w:r>
        <w:rPr>
          <w:rFonts w:hint="eastAsia"/>
          <w:bCs/>
          <w:sz w:val="24"/>
          <w:szCs w:val="24"/>
        </w:rPr>
        <w:t>系统内转托管</w:t>
      </w:r>
      <w:r>
        <w:rPr>
          <w:rFonts w:hint="eastAsia"/>
          <w:bCs/>
          <w:sz w:val="24"/>
          <w:szCs w:val="24"/>
        </w:rPr>
        <w:t xml:space="preserve">          </w:t>
      </w:r>
      <w:r>
        <w:rPr>
          <w:rFonts w:hint="eastAsia"/>
          <w:bCs/>
          <w:sz w:val="24"/>
          <w:szCs w:val="24"/>
        </w:rPr>
        <w:t>基金份额持有人将其持有的基金份额在注册登记系统内不同销售机构（网点）之间或证券登记结算系统内不同会员单位（席位）之间进行转托管的行为</w:t>
      </w:r>
    </w:p>
    <w:p w14:paraId="6AD4D372" w14:textId="614B86F1" w:rsidR="0037652E" w:rsidRDefault="00BF49B0">
      <w:pPr>
        <w:tabs>
          <w:tab w:val="left" w:pos="180"/>
        </w:tabs>
        <w:spacing w:line="360" w:lineRule="auto"/>
        <w:ind w:leftChars="200" w:left="3060" w:hangingChars="1100" w:hanging="2640"/>
        <w:rPr>
          <w:bCs/>
          <w:sz w:val="24"/>
          <w:szCs w:val="24"/>
        </w:rPr>
      </w:pPr>
      <w:r>
        <w:rPr>
          <w:rFonts w:hint="eastAsia"/>
          <w:bCs/>
          <w:sz w:val="24"/>
          <w:szCs w:val="24"/>
        </w:rPr>
        <w:t>跨系统转登记</w:t>
      </w:r>
      <w:r>
        <w:rPr>
          <w:rFonts w:hint="eastAsia"/>
          <w:bCs/>
          <w:sz w:val="24"/>
          <w:szCs w:val="24"/>
        </w:rPr>
        <w:t xml:space="preserve">          </w:t>
      </w:r>
      <w:r>
        <w:rPr>
          <w:rFonts w:hint="eastAsia"/>
          <w:bCs/>
          <w:sz w:val="24"/>
          <w:szCs w:val="24"/>
        </w:rPr>
        <w:t>基金份额持有人将其持有的</w:t>
      </w:r>
      <w:r w:rsidR="00DF3EDC" w:rsidRPr="00DF3EDC">
        <w:rPr>
          <w:rFonts w:hint="eastAsia"/>
          <w:bCs/>
          <w:sz w:val="24"/>
          <w:szCs w:val="24"/>
        </w:rPr>
        <w:t>A</w:t>
      </w:r>
      <w:r w:rsidR="00DF3EDC" w:rsidRPr="00DF3EDC">
        <w:rPr>
          <w:rFonts w:hint="eastAsia"/>
          <w:bCs/>
          <w:sz w:val="24"/>
          <w:szCs w:val="24"/>
        </w:rPr>
        <w:t>类</w:t>
      </w:r>
      <w:r>
        <w:rPr>
          <w:rFonts w:hint="eastAsia"/>
          <w:bCs/>
          <w:sz w:val="24"/>
          <w:szCs w:val="24"/>
        </w:rPr>
        <w:t>基金份额在注册登记系统和证券登记结算系统之间进行转登记的行为</w:t>
      </w:r>
      <w:r w:rsidR="00DF3EDC" w:rsidRPr="00DF3EDC">
        <w:rPr>
          <w:rFonts w:hint="eastAsia"/>
          <w:bCs/>
          <w:sz w:val="24"/>
          <w:szCs w:val="24"/>
        </w:rPr>
        <w:t>。除非基金管理人另行公告，本基金不支持</w:t>
      </w:r>
      <w:r w:rsidR="00DF3EDC" w:rsidRPr="00DF3EDC">
        <w:rPr>
          <w:rFonts w:hint="eastAsia"/>
          <w:bCs/>
          <w:sz w:val="24"/>
          <w:szCs w:val="24"/>
        </w:rPr>
        <w:t>C</w:t>
      </w:r>
      <w:r w:rsidR="00DF3EDC" w:rsidRPr="00DF3EDC">
        <w:rPr>
          <w:rFonts w:hint="eastAsia"/>
          <w:bCs/>
          <w:sz w:val="24"/>
          <w:szCs w:val="24"/>
        </w:rPr>
        <w:t>类基金份额进行跨系统转登记</w:t>
      </w:r>
    </w:p>
    <w:p w14:paraId="01C0A17F"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基金转换</w:t>
      </w:r>
      <w:r>
        <w:rPr>
          <w:bCs/>
          <w:sz w:val="24"/>
          <w:szCs w:val="24"/>
        </w:rPr>
        <w:tab/>
      </w:r>
      <w:r>
        <w:rPr>
          <w:bCs/>
          <w:sz w:val="24"/>
          <w:szCs w:val="24"/>
        </w:rPr>
        <w:t>指投资者向基金管理人提出申请将其所持有的基金管理人管理的任一开放式基金（转出基金）的全部或部分基金份额转换为基金管理人管理的任何其他开放式基金（转入基金）的基金份额的行为</w:t>
      </w:r>
    </w:p>
    <w:p w14:paraId="560039F6" w14:textId="77777777" w:rsidR="0037652E" w:rsidRDefault="00BF49B0">
      <w:pPr>
        <w:tabs>
          <w:tab w:val="left" w:pos="180"/>
        </w:tabs>
        <w:spacing w:line="360" w:lineRule="auto"/>
        <w:ind w:leftChars="200" w:left="3060" w:hangingChars="1100" w:hanging="2640"/>
        <w:rPr>
          <w:bCs/>
          <w:sz w:val="24"/>
          <w:szCs w:val="24"/>
        </w:rPr>
      </w:pPr>
      <w:r>
        <w:rPr>
          <w:bCs/>
          <w:sz w:val="24"/>
          <w:szCs w:val="24"/>
        </w:rPr>
        <w:t>定期定额投资计划</w:t>
      </w:r>
      <w:r>
        <w:rPr>
          <w:bCs/>
          <w:sz w:val="24"/>
          <w:szCs w:val="24"/>
        </w:rPr>
        <w:tab/>
      </w:r>
      <w:r>
        <w:rPr>
          <w:bCs/>
          <w:sz w:val="24"/>
          <w:szCs w:val="24"/>
        </w:rPr>
        <w:t>指投资者通过有关销售机构提出申请，约定每期扣款日、扣款金额及扣款方式，由销售机构于每期约定扣款日在投资者指定银行账户内自动完成扣款</w:t>
      </w:r>
      <w:r>
        <w:rPr>
          <w:bCs/>
          <w:sz w:val="24"/>
          <w:szCs w:val="24"/>
        </w:rPr>
        <w:lastRenderedPageBreak/>
        <w:t>及基金申购申请的一种投资方式</w:t>
      </w:r>
    </w:p>
    <w:p w14:paraId="61BC6E61"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基金收益</w:t>
      </w:r>
      <w:r>
        <w:rPr>
          <w:bCs/>
          <w:sz w:val="24"/>
          <w:szCs w:val="24"/>
        </w:rPr>
        <w:tab/>
      </w:r>
      <w:r>
        <w:rPr>
          <w:bCs/>
          <w:sz w:val="24"/>
          <w:szCs w:val="24"/>
        </w:rPr>
        <w:t>指基金投资所得的股票红利、股息、债券利息、票据投资收益、买卖证券差价、银行存款利息以及其他收益和因运用基金财产带来的成本或费用的节约</w:t>
      </w:r>
    </w:p>
    <w:p w14:paraId="14E3722E"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基金资产总值</w:t>
      </w:r>
      <w:r>
        <w:rPr>
          <w:bCs/>
          <w:sz w:val="24"/>
          <w:szCs w:val="24"/>
        </w:rPr>
        <w:tab/>
      </w:r>
      <w:r>
        <w:rPr>
          <w:bCs/>
          <w:sz w:val="24"/>
          <w:szCs w:val="24"/>
        </w:rPr>
        <w:t>指基金所拥有的各类证券及票据价值、银行存款本息和本基金应收的申购基金款以及其他投资所形成的价值总和</w:t>
      </w:r>
    </w:p>
    <w:p w14:paraId="74A01A9C"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基金资产净值</w:t>
      </w:r>
      <w:r>
        <w:rPr>
          <w:bCs/>
          <w:sz w:val="24"/>
          <w:szCs w:val="24"/>
        </w:rPr>
        <w:tab/>
      </w:r>
      <w:r>
        <w:rPr>
          <w:bCs/>
          <w:sz w:val="24"/>
          <w:szCs w:val="24"/>
        </w:rPr>
        <w:t>指基金资产总值扣除负债后的净资产值</w:t>
      </w:r>
    </w:p>
    <w:p w14:paraId="3D29D2F3" w14:textId="77777777" w:rsidR="0037652E" w:rsidRDefault="00BF49B0">
      <w:pPr>
        <w:tabs>
          <w:tab w:val="left" w:pos="180"/>
        </w:tabs>
        <w:spacing w:line="360" w:lineRule="auto"/>
        <w:ind w:leftChars="200" w:left="3060" w:hangingChars="1100" w:hanging="2640"/>
        <w:rPr>
          <w:bCs/>
          <w:sz w:val="24"/>
          <w:szCs w:val="24"/>
        </w:rPr>
      </w:pPr>
      <w:r>
        <w:rPr>
          <w:rFonts w:hint="eastAsia"/>
          <w:bCs/>
          <w:sz w:val="24"/>
          <w:szCs w:val="24"/>
        </w:rPr>
        <w:t>基金份额净值</w:t>
      </w:r>
      <w:r>
        <w:rPr>
          <w:rFonts w:hint="eastAsia"/>
          <w:bCs/>
          <w:sz w:val="24"/>
          <w:szCs w:val="24"/>
        </w:rPr>
        <w:t xml:space="preserve">          </w:t>
      </w:r>
      <w:r>
        <w:rPr>
          <w:rFonts w:hint="eastAsia"/>
          <w:bCs/>
          <w:sz w:val="24"/>
          <w:szCs w:val="24"/>
        </w:rPr>
        <w:t>计算日基金资产净值除以计算日基金份额总数</w:t>
      </w:r>
    </w:p>
    <w:p w14:paraId="088E8CEC" w14:textId="77777777" w:rsidR="0037652E" w:rsidRDefault="00BF49B0">
      <w:pPr>
        <w:tabs>
          <w:tab w:val="left" w:pos="180"/>
        </w:tabs>
        <w:spacing w:line="360" w:lineRule="auto"/>
        <w:ind w:leftChars="200" w:left="3060" w:hangingChars="1100" w:hanging="2640"/>
        <w:rPr>
          <w:bCs/>
          <w:sz w:val="24"/>
          <w:szCs w:val="24"/>
        </w:rPr>
      </w:pPr>
      <w:r>
        <w:rPr>
          <w:bCs/>
          <w:sz w:val="24"/>
          <w:szCs w:val="24"/>
        </w:rPr>
        <w:t>基金资产估值</w:t>
      </w:r>
      <w:r>
        <w:rPr>
          <w:bCs/>
          <w:sz w:val="24"/>
          <w:szCs w:val="24"/>
        </w:rPr>
        <w:tab/>
      </w:r>
      <w:r>
        <w:rPr>
          <w:bCs/>
          <w:sz w:val="24"/>
          <w:szCs w:val="24"/>
        </w:rPr>
        <w:t>指计算评估基金资产和负债的价值，以确定基金资产净值的过程</w:t>
      </w:r>
    </w:p>
    <w:p w14:paraId="4442CFE7" w14:textId="4C7901F2" w:rsidR="005D7D3C" w:rsidRPr="005D7D3C" w:rsidRDefault="005D7D3C" w:rsidP="005D7D3C">
      <w:pPr>
        <w:tabs>
          <w:tab w:val="left" w:pos="180"/>
        </w:tabs>
        <w:spacing w:line="360" w:lineRule="auto"/>
        <w:ind w:leftChars="200" w:left="3060" w:hangingChars="1100" w:hanging="2640"/>
        <w:rPr>
          <w:bCs/>
          <w:sz w:val="24"/>
          <w:szCs w:val="24"/>
        </w:rPr>
      </w:pPr>
      <w:r w:rsidRPr="005D7D3C">
        <w:rPr>
          <w:rFonts w:hint="eastAsia"/>
          <w:bCs/>
          <w:sz w:val="24"/>
          <w:szCs w:val="24"/>
        </w:rPr>
        <w:t>基金份额类别</w:t>
      </w:r>
      <w:r w:rsidRPr="005D7D3C">
        <w:rPr>
          <w:rFonts w:hint="eastAsia"/>
          <w:bCs/>
          <w:sz w:val="24"/>
          <w:szCs w:val="24"/>
        </w:rPr>
        <w:t xml:space="preserve"> </w:t>
      </w:r>
      <w:r w:rsidRPr="005D7D3C">
        <w:rPr>
          <w:bCs/>
          <w:sz w:val="24"/>
          <w:szCs w:val="24"/>
        </w:rPr>
        <w:t xml:space="preserve">         </w:t>
      </w:r>
      <w:r w:rsidRPr="005D7D3C">
        <w:rPr>
          <w:rFonts w:hint="eastAsia"/>
          <w:bCs/>
          <w:sz w:val="24"/>
          <w:szCs w:val="24"/>
        </w:rPr>
        <w:t>指本基金根据申购费用、销售服务费收取方式等事项的不同，将</w:t>
      </w:r>
      <w:r w:rsidR="00150F50">
        <w:rPr>
          <w:rFonts w:hint="eastAsia"/>
          <w:bCs/>
          <w:sz w:val="24"/>
          <w:szCs w:val="24"/>
        </w:rPr>
        <w:t>基金份额</w:t>
      </w:r>
      <w:r w:rsidRPr="005D7D3C">
        <w:rPr>
          <w:rFonts w:hint="eastAsia"/>
          <w:bCs/>
          <w:sz w:val="24"/>
          <w:szCs w:val="24"/>
        </w:rPr>
        <w:t>分为</w:t>
      </w:r>
      <w:r w:rsidRPr="005D7D3C">
        <w:rPr>
          <w:rFonts w:hint="eastAsia"/>
          <w:bCs/>
          <w:sz w:val="24"/>
          <w:szCs w:val="24"/>
        </w:rPr>
        <w:t>A</w:t>
      </w:r>
      <w:r w:rsidRPr="005D7D3C">
        <w:rPr>
          <w:rFonts w:hint="eastAsia"/>
          <w:bCs/>
          <w:sz w:val="24"/>
          <w:szCs w:val="24"/>
        </w:rPr>
        <w:t>类基金份额和</w:t>
      </w:r>
      <w:r w:rsidRPr="005D7D3C">
        <w:rPr>
          <w:rFonts w:hint="eastAsia"/>
          <w:bCs/>
          <w:sz w:val="24"/>
          <w:szCs w:val="24"/>
        </w:rPr>
        <w:t>C</w:t>
      </w:r>
      <w:r w:rsidRPr="005D7D3C">
        <w:rPr>
          <w:rFonts w:hint="eastAsia"/>
          <w:bCs/>
          <w:sz w:val="24"/>
          <w:szCs w:val="24"/>
        </w:rPr>
        <w:t>类基金份额</w:t>
      </w:r>
    </w:p>
    <w:p w14:paraId="522E9B8C" w14:textId="77777777" w:rsidR="005D7D3C" w:rsidRPr="005D7D3C" w:rsidRDefault="005D7D3C" w:rsidP="005D7D3C">
      <w:pPr>
        <w:tabs>
          <w:tab w:val="left" w:pos="180"/>
        </w:tabs>
        <w:spacing w:line="360" w:lineRule="auto"/>
        <w:ind w:leftChars="200" w:left="3060" w:hangingChars="1100" w:hanging="2640"/>
        <w:rPr>
          <w:bCs/>
          <w:sz w:val="24"/>
          <w:szCs w:val="24"/>
        </w:rPr>
      </w:pPr>
      <w:r w:rsidRPr="005D7D3C">
        <w:rPr>
          <w:rFonts w:hint="eastAsia"/>
          <w:bCs/>
          <w:sz w:val="24"/>
          <w:szCs w:val="24"/>
        </w:rPr>
        <w:t>A</w:t>
      </w:r>
      <w:r w:rsidRPr="005D7D3C">
        <w:rPr>
          <w:rFonts w:hint="eastAsia"/>
          <w:bCs/>
          <w:sz w:val="24"/>
          <w:szCs w:val="24"/>
        </w:rPr>
        <w:t>类基金份额</w:t>
      </w:r>
      <w:r w:rsidRPr="005D7D3C">
        <w:rPr>
          <w:rFonts w:hint="eastAsia"/>
          <w:bCs/>
          <w:sz w:val="24"/>
          <w:szCs w:val="24"/>
        </w:rPr>
        <w:t xml:space="preserve"> </w:t>
      </w:r>
      <w:r w:rsidRPr="005D7D3C">
        <w:rPr>
          <w:bCs/>
          <w:sz w:val="24"/>
          <w:szCs w:val="24"/>
        </w:rPr>
        <w:t xml:space="preserve">         </w:t>
      </w:r>
      <w:r w:rsidRPr="005D7D3C">
        <w:rPr>
          <w:rFonts w:hint="eastAsia"/>
          <w:bCs/>
          <w:sz w:val="24"/>
          <w:szCs w:val="24"/>
        </w:rPr>
        <w:t>指在投资者申购时收取申购费用，在赎回时根据持有期限收取赎回费用，但不从本类别基金资产中计提销售服务费的基金份额</w:t>
      </w:r>
    </w:p>
    <w:p w14:paraId="61122066" w14:textId="77777777" w:rsidR="005D7D3C" w:rsidRPr="005D7D3C" w:rsidRDefault="005D7D3C" w:rsidP="005D7D3C">
      <w:pPr>
        <w:tabs>
          <w:tab w:val="left" w:pos="180"/>
        </w:tabs>
        <w:spacing w:line="360" w:lineRule="auto"/>
        <w:ind w:leftChars="200" w:left="3060" w:hangingChars="1100" w:hanging="2640"/>
        <w:rPr>
          <w:bCs/>
          <w:sz w:val="24"/>
          <w:szCs w:val="24"/>
        </w:rPr>
      </w:pPr>
      <w:r w:rsidRPr="005D7D3C">
        <w:rPr>
          <w:rFonts w:hint="eastAsia"/>
          <w:bCs/>
          <w:sz w:val="24"/>
          <w:szCs w:val="24"/>
        </w:rPr>
        <w:t>C</w:t>
      </w:r>
      <w:r w:rsidRPr="005D7D3C">
        <w:rPr>
          <w:rFonts w:hint="eastAsia"/>
          <w:bCs/>
          <w:sz w:val="24"/>
          <w:szCs w:val="24"/>
        </w:rPr>
        <w:t>类基金份额</w:t>
      </w:r>
      <w:r w:rsidRPr="005D7D3C">
        <w:rPr>
          <w:rFonts w:hint="eastAsia"/>
          <w:bCs/>
          <w:sz w:val="24"/>
          <w:szCs w:val="24"/>
        </w:rPr>
        <w:t xml:space="preserve"> </w:t>
      </w:r>
      <w:r w:rsidRPr="005D7D3C">
        <w:rPr>
          <w:bCs/>
          <w:sz w:val="24"/>
          <w:szCs w:val="24"/>
        </w:rPr>
        <w:t xml:space="preserve">         </w:t>
      </w:r>
      <w:r w:rsidRPr="005D7D3C">
        <w:rPr>
          <w:rFonts w:hint="eastAsia"/>
          <w:bCs/>
          <w:sz w:val="24"/>
          <w:szCs w:val="24"/>
        </w:rPr>
        <w:t>指从本类别基金资产中计提销售服务费而不收取申购费用，在赎回时根据持有期限收取赎回费用的基金份额</w:t>
      </w:r>
    </w:p>
    <w:p w14:paraId="006F7010" w14:textId="0F71E165" w:rsidR="005D7D3C" w:rsidRDefault="005D7D3C" w:rsidP="005D7D3C">
      <w:pPr>
        <w:tabs>
          <w:tab w:val="left" w:pos="180"/>
        </w:tabs>
        <w:spacing w:line="360" w:lineRule="auto"/>
        <w:ind w:leftChars="200" w:left="3060" w:hangingChars="1100" w:hanging="2640"/>
        <w:rPr>
          <w:bCs/>
          <w:sz w:val="24"/>
          <w:szCs w:val="24"/>
        </w:rPr>
      </w:pPr>
      <w:r w:rsidRPr="005D7D3C">
        <w:rPr>
          <w:rFonts w:hint="eastAsia"/>
          <w:bCs/>
          <w:sz w:val="24"/>
          <w:szCs w:val="24"/>
        </w:rPr>
        <w:t>销售服务费</w:t>
      </w:r>
      <w:r w:rsidRPr="005D7D3C">
        <w:rPr>
          <w:rFonts w:hint="eastAsia"/>
          <w:bCs/>
          <w:sz w:val="24"/>
          <w:szCs w:val="24"/>
        </w:rPr>
        <w:t xml:space="preserve"> </w:t>
      </w:r>
      <w:r w:rsidRPr="005D7D3C">
        <w:rPr>
          <w:bCs/>
          <w:sz w:val="24"/>
          <w:szCs w:val="24"/>
        </w:rPr>
        <w:t xml:space="preserve">           </w:t>
      </w:r>
      <w:r w:rsidRPr="005D7D3C">
        <w:rPr>
          <w:rFonts w:hint="eastAsia"/>
          <w:bCs/>
          <w:sz w:val="24"/>
          <w:szCs w:val="24"/>
        </w:rPr>
        <w:t>指从基金资产中计提的，用于本基金市场推广、销售以及基金份额持有人服务的费用</w:t>
      </w:r>
    </w:p>
    <w:p w14:paraId="5FC0E8A3" w14:textId="77777777" w:rsidR="0037652E" w:rsidRDefault="00BF49B0">
      <w:pPr>
        <w:tabs>
          <w:tab w:val="left" w:pos="180"/>
        </w:tabs>
        <w:spacing w:line="360" w:lineRule="auto"/>
        <w:ind w:leftChars="200" w:left="3060" w:hangingChars="1100" w:hanging="2640"/>
        <w:rPr>
          <w:bCs/>
          <w:sz w:val="24"/>
          <w:szCs w:val="24"/>
        </w:rPr>
      </w:pPr>
      <w:r>
        <w:rPr>
          <w:bCs/>
          <w:sz w:val="24"/>
          <w:szCs w:val="24"/>
        </w:rPr>
        <w:t>货币市场工具</w:t>
      </w:r>
      <w:r>
        <w:rPr>
          <w:bCs/>
          <w:sz w:val="24"/>
          <w:szCs w:val="24"/>
        </w:rPr>
        <w:tab/>
      </w:r>
      <w:r>
        <w:rPr>
          <w:bCs/>
          <w:sz w:val="24"/>
          <w:szCs w:val="24"/>
        </w:rPr>
        <w:t>指银行存款、可转让存单、银行承兑汇票、银行票据、商业票据、回购协议、短期政府债券等中国证监会、中国人民银行认可的具有良好流动性的金融工具</w:t>
      </w:r>
    </w:p>
    <w:p w14:paraId="06A9AA2F" w14:textId="77777777" w:rsidR="0037652E" w:rsidRDefault="00BF49B0">
      <w:pPr>
        <w:tabs>
          <w:tab w:val="left" w:pos="180"/>
        </w:tabs>
        <w:spacing w:line="360" w:lineRule="auto"/>
        <w:ind w:leftChars="200" w:left="3060" w:hangingChars="1100" w:hanging="2640"/>
        <w:rPr>
          <w:bCs/>
          <w:sz w:val="24"/>
          <w:szCs w:val="24"/>
        </w:rPr>
      </w:pPr>
      <w:r>
        <w:rPr>
          <w:bCs/>
          <w:sz w:val="24"/>
          <w:szCs w:val="24"/>
        </w:rPr>
        <w:t>公司行为信息</w:t>
      </w:r>
      <w:r>
        <w:rPr>
          <w:bCs/>
          <w:sz w:val="24"/>
          <w:szCs w:val="24"/>
        </w:rPr>
        <w:tab/>
      </w:r>
      <w:r>
        <w:rPr>
          <w:bCs/>
          <w:sz w:val="24"/>
          <w:szCs w:val="24"/>
        </w:rPr>
        <w:t>指证券发行人所公告的会或将会影响到基金资产的价值及权益的任何未完成或已完成的行动，及其</w:t>
      </w:r>
      <w:r>
        <w:rPr>
          <w:bCs/>
          <w:sz w:val="24"/>
          <w:szCs w:val="24"/>
        </w:rPr>
        <w:lastRenderedPageBreak/>
        <w:t>他与本基金持仓证券所投资的发行公司有关的重大信息，包括但不限于权益派发、配股、提前赎回等信息</w:t>
      </w:r>
    </w:p>
    <w:p w14:paraId="35F26EF1" w14:textId="77777777" w:rsidR="0037652E" w:rsidRDefault="00BF49B0">
      <w:pPr>
        <w:tabs>
          <w:tab w:val="left" w:pos="180"/>
        </w:tabs>
        <w:spacing w:line="360" w:lineRule="auto"/>
        <w:ind w:leftChars="200" w:left="3060" w:hangingChars="1100" w:hanging="2640"/>
        <w:rPr>
          <w:bCs/>
          <w:sz w:val="24"/>
          <w:szCs w:val="24"/>
        </w:rPr>
      </w:pPr>
      <w:r>
        <w:rPr>
          <w:bCs/>
          <w:sz w:val="24"/>
          <w:szCs w:val="24"/>
        </w:rPr>
        <w:t>指定媒介</w:t>
      </w:r>
      <w:r>
        <w:rPr>
          <w:bCs/>
          <w:sz w:val="24"/>
          <w:szCs w:val="24"/>
        </w:rPr>
        <w:tab/>
      </w:r>
      <w:r>
        <w:rPr>
          <w:rFonts w:hint="eastAsia"/>
          <w:bCs/>
          <w:sz w:val="24"/>
          <w:szCs w:val="24"/>
        </w:rPr>
        <w:t>指中国证监会指定的用以进行信息披露的全国性报刊及指定互联网网站（包括基金管理人网站、基金托管人网站、中国证监会基金电子披露网站）等媒介</w:t>
      </w:r>
    </w:p>
    <w:p w14:paraId="3096F14A" w14:textId="77777777" w:rsidR="0037652E" w:rsidRDefault="00BF49B0">
      <w:pPr>
        <w:tabs>
          <w:tab w:val="left" w:pos="180"/>
        </w:tabs>
        <w:spacing w:line="360" w:lineRule="auto"/>
        <w:ind w:leftChars="200" w:left="3060" w:hangingChars="1100" w:hanging="2640"/>
        <w:rPr>
          <w:bCs/>
          <w:sz w:val="24"/>
          <w:szCs w:val="24"/>
        </w:rPr>
      </w:pPr>
      <w:r>
        <w:rPr>
          <w:bCs/>
          <w:sz w:val="24"/>
          <w:szCs w:val="24"/>
        </w:rPr>
        <w:t>不可抗力</w:t>
      </w:r>
      <w:r>
        <w:rPr>
          <w:bCs/>
          <w:sz w:val="24"/>
          <w:szCs w:val="24"/>
        </w:rPr>
        <w:t xml:space="preserve">              </w:t>
      </w:r>
      <w:r>
        <w:rPr>
          <w:bCs/>
          <w:sz w:val="24"/>
          <w:szCs w:val="24"/>
        </w:rPr>
        <w:t>指本合同当事人不能预见、不能避免且不能克服的客观事件或因素</w:t>
      </w:r>
      <w:r>
        <w:rPr>
          <w:rFonts w:hint="eastAsia"/>
          <w:bCs/>
          <w:sz w:val="24"/>
          <w:szCs w:val="24"/>
        </w:rPr>
        <w:t>，包括但不限于洪水、地震及其他自然灾害、战争、疫情、骚乱、火灾、政府征用、没收、恐怖袭击、传染病传播、法律法规变化</w:t>
      </w:r>
      <w:bookmarkEnd w:id="22"/>
    </w:p>
    <w:p w14:paraId="29B36047" w14:textId="77777777" w:rsidR="0037652E" w:rsidRDefault="00BF49B0">
      <w:pPr>
        <w:tabs>
          <w:tab w:val="left" w:pos="180"/>
        </w:tabs>
        <w:spacing w:line="360" w:lineRule="auto"/>
        <w:ind w:leftChars="200" w:left="3060" w:hangingChars="1100" w:hanging="2640"/>
        <w:rPr>
          <w:rFonts w:ascii="宋体" w:hAnsi="宋体"/>
          <w:sz w:val="24"/>
          <w:szCs w:val="24"/>
        </w:rPr>
      </w:pPr>
      <w:r>
        <w:rPr>
          <w:rFonts w:hint="eastAsia"/>
          <w:bCs/>
          <w:sz w:val="24"/>
          <w:szCs w:val="24"/>
        </w:rPr>
        <w:t>流动性受限资产</w:t>
      </w:r>
      <w:r>
        <w:rPr>
          <w:bCs/>
          <w:sz w:val="24"/>
          <w:szCs w:val="24"/>
        </w:rPr>
        <w:tab/>
      </w:r>
      <w:r>
        <w:rPr>
          <w:rFonts w:hint="eastAsia"/>
          <w:bCs/>
          <w:sz w:val="24"/>
          <w:szCs w:val="24"/>
        </w:rPr>
        <w:t>指由于法律法规、监管、合同或操作障碍等原因无法以合理价格予以变现的资产，包括但不限于到期日在</w:t>
      </w:r>
      <w:r>
        <w:rPr>
          <w:bCs/>
          <w:sz w:val="24"/>
          <w:szCs w:val="24"/>
        </w:rPr>
        <w:t>10</w:t>
      </w:r>
      <w:r>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或交易的债券以及法律法规或中国证监会规定的其他流动性受限资产，如未来法律法规变动，基金管理人在履行适当程序后，可对上述流动性受限资产范围进行调整</w:t>
      </w:r>
    </w:p>
    <w:p w14:paraId="618146B4" w14:textId="77777777" w:rsidR="0037652E" w:rsidRDefault="00BF49B0">
      <w:pPr>
        <w:spacing w:line="360" w:lineRule="auto"/>
        <w:ind w:leftChars="200" w:left="3060" w:hangingChars="1100" w:hanging="2640"/>
        <w:rPr>
          <w:rFonts w:ascii="宋体" w:hAnsi="宋体"/>
          <w:sz w:val="24"/>
          <w:szCs w:val="24"/>
        </w:rPr>
      </w:pPr>
      <w:r>
        <w:rPr>
          <w:rFonts w:ascii="宋体" w:hAnsi="宋体" w:hint="eastAsia"/>
          <w:sz w:val="24"/>
          <w:szCs w:val="24"/>
        </w:rPr>
        <w:t>基金产品资料概要      指《汇添富黄金及贵金属证券投资基金（LOF）基金产品资料概要》及其更新</w:t>
      </w:r>
    </w:p>
    <w:p w14:paraId="37824919" w14:textId="77777777" w:rsidR="0037652E" w:rsidRDefault="00BF49B0">
      <w:pPr>
        <w:tabs>
          <w:tab w:val="left" w:pos="180"/>
        </w:tabs>
        <w:spacing w:line="360" w:lineRule="auto"/>
        <w:ind w:leftChars="200" w:left="3060" w:hangingChars="1100" w:hanging="2640"/>
        <w:rPr>
          <w:bCs/>
          <w:sz w:val="24"/>
          <w:szCs w:val="24"/>
        </w:rPr>
      </w:pPr>
      <w:r>
        <w:rPr>
          <w:rFonts w:hint="eastAsia"/>
          <w:bCs/>
          <w:sz w:val="24"/>
          <w:szCs w:val="24"/>
        </w:rPr>
        <w:t>侧袋机制</w:t>
      </w:r>
      <w:r>
        <w:rPr>
          <w:bCs/>
          <w:sz w:val="24"/>
          <w:szCs w:val="24"/>
        </w:rPr>
        <w:tab/>
      </w:r>
      <w:r>
        <w:rPr>
          <w:rFonts w:hint="eastAsia"/>
          <w:bCs/>
          <w:sz w:val="24"/>
          <w:szCs w:val="24"/>
        </w:rPr>
        <w:t>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1C3B1887" w14:textId="77777777" w:rsidR="0037652E" w:rsidRDefault="00BF49B0">
      <w:pPr>
        <w:tabs>
          <w:tab w:val="left" w:pos="180"/>
        </w:tabs>
        <w:spacing w:line="360" w:lineRule="auto"/>
        <w:ind w:leftChars="200" w:left="3060" w:hangingChars="1100" w:hanging="2640"/>
        <w:rPr>
          <w:kern w:val="0"/>
          <w:sz w:val="24"/>
        </w:rPr>
      </w:pPr>
      <w:r>
        <w:rPr>
          <w:rFonts w:hint="eastAsia"/>
          <w:bCs/>
          <w:sz w:val="24"/>
          <w:szCs w:val="24"/>
        </w:rPr>
        <w:t>特定资产</w:t>
      </w:r>
      <w:r>
        <w:rPr>
          <w:bCs/>
          <w:sz w:val="24"/>
          <w:szCs w:val="24"/>
        </w:rPr>
        <w:tab/>
      </w:r>
      <w:r w:rsidRPr="00890581">
        <w:rPr>
          <w:rFonts w:hint="eastAsia"/>
          <w:bCs/>
          <w:sz w:val="24"/>
          <w:szCs w:val="24"/>
        </w:rPr>
        <w:t>包括：（一）无可参考的活跃市场价格且采用估值技术仍导致公允价值存在重大不确定性的资产；</w:t>
      </w:r>
      <w:r w:rsidRPr="00890581">
        <w:rPr>
          <w:rFonts w:hint="eastAsia"/>
          <w:bCs/>
          <w:sz w:val="24"/>
          <w:szCs w:val="24"/>
        </w:rPr>
        <w:lastRenderedPageBreak/>
        <w:t>（二）按摊余成本计量且计提资产减值准备仍导致资产价值存在重大不确定性的资产；（三）其他资产价值存在重大不确定性的资产</w:t>
      </w:r>
    </w:p>
    <w:p w14:paraId="2228C1B8" w14:textId="77777777" w:rsidR="0037652E" w:rsidRDefault="0037652E">
      <w:pPr>
        <w:spacing w:line="360" w:lineRule="auto"/>
        <w:ind w:leftChars="200" w:left="3060" w:hangingChars="1100" w:hanging="2640"/>
        <w:rPr>
          <w:rFonts w:ascii="宋体" w:hAnsi="宋体"/>
          <w:sz w:val="24"/>
          <w:szCs w:val="24"/>
        </w:rPr>
      </w:pPr>
    </w:p>
    <w:p w14:paraId="109C7F0C" w14:textId="77777777" w:rsidR="0037652E" w:rsidRDefault="0037652E">
      <w:pPr>
        <w:spacing w:line="360" w:lineRule="auto"/>
        <w:rPr>
          <w:rFonts w:ascii="宋体" w:hAnsi="宋体"/>
          <w:sz w:val="24"/>
          <w:szCs w:val="24"/>
        </w:rPr>
      </w:pPr>
    </w:p>
    <w:p w14:paraId="5EC2A29C" w14:textId="77777777" w:rsidR="0037652E" w:rsidRDefault="0037652E">
      <w:pPr>
        <w:spacing w:line="360" w:lineRule="auto"/>
        <w:rPr>
          <w:rFonts w:ascii="宋体" w:hAnsi="宋体"/>
          <w:sz w:val="24"/>
          <w:szCs w:val="24"/>
        </w:rPr>
      </w:pPr>
    </w:p>
    <w:p w14:paraId="6BE51DCD" w14:textId="77777777" w:rsidR="0037652E" w:rsidRDefault="00BF49B0">
      <w:pPr>
        <w:spacing w:line="360" w:lineRule="auto"/>
        <w:ind w:firstLineChars="50" w:firstLine="120"/>
        <w:jc w:val="center"/>
        <w:outlineLvl w:val="0"/>
        <w:rPr>
          <w:rFonts w:ascii="宋体" w:cs="宋体"/>
          <w:kern w:val="0"/>
          <w:sz w:val="24"/>
          <w:szCs w:val="24"/>
        </w:rPr>
      </w:pPr>
      <w:r>
        <w:rPr>
          <w:rFonts w:ascii="宋体" w:hAnsi="宋体" w:hint="eastAsia"/>
          <w:sz w:val="24"/>
          <w:szCs w:val="24"/>
        </w:rPr>
        <w:br w:type="page"/>
      </w:r>
      <w:bookmarkStart w:id="23" w:name="_Toc26185"/>
      <w:bookmarkStart w:id="24" w:name="_Toc65325110"/>
      <w:bookmarkStart w:id="25" w:name="_Toc15063"/>
      <w:bookmarkStart w:id="26" w:name="_Toc110606843"/>
      <w:bookmarkStart w:id="27" w:name="_Toc192080052"/>
      <w:r>
        <w:rPr>
          <w:rFonts w:ascii="宋体" w:hAnsi="宋体" w:hint="eastAsia"/>
          <w:b/>
          <w:sz w:val="24"/>
          <w:szCs w:val="24"/>
        </w:rPr>
        <w:lastRenderedPageBreak/>
        <w:t>第三部分</w:t>
      </w:r>
      <w:r>
        <w:rPr>
          <w:rFonts w:ascii="宋体" w:hAnsi="宋体"/>
          <w:b/>
          <w:sz w:val="24"/>
          <w:szCs w:val="24"/>
        </w:rPr>
        <w:t xml:space="preserve"> </w:t>
      </w:r>
      <w:r>
        <w:rPr>
          <w:rFonts w:ascii="宋体" w:hAnsi="宋体" w:hint="eastAsia"/>
          <w:b/>
          <w:sz w:val="24"/>
          <w:szCs w:val="24"/>
        </w:rPr>
        <w:t>风险揭示</w:t>
      </w:r>
      <w:bookmarkEnd w:id="23"/>
      <w:bookmarkEnd w:id="24"/>
      <w:bookmarkEnd w:id="25"/>
      <w:bookmarkEnd w:id="26"/>
    </w:p>
    <w:p w14:paraId="4FB5273A" w14:textId="77777777" w:rsidR="0037652E" w:rsidRDefault="0037652E">
      <w:pPr>
        <w:tabs>
          <w:tab w:val="left" w:pos="961"/>
        </w:tabs>
        <w:snapToGrid w:val="0"/>
        <w:spacing w:line="360" w:lineRule="auto"/>
        <w:ind w:firstLineChars="200" w:firstLine="420"/>
        <w:rPr>
          <w:bCs/>
          <w:szCs w:val="21"/>
        </w:rPr>
      </w:pPr>
    </w:p>
    <w:p w14:paraId="73AEA952"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本基金为基金中基金，主要投资于纽约、伦敦、苏黎世、多伦多、香港、悉尼等发达证券市场上有实物黄金或其他实物贵金属支持的</w:t>
      </w:r>
      <w:r>
        <w:rPr>
          <w:bCs/>
          <w:sz w:val="24"/>
          <w:szCs w:val="24"/>
        </w:rPr>
        <w:t>ETF</w:t>
      </w:r>
      <w:r>
        <w:rPr>
          <w:rFonts w:hint="eastAsia"/>
          <w:bCs/>
          <w:sz w:val="24"/>
          <w:szCs w:val="24"/>
        </w:rPr>
        <w:t>，基金净值会因为实物黄金或其他实物贵金属价格波动等因素产生波动。基金投资中出现的风险分为如下两类：一是境外投资风险，包括投资标的风险、汇率及外汇管制风险、政治风险、税务风险、法律风险等；二是开放式基金风险，包括利率风险、流动性风险、操作风险、会计核算风险、交易结算风险、技术系统运行风险、通讯风险、不可抗力风险、</w:t>
      </w:r>
      <w:r>
        <w:rPr>
          <w:rFonts w:hint="eastAsia"/>
          <w:bCs/>
          <w:sz w:val="24"/>
          <w:szCs w:val="24"/>
        </w:rPr>
        <w:t>QDII</w:t>
      </w:r>
      <w:r>
        <w:rPr>
          <w:rFonts w:hint="eastAsia"/>
          <w:bCs/>
          <w:sz w:val="24"/>
          <w:szCs w:val="24"/>
        </w:rPr>
        <w:t>基金</w:t>
      </w:r>
      <w:r>
        <w:rPr>
          <w:rFonts w:hint="eastAsia"/>
          <w:bCs/>
          <w:sz w:val="24"/>
          <w:szCs w:val="24"/>
        </w:rPr>
        <w:t>LOF</w:t>
      </w:r>
      <w:r>
        <w:rPr>
          <w:rFonts w:hint="eastAsia"/>
          <w:bCs/>
          <w:sz w:val="24"/>
          <w:szCs w:val="24"/>
        </w:rPr>
        <w:t>模式风险等。</w:t>
      </w:r>
    </w:p>
    <w:p w14:paraId="0EA2930C"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一、境外投资风险</w:t>
      </w:r>
    </w:p>
    <w:p w14:paraId="0DEFE856"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rFonts w:hint="eastAsia"/>
          <w:bCs/>
          <w:sz w:val="24"/>
          <w:szCs w:val="24"/>
        </w:rPr>
        <w:t>、投资标的风险</w:t>
      </w:r>
    </w:p>
    <w:p w14:paraId="47B0EED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本基金主要投资于有实物黄金或其他实物贵金属支持的</w:t>
      </w:r>
      <w:r>
        <w:rPr>
          <w:bCs/>
          <w:sz w:val="24"/>
          <w:szCs w:val="24"/>
        </w:rPr>
        <w:t>ETF</w:t>
      </w:r>
      <w:r>
        <w:rPr>
          <w:rFonts w:hint="eastAsia"/>
          <w:bCs/>
          <w:sz w:val="24"/>
          <w:szCs w:val="24"/>
        </w:rPr>
        <w:t>，该类金融产品的目标是追踪实物黄金或其他实物贵金属价格的走势，因此，实物黄金或其他实物贵金属的价格走势无疑是最大的风险因素。同时，作为一种基于实物黄金或其他实物贵金属的金融工具，因其交易制度、组织架构等也会带来一些特有的风险，包括：二级市场交易价格偏离净值风险、基金发行导致实物黄金或其他实物贵金属价格上涨的风险、实物黄金或其他实物贵金属保管风险等。</w:t>
      </w:r>
    </w:p>
    <w:p w14:paraId="69C70EB5"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）基金份额的净值受实物黄金或其他实物贵金属价格波动影响巨大</w:t>
      </w:r>
    </w:p>
    <w:p w14:paraId="148C31D7"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有实物黄金或其他实物贵金属支持的</w:t>
      </w:r>
      <w:r>
        <w:rPr>
          <w:bCs/>
          <w:sz w:val="24"/>
          <w:szCs w:val="24"/>
        </w:rPr>
        <w:t>ETF</w:t>
      </w:r>
      <w:r>
        <w:rPr>
          <w:rFonts w:hint="eastAsia"/>
          <w:bCs/>
          <w:sz w:val="24"/>
          <w:szCs w:val="24"/>
        </w:rPr>
        <w:t>的投资目标是尽量紧密反映实物黄金或其他实物贵金属的价格表现，这些</w:t>
      </w:r>
      <w:r>
        <w:rPr>
          <w:bCs/>
          <w:sz w:val="24"/>
          <w:szCs w:val="24"/>
        </w:rPr>
        <w:t>ETF</w:t>
      </w:r>
      <w:r>
        <w:rPr>
          <w:rFonts w:hint="eastAsia"/>
          <w:bCs/>
          <w:sz w:val="24"/>
          <w:szCs w:val="24"/>
        </w:rPr>
        <w:t>的净值与其所持有的实物黄金或其他实物贵金属价值有直接关联。过去数年，实物黄金或其他实物贵金属的价格存在着一定的波动性。本基金投资于上述</w:t>
      </w:r>
      <w:r>
        <w:rPr>
          <w:rFonts w:hint="eastAsia"/>
          <w:bCs/>
          <w:sz w:val="24"/>
          <w:szCs w:val="24"/>
        </w:rPr>
        <w:t>ETF</w:t>
      </w:r>
      <w:r>
        <w:rPr>
          <w:rFonts w:hint="eastAsia"/>
          <w:bCs/>
          <w:sz w:val="24"/>
          <w:szCs w:val="24"/>
        </w:rPr>
        <w:t>，使得实物黄金或其他实物贵金属价格波动将间接影响本基金份额净值。</w:t>
      </w:r>
    </w:p>
    <w:p w14:paraId="6160B0C9"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）实物黄金或其他实物贵金属支持的</w:t>
      </w:r>
      <w:r>
        <w:rPr>
          <w:bCs/>
          <w:sz w:val="24"/>
          <w:szCs w:val="24"/>
        </w:rPr>
        <w:t>ETF</w:t>
      </w:r>
      <w:r>
        <w:rPr>
          <w:rFonts w:hint="eastAsia"/>
          <w:bCs/>
          <w:sz w:val="24"/>
          <w:szCs w:val="24"/>
        </w:rPr>
        <w:t>份额在二级市场交易可能偏离其净值</w:t>
      </w:r>
    </w:p>
    <w:p w14:paraId="556B0B4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正常情况下，</w:t>
      </w:r>
      <w:r>
        <w:rPr>
          <w:rFonts w:hint="eastAsia"/>
          <w:bCs/>
          <w:sz w:val="24"/>
          <w:szCs w:val="24"/>
        </w:rPr>
        <w:t>ETF</w:t>
      </w:r>
      <w:r>
        <w:rPr>
          <w:rFonts w:hint="eastAsia"/>
          <w:bCs/>
          <w:sz w:val="24"/>
          <w:szCs w:val="24"/>
        </w:rPr>
        <w:t>交易价格随</w:t>
      </w:r>
      <w:r>
        <w:rPr>
          <w:rFonts w:hint="eastAsia"/>
          <w:bCs/>
          <w:sz w:val="24"/>
          <w:szCs w:val="24"/>
        </w:rPr>
        <w:t>ETF</w:t>
      </w:r>
      <w:r>
        <w:rPr>
          <w:rFonts w:hint="eastAsia"/>
          <w:bCs/>
          <w:sz w:val="24"/>
          <w:szCs w:val="24"/>
        </w:rPr>
        <w:t>份额净值的变动及市场供求而波动。</w:t>
      </w:r>
      <w:r>
        <w:rPr>
          <w:bCs/>
          <w:sz w:val="24"/>
          <w:szCs w:val="24"/>
        </w:rPr>
        <w:t>ETF</w:t>
      </w:r>
      <w:r>
        <w:rPr>
          <w:rFonts w:hint="eastAsia"/>
          <w:bCs/>
          <w:sz w:val="24"/>
          <w:szCs w:val="24"/>
        </w:rPr>
        <w:t>份额可以等于、高于或低于基金份额净值的价格买卖。</w:t>
      </w:r>
      <w:r>
        <w:rPr>
          <w:rFonts w:hint="eastAsia"/>
          <w:bCs/>
          <w:sz w:val="24"/>
          <w:szCs w:val="24"/>
        </w:rPr>
        <w:t>ETF</w:t>
      </w:r>
      <w:r>
        <w:rPr>
          <w:rFonts w:hint="eastAsia"/>
          <w:bCs/>
          <w:sz w:val="24"/>
          <w:szCs w:val="24"/>
        </w:rPr>
        <w:t>交易价格较</w:t>
      </w:r>
      <w:r>
        <w:rPr>
          <w:rFonts w:hint="eastAsia"/>
          <w:bCs/>
          <w:sz w:val="24"/>
          <w:szCs w:val="24"/>
        </w:rPr>
        <w:t>ETF</w:t>
      </w:r>
      <w:r>
        <w:rPr>
          <w:rFonts w:hint="eastAsia"/>
          <w:bCs/>
          <w:sz w:val="24"/>
          <w:szCs w:val="24"/>
        </w:rPr>
        <w:t>份额净值的折价或溢价金额可能会因商品交易所和证券交易所时间不一致等因素而受影响。本基金投资于上述</w:t>
      </w:r>
      <w:r>
        <w:rPr>
          <w:rFonts w:hint="eastAsia"/>
          <w:bCs/>
          <w:sz w:val="24"/>
          <w:szCs w:val="24"/>
        </w:rPr>
        <w:t>ETF</w:t>
      </w:r>
      <w:r>
        <w:rPr>
          <w:rFonts w:hint="eastAsia"/>
          <w:bCs/>
          <w:sz w:val="24"/>
          <w:szCs w:val="24"/>
        </w:rPr>
        <w:t>，基金份额净值随所投资的</w:t>
      </w:r>
      <w:r>
        <w:rPr>
          <w:rFonts w:hint="eastAsia"/>
          <w:bCs/>
          <w:sz w:val="24"/>
          <w:szCs w:val="24"/>
        </w:rPr>
        <w:t>ETF</w:t>
      </w:r>
      <w:r>
        <w:rPr>
          <w:rFonts w:hint="eastAsia"/>
          <w:bCs/>
          <w:sz w:val="24"/>
          <w:szCs w:val="24"/>
        </w:rPr>
        <w:t>资产市值的波动而波动。</w:t>
      </w:r>
    </w:p>
    <w:p w14:paraId="069B763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lastRenderedPageBreak/>
        <w:t>（</w:t>
      </w:r>
      <w:r>
        <w:rPr>
          <w:bCs/>
          <w:sz w:val="24"/>
          <w:szCs w:val="24"/>
        </w:rPr>
        <w:t>3</w:t>
      </w:r>
      <w:r>
        <w:rPr>
          <w:rFonts w:hint="eastAsia"/>
          <w:bCs/>
          <w:sz w:val="24"/>
          <w:szCs w:val="24"/>
        </w:rPr>
        <w:t>）实物黄金或其他实物贵金属支持的</w:t>
      </w:r>
      <w:r>
        <w:rPr>
          <w:bCs/>
          <w:sz w:val="24"/>
          <w:szCs w:val="24"/>
        </w:rPr>
        <w:t>ETF</w:t>
      </w:r>
      <w:r>
        <w:rPr>
          <w:rFonts w:hint="eastAsia"/>
          <w:bCs/>
          <w:sz w:val="24"/>
          <w:szCs w:val="24"/>
        </w:rPr>
        <w:t>在发行过程中带来的影响</w:t>
      </w:r>
    </w:p>
    <w:p w14:paraId="1513A96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实物黄金或其他实物贵金属支持的</w:t>
      </w:r>
      <w:r>
        <w:rPr>
          <w:bCs/>
          <w:sz w:val="24"/>
          <w:szCs w:val="24"/>
        </w:rPr>
        <w:t>ETF</w:t>
      </w:r>
      <w:r>
        <w:rPr>
          <w:rFonts w:hint="eastAsia"/>
          <w:bCs/>
          <w:sz w:val="24"/>
          <w:szCs w:val="24"/>
        </w:rPr>
        <w:t>以实物黄金或其他实物贵金属为基础资产，有多少基金份额被发行在外，就意味着相应有多少实物黄金或其他实物贵金属被收入基金在保管人处开立的账户中。在基金发行初期，授权会员为申购基金，必须大量买入实物黄金或其他实物贵金属并存入保管人处，这无疑将提振对实物黄金或其他实物贵金属现货的需求，造成短期内实物黄金或其他实物贵金属价格上涨。当基金发行完毕，市场需求大量下降，实物黄金或其他实物贵金属的价格和基金份额的净值可能马上下跌。</w:t>
      </w:r>
    </w:p>
    <w:p w14:paraId="2E5774F8"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）实物黄金或其他实物贵金属的保管风险</w:t>
      </w:r>
    </w:p>
    <w:p w14:paraId="6C2F14A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有实物黄金或其他实物贵金属支持的</w:t>
      </w:r>
      <w:r>
        <w:rPr>
          <w:bCs/>
          <w:sz w:val="24"/>
          <w:szCs w:val="24"/>
        </w:rPr>
        <w:t>ETF</w:t>
      </w:r>
      <w:r>
        <w:rPr>
          <w:rFonts w:hint="eastAsia"/>
          <w:bCs/>
          <w:sz w:val="24"/>
          <w:szCs w:val="24"/>
        </w:rPr>
        <w:t>所持有的实物黄金或其他实物贵金属资产可能遭遇丢失、损坏或偷盗的风险。相关</w:t>
      </w:r>
      <w:r>
        <w:rPr>
          <w:bCs/>
          <w:sz w:val="24"/>
          <w:szCs w:val="24"/>
        </w:rPr>
        <w:t>ETF</w:t>
      </w:r>
      <w:r>
        <w:rPr>
          <w:rFonts w:hint="eastAsia"/>
          <w:bCs/>
          <w:sz w:val="24"/>
          <w:szCs w:val="24"/>
        </w:rPr>
        <w:t>的托管人并不对实物黄金或其他实物贵金属进行保险，保管人仅对其保管实物黄金或其他实物贵金属的业务实力情况进行适度保险，而且，托管人也不是保险合约的受益人。因此，若以上实物黄金或其他实物贵金属损失真的发生，本基金可能得不到足够的保险保障。</w:t>
      </w:r>
    </w:p>
    <w:p w14:paraId="65390EBB"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rFonts w:hint="eastAsia"/>
          <w:bCs/>
          <w:sz w:val="24"/>
          <w:szCs w:val="24"/>
        </w:rPr>
        <w:t>、汇率及外汇管制风险</w:t>
      </w:r>
    </w:p>
    <w:p w14:paraId="58F70CB3"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以人民币募集和计价，经过换汇后投资于符合本基金投资范围的以外币计价的全球市场金融工具。外币相对于人民币的汇率变化将会影响本基金以人民币计价的基金资产价值，从而导致基金资产面临潜在风险。此外，部分国家</w:t>
      </w:r>
      <w:r>
        <w:rPr>
          <w:bCs/>
          <w:sz w:val="24"/>
          <w:szCs w:val="24"/>
        </w:rPr>
        <w:t>/</w:t>
      </w:r>
      <w:r>
        <w:rPr>
          <w:rFonts w:hint="eastAsia"/>
          <w:bCs/>
          <w:sz w:val="24"/>
          <w:szCs w:val="24"/>
        </w:rPr>
        <w:t>地区可能对外汇实施管制，从而带来一定的货币汇兑风险。</w:t>
      </w:r>
    </w:p>
    <w:p w14:paraId="18AF1708"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rFonts w:hint="eastAsia"/>
          <w:bCs/>
          <w:sz w:val="24"/>
          <w:szCs w:val="24"/>
        </w:rPr>
        <w:t>、政治管制风险</w:t>
      </w:r>
    </w:p>
    <w:p w14:paraId="101345E2"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不同国家或地区的财政政策、货币政策、产业政策、地区发展政策等宏观政策发生变化，会导致市场波动进而影响基金收益，产生风险；此外，基金所投资的国家</w:t>
      </w:r>
      <w:r>
        <w:rPr>
          <w:bCs/>
          <w:sz w:val="24"/>
          <w:szCs w:val="24"/>
        </w:rPr>
        <w:t>/</w:t>
      </w:r>
      <w:r>
        <w:rPr>
          <w:rFonts w:hint="eastAsia"/>
          <w:bCs/>
          <w:sz w:val="24"/>
          <w:szCs w:val="24"/>
        </w:rPr>
        <w:t>地区可能会不时采取某些管制措施，从而对基金收益以及基金资产带来不利影响。</w:t>
      </w:r>
    </w:p>
    <w:p w14:paraId="4E6C9683"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rFonts w:hint="eastAsia"/>
          <w:bCs/>
          <w:sz w:val="24"/>
          <w:szCs w:val="24"/>
        </w:rPr>
        <w:t>、税务风险</w:t>
      </w:r>
    </w:p>
    <w:p w14:paraId="36D70E43"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由于各个国家</w:t>
      </w:r>
      <w:r>
        <w:rPr>
          <w:bCs/>
          <w:sz w:val="24"/>
          <w:szCs w:val="24"/>
        </w:rPr>
        <w:t>/</w:t>
      </w:r>
      <w:r>
        <w:rPr>
          <w:rFonts w:hint="eastAsia"/>
          <w:bCs/>
          <w:sz w:val="24"/>
          <w:szCs w:val="24"/>
        </w:rPr>
        <w:t>地区在税务方面的法律法规存在一定差异，当投资某个国家</w:t>
      </w:r>
      <w:r>
        <w:rPr>
          <w:bCs/>
          <w:sz w:val="24"/>
          <w:szCs w:val="24"/>
        </w:rPr>
        <w:t>/</w:t>
      </w:r>
      <w:r>
        <w:rPr>
          <w:rFonts w:hint="eastAsia"/>
          <w:bCs/>
          <w:sz w:val="24"/>
          <w:szCs w:val="24"/>
        </w:rPr>
        <w:t>地区市场时，该国家</w:t>
      </w:r>
      <w:r>
        <w:rPr>
          <w:bCs/>
          <w:sz w:val="24"/>
          <w:szCs w:val="24"/>
        </w:rPr>
        <w:t>/</w:t>
      </w:r>
      <w:r>
        <w:rPr>
          <w:rFonts w:hint="eastAsia"/>
          <w:bCs/>
          <w:sz w:val="24"/>
          <w:szCs w:val="24"/>
        </w:rPr>
        <w:t>地区可能会要求基金就股息、利息、资本利得等收益向当地税务机构缴纳税金，该行为会使基金收益受到一定影响。此外，各个国家</w:t>
      </w:r>
      <w:r>
        <w:rPr>
          <w:bCs/>
          <w:sz w:val="24"/>
          <w:szCs w:val="24"/>
        </w:rPr>
        <w:t>/</w:t>
      </w:r>
      <w:r>
        <w:rPr>
          <w:rFonts w:hint="eastAsia"/>
          <w:bCs/>
          <w:sz w:val="24"/>
          <w:szCs w:val="24"/>
        </w:rPr>
        <w:t>地区的税收规定可能发生变化，或者实施具有追溯力的修订，从而导致基金向该国家</w:t>
      </w:r>
      <w:r>
        <w:rPr>
          <w:bCs/>
          <w:sz w:val="24"/>
          <w:szCs w:val="24"/>
        </w:rPr>
        <w:t>/</w:t>
      </w:r>
      <w:r>
        <w:rPr>
          <w:rFonts w:hint="eastAsia"/>
          <w:bCs/>
          <w:sz w:val="24"/>
          <w:szCs w:val="24"/>
        </w:rPr>
        <w:lastRenderedPageBreak/>
        <w:t>地区缴纳在基金销售、估值或者出售投资当日并未预计的额外税项。</w:t>
      </w:r>
    </w:p>
    <w:p w14:paraId="734ADEAD"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rFonts w:hint="eastAsia"/>
          <w:bCs/>
          <w:sz w:val="24"/>
          <w:szCs w:val="24"/>
        </w:rPr>
        <w:t>、法律风险</w:t>
      </w:r>
    </w:p>
    <w:p w14:paraId="1A4D97D9"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由于各个国家</w:t>
      </w:r>
      <w:r>
        <w:rPr>
          <w:bCs/>
          <w:sz w:val="24"/>
          <w:szCs w:val="24"/>
        </w:rPr>
        <w:t>/</w:t>
      </w:r>
      <w:r>
        <w:rPr>
          <w:rFonts w:hint="eastAsia"/>
          <w:bCs/>
          <w:sz w:val="24"/>
          <w:szCs w:val="24"/>
        </w:rPr>
        <w:t>地区适用不同法律法规的原因，可能基金的某些投资行为在部分国家</w:t>
      </w:r>
      <w:r>
        <w:rPr>
          <w:bCs/>
          <w:sz w:val="24"/>
          <w:szCs w:val="24"/>
        </w:rPr>
        <w:t>/</w:t>
      </w:r>
      <w:r>
        <w:rPr>
          <w:rFonts w:hint="eastAsia"/>
          <w:bCs/>
          <w:sz w:val="24"/>
          <w:szCs w:val="24"/>
        </w:rPr>
        <w:t>地区受到限制或合同不能正常执行，或者由于税制、破产制度的改变等法律上的原因，给交易者带来损失的可能性。</w:t>
      </w:r>
    </w:p>
    <w:p w14:paraId="2DC72332"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二、开放式基金风险</w:t>
      </w:r>
    </w:p>
    <w:p w14:paraId="4B9DF3F4"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rFonts w:hint="eastAsia"/>
          <w:bCs/>
          <w:sz w:val="24"/>
          <w:szCs w:val="24"/>
        </w:rPr>
        <w:t>、利率风险</w:t>
      </w:r>
    </w:p>
    <w:p w14:paraId="05A4B9BA"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利率风险是指由于利率变动而导致的证券价格和证券利息的损失。利率风险是货币市场投资所面临的主要风险，国家或地区的利率变动还将影响该地区的经济与汇率等。</w:t>
      </w:r>
    </w:p>
    <w:p w14:paraId="1B75BF22"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rFonts w:hint="eastAsia"/>
          <w:bCs/>
          <w:sz w:val="24"/>
          <w:szCs w:val="24"/>
        </w:rPr>
        <w:t>、流动性风险</w:t>
      </w:r>
    </w:p>
    <w:p w14:paraId="0F32356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流动性风险是指金融资产不能迅速变现，而可能遭受折价损失的风险。由于开放式基金的特殊要求，本基金必须保持一定比例的现金以应付赎回的要求。由于全球证券市场波动性较大，在市场下跌时经常出现交易量急剧减少的情况，如果在这时出现较大数额赎回申请，则基金资产变现困难成本很高，基金面临流动性风险，可能影响基金份额净值。同时，由于本基金涉及跨境交易，其赎回到账期通常需要比国内开放式基金更长的时间。</w:t>
      </w:r>
    </w:p>
    <w:p w14:paraId="1438414F" w14:textId="77777777" w:rsidR="0037652E" w:rsidRDefault="00BF49B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）拟投资市场、行业及资产的流动性风险评估</w:t>
      </w:r>
    </w:p>
    <w:p w14:paraId="4D2E3BB4" w14:textId="77777777" w:rsidR="0037652E" w:rsidRDefault="00BF49B0">
      <w:pPr>
        <w:spacing w:line="360" w:lineRule="auto"/>
        <w:ind w:firstLineChars="200" w:firstLine="480"/>
        <w:rPr>
          <w:bCs/>
          <w:sz w:val="24"/>
        </w:rPr>
      </w:pPr>
      <w:r>
        <w:rPr>
          <w:rFonts w:hint="eastAsia"/>
          <w:bCs/>
          <w:sz w:val="24"/>
          <w:szCs w:val="24"/>
        </w:rPr>
        <w:t>本基金主要投资于有实物黄金或其他实物贵金属支持的</w:t>
      </w:r>
      <w:r>
        <w:rPr>
          <w:bCs/>
          <w:sz w:val="24"/>
          <w:szCs w:val="24"/>
        </w:rPr>
        <w:t>ETF</w:t>
      </w:r>
      <w:r>
        <w:rPr>
          <w:rFonts w:hint="eastAsia"/>
          <w:bCs/>
          <w:sz w:val="24"/>
          <w:szCs w:val="24"/>
        </w:rPr>
        <w:t>，本基金投资于有实物黄金或其他实物贵金属支持的交易所交易基金（</w:t>
      </w:r>
      <w:r>
        <w:rPr>
          <w:rFonts w:hint="eastAsia"/>
          <w:bCs/>
          <w:sz w:val="24"/>
          <w:szCs w:val="24"/>
        </w:rPr>
        <w:t>ETF</w:t>
      </w:r>
      <w:r>
        <w:rPr>
          <w:rFonts w:hint="eastAsia"/>
          <w:bCs/>
          <w:sz w:val="24"/>
          <w:szCs w:val="24"/>
        </w:rPr>
        <w:t>）的比例不低于基金资产的</w:t>
      </w:r>
      <w:r>
        <w:rPr>
          <w:rFonts w:hint="eastAsia"/>
          <w:bCs/>
          <w:sz w:val="24"/>
          <w:szCs w:val="24"/>
        </w:rPr>
        <w:t>90%</w:t>
      </w:r>
      <w:r>
        <w:rPr>
          <w:rFonts w:hint="eastAsia"/>
          <w:bCs/>
          <w:sz w:val="24"/>
          <w:szCs w:val="24"/>
        </w:rPr>
        <w:t>。</w:t>
      </w:r>
      <w:r>
        <w:rPr>
          <w:rFonts w:hint="eastAsia"/>
          <w:bCs/>
          <w:sz w:val="24"/>
        </w:rPr>
        <w:t>因此，本基金面临的流动性风险主要来自所投资</w:t>
      </w:r>
      <w:r>
        <w:rPr>
          <w:rFonts w:hint="eastAsia"/>
          <w:bCs/>
          <w:sz w:val="24"/>
        </w:rPr>
        <w:t>ETF</w:t>
      </w:r>
      <w:r>
        <w:rPr>
          <w:rFonts w:hint="eastAsia"/>
          <w:bCs/>
          <w:sz w:val="24"/>
        </w:rPr>
        <w:t>的停牌或者暂停赎回。</w:t>
      </w:r>
    </w:p>
    <w:p w14:paraId="01B55797" w14:textId="77777777" w:rsidR="0037652E" w:rsidRDefault="00BF49B0">
      <w:pPr>
        <w:spacing w:line="360" w:lineRule="auto"/>
        <w:ind w:firstLineChars="200" w:firstLine="480"/>
        <w:rPr>
          <w:bCs/>
          <w:sz w:val="24"/>
        </w:rPr>
      </w:pPr>
      <w:r>
        <w:rPr>
          <w:rFonts w:hint="eastAsia"/>
          <w:bCs/>
          <w:sz w:val="24"/>
        </w:rPr>
        <w:t>在确保流动性、方便性以及透明性的前提下，本基金主要投资于有实物黄金或其他实物贵金属支持的交易所交易基金（</w:t>
      </w:r>
      <w:r>
        <w:rPr>
          <w:rFonts w:hint="eastAsia"/>
          <w:bCs/>
          <w:sz w:val="24"/>
        </w:rPr>
        <w:t>ETF</w:t>
      </w:r>
      <w:r>
        <w:rPr>
          <w:rFonts w:hint="eastAsia"/>
          <w:bCs/>
          <w:sz w:val="24"/>
        </w:rPr>
        <w:t>），选择在规范的交易场所交易、运作时间长，市场透明度高，运作方式规范，历史流动性状况良好的投资标的，正常情况下能够及时满足基金变现需求，保证基金按时应对赎回要求。根据过往经验统计，绝大部分时间上述资产流动性充裕，流动性风险可控，当遇到极端市场情况时，基金管理人会按照基金合同及相关法律法规要求，及时启动流动性风险应对措施，保护基金投资者的合法权益。</w:t>
      </w:r>
    </w:p>
    <w:p w14:paraId="24EDDE40" w14:textId="77777777" w:rsidR="0037652E" w:rsidRDefault="00BF49B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）本基金申购、赎回安排</w:t>
      </w:r>
    </w:p>
    <w:p w14:paraId="5473FF0A" w14:textId="77777777" w:rsidR="0037652E" w:rsidRDefault="00BF49B0">
      <w:pPr>
        <w:spacing w:line="360" w:lineRule="auto"/>
        <w:ind w:firstLineChars="200" w:firstLine="480"/>
        <w:rPr>
          <w:bCs/>
          <w:sz w:val="24"/>
        </w:rPr>
      </w:pPr>
      <w:r>
        <w:rPr>
          <w:rFonts w:hint="eastAsia"/>
          <w:bCs/>
          <w:sz w:val="24"/>
        </w:rPr>
        <w:lastRenderedPageBreak/>
        <w:t>本基金为普通开放式基金，投资人可在本基金的开放日办理基金份额的申购和赎回业务。为切实保护存量基金份额持有人的合法权益，遵循基金份额持有人利益优先原则，本基金管理人将合理控制基金份额持有人集中度，审慎确认申购赎回业务申请，包括但不限于：</w:t>
      </w:r>
    </w:p>
    <w:p w14:paraId="010BFF8C" w14:textId="77777777" w:rsidR="0037652E" w:rsidRDefault="00BF49B0">
      <w:pPr>
        <w:spacing w:line="360" w:lineRule="auto"/>
        <w:ind w:firstLineChars="200" w:firstLine="480"/>
        <w:rPr>
          <w:bCs/>
          <w:sz w:val="24"/>
        </w:rPr>
      </w:pPr>
      <w:r>
        <w:rPr>
          <w:rFonts w:hint="eastAsia"/>
          <w:bCs/>
          <w:sz w:val="24"/>
        </w:rPr>
        <w:t>①当接受申购申请对存量基金份额持有人利益构成潜在重大不利影响时，基金管理人应当采取规定单个投资者申购金额上限、基金规模上限或基金单日净申购比例上限，以及拒绝大额申购、暂停基金申购等措施，切实保护存量基金份额持有人的合法权益。</w:t>
      </w:r>
    </w:p>
    <w:p w14:paraId="44575A54" w14:textId="77777777" w:rsidR="0037652E" w:rsidRDefault="00BF49B0">
      <w:pPr>
        <w:spacing w:line="360" w:lineRule="auto"/>
        <w:ind w:firstLineChars="200" w:firstLine="480"/>
        <w:rPr>
          <w:bCs/>
          <w:sz w:val="24"/>
        </w:rPr>
      </w:pPr>
      <w:r>
        <w:rPr>
          <w:rFonts w:hint="eastAsia"/>
          <w:bCs/>
          <w:sz w:val="24"/>
        </w:rPr>
        <w:t>②本基金管理人对持续持有期少于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的赎回费，并将上述赎回费全额计入基金财产。</w:t>
      </w:r>
    </w:p>
    <w:p w14:paraId="66311265" w14:textId="77777777" w:rsidR="0037652E" w:rsidRDefault="00BF49B0">
      <w:pPr>
        <w:spacing w:line="360" w:lineRule="auto"/>
        <w:ind w:firstLineChars="200" w:firstLine="480"/>
        <w:rPr>
          <w:bCs/>
          <w:sz w:val="24"/>
        </w:rPr>
      </w:pPr>
      <w:r>
        <w:rPr>
          <w:rFonts w:hint="eastAsia"/>
          <w:bCs/>
          <w:sz w:val="24"/>
        </w:rPr>
        <w:t>③当前一估值日基金资产净值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以上的资产出现无可参考的活跃市场价格且采用估值技术仍导致公允价值存在重大不确定性时，经与基金托管人协商确认后，基金管理人应当暂停接受基金申购申请、赎回申请或延缓支付赎回款项。</w:t>
      </w:r>
    </w:p>
    <w:p w14:paraId="039B95BF" w14:textId="77777777" w:rsidR="0037652E" w:rsidRDefault="00BF49B0">
      <w:pPr>
        <w:spacing w:line="360" w:lineRule="auto"/>
        <w:ind w:firstLineChars="200" w:firstLine="480"/>
        <w:rPr>
          <w:bCs/>
          <w:sz w:val="24"/>
        </w:rPr>
      </w:pPr>
      <w:r>
        <w:rPr>
          <w:rFonts w:hint="eastAsia"/>
          <w:bCs/>
          <w:sz w:val="24"/>
        </w:rPr>
        <w:t>具体措施详见本招募说明书“第十部分</w:t>
      </w:r>
      <w:r>
        <w:rPr>
          <w:rFonts w:hint="eastAsia"/>
          <w:bCs/>
          <w:sz w:val="24"/>
        </w:rPr>
        <w:t xml:space="preserve"> </w:t>
      </w:r>
      <w:r>
        <w:rPr>
          <w:rFonts w:hint="eastAsia"/>
          <w:bCs/>
          <w:sz w:val="24"/>
        </w:rPr>
        <w:t>基金份额的申购与赎回”。</w:t>
      </w:r>
    </w:p>
    <w:p w14:paraId="02CC66D4" w14:textId="77777777" w:rsidR="0037652E" w:rsidRDefault="00BF49B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）巨额赎回情形下流动性风险管理措施</w:t>
      </w:r>
    </w:p>
    <w:p w14:paraId="76918D75" w14:textId="77777777" w:rsidR="0037652E" w:rsidRDefault="00BF49B0">
      <w:pPr>
        <w:spacing w:line="360" w:lineRule="auto"/>
        <w:ind w:firstLineChars="200" w:firstLine="480"/>
        <w:rPr>
          <w:bCs/>
          <w:sz w:val="24"/>
        </w:rPr>
      </w:pPr>
      <w:r>
        <w:rPr>
          <w:rFonts w:hint="eastAsia"/>
          <w:bCs/>
          <w:sz w:val="24"/>
        </w:rPr>
        <w:t>当本基金出现巨额赎回情形时，本基金管理人经内部决策，并与基金托管人协商一致后，将运用多种流动性风险管理工具对赎回申请进行适度调整，以应对流动性风险，保护基金份额持有人的利益，包括但不限于：</w:t>
      </w:r>
    </w:p>
    <w:p w14:paraId="48ECB56C" w14:textId="77777777" w:rsidR="0037652E" w:rsidRDefault="00BF49B0">
      <w:pPr>
        <w:spacing w:line="360" w:lineRule="auto"/>
        <w:ind w:firstLine="480"/>
        <w:rPr>
          <w:bCs/>
          <w:sz w:val="24"/>
        </w:rPr>
      </w:pPr>
      <w:r>
        <w:rPr>
          <w:rFonts w:hint="eastAsia"/>
          <w:bCs/>
          <w:sz w:val="24"/>
        </w:rPr>
        <w:t>①延缓办理巨额赎回申请；</w:t>
      </w:r>
    </w:p>
    <w:p w14:paraId="3BF8BAA4" w14:textId="77777777" w:rsidR="0037652E" w:rsidRDefault="00BF49B0">
      <w:pPr>
        <w:spacing w:line="360" w:lineRule="auto"/>
        <w:ind w:firstLineChars="200" w:firstLine="480"/>
        <w:rPr>
          <w:bCs/>
          <w:sz w:val="24"/>
        </w:rPr>
      </w:pPr>
      <w:r>
        <w:rPr>
          <w:rFonts w:hint="eastAsia"/>
          <w:bCs/>
          <w:sz w:val="24"/>
        </w:rPr>
        <w:t>②暂停接受赎回申请；</w:t>
      </w:r>
    </w:p>
    <w:p w14:paraId="501CE737" w14:textId="77777777" w:rsidR="0037652E" w:rsidRDefault="00BF49B0">
      <w:pPr>
        <w:spacing w:line="360" w:lineRule="auto"/>
        <w:ind w:firstLineChars="200" w:firstLine="480"/>
        <w:rPr>
          <w:bCs/>
          <w:sz w:val="24"/>
        </w:rPr>
      </w:pPr>
      <w:r>
        <w:rPr>
          <w:rFonts w:hint="eastAsia"/>
          <w:bCs/>
          <w:sz w:val="24"/>
        </w:rPr>
        <w:t>③延缓支付赎回款项；</w:t>
      </w:r>
    </w:p>
    <w:p w14:paraId="7FDF0750" w14:textId="77777777" w:rsidR="0037652E" w:rsidRDefault="00BF49B0">
      <w:pPr>
        <w:spacing w:line="360" w:lineRule="auto"/>
        <w:ind w:firstLineChars="200" w:firstLine="480"/>
        <w:rPr>
          <w:bCs/>
          <w:sz w:val="24"/>
        </w:rPr>
      </w:pPr>
      <w:r>
        <w:rPr>
          <w:rFonts w:hint="eastAsia"/>
          <w:bCs/>
          <w:sz w:val="24"/>
        </w:rPr>
        <w:t>④中国证监会认可的其他措施。</w:t>
      </w:r>
    </w:p>
    <w:p w14:paraId="2A287C34" w14:textId="77777777" w:rsidR="0037652E" w:rsidRDefault="00BF49B0">
      <w:pPr>
        <w:spacing w:line="360" w:lineRule="auto"/>
        <w:ind w:firstLineChars="200" w:firstLine="480"/>
        <w:rPr>
          <w:bCs/>
          <w:sz w:val="24"/>
          <w:lang w:val="zh-CN"/>
        </w:rPr>
      </w:pPr>
      <w:r>
        <w:rPr>
          <w:rFonts w:hint="eastAsia"/>
          <w:bCs/>
          <w:sz w:val="24"/>
        </w:rPr>
        <w:t>具体措施详见本招募说明书“第十部分</w:t>
      </w:r>
      <w:r>
        <w:rPr>
          <w:rFonts w:hint="eastAsia"/>
          <w:bCs/>
          <w:sz w:val="24"/>
        </w:rPr>
        <w:t xml:space="preserve"> </w:t>
      </w:r>
      <w:r>
        <w:rPr>
          <w:rFonts w:hint="eastAsia"/>
          <w:bCs/>
          <w:sz w:val="24"/>
        </w:rPr>
        <w:t>基金份额的申购与赎回”。</w:t>
      </w:r>
    </w:p>
    <w:p w14:paraId="6E319F58" w14:textId="77777777" w:rsidR="0037652E" w:rsidRDefault="00BF49B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）实施备用的流动性风险管理工具的情形、程序及对投资者的潜在影响</w:t>
      </w:r>
    </w:p>
    <w:p w14:paraId="00BAE59D" w14:textId="77777777" w:rsidR="0037652E" w:rsidRDefault="00BF49B0">
      <w:pPr>
        <w:spacing w:line="360" w:lineRule="auto"/>
        <w:ind w:firstLineChars="200" w:firstLine="480"/>
        <w:rPr>
          <w:bCs/>
          <w:sz w:val="24"/>
        </w:rPr>
      </w:pPr>
      <w:r>
        <w:rPr>
          <w:rFonts w:hint="eastAsia"/>
          <w:bCs/>
          <w:sz w:val="24"/>
        </w:rPr>
        <w:t>基金管理人经与基金托管人协商一致，在确保投资者得到公平对待的前提下，可依照法律法规及基金合同的约定，综合运用各类流动性风险管理工具，对赎回申请进行适度调整，作为特定情形下基金管理人流动性风险管理的辅助措施。</w:t>
      </w:r>
    </w:p>
    <w:p w14:paraId="1D076837" w14:textId="77777777" w:rsidR="0037652E" w:rsidRDefault="00BF49B0">
      <w:pPr>
        <w:tabs>
          <w:tab w:val="left" w:pos="961"/>
        </w:tabs>
        <w:snapToGrid w:val="0"/>
        <w:spacing w:line="360" w:lineRule="auto"/>
        <w:ind w:firstLineChars="200" w:firstLine="480"/>
        <w:rPr>
          <w:bCs/>
          <w:sz w:val="24"/>
          <w:szCs w:val="24"/>
        </w:rPr>
      </w:pPr>
      <w:r>
        <w:rPr>
          <w:rFonts w:hint="eastAsia"/>
          <w:bCs/>
          <w:sz w:val="24"/>
        </w:rPr>
        <w:t>当基金管理人认为支付投资人的赎回申请有困难或认为因支付投资人的赎回申请而进行的财产变现可能会对基金资产净值造成较大波动时，可综合运用包括延期办理巨额赎回申请、暂停接受赎回申请、延缓支付赎回款项、收取短期赎</w:t>
      </w:r>
      <w:r>
        <w:rPr>
          <w:rFonts w:hint="eastAsia"/>
          <w:bCs/>
          <w:sz w:val="24"/>
        </w:rPr>
        <w:lastRenderedPageBreak/>
        <w:t>回费、暂停基金估值、侧袋机制等流动性风险管理工具，投资者将面临其赎回申请被拒绝或延期办理、赎回款项延缓支付，或面临赎回成本或申购成本较高等的风险。</w:t>
      </w:r>
    </w:p>
    <w:p w14:paraId="4035D7F4"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rFonts w:hint="eastAsia"/>
          <w:bCs/>
          <w:sz w:val="24"/>
          <w:szCs w:val="24"/>
        </w:rPr>
        <w:t>、操作风险</w:t>
      </w:r>
    </w:p>
    <w:p w14:paraId="6CAA860A"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操作风险是指那些由于不合理的内部程序或人为操作造成的风险。以下事件有可能引发操作风险：</w:t>
      </w:r>
    </w:p>
    <w:p w14:paraId="64E5206C"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）内部程序出错造成的资产计量错误；</w:t>
      </w:r>
    </w:p>
    <w:p w14:paraId="4519B39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）员工的操作造成的错误；</w:t>
      </w:r>
    </w:p>
    <w:p w14:paraId="060A7D79"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）违规操作造成的损害，如市场操纵、内幕交易、利益输送等。</w:t>
      </w:r>
    </w:p>
    <w:p w14:paraId="5B7C3C7C"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rFonts w:hint="eastAsia"/>
          <w:bCs/>
          <w:sz w:val="24"/>
          <w:szCs w:val="24"/>
        </w:rPr>
        <w:t>、会计核算风险</w:t>
      </w:r>
    </w:p>
    <w:p w14:paraId="48293D5C"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会计核算风险主要是指由于会计核算及会计管理上违规操作或工作疏忽形成的风险，如经常性的串户、账务记重、透支、过失付款、资金汇划系统款项错划、日终轧账假平、会计备份数据丢失、利息计算错误等。</w:t>
      </w:r>
    </w:p>
    <w:p w14:paraId="7123C3DE"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rFonts w:hint="eastAsia"/>
          <w:bCs/>
          <w:sz w:val="24"/>
          <w:szCs w:val="24"/>
        </w:rPr>
        <w:t>、交易清算风险</w:t>
      </w:r>
    </w:p>
    <w:p w14:paraId="041E068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清算风险主要是因为国际结算的支付方式和时间的差异，造成划付款项的延误和错划，进而影响到投资者的申购赎回及基金资产的安全。</w:t>
      </w:r>
    </w:p>
    <w:p w14:paraId="0EEC10E1" w14:textId="77777777" w:rsidR="0037652E" w:rsidRDefault="00BF49B0">
      <w:pPr>
        <w:tabs>
          <w:tab w:val="left" w:pos="961"/>
        </w:tabs>
        <w:snapToGrid w:val="0"/>
        <w:spacing w:line="360" w:lineRule="auto"/>
        <w:ind w:firstLineChars="200" w:firstLine="480"/>
        <w:rPr>
          <w:bCs/>
          <w:sz w:val="24"/>
          <w:szCs w:val="24"/>
        </w:rPr>
      </w:pPr>
      <w:r>
        <w:rPr>
          <w:bCs/>
          <w:sz w:val="24"/>
          <w:szCs w:val="24"/>
        </w:rPr>
        <w:t>6</w:t>
      </w:r>
      <w:r>
        <w:rPr>
          <w:rFonts w:hint="eastAsia"/>
          <w:bCs/>
          <w:sz w:val="24"/>
          <w:szCs w:val="24"/>
        </w:rPr>
        <w:t>、技术系统运行风险</w:t>
      </w:r>
    </w:p>
    <w:p w14:paraId="115039F2"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在开放式基金的各种交易行为或者后台运作中，可能因为技术系统的故障或者差错而影响交易的正常进行或者导致投资者的利益受到影响。这种技术风险可能来自基金管理人、基金托管人、境外托管人、登记结算机构、销售机构、证券交易所、证券登记结算机构等等。</w:t>
      </w:r>
    </w:p>
    <w:p w14:paraId="4DCBA0DA" w14:textId="77777777" w:rsidR="0037652E" w:rsidRDefault="00BF49B0">
      <w:pPr>
        <w:tabs>
          <w:tab w:val="left" w:pos="961"/>
        </w:tabs>
        <w:snapToGrid w:val="0"/>
        <w:spacing w:line="360" w:lineRule="auto"/>
        <w:ind w:firstLineChars="200" w:firstLine="480"/>
        <w:rPr>
          <w:bCs/>
          <w:sz w:val="24"/>
          <w:szCs w:val="24"/>
        </w:rPr>
      </w:pPr>
      <w:r>
        <w:rPr>
          <w:bCs/>
          <w:sz w:val="24"/>
          <w:szCs w:val="24"/>
        </w:rPr>
        <w:t>7</w:t>
      </w:r>
      <w:r>
        <w:rPr>
          <w:rFonts w:hint="eastAsia"/>
          <w:bCs/>
          <w:sz w:val="24"/>
          <w:szCs w:val="24"/>
        </w:rPr>
        <w:t>、通讯风险</w:t>
      </w:r>
    </w:p>
    <w:p w14:paraId="17E69DEB"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通讯风险是指境外投资管理活动对远距离、跨时区的通讯系统要求较高，技术失误或自然灾害等因素造成的通讯故障可能会影响到本基金投资管理活动的准确性和时效性，从而导致基金资产受到损失。</w:t>
      </w:r>
    </w:p>
    <w:p w14:paraId="0545083B" w14:textId="77777777" w:rsidR="0037652E" w:rsidRDefault="00BF49B0">
      <w:pPr>
        <w:tabs>
          <w:tab w:val="left" w:pos="961"/>
        </w:tabs>
        <w:snapToGrid w:val="0"/>
        <w:spacing w:line="360" w:lineRule="auto"/>
        <w:ind w:firstLineChars="200" w:firstLine="480"/>
        <w:rPr>
          <w:bCs/>
          <w:sz w:val="24"/>
          <w:szCs w:val="24"/>
        </w:rPr>
      </w:pPr>
      <w:r>
        <w:rPr>
          <w:bCs/>
          <w:sz w:val="24"/>
          <w:szCs w:val="24"/>
        </w:rPr>
        <w:t>8</w:t>
      </w:r>
      <w:r>
        <w:rPr>
          <w:rFonts w:hint="eastAsia"/>
          <w:bCs/>
          <w:sz w:val="24"/>
          <w:szCs w:val="24"/>
        </w:rPr>
        <w:t>、不可抗力风险</w:t>
      </w:r>
    </w:p>
    <w:p w14:paraId="44597A5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战争、自然灾害等不可抗力因素的出现，将会严重影响证券市场的运行，可能导致基金资产的损失。金融市场危机、行业竞争、代理机构违约等超出基金管理人自身直接控制能力之外的风险，可能导致基金或者基金份额持有人利益受损。</w:t>
      </w:r>
    </w:p>
    <w:p w14:paraId="37B6B98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9</w:t>
      </w:r>
      <w:r>
        <w:rPr>
          <w:rFonts w:hint="eastAsia"/>
          <w:bCs/>
          <w:sz w:val="24"/>
          <w:szCs w:val="24"/>
        </w:rPr>
        <w:t>、</w:t>
      </w:r>
      <w:r>
        <w:rPr>
          <w:rFonts w:hint="eastAsia"/>
          <w:bCs/>
          <w:sz w:val="24"/>
          <w:szCs w:val="24"/>
        </w:rPr>
        <w:t>QDII</w:t>
      </w:r>
      <w:r>
        <w:rPr>
          <w:rFonts w:hint="eastAsia"/>
          <w:bCs/>
          <w:sz w:val="24"/>
          <w:szCs w:val="24"/>
        </w:rPr>
        <w:t>基金</w:t>
      </w:r>
      <w:r>
        <w:rPr>
          <w:rFonts w:hint="eastAsia"/>
          <w:bCs/>
          <w:sz w:val="24"/>
          <w:szCs w:val="24"/>
        </w:rPr>
        <w:t>LOF</w:t>
      </w:r>
      <w:r>
        <w:rPr>
          <w:rFonts w:hint="eastAsia"/>
          <w:bCs/>
          <w:sz w:val="24"/>
          <w:szCs w:val="24"/>
        </w:rPr>
        <w:t>模式风险</w:t>
      </w:r>
    </w:p>
    <w:p w14:paraId="77F7BDFD" w14:textId="77777777" w:rsidR="0037652E" w:rsidRDefault="00BF49B0">
      <w:pPr>
        <w:spacing w:line="360" w:lineRule="auto"/>
        <w:ind w:firstLineChars="212" w:firstLine="509"/>
        <w:rPr>
          <w:bCs/>
          <w:sz w:val="24"/>
        </w:rPr>
      </w:pPr>
      <w:r>
        <w:rPr>
          <w:rFonts w:hint="eastAsia"/>
          <w:bCs/>
          <w:sz w:val="24"/>
          <w:szCs w:val="24"/>
        </w:rPr>
        <w:lastRenderedPageBreak/>
        <w:t>在本基金合同生效六个月后，在相关条件成熟的情况下，本基金管理人将向深圳证券交易所申请上市交易，即本基金在合同生效的六个月内不会上市交易。在上市交易期间，如继续接受申购可能导致本基金管理人可用境外证券投资额度不足，本基金将暂停申购，由此可能导致本基金二级市场价格出现较大波动。当本基金因外汇额度原因暂停申购期间出现了较高的折溢价率，折溢价率可能因国家外管局批准本基金管理人新增外汇额度以及本基金恢复申购业务而大幅缩小，亦可能导致本基金二级市场价格出现较大波动。本基金二级市场收盘价折溢价率可能因黄金价格的波动等市场因素发生较大变动。</w:t>
      </w:r>
    </w:p>
    <w:p w14:paraId="76408639" w14:textId="77777777" w:rsidR="0037652E" w:rsidRDefault="00BF49B0">
      <w:pPr>
        <w:spacing w:line="360" w:lineRule="auto"/>
        <w:ind w:firstLineChars="212" w:firstLine="509"/>
        <w:rPr>
          <w:bCs/>
          <w:sz w:val="24"/>
        </w:rPr>
      </w:pPr>
      <w:r>
        <w:rPr>
          <w:rFonts w:hint="eastAsia"/>
          <w:bCs/>
          <w:sz w:val="24"/>
        </w:rPr>
        <w:t>10</w:t>
      </w:r>
      <w:r>
        <w:rPr>
          <w:rFonts w:hint="eastAsia"/>
          <w:bCs/>
          <w:sz w:val="24"/>
        </w:rPr>
        <w:t>、启用侧袋机制的风险</w:t>
      </w:r>
    </w:p>
    <w:p w14:paraId="246A2787" w14:textId="77777777" w:rsidR="0037652E" w:rsidRDefault="00BF49B0">
      <w:pPr>
        <w:spacing w:line="360" w:lineRule="auto"/>
        <w:ind w:firstLineChars="212" w:firstLine="509"/>
        <w:rPr>
          <w:bCs/>
          <w:sz w:val="24"/>
        </w:rPr>
      </w:pPr>
      <w:r>
        <w:rPr>
          <w:rFonts w:hint="eastAsia"/>
          <w:bCs/>
          <w:sz w:val="24"/>
        </w:rPr>
        <w:t>当本基金启用侧袋机制时，实施侧袋机制期间，侧袋账户份额将停止披露基金净值信息，并不得办理申购、赎回和转换，仅主袋账户份额正常开放赎回，因此启用侧袋机制时持有基金份额的持有人将在启用侧袋机制后同时持有主袋账户份额和侧袋账户份额。因特定资产的变现时间具有不确定性，最终变现价格也具有不确定性并且有可能大幅低于启用侧袋机制时的特定资产的估值，基金份额持有人可能因此面临损失。</w:t>
      </w:r>
    </w:p>
    <w:p w14:paraId="177B3266" w14:textId="77777777" w:rsidR="0037652E" w:rsidRDefault="00BF49B0">
      <w:pPr>
        <w:spacing w:line="360" w:lineRule="auto"/>
        <w:ind w:firstLineChars="212" w:firstLine="509"/>
        <w:rPr>
          <w:bCs/>
          <w:sz w:val="24"/>
        </w:rPr>
      </w:pPr>
      <w:r>
        <w:rPr>
          <w:rFonts w:hint="eastAsia"/>
          <w:bCs/>
          <w:sz w:val="24"/>
        </w:rPr>
        <w:t>实施侧袋机制期间，因本基金不披露侧袋账户的基金净值信息，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6C492A0D" w14:textId="77777777" w:rsidR="0037652E" w:rsidRDefault="00BF49B0">
      <w:pPr>
        <w:spacing w:line="360" w:lineRule="auto"/>
        <w:ind w:firstLineChars="212" w:firstLine="509"/>
        <w:rPr>
          <w:bCs/>
          <w:sz w:val="24"/>
        </w:rPr>
      </w:pPr>
      <w:r>
        <w:rPr>
          <w:rFonts w:hint="eastAsia"/>
          <w:bCs/>
          <w:sz w:val="24"/>
        </w:rPr>
        <w:t>基金管理人将根据主袋账户运作情况合理确定申购政策，因此实施侧袋机制后主袋账户份额存在暂停申购的可能。</w:t>
      </w:r>
    </w:p>
    <w:p w14:paraId="4DDF1B00" w14:textId="77777777" w:rsidR="0037652E" w:rsidRDefault="00BF49B0">
      <w:pPr>
        <w:tabs>
          <w:tab w:val="left" w:pos="961"/>
        </w:tabs>
        <w:snapToGrid w:val="0"/>
        <w:spacing w:line="360" w:lineRule="auto"/>
        <w:ind w:firstLineChars="200" w:firstLine="480"/>
        <w:rPr>
          <w:bCs/>
          <w:szCs w:val="21"/>
        </w:rPr>
      </w:pPr>
      <w:r>
        <w:rPr>
          <w:rFonts w:hint="eastAsia"/>
          <w:bCs/>
          <w:sz w:val="24"/>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14:paraId="031BA698" w14:textId="77777777" w:rsidR="0037652E" w:rsidRDefault="0037652E">
      <w:pPr>
        <w:tabs>
          <w:tab w:val="left" w:pos="961"/>
        </w:tabs>
        <w:snapToGrid w:val="0"/>
        <w:spacing w:line="360" w:lineRule="auto"/>
        <w:ind w:firstLineChars="200" w:firstLine="420"/>
        <w:rPr>
          <w:bCs/>
          <w:color w:val="FF0000"/>
          <w:szCs w:val="21"/>
        </w:rPr>
      </w:pPr>
    </w:p>
    <w:p w14:paraId="56D2D5A8" w14:textId="77777777" w:rsidR="0037652E" w:rsidRDefault="00BF49B0">
      <w:pPr>
        <w:spacing w:line="360" w:lineRule="auto"/>
        <w:ind w:firstLineChars="50" w:firstLine="105"/>
        <w:jc w:val="center"/>
        <w:outlineLvl w:val="0"/>
        <w:rPr>
          <w:rFonts w:ascii="宋体" w:hAnsi="宋体"/>
          <w:b/>
          <w:sz w:val="24"/>
          <w:szCs w:val="24"/>
        </w:rPr>
      </w:pPr>
      <w:r>
        <w:rPr>
          <w:bCs/>
          <w:color w:val="FF0000"/>
          <w:szCs w:val="21"/>
        </w:rPr>
        <w:br w:type="page"/>
      </w:r>
      <w:bookmarkStart w:id="28" w:name="_Toc22954"/>
      <w:bookmarkStart w:id="29" w:name="_Toc65325111"/>
      <w:bookmarkStart w:id="30" w:name="_Toc28715"/>
      <w:bookmarkStart w:id="31" w:name="_Toc110606844"/>
      <w:r>
        <w:rPr>
          <w:rFonts w:ascii="宋体" w:hAnsi="宋体" w:hint="eastAsia"/>
          <w:b/>
          <w:sz w:val="24"/>
          <w:szCs w:val="24"/>
        </w:rPr>
        <w:lastRenderedPageBreak/>
        <w:t>第四部分</w:t>
      </w:r>
      <w:r>
        <w:rPr>
          <w:rFonts w:ascii="宋体" w:hAnsi="宋体"/>
          <w:b/>
          <w:sz w:val="24"/>
          <w:szCs w:val="24"/>
        </w:rPr>
        <w:t xml:space="preserve"> </w:t>
      </w:r>
      <w:r>
        <w:rPr>
          <w:rFonts w:ascii="宋体" w:hAnsi="宋体" w:hint="eastAsia"/>
          <w:b/>
          <w:sz w:val="24"/>
          <w:szCs w:val="24"/>
        </w:rPr>
        <w:t>基金的投资</w:t>
      </w:r>
      <w:bookmarkEnd w:id="28"/>
      <w:bookmarkEnd w:id="29"/>
      <w:bookmarkEnd w:id="30"/>
      <w:bookmarkEnd w:id="31"/>
    </w:p>
    <w:p w14:paraId="715B6FF6" w14:textId="77777777" w:rsidR="0037652E" w:rsidRDefault="0037652E">
      <w:pPr>
        <w:tabs>
          <w:tab w:val="left" w:pos="961"/>
        </w:tabs>
        <w:snapToGrid w:val="0"/>
        <w:spacing w:line="360" w:lineRule="auto"/>
        <w:ind w:firstLineChars="200" w:firstLine="420"/>
        <w:rPr>
          <w:bCs/>
          <w:szCs w:val="21"/>
        </w:rPr>
      </w:pPr>
    </w:p>
    <w:p w14:paraId="5BE330B8"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一、</w:t>
      </w:r>
      <w:r>
        <w:rPr>
          <w:b/>
          <w:bCs/>
          <w:sz w:val="24"/>
          <w:szCs w:val="24"/>
        </w:rPr>
        <w:t>投资目标</w:t>
      </w:r>
    </w:p>
    <w:p w14:paraId="35D0E287" w14:textId="77777777" w:rsidR="0037652E" w:rsidRDefault="00BF49B0">
      <w:pPr>
        <w:tabs>
          <w:tab w:val="left" w:pos="961"/>
        </w:tabs>
        <w:snapToGrid w:val="0"/>
        <w:spacing w:line="360" w:lineRule="auto"/>
        <w:ind w:firstLineChars="200" w:firstLine="480"/>
        <w:rPr>
          <w:bCs/>
          <w:sz w:val="24"/>
          <w:szCs w:val="24"/>
        </w:rPr>
      </w:pPr>
      <w:r>
        <w:rPr>
          <w:bCs/>
          <w:sz w:val="24"/>
          <w:szCs w:val="24"/>
        </w:rPr>
        <w:t>深入研究影响黄金及其他贵金属（</w:t>
      </w:r>
      <w:r>
        <w:rPr>
          <w:rFonts w:hint="eastAsia"/>
          <w:bCs/>
          <w:sz w:val="24"/>
          <w:szCs w:val="24"/>
        </w:rPr>
        <w:t>如</w:t>
      </w:r>
      <w:r>
        <w:rPr>
          <w:bCs/>
          <w:sz w:val="24"/>
          <w:szCs w:val="24"/>
        </w:rPr>
        <w:t>白银、铂金、钯金等）价格的主要因素，把握不同品种贵金属的长期价格趋势和短期市场波动，通过主动投资于有实物黄金或其他实物贵金属支持的交易所交易基金</w:t>
      </w:r>
      <w:r>
        <w:rPr>
          <w:rFonts w:hint="eastAsia"/>
          <w:bCs/>
          <w:sz w:val="24"/>
          <w:szCs w:val="24"/>
        </w:rPr>
        <w:t>（</w:t>
      </w:r>
      <w:r>
        <w:rPr>
          <w:rFonts w:hint="eastAsia"/>
          <w:bCs/>
          <w:sz w:val="24"/>
          <w:szCs w:val="24"/>
        </w:rPr>
        <w:t>ETF</w:t>
      </w:r>
      <w:r>
        <w:rPr>
          <w:rFonts w:hint="eastAsia"/>
          <w:bCs/>
          <w:sz w:val="24"/>
          <w:szCs w:val="24"/>
        </w:rPr>
        <w:t>）</w:t>
      </w:r>
      <w:r>
        <w:rPr>
          <w:bCs/>
          <w:sz w:val="24"/>
          <w:szCs w:val="24"/>
        </w:rPr>
        <w:t>，在</w:t>
      </w:r>
      <w:r>
        <w:rPr>
          <w:rFonts w:hint="eastAsia"/>
          <w:bCs/>
          <w:sz w:val="24"/>
          <w:szCs w:val="24"/>
        </w:rPr>
        <w:t>严格控制风险的前提下，力争基金收益率超越同期</w:t>
      </w:r>
      <w:r>
        <w:rPr>
          <w:bCs/>
          <w:sz w:val="24"/>
          <w:szCs w:val="24"/>
        </w:rPr>
        <w:t>黄金价格走势。</w:t>
      </w:r>
    </w:p>
    <w:p w14:paraId="298F2D29"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二、</w:t>
      </w:r>
      <w:r>
        <w:rPr>
          <w:b/>
          <w:bCs/>
          <w:sz w:val="24"/>
          <w:szCs w:val="24"/>
        </w:rPr>
        <w:t>投资范围</w:t>
      </w:r>
    </w:p>
    <w:p w14:paraId="74C448BF"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本基金的投资范围主要包括已与中国证监会签署双边监管合作谅解备忘录的国家或地区证券监管机构登记注册的公募基金中有实物黄金或其他实物贵金属支持的交易所交易基金</w:t>
      </w:r>
      <w:r>
        <w:rPr>
          <w:rFonts w:hint="eastAsia"/>
          <w:bCs/>
          <w:sz w:val="24"/>
          <w:szCs w:val="24"/>
        </w:rPr>
        <w:t>（</w:t>
      </w:r>
      <w:r>
        <w:rPr>
          <w:rFonts w:hint="eastAsia"/>
          <w:bCs/>
          <w:sz w:val="24"/>
          <w:szCs w:val="24"/>
        </w:rPr>
        <w:t>ETF</w:t>
      </w:r>
      <w:r>
        <w:rPr>
          <w:rFonts w:hint="eastAsia"/>
          <w:bCs/>
          <w:sz w:val="24"/>
          <w:szCs w:val="24"/>
        </w:rPr>
        <w:t>）</w:t>
      </w:r>
      <w:r>
        <w:rPr>
          <w:bCs/>
          <w:sz w:val="24"/>
          <w:szCs w:val="24"/>
        </w:rPr>
        <w:t>、货币市场工具以及中国证监会允许本基金投资的其他金融工具。此外，本基金为对冲本外币的汇率风险，可以投资于外汇远期合约、外汇互换协议、期权等金融工具。</w:t>
      </w:r>
    </w:p>
    <w:p w14:paraId="2927B2D6" w14:textId="77777777" w:rsidR="0037652E" w:rsidRDefault="00BF49B0">
      <w:pPr>
        <w:tabs>
          <w:tab w:val="left" w:pos="961"/>
        </w:tabs>
        <w:snapToGrid w:val="0"/>
        <w:spacing w:line="360" w:lineRule="auto"/>
        <w:ind w:firstLineChars="200" w:firstLine="480"/>
        <w:rPr>
          <w:rFonts w:hAnsi="宋体"/>
          <w:bCs/>
          <w:sz w:val="24"/>
          <w:szCs w:val="24"/>
        </w:rPr>
      </w:pPr>
      <w:r>
        <w:rPr>
          <w:bCs/>
          <w:sz w:val="24"/>
          <w:szCs w:val="24"/>
        </w:rPr>
        <w:t>实物黄金或其他实物贵金属</w:t>
      </w:r>
      <w:r>
        <w:rPr>
          <w:rFonts w:hAnsi="宋体"/>
          <w:bCs/>
          <w:sz w:val="24"/>
          <w:szCs w:val="24"/>
        </w:rPr>
        <w:t>支持的交易所交易基金</w:t>
      </w:r>
      <w:r>
        <w:rPr>
          <w:rFonts w:hAnsi="宋体" w:hint="eastAsia"/>
          <w:bCs/>
          <w:sz w:val="24"/>
          <w:szCs w:val="24"/>
        </w:rPr>
        <w:t>（</w:t>
      </w:r>
      <w:r>
        <w:rPr>
          <w:rFonts w:hAnsi="宋体" w:hint="eastAsia"/>
          <w:bCs/>
          <w:sz w:val="24"/>
          <w:szCs w:val="24"/>
        </w:rPr>
        <w:t>ETF</w:t>
      </w:r>
      <w:r>
        <w:rPr>
          <w:rFonts w:hAnsi="宋体" w:hint="eastAsia"/>
          <w:bCs/>
          <w:sz w:val="24"/>
          <w:szCs w:val="24"/>
        </w:rPr>
        <w:t>）</w:t>
      </w:r>
      <w:r>
        <w:rPr>
          <w:rFonts w:hAnsi="宋体"/>
          <w:bCs/>
          <w:sz w:val="24"/>
          <w:szCs w:val="24"/>
        </w:rPr>
        <w:t>是指以标准化的实物黄金或其他实物贵金属为基础资产，并可以用实物黄金或其他实物贵金属申购赎回基金份额的</w:t>
      </w:r>
      <w:r>
        <w:rPr>
          <w:rFonts w:hAnsi="宋体" w:hint="eastAsia"/>
          <w:bCs/>
          <w:sz w:val="24"/>
          <w:szCs w:val="24"/>
        </w:rPr>
        <w:t>ETF</w:t>
      </w:r>
      <w:r>
        <w:rPr>
          <w:rFonts w:hAnsi="宋体"/>
          <w:bCs/>
          <w:sz w:val="24"/>
          <w:szCs w:val="24"/>
        </w:rPr>
        <w:t>。</w:t>
      </w:r>
    </w:p>
    <w:p w14:paraId="7304817F"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本基金投资于有实物黄金或其他实物贵金属支持的交易所交易基金</w:t>
      </w:r>
      <w:r>
        <w:rPr>
          <w:rFonts w:hAnsi="宋体" w:hint="eastAsia"/>
          <w:bCs/>
          <w:sz w:val="24"/>
          <w:szCs w:val="24"/>
        </w:rPr>
        <w:t>（</w:t>
      </w:r>
      <w:r>
        <w:rPr>
          <w:rFonts w:hAnsi="宋体" w:hint="eastAsia"/>
          <w:bCs/>
          <w:sz w:val="24"/>
          <w:szCs w:val="24"/>
        </w:rPr>
        <w:t>ETF</w:t>
      </w:r>
      <w:r>
        <w:rPr>
          <w:rFonts w:hAnsi="宋体" w:hint="eastAsia"/>
          <w:bCs/>
          <w:sz w:val="24"/>
          <w:szCs w:val="24"/>
        </w:rPr>
        <w:t>）</w:t>
      </w:r>
      <w:r>
        <w:rPr>
          <w:rFonts w:hAnsi="宋体"/>
          <w:bCs/>
          <w:sz w:val="24"/>
          <w:szCs w:val="24"/>
        </w:rPr>
        <w:t>的比例不低于基金资产的</w:t>
      </w:r>
      <w:r>
        <w:rPr>
          <w:rFonts w:hAnsi="宋体" w:hint="eastAsia"/>
          <w:bCs/>
          <w:sz w:val="24"/>
          <w:szCs w:val="24"/>
        </w:rPr>
        <w:t>9</w:t>
      </w:r>
      <w:r>
        <w:rPr>
          <w:rFonts w:hAnsi="宋体"/>
          <w:bCs/>
          <w:sz w:val="24"/>
          <w:szCs w:val="24"/>
        </w:rPr>
        <w:t>0%</w:t>
      </w:r>
      <w:r>
        <w:rPr>
          <w:rFonts w:hAnsi="宋体"/>
          <w:bCs/>
          <w:sz w:val="24"/>
          <w:szCs w:val="24"/>
        </w:rPr>
        <w:t>；基金保留的现金或投资于到期日在一年以内的政府债券的比例合计不低于基金资产净值的</w:t>
      </w:r>
      <w:r>
        <w:rPr>
          <w:rFonts w:hAnsi="宋体"/>
          <w:bCs/>
          <w:sz w:val="24"/>
          <w:szCs w:val="24"/>
        </w:rPr>
        <w:t>5%</w:t>
      </w:r>
      <w:r>
        <w:rPr>
          <w:rFonts w:hAnsi="宋体" w:hint="eastAsia"/>
          <w:bCs/>
          <w:sz w:val="24"/>
          <w:szCs w:val="24"/>
        </w:rPr>
        <w:t>，本基金所指的现金不包括结算备付金、存出保证金、应收申购款等</w:t>
      </w:r>
      <w:r>
        <w:rPr>
          <w:rFonts w:hAnsi="宋体"/>
          <w:bCs/>
          <w:sz w:val="24"/>
          <w:szCs w:val="24"/>
        </w:rPr>
        <w:t>。</w:t>
      </w:r>
    </w:p>
    <w:p w14:paraId="0EE8E97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如法律法规或监管机构以后允许本基金投资其他品种，基金管理人在履行适当程序后，可以将其纳入本基金投资范围。如法律法规或中国证监会变更投资品种的比例限制的，基金管理人在与基金托管人协商一致并履行相关程序后，可相应调整本基金的投资比例限制规定，不需经基金份额持有人大会审议。</w:t>
      </w:r>
    </w:p>
    <w:p w14:paraId="18512551"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三、</w:t>
      </w:r>
      <w:r>
        <w:rPr>
          <w:rFonts w:hAnsi="宋体"/>
          <w:b/>
          <w:bCs/>
          <w:sz w:val="24"/>
          <w:szCs w:val="24"/>
        </w:rPr>
        <w:t>投资理念</w:t>
      </w:r>
    </w:p>
    <w:p w14:paraId="7C1158E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投资黄金及其他贵金属可有效应对通货膨胀，在经济周期波动中具有良好的避险功能，同时与传统金融工具（如股票、债券等）形成互补，达到分散投资风险的目的。</w:t>
      </w:r>
    </w:p>
    <w:p w14:paraId="408CBD3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在确保流动性、方便性以及透明性的前提下，本基金选择投资于有实物黄金或其他实物贵金属支持的交易所交易基金（</w:t>
      </w:r>
      <w:r>
        <w:rPr>
          <w:rFonts w:hAnsi="宋体" w:hint="eastAsia"/>
          <w:bCs/>
          <w:sz w:val="24"/>
          <w:szCs w:val="24"/>
        </w:rPr>
        <w:t>ETF</w:t>
      </w:r>
      <w:r>
        <w:rPr>
          <w:rFonts w:hAnsi="宋体" w:hint="eastAsia"/>
          <w:bCs/>
          <w:sz w:val="24"/>
          <w:szCs w:val="24"/>
        </w:rPr>
        <w:t>），为投资者实现间接投资黄金</w:t>
      </w:r>
      <w:r>
        <w:rPr>
          <w:rFonts w:hAnsi="宋体" w:hint="eastAsia"/>
          <w:bCs/>
          <w:sz w:val="24"/>
          <w:szCs w:val="24"/>
        </w:rPr>
        <w:lastRenderedPageBreak/>
        <w:t>及其他贵金属的目的。</w:t>
      </w:r>
    </w:p>
    <w:p w14:paraId="7244717F"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四、</w:t>
      </w:r>
      <w:r>
        <w:rPr>
          <w:rFonts w:hAnsi="宋体"/>
          <w:b/>
          <w:bCs/>
          <w:sz w:val="24"/>
          <w:szCs w:val="24"/>
        </w:rPr>
        <w:t>投资策略</w:t>
      </w:r>
      <w:bookmarkStart w:id="32" w:name="_Toc44900772"/>
      <w:bookmarkStart w:id="33" w:name="_Toc52616499"/>
    </w:p>
    <w:p w14:paraId="46C31903"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综合考虑国际政治、经济、汇市、战争、主要国家货币和利率政策、贵金属市场供求等多方面因素，本基金重点投资于境外上市有实物黄金或其他实物贵金属支持的交易所交易基金</w:t>
      </w:r>
      <w:r>
        <w:rPr>
          <w:rFonts w:hAnsi="宋体" w:hint="eastAsia"/>
          <w:bCs/>
          <w:sz w:val="24"/>
          <w:szCs w:val="24"/>
        </w:rPr>
        <w:t>（</w:t>
      </w:r>
      <w:r>
        <w:rPr>
          <w:rFonts w:hAnsi="宋体" w:hint="eastAsia"/>
          <w:bCs/>
          <w:sz w:val="24"/>
          <w:szCs w:val="24"/>
        </w:rPr>
        <w:t>ETF</w:t>
      </w:r>
      <w:r>
        <w:rPr>
          <w:rFonts w:hAnsi="宋体" w:hint="eastAsia"/>
          <w:bCs/>
          <w:sz w:val="24"/>
          <w:szCs w:val="24"/>
        </w:rPr>
        <w:t>）</w:t>
      </w:r>
      <w:r>
        <w:rPr>
          <w:rFonts w:hAnsi="宋体"/>
          <w:bCs/>
          <w:sz w:val="24"/>
          <w:szCs w:val="24"/>
        </w:rPr>
        <w:t>，长期持有结合动态调整。</w:t>
      </w:r>
    </w:p>
    <w:p w14:paraId="45A355F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本基金</w:t>
      </w:r>
      <w:r>
        <w:rPr>
          <w:rFonts w:hAnsi="宋体" w:hint="eastAsia"/>
          <w:bCs/>
          <w:sz w:val="24"/>
          <w:szCs w:val="24"/>
        </w:rPr>
        <w:t>主要</w:t>
      </w:r>
      <w:r>
        <w:rPr>
          <w:rFonts w:hAnsi="宋体"/>
          <w:bCs/>
          <w:sz w:val="24"/>
          <w:szCs w:val="24"/>
        </w:rPr>
        <w:t>投资策略包括贵金属资产配置策略、交易所交易基金</w:t>
      </w:r>
      <w:r>
        <w:rPr>
          <w:rFonts w:hAnsi="宋体" w:hint="eastAsia"/>
          <w:bCs/>
          <w:sz w:val="24"/>
          <w:szCs w:val="24"/>
        </w:rPr>
        <w:t>（</w:t>
      </w:r>
      <w:r>
        <w:rPr>
          <w:rFonts w:hAnsi="宋体" w:hint="eastAsia"/>
          <w:bCs/>
          <w:sz w:val="24"/>
          <w:szCs w:val="24"/>
        </w:rPr>
        <w:t>ETF</w:t>
      </w:r>
      <w:r>
        <w:rPr>
          <w:rFonts w:hAnsi="宋体" w:hint="eastAsia"/>
          <w:bCs/>
          <w:sz w:val="24"/>
          <w:szCs w:val="24"/>
        </w:rPr>
        <w:t>）投资</w:t>
      </w:r>
      <w:r>
        <w:rPr>
          <w:rFonts w:hAnsi="宋体"/>
          <w:bCs/>
          <w:sz w:val="24"/>
          <w:szCs w:val="24"/>
        </w:rPr>
        <w:t>策略</w:t>
      </w:r>
      <w:r>
        <w:rPr>
          <w:rFonts w:hAnsi="宋体" w:hint="eastAsia"/>
          <w:bCs/>
          <w:sz w:val="24"/>
          <w:szCs w:val="24"/>
        </w:rPr>
        <w:t>、货币市场工具投资</w:t>
      </w:r>
      <w:r>
        <w:rPr>
          <w:rFonts w:hAnsi="宋体"/>
          <w:bCs/>
          <w:sz w:val="24"/>
          <w:szCs w:val="24"/>
        </w:rPr>
        <w:t>策略</w:t>
      </w:r>
      <w:r>
        <w:rPr>
          <w:rFonts w:hAnsi="宋体" w:hint="eastAsia"/>
          <w:bCs/>
          <w:sz w:val="24"/>
          <w:szCs w:val="24"/>
        </w:rPr>
        <w:t>以及</w:t>
      </w:r>
      <w:r>
        <w:rPr>
          <w:rFonts w:hAnsi="宋体"/>
          <w:bCs/>
          <w:sz w:val="24"/>
          <w:szCs w:val="24"/>
        </w:rPr>
        <w:t>金融衍生工具投资策略。</w:t>
      </w:r>
    </w:p>
    <w:p w14:paraId="2624CDD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、贵金属资产配置策略</w:t>
      </w:r>
    </w:p>
    <w:p w14:paraId="6CF8F83C"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根据不同品种贵金属价格周期性波动的特点，在考察不同品种贵金属比价（如金银比价）相对其长期历史中枢偏离度的基础上，研究不同品种贵金属的长期价格趋势和短期市场波动，并在确保市场容量和严格管理投资组合风险的前提下，确定或调整投资组合中不同品种贵金属交易所交易基金、货币市场工具以及中国证监会允许本基金投资的其他金融工具的投资比例。</w:t>
      </w:r>
    </w:p>
    <w:p w14:paraId="2657F4CF"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在本基金所投资的有实物黄金或其他实物贵金属支持的交易所交易基金中，有实物黄金支持的交易所交易基金的资产占比不低于</w:t>
      </w:r>
      <w:r>
        <w:rPr>
          <w:rFonts w:hAnsi="宋体"/>
          <w:bCs/>
          <w:sz w:val="24"/>
          <w:szCs w:val="24"/>
        </w:rPr>
        <w:t>70%</w:t>
      </w:r>
      <w:r>
        <w:rPr>
          <w:rFonts w:hAnsi="宋体"/>
          <w:bCs/>
          <w:sz w:val="24"/>
          <w:szCs w:val="24"/>
        </w:rPr>
        <w:t>，而有其他实物贵金属支持的交易所交易基金的资产占比不超过</w:t>
      </w:r>
      <w:r>
        <w:rPr>
          <w:rFonts w:hAnsi="宋体"/>
          <w:bCs/>
          <w:sz w:val="24"/>
          <w:szCs w:val="24"/>
        </w:rPr>
        <w:t>30%</w:t>
      </w:r>
      <w:r>
        <w:rPr>
          <w:rFonts w:hAnsi="宋体"/>
          <w:bCs/>
          <w:sz w:val="24"/>
          <w:szCs w:val="24"/>
        </w:rPr>
        <w:t>。</w:t>
      </w:r>
    </w:p>
    <w:p w14:paraId="175768F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2</w:t>
      </w:r>
      <w:r>
        <w:rPr>
          <w:rFonts w:hAnsi="宋体"/>
          <w:bCs/>
          <w:sz w:val="24"/>
          <w:szCs w:val="24"/>
        </w:rPr>
        <w:t>、交易所交易基金</w:t>
      </w:r>
      <w:r>
        <w:rPr>
          <w:rFonts w:hAnsi="宋体" w:hint="eastAsia"/>
          <w:bCs/>
          <w:sz w:val="24"/>
          <w:szCs w:val="24"/>
        </w:rPr>
        <w:t>投资</w:t>
      </w:r>
      <w:r>
        <w:rPr>
          <w:rFonts w:hAnsi="宋体"/>
          <w:bCs/>
          <w:sz w:val="24"/>
          <w:szCs w:val="24"/>
        </w:rPr>
        <w:t>策略</w:t>
      </w:r>
    </w:p>
    <w:p w14:paraId="0F62955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本基金管理人在境外交易所选择规模合理、透明度较高、费率低廉、挂牌时间较长、组织架构合理的</w:t>
      </w:r>
      <w:r>
        <w:rPr>
          <w:rFonts w:hAnsi="宋体"/>
          <w:bCs/>
          <w:sz w:val="24"/>
          <w:szCs w:val="24"/>
        </w:rPr>
        <w:t>有实物黄金或其他实物贵金属支持的</w:t>
      </w:r>
      <w:r>
        <w:rPr>
          <w:rFonts w:hAnsi="宋体" w:hint="eastAsia"/>
          <w:bCs/>
          <w:sz w:val="24"/>
          <w:szCs w:val="24"/>
        </w:rPr>
        <w:t>交易所交易基金（</w:t>
      </w:r>
      <w:r>
        <w:rPr>
          <w:rFonts w:hAnsi="宋体" w:hint="eastAsia"/>
          <w:bCs/>
          <w:sz w:val="24"/>
          <w:szCs w:val="24"/>
        </w:rPr>
        <w:t>ETF</w:t>
      </w:r>
      <w:r>
        <w:rPr>
          <w:rFonts w:hAnsi="宋体" w:hint="eastAsia"/>
          <w:bCs/>
          <w:sz w:val="24"/>
          <w:szCs w:val="24"/>
        </w:rPr>
        <w:t>），构建备选基金库。</w:t>
      </w:r>
    </w:p>
    <w:p w14:paraId="5406DFC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根据贵金属资产配置中所确定的</w:t>
      </w:r>
      <w:r>
        <w:rPr>
          <w:rFonts w:hAnsi="宋体"/>
          <w:bCs/>
          <w:sz w:val="24"/>
          <w:szCs w:val="24"/>
        </w:rPr>
        <w:t>不同品种贵金属</w:t>
      </w:r>
      <w:r>
        <w:rPr>
          <w:rFonts w:hAnsi="宋体" w:hint="eastAsia"/>
          <w:bCs/>
          <w:sz w:val="24"/>
          <w:szCs w:val="24"/>
        </w:rPr>
        <w:t>ETF</w:t>
      </w:r>
      <w:r>
        <w:rPr>
          <w:rFonts w:hAnsi="宋体" w:hint="eastAsia"/>
          <w:bCs/>
          <w:sz w:val="24"/>
          <w:szCs w:val="24"/>
        </w:rPr>
        <w:t>的投资比例，本基金进一步从流动性、跟踪误差、上市交易所、交易币种、基金管理人等方面评估备选基金，选择综合评级排名靠前的优质基金进行投资，完成投资组合构建，并根据市场状况、申购赎回要求等因素进行适当的动态调整，努力实现相对业绩基准的超额收益。</w:t>
      </w:r>
    </w:p>
    <w:p w14:paraId="26C3943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、货币市场工具投资</w:t>
      </w:r>
      <w:r>
        <w:rPr>
          <w:rFonts w:hAnsi="宋体"/>
          <w:bCs/>
          <w:sz w:val="24"/>
          <w:szCs w:val="24"/>
        </w:rPr>
        <w:t>策略</w:t>
      </w:r>
    </w:p>
    <w:p w14:paraId="381A8B7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本基金</w:t>
      </w:r>
      <w:r>
        <w:rPr>
          <w:rFonts w:hAnsi="宋体" w:hint="eastAsia"/>
          <w:bCs/>
          <w:sz w:val="24"/>
          <w:szCs w:val="24"/>
        </w:rPr>
        <w:t>管理人</w:t>
      </w:r>
      <w:r>
        <w:rPr>
          <w:rFonts w:hAnsi="宋体"/>
          <w:bCs/>
          <w:sz w:val="24"/>
          <w:szCs w:val="24"/>
        </w:rPr>
        <w:t>综合考虑</w:t>
      </w:r>
      <w:r>
        <w:rPr>
          <w:rFonts w:hAnsi="宋体" w:hint="eastAsia"/>
          <w:bCs/>
          <w:sz w:val="24"/>
          <w:szCs w:val="24"/>
        </w:rPr>
        <w:t>货币市场工具</w:t>
      </w:r>
      <w:r>
        <w:rPr>
          <w:rFonts w:hAnsi="宋体"/>
          <w:bCs/>
          <w:sz w:val="24"/>
          <w:szCs w:val="24"/>
        </w:rPr>
        <w:t>收益、风险和流动性情况，在深入分析宏观经济发展、货币政策以及市场结构的基础上，灵活运用积极和消极的投资策略。消极投资策略的目标是在满足现金管理需要的基础上为基金资产提供稳定的收益。积极投资策略的目标是利用市场定价的短暂无效率来获得低风险甚至是无</w:t>
      </w:r>
      <w:r>
        <w:rPr>
          <w:rFonts w:hAnsi="宋体"/>
          <w:bCs/>
          <w:sz w:val="24"/>
          <w:szCs w:val="24"/>
        </w:rPr>
        <w:lastRenderedPageBreak/>
        <w:t>风险的超额收益。</w:t>
      </w:r>
    </w:p>
    <w:p w14:paraId="6D64A9D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bCs/>
          <w:sz w:val="24"/>
          <w:szCs w:val="24"/>
        </w:rPr>
        <w:t>、金融衍生工具投资策略</w:t>
      </w:r>
    </w:p>
    <w:p w14:paraId="49D3BE7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本基金将金融衍生工具看作是辅助性投资工具，其投资</w:t>
      </w:r>
      <w:r>
        <w:rPr>
          <w:rFonts w:hAnsi="宋体" w:hint="eastAsia"/>
          <w:bCs/>
          <w:sz w:val="24"/>
          <w:szCs w:val="24"/>
        </w:rPr>
        <w:t>目的</w:t>
      </w:r>
      <w:r>
        <w:rPr>
          <w:rFonts w:hAnsi="宋体"/>
          <w:bCs/>
          <w:sz w:val="24"/>
          <w:szCs w:val="24"/>
        </w:rPr>
        <w:t>为对冲本外币的汇率风险</w:t>
      </w:r>
      <w:r>
        <w:rPr>
          <w:rFonts w:hAnsi="宋体" w:hint="eastAsia"/>
          <w:bCs/>
          <w:sz w:val="24"/>
          <w:szCs w:val="24"/>
        </w:rPr>
        <w:t>、</w:t>
      </w:r>
      <w:r>
        <w:rPr>
          <w:rFonts w:hAnsi="宋体"/>
          <w:bCs/>
          <w:sz w:val="24"/>
          <w:szCs w:val="24"/>
        </w:rPr>
        <w:t>优化基金资产的风险收益特征。</w:t>
      </w:r>
    </w:p>
    <w:p w14:paraId="5B3EF20F"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在</w:t>
      </w:r>
      <w:r>
        <w:rPr>
          <w:rFonts w:hAnsi="宋体" w:hint="eastAsia"/>
          <w:bCs/>
          <w:sz w:val="24"/>
          <w:szCs w:val="24"/>
        </w:rPr>
        <w:t>本</w:t>
      </w:r>
      <w:r>
        <w:rPr>
          <w:rFonts w:hAnsi="宋体"/>
          <w:bCs/>
          <w:sz w:val="24"/>
          <w:szCs w:val="24"/>
        </w:rPr>
        <w:t>基金风险承受能力许可的范围内，</w:t>
      </w:r>
      <w:r>
        <w:rPr>
          <w:rFonts w:hAnsi="宋体" w:hint="eastAsia"/>
          <w:bCs/>
          <w:sz w:val="24"/>
          <w:szCs w:val="24"/>
        </w:rPr>
        <w:t>本基金管理人遵循</w:t>
      </w:r>
      <w:r>
        <w:rPr>
          <w:rFonts w:hAnsi="宋体"/>
          <w:bCs/>
          <w:sz w:val="24"/>
          <w:szCs w:val="24"/>
        </w:rPr>
        <w:t>谨慎原则，适度</w:t>
      </w:r>
      <w:r>
        <w:rPr>
          <w:rFonts w:hAnsi="宋体" w:hint="eastAsia"/>
          <w:bCs/>
          <w:sz w:val="24"/>
          <w:szCs w:val="24"/>
        </w:rPr>
        <w:t>投资于部分</w:t>
      </w:r>
      <w:r>
        <w:rPr>
          <w:rFonts w:hAnsi="宋体"/>
          <w:bCs/>
          <w:sz w:val="24"/>
          <w:szCs w:val="24"/>
        </w:rPr>
        <w:t>衍生品</w:t>
      </w:r>
      <w:r>
        <w:rPr>
          <w:rFonts w:hAnsi="宋体" w:hint="eastAsia"/>
          <w:bCs/>
          <w:sz w:val="24"/>
          <w:szCs w:val="24"/>
        </w:rPr>
        <w:t>（如</w:t>
      </w:r>
      <w:r>
        <w:rPr>
          <w:rFonts w:hAnsi="宋体"/>
          <w:bCs/>
          <w:sz w:val="24"/>
          <w:szCs w:val="24"/>
        </w:rPr>
        <w:t>外汇远期合约、外汇互换协议、期权等</w:t>
      </w:r>
      <w:r>
        <w:rPr>
          <w:rFonts w:hAnsi="宋体" w:hint="eastAsia"/>
          <w:bCs/>
          <w:sz w:val="24"/>
          <w:szCs w:val="24"/>
        </w:rPr>
        <w:t>），</w:t>
      </w:r>
      <w:r>
        <w:rPr>
          <w:rFonts w:hAnsi="宋体"/>
          <w:bCs/>
          <w:sz w:val="24"/>
          <w:szCs w:val="24"/>
        </w:rPr>
        <w:t>主要策略为低成本避险。</w:t>
      </w:r>
    </w:p>
    <w:p w14:paraId="18D91BF1"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五、</w:t>
      </w:r>
      <w:r>
        <w:rPr>
          <w:rFonts w:hAnsi="宋体"/>
          <w:b/>
          <w:bCs/>
          <w:sz w:val="24"/>
          <w:szCs w:val="24"/>
        </w:rPr>
        <w:t>投资决策依据和决策程序</w:t>
      </w:r>
    </w:p>
    <w:p w14:paraId="5C11B50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（一）决策依据</w:t>
      </w:r>
    </w:p>
    <w:p w14:paraId="2E59DA0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、国家有关法律、法规和基金合同的有关规定；</w:t>
      </w:r>
    </w:p>
    <w:p w14:paraId="480D2EC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、国内外宏观经济形势；</w:t>
      </w:r>
    </w:p>
    <w:p w14:paraId="3CC78C8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、世界主要国家货币政策、产业政策以及证券市场政策；</w:t>
      </w:r>
    </w:p>
    <w:p w14:paraId="4E6654B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、黄金及其他贵金属行业发展现状及前景。</w:t>
      </w:r>
    </w:p>
    <w:p w14:paraId="46CD6D4A"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（二）决策程序</w:t>
      </w:r>
    </w:p>
    <w:bookmarkEnd w:id="32"/>
    <w:bookmarkEnd w:id="33"/>
    <w:p w14:paraId="51E6842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实行投资决策团队制，强调团队合作，充分发挥集体智慧。本基金管理人将投资和研究职能整合，设立了投资研究部，策略分析师、行业分析师、金融工程小组和基金经理立足本职工作，充分发挥主观能动性，渗透到投资研究的关键环节，群策群力，为基金份额持有人谋取中、长期稳定的较高投资回报。</w:t>
      </w:r>
    </w:p>
    <w:p w14:paraId="1369997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本基金投资决策流程为：</w:t>
      </w:r>
    </w:p>
    <w:p w14:paraId="5530A83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、策略分析师就宏观、政策、投资主题、市场环境提交策略报告并讨论；黄金及其他贵金属行业研究员就不同品种贵金属的估值比较提交研究报告并讨论；</w:t>
      </w:r>
    </w:p>
    <w:p w14:paraId="46B2453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、基金经理在策略会议的基础之上提出贵金属资产配置的建议；</w:t>
      </w:r>
    </w:p>
    <w:p w14:paraId="4015EC6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、投资决策委员会审议基金经理提交的贵金属资产配置建议，并确定不同品种贵金属配置比例的范围；</w:t>
      </w:r>
    </w:p>
    <w:p w14:paraId="241BFA3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、投资研究部提交备选基金库，在此基础上，基金经理、黄金及其他贵金属行业研究员决定核心基金库名单；</w:t>
      </w:r>
    </w:p>
    <w:p w14:paraId="605A3FE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、基金经理在考虑资产配置的情况下，经过风险收益的权衡，决定投资组合方案；</w:t>
      </w:r>
    </w:p>
    <w:p w14:paraId="0151944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6</w:t>
      </w:r>
      <w:r>
        <w:rPr>
          <w:rFonts w:hAnsi="宋体" w:hint="eastAsia"/>
          <w:bCs/>
          <w:sz w:val="24"/>
          <w:szCs w:val="24"/>
        </w:rPr>
        <w:t>、投资总监审核投资组合方案后，交由基金经理实施；</w:t>
      </w:r>
    </w:p>
    <w:p w14:paraId="31B20CB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lastRenderedPageBreak/>
        <w:t>7</w:t>
      </w:r>
      <w:r>
        <w:rPr>
          <w:rFonts w:hAnsi="宋体" w:hint="eastAsia"/>
          <w:bCs/>
          <w:sz w:val="24"/>
          <w:szCs w:val="24"/>
        </w:rPr>
        <w:t>、集中交易室执行交易指令；</w:t>
      </w:r>
    </w:p>
    <w:p w14:paraId="169F50D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8</w:t>
      </w:r>
      <w:r>
        <w:rPr>
          <w:rFonts w:hAnsi="宋体" w:hint="eastAsia"/>
          <w:bCs/>
          <w:sz w:val="24"/>
          <w:szCs w:val="24"/>
        </w:rPr>
        <w:t>、金融工程小组进行全程风险评估和绩效分析。</w:t>
      </w:r>
    </w:p>
    <w:p w14:paraId="78ECB3C2"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六、</w:t>
      </w:r>
      <w:r>
        <w:rPr>
          <w:rFonts w:hAnsi="宋体"/>
          <w:b/>
          <w:bCs/>
          <w:sz w:val="24"/>
          <w:szCs w:val="24"/>
        </w:rPr>
        <w:t>投资限制</w:t>
      </w:r>
      <w:r>
        <w:rPr>
          <w:rFonts w:hAnsi="宋体"/>
          <w:b/>
          <w:bCs/>
          <w:sz w:val="24"/>
          <w:szCs w:val="24"/>
        </w:rPr>
        <w:t xml:space="preserve"> </w:t>
      </w:r>
    </w:p>
    <w:p w14:paraId="2BB920C3"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（一）禁止行为</w:t>
      </w:r>
    </w:p>
    <w:p w14:paraId="782A9DB2"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为维护基金份额持有人的合法权益，除中国证监会另有规定外，本基金禁止从事下列行为：</w:t>
      </w:r>
    </w:p>
    <w:p w14:paraId="15F0B31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bCs/>
          <w:sz w:val="24"/>
          <w:szCs w:val="24"/>
        </w:rPr>
        <w:t>）承销证券；</w:t>
      </w:r>
    </w:p>
    <w:p w14:paraId="4E137C4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w:t>
      </w:r>
      <w:r>
        <w:rPr>
          <w:rFonts w:hAnsi="宋体"/>
          <w:bCs/>
          <w:sz w:val="24"/>
          <w:szCs w:val="24"/>
        </w:rPr>
        <w:t>）向他人贷款或提供担保；</w:t>
      </w:r>
    </w:p>
    <w:p w14:paraId="5C92AFF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3</w:t>
      </w:r>
      <w:r>
        <w:rPr>
          <w:rFonts w:hAnsi="宋体"/>
          <w:bCs/>
          <w:sz w:val="24"/>
          <w:szCs w:val="24"/>
        </w:rPr>
        <w:t>）从事承担无限责任的投资；</w:t>
      </w:r>
    </w:p>
    <w:p w14:paraId="0275753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4</w:t>
      </w:r>
      <w:r>
        <w:rPr>
          <w:rFonts w:hAnsi="宋体"/>
          <w:bCs/>
          <w:sz w:val="24"/>
          <w:szCs w:val="24"/>
        </w:rPr>
        <w:t>）购买不动产；</w:t>
      </w:r>
    </w:p>
    <w:p w14:paraId="6F1E9AB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5</w:t>
      </w:r>
      <w:r>
        <w:rPr>
          <w:rFonts w:hAnsi="宋体"/>
          <w:bCs/>
          <w:sz w:val="24"/>
          <w:szCs w:val="24"/>
        </w:rPr>
        <w:t>）购买房地产抵押按揭；</w:t>
      </w:r>
    </w:p>
    <w:p w14:paraId="04215EBC"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6</w:t>
      </w:r>
      <w:r>
        <w:rPr>
          <w:rFonts w:hAnsi="宋体"/>
          <w:bCs/>
          <w:sz w:val="24"/>
          <w:szCs w:val="24"/>
        </w:rPr>
        <w:t>）购买贵重金属或代表贵重金属的凭证；</w:t>
      </w:r>
    </w:p>
    <w:p w14:paraId="0F3C020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7</w:t>
      </w:r>
      <w:r>
        <w:rPr>
          <w:rFonts w:hAnsi="宋体"/>
          <w:bCs/>
          <w:sz w:val="24"/>
          <w:szCs w:val="24"/>
        </w:rPr>
        <w:t>）购买实物商品；</w:t>
      </w:r>
    </w:p>
    <w:p w14:paraId="0C269512"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8</w:t>
      </w:r>
      <w:r>
        <w:rPr>
          <w:rFonts w:hAnsi="宋体"/>
          <w:bCs/>
          <w:sz w:val="24"/>
          <w:szCs w:val="24"/>
        </w:rPr>
        <w:t>）除应付赎回、交易清算等临时用途以外，借入现金</w:t>
      </w:r>
      <w:r>
        <w:rPr>
          <w:rFonts w:hAnsi="宋体" w:hint="eastAsia"/>
          <w:bCs/>
          <w:sz w:val="24"/>
          <w:szCs w:val="24"/>
        </w:rPr>
        <w:t>；</w:t>
      </w:r>
      <w:r>
        <w:rPr>
          <w:rFonts w:hAnsi="宋体"/>
          <w:bCs/>
          <w:sz w:val="24"/>
          <w:szCs w:val="24"/>
        </w:rPr>
        <w:t>该临时用途借入现金的比例不得超过基金资产净值的</w:t>
      </w:r>
      <w:r>
        <w:rPr>
          <w:rFonts w:hAnsi="宋体"/>
          <w:bCs/>
          <w:sz w:val="24"/>
          <w:szCs w:val="24"/>
        </w:rPr>
        <w:t>10</w:t>
      </w:r>
      <w:r>
        <w:rPr>
          <w:rFonts w:hAnsi="宋体" w:hint="eastAsia"/>
          <w:bCs/>
          <w:sz w:val="24"/>
          <w:szCs w:val="24"/>
        </w:rPr>
        <w:t>%</w:t>
      </w:r>
      <w:r>
        <w:rPr>
          <w:rFonts w:hAnsi="宋体"/>
          <w:bCs/>
          <w:sz w:val="24"/>
          <w:szCs w:val="24"/>
        </w:rPr>
        <w:t>；</w:t>
      </w:r>
    </w:p>
    <w:p w14:paraId="3F3194CD"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9</w:t>
      </w:r>
      <w:r>
        <w:rPr>
          <w:rFonts w:hAnsi="宋体"/>
          <w:bCs/>
          <w:sz w:val="24"/>
          <w:szCs w:val="24"/>
        </w:rPr>
        <w:t>）利用融资购买证券，但投资金融衍生品除外；</w:t>
      </w:r>
    </w:p>
    <w:p w14:paraId="6C265E5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10</w:t>
      </w:r>
      <w:r>
        <w:rPr>
          <w:rFonts w:hAnsi="宋体"/>
          <w:bCs/>
          <w:sz w:val="24"/>
          <w:szCs w:val="24"/>
        </w:rPr>
        <w:t>）参与未持有基础资产的卖空交易；</w:t>
      </w:r>
    </w:p>
    <w:p w14:paraId="16FD9EE6"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11</w:t>
      </w:r>
      <w:r>
        <w:rPr>
          <w:rFonts w:hAnsi="宋体"/>
          <w:bCs/>
          <w:sz w:val="24"/>
          <w:szCs w:val="24"/>
        </w:rPr>
        <w:t>）购买证券用于控制或影响发行该证券的机构或其管理层；</w:t>
      </w:r>
    </w:p>
    <w:p w14:paraId="1AC5A41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12</w:t>
      </w:r>
      <w:r>
        <w:rPr>
          <w:rFonts w:hAnsi="宋体"/>
          <w:bCs/>
          <w:sz w:val="24"/>
          <w:szCs w:val="24"/>
        </w:rPr>
        <w:t>）直接投资与实物商品相关的衍生品；</w:t>
      </w:r>
    </w:p>
    <w:p w14:paraId="2B33D0BB"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13</w:t>
      </w:r>
      <w:r>
        <w:rPr>
          <w:rFonts w:hAnsi="宋体"/>
          <w:bCs/>
          <w:sz w:val="24"/>
          <w:szCs w:val="24"/>
        </w:rPr>
        <w:t>）向基金管理人、基金托管人出资或者买卖其基金管理人、基金托管人发行的股票或债券；</w:t>
      </w:r>
    </w:p>
    <w:p w14:paraId="7DDB646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14</w:t>
      </w:r>
      <w:r>
        <w:rPr>
          <w:rFonts w:hAnsi="宋体"/>
          <w:bCs/>
          <w:sz w:val="24"/>
          <w:szCs w:val="24"/>
        </w:rPr>
        <w:t>）买卖与基金管理人、基金托管人有控股关系的股东或者与基金管理人、基金托管人有其他重大利害关系的公司发行的证券或者承销期内承销的证券；</w:t>
      </w:r>
    </w:p>
    <w:p w14:paraId="64A6E442"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15</w:t>
      </w:r>
      <w:r>
        <w:rPr>
          <w:rFonts w:hAnsi="宋体"/>
          <w:bCs/>
          <w:sz w:val="24"/>
          <w:szCs w:val="24"/>
        </w:rPr>
        <w:t>）</w:t>
      </w:r>
      <w:r>
        <w:rPr>
          <w:rFonts w:hAnsi="宋体" w:hint="eastAsia"/>
          <w:bCs/>
          <w:sz w:val="24"/>
          <w:szCs w:val="24"/>
        </w:rPr>
        <w:t>从事内幕交易、操纵证券价格及其他不正当的证券交易活动；</w:t>
      </w:r>
    </w:p>
    <w:p w14:paraId="718F9E1A"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hint="eastAsia"/>
          <w:bCs/>
          <w:sz w:val="24"/>
          <w:szCs w:val="24"/>
        </w:rPr>
        <w:t>6</w:t>
      </w:r>
      <w:r>
        <w:rPr>
          <w:rFonts w:hAnsi="宋体"/>
          <w:bCs/>
          <w:sz w:val="24"/>
          <w:szCs w:val="24"/>
        </w:rPr>
        <w:t>）当时有效的法律法规、中国证监会及《基金合同》规定禁止从事的其他行为。</w:t>
      </w:r>
    </w:p>
    <w:p w14:paraId="2DB13B6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如法律法规或监管部门取消上述禁止性规定，本基金管理人在履行适当程序后可不受上述规定的限制。</w:t>
      </w:r>
    </w:p>
    <w:p w14:paraId="03402D32"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（二）投资组合限制</w:t>
      </w:r>
    </w:p>
    <w:p w14:paraId="50127DAD"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bCs/>
          <w:sz w:val="24"/>
          <w:szCs w:val="24"/>
        </w:rPr>
        <w:t>）按法律法规的规定及《基金合同》的约定，本基金的投资资产配置比</w:t>
      </w:r>
      <w:r>
        <w:rPr>
          <w:rFonts w:hAnsi="宋体"/>
          <w:bCs/>
          <w:sz w:val="24"/>
          <w:szCs w:val="24"/>
        </w:rPr>
        <w:lastRenderedPageBreak/>
        <w:t>例为：</w:t>
      </w:r>
    </w:p>
    <w:p w14:paraId="706C3DA0"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本基金投资于有实物黄金或其他实物贵金属支持的交易所交易基金</w:t>
      </w:r>
      <w:r>
        <w:rPr>
          <w:rFonts w:hAnsi="宋体" w:hint="eastAsia"/>
          <w:bCs/>
          <w:sz w:val="24"/>
          <w:szCs w:val="24"/>
        </w:rPr>
        <w:t>（</w:t>
      </w:r>
      <w:r>
        <w:rPr>
          <w:rFonts w:hAnsi="宋体" w:hint="eastAsia"/>
          <w:bCs/>
          <w:sz w:val="24"/>
          <w:szCs w:val="24"/>
        </w:rPr>
        <w:t>ETF</w:t>
      </w:r>
      <w:r>
        <w:rPr>
          <w:rFonts w:hAnsi="宋体" w:hint="eastAsia"/>
          <w:bCs/>
          <w:sz w:val="24"/>
          <w:szCs w:val="24"/>
        </w:rPr>
        <w:t>）</w:t>
      </w:r>
      <w:r>
        <w:rPr>
          <w:rFonts w:hAnsi="宋体"/>
          <w:bCs/>
          <w:sz w:val="24"/>
          <w:szCs w:val="24"/>
        </w:rPr>
        <w:t>的比例不低于基金资产的</w:t>
      </w:r>
      <w:r>
        <w:rPr>
          <w:rFonts w:hAnsi="宋体" w:hint="eastAsia"/>
          <w:bCs/>
          <w:sz w:val="24"/>
          <w:szCs w:val="24"/>
        </w:rPr>
        <w:t>9</w:t>
      </w:r>
      <w:r>
        <w:rPr>
          <w:rFonts w:hAnsi="宋体"/>
          <w:bCs/>
          <w:sz w:val="24"/>
          <w:szCs w:val="24"/>
        </w:rPr>
        <w:t>0%</w:t>
      </w:r>
      <w:r>
        <w:rPr>
          <w:rFonts w:hAnsi="宋体"/>
          <w:bCs/>
          <w:sz w:val="24"/>
          <w:szCs w:val="24"/>
        </w:rPr>
        <w:t>；基金保留的现金或投资于到期日在一年以内的政府债券的比例合计不低于基金资产净值的</w:t>
      </w:r>
      <w:r>
        <w:rPr>
          <w:rFonts w:hAnsi="宋体"/>
          <w:bCs/>
          <w:sz w:val="24"/>
          <w:szCs w:val="24"/>
        </w:rPr>
        <w:t>5%</w:t>
      </w:r>
      <w:r>
        <w:rPr>
          <w:rFonts w:hAnsi="宋体" w:hint="eastAsia"/>
          <w:bCs/>
          <w:sz w:val="24"/>
          <w:szCs w:val="24"/>
        </w:rPr>
        <w:t>，本基金所指的现金不包括结算备付金、存出保证金、应收申购款等</w:t>
      </w:r>
      <w:r>
        <w:rPr>
          <w:rFonts w:hAnsi="宋体"/>
          <w:bCs/>
          <w:sz w:val="24"/>
          <w:szCs w:val="24"/>
        </w:rPr>
        <w:t>。</w:t>
      </w:r>
    </w:p>
    <w:p w14:paraId="03850390"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在本基金所投资的有实物黄金或其他实物贵金属支持的交易所交易基金中，有实物黄金支持的交易所交易基金的资产占比不低于</w:t>
      </w:r>
      <w:r>
        <w:rPr>
          <w:rFonts w:hAnsi="宋体"/>
          <w:bCs/>
          <w:sz w:val="24"/>
          <w:szCs w:val="24"/>
        </w:rPr>
        <w:t>70%</w:t>
      </w:r>
      <w:r>
        <w:rPr>
          <w:rFonts w:hAnsi="宋体"/>
          <w:bCs/>
          <w:sz w:val="24"/>
          <w:szCs w:val="24"/>
        </w:rPr>
        <w:t>，而有其他实物贵金属支持的交易所交易基金的资产占比不超过</w:t>
      </w:r>
      <w:r>
        <w:rPr>
          <w:rFonts w:hAnsi="宋体"/>
          <w:bCs/>
          <w:sz w:val="24"/>
          <w:szCs w:val="24"/>
        </w:rPr>
        <w:t>30%</w:t>
      </w:r>
      <w:r>
        <w:rPr>
          <w:rFonts w:hAnsi="宋体"/>
          <w:bCs/>
          <w:sz w:val="24"/>
          <w:szCs w:val="24"/>
        </w:rPr>
        <w:t>。</w:t>
      </w:r>
    </w:p>
    <w:p w14:paraId="20E6561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w:t>
      </w:r>
      <w:r>
        <w:rPr>
          <w:rFonts w:hAnsi="宋体"/>
          <w:bCs/>
          <w:sz w:val="24"/>
          <w:szCs w:val="24"/>
        </w:rPr>
        <w:t>）根据法律法规的规定及《基金合同》的约定，本基金投资组合遵循以下投资限制：</w:t>
      </w:r>
    </w:p>
    <w:p w14:paraId="3F81CC0F"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1</w:t>
      </w:r>
      <w:r>
        <w:rPr>
          <w:rFonts w:hAnsi="宋体" w:hint="eastAsia"/>
          <w:bCs/>
          <w:sz w:val="24"/>
          <w:szCs w:val="24"/>
        </w:rPr>
        <w:t>）</w:t>
      </w:r>
      <w:r>
        <w:rPr>
          <w:rFonts w:hAnsi="宋体"/>
          <w:bCs/>
          <w:sz w:val="24"/>
          <w:szCs w:val="24"/>
        </w:rPr>
        <w:t>本基金持有同一家银行的存款不得超过基金净值的</w:t>
      </w:r>
      <w:r>
        <w:rPr>
          <w:rFonts w:hAnsi="宋体"/>
          <w:bCs/>
          <w:sz w:val="24"/>
          <w:szCs w:val="24"/>
        </w:rPr>
        <w:t>20%</w:t>
      </w:r>
      <w:r>
        <w:rPr>
          <w:rFonts w:hAnsi="宋体"/>
          <w:bCs/>
          <w:sz w:val="24"/>
          <w:szCs w:val="24"/>
        </w:rPr>
        <w:t>，其中银行应当是中资商业银行在境外设立的分行或在最近一个会计年度达到中国证监会认可的信用评级机构评级的境外银行，但存放于境内外托管行的存款可以不受上述限制。</w:t>
      </w:r>
    </w:p>
    <w:p w14:paraId="717E202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2</w:t>
      </w:r>
      <w:r>
        <w:rPr>
          <w:rFonts w:hAnsi="宋体" w:hint="eastAsia"/>
          <w:bCs/>
          <w:sz w:val="24"/>
          <w:szCs w:val="24"/>
        </w:rPr>
        <w:t>）</w:t>
      </w:r>
      <w:r>
        <w:rPr>
          <w:rFonts w:hAnsi="宋体"/>
          <w:bCs/>
          <w:sz w:val="24"/>
          <w:szCs w:val="24"/>
        </w:rPr>
        <w:t>本基金持有同一机构（政府、国际金融组织除外）发行的证券</w:t>
      </w:r>
      <w:r>
        <w:rPr>
          <w:rFonts w:hAnsi="宋体" w:hint="eastAsia"/>
          <w:bCs/>
          <w:sz w:val="24"/>
          <w:szCs w:val="24"/>
        </w:rPr>
        <w:t>（不包括境外基金）</w:t>
      </w:r>
      <w:r>
        <w:rPr>
          <w:rFonts w:hAnsi="宋体"/>
          <w:bCs/>
          <w:sz w:val="24"/>
          <w:szCs w:val="24"/>
        </w:rPr>
        <w:t>市值不得超过基金资产净值的</w:t>
      </w:r>
      <w:r>
        <w:rPr>
          <w:rFonts w:hAnsi="宋体"/>
          <w:bCs/>
          <w:sz w:val="24"/>
          <w:szCs w:val="24"/>
        </w:rPr>
        <w:t>10%</w:t>
      </w:r>
      <w:r>
        <w:rPr>
          <w:rFonts w:hAnsi="宋体"/>
          <w:bCs/>
          <w:sz w:val="24"/>
          <w:szCs w:val="24"/>
        </w:rPr>
        <w:t>。</w:t>
      </w:r>
    </w:p>
    <w:p w14:paraId="0EA48E0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3</w:t>
      </w:r>
      <w:r>
        <w:rPr>
          <w:rFonts w:hAnsi="宋体" w:hint="eastAsia"/>
          <w:bCs/>
          <w:sz w:val="24"/>
          <w:szCs w:val="24"/>
        </w:rPr>
        <w:t>）</w:t>
      </w:r>
      <w:r>
        <w:rPr>
          <w:rFonts w:hAnsi="宋体"/>
          <w:bCs/>
          <w:sz w:val="24"/>
          <w:szCs w:val="24"/>
        </w:rPr>
        <w:t>本基金持有与中国证监会签署双边监管合作谅解备忘录国家或地区以外的其他国家或地区证券市场挂牌交易的证券资产不得超过基金资产净值的</w:t>
      </w:r>
      <w:r>
        <w:rPr>
          <w:rFonts w:hAnsi="宋体"/>
          <w:bCs/>
          <w:sz w:val="24"/>
          <w:szCs w:val="24"/>
        </w:rPr>
        <w:t>10%</w:t>
      </w:r>
      <w:r>
        <w:rPr>
          <w:rFonts w:hAnsi="宋体"/>
          <w:bCs/>
          <w:sz w:val="24"/>
          <w:szCs w:val="24"/>
        </w:rPr>
        <w:t>，其中持有任一国家或地区市场的证券资产不得超过基金资产净值的</w:t>
      </w:r>
      <w:r>
        <w:rPr>
          <w:rFonts w:hAnsi="宋体"/>
          <w:bCs/>
          <w:sz w:val="24"/>
          <w:szCs w:val="24"/>
        </w:rPr>
        <w:t>3%</w:t>
      </w:r>
      <w:r>
        <w:rPr>
          <w:rFonts w:hAnsi="宋体"/>
          <w:bCs/>
          <w:sz w:val="24"/>
          <w:szCs w:val="24"/>
        </w:rPr>
        <w:t>。</w:t>
      </w:r>
    </w:p>
    <w:p w14:paraId="59E960C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）基金管理人管理的全部基金持有任何一只境外基金，不得超过该境外基金总份额的</w:t>
      </w:r>
      <w:r>
        <w:rPr>
          <w:rFonts w:hAnsi="宋体" w:hint="eastAsia"/>
          <w:bCs/>
          <w:sz w:val="24"/>
          <w:szCs w:val="24"/>
        </w:rPr>
        <w:t>20%</w:t>
      </w:r>
      <w:r>
        <w:rPr>
          <w:rFonts w:hAnsi="宋体" w:hint="eastAsia"/>
          <w:bCs/>
          <w:sz w:val="24"/>
          <w:szCs w:val="24"/>
        </w:rPr>
        <w:t>。</w:t>
      </w:r>
    </w:p>
    <w:p w14:paraId="6933BCD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）为应付赎回、交易清算等临时用途借入现金的比例不得超过基金资产净值的</w:t>
      </w:r>
      <w:r>
        <w:rPr>
          <w:rFonts w:hAnsi="宋体" w:hint="eastAsia"/>
          <w:bCs/>
          <w:sz w:val="24"/>
          <w:szCs w:val="24"/>
        </w:rPr>
        <w:t>10%</w:t>
      </w:r>
      <w:r>
        <w:rPr>
          <w:rFonts w:hAnsi="宋体" w:hint="eastAsia"/>
          <w:bCs/>
          <w:sz w:val="24"/>
          <w:szCs w:val="24"/>
        </w:rPr>
        <w:t>。</w:t>
      </w:r>
    </w:p>
    <w:p w14:paraId="00E1580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6</w:t>
      </w:r>
      <w:r>
        <w:rPr>
          <w:rFonts w:hAnsi="宋体" w:hint="eastAsia"/>
          <w:bCs/>
          <w:sz w:val="24"/>
          <w:szCs w:val="24"/>
        </w:rPr>
        <w:t>）每只境外基金投资比例不超过本基金基金资产净值的</w:t>
      </w:r>
      <w:r>
        <w:rPr>
          <w:rFonts w:hAnsi="宋体" w:hint="eastAsia"/>
          <w:bCs/>
          <w:sz w:val="24"/>
          <w:szCs w:val="24"/>
        </w:rPr>
        <w:t>20%</w:t>
      </w:r>
      <w:r>
        <w:rPr>
          <w:rFonts w:hAnsi="宋体" w:hint="eastAsia"/>
          <w:bCs/>
          <w:sz w:val="24"/>
          <w:szCs w:val="24"/>
        </w:rPr>
        <w:t>。本基金投资境外伞型基金的，该伞型基金应当视为一只基金。</w:t>
      </w:r>
    </w:p>
    <w:p w14:paraId="5FFBEEE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7</w:t>
      </w:r>
      <w:r>
        <w:rPr>
          <w:rFonts w:hAnsi="宋体" w:hint="eastAsia"/>
          <w:bCs/>
          <w:sz w:val="24"/>
          <w:szCs w:val="24"/>
        </w:rPr>
        <w:t>）</w:t>
      </w:r>
      <w:r>
        <w:rPr>
          <w:rFonts w:hAnsi="宋体"/>
          <w:bCs/>
          <w:sz w:val="24"/>
          <w:szCs w:val="24"/>
        </w:rPr>
        <w:t>本基金投资衍生品应当仅限于投资组合避险或有效管理，不得用于投机或放大交易，同时应当严格遵守下列规定：</w:t>
      </w:r>
    </w:p>
    <w:p w14:paraId="5F08B0EA"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A</w:t>
      </w:r>
      <w:r>
        <w:rPr>
          <w:rFonts w:hAnsi="宋体" w:hint="eastAsia"/>
          <w:bCs/>
          <w:sz w:val="24"/>
          <w:szCs w:val="24"/>
        </w:rPr>
        <w:t>、</w:t>
      </w:r>
      <w:r>
        <w:rPr>
          <w:rFonts w:hAnsi="宋体"/>
          <w:bCs/>
          <w:sz w:val="24"/>
          <w:szCs w:val="24"/>
        </w:rPr>
        <w:t>本基金的金融衍生品全部敞口不得高于基金资产净值的</w:t>
      </w:r>
      <w:r>
        <w:rPr>
          <w:rFonts w:hAnsi="宋体"/>
          <w:bCs/>
          <w:sz w:val="24"/>
          <w:szCs w:val="24"/>
        </w:rPr>
        <w:t>100</w:t>
      </w:r>
      <w:r>
        <w:rPr>
          <w:rFonts w:hAnsi="宋体" w:hint="eastAsia"/>
          <w:bCs/>
          <w:sz w:val="24"/>
          <w:szCs w:val="24"/>
        </w:rPr>
        <w:t>%</w:t>
      </w:r>
      <w:r>
        <w:rPr>
          <w:rFonts w:hAnsi="宋体"/>
          <w:bCs/>
          <w:sz w:val="24"/>
          <w:szCs w:val="24"/>
        </w:rPr>
        <w:t>。</w:t>
      </w:r>
    </w:p>
    <w:p w14:paraId="6B77F19F"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B</w:t>
      </w:r>
      <w:r>
        <w:rPr>
          <w:rFonts w:hAnsi="宋体" w:hint="eastAsia"/>
          <w:bCs/>
          <w:sz w:val="24"/>
          <w:szCs w:val="24"/>
        </w:rPr>
        <w:t>、</w:t>
      </w:r>
      <w:r>
        <w:rPr>
          <w:rFonts w:hAnsi="宋体"/>
          <w:bCs/>
          <w:sz w:val="24"/>
          <w:szCs w:val="24"/>
        </w:rPr>
        <w:t>本基金投资期货支付的初始保证金、投资期权支付或收取的期权费、投资柜台交易衍生品支付的初始费用的总额不得高于基金资产净值的</w:t>
      </w:r>
      <w:r>
        <w:rPr>
          <w:rFonts w:hAnsi="宋体"/>
          <w:bCs/>
          <w:sz w:val="24"/>
          <w:szCs w:val="24"/>
        </w:rPr>
        <w:t>10</w:t>
      </w:r>
      <w:r>
        <w:rPr>
          <w:rFonts w:hAnsi="宋体" w:hint="eastAsia"/>
          <w:bCs/>
          <w:sz w:val="24"/>
          <w:szCs w:val="24"/>
        </w:rPr>
        <w:t>%</w:t>
      </w:r>
      <w:r>
        <w:rPr>
          <w:rFonts w:hAnsi="宋体"/>
          <w:bCs/>
          <w:sz w:val="24"/>
          <w:szCs w:val="24"/>
        </w:rPr>
        <w:t>。</w:t>
      </w:r>
    </w:p>
    <w:p w14:paraId="737D6130"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lastRenderedPageBreak/>
        <w:t>C</w:t>
      </w:r>
      <w:r>
        <w:rPr>
          <w:rFonts w:hAnsi="宋体" w:hint="eastAsia"/>
          <w:bCs/>
          <w:sz w:val="24"/>
          <w:szCs w:val="24"/>
        </w:rPr>
        <w:t>、</w:t>
      </w:r>
      <w:r>
        <w:rPr>
          <w:rFonts w:hAnsi="宋体"/>
          <w:bCs/>
          <w:sz w:val="24"/>
          <w:szCs w:val="24"/>
        </w:rPr>
        <w:t>本基金投资于远期合约、互换等柜台交易金融衍生品，应当符合以下要求：</w:t>
      </w:r>
    </w:p>
    <w:p w14:paraId="2C06552A"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a</w:t>
      </w:r>
      <w:r>
        <w:rPr>
          <w:rFonts w:hAnsi="宋体" w:hint="eastAsia"/>
          <w:bCs/>
          <w:sz w:val="24"/>
          <w:szCs w:val="24"/>
        </w:rPr>
        <w:t>、</w:t>
      </w:r>
      <w:r>
        <w:rPr>
          <w:rFonts w:hAnsi="宋体"/>
          <w:bCs/>
          <w:sz w:val="24"/>
          <w:szCs w:val="24"/>
        </w:rPr>
        <w:t>所有参与交易的对手方（中资商业银行除外）应当具有不低于中国证监会认可的信用评级机构评级；</w:t>
      </w:r>
    </w:p>
    <w:p w14:paraId="09FE074D"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b</w:t>
      </w:r>
      <w:r>
        <w:rPr>
          <w:rFonts w:hAnsi="宋体" w:hint="eastAsia"/>
          <w:bCs/>
          <w:sz w:val="24"/>
          <w:szCs w:val="24"/>
        </w:rPr>
        <w:t>、</w:t>
      </w:r>
      <w:r>
        <w:rPr>
          <w:rFonts w:hAnsi="宋体"/>
          <w:bCs/>
          <w:sz w:val="24"/>
          <w:szCs w:val="24"/>
        </w:rPr>
        <w:t>交易对手方应当至少每个工作日对交易进行估值，并且基金可在任何时候以公允价值终止交易；</w:t>
      </w:r>
    </w:p>
    <w:p w14:paraId="716ABCAF"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c</w:t>
      </w:r>
      <w:r>
        <w:rPr>
          <w:rFonts w:hAnsi="宋体" w:hint="eastAsia"/>
          <w:bCs/>
          <w:sz w:val="24"/>
          <w:szCs w:val="24"/>
        </w:rPr>
        <w:t>、</w:t>
      </w:r>
      <w:r>
        <w:rPr>
          <w:rFonts w:hAnsi="宋体"/>
          <w:bCs/>
          <w:sz w:val="24"/>
          <w:szCs w:val="24"/>
        </w:rPr>
        <w:t>任一交易对手方的市值计价敞口不得超过基金资产净值的</w:t>
      </w:r>
      <w:r>
        <w:rPr>
          <w:rFonts w:hAnsi="宋体"/>
          <w:bCs/>
          <w:sz w:val="24"/>
          <w:szCs w:val="24"/>
        </w:rPr>
        <w:t>20</w:t>
      </w:r>
      <w:r>
        <w:rPr>
          <w:rFonts w:hAnsi="宋体" w:hint="eastAsia"/>
          <w:bCs/>
          <w:sz w:val="24"/>
          <w:szCs w:val="24"/>
        </w:rPr>
        <w:t>%</w:t>
      </w:r>
      <w:r>
        <w:rPr>
          <w:rFonts w:hAnsi="宋体" w:hint="eastAsia"/>
          <w:bCs/>
          <w:sz w:val="24"/>
          <w:szCs w:val="24"/>
        </w:rPr>
        <w:t>。</w:t>
      </w:r>
    </w:p>
    <w:p w14:paraId="26D569C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8</w:t>
      </w:r>
      <w:r>
        <w:rPr>
          <w:rFonts w:hAnsi="宋体" w:hint="eastAsia"/>
          <w:bCs/>
          <w:sz w:val="24"/>
          <w:szCs w:val="24"/>
        </w:rPr>
        <w:t>）本基金不得投资于以下基金：</w:t>
      </w:r>
    </w:p>
    <w:p w14:paraId="6446E56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A</w:t>
      </w:r>
      <w:r>
        <w:rPr>
          <w:rFonts w:hAnsi="宋体" w:hint="eastAsia"/>
          <w:bCs/>
          <w:sz w:val="24"/>
          <w:szCs w:val="24"/>
        </w:rPr>
        <w:t>、其他基金中基金；</w:t>
      </w:r>
    </w:p>
    <w:p w14:paraId="0EDBADE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B</w:t>
      </w:r>
      <w:r>
        <w:rPr>
          <w:rFonts w:hAnsi="宋体" w:hint="eastAsia"/>
          <w:bCs/>
          <w:sz w:val="24"/>
          <w:szCs w:val="24"/>
        </w:rPr>
        <w:t>、联接基金（</w:t>
      </w:r>
      <w:r>
        <w:rPr>
          <w:rFonts w:hAnsi="宋体" w:hint="eastAsia"/>
          <w:bCs/>
          <w:sz w:val="24"/>
          <w:szCs w:val="24"/>
        </w:rPr>
        <w:t>A Feeder Fund</w:t>
      </w:r>
      <w:r>
        <w:rPr>
          <w:rFonts w:hAnsi="宋体" w:hint="eastAsia"/>
          <w:bCs/>
          <w:sz w:val="24"/>
          <w:szCs w:val="24"/>
        </w:rPr>
        <w:t>）；</w:t>
      </w:r>
    </w:p>
    <w:p w14:paraId="1CAA8E8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C</w:t>
      </w:r>
      <w:r>
        <w:rPr>
          <w:rFonts w:hAnsi="宋体" w:hint="eastAsia"/>
          <w:bCs/>
          <w:sz w:val="24"/>
          <w:szCs w:val="24"/>
        </w:rPr>
        <w:t>、投资于前述两项基金的伞型基金子基金。</w:t>
      </w:r>
    </w:p>
    <w:p w14:paraId="562B435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9</w:t>
      </w:r>
      <w:r>
        <w:rPr>
          <w:rFonts w:hAnsi="宋体" w:hint="eastAsia"/>
          <w:bCs/>
          <w:sz w:val="24"/>
          <w:szCs w:val="24"/>
        </w:rPr>
        <w:t>）相关法律、法规或部门规章规定的其他比例限制。</w:t>
      </w:r>
    </w:p>
    <w:p w14:paraId="54C40A9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若基金超过上述</w:t>
      </w:r>
      <w:r>
        <w:rPr>
          <w:rFonts w:hAnsi="宋体" w:hint="eastAsia"/>
          <w:bCs/>
          <w:sz w:val="24"/>
          <w:szCs w:val="24"/>
        </w:rPr>
        <w:t>1</w:t>
      </w:r>
      <w:r>
        <w:rPr>
          <w:rFonts w:hAnsi="宋体" w:hint="eastAsia"/>
          <w:bCs/>
          <w:sz w:val="24"/>
          <w:szCs w:val="24"/>
        </w:rPr>
        <w:t>）—</w:t>
      </w:r>
      <w:r>
        <w:rPr>
          <w:rFonts w:hAnsi="宋体" w:hint="eastAsia"/>
          <w:bCs/>
          <w:sz w:val="24"/>
          <w:szCs w:val="24"/>
        </w:rPr>
        <w:t xml:space="preserve"> 7</w:t>
      </w:r>
      <w:r>
        <w:rPr>
          <w:rFonts w:hAnsi="宋体" w:hint="eastAsia"/>
          <w:bCs/>
          <w:sz w:val="24"/>
          <w:szCs w:val="24"/>
        </w:rPr>
        <w:t>）</w:t>
      </w:r>
      <w:r>
        <w:rPr>
          <w:rFonts w:hAnsi="宋体"/>
          <w:bCs/>
          <w:sz w:val="24"/>
          <w:szCs w:val="24"/>
        </w:rPr>
        <w:t>项投资比例限制，应当在超过比例后</w:t>
      </w:r>
      <w:r>
        <w:rPr>
          <w:rFonts w:hAnsi="宋体"/>
          <w:bCs/>
          <w:sz w:val="24"/>
          <w:szCs w:val="24"/>
        </w:rPr>
        <w:t>30</w:t>
      </w:r>
      <w:r>
        <w:rPr>
          <w:rFonts w:hAnsi="宋体"/>
          <w:bCs/>
          <w:sz w:val="24"/>
          <w:szCs w:val="24"/>
        </w:rPr>
        <w:t>个工作日内采用合理的商业措施减仓以符合投资比例限制要求。</w:t>
      </w:r>
    </w:p>
    <w:p w14:paraId="7FD751D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对于因基金份额拆分、大比例分红等集中持续营销活动引起的基金净资产规模在</w:t>
      </w:r>
      <w:r>
        <w:rPr>
          <w:rFonts w:hAnsi="宋体"/>
          <w:bCs/>
          <w:sz w:val="24"/>
          <w:szCs w:val="24"/>
        </w:rPr>
        <w:t>10</w:t>
      </w:r>
      <w:r>
        <w:rPr>
          <w:rFonts w:hAnsi="宋体"/>
          <w:bCs/>
          <w:sz w:val="24"/>
          <w:szCs w:val="24"/>
        </w:rPr>
        <w:t>个工作日内增加</w:t>
      </w:r>
      <w:r>
        <w:rPr>
          <w:rFonts w:hAnsi="宋体"/>
          <w:bCs/>
          <w:sz w:val="24"/>
          <w:szCs w:val="24"/>
        </w:rPr>
        <w:t>10</w:t>
      </w:r>
      <w:r>
        <w:rPr>
          <w:rFonts w:hAnsi="宋体"/>
          <w:bCs/>
          <w:sz w:val="24"/>
          <w:szCs w:val="24"/>
        </w:rPr>
        <w:t>亿元以上的情形，而导致证券投资比例低于基金合同约定的，基金管理人同基金托管人协商一致并及时书面报告中国证监会后，可将调整时限从</w:t>
      </w:r>
      <w:r>
        <w:rPr>
          <w:rFonts w:hAnsi="宋体"/>
          <w:bCs/>
          <w:sz w:val="24"/>
          <w:szCs w:val="24"/>
        </w:rPr>
        <w:t>30</w:t>
      </w:r>
      <w:r>
        <w:rPr>
          <w:rFonts w:hAnsi="宋体"/>
          <w:bCs/>
          <w:sz w:val="24"/>
          <w:szCs w:val="24"/>
        </w:rPr>
        <w:t>个工作日延长到</w:t>
      </w:r>
      <w:r>
        <w:rPr>
          <w:rFonts w:hAnsi="宋体"/>
          <w:bCs/>
          <w:sz w:val="24"/>
          <w:szCs w:val="24"/>
        </w:rPr>
        <w:t>3</w:t>
      </w:r>
      <w:r>
        <w:rPr>
          <w:rFonts w:hAnsi="宋体"/>
          <w:bCs/>
          <w:sz w:val="24"/>
          <w:szCs w:val="24"/>
        </w:rPr>
        <w:t>个月。</w:t>
      </w:r>
    </w:p>
    <w:p w14:paraId="026AAEA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法》及其他有关法律法规或监管部门取消上述限制的，履行适当程序后，基金不受上述限制。如法律法规或中国证监会变更投资品种的比例限制的，基金管理人在与基金托管人协商一致并履行相关程序后，可相应调整本基金的投资比例上限规定，不需经基金份额持有人大会审议。</w:t>
      </w:r>
    </w:p>
    <w:p w14:paraId="51BAC330"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除投资资产配置外，基金托管人对基金的投资的监督和检查自本</w:t>
      </w:r>
      <w:r>
        <w:rPr>
          <w:rFonts w:hAnsi="宋体" w:hint="eastAsia"/>
          <w:bCs/>
          <w:sz w:val="24"/>
          <w:szCs w:val="24"/>
        </w:rPr>
        <w:t>《</w:t>
      </w:r>
      <w:r>
        <w:rPr>
          <w:rFonts w:hAnsi="宋体"/>
          <w:bCs/>
          <w:sz w:val="24"/>
          <w:szCs w:val="24"/>
        </w:rPr>
        <w:t>基金合同</w:t>
      </w:r>
      <w:r>
        <w:rPr>
          <w:rFonts w:hAnsi="宋体" w:hint="eastAsia"/>
          <w:bCs/>
          <w:sz w:val="24"/>
          <w:szCs w:val="24"/>
        </w:rPr>
        <w:t>》</w:t>
      </w:r>
      <w:r>
        <w:rPr>
          <w:rFonts w:hAnsi="宋体"/>
          <w:bCs/>
          <w:sz w:val="24"/>
          <w:szCs w:val="24"/>
        </w:rPr>
        <w:t>生效之日起开始。</w:t>
      </w:r>
    </w:p>
    <w:p w14:paraId="04DEDAB7"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七、</w:t>
      </w:r>
      <w:r>
        <w:rPr>
          <w:rFonts w:hAnsi="宋体"/>
          <w:b/>
          <w:bCs/>
          <w:sz w:val="24"/>
          <w:szCs w:val="24"/>
        </w:rPr>
        <w:t>业绩比较基准</w:t>
      </w:r>
    </w:p>
    <w:p w14:paraId="7479538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本基金的业绩比较基准为伦敦金价格折成人民币后的收益率，伦敦金每日价格采用伦敦金下午定盘价（</w:t>
      </w:r>
      <w:r>
        <w:rPr>
          <w:rFonts w:hAnsi="宋体"/>
          <w:bCs/>
          <w:sz w:val="24"/>
          <w:szCs w:val="24"/>
        </w:rPr>
        <w:t>London Gold Price PM Fix</w:t>
      </w:r>
      <w:r>
        <w:rPr>
          <w:rFonts w:hAnsi="宋体"/>
          <w:bCs/>
          <w:sz w:val="24"/>
          <w:szCs w:val="24"/>
        </w:rPr>
        <w:t>），人民币汇率以报告期末最后一个估值日中国人民银行或其授权机构公布的人民币汇率中间价为准。</w:t>
      </w:r>
    </w:p>
    <w:p w14:paraId="6D8652F5"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选择该业绩基准，是基于以下因素：</w:t>
      </w:r>
    </w:p>
    <w:p w14:paraId="5529770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w:t>
      </w:r>
      <w:r>
        <w:rPr>
          <w:rFonts w:hAnsi="宋体"/>
          <w:bCs/>
          <w:sz w:val="24"/>
          <w:szCs w:val="24"/>
        </w:rPr>
        <w:t>伦敦金下午定盘价被世界黄金市场广泛接受为黄金基准价格。伦敦金定</w:t>
      </w:r>
      <w:r>
        <w:rPr>
          <w:rFonts w:hAnsi="宋体"/>
          <w:bCs/>
          <w:sz w:val="24"/>
          <w:szCs w:val="24"/>
        </w:rPr>
        <w:lastRenderedPageBreak/>
        <w:t>价分上午价和下午价两种，由于下午定价的时间为美国黄金市场、欧洲黄金市场、中东黄金市场和非洲黄金市场同时交易的时间，市场流动性最好，故一般采用伦敦金下午定盘价作为国际金价的基准价格。</w:t>
      </w:r>
    </w:p>
    <w:p w14:paraId="32C7B19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、目前国际交易所黄金及贵金属交易基金中，黄金所占投资比重最大，黄金的价格走势对黄金及贵金属基金整体影响较大。</w:t>
      </w:r>
    </w:p>
    <w:p w14:paraId="31F4BF3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w:t>
      </w:r>
      <w:r>
        <w:rPr>
          <w:rFonts w:hAnsi="宋体"/>
          <w:bCs/>
          <w:sz w:val="24"/>
          <w:szCs w:val="24"/>
        </w:rPr>
        <w:t>基于本基金的投资范围和投资比例，选用上述业绩比较基准能够真实、客观地反映本基金的风险收益特征。</w:t>
      </w:r>
    </w:p>
    <w:p w14:paraId="1558F7F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、基于本基金的投资目标，</w:t>
      </w:r>
      <w:r>
        <w:rPr>
          <w:rFonts w:hAnsi="宋体"/>
          <w:bCs/>
          <w:sz w:val="24"/>
          <w:szCs w:val="24"/>
        </w:rPr>
        <w:t>选用上述业绩比较基准能够真实、客观地反映</w:t>
      </w:r>
      <w:r>
        <w:rPr>
          <w:rFonts w:hAnsi="宋体" w:hint="eastAsia"/>
          <w:bCs/>
          <w:sz w:val="24"/>
          <w:szCs w:val="24"/>
        </w:rPr>
        <w:t>本基金投资收益率与同期</w:t>
      </w:r>
      <w:r>
        <w:rPr>
          <w:rFonts w:hAnsi="宋体"/>
          <w:bCs/>
          <w:sz w:val="24"/>
          <w:szCs w:val="24"/>
        </w:rPr>
        <w:t>黄金价格走势</w:t>
      </w:r>
      <w:r>
        <w:rPr>
          <w:rFonts w:hAnsi="宋体" w:hint="eastAsia"/>
          <w:bCs/>
          <w:sz w:val="24"/>
          <w:szCs w:val="24"/>
        </w:rPr>
        <w:t>的比较。</w:t>
      </w:r>
    </w:p>
    <w:p w14:paraId="112D03FD"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如果今后法律法规发生变化，或者有更权威的、更能为市场普遍接受的业绩比较基准推出，或者是市场上出现更加适合用于本基金的业绩基准的指数时，本基金管理人在履行适当程序后，可以变更业绩比较基准并及时公告。</w:t>
      </w:r>
    </w:p>
    <w:p w14:paraId="06FECB2B"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八、</w:t>
      </w:r>
      <w:r>
        <w:rPr>
          <w:rFonts w:hAnsi="宋体"/>
          <w:b/>
          <w:bCs/>
          <w:sz w:val="24"/>
          <w:szCs w:val="24"/>
        </w:rPr>
        <w:t>风险收益特征</w:t>
      </w:r>
    </w:p>
    <w:p w14:paraId="77C4E452"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本基金为基金中基金，属于证券投资基金中较高预期风险、较高预期收益的品种，主要投资于境外有实物黄金或其他实物贵金属支持的交易所交易基金</w:t>
      </w:r>
      <w:r>
        <w:rPr>
          <w:rFonts w:hAnsi="宋体" w:hint="eastAsia"/>
          <w:bCs/>
          <w:sz w:val="24"/>
          <w:szCs w:val="24"/>
        </w:rPr>
        <w:t>（</w:t>
      </w:r>
      <w:r>
        <w:rPr>
          <w:rFonts w:hAnsi="宋体" w:hint="eastAsia"/>
          <w:bCs/>
          <w:sz w:val="24"/>
          <w:szCs w:val="24"/>
        </w:rPr>
        <w:t>ETF</w:t>
      </w:r>
      <w:r>
        <w:rPr>
          <w:rFonts w:hAnsi="宋体" w:hint="eastAsia"/>
          <w:bCs/>
          <w:sz w:val="24"/>
          <w:szCs w:val="24"/>
        </w:rPr>
        <w:t>）</w:t>
      </w:r>
      <w:r>
        <w:rPr>
          <w:rFonts w:hAnsi="宋体"/>
          <w:bCs/>
          <w:sz w:val="24"/>
          <w:szCs w:val="24"/>
        </w:rPr>
        <w:t>，其预期风险收益水平与黄金价格相似。</w:t>
      </w:r>
    </w:p>
    <w:p w14:paraId="5778045D"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九、</w:t>
      </w:r>
      <w:r>
        <w:rPr>
          <w:rFonts w:hAnsi="宋体"/>
          <w:b/>
          <w:bCs/>
          <w:sz w:val="24"/>
          <w:szCs w:val="24"/>
        </w:rPr>
        <w:t>基金管理人代表基金行使股东权利的处理原则及方法</w:t>
      </w:r>
    </w:p>
    <w:p w14:paraId="324C5740"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基金管理人将按照国家有关规定代表本基金独立行使股东权利，保护基金份额持有人的利益。基金管理人在代表基金行使股东或债权人权利时应遵守以下原则：</w:t>
      </w:r>
    </w:p>
    <w:p w14:paraId="35BC089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、不谋求对上市公司的控股，不参与所投资上市公司的经营管理；</w:t>
      </w:r>
    </w:p>
    <w:p w14:paraId="09A1861C"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2</w:t>
      </w:r>
      <w:r>
        <w:rPr>
          <w:rFonts w:hAnsi="宋体"/>
          <w:bCs/>
          <w:sz w:val="24"/>
          <w:szCs w:val="24"/>
        </w:rPr>
        <w:t>、有利于基金资产的安全与增值；</w:t>
      </w:r>
    </w:p>
    <w:p w14:paraId="14A29513"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、基金管理人按照国家有关规定代表基金独立行使股东权利，保护基金份额持有人的利益；</w:t>
      </w:r>
    </w:p>
    <w:p w14:paraId="3C3DB685"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4</w:t>
      </w:r>
      <w:r>
        <w:rPr>
          <w:rFonts w:hAnsi="宋体"/>
          <w:bCs/>
          <w:sz w:val="24"/>
          <w:szCs w:val="24"/>
        </w:rPr>
        <w:t>、基金管理人按照国家有关规定代表基金独立行使债权人权利，保护基金份额持有人的利益。</w:t>
      </w:r>
    </w:p>
    <w:p w14:paraId="268FE422"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十、证券交易</w:t>
      </w:r>
    </w:p>
    <w:p w14:paraId="792FC1B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本基金将通过符合条件的经纪商完成证券交易。为保证基金交易的快捷，高效，基金管理人将按照严格的条件和程序挑选符合条件的经纪商完成本基金的各项交易。</w:t>
      </w:r>
    </w:p>
    <w:p w14:paraId="38269F3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lastRenderedPageBreak/>
        <w:t>1</w:t>
      </w:r>
      <w:r>
        <w:rPr>
          <w:rFonts w:hAnsi="宋体" w:hint="eastAsia"/>
          <w:bCs/>
          <w:sz w:val="24"/>
          <w:szCs w:val="24"/>
        </w:rPr>
        <w:t>、经纪商选择标准：</w:t>
      </w:r>
    </w:p>
    <w:p w14:paraId="3CB7850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w:t>
      </w:r>
      <w:r>
        <w:rPr>
          <w:rFonts w:hAnsi="宋体" w:hint="eastAsia"/>
          <w:bCs/>
          <w:sz w:val="24"/>
          <w:szCs w:val="24"/>
        </w:rPr>
        <w:t>）经营状况稳定，信誉良好，各项财务指标处于行业前列；</w:t>
      </w:r>
    </w:p>
    <w:p w14:paraId="6778562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2</w:t>
      </w:r>
      <w:r>
        <w:rPr>
          <w:rFonts w:hAnsi="宋体" w:hint="eastAsia"/>
          <w:bCs/>
          <w:sz w:val="24"/>
          <w:szCs w:val="24"/>
        </w:rPr>
        <w:t>）研究实力较强，能及时为基金提供高质量的投资咨询服务，包括宏观经济报告、行业报告、市场分析及其它专门报告，并能根据基金投资的特定要求，提供专门研究报告；</w:t>
      </w:r>
    </w:p>
    <w:p w14:paraId="0E8D2D5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3</w:t>
      </w:r>
      <w:r>
        <w:rPr>
          <w:rFonts w:hAnsi="宋体" w:hint="eastAsia"/>
          <w:bCs/>
          <w:sz w:val="24"/>
          <w:szCs w:val="24"/>
        </w:rPr>
        <w:t>）具备较强的交易执行能力，保证所有交易能够按照交易规则完成，并能实现较佳价格成交，及时反馈交易结果，提供较为准确的交易建议；</w:t>
      </w:r>
    </w:p>
    <w:p w14:paraId="59115E6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4</w:t>
      </w:r>
      <w:r>
        <w:rPr>
          <w:rFonts w:hAnsi="宋体" w:hint="eastAsia"/>
          <w:bCs/>
          <w:sz w:val="24"/>
          <w:szCs w:val="24"/>
        </w:rPr>
        <w:t>）具备较强的清算和交割能力；</w:t>
      </w:r>
    </w:p>
    <w:p w14:paraId="0A5ED88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5</w:t>
      </w:r>
      <w:r>
        <w:rPr>
          <w:rFonts w:hAnsi="宋体" w:hint="eastAsia"/>
          <w:bCs/>
          <w:sz w:val="24"/>
          <w:szCs w:val="24"/>
        </w:rPr>
        <w:t>）合理的佣金和收费标准；</w:t>
      </w:r>
    </w:p>
    <w:p w14:paraId="73A48CD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6</w:t>
      </w:r>
      <w:r>
        <w:rPr>
          <w:rFonts w:hAnsi="宋体" w:hint="eastAsia"/>
          <w:bCs/>
          <w:sz w:val="24"/>
          <w:szCs w:val="24"/>
        </w:rPr>
        <w:t>）经营行为规范，具备健全的内部控制制度，并能满足基金运作高度保密的要求；</w:t>
      </w:r>
    </w:p>
    <w:p w14:paraId="0ABC65A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7</w:t>
      </w:r>
      <w:r>
        <w:rPr>
          <w:rFonts w:hAnsi="宋体" w:hint="eastAsia"/>
          <w:bCs/>
          <w:sz w:val="24"/>
          <w:szCs w:val="24"/>
        </w:rPr>
        <w:t>）具备基金运作所需的高效、安全的通讯条件，交易设施符合代理基金进行证券交易的需要，并能为基金提供全面的信息服务。</w:t>
      </w:r>
    </w:p>
    <w:p w14:paraId="78959FF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、交易量分配</w:t>
      </w:r>
    </w:p>
    <w:p w14:paraId="1F27E70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管理人每半年根据上述标准对经纪商进行综合考评，并根据考评结果和相关法律法规的规定分配基金在各经纪商的交易量。对于在券商选择和分仓中存在或潜在的利益冲突，基金管理人应该本着维护基金份额持有人的利益处罚进行妥善处理，并及时进行披露。</w:t>
      </w:r>
    </w:p>
    <w:p w14:paraId="58D6FF3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、佣金管理</w:t>
      </w:r>
    </w:p>
    <w:p w14:paraId="4B0A9F2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基金管理人根据经纪商提供的服务内容及其质量，结合管理人对其进行的考评结果制定符合市场惯例的佣金费率。</w:t>
      </w:r>
    </w:p>
    <w:p w14:paraId="718771E7"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十一、</w:t>
      </w:r>
      <w:r>
        <w:rPr>
          <w:rFonts w:hAnsi="宋体"/>
          <w:b/>
          <w:bCs/>
          <w:sz w:val="24"/>
          <w:szCs w:val="24"/>
        </w:rPr>
        <w:t>基金的融资政策</w:t>
      </w:r>
    </w:p>
    <w:p w14:paraId="74299E9B"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本基金可以按照法律、法规和监管部门的有关规定进行融资。</w:t>
      </w:r>
    </w:p>
    <w:p w14:paraId="7BB68B87"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十二、</w:t>
      </w:r>
      <w:r>
        <w:rPr>
          <w:rFonts w:hAnsi="宋体"/>
          <w:b/>
          <w:bCs/>
          <w:sz w:val="24"/>
          <w:szCs w:val="24"/>
        </w:rPr>
        <w:t>基金的融券政策</w:t>
      </w:r>
    </w:p>
    <w:p w14:paraId="2513B78D"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本基金可以按照法律、法规和监管部门的有关规定进行融券。在进行交易清算时，以不卖空为基础进行融券</w:t>
      </w:r>
      <w:r>
        <w:rPr>
          <w:rFonts w:hAnsi="宋体" w:hint="eastAsia"/>
          <w:bCs/>
          <w:sz w:val="24"/>
          <w:szCs w:val="24"/>
        </w:rPr>
        <w:t>。</w:t>
      </w:r>
    </w:p>
    <w:p w14:paraId="0075594B"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十三、侧袋机制的实施和投资运作安排</w:t>
      </w:r>
    </w:p>
    <w:p w14:paraId="30EF4726" w14:textId="77777777" w:rsidR="0037652E" w:rsidRDefault="00BF49B0">
      <w:pPr>
        <w:spacing w:line="360" w:lineRule="auto"/>
        <w:ind w:firstLineChars="200" w:firstLine="480"/>
        <w:rPr>
          <w:sz w:val="24"/>
        </w:rPr>
      </w:pPr>
      <w:r>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689396C" w14:textId="77777777" w:rsidR="0037652E" w:rsidRDefault="00BF49B0">
      <w:pPr>
        <w:spacing w:line="360" w:lineRule="auto"/>
        <w:ind w:firstLineChars="200" w:firstLine="480"/>
        <w:rPr>
          <w:sz w:val="24"/>
        </w:rPr>
      </w:pPr>
      <w:r>
        <w:rPr>
          <w:rFonts w:hint="eastAsia"/>
          <w:sz w:val="24"/>
        </w:rPr>
        <w:lastRenderedPageBreak/>
        <w:t>侧袋机制实施期间，本部分约定的投资组合比例、投资策略、组合限制、业绩比较基准、风险收益特征等约定仅适用于主袋账户。</w:t>
      </w:r>
    </w:p>
    <w:p w14:paraId="396CC78D" w14:textId="77777777" w:rsidR="0037652E" w:rsidRDefault="00BF49B0">
      <w:pPr>
        <w:tabs>
          <w:tab w:val="left" w:pos="961"/>
        </w:tabs>
        <w:snapToGrid w:val="0"/>
        <w:spacing w:line="360" w:lineRule="auto"/>
        <w:ind w:firstLineChars="200" w:firstLine="480"/>
        <w:rPr>
          <w:sz w:val="24"/>
        </w:rPr>
      </w:pPr>
      <w:r>
        <w:rPr>
          <w:rFonts w:hint="eastAsia"/>
          <w:sz w:val="24"/>
        </w:rPr>
        <w:t>侧袋账户的实施条件、实施程序、运作安排、投资安排、特定资产的处置变现和支付等对投资者权益有重大影响的事项详见本招募说明书“侧袋机制”章节的规定。</w:t>
      </w:r>
    </w:p>
    <w:p w14:paraId="1D30502E"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十四、投资组合报告</w:t>
      </w:r>
    </w:p>
    <w:p w14:paraId="6180B406" w14:textId="77777777" w:rsidR="00100093" w:rsidRPr="00100093" w:rsidRDefault="00100093" w:rsidP="00100093">
      <w:pPr>
        <w:tabs>
          <w:tab w:val="left" w:pos="961"/>
        </w:tabs>
        <w:snapToGrid w:val="0"/>
        <w:spacing w:line="360" w:lineRule="auto"/>
        <w:ind w:firstLineChars="200" w:firstLine="480"/>
        <w:rPr>
          <w:rFonts w:hAnsi="宋体"/>
          <w:sz w:val="24"/>
        </w:rPr>
      </w:pPr>
      <w:r w:rsidRPr="00100093">
        <w:rPr>
          <w:rFonts w:hAnsi="宋体" w:hint="eastAsia"/>
          <w:sz w:val="24"/>
        </w:rPr>
        <w:t>基金管理人的董事会、董事保证本报告所载资料不存在虚假记载、误导性陈述或重大遗漏，并对其内容的真实性、准确性和完整性承担个别及连带责任。</w:t>
      </w:r>
    </w:p>
    <w:p w14:paraId="218736AE" w14:textId="77777777" w:rsidR="0037652E" w:rsidRDefault="00100093">
      <w:pPr>
        <w:spacing w:line="360" w:lineRule="auto"/>
        <w:ind w:firstLineChars="200" w:firstLine="480"/>
        <w:rPr>
          <w:rFonts w:hAnsi="宋体"/>
          <w:color w:val="000000"/>
          <w:sz w:val="24"/>
          <w:szCs w:val="21"/>
        </w:rPr>
      </w:pPr>
      <w:r w:rsidRPr="00100093">
        <w:rPr>
          <w:rFonts w:hAnsi="宋体" w:hint="eastAsia"/>
          <w:sz w:val="24"/>
        </w:rPr>
        <w:t>基金托管人中国工商银行股份有限公司根据本基金合同规定，于</w:t>
      </w:r>
      <w:r w:rsidRPr="00100093">
        <w:rPr>
          <w:rFonts w:hAnsi="宋体" w:hint="eastAsia"/>
          <w:sz w:val="24"/>
        </w:rPr>
        <w:t>2022</w:t>
      </w:r>
      <w:r w:rsidRPr="00100093">
        <w:rPr>
          <w:rFonts w:hAnsi="宋体" w:hint="eastAsia"/>
          <w:sz w:val="24"/>
        </w:rPr>
        <w:t>年</w:t>
      </w:r>
      <w:r w:rsidRPr="00100093">
        <w:rPr>
          <w:rFonts w:hAnsi="宋体" w:hint="eastAsia"/>
          <w:sz w:val="24"/>
        </w:rPr>
        <w:t>7</w:t>
      </w:r>
      <w:r w:rsidRPr="00100093">
        <w:rPr>
          <w:rFonts w:hAnsi="宋体" w:hint="eastAsia"/>
          <w:sz w:val="24"/>
        </w:rPr>
        <w:t>月</w:t>
      </w:r>
      <w:r w:rsidRPr="00100093">
        <w:rPr>
          <w:rFonts w:hAnsi="宋体" w:hint="eastAsia"/>
          <w:sz w:val="24"/>
        </w:rPr>
        <w:t>19</w:t>
      </w:r>
      <w:r w:rsidRPr="00100093">
        <w:rPr>
          <w:rFonts w:hAnsi="宋体" w:hint="eastAsia"/>
          <w:sz w:val="24"/>
        </w:rPr>
        <w:t>日复核了本报告中的财务指标、净值表现、投资组合报告等内容，保证复核内容不存在虚假记载、误导性陈述或者重大遗漏。</w:t>
      </w:r>
    </w:p>
    <w:p w14:paraId="5B496549" w14:textId="77777777" w:rsidR="00100093" w:rsidRDefault="00100093">
      <w:pPr>
        <w:spacing w:line="360" w:lineRule="auto"/>
        <w:ind w:firstLineChars="200" w:firstLine="480"/>
        <w:rPr>
          <w:rFonts w:hAnsi="宋体"/>
          <w:sz w:val="24"/>
        </w:rPr>
      </w:pPr>
      <w:r w:rsidRPr="00100093">
        <w:rPr>
          <w:rFonts w:hAnsi="宋体" w:hint="eastAsia"/>
          <w:sz w:val="24"/>
        </w:rPr>
        <w:t>本报告期自</w:t>
      </w:r>
      <w:r w:rsidRPr="00100093">
        <w:rPr>
          <w:rFonts w:hAnsi="宋体" w:hint="eastAsia"/>
          <w:sz w:val="24"/>
        </w:rPr>
        <w:t xml:space="preserve"> 2022</w:t>
      </w:r>
      <w:r w:rsidRPr="00100093">
        <w:rPr>
          <w:rFonts w:hAnsi="宋体" w:hint="eastAsia"/>
          <w:sz w:val="24"/>
        </w:rPr>
        <w:t>年</w:t>
      </w:r>
      <w:r w:rsidRPr="00100093">
        <w:rPr>
          <w:rFonts w:hAnsi="宋体" w:hint="eastAsia"/>
          <w:sz w:val="24"/>
        </w:rPr>
        <w:t>04</w:t>
      </w:r>
      <w:r w:rsidRPr="00100093">
        <w:rPr>
          <w:rFonts w:hAnsi="宋体" w:hint="eastAsia"/>
          <w:sz w:val="24"/>
        </w:rPr>
        <w:t>月</w:t>
      </w:r>
      <w:r w:rsidRPr="00100093">
        <w:rPr>
          <w:rFonts w:hAnsi="宋体" w:hint="eastAsia"/>
          <w:sz w:val="24"/>
        </w:rPr>
        <w:t>01</w:t>
      </w:r>
      <w:r w:rsidRPr="00100093">
        <w:rPr>
          <w:rFonts w:hAnsi="宋体" w:hint="eastAsia"/>
          <w:sz w:val="24"/>
        </w:rPr>
        <w:t>日起至</w:t>
      </w:r>
      <w:r w:rsidRPr="00100093">
        <w:rPr>
          <w:rFonts w:hAnsi="宋体" w:hint="eastAsia"/>
          <w:sz w:val="24"/>
        </w:rPr>
        <w:t>2022</w:t>
      </w:r>
      <w:r w:rsidRPr="00100093">
        <w:rPr>
          <w:rFonts w:hAnsi="宋体" w:hint="eastAsia"/>
          <w:sz w:val="24"/>
        </w:rPr>
        <w:t>年</w:t>
      </w:r>
      <w:r w:rsidRPr="00100093">
        <w:rPr>
          <w:rFonts w:hAnsi="宋体" w:hint="eastAsia"/>
          <w:sz w:val="24"/>
        </w:rPr>
        <w:t>06</w:t>
      </w:r>
      <w:r w:rsidRPr="00100093">
        <w:rPr>
          <w:rFonts w:hAnsi="宋体" w:hint="eastAsia"/>
          <w:sz w:val="24"/>
        </w:rPr>
        <w:t>月</w:t>
      </w:r>
      <w:r w:rsidRPr="00100093">
        <w:rPr>
          <w:rFonts w:hAnsi="宋体" w:hint="eastAsia"/>
          <w:sz w:val="24"/>
        </w:rPr>
        <w:t>30</w:t>
      </w:r>
      <w:r w:rsidRPr="00100093">
        <w:rPr>
          <w:rFonts w:hAnsi="宋体" w:hint="eastAsia"/>
          <w:sz w:val="24"/>
        </w:rPr>
        <w:t>日止。</w:t>
      </w:r>
    </w:p>
    <w:p w14:paraId="29BF8494" w14:textId="77777777" w:rsidR="00100093" w:rsidRDefault="00100093" w:rsidP="00100093">
      <w:pPr>
        <w:keepNext/>
        <w:keepLines/>
        <w:spacing w:beforeLines="50" w:before="156" w:afterLines="50" w:after="156" w:line="360" w:lineRule="auto"/>
        <w:jc w:val="center"/>
        <w:outlineLvl w:val="0"/>
        <w:rPr>
          <w:rFonts w:ascii="宋体" w:hAnsi="宋体"/>
          <w:b/>
          <w:bCs/>
          <w:kern w:val="44"/>
          <w:sz w:val="28"/>
          <w:szCs w:val="28"/>
        </w:rPr>
      </w:pPr>
      <w:bookmarkStart w:id="34" w:name="_Toc110606807"/>
      <w:bookmarkStart w:id="35" w:name="_Toc110606845"/>
      <w:r w:rsidRPr="006B0CCD">
        <w:rPr>
          <w:rFonts w:ascii="宋体" w:hAnsi="宋体"/>
          <w:b/>
          <w:bCs/>
          <w:kern w:val="44"/>
          <w:sz w:val="28"/>
          <w:szCs w:val="28"/>
        </w:rPr>
        <w:t>§</w:t>
      </w:r>
      <w:r>
        <w:rPr>
          <w:rFonts w:ascii="宋体" w:hAnsi="宋体" w:cs="宋体"/>
          <w:b/>
          <w:bCs/>
          <w:color w:val="000000"/>
          <w:kern w:val="44"/>
          <w:sz w:val="28"/>
          <w:szCs w:val="28"/>
        </w:rPr>
        <w:t>1</w:t>
      </w:r>
      <w:r w:rsidRPr="006B0CCD">
        <w:rPr>
          <w:rFonts w:ascii="宋体" w:hAnsi="宋体" w:hint="eastAsia"/>
          <w:b/>
          <w:bCs/>
          <w:kern w:val="44"/>
          <w:sz w:val="28"/>
          <w:szCs w:val="28"/>
        </w:rPr>
        <w:t>投资组合报告</w:t>
      </w:r>
      <w:bookmarkEnd w:id="34"/>
      <w:bookmarkEnd w:id="35"/>
    </w:p>
    <w:p w14:paraId="334DDA30" w14:textId="77777777" w:rsidR="00100093" w:rsidRPr="000308CB" w:rsidRDefault="00100093" w:rsidP="00100093">
      <w:pPr>
        <w:keepNext/>
        <w:keepLines/>
        <w:spacing w:line="360" w:lineRule="auto"/>
        <w:jc w:val="left"/>
        <w:outlineLvl w:val="1"/>
        <w:rPr>
          <w:rFonts w:ascii="宋体" w:hAnsi="宋体" w:cstheme="majorBidi"/>
          <w:b/>
          <w:bCs/>
          <w:sz w:val="24"/>
          <w:szCs w:val="32"/>
        </w:rPr>
      </w:pPr>
      <w:r>
        <w:rPr>
          <w:rFonts w:ascii="宋体" w:hAnsi="宋体" w:cs="宋体"/>
          <w:b/>
          <w:bCs/>
          <w:color w:val="000000"/>
          <w:sz w:val="24"/>
          <w:szCs w:val="32"/>
        </w:rPr>
        <w:t>1</w:t>
      </w:r>
      <w:r>
        <w:rPr>
          <w:rFonts w:ascii="宋体" w:hAnsi="宋体" w:cs="宋体" w:hint="eastAsia"/>
          <w:b/>
          <w:bCs/>
          <w:color w:val="000000"/>
          <w:sz w:val="24"/>
          <w:szCs w:val="32"/>
        </w:rPr>
        <w:t>.1</w:t>
      </w:r>
      <w:r>
        <w:rPr>
          <w:rFonts w:ascii="宋体" w:hAnsi="宋体" w:cstheme="majorBidi" w:hint="eastAsia"/>
          <w:b/>
          <w:bCs/>
          <w:sz w:val="24"/>
          <w:szCs w:val="32"/>
        </w:rPr>
        <w:t>报告</w:t>
      </w:r>
      <w:r w:rsidRPr="003B0DAB">
        <w:rPr>
          <w:rFonts w:ascii="宋体" w:hAnsi="宋体" w:cstheme="majorBidi"/>
          <w:b/>
          <w:bCs/>
          <w:sz w:val="24"/>
          <w:szCs w:val="32"/>
        </w:rPr>
        <w:t>期末基金资产组合情况</w:t>
      </w:r>
    </w:p>
    <w:tbl>
      <w:tblPr>
        <w:tblW w:w="5000" w:type="pct"/>
        <w:tblCellMar>
          <w:left w:w="0" w:type="dxa"/>
          <w:right w:w="0" w:type="dxa"/>
        </w:tblCellMar>
        <w:tblLook w:val="0000" w:firstRow="0" w:lastRow="0" w:firstColumn="0" w:lastColumn="0" w:noHBand="0" w:noVBand="0"/>
      </w:tblPr>
      <w:tblGrid>
        <w:gridCol w:w="540"/>
        <w:gridCol w:w="2768"/>
        <w:gridCol w:w="2650"/>
        <w:gridCol w:w="2338"/>
      </w:tblGrid>
      <w:tr w:rsidR="00100093" w14:paraId="583EC57E"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shd w:val="clear" w:color="auto" w:fill="D9D9D9"/>
            <w:vAlign w:val="center"/>
          </w:tcPr>
          <w:p w14:paraId="4CB834A9" w14:textId="77777777" w:rsidR="00100093" w:rsidRPr="006F0ED5" w:rsidRDefault="00100093" w:rsidP="005D7D3C">
            <w:pPr>
              <w:spacing w:line="360" w:lineRule="auto"/>
              <w:jc w:val="center"/>
              <w:rPr>
                <w:rFonts w:ascii="宋体" w:hAnsi="宋体"/>
              </w:rPr>
            </w:pPr>
            <w:r w:rsidRPr="006F0ED5">
              <w:rPr>
                <w:rFonts w:ascii="宋体" w:hAnsi="宋体" w:hint="eastAsia"/>
              </w:rPr>
              <w:t>序号</w:t>
            </w:r>
          </w:p>
        </w:tc>
        <w:tc>
          <w:tcPr>
            <w:tcW w:w="1668" w:type="pct"/>
            <w:tcBorders>
              <w:top w:val="single" w:sz="4" w:space="0" w:color="auto"/>
              <w:left w:val="nil"/>
              <w:bottom w:val="single" w:sz="4" w:space="0" w:color="auto"/>
              <w:right w:val="single" w:sz="4" w:space="0" w:color="auto"/>
            </w:tcBorders>
            <w:shd w:val="clear" w:color="auto" w:fill="D9D9D9"/>
            <w:vAlign w:val="center"/>
          </w:tcPr>
          <w:p w14:paraId="51C90D56" w14:textId="77777777" w:rsidR="00100093" w:rsidRPr="006F0ED5" w:rsidRDefault="00100093" w:rsidP="005D7D3C">
            <w:pPr>
              <w:spacing w:line="360" w:lineRule="auto"/>
              <w:jc w:val="center"/>
              <w:rPr>
                <w:rFonts w:ascii="宋体" w:hAnsi="宋体"/>
              </w:rPr>
            </w:pPr>
            <w:r w:rsidRPr="006F0ED5">
              <w:rPr>
                <w:rFonts w:ascii="宋体" w:hAnsi="宋体"/>
              </w:rPr>
              <w:t>项目</w:t>
            </w:r>
          </w:p>
        </w:tc>
        <w:tc>
          <w:tcPr>
            <w:tcW w:w="1597" w:type="pct"/>
            <w:tcBorders>
              <w:top w:val="single" w:sz="4" w:space="0" w:color="auto"/>
              <w:left w:val="nil"/>
              <w:bottom w:val="single" w:sz="4" w:space="0" w:color="auto"/>
              <w:right w:val="single" w:sz="4" w:space="0" w:color="auto"/>
            </w:tcBorders>
            <w:shd w:val="clear" w:color="auto" w:fill="D9D9D9"/>
            <w:vAlign w:val="center"/>
          </w:tcPr>
          <w:p w14:paraId="29118332" w14:textId="77777777" w:rsidR="00100093" w:rsidRDefault="00100093" w:rsidP="005D7D3C">
            <w:pPr>
              <w:spacing w:line="360" w:lineRule="auto"/>
              <w:jc w:val="center"/>
              <w:rPr>
                <w:rFonts w:ascii="宋体" w:hAnsi="宋体"/>
              </w:rPr>
            </w:pPr>
            <w:r w:rsidRPr="006F0ED5">
              <w:rPr>
                <w:rFonts w:ascii="宋体" w:hAnsi="宋体"/>
              </w:rPr>
              <w:t>金额</w:t>
            </w:r>
          </w:p>
          <w:p w14:paraId="1FE2DEAC" w14:textId="77777777" w:rsidR="00100093" w:rsidRPr="006F0ED5" w:rsidRDefault="00100093" w:rsidP="005D7D3C">
            <w:pPr>
              <w:spacing w:line="360" w:lineRule="auto"/>
              <w:jc w:val="center"/>
              <w:rPr>
                <w:rFonts w:ascii="宋体" w:hAnsi="宋体"/>
              </w:rPr>
            </w:pPr>
            <w:r>
              <w:rPr>
                <w:rFonts w:ascii="宋体" w:hAnsi="宋体" w:hint="eastAsia"/>
              </w:rPr>
              <w:t>（人民币元）</w:t>
            </w:r>
          </w:p>
        </w:tc>
        <w:tc>
          <w:tcPr>
            <w:tcW w:w="1409" w:type="pct"/>
            <w:tcBorders>
              <w:top w:val="single" w:sz="4" w:space="0" w:color="auto"/>
              <w:left w:val="nil"/>
              <w:bottom w:val="single" w:sz="4" w:space="0" w:color="auto"/>
              <w:right w:val="single" w:sz="4" w:space="0" w:color="auto"/>
            </w:tcBorders>
            <w:shd w:val="clear" w:color="auto" w:fill="D9D9D9"/>
            <w:vAlign w:val="center"/>
          </w:tcPr>
          <w:p w14:paraId="5D85273A" w14:textId="77777777" w:rsidR="00100093" w:rsidRPr="006F0ED5" w:rsidRDefault="00100093" w:rsidP="005D7D3C">
            <w:pPr>
              <w:spacing w:line="360" w:lineRule="auto"/>
              <w:jc w:val="center"/>
              <w:rPr>
                <w:rFonts w:ascii="宋体" w:hAnsi="宋体"/>
              </w:rPr>
            </w:pPr>
            <w:r w:rsidRPr="006F0ED5">
              <w:rPr>
                <w:rFonts w:ascii="宋体" w:hAnsi="宋体"/>
              </w:rPr>
              <w:t>占基金总资产的比例（%）</w:t>
            </w:r>
          </w:p>
        </w:tc>
      </w:tr>
      <w:tr w:rsidR="00100093" w14:paraId="2BBC4025"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7B2B626A" w14:textId="77777777" w:rsidR="00100093" w:rsidRPr="006F0ED5" w:rsidRDefault="00100093" w:rsidP="005D7D3C">
            <w:pPr>
              <w:spacing w:line="360" w:lineRule="auto"/>
              <w:rPr>
                <w:rFonts w:ascii="宋体" w:hAnsi="宋体"/>
              </w:rPr>
            </w:pPr>
            <w:r w:rsidRPr="006F0ED5">
              <w:rPr>
                <w:rFonts w:ascii="宋体" w:hAnsi="宋体" w:hint="eastAsia"/>
              </w:rPr>
              <w:t>1</w:t>
            </w:r>
          </w:p>
        </w:tc>
        <w:tc>
          <w:tcPr>
            <w:tcW w:w="1668" w:type="pct"/>
            <w:tcBorders>
              <w:top w:val="single" w:sz="4" w:space="0" w:color="auto"/>
              <w:left w:val="nil"/>
              <w:bottom w:val="single" w:sz="4" w:space="0" w:color="auto"/>
              <w:right w:val="single" w:sz="4" w:space="0" w:color="auto"/>
            </w:tcBorders>
          </w:tcPr>
          <w:p w14:paraId="4A6B6F13" w14:textId="77777777" w:rsidR="00100093" w:rsidRPr="006F0ED5" w:rsidRDefault="00100093" w:rsidP="005D7D3C">
            <w:pPr>
              <w:spacing w:line="360" w:lineRule="auto"/>
              <w:rPr>
                <w:rFonts w:ascii="宋体" w:hAnsi="宋体"/>
              </w:rPr>
            </w:pPr>
            <w:r w:rsidRPr="006F0ED5">
              <w:rPr>
                <w:rFonts w:ascii="宋体" w:hAnsi="宋体" w:hint="eastAsia"/>
              </w:rPr>
              <w:t>权益投资</w:t>
            </w:r>
          </w:p>
        </w:tc>
        <w:tc>
          <w:tcPr>
            <w:tcW w:w="1597" w:type="pct"/>
            <w:tcBorders>
              <w:top w:val="single" w:sz="4" w:space="0" w:color="auto"/>
              <w:left w:val="nil"/>
              <w:bottom w:val="single" w:sz="4" w:space="0" w:color="auto"/>
              <w:right w:val="single" w:sz="4" w:space="0" w:color="auto"/>
            </w:tcBorders>
          </w:tcPr>
          <w:p w14:paraId="1690FB67"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53096D8B"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396E7A7F"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6FF58C54" w14:textId="77777777" w:rsidR="00100093" w:rsidRPr="006F0ED5" w:rsidRDefault="00100093" w:rsidP="005D7D3C">
            <w:pPr>
              <w:spacing w:line="360" w:lineRule="auto"/>
              <w:rPr>
                <w:rFonts w:ascii="宋体" w:hAnsi="宋体"/>
              </w:rPr>
            </w:pPr>
          </w:p>
        </w:tc>
        <w:tc>
          <w:tcPr>
            <w:tcW w:w="1668" w:type="pct"/>
            <w:tcBorders>
              <w:top w:val="single" w:sz="4" w:space="0" w:color="auto"/>
              <w:left w:val="nil"/>
              <w:bottom w:val="single" w:sz="4" w:space="0" w:color="auto"/>
              <w:right w:val="single" w:sz="4" w:space="0" w:color="auto"/>
            </w:tcBorders>
          </w:tcPr>
          <w:p w14:paraId="3A1557E5" w14:textId="77777777" w:rsidR="00100093" w:rsidRPr="006F0ED5" w:rsidRDefault="00100093" w:rsidP="005D7D3C">
            <w:pPr>
              <w:spacing w:line="360" w:lineRule="auto"/>
              <w:rPr>
                <w:rFonts w:ascii="宋体" w:hAnsi="宋体"/>
              </w:rPr>
            </w:pPr>
            <w:r w:rsidRPr="006F0ED5">
              <w:rPr>
                <w:rFonts w:ascii="宋体" w:hAnsi="宋体" w:hint="eastAsia"/>
              </w:rPr>
              <w:t>其中：普通股</w:t>
            </w:r>
          </w:p>
        </w:tc>
        <w:tc>
          <w:tcPr>
            <w:tcW w:w="1597" w:type="pct"/>
            <w:tcBorders>
              <w:top w:val="single" w:sz="4" w:space="0" w:color="auto"/>
              <w:left w:val="nil"/>
              <w:bottom w:val="single" w:sz="4" w:space="0" w:color="auto"/>
              <w:right w:val="single" w:sz="4" w:space="0" w:color="auto"/>
            </w:tcBorders>
          </w:tcPr>
          <w:p w14:paraId="5FD9BCE3"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3F30425B"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71717B71"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5E5E2104" w14:textId="77777777" w:rsidR="00100093" w:rsidRPr="006F0ED5" w:rsidRDefault="00100093" w:rsidP="005D7D3C">
            <w:pPr>
              <w:spacing w:line="360" w:lineRule="auto"/>
              <w:rPr>
                <w:rFonts w:ascii="宋体" w:hAnsi="宋体"/>
              </w:rPr>
            </w:pPr>
          </w:p>
        </w:tc>
        <w:tc>
          <w:tcPr>
            <w:tcW w:w="1668" w:type="pct"/>
            <w:tcBorders>
              <w:top w:val="single" w:sz="4" w:space="0" w:color="auto"/>
              <w:left w:val="nil"/>
              <w:bottom w:val="single" w:sz="4" w:space="0" w:color="auto"/>
              <w:right w:val="single" w:sz="4" w:space="0" w:color="auto"/>
            </w:tcBorders>
          </w:tcPr>
          <w:p w14:paraId="5C259036" w14:textId="77777777" w:rsidR="00100093" w:rsidRPr="006F0ED5" w:rsidRDefault="00100093" w:rsidP="005D7D3C">
            <w:pPr>
              <w:spacing w:line="360" w:lineRule="auto"/>
              <w:ind w:firstLineChars="300" w:firstLine="630"/>
              <w:rPr>
                <w:rFonts w:ascii="宋体" w:hAnsi="宋体"/>
              </w:rPr>
            </w:pPr>
            <w:r w:rsidRPr="006F0ED5">
              <w:rPr>
                <w:rFonts w:ascii="宋体" w:hAnsi="宋体" w:hint="eastAsia"/>
              </w:rPr>
              <w:t>存托凭证</w:t>
            </w:r>
          </w:p>
        </w:tc>
        <w:tc>
          <w:tcPr>
            <w:tcW w:w="1597" w:type="pct"/>
            <w:tcBorders>
              <w:top w:val="single" w:sz="4" w:space="0" w:color="auto"/>
              <w:left w:val="nil"/>
              <w:bottom w:val="single" w:sz="4" w:space="0" w:color="auto"/>
              <w:right w:val="single" w:sz="4" w:space="0" w:color="auto"/>
            </w:tcBorders>
          </w:tcPr>
          <w:p w14:paraId="281A47D4"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13424C30"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254B78AC"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29998C1F" w14:textId="77777777" w:rsidR="00100093" w:rsidRPr="006F0ED5" w:rsidRDefault="00100093" w:rsidP="005D7D3C">
            <w:pPr>
              <w:spacing w:line="360" w:lineRule="auto"/>
              <w:rPr>
                <w:rFonts w:ascii="宋体" w:hAnsi="宋体"/>
              </w:rPr>
            </w:pPr>
          </w:p>
        </w:tc>
        <w:tc>
          <w:tcPr>
            <w:tcW w:w="1668" w:type="pct"/>
            <w:tcBorders>
              <w:top w:val="single" w:sz="4" w:space="0" w:color="auto"/>
              <w:left w:val="nil"/>
              <w:bottom w:val="single" w:sz="4" w:space="0" w:color="auto"/>
              <w:right w:val="single" w:sz="4" w:space="0" w:color="auto"/>
            </w:tcBorders>
          </w:tcPr>
          <w:p w14:paraId="02A154A9" w14:textId="77777777" w:rsidR="00100093" w:rsidRPr="006F0ED5" w:rsidRDefault="00100093" w:rsidP="005D7D3C">
            <w:pPr>
              <w:spacing w:line="360" w:lineRule="auto"/>
              <w:rPr>
                <w:rFonts w:ascii="宋体" w:hAnsi="宋体"/>
              </w:rPr>
            </w:pPr>
            <w:r>
              <w:rPr>
                <w:rFonts w:ascii="宋体" w:hAnsi="宋体" w:hint="eastAsia"/>
              </w:rPr>
              <w:t xml:space="preserve"> </w:t>
            </w:r>
            <w:r>
              <w:rPr>
                <w:rFonts w:ascii="宋体" w:hAnsi="宋体"/>
              </w:rPr>
              <w:t xml:space="preserve">     优先股</w:t>
            </w:r>
          </w:p>
        </w:tc>
        <w:tc>
          <w:tcPr>
            <w:tcW w:w="1597" w:type="pct"/>
            <w:tcBorders>
              <w:top w:val="single" w:sz="4" w:space="0" w:color="auto"/>
              <w:left w:val="nil"/>
              <w:bottom w:val="single" w:sz="4" w:space="0" w:color="auto"/>
              <w:right w:val="single" w:sz="4" w:space="0" w:color="auto"/>
            </w:tcBorders>
          </w:tcPr>
          <w:p w14:paraId="0239913E"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7585B3B1"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50B6543F"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5B61158E" w14:textId="77777777" w:rsidR="00100093" w:rsidRPr="006F0ED5" w:rsidRDefault="00100093" w:rsidP="005D7D3C">
            <w:pPr>
              <w:spacing w:line="360" w:lineRule="auto"/>
              <w:rPr>
                <w:rFonts w:ascii="宋体" w:hAnsi="宋体"/>
              </w:rPr>
            </w:pPr>
          </w:p>
        </w:tc>
        <w:tc>
          <w:tcPr>
            <w:tcW w:w="1668" w:type="pct"/>
            <w:tcBorders>
              <w:top w:val="single" w:sz="4" w:space="0" w:color="auto"/>
              <w:left w:val="nil"/>
              <w:bottom w:val="single" w:sz="4" w:space="0" w:color="auto"/>
              <w:right w:val="single" w:sz="4" w:space="0" w:color="auto"/>
            </w:tcBorders>
          </w:tcPr>
          <w:p w14:paraId="3684D5D5" w14:textId="77777777" w:rsidR="00100093" w:rsidRDefault="00100093" w:rsidP="005D7D3C">
            <w:pPr>
              <w:spacing w:line="360" w:lineRule="auto"/>
              <w:rPr>
                <w:rFonts w:ascii="宋体" w:hAnsi="宋体"/>
              </w:rPr>
            </w:pPr>
            <w:r>
              <w:rPr>
                <w:rFonts w:ascii="宋体" w:hAnsi="宋体" w:hint="eastAsia"/>
              </w:rPr>
              <w:t xml:space="preserve"> </w:t>
            </w:r>
            <w:r>
              <w:rPr>
                <w:rFonts w:ascii="宋体" w:hAnsi="宋体"/>
              </w:rPr>
              <w:t xml:space="preserve">     房地产信托</w:t>
            </w:r>
          </w:p>
        </w:tc>
        <w:tc>
          <w:tcPr>
            <w:tcW w:w="1597" w:type="pct"/>
            <w:tcBorders>
              <w:top w:val="single" w:sz="4" w:space="0" w:color="auto"/>
              <w:left w:val="nil"/>
              <w:bottom w:val="single" w:sz="4" w:space="0" w:color="auto"/>
              <w:right w:val="single" w:sz="4" w:space="0" w:color="auto"/>
            </w:tcBorders>
          </w:tcPr>
          <w:p w14:paraId="210C1FC7"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692BCF23"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1ABCEA82"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7DCAC941" w14:textId="77777777" w:rsidR="00100093" w:rsidRPr="006F0ED5" w:rsidRDefault="00100093" w:rsidP="005D7D3C">
            <w:pPr>
              <w:spacing w:line="360" w:lineRule="auto"/>
              <w:rPr>
                <w:rFonts w:ascii="宋体" w:hAnsi="宋体"/>
              </w:rPr>
            </w:pPr>
            <w:r w:rsidRPr="006F0ED5">
              <w:rPr>
                <w:rFonts w:ascii="宋体" w:hAnsi="宋体" w:hint="eastAsia"/>
              </w:rPr>
              <w:t>2</w:t>
            </w:r>
          </w:p>
        </w:tc>
        <w:tc>
          <w:tcPr>
            <w:tcW w:w="1668" w:type="pct"/>
            <w:tcBorders>
              <w:top w:val="single" w:sz="4" w:space="0" w:color="auto"/>
              <w:left w:val="nil"/>
              <w:bottom w:val="single" w:sz="4" w:space="0" w:color="auto"/>
              <w:right w:val="single" w:sz="4" w:space="0" w:color="auto"/>
            </w:tcBorders>
          </w:tcPr>
          <w:p w14:paraId="6797B0AE" w14:textId="77777777" w:rsidR="00100093" w:rsidRPr="006F0ED5" w:rsidRDefault="00100093" w:rsidP="005D7D3C">
            <w:pPr>
              <w:spacing w:line="360" w:lineRule="auto"/>
              <w:rPr>
                <w:rFonts w:ascii="宋体" w:hAnsi="宋体"/>
              </w:rPr>
            </w:pPr>
            <w:r w:rsidRPr="006F0ED5">
              <w:rPr>
                <w:rFonts w:ascii="宋体" w:hAnsi="宋体" w:hint="eastAsia"/>
              </w:rPr>
              <w:t>基金投资</w:t>
            </w:r>
          </w:p>
        </w:tc>
        <w:tc>
          <w:tcPr>
            <w:tcW w:w="1597" w:type="pct"/>
            <w:tcBorders>
              <w:top w:val="single" w:sz="4" w:space="0" w:color="auto"/>
              <w:left w:val="nil"/>
              <w:bottom w:val="single" w:sz="4" w:space="0" w:color="auto"/>
              <w:right w:val="single" w:sz="4" w:space="0" w:color="auto"/>
            </w:tcBorders>
          </w:tcPr>
          <w:p w14:paraId="4161FCF8"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106,621,604.09</w:t>
            </w:r>
          </w:p>
        </w:tc>
        <w:tc>
          <w:tcPr>
            <w:tcW w:w="1409" w:type="pct"/>
            <w:tcBorders>
              <w:top w:val="single" w:sz="4" w:space="0" w:color="auto"/>
              <w:left w:val="nil"/>
              <w:bottom w:val="single" w:sz="4" w:space="0" w:color="auto"/>
              <w:right w:val="single" w:sz="4" w:space="0" w:color="auto"/>
            </w:tcBorders>
            <w:vAlign w:val="center"/>
          </w:tcPr>
          <w:p w14:paraId="6732964D"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90.66</w:t>
            </w:r>
          </w:p>
        </w:tc>
      </w:tr>
      <w:tr w:rsidR="00100093" w14:paraId="6DC413B6"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5C7D2B3B" w14:textId="77777777" w:rsidR="00100093" w:rsidRPr="006F0ED5" w:rsidRDefault="00100093" w:rsidP="005D7D3C">
            <w:pPr>
              <w:spacing w:line="360" w:lineRule="auto"/>
              <w:rPr>
                <w:rFonts w:ascii="宋体" w:hAnsi="宋体"/>
              </w:rPr>
            </w:pPr>
            <w:r w:rsidRPr="006F0ED5">
              <w:rPr>
                <w:rFonts w:ascii="宋体" w:hAnsi="宋体" w:hint="eastAsia"/>
              </w:rPr>
              <w:t>3</w:t>
            </w:r>
          </w:p>
        </w:tc>
        <w:tc>
          <w:tcPr>
            <w:tcW w:w="1668" w:type="pct"/>
            <w:tcBorders>
              <w:top w:val="single" w:sz="4" w:space="0" w:color="auto"/>
              <w:left w:val="nil"/>
              <w:bottom w:val="single" w:sz="4" w:space="0" w:color="auto"/>
              <w:right w:val="single" w:sz="4" w:space="0" w:color="auto"/>
            </w:tcBorders>
          </w:tcPr>
          <w:p w14:paraId="48F06481" w14:textId="77777777" w:rsidR="00100093" w:rsidRPr="006F0ED5" w:rsidRDefault="00100093" w:rsidP="005D7D3C">
            <w:pPr>
              <w:spacing w:line="360" w:lineRule="auto"/>
              <w:rPr>
                <w:rFonts w:ascii="宋体" w:hAnsi="宋体"/>
              </w:rPr>
            </w:pPr>
            <w:r w:rsidRPr="006F0ED5">
              <w:rPr>
                <w:rFonts w:ascii="宋体" w:hAnsi="宋体" w:hint="eastAsia"/>
              </w:rPr>
              <w:t>固定收益投资</w:t>
            </w:r>
          </w:p>
        </w:tc>
        <w:tc>
          <w:tcPr>
            <w:tcW w:w="1597" w:type="pct"/>
            <w:tcBorders>
              <w:top w:val="single" w:sz="4" w:space="0" w:color="auto"/>
              <w:left w:val="nil"/>
              <w:bottom w:val="single" w:sz="4" w:space="0" w:color="auto"/>
              <w:right w:val="single" w:sz="4" w:space="0" w:color="auto"/>
            </w:tcBorders>
          </w:tcPr>
          <w:p w14:paraId="494C7C2F"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1644F051"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2884FE11"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1635277A" w14:textId="77777777" w:rsidR="00100093" w:rsidRPr="006F0ED5" w:rsidRDefault="00100093" w:rsidP="005D7D3C">
            <w:pPr>
              <w:spacing w:line="360" w:lineRule="auto"/>
              <w:rPr>
                <w:rFonts w:ascii="宋体" w:hAnsi="宋体"/>
              </w:rPr>
            </w:pPr>
          </w:p>
        </w:tc>
        <w:tc>
          <w:tcPr>
            <w:tcW w:w="1668" w:type="pct"/>
            <w:tcBorders>
              <w:top w:val="single" w:sz="4" w:space="0" w:color="auto"/>
              <w:left w:val="nil"/>
              <w:bottom w:val="single" w:sz="4" w:space="0" w:color="auto"/>
              <w:right w:val="single" w:sz="4" w:space="0" w:color="auto"/>
            </w:tcBorders>
          </w:tcPr>
          <w:p w14:paraId="10383EA0" w14:textId="77777777" w:rsidR="00100093" w:rsidRPr="006F0ED5" w:rsidRDefault="00100093" w:rsidP="005D7D3C">
            <w:pPr>
              <w:spacing w:line="360" w:lineRule="auto"/>
              <w:rPr>
                <w:rFonts w:ascii="宋体" w:hAnsi="宋体"/>
              </w:rPr>
            </w:pPr>
            <w:r w:rsidRPr="006F0ED5">
              <w:rPr>
                <w:rFonts w:ascii="宋体" w:hAnsi="宋体" w:hint="eastAsia"/>
              </w:rPr>
              <w:t>其中：</w:t>
            </w:r>
            <w:r w:rsidRPr="006F0ED5">
              <w:rPr>
                <w:rFonts w:ascii="宋体" w:hAnsi="宋体"/>
              </w:rPr>
              <w:t>债券</w:t>
            </w:r>
          </w:p>
        </w:tc>
        <w:tc>
          <w:tcPr>
            <w:tcW w:w="1597" w:type="pct"/>
            <w:tcBorders>
              <w:top w:val="single" w:sz="4" w:space="0" w:color="auto"/>
              <w:left w:val="nil"/>
              <w:bottom w:val="single" w:sz="4" w:space="0" w:color="auto"/>
              <w:right w:val="single" w:sz="4" w:space="0" w:color="auto"/>
            </w:tcBorders>
          </w:tcPr>
          <w:p w14:paraId="58C748A8"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703B2846"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03AA6D2C"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111396BD" w14:textId="77777777" w:rsidR="00100093" w:rsidRPr="006F0ED5" w:rsidRDefault="00100093" w:rsidP="005D7D3C">
            <w:pPr>
              <w:spacing w:line="360" w:lineRule="auto"/>
              <w:rPr>
                <w:rFonts w:ascii="宋体" w:hAnsi="宋体"/>
              </w:rPr>
            </w:pPr>
          </w:p>
        </w:tc>
        <w:tc>
          <w:tcPr>
            <w:tcW w:w="1668" w:type="pct"/>
            <w:tcBorders>
              <w:top w:val="single" w:sz="4" w:space="0" w:color="auto"/>
              <w:left w:val="nil"/>
              <w:bottom w:val="single" w:sz="4" w:space="0" w:color="auto"/>
              <w:right w:val="single" w:sz="4" w:space="0" w:color="auto"/>
            </w:tcBorders>
          </w:tcPr>
          <w:p w14:paraId="378A8BDB" w14:textId="77777777" w:rsidR="00100093" w:rsidRPr="006F0ED5" w:rsidRDefault="00100093" w:rsidP="005D7D3C">
            <w:pPr>
              <w:spacing w:line="360" w:lineRule="auto"/>
              <w:rPr>
                <w:rFonts w:ascii="宋体" w:hAnsi="宋体"/>
              </w:rPr>
            </w:pPr>
            <w:r w:rsidRPr="006F0ED5">
              <w:rPr>
                <w:rFonts w:ascii="宋体" w:hAnsi="宋体" w:hint="eastAsia"/>
              </w:rPr>
              <w:t xml:space="preserve">      </w:t>
            </w:r>
            <w:r w:rsidRPr="006F0ED5">
              <w:rPr>
                <w:rFonts w:ascii="宋体" w:hAnsi="宋体"/>
              </w:rPr>
              <w:t>资产支持证券</w:t>
            </w:r>
          </w:p>
        </w:tc>
        <w:tc>
          <w:tcPr>
            <w:tcW w:w="1597" w:type="pct"/>
            <w:tcBorders>
              <w:top w:val="single" w:sz="4" w:space="0" w:color="auto"/>
              <w:left w:val="nil"/>
              <w:bottom w:val="single" w:sz="4" w:space="0" w:color="auto"/>
              <w:right w:val="single" w:sz="4" w:space="0" w:color="auto"/>
            </w:tcBorders>
          </w:tcPr>
          <w:p w14:paraId="59241711"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5895BE17"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3630DB9D"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3C2AEB47" w14:textId="77777777" w:rsidR="00100093" w:rsidRPr="006F0ED5" w:rsidRDefault="00100093" w:rsidP="005D7D3C">
            <w:pPr>
              <w:spacing w:line="360" w:lineRule="auto"/>
              <w:rPr>
                <w:rFonts w:ascii="宋体" w:hAnsi="宋体"/>
              </w:rPr>
            </w:pPr>
            <w:r w:rsidRPr="006F0ED5">
              <w:rPr>
                <w:rFonts w:ascii="宋体" w:hAnsi="宋体" w:hint="eastAsia"/>
              </w:rPr>
              <w:t>4</w:t>
            </w:r>
          </w:p>
        </w:tc>
        <w:tc>
          <w:tcPr>
            <w:tcW w:w="1668" w:type="pct"/>
            <w:tcBorders>
              <w:top w:val="single" w:sz="4" w:space="0" w:color="auto"/>
              <w:left w:val="nil"/>
              <w:bottom w:val="single" w:sz="4" w:space="0" w:color="auto"/>
              <w:right w:val="single" w:sz="4" w:space="0" w:color="auto"/>
            </w:tcBorders>
          </w:tcPr>
          <w:p w14:paraId="5590E8C5" w14:textId="77777777" w:rsidR="00100093" w:rsidRPr="006F0ED5" w:rsidRDefault="00100093" w:rsidP="005D7D3C">
            <w:pPr>
              <w:spacing w:line="360" w:lineRule="auto"/>
              <w:rPr>
                <w:rFonts w:ascii="宋体" w:hAnsi="宋体"/>
              </w:rPr>
            </w:pPr>
            <w:r w:rsidRPr="006F0ED5">
              <w:rPr>
                <w:rFonts w:ascii="宋体" w:hAnsi="宋体" w:hint="eastAsia"/>
              </w:rPr>
              <w:t>金融衍生品投资</w:t>
            </w:r>
          </w:p>
        </w:tc>
        <w:tc>
          <w:tcPr>
            <w:tcW w:w="1597" w:type="pct"/>
            <w:tcBorders>
              <w:top w:val="single" w:sz="4" w:space="0" w:color="auto"/>
              <w:left w:val="nil"/>
              <w:bottom w:val="single" w:sz="4" w:space="0" w:color="auto"/>
              <w:right w:val="single" w:sz="4" w:space="0" w:color="auto"/>
            </w:tcBorders>
          </w:tcPr>
          <w:p w14:paraId="333EAF93"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06E2645C"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3569A18E"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0B65E6BD" w14:textId="77777777" w:rsidR="00100093" w:rsidRPr="006F0ED5" w:rsidRDefault="00100093" w:rsidP="005D7D3C">
            <w:pPr>
              <w:spacing w:line="360" w:lineRule="auto"/>
              <w:rPr>
                <w:rFonts w:ascii="宋体" w:hAnsi="宋体"/>
              </w:rPr>
            </w:pPr>
          </w:p>
        </w:tc>
        <w:tc>
          <w:tcPr>
            <w:tcW w:w="1668" w:type="pct"/>
            <w:tcBorders>
              <w:top w:val="single" w:sz="4" w:space="0" w:color="auto"/>
              <w:left w:val="nil"/>
              <w:bottom w:val="single" w:sz="4" w:space="0" w:color="auto"/>
              <w:right w:val="single" w:sz="4" w:space="0" w:color="auto"/>
            </w:tcBorders>
          </w:tcPr>
          <w:p w14:paraId="5F5185D3" w14:textId="77777777" w:rsidR="00100093" w:rsidRPr="006F0ED5" w:rsidRDefault="00100093" w:rsidP="005D7D3C">
            <w:pPr>
              <w:spacing w:line="360" w:lineRule="auto"/>
              <w:rPr>
                <w:rFonts w:ascii="宋体" w:hAnsi="宋体"/>
              </w:rPr>
            </w:pPr>
            <w:r w:rsidRPr="006F0ED5">
              <w:rPr>
                <w:rFonts w:ascii="宋体" w:hAnsi="宋体" w:hint="eastAsia"/>
              </w:rPr>
              <w:t>其中：远期</w:t>
            </w:r>
          </w:p>
        </w:tc>
        <w:tc>
          <w:tcPr>
            <w:tcW w:w="1597" w:type="pct"/>
            <w:tcBorders>
              <w:top w:val="single" w:sz="4" w:space="0" w:color="auto"/>
              <w:left w:val="nil"/>
              <w:bottom w:val="single" w:sz="4" w:space="0" w:color="auto"/>
              <w:right w:val="single" w:sz="4" w:space="0" w:color="auto"/>
            </w:tcBorders>
          </w:tcPr>
          <w:p w14:paraId="5587CD16"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55D3B23D"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4532030D"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3067A4CC" w14:textId="77777777" w:rsidR="00100093" w:rsidRPr="006F0ED5" w:rsidRDefault="00100093" w:rsidP="005D7D3C">
            <w:pPr>
              <w:spacing w:line="360" w:lineRule="auto"/>
              <w:rPr>
                <w:rFonts w:ascii="宋体" w:hAnsi="宋体"/>
              </w:rPr>
            </w:pPr>
          </w:p>
        </w:tc>
        <w:tc>
          <w:tcPr>
            <w:tcW w:w="1668" w:type="pct"/>
            <w:tcBorders>
              <w:top w:val="single" w:sz="4" w:space="0" w:color="auto"/>
              <w:left w:val="nil"/>
              <w:bottom w:val="single" w:sz="4" w:space="0" w:color="auto"/>
              <w:right w:val="single" w:sz="4" w:space="0" w:color="auto"/>
            </w:tcBorders>
          </w:tcPr>
          <w:p w14:paraId="1329E248" w14:textId="77777777" w:rsidR="00100093" w:rsidRPr="006F0ED5" w:rsidRDefault="00100093" w:rsidP="005D7D3C">
            <w:pPr>
              <w:spacing w:line="360" w:lineRule="auto"/>
              <w:rPr>
                <w:rFonts w:ascii="宋体" w:hAnsi="宋体"/>
              </w:rPr>
            </w:pPr>
            <w:r w:rsidRPr="006F0ED5">
              <w:rPr>
                <w:rFonts w:ascii="宋体" w:hAnsi="宋体" w:hint="eastAsia"/>
              </w:rPr>
              <w:t xml:space="preserve">      期货</w:t>
            </w:r>
          </w:p>
        </w:tc>
        <w:tc>
          <w:tcPr>
            <w:tcW w:w="1597" w:type="pct"/>
            <w:tcBorders>
              <w:top w:val="single" w:sz="4" w:space="0" w:color="auto"/>
              <w:left w:val="nil"/>
              <w:bottom w:val="single" w:sz="4" w:space="0" w:color="auto"/>
              <w:right w:val="single" w:sz="4" w:space="0" w:color="auto"/>
            </w:tcBorders>
          </w:tcPr>
          <w:p w14:paraId="48DA9229"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04261CF8"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24314C4F"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2AABE2F7" w14:textId="77777777" w:rsidR="00100093" w:rsidRPr="006F0ED5" w:rsidRDefault="00100093" w:rsidP="005D7D3C">
            <w:pPr>
              <w:spacing w:line="360" w:lineRule="auto"/>
              <w:rPr>
                <w:rFonts w:ascii="宋体" w:hAnsi="宋体"/>
              </w:rPr>
            </w:pPr>
          </w:p>
        </w:tc>
        <w:tc>
          <w:tcPr>
            <w:tcW w:w="1668" w:type="pct"/>
            <w:tcBorders>
              <w:top w:val="single" w:sz="4" w:space="0" w:color="auto"/>
              <w:left w:val="nil"/>
              <w:bottom w:val="single" w:sz="4" w:space="0" w:color="auto"/>
              <w:right w:val="single" w:sz="4" w:space="0" w:color="auto"/>
            </w:tcBorders>
          </w:tcPr>
          <w:p w14:paraId="1F2EDE05" w14:textId="77777777" w:rsidR="00100093" w:rsidRPr="006F0ED5" w:rsidRDefault="00100093" w:rsidP="005D7D3C">
            <w:pPr>
              <w:spacing w:line="360" w:lineRule="auto"/>
              <w:rPr>
                <w:rFonts w:ascii="宋体" w:hAnsi="宋体"/>
              </w:rPr>
            </w:pPr>
            <w:r w:rsidRPr="006F0ED5">
              <w:rPr>
                <w:rFonts w:ascii="宋体" w:hAnsi="宋体" w:hint="eastAsia"/>
              </w:rPr>
              <w:t xml:space="preserve">      期权</w:t>
            </w:r>
          </w:p>
        </w:tc>
        <w:tc>
          <w:tcPr>
            <w:tcW w:w="1597" w:type="pct"/>
            <w:tcBorders>
              <w:top w:val="single" w:sz="4" w:space="0" w:color="auto"/>
              <w:left w:val="nil"/>
              <w:bottom w:val="single" w:sz="4" w:space="0" w:color="auto"/>
              <w:right w:val="single" w:sz="4" w:space="0" w:color="auto"/>
            </w:tcBorders>
          </w:tcPr>
          <w:p w14:paraId="640839CF"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2A9EABCB"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777B8E2F"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12494A12" w14:textId="77777777" w:rsidR="00100093" w:rsidRPr="006F0ED5" w:rsidRDefault="00100093" w:rsidP="005D7D3C">
            <w:pPr>
              <w:spacing w:line="360" w:lineRule="auto"/>
              <w:rPr>
                <w:rFonts w:ascii="宋体" w:hAnsi="宋体"/>
              </w:rPr>
            </w:pPr>
          </w:p>
        </w:tc>
        <w:tc>
          <w:tcPr>
            <w:tcW w:w="1668" w:type="pct"/>
            <w:tcBorders>
              <w:top w:val="single" w:sz="4" w:space="0" w:color="auto"/>
              <w:left w:val="nil"/>
              <w:bottom w:val="single" w:sz="4" w:space="0" w:color="auto"/>
              <w:right w:val="single" w:sz="4" w:space="0" w:color="auto"/>
            </w:tcBorders>
          </w:tcPr>
          <w:p w14:paraId="20AB4013" w14:textId="77777777" w:rsidR="00100093" w:rsidRPr="006F0ED5" w:rsidRDefault="00100093" w:rsidP="005D7D3C">
            <w:pPr>
              <w:spacing w:line="360" w:lineRule="auto"/>
              <w:rPr>
                <w:rFonts w:ascii="宋体" w:hAnsi="宋体"/>
              </w:rPr>
            </w:pPr>
            <w:r w:rsidRPr="006F0ED5">
              <w:rPr>
                <w:rFonts w:ascii="宋体" w:hAnsi="宋体" w:hint="eastAsia"/>
              </w:rPr>
              <w:t xml:space="preserve">      权证</w:t>
            </w:r>
          </w:p>
        </w:tc>
        <w:tc>
          <w:tcPr>
            <w:tcW w:w="1597" w:type="pct"/>
            <w:tcBorders>
              <w:top w:val="single" w:sz="4" w:space="0" w:color="auto"/>
              <w:left w:val="nil"/>
              <w:bottom w:val="single" w:sz="4" w:space="0" w:color="auto"/>
              <w:right w:val="single" w:sz="4" w:space="0" w:color="auto"/>
            </w:tcBorders>
          </w:tcPr>
          <w:p w14:paraId="64C5E0D5"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164F339B"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70BF9892"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5A0A88D9" w14:textId="77777777" w:rsidR="00100093" w:rsidRPr="006F0ED5" w:rsidRDefault="00100093" w:rsidP="005D7D3C">
            <w:pPr>
              <w:spacing w:line="360" w:lineRule="auto"/>
              <w:rPr>
                <w:rFonts w:ascii="宋体" w:hAnsi="宋体"/>
              </w:rPr>
            </w:pPr>
            <w:r w:rsidRPr="006F0ED5">
              <w:rPr>
                <w:rFonts w:ascii="宋体" w:hAnsi="宋体" w:hint="eastAsia"/>
              </w:rPr>
              <w:t>5</w:t>
            </w:r>
          </w:p>
        </w:tc>
        <w:tc>
          <w:tcPr>
            <w:tcW w:w="1668" w:type="pct"/>
            <w:tcBorders>
              <w:top w:val="single" w:sz="4" w:space="0" w:color="auto"/>
              <w:left w:val="nil"/>
              <w:bottom w:val="single" w:sz="4" w:space="0" w:color="auto"/>
              <w:right w:val="single" w:sz="4" w:space="0" w:color="auto"/>
            </w:tcBorders>
          </w:tcPr>
          <w:p w14:paraId="6130DCB3" w14:textId="77777777" w:rsidR="00100093" w:rsidRPr="006F0ED5" w:rsidRDefault="00100093" w:rsidP="005D7D3C">
            <w:pPr>
              <w:spacing w:line="360" w:lineRule="auto"/>
              <w:rPr>
                <w:rFonts w:ascii="宋体" w:hAnsi="宋体"/>
              </w:rPr>
            </w:pPr>
            <w:r w:rsidRPr="006F0ED5">
              <w:rPr>
                <w:rFonts w:ascii="宋体" w:hAnsi="宋体" w:hint="eastAsia"/>
              </w:rPr>
              <w:t>买入返售金融资产</w:t>
            </w:r>
          </w:p>
        </w:tc>
        <w:tc>
          <w:tcPr>
            <w:tcW w:w="1597" w:type="pct"/>
            <w:tcBorders>
              <w:top w:val="single" w:sz="4" w:space="0" w:color="auto"/>
              <w:left w:val="nil"/>
              <w:bottom w:val="single" w:sz="4" w:space="0" w:color="auto"/>
              <w:right w:val="single" w:sz="4" w:space="0" w:color="auto"/>
            </w:tcBorders>
          </w:tcPr>
          <w:p w14:paraId="2A8FA023"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62FF21C6"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1ADA1D9E"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014D0B9C" w14:textId="77777777" w:rsidR="00100093" w:rsidRPr="006F0ED5" w:rsidRDefault="00100093" w:rsidP="005D7D3C">
            <w:pPr>
              <w:spacing w:line="360" w:lineRule="auto"/>
              <w:rPr>
                <w:rFonts w:ascii="宋体" w:hAnsi="宋体"/>
              </w:rPr>
            </w:pPr>
          </w:p>
        </w:tc>
        <w:tc>
          <w:tcPr>
            <w:tcW w:w="1668" w:type="pct"/>
            <w:tcBorders>
              <w:top w:val="single" w:sz="4" w:space="0" w:color="auto"/>
              <w:left w:val="nil"/>
              <w:bottom w:val="single" w:sz="4" w:space="0" w:color="auto"/>
              <w:right w:val="single" w:sz="4" w:space="0" w:color="auto"/>
            </w:tcBorders>
          </w:tcPr>
          <w:p w14:paraId="03C308D0" w14:textId="77777777" w:rsidR="00100093" w:rsidRPr="006F0ED5" w:rsidRDefault="00100093" w:rsidP="005D7D3C">
            <w:pPr>
              <w:spacing w:line="360" w:lineRule="auto"/>
              <w:rPr>
                <w:rFonts w:ascii="宋体" w:hAnsi="宋体"/>
              </w:rPr>
            </w:pPr>
            <w:r w:rsidRPr="006F0ED5">
              <w:rPr>
                <w:rFonts w:ascii="宋体" w:hAnsi="宋体"/>
              </w:rPr>
              <w:t>其中：买断式回购的买入返售</w:t>
            </w:r>
            <w:r w:rsidRPr="006F0ED5">
              <w:rPr>
                <w:rFonts w:ascii="宋体" w:hAnsi="宋体" w:hint="eastAsia"/>
              </w:rPr>
              <w:t>金融资产</w:t>
            </w:r>
          </w:p>
        </w:tc>
        <w:tc>
          <w:tcPr>
            <w:tcW w:w="1597" w:type="pct"/>
            <w:tcBorders>
              <w:top w:val="single" w:sz="4" w:space="0" w:color="auto"/>
              <w:left w:val="nil"/>
              <w:bottom w:val="single" w:sz="4" w:space="0" w:color="auto"/>
              <w:right w:val="single" w:sz="4" w:space="0" w:color="auto"/>
            </w:tcBorders>
          </w:tcPr>
          <w:p w14:paraId="6C35BC53"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64869A4B"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184A22BD"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3CAEFF3B" w14:textId="77777777" w:rsidR="00100093" w:rsidRPr="006F0ED5" w:rsidRDefault="00100093" w:rsidP="005D7D3C">
            <w:pPr>
              <w:spacing w:line="360" w:lineRule="auto"/>
              <w:rPr>
                <w:rFonts w:ascii="宋体" w:hAnsi="宋体"/>
              </w:rPr>
            </w:pPr>
            <w:r w:rsidRPr="006F0ED5">
              <w:rPr>
                <w:rFonts w:ascii="宋体" w:hAnsi="宋体" w:hint="eastAsia"/>
              </w:rPr>
              <w:t>6</w:t>
            </w:r>
          </w:p>
        </w:tc>
        <w:tc>
          <w:tcPr>
            <w:tcW w:w="1668" w:type="pct"/>
            <w:tcBorders>
              <w:top w:val="single" w:sz="4" w:space="0" w:color="auto"/>
              <w:left w:val="nil"/>
              <w:bottom w:val="single" w:sz="4" w:space="0" w:color="auto"/>
              <w:right w:val="single" w:sz="4" w:space="0" w:color="auto"/>
            </w:tcBorders>
          </w:tcPr>
          <w:p w14:paraId="20824331" w14:textId="77777777" w:rsidR="00100093" w:rsidRPr="006F0ED5" w:rsidRDefault="00100093" w:rsidP="005D7D3C">
            <w:pPr>
              <w:spacing w:line="360" w:lineRule="auto"/>
              <w:rPr>
                <w:rFonts w:ascii="宋体" w:hAnsi="宋体"/>
              </w:rPr>
            </w:pPr>
            <w:r w:rsidRPr="006F0ED5">
              <w:rPr>
                <w:rFonts w:ascii="宋体" w:hAnsi="宋体" w:hint="eastAsia"/>
              </w:rPr>
              <w:t>货币市场工具</w:t>
            </w:r>
          </w:p>
        </w:tc>
        <w:tc>
          <w:tcPr>
            <w:tcW w:w="1597" w:type="pct"/>
            <w:tcBorders>
              <w:top w:val="single" w:sz="4" w:space="0" w:color="auto"/>
              <w:left w:val="nil"/>
              <w:bottom w:val="single" w:sz="4" w:space="0" w:color="auto"/>
              <w:right w:val="single" w:sz="4" w:space="0" w:color="auto"/>
            </w:tcBorders>
          </w:tcPr>
          <w:p w14:paraId="40587097"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c>
          <w:tcPr>
            <w:tcW w:w="1409" w:type="pct"/>
            <w:tcBorders>
              <w:top w:val="single" w:sz="4" w:space="0" w:color="auto"/>
              <w:left w:val="nil"/>
              <w:bottom w:val="single" w:sz="4" w:space="0" w:color="auto"/>
              <w:right w:val="single" w:sz="4" w:space="0" w:color="auto"/>
            </w:tcBorders>
            <w:vAlign w:val="center"/>
          </w:tcPr>
          <w:p w14:paraId="1BE416C4"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w:t>
            </w:r>
          </w:p>
        </w:tc>
      </w:tr>
      <w:tr w:rsidR="00100093" w14:paraId="4742FE53"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6F2375B6" w14:textId="77777777" w:rsidR="00100093" w:rsidRPr="006F0ED5" w:rsidRDefault="00100093" w:rsidP="005D7D3C">
            <w:pPr>
              <w:spacing w:line="360" w:lineRule="auto"/>
              <w:rPr>
                <w:rFonts w:ascii="宋体" w:hAnsi="宋体"/>
              </w:rPr>
            </w:pPr>
            <w:r w:rsidRPr="006F0ED5">
              <w:rPr>
                <w:rFonts w:ascii="宋体" w:hAnsi="宋体" w:hint="eastAsia"/>
              </w:rPr>
              <w:t>7</w:t>
            </w:r>
          </w:p>
        </w:tc>
        <w:tc>
          <w:tcPr>
            <w:tcW w:w="1668" w:type="pct"/>
            <w:tcBorders>
              <w:top w:val="single" w:sz="4" w:space="0" w:color="auto"/>
              <w:left w:val="nil"/>
              <w:bottom w:val="single" w:sz="4" w:space="0" w:color="auto"/>
              <w:right w:val="single" w:sz="4" w:space="0" w:color="auto"/>
            </w:tcBorders>
          </w:tcPr>
          <w:p w14:paraId="3E67CB24" w14:textId="77777777" w:rsidR="00100093" w:rsidRPr="006F0ED5" w:rsidRDefault="00100093" w:rsidP="005D7D3C">
            <w:pPr>
              <w:spacing w:line="360" w:lineRule="auto"/>
              <w:rPr>
                <w:rFonts w:ascii="宋体" w:hAnsi="宋体"/>
              </w:rPr>
            </w:pPr>
            <w:r w:rsidRPr="006F0ED5">
              <w:rPr>
                <w:rFonts w:ascii="宋体" w:hAnsi="宋体" w:hint="eastAsia"/>
              </w:rPr>
              <w:t>银行存款和结算备付金合计</w:t>
            </w:r>
          </w:p>
        </w:tc>
        <w:tc>
          <w:tcPr>
            <w:tcW w:w="1597" w:type="pct"/>
            <w:tcBorders>
              <w:top w:val="single" w:sz="4" w:space="0" w:color="auto"/>
              <w:left w:val="nil"/>
              <w:bottom w:val="single" w:sz="4" w:space="0" w:color="auto"/>
              <w:right w:val="single" w:sz="4" w:space="0" w:color="auto"/>
            </w:tcBorders>
          </w:tcPr>
          <w:p w14:paraId="2EE90004"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10,841,882.59</w:t>
            </w:r>
          </w:p>
        </w:tc>
        <w:tc>
          <w:tcPr>
            <w:tcW w:w="1409" w:type="pct"/>
            <w:tcBorders>
              <w:top w:val="single" w:sz="4" w:space="0" w:color="auto"/>
              <w:left w:val="nil"/>
              <w:bottom w:val="single" w:sz="4" w:space="0" w:color="auto"/>
              <w:right w:val="single" w:sz="4" w:space="0" w:color="auto"/>
            </w:tcBorders>
            <w:vAlign w:val="center"/>
          </w:tcPr>
          <w:p w14:paraId="3BB26E6C"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9.22</w:t>
            </w:r>
          </w:p>
        </w:tc>
      </w:tr>
      <w:tr w:rsidR="00100093" w14:paraId="55E5DA6B"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70238EDD" w14:textId="77777777" w:rsidR="00100093" w:rsidRPr="006F0ED5" w:rsidRDefault="00100093" w:rsidP="005D7D3C">
            <w:pPr>
              <w:spacing w:line="360" w:lineRule="auto"/>
              <w:rPr>
                <w:rFonts w:ascii="宋体" w:hAnsi="宋体"/>
              </w:rPr>
            </w:pPr>
            <w:r w:rsidRPr="006F0ED5">
              <w:rPr>
                <w:rFonts w:ascii="宋体" w:hAnsi="宋体"/>
              </w:rPr>
              <w:t>8</w:t>
            </w:r>
          </w:p>
        </w:tc>
        <w:tc>
          <w:tcPr>
            <w:tcW w:w="1668" w:type="pct"/>
            <w:tcBorders>
              <w:top w:val="single" w:sz="4" w:space="0" w:color="auto"/>
              <w:left w:val="nil"/>
              <w:bottom w:val="single" w:sz="4" w:space="0" w:color="auto"/>
              <w:right w:val="single" w:sz="4" w:space="0" w:color="auto"/>
            </w:tcBorders>
          </w:tcPr>
          <w:p w14:paraId="1F2CB6E3" w14:textId="77777777" w:rsidR="00100093" w:rsidRPr="006F0ED5" w:rsidRDefault="00100093" w:rsidP="005D7D3C">
            <w:pPr>
              <w:spacing w:line="360" w:lineRule="auto"/>
              <w:rPr>
                <w:rFonts w:ascii="宋体" w:hAnsi="宋体"/>
              </w:rPr>
            </w:pPr>
            <w:r w:rsidRPr="006F0ED5">
              <w:rPr>
                <w:rFonts w:ascii="宋体" w:hAnsi="宋体"/>
              </w:rPr>
              <w:t>其他资产</w:t>
            </w:r>
          </w:p>
        </w:tc>
        <w:tc>
          <w:tcPr>
            <w:tcW w:w="1597" w:type="pct"/>
            <w:tcBorders>
              <w:top w:val="single" w:sz="4" w:space="0" w:color="auto"/>
              <w:left w:val="nil"/>
              <w:bottom w:val="single" w:sz="4" w:space="0" w:color="auto"/>
              <w:right w:val="single" w:sz="4" w:space="0" w:color="auto"/>
            </w:tcBorders>
          </w:tcPr>
          <w:p w14:paraId="1170ED06"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141,100.12</w:t>
            </w:r>
          </w:p>
        </w:tc>
        <w:tc>
          <w:tcPr>
            <w:tcW w:w="1409" w:type="pct"/>
            <w:tcBorders>
              <w:top w:val="single" w:sz="4" w:space="0" w:color="auto"/>
              <w:left w:val="nil"/>
              <w:bottom w:val="single" w:sz="4" w:space="0" w:color="auto"/>
              <w:right w:val="single" w:sz="4" w:space="0" w:color="auto"/>
            </w:tcBorders>
          </w:tcPr>
          <w:p w14:paraId="3441A864"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0.12</w:t>
            </w:r>
          </w:p>
        </w:tc>
      </w:tr>
      <w:tr w:rsidR="00100093" w14:paraId="68D98F61" w14:textId="77777777" w:rsidTr="005D7D3C">
        <w:trPr>
          <w:trHeight w:val="20"/>
        </w:trPr>
        <w:tc>
          <w:tcPr>
            <w:tcW w:w="326" w:type="pct"/>
            <w:tcBorders>
              <w:top w:val="single" w:sz="4" w:space="0" w:color="auto"/>
              <w:left w:val="single" w:sz="4" w:space="0" w:color="auto"/>
              <w:bottom w:val="single" w:sz="4" w:space="0" w:color="auto"/>
              <w:right w:val="single" w:sz="4" w:space="0" w:color="auto"/>
            </w:tcBorders>
          </w:tcPr>
          <w:p w14:paraId="6DF92FC2" w14:textId="77777777" w:rsidR="00100093" w:rsidRPr="006F0ED5" w:rsidRDefault="00100093" w:rsidP="005D7D3C">
            <w:pPr>
              <w:spacing w:line="360" w:lineRule="auto"/>
              <w:rPr>
                <w:rFonts w:ascii="宋体" w:hAnsi="宋体"/>
              </w:rPr>
            </w:pPr>
            <w:r w:rsidRPr="006F0ED5">
              <w:rPr>
                <w:rFonts w:ascii="宋体" w:hAnsi="宋体"/>
              </w:rPr>
              <w:t>9</w:t>
            </w:r>
          </w:p>
        </w:tc>
        <w:tc>
          <w:tcPr>
            <w:tcW w:w="1668" w:type="pct"/>
            <w:tcBorders>
              <w:top w:val="single" w:sz="4" w:space="0" w:color="auto"/>
              <w:left w:val="nil"/>
              <w:bottom w:val="single" w:sz="4" w:space="0" w:color="auto"/>
              <w:right w:val="single" w:sz="4" w:space="0" w:color="auto"/>
            </w:tcBorders>
          </w:tcPr>
          <w:p w14:paraId="0BAA0D1B" w14:textId="77777777" w:rsidR="00100093" w:rsidRPr="006F0ED5" w:rsidRDefault="00100093" w:rsidP="005D7D3C">
            <w:pPr>
              <w:spacing w:line="360" w:lineRule="auto"/>
              <w:rPr>
                <w:rFonts w:ascii="宋体" w:hAnsi="宋体"/>
              </w:rPr>
            </w:pPr>
            <w:r w:rsidRPr="006F0ED5">
              <w:rPr>
                <w:rFonts w:ascii="宋体" w:hAnsi="宋体"/>
              </w:rPr>
              <w:t>合计</w:t>
            </w:r>
          </w:p>
        </w:tc>
        <w:tc>
          <w:tcPr>
            <w:tcW w:w="1597" w:type="pct"/>
            <w:tcBorders>
              <w:top w:val="single" w:sz="4" w:space="0" w:color="auto"/>
              <w:left w:val="nil"/>
              <w:bottom w:val="single" w:sz="4" w:space="0" w:color="auto"/>
              <w:right w:val="single" w:sz="4" w:space="0" w:color="auto"/>
            </w:tcBorders>
          </w:tcPr>
          <w:p w14:paraId="15C58061"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117,604,586.80</w:t>
            </w:r>
          </w:p>
        </w:tc>
        <w:tc>
          <w:tcPr>
            <w:tcW w:w="1409" w:type="pct"/>
            <w:tcBorders>
              <w:top w:val="single" w:sz="4" w:space="0" w:color="auto"/>
              <w:left w:val="nil"/>
              <w:bottom w:val="single" w:sz="4" w:space="0" w:color="auto"/>
              <w:right w:val="single" w:sz="4" w:space="0" w:color="auto"/>
            </w:tcBorders>
          </w:tcPr>
          <w:p w14:paraId="54DACC39" w14:textId="77777777" w:rsidR="00100093" w:rsidRPr="006F0ED5" w:rsidRDefault="00100093" w:rsidP="005D7D3C">
            <w:pPr>
              <w:spacing w:line="360" w:lineRule="auto"/>
              <w:jc w:val="right"/>
              <w:rPr>
                <w:rFonts w:ascii="宋体" w:hAnsi="宋体" w:cs="宋体"/>
                <w:color w:val="000000" w:themeColor="text1"/>
                <w:kern w:val="0"/>
              </w:rPr>
            </w:pPr>
            <w:r w:rsidRPr="006F0ED5">
              <w:rPr>
                <w:rFonts w:ascii="宋体" w:hAnsi="宋体" w:cs="宋体"/>
                <w:color w:val="000000"/>
                <w:kern w:val="0"/>
              </w:rPr>
              <w:t>100.00</w:t>
            </w:r>
          </w:p>
        </w:tc>
      </w:tr>
    </w:tbl>
    <w:p w14:paraId="7D5E72EC" w14:textId="77777777" w:rsidR="00100093" w:rsidRDefault="00100093" w:rsidP="00100093">
      <w:pPr>
        <w:spacing w:line="360" w:lineRule="auto"/>
        <w:rPr>
          <w:rFonts w:ascii="宋体" w:hAnsi="宋体" w:cs="宋体"/>
          <w:color w:val="000000" w:themeColor="text1"/>
        </w:rPr>
      </w:pPr>
    </w:p>
    <w:p w14:paraId="2B6BBD26" w14:textId="77777777" w:rsidR="00100093" w:rsidRPr="0076165E" w:rsidRDefault="00100093" w:rsidP="00100093">
      <w:pPr>
        <w:keepNext/>
        <w:keepLines/>
        <w:spacing w:line="360" w:lineRule="auto"/>
        <w:jc w:val="left"/>
        <w:outlineLvl w:val="1"/>
        <w:rPr>
          <w:rFonts w:ascii="宋体" w:hAnsi="宋体"/>
          <w:b/>
          <w:sz w:val="24"/>
        </w:rPr>
      </w:pPr>
      <w:r>
        <w:rPr>
          <w:rFonts w:ascii="宋体" w:hAnsi="宋体" w:cs="宋体"/>
          <w:b/>
          <w:color w:val="000000"/>
          <w:sz w:val="24"/>
        </w:rPr>
        <w:t>1</w:t>
      </w:r>
      <w:r w:rsidRPr="00E759FF">
        <w:rPr>
          <w:rFonts w:ascii="宋体" w:hAnsi="宋体" w:cs="宋体" w:hint="eastAsia"/>
          <w:b/>
          <w:color w:val="000000"/>
          <w:sz w:val="24"/>
        </w:rPr>
        <w:t>.2</w:t>
      </w:r>
      <w:r w:rsidRPr="00E759FF">
        <w:rPr>
          <w:rFonts w:ascii="宋体" w:hAnsi="宋体" w:hint="eastAsia"/>
          <w:b/>
          <w:sz w:val="24"/>
        </w:rPr>
        <w:t>报告期末在各个国家（地区）证券市场的股票及存托凭证投资分布</w:t>
      </w:r>
    </w:p>
    <w:p w14:paraId="5F44268E" w14:textId="77777777" w:rsidR="00100093" w:rsidRDefault="00100093" w:rsidP="00100093">
      <w:pPr>
        <w:spacing w:line="360" w:lineRule="auto"/>
        <w:rPr>
          <w:rFonts w:ascii="宋体" w:hAnsi="宋体" w:cs="宋体"/>
          <w:color w:val="000000"/>
        </w:rPr>
      </w:pPr>
      <w:r w:rsidRPr="00783418">
        <w:rPr>
          <w:rFonts w:ascii="宋体" w:hAnsi="宋体" w:cs="宋体"/>
          <w:color w:val="000000"/>
        </w:rPr>
        <w:t>注:本基金本报告期末未持有权益投资。</w:t>
      </w:r>
    </w:p>
    <w:p w14:paraId="548807ED" w14:textId="77777777" w:rsidR="00100093" w:rsidRPr="00472EB5" w:rsidRDefault="00100093" w:rsidP="00100093">
      <w:pPr>
        <w:keepNext/>
        <w:keepLines/>
        <w:spacing w:line="360" w:lineRule="auto"/>
        <w:jc w:val="left"/>
        <w:outlineLvl w:val="1"/>
        <w:rPr>
          <w:rFonts w:ascii="宋体" w:hAnsi="宋体" w:cstheme="majorBidi"/>
          <w:b/>
          <w:bCs/>
          <w:sz w:val="24"/>
          <w:szCs w:val="32"/>
        </w:rPr>
      </w:pPr>
      <w:r>
        <w:rPr>
          <w:rFonts w:ascii="宋体" w:hAnsi="宋体" w:cs="宋体"/>
          <w:b/>
          <w:bCs/>
          <w:color w:val="000000"/>
          <w:sz w:val="24"/>
          <w:szCs w:val="32"/>
        </w:rPr>
        <w:t>1</w:t>
      </w:r>
      <w:r w:rsidRPr="00256F6A">
        <w:rPr>
          <w:rFonts w:ascii="宋体" w:hAnsi="宋体" w:cs="宋体" w:hint="eastAsia"/>
          <w:b/>
          <w:bCs/>
          <w:color w:val="000000"/>
          <w:sz w:val="24"/>
          <w:szCs w:val="32"/>
        </w:rPr>
        <w:t>.3</w:t>
      </w:r>
      <w:r w:rsidRPr="00256F6A">
        <w:rPr>
          <w:rFonts w:ascii="宋体" w:hAnsi="宋体" w:cstheme="majorBidi" w:hint="eastAsia"/>
          <w:b/>
          <w:bCs/>
          <w:sz w:val="24"/>
          <w:szCs w:val="32"/>
        </w:rPr>
        <w:t>报告期末按行业分类的股票及存托凭证投资组合</w:t>
      </w:r>
    </w:p>
    <w:p w14:paraId="01A4EFFC" w14:textId="77777777" w:rsidR="00100093" w:rsidRDefault="00100093" w:rsidP="00100093">
      <w:pPr>
        <w:spacing w:line="360" w:lineRule="auto"/>
        <w:rPr>
          <w:rFonts w:ascii="宋体" w:hAnsi="宋体" w:cs="宋体"/>
          <w:color w:val="000000"/>
        </w:rPr>
      </w:pPr>
      <w:r w:rsidRPr="007B18F5">
        <w:rPr>
          <w:rFonts w:ascii="宋体" w:hAnsi="宋体" w:cs="宋体"/>
          <w:color w:val="000000"/>
        </w:rPr>
        <w:t>注：本基金本报告期末未持有权益投资。</w:t>
      </w:r>
    </w:p>
    <w:p w14:paraId="2F9744B4" w14:textId="77777777" w:rsidR="00100093" w:rsidRPr="00A44EF6" w:rsidRDefault="00100093" w:rsidP="00100093">
      <w:pPr>
        <w:keepNext/>
        <w:keepLines/>
        <w:spacing w:line="360" w:lineRule="auto"/>
        <w:jc w:val="left"/>
        <w:outlineLvl w:val="1"/>
        <w:rPr>
          <w:rFonts w:ascii="宋体" w:hAnsi="宋体" w:cstheme="majorBidi"/>
          <w:b/>
          <w:bCs/>
          <w:sz w:val="24"/>
          <w:szCs w:val="32"/>
        </w:rPr>
      </w:pPr>
      <w:r>
        <w:rPr>
          <w:rFonts w:ascii="宋体" w:hAnsi="宋体" w:cs="宋体" w:hint="eastAsia"/>
          <w:b/>
          <w:bCs/>
          <w:color w:val="000000"/>
          <w:sz w:val="24"/>
          <w:szCs w:val="24"/>
        </w:rPr>
        <w:t>1</w:t>
      </w:r>
      <w:r w:rsidRPr="00FE24FF">
        <w:rPr>
          <w:rFonts w:ascii="宋体" w:hAnsi="宋体" w:cs="宋体" w:hint="eastAsia"/>
          <w:b/>
          <w:bCs/>
          <w:color w:val="000000"/>
          <w:sz w:val="24"/>
          <w:szCs w:val="24"/>
        </w:rPr>
        <w:t>.4</w:t>
      </w:r>
      <w:r w:rsidRPr="00FE24FF">
        <w:rPr>
          <w:rFonts w:ascii="宋体" w:hAnsi="宋体" w:cstheme="majorBidi" w:hint="eastAsia"/>
          <w:b/>
          <w:bCs/>
          <w:sz w:val="24"/>
          <w:szCs w:val="24"/>
        </w:rPr>
        <w:t>报告期末按公允价值占基金资产净值比例大小排序的前十名股票及存托凭证投资明细</w:t>
      </w:r>
    </w:p>
    <w:p w14:paraId="59338309" w14:textId="77777777" w:rsidR="00100093" w:rsidRDefault="00100093" w:rsidP="00100093">
      <w:pPr>
        <w:spacing w:line="360" w:lineRule="auto"/>
        <w:rPr>
          <w:rFonts w:ascii="宋体" w:hAnsi="宋体" w:cs="宋体"/>
          <w:color w:val="000000"/>
          <w:szCs w:val="24"/>
        </w:rPr>
      </w:pPr>
      <w:r w:rsidRPr="00D568FE">
        <w:rPr>
          <w:rFonts w:ascii="宋体" w:hAnsi="宋体" w:cs="宋体"/>
          <w:color w:val="000000"/>
          <w:szCs w:val="24"/>
        </w:rPr>
        <w:t>注：本基金本报告期末未持有权益投资。</w:t>
      </w:r>
    </w:p>
    <w:p w14:paraId="2836C6DA" w14:textId="77777777" w:rsidR="00100093" w:rsidRPr="00BF1BF0" w:rsidRDefault="00100093" w:rsidP="00100093">
      <w:pPr>
        <w:keepNext/>
        <w:keepLines/>
        <w:spacing w:line="360" w:lineRule="auto"/>
        <w:jc w:val="left"/>
        <w:outlineLvl w:val="1"/>
        <w:rPr>
          <w:rFonts w:ascii="宋体" w:hAnsi="宋体" w:cstheme="majorBidi"/>
          <w:b/>
          <w:bCs/>
          <w:sz w:val="24"/>
          <w:szCs w:val="32"/>
        </w:rPr>
      </w:pPr>
      <w:r>
        <w:rPr>
          <w:rFonts w:ascii="宋体" w:hAnsi="宋体" w:cs="宋体"/>
          <w:b/>
          <w:bCs/>
          <w:color w:val="000000"/>
          <w:sz w:val="24"/>
          <w:szCs w:val="32"/>
        </w:rPr>
        <w:t>1</w:t>
      </w:r>
      <w:r>
        <w:rPr>
          <w:rFonts w:ascii="宋体" w:hAnsi="宋体" w:cs="宋体" w:hint="eastAsia"/>
          <w:b/>
          <w:bCs/>
          <w:color w:val="000000"/>
          <w:sz w:val="24"/>
          <w:szCs w:val="32"/>
        </w:rPr>
        <w:t>.5</w:t>
      </w:r>
      <w:r>
        <w:rPr>
          <w:rFonts w:ascii="宋体" w:hAnsi="宋体" w:cstheme="majorBidi" w:hint="eastAsia"/>
          <w:b/>
          <w:bCs/>
          <w:sz w:val="24"/>
          <w:szCs w:val="32"/>
        </w:rPr>
        <w:t>报告</w:t>
      </w:r>
      <w:r w:rsidRPr="00BF1BF0">
        <w:rPr>
          <w:rFonts w:ascii="宋体" w:hAnsi="宋体" w:cstheme="majorBidi" w:hint="eastAsia"/>
          <w:b/>
          <w:bCs/>
          <w:sz w:val="24"/>
          <w:szCs w:val="32"/>
        </w:rPr>
        <w:t>期末按债券信用等级分类的债券投资组合</w:t>
      </w:r>
    </w:p>
    <w:p w14:paraId="58775B6E" w14:textId="77777777" w:rsidR="00100093" w:rsidRDefault="00100093" w:rsidP="00100093">
      <w:pPr>
        <w:spacing w:line="360" w:lineRule="auto"/>
        <w:rPr>
          <w:rFonts w:ascii="宋体" w:hAnsi="宋体" w:cs="宋体"/>
          <w:color w:val="000000"/>
        </w:rPr>
      </w:pPr>
      <w:r w:rsidRPr="00BA52DB">
        <w:rPr>
          <w:rFonts w:ascii="宋体" w:hAnsi="宋体" w:cs="宋体"/>
          <w:color w:val="000000"/>
        </w:rPr>
        <w:t>注:本基金本报告期末未持有债券。</w:t>
      </w:r>
    </w:p>
    <w:p w14:paraId="75FB7AAD" w14:textId="77777777" w:rsidR="00100093" w:rsidRDefault="00100093" w:rsidP="00100093">
      <w:pPr>
        <w:keepNext/>
        <w:keepLines/>
        <w:spacing w:line="360" w:lineRule="auto"/>
        <w:jc w:val="left"/>
        <w:outlineLvl w:val="1"/>
        <w:rPr>
          <w:rFonts w:ascii="宋体" w:hAnsi="宋体" w:cstheme="majorBidi"/>
          <w:b/>
          <w:bCs/>
          <w:sz w:val="24"/>
          <w:szCs w:val="32"/>
        </w:rPr>
      </w:pPr>
      <w:r>
        <w:rPr>
          <w:rFonts w:ascii="宋体" w:hAnsi="宋体" w:cs="宋体"/>
          <w:b/>
          <w:bCs/>
          <w:color w:val="000000"/>
          <w:sz w:val="24"/>
          <w:szCs w:val="32"/>
        </w:rPr>
        <w:t>1</w:t>
      </w:r>
      <w:r>
        <w:rPr>
          <w:rFonts w:ascii="宋体" w:hAnsi="宋体" w:cs="宋体" w:hint="eastAsia"/>
          <w:b/>
          <w:bCs/>
          <w:color w:val="000000"/>
          <w:sz w:val="24"/>
          <w:szCs w:val="32"/>
        </w:rPr>
        <w:t>.6</w:t>
      </w:r>
      <w:r>
        <w:rPr>
          <w:rFonts w:ascii="宋体" w:hAnsi="宋体" w:cstheme="majorBidi" w:hint="eastAsia"/>
          <w:b/>
          <w:bCs/>
          <w:sz w:val="24"/>
          <w:szCs w:val="32"/>
        </w:rPr>
        <w:t>报告期末按公允价值占基金资产净值比例大小排序的前五名债券投资明细</w:t>
      </w:r>
    </w:p>
    <w:p w14:paraId="4B9E3862" w14:textId="77777777" w:rsidR="00100093" w:rsidRDefault="00100093" w:rsidP="00100093">
      <w:pPr>
        <w:spacing w:line="360" w:lineRule="auto"/>
        <w:rPr>
          <w:rFonts w:ascii="宋体" w:hAnsi="宋体" w:cs="宋体"/>
          <w:color w:val="000000"/>
        </w:rPr>
      </w:pPr>
      <w:r w:rsidRPr="000C1061">
        <w:rPr>
          <w:rFonts w:ascii="宋体" w:hAnsi="宋体" w:cs="宋体"/>
          <w:color w:val="000000"/>
        </w:rPr>
        <w:t>注:本基金本报告期末未持有债券。</w:t>
      </w:r>
    </w:p>
    <w:p w14:paraId="0FE5D30F" w14:textId="77777777" w:rsidR="00100093" w:rsidRPr="00B12FE2" w:rsidRDefault="00100093" w:rsidP="00100093">
      <w:pPr>
        <w:keepNext/>
        <w:keepLines/>
        <w:spacing w:line="360" w:lineRule="auto"/>
        <w:jc w:val="left"/>
        <w:outlineLvl w:val="1"/>
        <w:rPr>
          <w:rFonts w:ascii="宋体" w:hAnsi="宋体" w:cstheme="majorBidi"/>
          <w:b/>
          <w:bCs/>
          <w:sz w:val="24"/>
          <w:szCs w:val="32"/>
        </w:rPr>
      </w:pPr>
      <w:r>
        <w:rPr>
          <w:rFonts w:ascii="宋体" w:hAnsi="宋体" w:cs="宋体"/>
          <w:b/>
          <w:bCs/>
          <w:color w:val="000000"/>
          <w:sz w:val="24"/>
          <w:szCs w:val="32"/>
        </w:rPr>
        <w:t>1</w:t>
      </w:r>
      <w:r w:rsidRPr="00B12FE2">
        <w:rPr>
          <w:rFonts w:ascii="宋体" w:hAnsi="宋体" w:cs="宋体" w:hint="eastAsia"/>
          <w:b/>
          <w:bCs/>
          <w:color w:val="000000"/>
          <w:sz w:val="24"/>
          <w:szCs w:val="32"/>
        </w:rPr>
        <w:t>.7</w:t>
      </w:r>
      <w:r w:rsidRPr="003134BD">
        <w:rPr>
          <w:rFonts w:ascii="宋体" w:hAnsi="宋体" w:cstheme="majorBidi" w:hint="eastAsia"/>
          <w:b/>
          <w:bCs/>
          <w:sz w:val="24"/>
          <w:szCs w:val="32"/>
        </w:rPr>
        <w:t>报告期末按公允价值占基金资产净值比例大小排名的前十名资产支持证券投资明细</w:t>
      </w:r>
    </w:p>
    <w:p w14:paraId="7EDE968D" w14:textId="77777777" w:rsidR="00100093" w:rsidRDefault="00100093" w:rsidP="00100093">
      <w:pPr>
        <w:spacing w:line="360" w:lineRule="auto"/>
        <w:rPr>
          <w:rFonts w:ascii="宋体" w:hAnsi="宋体" w:cs="宋体"/>
          <w:color w:val="000000"/>
        </w:rPr>
      </w:pPr>
      <w:r w:rsidRPr="00B12FE2">
        <w:rPr>
          <w:rFonts w:ascii="宋体" w:hAnsi="宋体" w:cs="宋体"/>
          <w:color w:val="000000"/>
        </w:rPr>
        <w:t>注:本基金本报告期末未持有资产支持证券。</w:t>
      </w:r>
    </w:p>
    <w:p w14:paraId="3C429097" w14:textId="77777777" w:rsidR="00100093" w:rsidRDefault="00100093" w:rsidP="00100093">
      <w:pPr>
        <w:keepNext/>
        <w:keepLines/>
        <w:spacing w:line="360" w:lineRule="auto"/>
        <w:jc w:val="left"/>
        <w:outlineLvl w:val="1"/>
        <w:rPr>
          <w:rFonts w:ascii="宋体" w:hAnsi="宋体" w:cstheme="majorBidi"/>
          <w:b/>
          <w:bCs/>
          <w:sz w:val="24"/>
          <w:szCs w:val="32"/>
        </w:rPr>
      </w:pPr>
      <w:r>
        <w:rPr>
          <w:rFonts w:ascii="宋体" w:hAnsi="宋体" w:cs="宋体"/>
          <w:b/>
          <w:bCs/>
          <w:color w:val="000000"/>
          <w:sz w:val="24"/>
          <w:szCs w:val="32"/>
        </w:rPr>
        <w:t>1</w:t>
      </w:r>
      <w:r>
        <w:rPr>
          <w:rFonts w:ascii="宋体" w:hAnsi="宋体" w:cs="宋体" w:hint="eastAsia"/>
          <w:b/>
          <w:bCs/>
          <w:color w:val="000000"/>
          <w:sz w:val="24"/>
          <w:szCs w:val="32"/>
        </w:rPr>
        <w:t>.8</w:t>
      </w:r>
      <w:r>
        <w:rPr>
          <w:rFonts w:ascii="宋体" w:hAnsi="宋体" w:cstheme="majorBidi" w:hint="eastAsia"/>
          <w:b/>
          <w:bCs/>
          <w:sz w:val="24"/>
          <w:szCs w:val="32"/>
        </w:rPr>
        <w:t>报告期末按公允价值占基金资产净值比例大小排名的前五名金融衍生品投资明细</w:t>
      </w:r>
    </w:p>
    <w:p w14:paraId="60B1C3F3" w14:textId="77777777" w:rsidR="00100093" w:rsidRDefault="00100093" w:rsidP="00100093">
      <w:pPr>
        <w:spacing w:line="360" w:lineRule="auto"/>
        <w:rPr>
          <w:rFonts w:ascii="宋体" w:hAnsi="宋体" w:cs="宋体"/>
          <w:color w:val="000000"/>
        </w:rPr>
      </w:pPr>
      <w:r w:rsidRPr="00861FC1">
        <w:rPr>
          <w:rFonts w:ascii="宋体" w:hAnsi="宋体" w:cs="宋体"/>
          <w:color w:val="000000"/>
        </w:rPr>
        <w:t>注: 本基金本报告期末未持有金融衍生品。</w:t>
      </w:r>
    </w:p>
    <w:p w14:paraId="1EB72BFA" w14:textId="77777777" w:rsidR="00100093" w:rsidRDefault="00100093" w:rsidP="00100093">
      <w:pPr>
        <w:keepNext/>
        <w:keepLines/>
        <w:spacing w:line="360" w:lineRule="auto"/>
        <w:jc w:val="left"/>
        <w:outlineLvl w:val="1"/>
        <w:rPr>
          <w:rFonts w:ascii="宋体" w:hAnsi="宋体" w:cstheme="majorBidi"/>
          <w:b/>
          <w:bCs/>
          <w:sz w:val="24"/>
          <w:szCs w:val="32"/>
        </w:rPr>
      </w:pPr>
      <w:r>
        <w:rPr>
          <w:rFonts w:ascii="宋体" w:hAnsi="宋体" w:cs="宋体"/>
          <w:b/>
          <w:bCs/>
          <w:color w:val="000000"/>
          <w:sz w:val="24"/>
          <w:szCs w:val="32"/>
        </w:rPr>
        <w:t>1</w:t>
      </w:r>
      <w:r>
        <w:rPr>
          <w:rFonts w:ascii="宋体" w:hAnsi="宋体" w:cs="宋体" w:hint="eastAsia"/>
          <w:b/>
          <w:bCs/>
          <w:color w:val="000000"/>
          <w:sz w:val="24"/>
          <w:szCs w:val="32"/>
        </w:rPr>
        <w:t>.9</w:t>
      </w:r>
      <w:r>
        <w:rPr>
          <w:rFonts w:ascii="宋体" w:hAnsi="宋体" w:cstheme="majorBidi" w:hint="eastAsia"/>
          <w:b/>
          <w:bCs/>
          <w:sz w:val="24"/>
          <w:szCs w:val="32"/>
        </w:rPr>
        <w:t>报告期末按公允价值占基金资产净值比例大小排序的前十名基金投资明细</w:t>
      </w:r>
    </w:p>
    <w:p w14:paraId="741EE278" w14:textId="77777777" w:rsidR="00100093" w:rsidRDefault="00100093" w:rsidP="00100093">
      <w:pPr>
        <w:spacing w:line="360" w:lineRule="auto"/>
        <w:rPr>
          <w:rFonts w:ascii="宋体" w:hAns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496"/>
        <w:gridCol w:w="770"/>
        <w:gridCol w:w="667"/>
        <w:gridCol w:w="1807"/>
        <w:gridCol w:w="1807"/>
        <w:gridCol w:w="1081"/>
      </w:tblGrid>
      <w:tr w:rsidR="00100093" w14:paraId="120EE9CE" w14:textId="77777777" w:rsidTr="005D7D3C">
        <w:tc>
          <w:tcPr>
            <w:tcW w:w="20000" w:type="dxa"/>
            <w:shd w:val="clear" w:color="auto" w:fill="D3D3D3"/>
            <w:vAlign w:val="center"/>
          </w:tcPr>
          <w:p w14:paraId="5FE30ED3" w14:textId="77777777" w:rsidR="00100093" w:rsidRDefault="00100093" w:rsidP="005D7D3C">
            <w:pPr>
              <w:spacing w:line="360" w:lineRule="auto"/>
              <w:jc w:val="center"/>
              <w:rPr>
                <w:rFonts w:ascii="宋体" w:hAnsi="宋体" w:cs="宋体"/>
                <w:color w:val="000000"/>
              </w:rPr>
            </w:pPr>
            <w:r>
              <w:rPr>
                <w:rFonts w:ascii="宋体" w:hAnsi="宋体" w:cs="宋体"/>
                <w:color w:val="000000"/>
              </w:rPr>
              <w:lastRenderedPageBreak/>
              <w:t>序号</w:t>
            </w:r>
          </w:p>
        </w:tc>
        <w:tc>
          <w:tcPr>
            <w:tcW w:w="20000" w:type="dxa"/>
            <w:shd w:val="clear" w:color="auto" w:fill="D3D3D3"/>
            <w:vAlign w:val="center"/>
          </w:tcPr>
          <w:p w14:paraId="24BCB0F6" w14:textId="77777777" w:rsidR="00100093" w:rsidRDefault="00100093" w:rsidP="005D7D3C">
            <w:pPr>
              <w:spacing w:line="360" w:lineRule="auto"/>
              <w:jc w:val="center"/>
              <w:rPr>
                <w:rFonts w:ascii="宋体" w:hAnsi="宋体" w:cs="宋体"/>
                <w:color w:val="000000"/>
              </w:rPr>
            </w:pPr>
            <w:r>
              <w:rPr>
                <w:rFonts w:ascii="宋体" w:hAnsi="宋体" w:cs="宋体"/>
                <w:color w:val="000000"/>
              </w:rPr>
              <w:t>基金名称</w:t>
            </w:r>
          </w:p>
        </w:tc>
        <w:tc>
          <w:tcPr>
            <w:tcW w:w="20000" w:type="dxa"/>
            <w:shd w:val="clear" w:color="auto" w:fill="D3D3D3"/>
            <w:vAlign w:val="center"/>
          </w:tcPr>
          <w:p w14:paraId="75DD8DF4" w14:textId="77777777" w:rsidR="00100093" w:rsidRDefault="00100093" w:rsidP="005D7D3C">
            <w:pPr>
              <w:spacing w:line="360" w:lineRule="auto"/>
              <w:jc w:val="center"/>
              <w:rPr>
                <w:rFonts w:ascii="宋体" w:hAnsi="宋体" w:cs="宋体"/>
                <w:color w:val="000000"/>
              </w:rPr>
            </w:pPr>
            <w:r>
              <w:rPr>
                <w:rFonts w:ascii="宋体" w:hAnsi="宋体" w:cs="宋体"/>
                <w:color w:val="000000"/>
              </w:rPr>
              <w:t>基金类型</w:t>
            </w:r>
          </w:p>
        </w:tc>
        <w:tc>
          <w:tcPr>
            <w:tcW w:w="20000" w:type="dxa"/>
            <w:shd w:val="clear" w:color="auto" w:fill="D3D3D3"/>
            <w:vAlign w:val="center"/>
          </w:tcPr>
          <w:p w14:paraId="4F9BB982" w14:textId="77777777" w:rsidR="00100093" w:rsidRDefault="00100093" w:rsidP="005D7D3C">
            <w:pPr>
              <w:spacing w:line="360" w:lineRule="auto"/>
              <w:jc w:val="center"/>
              <w:rPr>
                <w:rFonts w:ascii="宋体" w:hAnsi="宋体" w:cs="宋体"/>
                <w:color w:val="000000"/>
              </w:rPr>
            </w:pPr>
            <w:r>
              <w:rPr>
                <w:rFonts w:ascii="宋体" w:hAnsi="宋体" w:cs="宋体"/>
                <w:color w:val="000000"/>
              </w:rPr>
              <w:t>运作方式</w:t>
            </w:r>
          </w:p>
        </w:tc>
        <w:tc>
          <w:tcPr>
            <w:tcW w:w="20000" w:type="dxa"/>
            <w:shd w:val="clear" w:color="auto" w:fill="D3D3D3"/>
            <w:vAlign w:val="center"/>
          </w:tcPr>
          <w:p w14:paraId="24289169" w14:textId="77777777" w:rsidR="00100093" w:rsidRDefault="00100093" w:rsidP="005D7D3C">
            <w:pPr>
              <w:spacing w:line="360" w:lineRule="auto"/>
              <w:jc w:val="center"/>
              <w:rPr>
                <w:rFonts w:ascii="宋体" w:hAnsi="宋体" w:cs="宋体"/>
                <w:color w:val="000000"/>
              </w:rPr>
            </w:pPr>
            <w:r>
              <w:rPr>
                <w:rFonts w:ascii="宋体" w:hAnsi="宋体" w:cs="宋体"/>
                <w:color w:val="000000"/>
              </w:rPr>
              <w:t>管理人</w:t>
            </w:r>
          </w:p>
        </w:tc>
        <w:tc>
          <w:tcPr>
            <w:tcW w:w="20000" w:type="dxa"/>
            <w:shd w:val="clear" w:color="auto" w:fill="D3D3D3"/>
            <w:vAlign w:val="center"/>
          </w:tcPr>
          <w:p w14:paraId="435F332C" w14:textId="77777777" w:rsidR="00100093" w:rsidRDefault="00100093" w:rsidP="005D7D3C">
            <w:pPr>
              <w:spacing w:line="360" w:lineRule="auto"/>
              <w:jc w:val="center"/>
              <w:rPr>
                <w:rFonts w:ascii="宋体" w:hAnsi="宋体" w:cs="宋体"/>
                <w:color w:val="000000"/>
              </w:rPr>
            </w:pPr>
            <w:r>
              <w:rPr>
                <w:rFonts w:ascii="宋体" w:hAnsi="宋体" w:cs="宋体"/>
                <w:color w:val="000000"/>
              </w:rPr>
              <w:t>公允价值（元）</w:t>
            </w:r>
          </w:p>
        </w:tc>
        <w:tc>
          <w:tcPr>
            <w:tcW w:w="20000" w:type="dxa"/>
            <w:shd w:val="clear" w:color="auto" w:fill="D3D3D3"/>
            <w:vAlign w:val="center"/>
          </w:tcPr>
          <w:p w14:paraId="363B0A82" w14:textId="77777777" w:rsidR="00100093" w:rsidRDefault="00100093" w:rsidP="005D7D3C">
            <w:pPr>
              <w:spacing w:line="360" w:lineRule="auto"/>
              <w:jc w:val="center"/>
              <w:rPr>
                <w:rFonts w:ascii="宋体" w:hAnsi="宋体" w:cs="宋体"/>
                <w:color w:val="000000"/>
              </w:rPr>
            </w:pPr>
            <w:r>
              <w:rPr>
                <w:rFonts w:ascii="宋体" w:hAnsi="宋体" w:cs="宋体"/>
                <w:color w:val="000000"/>
              </w:rPr>
              <w:t>占基金资产净值比例（％）</w:t>
            </w:r>
          </w:p>
        </w:tc>
      </w:tr>
      <w:tr w:rsidR="00100093" w14:paraId="0C397346" w14:textId="77777777" w:rsidTr="005D7D3C">
        <w:tc>
          <w:tcPr>
            <w:tcW w:w="20000" w:type="dxa"/>
            <w:shd w:val="clear" w:color="auto" w:fill="auto"/>
            <w:vAlign w:val="center"/>
          </w:tcPr>
          <w:p w14:paraId="612C4FBD" w14:textId="77777777" w:rsidR="00100093" w:rsidRDefault="00100093" w:rsidP="005D7D3C">
            <w:pPr>
              <w:spacing w:line="360" w:lineRule="auto"/>
              <w:jc w:val="left"/>
              <w:rPr>
                <w:rFonts w:ascii="宋体" w:hAnsi="宋体" w:cs="宋体"/>
                <w:color w:val="000000"/>
              </w:rPr>
            </w:pPr>
            <w:r>
              <w:rPr>
                <w:rFonts w:ascii="宋体" w:hAnsi="宋体" w:cs="宋体"/>
                <w:color w:val="000000"/>
              </w:rPr>
              <w:t>1</w:t>
            </w:r>
          </w:p>
        </w:tc>
        <w:tc>
          <w:tcPr>
            <w:tcW w:w="20000" w:type="dxa"/>
            <w:shd w:val="clear" w:color="auto" w:fill="auto"/>
            <w:vAlign w:val="center"/>
          </w:tcPr>
          <w:p w14:paraId="7BFBDF92" w14:textId="77777777" w:rsidR="00100093" w:rsidRDefault="00100093" w:rsidP="005D7D3C">
            <w:pPr>
              <w:spacing w:line="360" w:lineRule="auto"/>
              <w:jc w:val="left"/>
              <w:rPr>
                <w:rFonts w:ascii="宋体" w:hAnsi="宋体" w:cs="宋体"/>
                <w:color w:val="000000"/>
              </w:rPr>
            </w:pPr>
            <w:r>
              <w:rPr>
                <w:rFonts w:ascii="宋体" w:hAnsi="宋体" w:cs="宋体"/>
                <w:color w:val="000000"/>
              </w:rPr>
              <w:t>ISHARES GOLD TRUST</w:t>
            </w:r>
          </w:p>
        </w:tc>
        <w:tc>
          <w:tcPr>
            <w:tcW w:w="20000" w:type="dxa"/>
            <w:shd w:val="clear" w:color="auto" w:fill="auto"/>
            <w:vAlign w:val="center"/>
          </w:tcPr>
          <w:p w14:paraId="08BCE30C" w14:textId="77777777" w:rsidR="00100093" w:rsidRDefault="00100093" w:rsidP="005D7D3C">
            <w:pPr>
              <w:spacing w:line="360" w:lineRule="auto"/>
              <w:jc w:val="left"/>
              <w:rPr>
                <w:rFonts w:ascii="宋体" w:hAnsi="宋体" w:cs="宋体"/>
                <w:color w:val="000000"/>
              </w:rPr>
            </w:pPr>
            <w:r>
              <w:rPr>
                <w:rFonts w:ascii="宋体" w:hAnsi="宋体" w:cs="宋体"/>
                <w:color w:val="000000"/>
              </w:rPr>
              <w:t>ETF型</w:t>
            </w:r>
          </w:p>
        </w:tc>
        <w:tc>
          <w:tcPr>
            <w:tcW w:w="20000" w:type="dxa"/>
            <w:shd w:val="clear" w:color="auto" w:fill="auto"/>
            <w:vAlign w:val="center"/>
          </w:tcPr>
          <w:p w14:paraId="515EF257" w14:textId="77777777" w:rsidR="00100093" w:rsidRDefault="00100093" w:rsidP="005D7D3C">
            <w:pPr>
              <w:spacing w:line="360" w:lineRule="auto"/>
              <w:jc w:val="left"/>
              <w:rPr>
                <w:rFonts w:ascii="宋体" w:hAnsi="宋体" w:cs="宋体"/>
                <w:color w:val="000000"/>
              </w:rPr>
            </w:pPr>
            <w:r>
              <w:rPr>
                <w:rFonts w:ascii="宋体" w:hAnsi="宋体" w:cs="宋体"/>
                <w:color w:val="000000"/>
              </w:rPr>
              <w:t>开放式</w:t>
            </w:r>
          </w:p>
        </w:tc>
        <w:tc>
          <w:tcPr>
            <w:tcW w:w="20000" w:type="dxa"/>
            <w:shd w:val="clear" w:color="auto" w:fill="auto"/>
            <w:vAlign w:val="center"/>
          </w:tcPr>
          <w:p w14:paraId="4283C92C" w14:textId="77777777" w:rsidR="00100093" w:rsidRDefault="00100093" w:rsidP="005D7D3C">
            <w:pPr>
              <w:spacing w:line="360" w:lineRule="auto"/>
              <w:jc w:val="left"/>
              <w:rPr>
                <w:rFonts w:ascii="宋体" w:hAnsi="宋体" w:cs="宋体"/>
                <w:color w:val="000000"/>
              </w:rPr>
            </w:pPr>
            <w:r>
              <w:rPr>
                <w:rFonts w:ascii="宋体" w:hAnsi="宋体" w:cs="宋体"/>
                <w:color w:val="000000"/>
              </w:rPr>
              <w:t>BlackRock Fund Advisors</w:t>
            </w:r>
          </w:p>
        </w:tc>
        <w:tc>
          <w:tcPr>
            <w:tcW w:w="20000" w:type="dxa"/>
            <w:shd w:val="clear" w:color="auto" w:fill="auto"/>
            <w:vAlign w:val="center"/>
          </w:tcPr>
          <w:p w14:paraId="54C98775" w14:textId="77777777" w:rsidR="00100093" w:rsidRDefault="00100093" w:rsidP="005D7D3C">
            <w:pPr>
              <w:spacing w:line="360" w:lineRule="auto"/>
              <w:jc w:val="right"/>
              <w:rPr>
                <w:rFonts w:ascii="宋体" w:hAnsi="宋体" w:cs="宋体"/>
                <w:color w:val="000000"/>
              </w:rPr>
            </w:pPr>
            <w:r>
              <w:rPr>
                <w:rFonts w:ascii="宋体" w:hAnsi="宋体" w:cs="宋体"/>
                <w:color w:val="000000"/>
              </w:rPr>
              <w:t>18,191,182.59</w:t>
            </w:r>
          </w:p>
        </w:tc>
        <w:tc>
          <w:tcPr>
            <w:tcW w:w="20000" w:type="dxa"/>
            <w:shd w:val="clear" w:color="auto" w:fill="auto"/>
            <w:vAlign w:val="center"/>
          </w:tcPr>
          <w:p w14:paraId="525E719D" w14:textId="77777777" w:rsidR="00100093" w:rsidRDefault="00100093" w:rsidP="005D7D3C">
            <w:pPr>
              <w:spacing w:line="360" w:lineRule="auto"/>
              <w:jc w:val="right"/>
              <w:rPr>
                <w:rFonts w:ascii="宋体" w:hAnsi="宋体" w:cs="宋体"/>
                <w:color w:val="000000"/>
              </w:rPr>
            </w:pPr>
            <w:r>
              <w:rPr>
                <w:rFonts w:ascii="宋体" w:hAnsi="宋体" w:cs="宋体"/>
                <w:color w:val="000000"/>
              </w:rPr>
              <w:t>15.72</w:t>
            </w:r>
          </w:p>
        </w:tc>
      </w:tr>
      <w:tr w:rsidR="00100093" w14:paraId="432ACFF2" w14:textId="77777777" w:rsidTr="005D7D3C">
        <w:tc>
          <w:tcPr>
            <w:tcW w:w="20000" w:type="dxa"/>
            <w:shd w:val="clear" w:color="auto" w:fill="auto"/>
            <w:vAlign w:val="center"/>
          </w:tcPr>
          <w:p w14:paraId="1307F2BD" w14:textId="77777777" w:rsidR="00100093" w:rsidRDefault="00100093" w:rsidP="005D7D3C">
            <w:pPr>
              <w:spacing w:line="360" w:lineRule="auto"/>
              <w:jc w:val="left"/>
              <w:rPr>
                <w:rFonts w:ascii="宋体" w:hAnsi="宋体" w:cs="宋体"/>
                <w:color w:val="000000"/>
              </w:rPr>
            </w:pPr>
            <w:r>
              <w:rPr>
                <w:rFonts w:ascii="宋体" w:hAnsi="宋体" w:cs="宋体"/>
                <w:color w:val="000000"/>
              </w:rPr>
              <w:t>2</w:t>
            </w:r>
          </w:p>
        </w:tc>
        <w:tc>
          <w:tcPr>
            <w:tcW w:w="20000" w:type="dxa"/>
            <w:shd w:val="clear" w:color="auto" w:fill="auto"/>
            <w:vAlign w:val="center"/>
          </w:tcPr>
          <w:p w14:paraId="32F7F9E1" w14:textId="77777777" w:rsidR="00100093" w:rsidRDefault="00100093" w:rsidP="005D7D3C">
            <w:pPr>
              <w:spacing w:line="360" w:lineRule="auto"/>
              <w:jc w:val="left"/>
              <w:rPr>
                <w:rFonts w:ascii="宋体" w:hAnsi="宋体" w:cs="宋体"/>
                <w:color w:val="000000"/>
              </w:rPr>
            </w:pPr>
            <w:r>
              <w:rPr>
                <w:rFonts w:ascii="宋体" w:hAnsi="宋体" w:cs="宋体"/>
                <w:color w:val="000000"/>
              </w:rPr>
              <w:t>SPROTT PHYSICAL GOLD TRUST</w:t>
            </w:r>
          </w:p>
        </w:tc>
        <w:tc>
          <w:tcPr>
            <w:tcW w:w="20000" w:type="dxa"/>
            <w:shd w:val="clear" w:color="auto" w:fill="auto"/>
            <w:vAlign w:val="center"/>
          </w:tcPr>
          <w:p w14:paraId="6E39EF92" w14:textId="77777777" w:rsidR="00100093" w:rsidRDefault="00100093" w:rsidP="005D7D3C">
            <w:pPr>
              <w:spacing w:line="360" w:lineRule="auto"/>
              <w:jc w:val="left"/>
              <w:rPr>
                <w:rFonts w:ascii="宋体" w:hAnsi="宋体" w:cs="宋体"/>
                <w:color w:val="000000"/>
              </w:rPr>
            </w:pPr>
            <w:r>
              <w:rPr>
                <w:rFonts w:ascii="宋体" w:hAnsi="宋体" w:cs="宋体"/>
                <w:color w:val="000000"/>
              </w:rPr>
              <w:t>ETF型</w:t>
            </w:r>
          </w:p>
        </w:tc>
        <w:tc>
          <w:tcPr>
            <w:tcW w:w="20000" w:type="dxa"/>
            <w:shd w:val="clear" w:color="auto" w:fill="auto"/>
            <w:vAlign w:val="center"/>
          </w:tcPr>
          <w:p w14:paraId="3FA8B524" w14:textId="77777777" w:rsidR="00100093" w:rsidRDefault="00100093" w:rsidP="005D7D3C">
            <w:pPr>
              <w:spacing w:line="360" w:lineRule="auto"/>
              <w:jc w:val="left"/>
              <w:rPr>
                <w:rFonts w:ascii="宋体" w:hAnsi="宋体" w:cs="宋体"/>
                <w:color w:val="000000"/>
              </w:rPr>
            </w:pPr>
            <w:r>
              <w:rPr>
                <w:rFonts w:ascii="宋体" w:hAnsi="宋体" w:cs="宋体"/>
                <w:color w:val="000000"/>
              </w:rPr>
              <w:t>开放式</w:t>
            </w:r>
          </w:p>
        </w:tc>
        <w:tc>
          <w:tcPr>
            <w:tcW w:w="20000" w:type="dxa"/>
            <w:shd w:val="clear" w:color="auto" w:fill="auto"/>
            <w:vAlign w:val="center"/>
          </w:tcPr>
          <w:p w14:paraId="4639FEB8" w14:textId="77777777" w:rsidR="00100093" w:rsidRDefault="00100093" w:rsidP="005D7D3C">
            <w:pPr>
              <w:spacing w:line="360" w:lineRule="auto"/>
              <w:jc w:val="left"/>
              <w:rPr>
                <w:rFonts w:ascii="宋体" w:hAnsi="宋体" w:cs="宋体"/>
                <w:color w:val="000000"/>
              </w:rPr>
            </w:pPr>
            <w:r>
              <w:rPr>
                <w:rFonts w:ascii="宋体" w:hAnsi="宋体" w:cs="宋体"/>
                <w:color w:val="000000"/>
              </w:rPr>
              <w:t>Sprott Asset Management LP</w:t>
            </w:r>
          </w:p>
        </w:tc>
        <w:tc>
          <w:tcPr>
            <w:tcW w:w="20000" w:type="dxa"/>
            <w:shd w:val="clear" w:color="auto" w:fill="auto"/>
            <w:vAlign w:val="center"/>
          </w:tcPr>
          <w:p w14:paraId="39EDAE1D" w14:textId="77777777" w:rsidR="00100093" w:rsidRDefault="00100093" w:rsidP="005D7D3C">
            <w:pPr>
              <w:spacing w:line="360" w:lineRule="auto"/>
              <w:jc w:val="right"/>
              <w:rPr>
                <w:rFonts w:ascii="宋体" w:hAnsi="宋体" w:cs="宋体"/>
                <w:color w:val="000000"/>
              </w:rPr>
            </w:pPr>
            <w:r>
              <w:rPr>
                <w:rFonts w:ascii="宋体" w:hAnsi="宋体" w:cs="宋体"/>
                <w:color w:val="000000"/>
              </w:rPr>
              <w:t>18,081,853.88</w:t>
            </w:r>
          </w:p>
        </w:tc>
        <w:tc>
          <w:tcPr>
            <w:tcW w:w="20000" w:type="dxa"/>
            <w:shd w:val="clear" w:color="auto" w:fill="auto"/>
            <w:vAlign w:val="center"/>
          </w:tcPr>
          <w:p w14:paraId="6E3D5D22" w14:textId="77777777" w:rsidR="00100093" w:rsidRDefault="00100093" w:rsidP="005D7D3C">
            <w:pPr>
              <w:spacing w:line="360" w:lineRule="auto"/>
              <w:jc w:val="right"/>
              <w:rPr>
                <w:rFonts w:ascii="宋体" w:hAnsi="宋体" w:cs="宋体"/>
                <w:color w:val="000000"/>
              </w:rPr>
            </w:pPr>
            <w:r>
              <w:rPr>
                <w:rFonts w:ascii="宋体" w:hAnsi="宋体" w:cs="宋体"/>
                <w:color w:val="000000"/>
              </w:rPr>
              <w:t>15.63</w:t>
            </w:r>
          </w:p>
        </w:tc>
      </w:tr>
      <w:tr w:rsidR="00100093" w14:paraId="196F3C0F" w14:textId="77777777" w:rsidTr="005D7D3C">
        <w:tc>
          <w:tcPr>
            <w:tcW w:w="20000" w:type="dxa"/>
            <w:shd w:val="clear" w:color="auto" w:fill="auto"/>
            <w:vAlign w:val="center"/>
          </w:tcPr>
          <w:p w14:paraId="5C7854A6" w14:textId="77777777" w:rsidR="00100093" w:rsidRDefault="00100093" w:rsidP="005D7D3C">
            <w:pPr>
              <w:spacing w:line="360" w:lineRule="auto"/>
              <w:jc w:val="left"/>
              <w:rPr>
                <w:rFonts w:ascii="宋体" w:hAnsi="宋体" w:cs="宋体"/>
                <w:color w:val="000000"/>
              </w:rPr>
            </w:pPr>
            <w:r>
              <w:rPr>
                <w:rFonts w:ascii="宋体" w:hAnsi="宋体" w:cs="宋体"/>
                <w:color w:val="000000"/>
              </w:rPr>
              <w:t>3</w:t>
            </w:r>
          </w:p>
        </w:tc>
        <w:tc>
          <w:tcPr>
            <w:tcW w:w="20000" w:type="dxa"/>
            <w:shd w:val="clear" w:color="auto" w:fill="auto"/>
            <w:vAlign w:val="center"/>
          </w:tcPr>
          <w:p w14:paraId="0F544710" w14:textId="77777777" w:rsidR="00100093" w:rsidRDefault="00100093" w:rsidP="005D7D3C">
            <w:pPr>
              <w:spacing w:line="360" w:lineRule="auto"/>
              <w:jc w:val="left"/>
              <w:rPr>
                <w:rFonts w:ascii="宋体" w:hAnsi="宋体" w:cs="宋体"/>
                <w:color w:val="000000"/>
              </w:rPr>
            </w:pPr>
            <w:r>
              <w:rPr>
                <w:rFonts w:ascii="宋体" w:hAnsi="宋体" w:cs="宋体"/>
                <w:color w:val="000000"/>
              </w:rPr>
              <w:t>UBS ETF GOLD H. CHF</w:t>
            </w:r>
          </w:p>
        </w:tc>
        <w:tc>
          <w:tcPr>
            <w:tcW w:w="20000" w:type="dxa"/>
            <w:shd w:val="clear" w:color="auto" w:fill="auto"/>
            <w:vAlign w:val="center"/>
          </w:tcPr>
          <w:p w14:paraId="2F36F3BA" w14:textId="77777777" w:rsidR="00100093" w:rsidRDefault="00100093" w:rsidP="005D7D3C">
            <w:pPr>
              <w:spacing w:line="360" w:lineRule="auto"/>
              <w:jc w:val="left"/>
              <w:rPr>
                <w:rFonts w:ascii="宋体" w:hAnsi="宋体" w:cs="宋体"/>
                <w:color w:val="000000"/>
              </w:rPr>
            </w:pPr>
            <w:r>
              <w:rPr>
                <w:rFonts w:ascii="宋体" w:hAnsi="宋体" w:cs="宋体"/>
                <w:color w:val="000000"/>
              </w:rPr>
              <w:t>ETF型</w:t>
            </w:r>
          </w:p>
        </w:tc>
        <w:tc>
          <w:tcPr>
            <w:tcW w:w="20000" w:type="dxa"/>
            <w:shd w:val="clear" w:color="auto" w:fill="auto"/>
            <w:vAlign w:val="center"/>
          </w:tcPr>
          <w:p w14:paraId="6A30E1E9" w14:textId="77777777" w:rsidR="00100093" w:rsidRDefault="00100093" w:rsidP="005D7D3C">
            <w:pPr>
              <w:spacing w:line="360" w:lineRule="auto"/>
              <w:jc w:val="left"/>
              <w:rPr>
                <w:rFonts w:ascii="宋体" w:hAnsi="宋体" w:cs="宋体"/>
                <w:color w:val="000000"/>
              </w:rPr>
            </w:pPr>
            <w:r>
              <w:rPr>
                <w:rFonts w:ascii="宋体" w:hAnsi="宋体" w:cs="宋体"/>
                <w:color w:val="000000"/>
              </w:rPr>
              <w:t>开放式</w:t>
            </w:r>
          </w:p>
        </w:tc>
        <w:tc>
          <w:tcPr>
            <w:tcW w:w="20000" w:type="dxa"/>
            <w:shd w:val="clear" w:color="auto" w:fill="auto"/>
            <w:vAlign w:val="center"/>
          </w:tcPr>
          <w:p w14:paraId="7057A273" w14:textId="77777777" w:rsidR="00100093" w:rsidRDefault="00100093" w:rsidP="005D7D3C">
            <w:pPr>
              <w:spacing w:line="360" w:lineRule="auto"/>
              <w:jc w:val="left"/>
              <w:rPr>
                <w:rFonts w:ascii="宋体" w:hAnsi="宋体" w:cs="宋体"/>
                <w:color w:val="000000"/>
              </w:rPr>
            </w:pPr>
            <w:r>
              <w:rPr>
                <w:rFonts w:ascii="宋体" w:hAnsi="宋体" w:cs="宋体"/>
                <w:color w:val="000000"/>
              </w:rPr>
              <w:t>UBS Fund Management (Switzerland) AG</w:t>
            </w:r>
          </w:p>
        </w:tc>
        <w:tc>
          <w:tcPr>
            <w:tcW w:w="20000" w:type="dxa"/>
            <w:shd w:val="clear" w:color="auto" w:fill="auto"/>
            <w:vAlign w:val="center"/>
          </w:tcPr>
          <w:p w14:paraId="6D000AD0" w14:textId="77777777" w:rsidR="00100093" w:rsidRDefault="00100093" w:rsidP="005D7D3C">
            <w:pPr>
              <w:spacing w:line="360" w:lineRule="auto"/>
              <w:jc w:val="right"/>
              <w:rPr>
                <w:rFonts w:ascii="宋体" w:hAnsi="宋体" w:cs="宋体"/>
                <w:color w:val="000000"/>
              </w:rPr>
            </w:pPr>
            <w:r>
              <w:rPr>
                <w:rFonts w:ascii="宋体" w:hAnsi="宋体" w:cs="宋体"/>
                <w:color w:val="000000"/>
              </w:rPr>
              <w:t>17,933,057.11</w:t>
            </w:r>
          </w:p>
        </w:tc>
        <w:tc>
          <w:tcPr>
            <w:tcW w:w="20000" w:type="dxa"/>
            <w:shd w:val="clear" w:color="auto" w:fill="auto"/>
            <w:vAlign w:val="center"/>
          </w:tcPr>
          <w:p w14:paraId="35ABC347" w14:textId="77777777" w:rsidR="00100093" w:rsidRDefault="00100093" w:rsidP="005D7D3C">
            <w:pPr>
              <w:spacing w:line="360" w:lineRule="auto"/>
              <w:jc w:val="right"/>
              <w:rPr>
                <w:rFonts w:ascii="宋体" w:hAnsi="宋体" w:cs="宋体"/>
                <w:color w:val="000000"/>
              </w:rPr>
            </w:pPr>
            <w:r>
              <w:rPr>
                <w:rFonts w:ascii="宋体" w:hAnsi="宋体" w:cs="宋体"/>
                <w:color w:val="000000"/>
              </w:rPr>
              <w:t>15.50</w:t>
            </w:r>
          </w:p>
        </w:tc>
      </w:tr>
      <w:tr w:rsidR="00100093" w14:paraId="330F90E6" w14:textId="77777777" w:rsidTr="005D7D3C">
        <w:tc>
          <w:tcPr>
            <w:tcW w:w="20000" w:type="dxa"/>
            <w:shd w:val="clear" w:color="auto" w:fill="auto"/>
            <w:vAlign w:val="center"/>
          </w:tcPr>
          <w:p w14:paraId="5B5FC6F1" w14:textId="77777777" w:rsidR="00100093" w:rsidRDefault="00100093" w:rsidP="005D7D3C">
            <w:pPr>
              <w:spacing w:line="360" w:lineRule="auto"/>
              <w:jc w:val="left"/>
              <w:rPr>
                <w:rFonts w:ascii="宋体" w:hAnsi="宋体" w:cs="宋体"/>
                <w:color w:val="000000"/>
              </w:rPr>
            </w:pPr>
            <w:r>
              <w:rPr>
                <w:rFonts w:ascii="宋体" w:hAnsi="宋体" w:cs="宋体"/>
                <w:color w:val="000000"/>
              </w:rPr>
              <w:t>4</w:t>
            </w:r>
          </w:p>
        </w:tc>
        <w:tc>
          <w:tcPr>
            <w:tcW w:w="20000" w:type="dxa"/>
            <w:shd w:val="clear" w:color="auto" w:fill="auto"/>
            <w:vAlign w:val="center"/>
          </w:tcPr>
          <w:p w14:paraId="045FEDF0" w14:textId="77777777" w:rsidR="00100093" w:rsidRDefault="00100093" w:rsidP="005D7D3C">
            <w:pPr>
              <w:spacing w:line="360" w:lineRule="auto"/>
              <w:jc w:val="left"/>
              <w:rPr>
                <w:rFonts w:ascii="宋体" w:hAnsi="宋体" w:cs="宋体"/>
                <w:color w:val="000000"/>
              </w:rPr>
            </w:pPr>
            <w:r>
              <w:rPr>
                <w:rFonts w:ascii="宋体" w:hAnsi="宋体" w:cs="宋体"/>
                <w:color w:val="000000"/>
              </w:rPr>
              <w:t>SPDR GOLD SHARES</w:t>
            </w:r>
          </w:p>
        </w:tc>
        <w:tc>
          <w:tcPr>
            <w:tcW w:w="20000" w:type="dxa"/>
            <w:shd w:val="clear" w:color="auto" w:fill="auto"/>
            <w:vAlign w:val="center"/>
          </w:tcPr>
          <w:p w14:paraId="6F37B041" w14:textId="77777777" w:rsidR="00100093" w:rsidRDefault="00100093" w:rsidP="005D7D3C">
            <w:pPr>
              <w:spacing w:line="360" w:lineRule="auto"/>
              <w:jc w:val="left"/>
              <w:rPr>
                <w:rFonts w:ascii="宋体" w:hAnsi="宋体" w:cs="宋体"/>
                <w:color w:val="000000"/>
              </w:rPr>
            </w:pPr>
            <w:r>
              <w:rPr>
                <w:rFonts w:ascii="宋体" w:hAnsi="宋体" w:cs="宋体"/>
                <w:color w:val="000000"/>
              </w:rPr>
              <w:t>ETF型</w:t>
            </w:r>
          </w:p>
        </w:tc>
        <w:tc>
          <w:tcPr>
            <w:tcW w:w="20000" w:type="dxa"/>
            <w:shd w:val="clear" w:color="auto" w:fill="auto"/>
            <w:vAlign w:val="center"/>
          </w:tcPr>
          <w:p w14:paraId="4671A3ED" w14:textId="77777777" w:rsidR="00100093" w:rsidRDefault="00100093" w:rsidP="005D7D3C">
            <w:pPr>
              <w:spacing w:line="360" w:lineRule="auto"/>
              <w:jc w:val="left"/>
              <w:rPr>
                <w:rFonts w:ascii="宋体" w:hAnsi="宋体" w:cs="宋体"/>
                <w:color w:val="000000"/>
              </w:rPr>
            </w:pPr>
            <w:r>
              <w:rPr>
                <w:rFonts w:ascii="宋体" w:hAnsi="宋体" w:cs="宋体"/>
                <w:color w:val="000000"/>
              </w:rPr>
              <w:t>开放式</w:t>
            </w:r>
          </w:p>
        </w:tc>
        <w:tc>
          <w:tcPr>
            <w:tcW w:w="20000" w:type="dxa"/>
            <w:shd w:val="clear" w:color="auto" w:fill="auto"/>
            <w:vAlign w:val="center"/>
          </w:tcPr>
          <w:p w14:paraId="10AA8DBF" w14:textId="77777777" w:rsidR="00100093" w:rsidRDefault="00100093" w:rsidP="005D7D3C">
            <w:pPr>
              <w:spacing w:line="360" w:lineRule="auto"/>
              <w:jc w:val="left"/>
              <w:rPr>
                <w:rFonts w:ascii="宋体" w:hAnsi="宋体" w:cs="宋体"/>
                <w:color w:val="000000"/>
              </w:rPr>
            </w:pPr>
            <w:r>
              <w:rPr>
                <w:rFonts w:ascii="宋体" w:hAnsi="宋体" w:cs="宋体"/>
                <w:color w:val="000000"/>
              </w:rPr>
              <w:t>State Street Bank and Trust Company</w:t>
            </w:r>
          </w:p>
        </w:tc>
        <w:tc>
          <w:tcPr>
            <w:tcW w:w="20000" w:type="dxa"/>
            <w:shd w:val="clear" w:color="auto" w:fill="auto"/>
            <w:vAlign w:val="center"/>
          </w:tcPr>
          <w:p w14:paraId="7A0C9945" w14:textId="77777777" w:rsidR="00100093" w:rsidRDefault="00100093" w:rsidP="005D7D3C">
            <w:pPr>
              <w:spacing w:line="360" w:lineRule="auto"/>
              <w:jc w:val="right"/>
              <w:rPr>
                <w:rFonts w:ascii="宋体" w:hAnsi="宋体" w:cs="宋体"/>
                <w:color w:val="000000"/>
              </w:rPr>
            </w:pPr>
            <w:r>
              <w:rPr>
                <w:rFonts w:ascii="宋体" w:hAnsi="宋体" w:cs="宋体"/>
                <w:color w:val="000000"/>
              </w:rPr>
              <w:t>17,750,458.37</w:t>
            </w:r>
          </w:p>
        </w:tc>
        <w:tc>
          <w:tcPr>
            <w:tcW w:w="20000" w:type="dxa"/>
            <w:shd w:val="clear" w:color="auto" w:fill="auto"/>
            <w:vAlign w:val="center"/>
          </w:tcPr>
          <w:p w14:paraId="5060F7CF" w14:textId="77777777" w:rsidR="00100093" w:rsidRDefault="00100093" w:rsidP="005D7D3C">
            <w:pPr>
              <w:spacing w:line="360" w:lineRule="auto"/>
              <w:jc w:val="right"/>
              <w:rPr>
                <w:rFonts w:ascii="宋体" w:hAnsi="宋体" w:cs="宋体"/>
                <w:color w:val="000000"/>
              </w:rPr>
            </w:pPr>
            <w:r>
              <w:rPr>
                <w:rFonts w:ascii="宋体" w:hAnsi="宋体" w:cs="宋体"/>
                <w:color w:val="000000"/>
              </w:rPr>
              <w:t>15.34</w:t>
            </w:r>
          </w:p>
        </w:tc>
      </w:tr>
      <w:tr w:rsidR="00100093" w14:paraId="246DD449" w14:textId="77777777" w:rsidTr="005D7D3C">
        <w:tc>
          <w:tcPr>
            <w:tcW w:w="20000" w:type="dxa"/>
            <w:shd w:val="clear" w:color="auto" w:fill="auto"/>
            <w:vAlign w:val="center"/>
          </w:tcPr>
          <w:p w14:paraId="77369314" w14:textId="77777777" w:rsidR="00100093" w:rsidRDefault="00100093" w:rsidP="005D7D3C">
            <w:pPr>
              <w:spacing w:line="360" w:lineRule="auto"/>
              <w:jc w:val="left"/>
              <w:rPr>
                <w:rFonts w:ascii="宋体" w:hAnsi="宋体" w:cs="宋体"/>
                <w:color w:val="000000"/>
              </w:rPr>
            </w:pPr>
            <w:r>
              <w:rPr>
                <w:rFonts w:ascii="宋体" w:hAnsi="宋体" w:cs="宋体"/>
                <w:color w:val="000000"/>
              </w:rPr>
              <w:t>5</w:t>
            </w:r>
          </w:p>
        </w:tc>
        <w:tc>
          <w:tcPr>
            <w:tcW w:w="20000" w:type="dxa"/>
            <w:shd w:val="clear" w:color="auto" w:fill="auto"/>
            <w:vAlign w:val="center"/>
          </w:tcPr>
          <w:p w14:paraId="03B56A12" w14:textId="77777777" w:rsidR="00100093" w:rsidRDefault="00100093" w:rsidP="005D7D3C">
            <w:pPr>
              <w:spacing w:line="360" w:lineRule="auto"/>
              <w:jc w:val="left"/>
              <w:rPr>
                <w:rFonts w:ascii="宋体" w:hAnsi="宋体" w:cs="宋体"/>
                <w:color w:val="000000"/>
              </w:rPr>
            </w:pPr>
            <w:r>
              <w:rPr>
                <w:rFonts w:ascii="宋体" w:hAnsi="宋体" w:cs="宋体"/>
                <w:color w:val="000000"/>
              </w:rPr>
              <w:t>abrdn Gold ETF Trust</w:t>
            </w:r>
          </w:p>
        </w:tc>
        <w:tc>
          <w:tcPr>
            <w:tcW w:w="20000" w:type="dxa"/>
            <w:shd w:val="clear" w:color="auto" w:fill="auto"/>
            <w:vAlign w:val="center"/>
          </w:tcPr>
          <w:p w14:paraId="61B2D522" w14:textId="77777777" w:rsidR="00100093" w:rsidRDefault="00100093" w:rsidP="005D7D3C">
            <w:pPr>
              <w:spacing w:line="360" w:lineRule="auto"/>
              <w:jc w:val="left"/>
              <w:rPr>
                <w:rFonts w:ascii="宋体" w:hAnsi="宋体" w:cs="宋体"/>
                <w:color w:val="000000"/>
              </w:rPr>
            </w:pPr>
            <w:r>
              <w:rPr>
                <w:rFonts w:ascii="宋体" w:hAnsi="宋体" w:cs="宋体"/>
                <w:color w:val="000000"/>
              </w:rPr>
              <w:t>ETF型</w:t>
            </w:r>
          </w:p>
        </w:tc>
        <w:tc>
          <w:tcPr>
            <w:tcW w:w="20000" w:type="dxa"/>
            <w:shd w:val="clear" w:color="auto" w:fill="auto"/>
            <w:vAlign w:val="center"/>
          </w:tcPr>
          <w:p w14:paraId="24A753B8" w14:textId="77777777" w:rsidR="00100093" w:rsidRDefault="00100093" w:rsidP="005D7D3C">
            <w:pPr>
              <w:spacing w:line="360" w:lineRule="auto"/>
              <w:jc w:val="left"/>
              <w:rPr>
                <w:rFonts w:ascii="宋体" w:hAnsi="宋体" w:cs="宋体"/>
                <w:color w:val="000000"/>
              </w:rPr>
            </w:pPr>
            <w:r>
              <w:rPr>
                <w:rFonts w:ascii="宋体" w:hAnsi="宋体" w:cs="宋体"/>
                <w:color w:val="000000"/>
              </w:rPr>
              <w:t>开放式</w:t>
            </w:r>
          </w:p>
        </w:tc>
        <w:tc>
          <w:tcPr>
            <w:tcW w:w="20000" w:type="dxa"/>
            <w:shd w:val="clear" w:color="auto" w:fill="auto"/>
            <w:vAlign w:val="center"/>
          </w:tcPr>
          <w:p w14:paraId="42436F91" w14:textId="77777777" w:rsidR="00100093" w:rsidRDefault="00100093" w:rsidP="005D7D3C">
            <w:pPr>
              <w:spacing w:line="360" w:lineRule="auto"/>
              <w:jc w:val="left"/>
              <w:rPr>
                <w:rFonts w:ascii="宋体" w:hAnsi="宋体" w:cs="宋体"/>
                <w:color w:val="000000"/>
              </w:rPr>
            </w:pPr>
            <w:r>
              <w:rPr>
                <w:rFonts w:ascii="宋体" w:hAnsi="宋体" w:cs="宋体"/>
                <w:color w:val="000000"/>
              </w:rPr>
              <w:t>Aberdeen Standard Investments</w:t>
            </w:r>
          </w:p>
        </w:tc>
        <w:tc>
          <w:tcPr>
            <w:tcW w:w="20000" w:type="dxa"/>
            <w:shd w:val="clear" w:color="auto" w:fill="auto"/>
            <w:vAlign w:val="center"/>
          </w:tcPr>
          <w:p w14:paraId="301BF095" w14:textId="77777777" w:rsidR="00100093" w:rsidRDefault="00100093" w:rsidP="005D7D3C">
            <w:pPr>
              <w:spacing w:line="360" w:lineRule="auto"/>
              <w:jc w:val="right"/>
              <w:rPr>
                <w:rFonts w:ascii="宋体" w:hAnsi="宋体" w:cs="宋体"/>
                <w:color w:val="000000"/>
              </w:rPr>
            </w:pPr>
            <w:r>
              <w:rPr>
                <w:rFonts w:ascii="宋体" w:hAnsi="宋体" w:cs="宋体"/>
                <w:color w:val="000000"/>
              </w:rPr>
              <w:t>17,446,284.30</w:t>
            </w:r>
          </w:p>
        </w:tc>
        <w:tc>
          <w:tcPr>
            <w:tcW w:w="20000" w:type="dxa"/>
            <w:shd w:val="clear" w:color="auto" w:fill="auto"/>
            <w:vAlign w:val="center"/>
          </w:tcPr>
          <w:p w14:paraId="3AE954FA" w14:textId="77777777" w:rsidR="00100093" w:rsidRDefault="00100093" w:rsidP="005D7D3C">
            <w:pPr>
              <w:spacing w:line="360" w:lineRule="auto"/>
              <w:jc w:val="right"/>
              <w:rPr>
                <w:rFonts w:ascii="宋体" w:hAnsi="宋体" w:cs="宋体"/>
                <w:color w:val="000000"/>
              </w:rPr>
            </w:pPr>
            <w:r>
              <w:rPr>
                <w:rFonts w:ascii="宋体" w:hAnsi="宋体" w:cs="宋体"/>
                <w:color w:val="000000"/>
              </w:rPr>
              <w:t>15.08</w:t>
            </w:r>
          </w:p>
        </w:tc>
      </w:tr>
      <w:tr w:rsidR="00100093" w14:paraId="75153E1F" w14:textId="77777777" w:rsidTr="005D7D3C">
        <w:tc>
          <w:tcPr>
            <w:tcW w:w="20000" w:type="dxa"/>
            <w:shd w:val="clear" w:color="auto" w:fill="auto"/>
            <w:vAlign w:val="center"/>
          </w:tcPr>
          <w:p w14:paraId="2475C9B7" w14:textId="77777777" w:rsidR="00100093" w:rsidRDefault="00100093" w:rsidP="005D7D3C">
            <w:pPr>
              <w:spacing w:line="360" w:lineRule="auto"/>
              <w:jc w:val="left"/>
              <w:rPr>
                <w:rFonts w:ascii="宋体" w:hAnsi="宋体" w:cs="宋体"/>
                <w:color w:val="000000"/>
              </w:rPr>
            </w:pPr>
            <w:r>
              <w:rPr>
                <w:rFonts w:ascii="宋体" w:hAnsi="宋体" w:cs="宋体"/>
                <w:color w:val="000000"/>
              </w:rPr>
              <w:t>6</w:t>
            </w:r>
          </w:p>
        </w:tc>
        <w:tc>
          <w:tcPr>
            <w:tcW w:w="20000" w:type="dxa"/>
            <w:shd w:val="clear" w:color="auto" w:fill="auto"/>
            <w:vAlign w:val="center"/>
          </w:tcPr>
          <w:p w14:paraId="55C8391C" w14:textId="77777777" w:rsidR="00100093" w:rsidRDefault="00100093" w:rsidP="005D7D3C">
            <w:pPr>
              <w:spacing w:line="360" w:lineRule="auto"/>
              <w:jc w:val="left"/>
              <w:rPr>
                <w:rFonts w:ascii="宋体" w:hAnsi="宋体" w:cs="宋体"/>
                <w:color w:val="000000"/>
              </w:rPr>
            </w:pPr>
            <w:r>
              <w:rPr>
                <w:rFonts w:ascii="宋体" w:hAnsi="宋体" w:cs="宋体"/>
                <w:color w:val="000000"/>
              </w:rPr>
              <w:t>SWISSCANTO PHYS GLD - USD A</w:t>
            </w:r>
          </w:p>
        </w:tc>
        <w:tc>
          <w:tcPr>
            <w:tcW w:w="20000" w:type="dxa"/>
            <w:shd w:val="clear" w:color="auto" w:fill="auto"/>
            <w:vAlign w:val="center"/>
          </w:tcPr>
          <w:p w14:paraId="7D43D9E2" w14:textId="77777777" w:rsidR="00100093" w:rsidRDefault="00100093" w:rsidP="005D7D3C">
            <w:pPr>
              <w:spacing w:line="360" w:lineRule="auto"/>
              <w:jc w:val="left"/>
              <w:rPr>
                <w:rFonts w:ascii="宋体" w:hAnsi="宋体" w:cs="宋体"/>
                <w:color w:val="000000"/>
              </w:rPr>
            </w:pPr>
            <w:r>
              <w:rPr>
                <w:rFonts w:ascii="宋体" w:hAnsi="宋体" w:cs="宋体"/>
                <w:color w:val="000000"/>
              </w:rPr>
              <w:t>ETF型</w:t>
            </w:r>
          </w:p>
        </w:tc>
        <w:tc>
          <w:tcPr>
            <w:tcW w:w="20000" w:type="dxa"/>
            <w:shd w:val="clear" w:color="auto" w:fill="auto"/>
            <w:vAlign w:val="center"/>
          </w:tcPr>
          <w:p w14:paraId="2F0AB6D4" w14:textId="77777777" w:rsidR="00100093" w:rsidRDefault="00100093" w:rsidP="005D7D3C">
            <w:pPr>
              <w:spacing w:line="360" w:lineRule="auto"/>
              <w:jc w:val="left"/>
              <w:rPr>
                <w:rFonts w:ascii="宋体" w:hAnsi="宋体" w:cs="宋体"/>
                <w:color w:val="000000"/>
              </w:rPr>
            </w:pPr>
            <w:r>
              <w:rPr>
                <w:rFonts w:ascii="宋体" w:hAnsi="宋体" w:cs="宋体"/>
                <w:color w:val="000000"/>
              </w:rPr>
              <w:t>开放式</w:t>
            </w:r>
          </w:p>
        </w:tc>
        <w:tc>
          <w:tcPr>
            <w:tcW w:w="20000" w:type="dxa"/>
            <w:shd w:val="clear" w:color="auto" w:fill="auto"/>
            <w:vAlign w:val="center"/>
          </w:tcPr>
          <w:p w14:paraId="4914A314" w14:textId="77777777" w:rsidR="00100093" w:rsidRDefault="00100093" w:rsidP="005D7D3C">
            <w:pPr>
              <w:spacing w:line="360" w:lineRule="auto"/>
              <w:jc w:val="left"/>
              <w:rPr>
                <w:rFonts w:ascii="宋体" w:hAnsi="宋体" w:cs="宋体"/>
                <w:color w:val="000000"/>
              </w:rPr>
            </w:pPr>
            <w:r>
              <w:rPr>
                <w:rFonts w:ascii="宋体" w:hAnsi="宋体" w:cs="宋体"/>
                <w:color w:val="000000"/>
              </w:rPr>
              <w:t>GAM Investment Management Swit</w:t>
            </w:r>
          </w:p>
        </w:tc>
        <w:tc>
          <w:tcPr>
            <w:tcW w:w="20000" w:type="dxa"/>
            <w:shd w:val="clear" w:color="auto" w:fill="auto"/>
            <w:vAlign w:val="center"/>
          </w:tcPr>
          <w:p w14:paraId="37C11BB8" w14:textId="77777777" w:rsidR="00100093" w:rsidRDefault="00100093" w:rsidP="005D7D3C">
            <w:pPr>
              <w:spacing w:line="360" w:lineRule="auto"/>
              <w:jc w:val="right"/>
              <w:rPr>
                <w:rFonts w:ascii="宋体" w:hAnsi="宋体" w:cs="宋体"/>
                <w:color w:val="000000"/>
              </w:rPr>
            </w:pPr>
            <w:r>
              <w:rPr>
                <w:rFonts w:ascii="宋体" w:hAnsi="宋体" w:cs="宋体"/>
                <w:color w:val="000000"/>
              </w:rPr>
              <w:t>17,218,767.84</w:t>
            </w:r>
          </w:p>
        </w:tc>
        <w:tc>
          <w:tcPr>
            <w:tcW w:w="20000" w:type="dxa"/>
            <w:shd w:val="clear" w:color="auto" w:fill="auto"/>
            <w:vAlign w:val="center"/>
          </w:tcPr>
          <w:p w14:paraId="06513970" w14:textId="77777777" w:rsidR="00100093" w:rsidRDefault="00100093" w:rsidP="005D7D3C">
            <w:pPr>
              <w:spacing w:line="360" w:lineRule="auto"/>
              <w:jc w:val="right"/>
              <w:rPr>
                <w:rFonts w:ascii="宋体" w:hAnsi="宋体" w:cs="宋体"/>
                <w:color w:val="000000"/>
              </w:rPr>
            </w:pPr>
            <w:r>
              <w:rPr>
                <w:rFonts w:ascii="宋体" w:hAnsi="宋体" w:cs="宋体"/>
                <w:color w:val="000000"/>
              </w:rPr>
              <w:t>14.88</w:t>
            </w:r>
          </w:p>
        </w:tc>
      </w:tr>
    </w:tbl>
    <w:p w14:paraId="4AFD338E" w14:textId="77777777" w:rsidR="00100093" w:rsidRDefault="00100093" w:rsidP="00100093">
      <w:pPr>
        <w:spacing w:line="360" w:lineRule="auto"/>
        <w:rPr>
          <w:rFonts w:ascii="宋体" w:hAnsi="宋体"/>
        </w:rPr>
      </w:pPr>
    </w:p>
    <w:p w14:paraId="6EAFB802" w14:textId="77777777" w:rsidR="00100093" w:rsidRDefault="00100093" w:rsidP="00100093">
      <w:pPr>
        <w:spacing w:line="360" w:lineRule="auto"/>
        <w:rPr>
          <w:rFonts w:ascii="宋体" w:hAnsi="宋体" w:cs="宋体"/>
          <w:color w:val="000000"/>
        </w:rPr>
      </w:pPr>
    </w:p>
    <w:p w14:paraId="6633145E" w14:textId="77777777" w:rsidR="00100093" w:rsidRDefault="00100093" w:rsidP="00100093">
      <w:pPr>
        <w:keepNext/>
        <w:keepLines/>
        <w:spacing w:line="415" w:lineRule="auto"/>
        <w:jc w:val="left"/>
        <w:outlineLvl w:val="1"/>
        <w:rPr>
          <w:rFonts w:ascii="宋体" w:hAnsi="宋体" w:cstheme="majorBidi"/>
          <w:b/>
          <w:bCs/>
          <w:sz w:val="24"/>
          <w:szCs w:val="32"/>
        </w:rPr>
      </w:pPr>
      <w:r>
        <w:rPr>
          <w:rFonts w:ascii="宋体" w:hAnsi="宋体" w:cs="宋体"/>
          <w:b/>
          <w:bCs/>
          <w:color w:val="000000"/>
          <w:sz w:val="24"/>
          <w:szCs w:val="32"/>
        </w:rPr>
        <w:t>1</w:t>
      </w:r>
      <w:r>
        <w:rPr>
          <w:rFonts w:ascii="宋体" w:hAnsi="宋体" w:cs="宋体" w:hint="eastAsia"/>
          <w:b/>
          <w:bCs/>
          <w:color w:val="000000"/>
          <w:sz w:val="24"/>
          <w:szCs w:val="32"/>
        </w:rPr>
        <w:t>.10</w:t>
      </w:r>
      <w:r>
        <w:rPr>
          <w:rFonts w:ascii="宋体" w:hAnsi="宋体" w:cstheme="majorBidi" w:hint="eastAsia"/>
          <w:b/>
          <w:bCs/>
          <w:sz w:val="24"/>
          <w:szCs w:val="32"/>
        </w:rPr>
        <w:t>投资组合报告附注</w:t>
      </w:r>
    </w:p>
    <w:p w14:paraId="50A14CDD" w14:textId="77777777" w:rsidR="00100093" w:rsidRDefault="00100093" w:rsidP="00100093">
      <w:pPr>
        <w:spacing w:line="360" w:lineRule="auto"/>
        <w:jc w:val="left"/>
        <w:rPr>
          <w:rFonts w:ascii="宋体" w:hAnsi="宋体" w:cs="宋体"/>
          <w:b/>
          <w:color w:val="000000"/>
          <w:sz w:val="24"/>
        </w:rPr>
      </w:pPr>
      <w:r>
        <w:rPr>
          <w:rFonts w:ascii="宋体" w:hAnsi="宋体" w:cs="宋体"/>
          <w:b/>
          <w:color w:val="000000"/>
          <w:sz w:val="24"/>
        </w:rPr>
        <w:t>1.10.1</w:t>
      </w:r>
    </w:p>
    <w:p w14:paraId="570E97A5" w14:textId="77777777" w:rsidR="00100093" w:rsidRDefault="00100093" w:rsidP="00100093">
      <w:pPr>
        <w:spacing w:line="360" w:lineRule="auto"/>
        <w:ind w:firstLineChars="200" w:firstLine="420"/>
        <w:rPr>
          <w:rFonts w:ascii="宋体" w:hAnsi="宋体" w:cs="宋体"/>
          <w:color w:val="000000"/>
        </w:rPr>
      </w:pPr>
      <w:r w:rsidRPr="00F85C6E">
        <w:rPr>
          <w:rFonts w:ascii="宋体" w:hAnsi="宋体" w:cs="宋体"/>
          <w:color w:val="000000"/>
        </w:rPr>
        <w:t>报告期内本基金投资前十名证券的发行主体没有被中国人民银行及其派出机构、中国银保监会及其派出机构、中国证监会及其派出机构、国家市场监督管理总局及机关单位、交易所立案调查，或在报告编制日前一年内收到公开谴责、处罚的情况。</w:t>
      </w:r>
    </w:p>
    <w:p w14:paraId="65DC7B37" w14:textId="77777777" w:rsidR="00100093" w:rsidRDefault="00100093" w:rsidP="00100093">
      <w:pPr>
        <w:spacing w:line="360" w:lineRule="auto"/>
        <w:jc w:val="left"/>
        <w:rPr>
          <w:rFonts w:ascii="宋体" w:hAnsi="宋体" w:cs="宋体"/>
          <w:b/>
          <w:color w:val="000000"/>
          <w:sz w:val="24"/>
        </w:rPr>
      </w:pPr>
      <w:r>
        <w:rPr>
          <w:rFonts w:ascii="宋体" w:hAnsi="宋体" w:cs="宋体"/>
          <w:b/>
          <w:color w:val="000000"/>
          <w:sz w:val="24"/>
        </w:rPr>
        <w:t>1.10.2</w:t>
      </w:r>
    </w:p>
    <w:p w14:paraId="566FEADC" w14:textId="77777777" w:rsidR="00100093" w:rsidRDefault="00100093" w:rsidP="00100093">
      <w:pPr>
        <w:spacing w:line="360" w:lineRule="auto"/>
        <w:ind w:firstLineChars="200" w:firstLine="420"/>
        <w:rPr>
          <w:rFonts w:ascii="宋体" w:hAnsi="宋体" w:cs="宋体"/>
          <w:color w:val="000000"/>
        </w:rPr>
      </w:pPr>
      <w:r w:rsidRPr="008F2057">
        <w:rPr>
          <w:rFonts w:ascii="宋体" w:hAnsi="宋体" w:cs="宋体"/>
          <w:color w:val="000000"/>
        </w:rPr>
        <w:lastRenderedPageBreak/>
        <w:t>本基金投资的前十名股票没有超出基金合同规定的备选股票库。</w:t>
      </w:r>
    </w:p>
    <w:p w14:paraId="1E91D9C2" w14:textId="77777777" w:rsidR="00100093" w:rsidRPr="000C7F7E" w:rsidRDefault="00100093" w:rsidP="00100093">
      <w:pPr>
        <w:spacing w:line="360" w:lineRule="auto"/>
        <w:jc w:val="left"/>
        <w:rPr>
          <w:rFonts w:ascii="宋体" w:hAnsi="宋体"/>
          <w:b/>
          <w:sz w:val="24"/>
        </w:rPr>
      </w:pPr>
      <w:r>
        <w:rPr>
          <w:rFonts w:ascii="宋体" w:hAnsi="宋体" w:cs="宋体"/>
          <w:b/>
          <w:color w:val="000000"/>
          <w:sz w:val="24"/>
        </w:rPr>
        <w:t>1</w:t>
      </w:r>
      <w:r>
        <w:rPr>
          <w:rFonts w:ascii="宋体" w:hAnsi="宋体" w:cs="宋体" w:hint="eastAsia"/>
          <w:b/>
          <w:color w:val="000000"/>
          <w:sz w:val="24"/>
        </w:rPr>
        <w:t>.10.3</w:t>
      </w:r>
      <w:r>
        <w:rPr>
          <w:rFonts w:ascii="宋体" w:hAnsi="宋体" w:hint="eastAsia"/>
          <w:b/>
          <w:sz w:val="24"/>
        </w:rPr>
        <w:t>其他资产构成</w:t>
      </w:r>
    </w:p>
    <w:tbl>
      <w:tblPr>
        <w:tblW w:w="5000" w:type="pct"/>
        <w:tblCellMar>
          <w:left w:w="0" w:type="dxa"/>
          <w:right w:w="0" w:type="dxa"/>
        </w:tblCellMar>
        <w:tblLook w:val="04A0" w:firstRow="1" w:lastRow="0" w:firstColumn="1" w:lastColumn="0" w:noHBand="0" w:noVBand="1"/>
      </w:tblPr>
      <w:tblGrid>
        <w:gridCol w:w="727"/>
        <w:gridCol w:w="3929"/>
        <w:gridCol w:w="3640"/>
      </w:tblGrid>
      <w:tr w:rsidR="00100093" w14:paraId="75B8F36A" w14:textId="77777777" w:rsidTr="005D7D3C">
        <w:trPr>
          <w:trHeight w:val="285"/>
        </w:trPr>
        <w:tc>
          <w:tcPr>
            <w:tcW w:w="438" w:type="pct"/>
            <w:tcBorders>
              <w:top w:val="single" w:sz="4" w:space="0" w:color="auto"/>
              <w:left w:val="single" w:sz="4" w:space="0" w:color="auto"/>
              <w:bottom w:val="single" w:sz="4" w:space="0" w:color="auto"/>
              <w:right w:val="single" w:sz="4" w:space="0" w:color="auto"/>
            </w:tcBorders>
            <w:shd w:val="clear" w:color="auto" w:fill="D9D9D9"/>
            <w:hideMark/>
          </w:tcPr>
          <w:p w14:paraId="5C5BA72A" w14:textId="77777777" w:rsidR="00100093" w:rsidRDefault="00100093" w:rsidP="005D7D3C">
            <w:pPr>
              <w:spacing w:line="360" w:lineRule="auto"/>
              <w:jc w:val="center"/>
              <w:rPr>
                <w:rFonts w:ascii="宋体" w:hAnsi="宋体"/>
              </w:rPr>
            </w:pPr>
            <w:r>
              <w:rPr>
                <w:rFonts w:ascii="宋体" w:hAnsi="宋体" w:hint="eastAsia"/>
              </w:rPr>
              <w:t>序号</w:t>
            </w:r>
          </w:p>
        </w:tc>
        <w:tc>
          <w:tcPr>
            <w:tcW w:w="2368" w:type="pct"/>
            <w:tcBorders>
              <w:top w:val="single" w:sz="4" w:space="0" w:color="auto"/>
              <w:left w:val="single" w:sz="4" w:space="0" w:color="auto"/>
              <w:bottom w:val="single" w:sz="4" w:space="0" w:color="auto"/>
              <w:right w:val="single" w:sz="4" w:space="0" w:color="auto"/>
            </w:tcBorders>
            <w:shd w:val="clear" w:color="auto" w:fill="D9D9D9"/>
            <w:hideMark/>
          </w:tcPr>
          <w:p w14:paraId="4328DF3C" w14:textId="77777777" w:rsidR="00100093" w:rsidRDefault="00100093" w:rsidP="005D7D3C">
            <w:pPr>
              <w:spacing w:line="360" w:lineRule="auto"/>
              <w:jc w:val="center"/>
              <w:rPr>
                <w:rFonts w:ascii="宋体" w:hAnsi="宋体"/>
              </w:rPr>
            </w:pPr>
            <w:r>
              <w:rPr>
                <w:rFonts w:ascii="宋体" w:hAnsi="宋体" w:hint="eastAsia"/>
              </w:rPr>
              <w:t>名称</w:t>
            </w:r>
          </w:p>
        </w:tc>
        <w:tc>
          <w:tcPr>
            <w:tcW w:w="2194" w:type="pct"/>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14:paraId="1208C6A2" w14:textId="77777777" w:rsidR="00100093" w:rsidRDefault="00100093" w:rsidP="005D7D3C">
            <w:pPr>
              <w:spacing w:line="360" w:lineRule="auto"/>
              <w:jc w:val="center"/>
              <w:rPr>
                <w:rFonts w:ascii="宋体" w:hAnsi="宋体"/>
              </w:rPr>
            </w:pPr>
            <w:r>
              <w:rPr>
                <w:rFonts w:ascii="宋体" w:hAnsi="宋体" w:hint="eastAsia"/>
              </w:rPr>
              <w:t>金额（人民币元）</w:t>
            </w:r>
          </w:p>
        </w:tc>
      </w:tr>
      <w:tr w:rsidR="00100093" w14:paraId="67CD1DAB" w14:textId="77777777" w:rsidTr="005D7D3C">
        <w:trPr>
          <w:trHeight w:val="312"/>
        </w:trPr>
        <w:tc>
          <w:tcPr>
            <w:tcW w:w="438" w:type="pct"/>
            <w:tcBorders>
              <w:top w:val="nil"/>
              <w:left w:val="single" w:sz="4" w:space="0" w:color="auto"/>
              <w:bottom w:val="single" w:sz="4" w:space="0" w:color="auto"/>
              <w:right w:val="single" w:sz="4" w:space="0" w:color="auto"/>
            </w:tcBorders>
            <w:hideMark/>
          </w:tcPr>
          <w:p w14:paraId="535F1D0C" w14:textId="77777777" w:rsidR="00100093" w:rsidRDefault="00100093" w:rsidP="005D7D3C">
            <w:pPr>
              <w:spacing w:line="360" w:lineRule="auto"/>
              <w:jc w:val="center"/>
              <w:rPr>
                <w:rFonts w:ascii="宋体" w:hAnsi="宋体"/>
                <w:color w:val="000000"/>
              </w:rPr>
            </w:pPr>
            <w:r>
              <w:rPr>
                <w:rFonts w:ascii="宋体" w:hAnsi="宋体" w:hint="eastAsia"/>
                <w:color w:val="000000"/>
              </w:rPr>
              <w:t>1</w:t>
            </w:r>
          </w:p>
        </w:tc>
        <w:tc>
          <w:tcPr>
            <w:tcW w:w="2368" w:type="pct"/>
            <w:tcBorders>
              <w:top w:val="nil"/>
              <w:left w:val="single" w:sz="4" w:space="0" w:color="auto"/>
              <w:bottom w:val="single" w:sz="4" w:space="0" w:color="auto"/>
              <w:right w:val="single" w:sz="4" w:space="0" w:color="auto"/>
            </w:tcBorders>
            <w:hideMark/>
          </w:tcPr>
          <w:p w14:paraId="02EA32CD" w14:textId="77777777" w:rsidR="00100093" w:rsidRDefault="00100093" w:rsidP="005D7D3C">
            <w:pPr>
              <w:spacing w:line="360" w:lineRule="auto"/>
              <w:rPr>
                <w:rFonts w:ascii="宋体" w:hAnsi="宋体"/>
                <w:color w:val="000000"/>
              </w:rPr>
            </w:pPr>
            <w:r>
              <w:rPr>
                <w:rFonts w:ascii="宋体" w:hAnsi="宋体" w:hint="eastAsia"/>
                <w:color w:val="000000"/>
              </w:rPr>
              <w:t>存出保证金</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6DAB82FD" w14:textId="77777777" w:rsidR="00100093" w:rsidRPr="00683284" w:rsidRDefault="00100093" w:rsidP="005D7D3C">
            <w:pPr>
              <w:spacing w:line="360" w:lineRule="auto"/>
              <w:ind w:left="105"/>
              <w:jc w:val="right"/>
              <w:rPr>
                <w:rFonts w:ascii="宋体" w:hAnsi="宋体" w:cs="宋体"/>
                <w:color w:val="000000"/>
              </w:rPr>
            </w:pPr>
            <w:r w:rsidRPr="00683284">
              <w:rPr>
                <w:rFonts w:ascii="宋体" w:hAnsi="宋体" w:cs="宋体"/>
                <w:color w:val="000000"/>
              </w:rPr>
              <w:t>-</w:t>
            </w:r>
          </w:p>
        </w:tc>
      </w:tr>
      <w:tr w:rsidR="00100093" w14:paraId="6CF249E3" w14:textId="77777777" w:rsidTr="005D7D3C">
        <w:trPr>
          <w:trHeight w:val="285"/>
        </w:trPr>
        <w:tc>
          <w:tcPr>
            <w:tcW w:w="438" w:type="pct"/>
            <w:tcBorders>
              <w:top w:val="nil"/>
              <w:left w:val="single" w:sz="4" w:space="0" w:color="auto"/>
              <w:bottom w:val="single" w:sz="4" w:space="0" w:color="auto"/>
              <w:right w:val="single" w:sz="4" w:space="0" w:color="auto"/>
            </w:tcBorders>
            <w:hideMark/>
          </w:tcPr>
          <w:p w14:paraId="42F82055" w14:textId="77777777" w:rsidR="00100093" w:rsidRDefault="00100093" w:rsidP="005D7D3C">
            <w:pPr>
              <w:spacing w:line="360" w:lineRule="auto"/>
              <w:jc w:val="center"/>
              <w:rPr>
                <w:rFonts w:ascii="宋体" w:hAnsi="宋体"/>
                <w:color w:val="000000"/>
              </w:rPr>
            </w:pPr>
            <w:r>
              <w:rPr>
                <w:rFonts w:ascii="宋体" w:hAnsi="宋体" w:hint="eastAsia"/>
                <w:color w:val="000000"/>
              </w:rPr>
              <w:t>2</w:t>
            </w:r>
          </w:p>
        </w:tc>
        <w:tc>
          <w:tcPr>
            <w:tcW w:w="2368" w:type="pct"/>
            <w:tcBorders>
              <w:top w:val="nil"/>
              <w:left w:val="single" w:sz="4" w:space="0" w:color="auto"/>
              <w:bottom w:val="single" w:sz="4" w:space="0" w:color="auto"/>
              <w:right w:val="single" w:sz="4" w:space="0" w:color="auto"/>
            </w:tcBorders>
            <w:hideMark/>
          </w:tcPr>
          <w:p w14:paraId="43FD3658" w14:textId="77777777" w:rsidR="00100093" w:rsidRDefault="00100093" w:rsidP="005D7D3C">
            <w:pPr>
              <w:spacing w:line="360" w:lineRule="auto"/>
              <w:rPr>
                <w:rFonts w:ascii="宋体" w:hAnsi="宋体"/>
                <w:color w:val="000000"/>
              </w:rPr>
            </w:pPr>
            <w:r>
              <w:rPr>
                <w:rFonts w:ascii="宋体" w:hAnsi="宋体" w:hint="eastAsia"/>
                <w:color w:val="000000"/>
              </w:rPr>
              <w:t>应收证券清算款</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641AA329" w14:textId="77777777" w:rsidR="00100093" w:rsidRPr="00683284" w:rsidRDefault="00100093" w:rsidP="005D7D3C">
            <w:pPr>
              <w:spacing w:line="360" w:lineRule="auto"/>
              <w:ind w:left="105"/>
              <w:jc w:val="right"/>
              <w:rPr>
                <w:rFonts w:ascii="宋体" w:hAnsi="宋体" w:cs="宋体"/>
                <w:color w:val="000000"/>
              </w:rPr>
            </w:pPr>
            <w:r w:rsidRPr="00683284">
              <w:rPr>
                <w:rFonts w:ascii="宋体" w:hAnsi="宋体" w:cs="宋体"/>
                <w:color w:val="000000"/>
              </w:rPr>
              <w:t>-</w:t>
            </w:r>
          </w:p>
        </w:tc>
      </w:tr>
      <w:tr w:rsidR="00100093" w14:paraId="20798956" w14:textId="77777777" w:rsidTr="005D7D3C">
        <w:trPr>
          <w:trHeight w:val="285"/>
        </w:trPr>
        <w:tc>
          <w:tcPr>
            <w:tcW w:w="438" w:type="pct"/>
            <w:tcBorders>
              <w:top w:val="nil"/>
              <w:left w:val="single" w:sz="4" w:space="0" w:color="auto"/>
              <w:bottom w:val="single" w:sz="4" w:space="0" w:color="auto"/>
              <w:right w:val="single" w:sz="4" w:space="0" w:color="auto"/>
            </w:tcBorders>
            <w:hideMark/>
          </w:tcPr>
          <w:p w14:paraId="26097C2F" w14:textId="77777777" w:rsidR="00100093" w:rsidRDefault="00100093" w:rsidP="005D7D3C">
            <w:pPr>
              <w:spacing w:line="360" w:lineRule="auto"/>
              <w:jc w:val="center"/>
              <w:rPr>
                <w:rFonts w:ascii="宋体" w:hAnsi="宋体"/>
                <w:color w:val="000000"/>
              </w:rPr>
            </w:pPr>
            <w:r>
              <w:rPr>
                <w:rFonts w:ascii="宋体" w:hAnsi="宋体" w:hint="eastAsia"/>
                <w:color w:val="000000"/>
              </w:rPr>
              <w:t>3</w:t>
            </w:r>
          </w:p>
        </w:tc>
        <w:tc>
          <w:tcPr>
            <w:tcW w:w="2368" w:type="pct"/>
            <w:tcBorders>
              <w:top w:val="nil"/>
              <w:left w:val="single" w:sz="4" w:space="0" w:color="auto"/>
              <w:bottom w:val="single" w:sz="4" w:space="0" w:color="auto"/>
              <w:right w:val="single" w:sz="4" w:space="0" w:color="auto"/>
            </w:tcBorders>
            <w:hideMark/>
          </w:tcPr>
          <w:p w14:paraId="54EDCE25" w14:textId="77777777" w:rsidR="00100093" w:rsidRDefault="00100093" w:rsidP="005D7D3C">
            <w:pPr>
              <w:spacing w:line="360" w:lineRule="auto"/>
              <w:rPr>
                <w:rFonts w:ascii="宋体" w:hAnsi="宋体"/>
                <w:color w:val="000000"/>
              </w:rPr>
            </w:pPr>
            <w:r>
              <w:rPr>
                <w:rFonts w:ascii="宋体" w:hAnsi="宋体" w:hint="eastAsia"/>
                <w:color w:val="000000"/>
              </w:rPr>
              <w:t>应收股利</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420A4EB0" w14:textId="77777777" w:rsidR="00100093" w:rsidRDefault="00100093" w:rsidP="005D7D3C">
            <w:pPr>
              <w:spacing w:line="360" w:lineRule="auto"/>
              <w:jc w:val="right"/>
              <w:rPr>
                <w:rFonts w:ascii="宋体" w:hAnsi="宋体" w:cs="宋体"/>
                <w:color w:val="000000" w:themeColor="text1"/>
                <w:kern w:val="0"/>
              </w:rPr>
            </w:pPr>
            <w:r>
              <w:rPr>
                <w:rFonts w:ascii="宋体" w:hAnsi="宋体" w:cs="宋体"/>
                <w:color w:val="000000"/>
                <w:kern w:val="0"/>
              </w:rPr>
              <w:t>-</w:t>
            </w:r>
          </w:p>
        </w:tc>
      </w:tr>
      <w:tr w:rsidR="00100093" w14:paraId="56C6474C" w14:textId="77777777" w:rsidTr="005D7D3C">
        <w:trPr>
          <w:trHeight w:val="285"/>
        </w:trPr>
        <w:tc>
          <w:tcPr>
            <w:tcW w:w="438" w:type="pct"/>
            <w:tcBorders>
              <w:top w:val="nil"/>
              <w:left w:val="single" w:sz="4" w:space="0" w:color="auto"/>
              <w:bottom w:val="single" w:sz="4" w:space="0" w:color="auto"/>
              <w:right w:val="single" w:sz="4" w:space="0" w:color="auto"/>
            </w:tcBorders>
            <w:hideMark/>
          </w:tcPr>
          <w:p w14:paraId="71966216" w14:textId="77777777" w:rsidR="00100093" w:rsidRDefault="00100093" w:rsidP="005D7D3C">
            <w:pPr>
              <w:spacing w:line="360" w:lineRule="auto"/>
              <w:jc w:val="center"/>
              <w:rPr>
                <w:rFonts w:ascii="宋体" w:hAnsi="宋体"/>
                <w:color w:val="000000"/>
              </w:rPr>
            </w:pPr>
            <w:r>
              <w:rPr>
                <w:rFonts w:ascii="宋体" w:hAnsi="宋体" w:hint="eastAsia"/>
                <w:color w:val="000000"/>
              </w:rPr>
              <w:t>4</w:t>
            </w:r>
          </w:p>
        </w:tc>
        <w:tc>
          <w:tcPr>
            <w:tcW w:w="2368" w:type="pct"/>
            <w:tcBorders>
              <w:top w:val="nil"/>
              <w:left w:val="single" w:sz="4" w:space="0" w:color="auto"/>
              <w:bottom w:val="single" w:sz="4" w:space="0" w:color="auto"/>
              <w:right w:val="single" w:sz="4" w:space="0" w:color="auto"/>
            </w:tcBorders>
            <w:hideMark/>
          </w:tcPr>
          <w:p w14:paraId="313DC886" w14:textId="77777777" w:rsidR="00100093" w:rsidRDefault="00100093" w:rsidP="005D7D3C">
            <w:pPr>
              <w:spacing w:line="360" w:lineRule="auto"/>
              <w:rPr>
                <w:rFonts w:ascii="宋体" w:hAnsi="宋体"/>
                <w:color w:val="000000"/>
              </w:rPr>
            </w:pPr>
            <w:r>
              <w:rPr>
                <w:rFonts w:ascii="宋体" w:hAnsi="宋体" w:hint="eastAsia"/>
                <w:color w:val="000000"/>
              </w:rPr>
              <w:t>应收利息</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2A429120" w14:textId="77777777" w:rsidR="00100093" w:rsidRPr="00683284" w:rsidRDefault="00100093" w:rsidP="005D7D3C">
            <w:pPr>
              <w:spacing w:line="360" w:lineRule="auto"/>
              <w:ind w:left="105"/>
              <w:jc w:val="right"/>
              <w:rPr>
                <w:rFonts w:ascii="宋体" w:hAnsi="宋体" w:cs="宋体"/>
                <w:color w:val="000000"/>
              </w:rPr>
            </w:pPr>
            <w:r w:rsidRPr="00683284">
              <w:rPr>
                <w:rFonts w:ascii="宋体" w:hAnsi="宋体" w:cs="宋体"/>
                <w:color w:val="000000"/>
              </w:rPr>
              <w:t>-</w:t>
            </w:r>
          </w:p>
        </w:tc>
      </w:tr>
      <w:tr w:rsidR="00100093" w14:paraId="1A2E28DF" w14:textId="77777777" w:rsidTr="005D7D3C">
        <w:trPr>
          <w:trHeight w:val="285"/>
        </w:trPr>
        <w:tc>
          <w:tcPr>
            <w:tcW w:w="438" w:type="pct"/>
            <w:tcBorders>
              <w:top w:val="nil"/>
              <w:left w:val="single" w:sz="4" w:space="0" w:color="auto"/>
              <w:bottom w:val="single" w:sz="4" w:space="0" w:color="auto"/>
              <w:right w:val="single" w:sz="4" w:space="0" w:color="auto"/>
            </w:tcBorders>
            <w:hideMark/>
          </w:tcPr>
          <w:p w14:paraId="0FAA242D" w14:textId="77777777" w:rsidR="00100093" w:rsidRDefault="00100093" w:rsidP="005D7D3C">
            <w:pPr>
              <w:spacing w:line="360" w:lineRule="auto"/>
              <w:jc w:val="center"/>
              <w:rPr>
                <w:rFonts w:ascii="宋体" w:hAnsi="宋体"/>
                <w:color w:val="000000"/>
              </w:rPr>
            </w:pPr>
            <w:r>
              <w:rPr>
                <w:rFonts w:ascii="宋体" w:hAnsi="宋体" w:hint="eastAsia"/>
                <w:color w:val="000000"/>
              </w:rPr>
              <w:t>5</w:t>
            </w:r>
          </w:p>
        </w:tc>
        <w:tc>
          <w:tcPr>
            <w:tcW w:w="2368" w:type="pct"/>
            <w:tcBorders>
              <w:top w:val="nil"/>
              <w:left w:val="single" w:sz="4" w:space="0" w:color="auto"/>
              <w:bottom w:val="single" w:sz="4" w:space="0" w:color="auto"/>
              <w:right w:val="single" w:sz="4" w:space="0" w:color="auto"/>
            </w:tcBorders>
            <w:hideMark/>
          </w:tcPr>
          <w:p w14:paraId="0D3A859A" w14:textId="77777777" w:rsidR="00100093" w:rsidRDefault="00100093" w:rsidP="005D7D3C">
            <w:pPr>
              <w:spacing w:line="360" w:lineRule="auto"/>
              <w:rPr>
                <w:rFonts w:ascii="宋体" w:hAnsi="宋体"/>
                <w:color w:val="000000"/>
              </w:rPr>
            </w:pPr>
            <w:r>
              <w:rPr>
                <w:rFonts w:ascii="宋体" w:hAnsi="宋体" w:hint="eastAsia"/>
                <w:color w:val="000000"/>
              </w:rPr>
              <w:t>应收申购款</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192421B7" w14:textId="77777777" w:rsidR="00100093" w:rsidRPr="00683284" w:rsidRDefault="00100093" w:rsidP="005D7D3C">
            <w:pPr>
              <w:spacing w:line="360" w:lineRule="auto"/>
              <w:ind w:left="105"/>
              <w:jc w:val="right"/>
              <w:rPr>
                <w:rFonts w:ascii="宋体" w:hAnsi="宋体" w:cs="宋体"/>
                <w:color w:val="000000"/>
              </w:rPr>
            </w:pPr>
            <w:r w:rsidRPr="00683284">
              <w:rPr>
                <w:rFonts w:ascii="宋体" w:hAnsi="宋体" w:cs="宋体"/>
                <w:color w:val="000000"/>
              </w:rPr>
              <w:t>141,100.12</w:t>
            </w:r>
          </w:p>
        </w:tc>
      </w:tr>
      <w:tr w:rsidR="00100093" w14:paraId="3CA64963" w14:textId="77777777" w:rsidTr="005D7D3C">
        <w:trPr>
          <w:trHeight w:val="285"/>
        </w:trPr>
        <w:tc>
          <w:tcPr>
            <w:tcW w:w="438" w:type="pct"/>
            <w:tcBorders>
              <w:top w:val="nil"/>
              <w:left w:val="single" w:sz="4" w:space="0" w:color="auto"/>
              <w:bottom w:val="single" w:sz="4" w:space="0" w:color="auto"/>
              <w:right w:val="single" w:sz="4" w:space="0" w:color="auto"/>
            </w:tcBorders>
            <w:hideMark/>
          </w:tcPr>
          <w:p w14:paraId="77E2C01C" w14:textId="77777777" w:rsidR="00100093" w:rsidRDefault="00100093" w:rsidP="005D7D3C">
            <w:pPr>
              <w:spacing w:line="360" w:lineRule="auto"/>
              <w:jc w:val="center"/>
              <w:rPr>
                <w:rFonts w:ascii="宋体" w:hAnsi="宋体"/>
                <w:color w:val="000000"/>
              </w:rPr>
            </w:pPr>
            <w:r>
              <w:rPr>
                <w:rFonts w:ascii="宋体" w:hAnsi="宋体" w:hint="eastAsia"/>
                <w:color w:val="000000"/>
              </w:rPr>
              <w:t>6</w:t>
            </w:r>
          </w:p>
        </w:tc>
        <w:tc>
          <w:tcPr>
            <w:tcW w:w="2368" w:type="pct"/>
            <w:tcBorders>
              <w:top w:val="nil"/>
              <w:left w:val="single" w:sz="4" w:space="0" w:color="auto"/>
              <w:bottom w:val="single" w:sz="4" w:space="0" w:color="auto"/>
              <w:right w:val="single" w:sz="4" w:space="0" w:color="auto"/>
            </w:tcBorders>
            <w:hideMark/>
          </w:tcPr>
          <w:p w14:paraId="50F0EEDA" w14:textId="77777777" w:rsidR="00100093" w:rsidRDefault="00100093" w:rsidP="005D7D3C">
            <w:pPr>
              <w:spacing w:line="360" w:lineRule="auto"/>
              <w:rPr>
                <w:rFonts w:ascii="宋体" w:hAnsi="宋体"/>
                <w:color w:val="000000"/>
              </w:rPr>
            </w:pPr>
            <w:r>
              <w:rPr>
                <w:rFonts w:ascii="宋体" w:hAnsi="宋体" w:hint="eastAsia"/>
                <w:color w:val="000000"/>
              </w:rPr>
              <w:t>其他应收款</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460804A0" w14:textId="77777777" w:rsidR="00100093" w:rsidRPr="00683284" w:rsidRDefault="00100093" w:rsidP="005D7D3C">
            <w:pPr>
              <w:spacing w:line="360" w:lineRule="auto"/>
              <w:ind w:left="105"/>
              <w:jc w:val="right"/>
              <w:rPr>
                <w:rFonts w:ascii="宋体" w:hAnsi="宋体" w:cs="宋体"/>
                <w:color w:val="000000"/>
              </w:rPr>
            </w:pPr>
            <w:r w:rsidRPr="00683284">
              <w:rPr>
                <w:rFonts w:ascii="宋体" w:hAnsi="宋体" w:cs="宋体"/>
                <w:color w:val="000000"/>
              </w:rPr>
              <w:t>-</w:t>
            </w:r>
          </w:p>
        </w:tc>
      </w:tr>
      <w:tr w:rsidR="00100093" w14:paraId="2B596C70" w14:textId="77777777" w:rsidTr="005D7D3C">
        <w:trPr>
          <w:trHeight w:val="285"/>
        </w:trPr>
        <w:tc>
          <w:tcPr>
            <w:tcW w:w="438" w:type="pct"/>
            <w:tcBorders>
              <w:top w:val="nil"/>
              <w:left w:val="single" w:sz="4" w:space="0" w:color="auto"/>
              <w:bottom w:val="single" w:sz="4" w:space="0" w:color="auto"/>
              <w:right w:val="single" w:sz="4" w:space="0" w:color="auto"/>
            </w:tcBorders>
            <w:hideMark/>
          </w:tcPr>
          <w:p w14:paraId="525A3DF2" w14:textId="77777777" w:rsidR="00100093" w:rsidRDefault="00100093" w:rsidP="005D7D3C">
            <w:pPr>
              <w:spacing w:line="360" w:lineRule="auto"/>
              <w:jc w:val="center"/>
              <w:rPr>
                <w:rFonts w:ascii="宋体" w:hAnsi="宋体"/>
                <w:color w:val="000000"/>
              </w:rPr>
            </w:pPr>
            <w:r>
              <w:rPr>
                <w:rFonts w:ascii="宋体" w:hAnsi="宋体" w:hint="eastAsia"/>
                <w:color w:val="000000"/>
              </w:rPr>
              <w:t>7</w:t>
            </w:r>
          </w:p>
        </w:tc>
        <w:tc>
          <w:tcPr>
            <w:tcW w:w="2368" w:type="pct"/>
            <w:tcBorders>
              <w:top w:val="nil"/>
              <w:left w:val="single" w:sz="4" w:space="0" w:color="auto"/>
              <w:bottom w:val="single" w:sz="4" w:space="0" w:color="auto"/>
              <w:right w:val="single" w:sz="4" w:space="0" w:color="auto"/>
            </w:tcBorders>
            <w:hideMark/>
          </w:tcPr>
          <w:p w14:paraId="6B0744BA" w14:textId="77777777" w:rsidR="00100093" w:rsidRDefault="00100093" w:rsidP="005D7D3C">
            <w:pPr>
              <w:spacing w:line="360" w:lineRule="auto"/>
              <w:rPr>
                <w:rFonts w:ascii="宋体" w:hAnsi="宋体" w:cs="宋体"/>
                <w:color w:val="000000"/>
                <w:kern w:val="0"/>
              </w:rPr>
            </w:pPr>
            <w:r>
              <w:rPr>
                <w:rFonts w:ascii="宋体" w:hAnsi="宋体" w:cs="宋体"/>
                <w:color w:val="000000"/>
                <w:kern w:val="0"/>
              </w:rPr>
              <w:t>待摊费用</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10E48F48" w14:textId="77777777" w:rsidR="00100093" w:rsidRPr="00683284" w:rsidRDefault="00100093" w:rsidP="005D7D3C">
            <w:pPr>
              <w:spacing w:line="360" w:lineRule="auto"/>
              <w:ind w:left="105"/>
              <w:jc w:val="right"/>
              <w:rPr>
                <w:rFonts w:ascii="宋体" w:hAnsi="宋体" w:cs="宋体"/>
                <w:color w:val="000000"/>
                <w:kern w:val="0"/>
              </w:rPr>
            </w:pPr>
            <w:r w:rsidRPr="00683284">
              <w:rPr>
                <w:rFonts w:ascii="宋体" w:hAnsi="宋体" w:cs="宋体"/>
                <w:color w:val="000000"/>
                <w:kern w:val="0"/>
              </w:rPr>
              <w:t>-</w:t>
            </w:r>
          </w:p>
        </w:tc>
      </w:tr>
      <w:tr w:rsidR="00100093" w14:paraId="22BB544B" w14:textId="77777777" w:rsidTr="005D7D3C">
        <w:trPr>
          <w:trHeight w:val="285"/>
        </w:trPr>
        <w:tc>
          <w:tcPr>
            <w:tcW w:w="438" w:type="pct"/>
            <w:tcBorders>
              <w:top w:val="nil"/>
              <w:left w:val="single" w:sz="4" w:space="0" w:color="auto"/>
              <w:bottom w:val="single" w:sz="4" w:space="0" w:color="auto"/>
              <w:right w:val="single" w:sz="4" w:space="0" w:color="auto"/>
            </w:tcBorders>
            <w:hideMark/>
          </w:tcPr>
          <w:p w14:paraId="20A1CFC5" w14:textId="77777777" w:rsidR="00100093" w:rsidRDefault="00100093" w:rsidP="005D7D3C">
            <w:pPr>
              <w:spacing w:line="360" w:lineRule="auto"/>
              <w:jc w:val="center"/>
              <w:rPr>
                <w:rFonts w:ascii="宋体" w:hAnsi="宋体"/>
                <w:color w:val="000000"/>
              </w:rPr>
            </w:pPr>
            <w:r>
              <w:rPr>
                <w:rFonts w:ascii="宋体" w:hAnsi="宋体" w:hint="eastAsia"/>
                <w:color w:val="000000"/>
              </w:rPr>
              <w:t>8</w:t>
            </w:r>
          </w:p>
        </w:tc>
        <w:tc>
          <w:tcPr>
            <w:tcW w:w="2368" w:type="pct"/>
            <w:tcBorders>
              <w:top w:val="nil"/>
              <w:left w:val="single" w:sz="4" w:space="0" w:color="auto"/>
              <w:bottom w:val="single" w:sz="4" w:space="0" w:color="auto"/>
              <w:right w:val="single" w:sz="4" w:space="0" w:color="auto"/>
            </w:tcBorders>
            <w:hideMark/>
          </w:tcPr>
          <w:p w14:paraId="7AAC6C30" w14:textId="77777777" w:rsidR="00100093" w:rsidRDefault="00100093" w:rsidP="005D7D3C">
            <w:pPr>
              <w:spacing w:line="360" w:lineRule="auto"/>
              <w:rPr>
                <w:rFonts w:ascii="宋体" w:hAnsi="宋体"/>
                <w:color w:val="000000"/>
              </w:rPr>
            </w:pPr>
            <w:r>
              <w:rPr>
                <w:rFonts w:ascii="宋体" w:hAnsi="宋体" w:hint="eastAsia"/>
                <w:color w:val="000000"/>
              </w:rPr>
              <w:t>其他</w:t>
            </w:r>
          </w:p>
        </w:tc>
        <w:tc>
          <w:tcPr>
            <w:tcW w:w="2194" w:type="pct"/>
            <w:tcBorders>
              <w:top w:val="nil"/>
              <w:left w:val="nil"/>
              <w:bottom w:val="single" w:sz="4" w:space="0" w:color="auto"/>
              <w:right w:val="single" w:sz="4" w:space="0" w:color="auto"/>
            </w:tcBorders>
            <w:tcMar>
              <w:top w:w="15" w:type="dxa"/>
              <w:left w:w="15" w:type="dxa"/>
              <w:bottom w:w="0" w:type="dxa"/>
              <w:right w:w="15" w:type="dxa"/>
            </w:tcMar>
            <w:hideMark/>
          </w:tcPr>
          <w:p w14:paraId="43BF7369" w14:textId="77777777" w:rsidR="00100093" w:rsidRPr="00683284" w:rsidRDefault="00100093" w:rsidP="005D7D3C">
            <w:pPr>
              <w:spacing w:line="360" w:lineRule="auto"/>
              <w:ind w:left="105"/>
              <w:jc w:val="right"/>
              <w:rPr>
                <w:rFonts w:ascii="宋体" w:hAnsi="宋体" w:cs="宋体"/>
                <w:color w:val="000000"/>
              </w:rPr>
            </w:pPr>
            <w:r w:rsidRPr="00683284">
              <w:rPr>
                <w:rFonts w:ascii="宋体" w:hAnsi="宋体" w:cs="宋体"/>
                <w:color w:val="000000"/>
              </w:rPr>
              <w:t>-</w:t>
            </w:r>
          </w:p>
        </w:tc>
      </w:tr>
      <w:tr w:rsidR="00100093" w14:paraId="1A5305A2" w14:textId="77777777" w:rsidTr="005D7D3C">
        <w:trPr>
          <w:trHeight w:val="285"/>
        </w:trPr>
        <w:tc>
          <w:tcPr>
            <w:tcW w:w="438" w:type="pct"/>
            <w:tcBorders>
              <w:top w:val="single" w:sz="4" w:space="0" w:color="auto"/>
              <w:left w:val="single" w:sz="4" w:space="0" w:color="auto"/>
              <w:bottom w:val="single" w:sz="4" w:space="0" w:color="auto"/>
              <w:right w:val="single" w:sz="4" w:space="0" w:color="auto"/>
            </w:tcBorders>
            <w:hideMark/>
          </w:tcPr>
          <w:p w14:paraId="079D9039" w14:textId="77777777" w:rsidR="00100093" w:rsidRDefault="00100093" w:rsidP="005D7D3C">
            <w:pPr>
              <w:spacing w:line="360" w:lineRule="auto"/>
              <w:jc w:val="center"/>
              <w:rPr>
                <w:rFonts w:ascii="宋体" w:hAnsi="宋体"/>
                <w:color w:val="000000"/>
              </w:rPr>
            </w:pPr>
            <w:r>
              <w:rPr>
                <w:rFonts w:ascii="宋体" w:hAnsi="宋体" w:hint="eastAsia"/>
                <w:color w:val="000000"/>
              </w:rPr>
              <w:t>9</w:t>
            </w:r>
          </w:p>
        </w:tc>
        <w:tc>
          <w:tcPr>
            <w:tcW w:w="2368" w:type="pct"/>
            <w:tcBorders>
              <w:top w:val="single" w:sz="4" w:space="0" w:color="auto"/>
              <w:left w:val="single" w:sz="4" w:space="0" w:color="auto"/>
              <w:bottom w:val="single" w:sz="4" w:space="0" w:color="auto"/>
              <w:right w:val="single" w:sz="4" w:space="0" w:color="auto"/>
            </w:tcBorders>
            <w:hideMark/>
          </w:tcPr>
          <w:p w14:paraId="42B29F6B" w14:textId="77777777" w:rsidR="00100093" w:rsidRDefault="00100093" w:rsidP="005D7D3C">
            <w:pPr>
              <w:spacing w:line="360" w:lineRule="auto"/>
              <w:rPr>
                <w:rFonts w:ascii="宋体" w:hAnsi="宋体"/>
                <w:color w:val="000000"/>
              </w:rPr>
            </w:pPr>
            <w:r>
              <w:rPr>
                <w:rFonts w:ascii="宋体" w:hAnsi="宋体" w:hint="eastAsia"/>
                <w:color w:val="000000"/>
              </w:rPr>
              <w:t>合计</w:t>
            </w:r>
          </w:p>
        </w:tc>
        <w:tc>
          <w:tcPr>
            <w:tcW w:w="2194" w:type="pct"/>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599A9500" w14:textId="77777777" w:rsidR="00100093" w:rsidRDefault="00100093" w:rsidP="005D7D3C">
            <w:pPr>
              <w:spacing w:line="360" w:lineRule="auto"/>
              <w:jc w:val="right"/>
              <w:rPr>
                <w:rFonts w:ascii="宋体" w:hAnsi="宋体" w:cs="宋体"/>
                <w:color w:val="000000" w:themeColor="text1"/>
                <w:kern w:val="0"/>
              </w:rPr>
            </w:pPr>
            <w:r>
              <w:rPr>
                <w:rFonts w:ascii="宋体" w:hAnsi="宋体" w:cs="宋体"/>
                <w:color w:val="000000"/>
                <w:kern w:val="0"/>
              </w:rPr>
              <w:t>141,100.12</w:t>
            </w:r>
          </w:p>
        </w:tc>
      </w:tr>
    </w:tbl>
    <w:p w14:paraId="7E0BC927" w14:textId="77777777" w:rsidR="00100093" w:rsidRDefault="00100093" w:rsidP="00100093">
      <w:pPr>
        <w:spacing w:line="360" w:lineRule="auto"/>
        <w:rPr>
          <w:rFonts w:ascii="宋体" w:hAnsi="宋体" w:cs="宋体"/>
          <w:color w:val="000000"/>
          <w:szCs w:val="24"/>
        </w:rPr>
      </w:pPr>
    </w:p>
    <w:p w14:paraId="2530CAF1" w14:textId="77777777" w:rsidR="00100093" w:rsidRDefault="00100093" w:rsidP="00100093"/>
    <w:p w14:paraId="5BE63712" w14:textId="77777777" w:rsidR="00100093" w:rsidRPr="00AD6576" w:rsidRDefault="00100093" w:rsidP="00100093">
      <w:pPr>
        <w:spacing w:line="360" w:lineRule="auto"/>
        <w:jc w:val="left"/>
        <w:rPr>
          <w:rFonts w:ascii="宋体" w:hAnsi="宋体"/>
          <w:b/>
          <w:sz w:val="24"/>
        </w:rPr>
      </w:pPr>
      <w:r>
        <w:rPr>
          <w:rFonts w:ascii="宋体" w:hAnsi="宋体" w:cs="宋体"/>
          <w:b/>
          <w:color w:val="000000"/>
          <w:sz w:val="24"/>
          <w:szCs w:val="24"/>
        </w:rPr>
        <w:t>1</w:t>
      </w:r>
      <w:r>
        <w:rPr>
          <w:rFonts w:ascii="宋体" w:hAnsi="宋体" w:cs="宋体" w:hint="eastAsia"/>
          <w:b/>
          <w:color w:val="000000"/>
          <w:sz w:val="24"/>
          <w:szCs w:val="24"/>
        </w:rPr>
        <w:t>.10.4</w:t>
      </w:r>
      <w:r>
        <w:rPr>
          <w:rFonts w:ascii="宋体" w:hAnsi="宋体" w:hint="eastAsia"/>
          <w:b/>
          <w:sz w:val="24"/>
          <w:szCs w:val="24"/>
        </w:rPr>
        <w:t>报告</w:t>
      </w:r>
      <w:r w:rsidRPr="00AD6576">
        <w:rPr>
          <w:rFonts w:ascii="宋体" w:hAnsi="宋体" w:hint="eastAsia"/>
          <w:b/>
          <w:sz w:val="24"/>
        </w:rPr>
        <w:t>期末持有的处于转股期的可转换债券明细</w:t>
      </w:r>
    </w:p>
    <w:p w14:paraId="29DB9E3C" w14:textId="77777777" w:rsidR="00100093" w:rsidRDefault="00100093" w:rsidP="00100093">
      <w:pPr>
        <w:spacing w:line="360" w:lineRule="auto"/>
        <w:rPr>
          <w:rFonts w:ascii="宋体" w:hAnsi="宋体" w:cs="宋体"/>
          <w:color w:val="000000"/>
          <w:szCs w:val="24"/>
        </w:rPr>
      </w:pPr>
      <w:r w:rsidRPr="000778C8">
        <w:rPr>
          <w:rFonts w:ascii="宋体" w:hAnsi="宋体" w:cs="宋体"/>
          <w:color w:val="000000"/>
          <w:szCs w:val="24"/>
        </w:rPr>
        <w:t>注:本基金本报告期末未持有处于转股期的可转换债券。</w:t>
      </w:r>
    </w:p>
    <w:p w14:paraId="69521E77" w14:textId="77777777" w:rsidR="00100093" w:rsidRDefault="00100093" w:rsidP="00100093">
      <w:pPr>
        <w:spacing w:line="360" w:lineRule="auto"/>
        <w:jc w:val="left"/>
        <w:rPr>
          <w:rFonts w:ascii="宋体" w:hAnsi="宋体"/>
          <w:b/>
          <w:sz w:val="24"/>
        </w:rPr>
      </w:pPr>
      <w:r>
        <w:rPr>
          <w:rFonts w:ascii="宋体" w:hAnsi="宋体" w:cs="宋体"/>
          <w:b/>
          <w:color w:val="000000"/>
          <w:sz w:val="24"/>
          <w:szCs w:val="24"/>
        </w:rPr>
        <w:t>1.10.5</w:t>
      </w:r>
      <w:r>
        <w:rPr>
          <w:rFonts w:ascii="宋体" w:hAnsi="宋体"/>
          <w:b/>
          <w:sz w:val="24"/>
          <w:szCs w:val="24"/>
        </w:rPr>
        <w:t>报告</w:t>
      </w:r>
      <w:r>
        <w:rPr>
          <w:rFonts w:ascii="宋体" w:hAnsi="宋体" w:hint="eastAsia"/>
          <w:b/>
          <w:sz w:val="24"/>
        </w:rPr>
        <w:t>期末前十名股票中存在流通受限情况的说明</w:t>
      </w:r>
    </w:p>
    <w:p w14:paraId="0E679DB1" w14:textId="77777777" w:rsidR="00100093" w:rsidRDefault="00100093" w:rsidP="00100093">
      <w:pPr>
        <w:spacing w:line="360" w:lineRule="auto"/>
        <w:rPr>
          <w:rFonts w:ascii="宋体" w:hAnsi="宋体" w:cs="宋体"/>
          <w:color w:val="000000"/>
          <w:szCs w:val="24"/>
        </w:rPr>
      </w:pPr>
      <w:r w:rsidRPr="004359A0">
        <w:rPr>
          <w:rFonts w:ascii="宋体" w:hAnsi="宋体" w:cs="宋体"/>
          <w:color w:val="000000"/>
          <w:szCs w:val="24"/>
        </w:rPr>
        <w:t>注：本基金本报告期末未持有股票。</w:t>
      </w:r>
    </w:p>
    <w:p w14:paraId="38193657" w14:textId="77777777" w:rsidR="00584EAA" w:rsidRDefault="00584EAA">
      <w:pPr>
        <w:spacing w:line="360" w:lineRule="auto"/>
        <w:ind w:firstLineChars="200" w:firstLine="480"/>
        <w:rPr>
          <w:rFonts w:hAnsi="宋体"/>
          <w:sz w:val="24"/>
        </w:rPr>
      </w:pPr>
    </w:p>
    <w:p w14:paraId="3A46736F" w14:textId="77777777" w:rsidR="0037652E" w:rsidRDefault="0037652E">
      <w:pPr>
        <w:spacing w:line="360" w:lineRule="auto"/>
        <w:rPr>
          <w:rFonts w:asciiTheme="minorEastAsia" w:eastAsiaTheme="minorEastAsia" w:hAnsiTheme="minorEastAsia"/>
          <w:color w:val="000000"/>
          <w:szCs w:val="21"/>
        </w:rPr>
        <w:sectPr w:rsidR="0037652E">
          <w:type w:val="continuous"/>
          <w:pgSz w:w="11906" w:h="16838"/>
          <w:pgMar w:top="1440" w:right="1800" w:bottom="1440" w:left="1800" w:header="851" w:footer="992" w:gutter="0"/>
          <w:cols w:space="425"/>
          <w:docGrid w:type="lines" w:linePitch="312"/>
        </w:sectPr>
      </w:pPr>
    </w:p>
    <w:p w14:paraId="3BC73C45" w14:textId="77777777" w:rsidR="0037652E" w:rsidRDefault="00BF49B0">
      <w:pPr>
        <w:spacing w:line="360" w:lineRule="auto"/>
        <w:jc w:val="center"/>
        <w:outlineLvl w:val="0"/>
        <w:rPr>
          <w:rFonts w:ascii="宋体" w:hAnsi="宋体"/>
          <w:b/>
          <w:sz w:val="24"/>
          <w:szCs w:val="24"/>
        </w:rPr>
      </w:pPr>
      <w:bookmarkStart w:id="36" w:name="_Toc438654092"/>
      <w:bookmarkStart w:id="37" w:name="_Toc445826346"/>
      <w:bookmarkStart w:id="38" w:name="m504_tab"/>
      <w:bookmarkStart w:id="39" w:name="_Toc438654094"/>
      <w:bookmarkStart w:id="40" w:name="_Toc445826351"/>
      <w:bookmarkStart w:id="41" w:name="_Toc2596"/>
      <w:bookmarkStart w:id="42" w:name="_Toc65325112"/>
      <w:bookmarkStart w:id="43" w:name="_Toc7024"/>
      <w:bookmarkStart w:id="44" w:name="_Toc110606846"/>
      <w:bookmarkEnd w:id="36"/>
      <w:bookmarkEnd w:id="37"/>
      <w:bookmarkEnd w:id="38"/>
      <w:bookmarkEnd w:id="39"/>
      <w:bookmarkEnd w:id="40"/>
      <w:r>
        <w:rPr>
          <w:rFonts w:ascii="宋体" w:hAnsi="宋体" w:hint="eastAsia"/>
          <w:b/>
          <w:sz w:val="24"/>
          <w:szCs w:val="24"/>
        </w:rPr>
        <w:lastRenderedPageBreak/>
        <w:t>第五部分 基金的业绩</w:t>
      </w:r>
      <w:bookmarkEnd w:id="41"/>
      <w:bookmarkEnd w:id="42"/>
      <w:bookmarkEnd w:id="43"/>
      <w:bookmarkEnd w:id="44"/>
    </w:p>
    <w:p w14:paraId="655FFFD3" w14:textId="77777777" w:rsidR="0037652E" w:rsidRDefault="00BF49B0">
      <w:pPr>
        <w:spacing w:line="440" w:lineRule="exact"/>
        <w:ind w:firstLineChars="200" w:firstLine="480"/>
        <w:rPr>
          <w:rFonts w:ascii="宋体" w:hAnsi="宋体"/>
          <w:sz w:val="24"/>
        </w:rPr>
      </w:pPr>
      <w:r>
        <w:rPr>
          <w:rFonts w:ascii="宋体" w:hAnsi="宋体" w:hint="eastAsia"/>
          <w:sz w:val="24"/>
        </w:rPr>
        <w:t>本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r>
        <w:rPr>
          <w:rFonts w:ascii="宋体" w:hAnsi="宋体"/>
          <w:sz w:val="24"/>
        </w:rPr>
        <w:t xml:space="preserve"> </w:t>
      </w:r>
    </w:p>
    <w:p w14:paraId="2EE63CE9" w14:textId="77777777" w:rsidR="0037652E" w:rsidRDefault="00BF49B0">
      <w:pPr>
        <w:spacing w:line="440" w:lineRule="exact"/>
        <w:ind w:firstLineChars="200" w:firstLine="480"/>
        <w:rPr>
          <w:rFonts w:ascii="宋体" w:hAnsi="宋体"/>
          <w:sz w:val="24"/>
        </w:rPr>
      </w:pPr>
      <w:r>
        <w:rPr>
          <w:rFonts w:ascii="宋体" w:hAnsi="宋体" w:hint="eastAsia"/>
          <w:sz w:val="24"/>
        </w:rPr>
        <w:t>1、本基金份额净值增长率与同期业绩比较基准收益率比较表：</w:t>
      </w:r>
    </w:p>
    <w:tbl>
      <w:tblPr>
        <w:tblW w:w="10160" w:type="dxa"/>
        <w:jc w:val="center"/>
        <w:tblLayout w:type="fixed"/>
        <w:tblCellMar>
          <w:left w:w="0" w:type="dxa"/>
          <w:right w:w="0" w:type="dxa"/>
        </w:tblCellMar>
        <w:tblLook w:val="04A0" w:firstRow="1" w:lastRow="0" w:firstColumn="1" w:lastColumn="0" w:noHBand="0" w:noVBand="1"/>
      </w:tblPr>
      <w:tblGrid>
        <w:gridCol w:w="2127"/>
        <w:gridCol w:w="1338"/>
        <w:gridCol w:w="1339"/>
        <w:gridCol w:w="1339"/>
        <w:gridCol w:w="1339"/>
        <w:gridCol w:w="1339"/>
        <w:gridCol w:w="1339"/>
      </w:tblGrid>
      <w:tr w:rsidR="0037652E" w14:paraId="569AB87F" w14:textId="77777777" w:rsidTr="002F3E8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B88C4" w14:textId="77777777" w:rsidR="0037652E" w:rsidRDefault="00BF49B0">
            <w:pPr>
              <w:widowControl/>
              <w:spacing w:line="360" w:lineRule="auto"/>
              <w:jc w:val="center"/>
              <w:rPr>
                <w:sz w:val="24"/>
                <w:szCs w:val="24"/>
              </w:rPr>
            </w:pPr>
            <w:r>
              <w:rPr>
                <w:rFonts w:hAnsi="宋体"/>
                <w:sz w:val="24"/>
                <w:szCs w:val="24"/>
              </w:rPr>
              <w:t>阶段</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227AA40B" w14:textId="77777777" w:rsidR="0037652E" w:rsidRDefault="00BF49B0">
            <w:pPr>
              <w:widowControl/>
              <w:spacing w:line="360" w:lineRule="auto"/>
              <w:jc w:val="center"/>
              <w:rPr>
                <w:sz w:val="24"/>
                <w:szCs w:val="24"/>
              </w:rPr>
            </w:pPr>
            <w:r>
              <w:rPr>
                <w:rFonts w:hAnsi="宋体"/>
                <w:sz w:val="24"/>
                <w:szCs w:val="24"/>
              </w:rPr>
              <w:t>净值增长率（</w:t>
            </w:r>
            <w:r>
              <w:rPr>
                <w:sz w:val="24"/>
                <w:szCs w:val="24"/>
              </w:rPr>
              <w:t>1</w:t>
            </w:r>
            <w:r>
              <w:rPr>
                <w:rFonts w:hAnsi="宋体"/>
                <w:sz w:val="24"/>
                <w:szCs w:val="24"/>
              </w:rPr>
              <w:t>）</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55F3EF7E" w14:textId="77777777" w:rsidR="0037652E" w:rsidRDefault="00BF49B0">
            <w:pPr>
              <w:widowControl/>
              <w:spacing w:line="360" w:lineRule="auto"/>
              <w:jc w:val="center"/>
              <w:rPr>
                <w:sz w:val="24"/>
                <w:szCs w:val="24"/>
              </w:rPr>
            </w:pPr>
            <w:r>
              <w:rPr>
                <w:rFonts w:hAnsi="宋体"/>
                <w:sz w:val="24"/>
                <w:szCs w:val="24"/>
              </w:rPr>
              <w:t>净值增长率标准差（</w:t>
            </w:r>
            <w:r>
              <w:rPr>
                <w:sz w:val="24"/>
                <w:szCs w:val="24"/>
              </w:rPr>
              <w:t>2</w:t>
            </w:r>
            <w:r>
              <w:rPr>
                <w:rFonts w:hAnsi="宋体"/>
                <w:sz w:val="24"/>
                <w:szCs w:val="24"/>
              </w:rPr>
              <w:t>）</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0A37A924" w14:textId="77777777" w:rsidR="0037652E" w:rsidRDefault="00BF49B0">
            <w:pPr>
              <w:widowControl/>
              <w:spacing w:line="360" w:lineRule="auto"/>
              <w:jc w:val="center"/>
              <w:rPr>
                <w:sz w:val="24"/>
                <w:szCs w:val="24"/>
              </w:rPr>
            </w:pPr>
            <w:r>
              <w:rPr>
                <w:rFonts w:hAnsi="宋体"/>
                <w:sz w:val="24"/>
                <w:szCs w:val="24"/>
              </w:rPr>
              <w:t>业绩比较基准收益率（</w:t>
            </w:r>
            <w:r>
              <w:rPr>
                <w:sz w:val="24"/>
                <w:szCs w:val="24"/>
              </w:rPr>
              <w:t>3</w:t>
            </w:r>
            <w:r>
              <w:rPr>
                <w:rFonts w:hAnsi="宋体"/>
                <w:sz w:val="24"/>
                <w:szCs w:val="24"/>
              </w:rPr>
              <w:t>）</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146080EE" w14:textId="77777777" w:rsidR="0037652E" w:rsidRDefault="00BF49B0">
            <w:pPr>
              <w:widowControl/>
              <w:spacing w:line="360" w:lineRule="auto"/>
              <w:jc w:val="center"/>
              <w:rPr>
                <w:sz w:val="24"/>
                <w:szCs w:val="24"/>
              </w:rPr>
            </w:pPr>
            <w:r>
              <w:rPr>
                <w:rFonts w:hAnsi="宋体"/>
                <w:sz w:val="24"/>
                <w:szCs w:val="24"/>
              </w:rPr>
              <w:t>业绩比较基准收益率标准差（</w:t>
            </w:r>
            <w:r>
              <w:rPr>
                <w:sz w:val="24"/>
                <w:szCs w:val="24"/>
              </w:rPr>
              <w:t>4</w:t>
            </w:r>
            <w:r>
              <w:rPr>
                <w:rFonts w:hAnsi="宋体"/>
                <w:sz w:val="24"/>
                <w:szCs w:val="24"/>
              </w:rPr>
              <w:t>）</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553EDC70" w14:textId="77777777" w:rsidR="0037652E" w:rsidRDefault="00BF49B0">
            <w:pPr>
              <w:widowControl/>
              <w:spacing w:line="360" w:lineRule="auto"/>
              <w:jc w:val="center"/>
              <w:rPr>
                <w:sz w:val="24"/>
                <w:szCs w:val="24"/>
              </w:rPr>
            </w:pPr>
            <w:r>
              <w:rPr>
                <w:sz w:val="24"/>
                <w:szCs w:val="24"/>
              </w:rPr>
              <w:t>(1)</w:t>
            </w:r>
            <w:r>
              <w:rPr>
                <w:sz w:val="24"/>
                <w:szCs w:val="24"/>
              </w:rPr>
              <w:t>－</w:t>
            </w:r>
            <w:r>
              <w:rPr>
                <w:sz w:val="24"/>
                <w:szCs w:val="24"/>
              </w:rPr>
              <w:t>(3)</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679B9472" w14:textId="77777777" w:rsidR="0037652E" w:rsidRDefault="00BF49B0">
            <w:pPr>
              <w:widowControl/>
              <w:spacing w:line="360" w:lineRule="auto"/>
              <w:jc w:val="center"/>
              <w:rPr>
                <w:sz w:val="24"/>
                <w:szCs w:val="24"/>
              </w:rPr>
            </w:pPr>
            <w:r>
              <w:rPr>
                <w:sz w:val="24"/>
                <w:szCs w:val="24"/>
              </w:rPr>
              <w:t>(2)</w:t>
            </w:r>
            <w:r>
              <w:rPr>
                <w:sz w:val="24"/>
                <w:szCs w:val="24"/>
              </w:rPr>
              <w:t>－</w:t>
            </w:r>
            <w:r>
              <w:rPr>
                <w:sz w:val="24"/>
                <w:szCs w:val="24"/>
              </w:rPr>
              <w:t>(4)</w:t>
            </w:r>
          </w:p>
        </w:tc>
      </w:tr>
      <w:tr w:rsidR="0037652E" w14:paraId="46942E27" w14:textId="77777777" w:rsidTr="002F3E8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4CD3C" w14:textId="77777777" w:rsidR="0037652E" w:rsidRDefault="00BF49B0">
            <w:pPr>
              <w:widowControl/>
              <w:rPr>
                <w:rFonts w:ascii="宋体" w:hAnsi="宋体"/>
                <w:sz w:val="24"/>
              </w:rPr>
            </w:pPr>
            <w:r>
              <w:rPr>
                <w:rFonts w:ascii="宋体" w:hAnsi="宋体" w:hint="eastAsia"/>
                <w:sz w:val="24"/>
              </w:rPr>
              <w:t>2011年8月31日（基金合同生效日）至2011年12月31日</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35623C42"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-14.00%</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14AE7211"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1.02%</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035AB199"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-17.21%</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495BEFA2"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1.70%</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6704E467"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3.21%</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41BB395B"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-0.68%</w:t>
            </w:r>
          </w:p>
        </w:tc>
      </w:tr>
      <w:tr w:rsidR="0037652E" w14:paraId="4C29542E" w14:textId="77777777" w:rsidTr="002F3E8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B5CB1" w14:textId="77777777" w:rsidR="0037652E" w:rsidRDefault="00BF49B0">
            <w:pPr>
              <w:widowControl/>
              <w:rPr>
                <w:rFonts w:ascii="宋体" w:hAnsi="宋体"/>
                <w:sz w:val="24"/>
              </w:rPr>
            </w:pPr>
            <w:r>
              <w:rPr>
                <w:rFonts w:ascii="宋体" w:hAnsi="宋体" w:hint="eastAsia"/>
                <w:sz w:val="24"/>
              </w:rPr>
              <w:t>2012年1月1日至2012年12月31日</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57DFD9ED"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4.53%</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41B83AF4"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0.87%</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53BA8505"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8.00%</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358DFD9D"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1.05%</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23473FFC"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-3.47%</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7F6E791D"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-0.18%</w:t>
            </w:r>
          </w:p>
        </w:tc>
      </w:tr>
      <w:tr w:rsidR="0037652E" w14:paraId="7FDC69B6" w14:textId="77777777" w:rsidTr="002F3E8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F5248" w14:textId="77777777" w:rsidR="0037652E" w:rsidRDefault="00BF49B0">
            <w:pPr>
              <w:widowControl/>
              <w:rPr>
                <w:rFonts w:ascii="宋体" w:hAnsi="宋体"/>
                <w:sz w:val="24"/>
              </w:rPr>
            </w:pPr>
            <w:r>
              <w:rPr>
                <w:rFonts w:ascii="宋体" w:hAnsi="宋体" w:hint="eastAsia"/>
                <w:sz w:val="24"/>
              </w:rPr>
              <w:t>2013年1月1日至2013年12月31日</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5D5491BC"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-29.48%</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1067C3A0"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1.25%</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77C87AEF"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-29.51%</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61210A4C"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1.33%</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4B94FFF8"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0.03%</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2E2C9853"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-0.08%</w:t>
            </w:r>
          </w:p>
        </w:tc>
      </w:tr>
      <w:tr w:rsidR="0037652E" w14:paraId="7C97CF2E" w14:textId="77777777" w:rsidTr="002F3E8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068D9" w14:textId="77777777" w:rsidR="0037652E" w:rsidRDefault="00BF49B0">
            <w:pPr>
              <w:widowControl/>
              <w:rPr>
                <w:rFonts w:ascii="宋体" w:hAnsi="宋体"/>
                <w:sz w:val="24"/>
              </w:rPr>
            </w:pPr>
            <w:r>
              <w:rPr>
                <w:rFonts w:ascii="宋体" w:hAnsi="宋体" w:hint="eastAsia"/>
                <w:sz w:val="24"/>
              </w:rPr>
              <w:t>2014年1月1日至2014年12月31日</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67531EE0"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-4.89%</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7AD4739A"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0.85%</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4363E14B"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0.49%</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69C6C7F2"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0.81%</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09F1769E"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-5.38%</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0F604DDD"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0.04%</w:t>
            </w:r>
          </w:p>
        </w:tc>
      </w:tr>
      <w:tr w:rsidR="0037652E" w14:paraId="0FDE874A" w14:textId="77777777" w:rsidTr="002F3E8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404E1" w14:textId="77777777" w:rsidR="0037652E" w:rsidRDefault="00BF49B0">
            <w:pPr>
              <w:widowControl/>
              <w:rPr>
                <w:rFonts w:ascii="宋体" w:hAnsi="宋体"/>
                <w:sz w:val="24"/>
              </w:rPr>
            </w:pPr>
            <w:r>
              <w:rPr>
                <w:rFonts w:ascii="宋体" w:hAnsi="宋体" w:hint="eastAsia"/>
                <w:sz w:val="24"/>
              </w:rPr>
              <w:t>2015年1月1日至2015年12月31日</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3A6C1E9B"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-14.26%</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60DEE53E"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0.96%</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620D598F"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-6.73%</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35319B37"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0.91%</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4B1C65C5"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-7.53%</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1B7919C6"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0.05%</w:t>
            </w:r>
          </w:p>
        </w:tc>
      </w:tr>
      <w:tr w:rsidR="0037652E" w14:paraId="45FDDD09" w14:textId="77777777" w:rsidTr="002F3E8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EADC" w14:textId="77777777" w:rsidR="0037652E" w:rsidRDefault="00BF49B0">
            <w:pPr>
              <w:widowControl/>
              <w:rPr>
                <w:rFonts w:ascii="宋体" w:hAnsi="宋体"/>
                <w:sz w:val="24"/>
              </w:rPr>
            </w:pPr>
            <w:r>
              <w:rPr>
                <w:rFonts w:ascii="宋体" w:hAnsi="宋体" w:hint="eastAsia"/>
                <w:sz w:val="24"/>
              </w:rPr>
              <w:t>2016年1月1日至2016年12月31日</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7656F6F9"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12.77%</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014DB4BC"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0.94%</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1D1B3098"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15.49%</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3723F5B6"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0.99%</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799618D3"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-2.72%</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0E4346C0"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-0.05%</w:t>
            </w:r>
          </w:p>
        </w:tc>
      </w:tr>
      <w:tr w:rsidR="0037652E" w14:paraId="25A20B66" w14:textId="77777777" w:rsidTr="002F3E8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57F55" w14:textId="77777777" w:rsidR="0037652E" w:rsidRDefault="00BF49B0">
            <w:pPr>
              <w:widowControl/>
              <w:rPr>
                <w:rFonts w:ascii="宋体" w:hAnsi="宋体"/>
                <w:sz w:val="24"/>
              </w:rPr>
            </w:pPr>
            <w:r>
              <w:rPr>
                <w:rFonts w:ascii="宋体" w:hAnsi="宋体" w:hint="eastAsia"/>
                <w:sz w:val="24"/>
              </w:rPr>
              <w:t>2017年1月1日至2017年</w:t>
            </w:r>
            <w:r>
              <w:rPr>
                <w:rFonts w:ascii="宋体" w:hAnsi="宋体"/>
                <w:sz w:val="24"/>
              </w:rPr>
              <w:t>12</w:t>
            </w:r>
            <w:r>
              <w:rPr>
                <w:rFonts w:ascii="宋体" w:hAnsi="宋体" w:hint="eastAsia"/>
                <w:sz w:val="24"/>
              </w:rPr>
              <w:t>月3</w:t>
            </w:r>
            <w:r>
              <w:rPr>
                <w:rFonts w:ascii="宋体" w:hAnsi="宋体"/>
                <w:sz w:val="24"/>
              </w:rPr>
              <w:t>1</w:t>
            </w:r>
            <w:r>
              <w:rPr>
                <w:rFonts w:ascii="宋体" w:hAnsi="宋体" w:hint="eastAsia"/>
                <w:sz w:val="24"/>
              </w:rPr>
              <w:t>日</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2AA48"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4.12%</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1D0B7429"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0.59%</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5B7400DD"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6.12%</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0C52126D"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0.66%</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4399A7E7"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-2.00%</w:t>
            </w:r>
          </w:p>
        </w:tc>
        <w:tc>
          <w:tcPr>
            <w:tcW w:w="1339" w:type="dxa"/>
            <w:tcBorders>
              <w:top w:val="single" w:sz="4" w:space="0" w:color="auto"/>
              <w:left w:val="nil"/>
              <w:bottom w:val="single" w:sz="4" w:space="0" w:color="auto"/>
              <w:right w:val="single" w:sz="8" w:space="0" w:color="auto"/>
            </w:tcBorders>
            <w:shd w:val="clear" w:color="auto" w:fill="auto"/>
            <w:noWrap/>
            <w:vAlign w:val="center"/>
          </w:tcPr>
          <w:p w14:paraId="78CB2D9E"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-0.07%</w:t>
            </w:r>
          </w:p>
        </w:tc>
      </w:tr>
      <w:tr w:rsidR="0037652E" w14:paraId="13BB4755" w14:textId="77777777" w:rsidTr="002F3E8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C0B6A" w14:textId="77777777" w:rsidR="0037652E" w:rsidRDefault="00BF49B0">
            <w:pPr>
              <w:widowControl/>
              <w:rPr>
                <w:rFonts w:ascii="宋体" w:hAnsi="宋体"/>
                <w:sz w:val="24"/>
              </w:rPr>
            </w:pPr>
            <w:r>
              <w:rPr>
                <w:rFonts w:ascii="宋体" w:hAnsi="宋体" w:hint="eastAsia"/>
                <w:sz w:val="24"/>
              </w:rPr>
              <w:t>201</w:t>
            </w:r>
            <w:r>
              <w:rPr>
                <w:rFonts w:ascii="宋体" w:hAnsi="宋体"/>
                <w:sz w:val="24"/>
              </w:rPr>
              <w:t>8</w:t>
            </w:r>
            <w:r>
              <w:rPr>
                <w:rFonts w:ascii="宋体" w:hAnsi="宋体" w:hint="eastAsia"/>
                <w:sz w:val="24"/>
              </w:rPr>
              <w:t>年1月1日至201</w:t>
            </w:r>
            <w:r>
              <w:rPr>
                <w:rFonts w:ascii="宋体" w:hAnsi="宋体"/>
                <w:sz w:val="24"/>
              </w:rPr>
              <w:t>8</w:t>
            </w:r>
            <w:r>
              <w:rPr>
                <w:rFonts w:ascii="宋体" w:hAnsi="宋体" w:hint="eastAsia"/>
                <w:sz w:val="24"/>
              </w:rPr>
              <w:t>年</w:t>
            </w:r>
            <w:r>
              <w:rPr>
                <w:rFonts w:ascii="宋体" w:hAnsi="宋体"/>
                <w:sz w:val="24"/>
              </w:rPr>
              <w:t>12</w:t>
            </w:r>
            <w:r>
              <w:rPr>
                <w:rFonts w:ascii="宋体" w:hAnsi="宋体" w:hint="eastAsia"/>
                <w:sz w:val="24"/>
              </w:rPr>
              <w:t>月3</w:t>
            </w:r>
            <w:r>
              <w:rPr>
                <w:rFonts w:ascii="宋体" w:hAnsi="宋体"/>
                <w:sz w:val="24"/>
              </w:rPr>
              <w:t>1</w:t>
            </w:r>
            <w:r>
              <w:rPr>
                <w:rFonts w:ascii="宋体" w:hAnsi="宋体" w:hint="eastAsia"/>
                <w:sz w:val="24"/>
              </w:rPr>
              <w:t>日</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EC6AA"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0.82%</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11C8237B" w14:textId="77777777" w:rsidR="0037652E" w:rsidRPr="00C66F9B" w:rsidRDefault="00BF49B0" w:rsidP="002F3E80">
            <w:pPr>
              <w:jc w:val="right"/>
              <w:rPr>
                <w:rFonts w:ascii="宋体" w:hAnsi="宋体" w:cs="宋体"/>
                <w:color w:val="000000"/>
              </w:rPr>
            </w:pPr>
            <w:r w:rsidRPr="00C66F9B">
              <w:rPr>
                <w:rFonts w:ascii="宋体" w:hAnsi="宋体" w:cs="宋体"/>
                <w:color w:val="000000"/>
              </w:rPr>
              <w:t>0.61%</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4605D03E" w14:textId="77777777" w:rsidR="0037652E" w:rsidRPr="00C66F9B" w:rsidRDefault="00BF49B0" w:rsidP="002F3E80">
            <w:pPr>
              <w:jc w:val="right"/>
              <w:rPr>
                <w:rFonts w:ascii="宋体" w:hAnsi="宋体" w:cs="宋体"/>
                <w:color w:val="000000"/>
              </w:rPr>
            </w:pPr>
            <w:r w:rsidRPr="00C66F9B">
              <w:rPr>
                <w:rFonts w:ascii="宋体" w:hAnsi="宋体" w:cs="宋体"/>
                <w:color w:val="000000"/>
              </w:rPr>
              <w:t>4.06%</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6812C675" w14:textId="77777777" w:rsidR="0037652E" w:rsidRPr="00C66F9B" w:rsidRDefault="00BF49B0" w:rsidP="002F3E80">
            <w:pPr>
              <w:jc w:val="right"/>
              <w:rPr>
                <w:rFonts w:ascii="宋体" w:hAnsi="宋体" w:cs="宋体"/>
                <w:color w:val="000000"/>
              </w:rPr>
            </w:pPr>
            <w:r w:rsidRPr="00C66F9B">
              <w:rPr>
                <w:rFonts w:ascii="宋体" w:hAnsi="宋体" w:cs="宋体"/>
                <w:color w:val="000000"/>
              </w:rPr>
              <w:t>0.58%</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33545643" w14:textId="77777777" w:rsidR="0037652E" w:rsidRPr="00C66F9B" w:rsidRDefault="00BF49B0" w:rsidP="002F3E80">
            <w:pPr>
              <w:jc w:val="right"/>
              <w:rPr>
                <w:rFonts w:ascii="宋体" w:hAnsi="宋体" w:cs="宋体"/>
                <w:color w:val="000000"/>
              </w:rPr>
            </w:pPr>
            <w:r w:rsidRPr="00C66F9B">
              <w:rPr>
                <w:rFonts w:ascii="宋体" w:hAnsi="宋体" w:cs="宋体"/>
                <w:color w:val="000000"/>
              </w:rPr>
              <w:t>-3.24%</w:t>
            </w:r>
          </w:p>
        </w:tc>
        <w:tc>
          <w:tcPr>
            <w:tcW w:w="1339" w:type="dxa"/>
            <w:tcBorders>
              <w:top w:val="single" w:sz="4" w:space="0" w:color="auto"/>
              <w:left w:val="nil"/>
              <w:bottom w:val="single" w:sz="4" w:space="0" w:color="auto"/>
              <w:right w:val="single" w:sz="8" w:space="0" w:color="auto"/>
            </w:tcBorders>
            <w:shd w:val="clear" w:color="auto" w:fill="auto"/>
            <w:noWrap/>
            <w:vAlign w:val="center"/>
          </w:tcPr>
          <w:p w14:paraId="457E276D" w14:textId="77777777" w:rsidR="0037652E" w:rsidRPr="00C66F9B" w:rsidRDefault="00BF49B0" w:rsidP="002F3E80">
            <w:pPr>
              <w:jc w:val="right"/>
              <w:rPr>
                <w:rFonts w:ascii="宋体" w:hAnsi="宋体" w:cs="宋体"/>
                <w:color w:val="000000"/>
              </w:rPr>
            </w:pPr>
            <w:r w:rsidRPr="00C66F9B">
              <w:rPr>
                <w:rFonts w:ascii="宋体" w:hAnsi="宋体" w:cs="宋体"/>
                <w:color w:val="000000"/>
              </w:rPr>
              <w:t>0.03%</w:t>
            </w:r>
          </w:p>
        </w:tc>
      </w:tr>
      <w:tr w:rsidR="0037652E" w14:paraId="2E352CCA" w14:textId="77777777" w:rsidTr="002F3E8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C4D57" w14:textId="77777777" w:rsidR="0037652E" w:rsidRDefault="00BF49B0">
            <w:pPr>
              <w:widowControl/>
              <w:rPr>
                <w:rFonts w:ascii="宋体" w:hAnsi="宋体"/>
                <w:sz w:val="24"/>
              </w:rPr>
            </w:pPr>
            <w:r>
              <w:rPr>
                <w:rFonts w:ascii="宋体" w:hAnsi="宋体" w:hint="eastAsia"/>
                <w:sz w:val="24"/>
              </w:rPr>
              <w:t>201</w:t>
            </w:r>
            <w:r>
              <w:rPr>
                <w:rFonts w:ascii="宋体" w:hAnsi="宋体"/>
                <w:sz w:val="24"/>
              </w:rPr>
              <w:t>9</w:t>
            </w:r>
            <w:r>
              <w:rPr>
                <w:rFonts w:ascii="宋体" w:hAnsi="宋体" w:hint="eastAsia"/>
                <w:sz w:val="24"/>
              </w:rPr>
              <w:t>年1月1日至201</w:t>
            </w:r>
            <w:r>
              <w:rPr>
                <w:rFonts w:ascii="宋体" w:hAnsi="宋体"/>
                <w:sz w:val="24"/>
              </w:rPr>
              <w:t>9</w:t>
            </w:r>
            <w:r>
              <w:rPr>
                <w:rFonts w:ascii="宋体" w:hAnsi="宋体" w:hint="eastAsia"/>
                <w:sz w:val="24"/>
              </w:rPr>
              <w:t>年</w:t>
            </w:r>
            <w:r>
              <w:rPr>
                <w:rFonts w:ascii="宋体" w:hAnsi="宋体"/>
                <w:sz w:val="24"/>
              </w:rPr>
              <w:t>12</w:t>
            </w:r>
            <w:r>
              <w:rPr>
                <w:rFonts w:ascii="宋体" w:hAnsi="宋体" w:hint="eastAsia"/>
                <w:sz w:val="24"/>
              </w:rPr>
              <w:t>月3</w:t>
            </w:r>
            <w:r>
              <w:rPr>
                <w:rFonts w:ascii="宋体" w:hAnsi="宋体"/>
                <w:sz w:val="24"/>
              </w:rPr>
              <w:t>1</w:t>
            </w:r>
            <w:r>
              <w:rPr>
                <w:rFonts w:ascii="宋体" w:hAnsi="宋体" w:hint="eastAsia"/>
                <w:sz w:val="24"/>
              </w:rPr>
              <w:t>日</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FC4B0"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16.83%</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18C99C16" w14:textId="77777777" w:rsidR="0037652E" w:rsidRPr="00C66F9B" w:rsidRDefault="00BF49B0" w:rsidP="002F3E80">
            <w:pPr>
              <w:jc w:val="right"/>
              <w:rPr>
                <w:rFonts w:ascii="宋体" w:hAnsi="宋体" w:cs="宋体"/>
                <w:color w:val="000000"/>
              </w:rPr>
            </w:pPr>
            <w:r w:rsidRPr="00C66F9B">
              <w:rPr>
                <w:rFonts w:ascii="宋体" w:hAnsi="宋体" w:cs="宋体"/>
                <w:color w:val="000000"/>
              </w:rPr>
              <w:t>0.67%</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0975AD1F" w14:textId="77777777" w:rsidR="0037652E" w:rsidRPr="00C66F9B" w:rsidRDefault="00BF49B0" w:rsidP="002F3E80">
            <w:pPr>
              <w:jc w:val="right"/>
              <w:rPr>
                <w:rFonts w:ascii="宋体" w:hAnsi="宋体" w:cs="宋体"/>
                <w:color w:val="000000"/>
              </w:rPr>
            </w:pPr>
            <w:r w:rsidRPr="00C66F9B">
              <w:rPr>
                <w:rFonts w:ascii="宋体" w:hAnsi="宋体" w:cs="宋体"/>
                <w:color w:val="000000"/>
              </w:rPr>
              <w:t>20.46%</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027F296D" w14:textId="77777777" w:rsidR="0037652E" w:rsidRPr="00C66F9B" w:rsidRDefault="00BF49B0" w:rsidP="002F3E80">
            <w:pPr>
              <w:jc w:val="right"/>
              <w:rPr>
                <w:rFonts w:ascii="宋体" w:hAnsi="宋体" w:cs="宋体"/>
                <w:color w:val="000000"/>
              </w:rPr>
            </w:pPr>
            <w:r w:rsidRPr="00C66F9B">
              <w:rPr>
                <w:rFonts w:ascii="宋体" w:hAnsi="宋体" w:cs="宋体"/>
                <w:color w:val="000000"/>
              </w:rPr>
              <w:t>0.74%</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6364DFAF" w14:textId="77777777" w:rsidR="0037652E" w:rsidRPr="00C66F9B" w:rsidRDefault="00BF49B0" w:rsidP="002F3E80">
            <w:pPr>
              <w:jc w:val="right"/>
              <w:rPr>
                <w:rFonts w:ascii="宋体" w:hAnsi="宋体" w:cs="宋体"/>
                <w:color w:val="000000"/>
              </w:rPr>
            </w:pPr>
            <w:r w:rsidRPr="00C66F9B">
              <w:rPr>
                <w:rFonts w:ascii="宋体" w:hAnsi="宋体" w:cs="宋体"/>
                <w:color w:val="000000"/>
              </w:rPr>
              <w:t>-3.63%</w:t>
            </w:r>
          </w:p>
        </w:tc>
        <w:tc>
          <w:tcPr>
            <w:tcW w:w="1339" w:type="dxa"/>
            <w:tcBorders>
              <w:top w:val="single" w:sz="4" w:space="0" w:color="auto"/>
              <w:left w:val="nil"/>
              <w:bottom w:val="single" w:sz="4" w:space="0" w:color="auto"/>
              <w:right w:val="single" w:sz="8" w:space="0" w:color="auto"/>
            </w:tcBorders>
            <w:shd w:val="clear" w:color="auto" w:fill="auto"/>
            <w:noWrap/>
            <w:vAlign w:val="center"/>
          </w:tcPr>
          <w:p w14:paraId="2FE63969" w14:textId="77777777" w:rsidR="0037652E" w:rsidRPr="00C66F9B" w:rsidRDefault="00BF49B0" w:rsidP="002F3E80">
            <w:pPr>
              <w:jc w:val="right"/>
              <w:rPr>
                <w:rFonts w:ascii="宋体" w:hAnsi="宋体" w:cs="宋体"/>
                <w:color w:val="000000"/>
              </w:rPr>
            </w:pPr>
            <w:r w:rsidRPr="00C66F9B">
              <w:rPr>
                <w:rFonts w:ascii="宋体" w:hAnsi="宋体" w:cs="宋体"/>
                <w:color w:val="000000"/>
              </w:rPr>
              <w:t>-0.07%</w:t>
            </w:r>
          </w:p>
        </w:tc>
      </w:tr>
      <w:tr w:rsidR="0037652E" w14:paraId="3031CC76" w14:textId="77777777" w:rsidTr="002F3E8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40B56" w14:textId="77777777" w:rsidR="0037652E" w:rsidRDefault="00BF49B0">
            <w:pPr>
              <w:widowControl/>
              <w:rPr>
                <w:rFonts w:ascii="宋体" w:hAnsi="宋体"/>
                <w:sz w:val="24"/>
              </w:rPr>
            </w:pPr>
            <w:r>
              <w:rPr>
                <w:rFonts w:ascii="宋体" w:hAnsi="宋体" w:hint="eastAsia"/>
                <w:sz w:val="24"/>
              </w:rPr>
              <w:t>2020年1月1日至2020年</w:t>
            </w:r>
            <w:r>
              <w:rPr>
                <w:rFonts w:ascii="宋体" w:hAnsi="宋体"/>
                <w:sz w:val="24"/>
              </w:rPr>
              <w:t>12</w:t>
            </w:r>
            <w:r>
              <w:rPr>
                <w:rFonts w:ascii="宋体" w:hAnsi="宋体" w:hint="eastAsia"/>
                <w:sz w:val="24"/>
              </w:rPr>
              <w:t>月3</w:t>
            </w:r>
            <w:r>
              <w:rPr>
                <w:rFonts w:ascii="宋体" w:hAnsi="宋体"/>
                <w:sz w:val="24"/>
              </w:rPr>
              <w:t>1</w:t>
            </w:r>
            <w:r>
              <w:rPr>
                <w:rFonts w:ascii="宋体" w:hAnsi="宋体" w:hint="eastAsia"/>
                <w:sz w:val="24"/>
              </w:rPr>
              <w:t>日</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3C6CC"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14.55%</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4C5E50CF"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1.12%</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594EE0BA"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16.55%</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42101D02"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1.23%</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7F359C9B"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-2.00%</w:t>
            </w:r>
          </w:p>
        </w:tc>
        <w:tc>
          <w:tcPr>
            <w:tcW w:w="1339" w:type="dxa"/>
            <w:tcBorders>
              <w:top w:val="single" w:sz="4" w:space="0" w:color="auto"/>
              <w:left w:val="nil"/>
              <w:bottom w:val="single" w:sz="4" w:space="0" w:color="auto"/>
              <w:right w:val="single" w:sz="8" w:space="0" w:color="auto"/>
            </w:tcBorders>
            <w:shd w:val="clear" w:color="auto" w:fill="auto"/>
            <w:noWrap/>
            <w:vAlign w:val="center"/>
          </w:tcPr>
          <w:p w14:paraId="46C5E011" w14:textId="77777777" w:rsidR="0037652E" w:rsidRPr="00C66F9B" w:rsidRDefault="00BF49B0" w:rsidP="002F3E80">
            <w:pPr>
              <w:widowControl/>
              <w:jc w:val="right"/>
              <w:rPr>
                <w:rFonts w:ascii="宋体" w:hAnsi="宋体" w:cs="宋体"/>
                <w:color w:val="000000"/>
              </w:rPr>
            </w:pPr>
            <w:r w:rsidRPr="00C66F9B">
              <w:rPr>
                <w:rFonts w:ascii="宋体" w:hAnsi="宋体" w:cs="宋体"/>
                <w:color w:val="000000"/>
              </w:rPr>
              <w:t>-0.11%</w:t>
            </w:r>
          </w:p>
        </w:tc>
      </w:tr>
      <w:tr w:rsidR="00584EAA" w14:paraId="35259703" w14:textId="77777777" w:rsidTr="002F3E8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8E02" w14:textId="77777777" w:rsidR="00584EAA" w:rsidRDefault="00584EAA">
            <w:pPr>
              <w:widowControl/>
              <w:rPr>
                <w:rFonts w:ascii="宋体" w:hAnsi="宋体"/>
                <w:sz w:val="24"/>
              </w:rPr>
            </w:pPr>
            <w:r>
              <w:rPr>
                <w:rFonts w:ascii="宋体" w:hAnsi="宋体" w:hint="eastAsia"/>
                <w:sz w:val="24"/>
              </w:rPr>
              <w:t>202</w:t>
            </w:r>
            <w:r>
              <w:rPr>
                <w:rFonts w:ascii="宋体" w:hAnsi="宋体"/>
                <w:sz w:val="24"/>
              </w:rPr>
              <w:t>1</w:t>
            </w:r>
            <w:r>
              <w:rPr>
                <w:rFonts w:ascii="宋体" w:hAnsi="宋体" w:hint="eastAsia"/>
                <w:sz w:val="24"/>
              </w:rPr>
              <w:t>年1月1日至202</w:t>
            </w:r>
            <w:r>
              <w:rPr>
                <w:rFonts w:ascii="宋体" w:hAnsi="宋体"/>
                <w:sz w:val="24"/>
              </w:rPr>
              <w:t>1</w:t>
            </w:r>
            <w:r>
              <w:rPr>
                <w:rFonts w:ascii="宋体" w:hAnsi="宋体" w:hint="eastAsia"/>
                <w:sz w:val="24"/>
              </w:rPr>
              <w:t>年</w:t>
            </w:r>
            <w:r>
              <w:rPr>
                <w:rFonts w:ascii="宋体" w:hAnsi="宋体"/>
                <w:sz w:val="24"/>
              </w:rPr>
              <w:t>12</w:t>
            </w:r>
            <w:r>
              <w:rPr>
                <w:rFonts w:ascii="宋体" w:hAnsi="宋体" w:hint="eastAsia"/>
                <w:sz w:val="24"/>
              </w:rPr>
              <w:t>月3</w:t>
            </w:r>
            <w:r>
              <w:rPr>
                <w:rFonts w:ascii="宋体" w:hAnsi="宋体"/>
                <w:sz w:val="24"/>
              </w:rPr>
              <w:t>1</w:t>
            </w:r>
            <w:r>
              <w:rPr>
                <w:rFonts w:ascii="宋体" w:hAnsi="宋体" w:hint="eastAsia"/>
                <w:sz w:val="24"/>
              </w:rPr>
              <w:t>日</w:t>
            </w:r>
          </w:p>
        </w:tc>
        <w:tc>
          <w:tcPr>
            <w:tcW w:w="1338" w:type="dxa"/>
            <w:tcBorders>
              <w:top w:val="single" w:sz="4" w:space="0" w:color="auto"/>
              <w:bottom w:val="single" w:sz="4" w:space="0" w:color="auto"/>
              <w:right w:val="single" w:sz="4" w:space="0" w:color="auto"/>
            </w:tcBorders>
            <w:shd w:val="clear" w:color="auto" w:fill="auto"/>
            <w:noWrap/>
            <w:vAlign w:val="center"/>
          </w:tcPr>
          <w:p w14:paraId="48BD8C9C" w14:textId="77777777" w:rsidR="00584EAA" w:rsidRPr="002F3E80" w:rsidRDefault="00584EAA" w:rsidP="002F3E80">
            <w:pPr>
              <w:widowControl/>
              <w:jc w:val="right"/>
              <w:rPr>
                <w:rFonts w:ascii="宋体" w:hAnsi="宋体" w:cs="宋体"/>
                <w:color w:val="000000"/>
              </w:rPr>
            </w:pPr>
            <w:r w:rsidRPr="002A58AC">
              <w:rPr>
                <w:rFonts w:ascii="宋体" w:hAnsi="宋体" w:cs="宋体"/>
                <w:color w:val="000000"/>
              </w:rPr>
              <w:t>-8.18%</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82B1E" w14:textId="77777777" w:rsidR="00584EAA" w:rsidRPr="002F3E80" w:rsidRDefault="00584EAA" w:rsidP="002F3E80">
            <w:pPr>
              <w:widowControl/>
              <w:jc w:val="right"/>
              <w:rPr>
                <w:rFonts w:ascii="宋体" w:hAnsi="宋体" w:cs="宋体"/>
                <w:color w:val="000000"/>
              </w:rPr>
            </w:pPr>
            <w:r w:rsidRPr="002A58AC">
              <w:rPr>
                <w:rFonts w:ascii="宋体" w:hAnsi="宋体" w:cs="宋体"/>
                <w:color w:val="000000"/>
              </w:rPr>
              <w:t>0.86%</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AF929" w14:textId="77777777" w:rsidR="00584EAA" w:rsidRPr="002F3E80" w:rsidRDefault="00584EAA" w:rsidP="002F3E80">
            <w:pPr>
              <w:widowControl/>
              <w:jc w:val="right"/>
              <w:rPr>
                <w:rFonts w:ascii="宋体" w:hAnsi="宋体" w:cs="宋体"/>
                <w:color w:val="000000"/>
              </w:rPr>
            </w:pPr>
            <w:r w:rsidRPr="002A58AC">
              <w:rPr>
                <w:rFonts w:ascii="宋体" w:hAnsi="宋体" w:cs="宋体"/>
                <w:color w:val="000000"/>
              </w:rPr>
              <w:t>-7.12%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57CDF" w14:textId="77777777" w:rsidR="00584EAA" w:rsidRPr="002F3E80" w:rsidRDefault="00584EAA" w:rsidP="002F3E80">
            <w:pPr>
              <w:widowControl/>
              <w:jc w:val="right"/>
              <w:rPr>
                <w:rFonts w:ascii="宋体" w:hAnsi="宋体" w:cs="宋体"/>
                <w:color w:val="000000"/>
              </w:rPr>
            </w:pPr>
            <w:r w:rsidRPr="002A58AC">
              <w:rPr>
                <w:rFonts w:ascii="宋体" w:hAnsi="宋体" w:cs="宋体"/>
                <w:color w:val="000000"/>
              </w:rPr>
              <w:t>0.94%</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7531" w14:textId="77777777" w:rsidR="00584EAA" w:rsidRPr="002F3E80" w:rsidRDefault="00584EAA" w:rsidP="002F3E80">
            <w:pPr>
              <w:widowControl/>
              <w:jc w:val="right"/>
              <w:rPr>
                <w:rFonts w:ascii="宋体" w:hAnsi="宋体" w:cs="宋体"/>
                <w:color w:val="000000"/>
              </w:rPr>
            </w:pPr>
            <w:r w:rsidRPr="002A58AC">
              <w:rPr>
                <w:rFonts w:ascii="宋体" w:hAnsi="宋体" w:cs="宋体"/>
                <w:color w:val="000000"/>
              </w:rPr>
              <w:t>-1.06%</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0AE26" w14:textId="77777777" w:rsidR="00584EAA" w:rsidRPr="002F3E80" w:rsidRDefault="00584EAA" w:rsidP="002F3E80">
            <w:pPr>
              <w:widowControl/>
              <w:jc w:val="right"/>
              <w:rPr>
                <w:rFonts w:ascii="宋体" w:hAnsi="宋体" w:cs="宋体"/>
                <w:color w:val="000000"/>
              </w:rPr>
            </w:pPr>
            <w:r w:rsidRPr="002A58AC">
              <w:rPr>
                <w:rFonts w:ascii="宋体" w:hAnsi="宋体" w:cs="宋体"/>
                <w:color w:val="000000"/>
              </w:rPr>
              <w:t>-0.08%</w:t>
            </w:r>
          </w:p>
        </w:tc>
      </w:tr>
      <w:tr w:rsidR="00100093" w14:paraId="53F91EA6" w14:textId="77777777" w:rsidTr="00100093">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F1233" w14:textId="77777777" w:rsidR="00100093" w:rsidRDefault="00100093" w:rsidP="00100093">
            <w:pPr>
              <w:widowControl/>
              <w:rPr>
                <w:rFonts w:ascii="宋体" w:hAnsi="宋体"/>
                <w:sz w:val="24"/>
              </w:rPr>
            </w:pPr>
            <w:r>
              <w:rPr>
                <w:rFonts w:ascii="宋体" w:hAnsi="宋体" w:hint="eastAsia"/>
                <w:sz w:val="24"/>
              </w:rPr>
              <w:t>2</w:t>
            </w:r>
            <w:r>
              <w:rPr>
                <w:rFonts w:ascii="宋体" w:hAnsi="宋体"/>
                <w:sz w:val="24"/>
              </w:rPr>
              <w:t>022年</w:t>
            </w:r>
            <w:r>
              <w:rPr>
                <w:rFonts w:ascii="宋体" w:hAnsi="宋体" w:hint="eastAsia"/>
                <w:sz w:val="24"/>
              </w:rPr>
              <w:t>1月1日至2</w:t>
            </w:r>
            <w:r>
              <w:rPr>
                <w:rFonts w:ascii="宋体" w:hAnsi="宋体"/>
                <w:sz w:val="24"/>
              </w:rPr>
              <w:t>022年</w:t>
            </w:r>
            <w:r>
              <w:rPr>
                <w:rFonts w:ascii="宋体" w:hAnsi="宋体" w:hint="eastAsia"/>
                <w:sz w:val="24"/>
              </w:rPr>
              <w:t>6月3</w:t>
            </w:r>
            <w:r>
              <w:rPr>
                <w:rFonts w:ascii="宋体" w:hAnsi="宋体"/>
                <w:sz w:val="24"/>
              </w:rPr>
              <w:t>0日</w:t>
            </w:r>
          </w:p>
        </w:tc>
        <w:tc>
          <w:tcPr>
            <w:tcW w:w="1338" w:type="dxa"/>
            <w:tcBorders>
              <w:top w:val="single" w:sz="4" w:space="0" w:color="auto"/>
              <w:bottom w:val="single" w:sz="4" w:space="0" w:color="auto"/>
              <w:right w:val="single" w:sz="4" w:space="0" w:color="auto"/>
            </w:tcBorders>
            <w:shd w:val="clear" w:color="auto" w:fill="auto"/>
            <w:noWrap/>
            <w:vAlign w:val="center"/>
          </w:tcPr>
          <w:p w14:paraId="090A1A6E" w14:textId="77777777" w:rsidR="00100093" w:rsidRPr="002A58AC" w:rsidRDefault="00100093" w:rsidP="002F3E80">
            <w:pPr>
              <w:widowControl/>
              <w:jc w:val="right"/>
              <w:rPr>
                <w:rFonts w:ascii="宋体" w:hAnsi="宋体" w:cs="宋体"/>
                <w:color w:val="000000"/>
              </w:rPr>
            </w:pPr>
            <w:r w:rsidRPr="002A58AC">
              <w:rPr>
                <w:rFonts w:ascii="宋体" w:hAnsi="宋体" w:cs="宋体"/>
                <w:color w:val="000000"/>
              </w:rPr>
              <w:t>2.93%</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490A7" w14:textId="77777777" w:rsidR="00100093" w:rsidRPr="002A58AC" w:rsidRDefault="00100093" w:rsidP="002F3E80">
            <w:pPr>
              <w:widowControl/>
              <w:jc w:val="right"/>
              <w:rPr>
                <w:rFonts w:ascii="宋体" w:hAnsi="宋体" w:cs="宋体"/>
                <w:color w:val="000000"/>
              </w:rPr>
            </w:pPr>
            <w:r w:rsidRPr="002A58AC">
              <w:rPr>
                <w:rFonts w:ascii="宋体" w:hAnsi="宋体" w:cs="宋体"/>
                <w:color w:val="000000"/>
              </w:rPr>
              <w:t>0.88%</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E3454" w14:textId="77777777" w:rsidR="00100093" w:rsidRPr="002A58AC" w:rsidRDefault="00100093" w:rsidP="002F3E80">
            <w:pPr>
              <w:widowControl/>
              <w:jc w:val="right"/>
              <w:rPr>
                <w:rFonts w:ascii="宋体" w:hAnsi="宋体" w:cs="宋体"/>
                <w:color w:val="000000"/>
              </w:rPr>
            </w:pPr>
            <w:r w:rsidRPr="002A58AC">
              <w:rPr>
                <w:rFonts w:ascii="宋体" w:hAnsi="宋体" w:cs="宋体"/>
                <w:color w:val="000000"/>
              </w:rPr>
              <w:t>6.60%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A564E" w14:textId="77777777" w:rsidR="00100093" w:rsidRPr="002A58AC" w:rsidRDefault="00100093" w:rsidP="002F3E80">
            <w:pPr>
              <w:widowControl/>
              <w:jc w:val="right"/>
              <w:rPr>
                <w:rFonts w:ascii="宋体" w:hAnsi="宋体" w:cs="宋体"/>
                <w:color w:val="000000"/>
              </w:rPr>
            </w:pPr>
            <w:r w:rsidRPr="002A58AC">
              <w:rPr>
                <w:rFonts w:ascii="宋体" w:hAnsi="宋体" w:cs="宋体"/>
                <w:color w:val="000000"/>
              </w:rPr>
              <w:t>0.93%</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DB55E" w14:textId="77777777" w:rsidR="00100093" w:rsidRPr="002A58AC" w:rsidRDefault="00100093" w:rsidP="002F3E80">
            <w:pPr>
              <w:widowControl/>
              <w:jc w:val="right"/>
              <w:rPr>
                <w:rFonts w:ascii="宋体" w:hAnsi="宋体" w:cs="宋体"/>
                <w:color w:val="000000"/>
              </w:rPr>
            </w:pPr>
            <w:r w:rsidRPr="002A58AC">
              <w:rPr>
                <w:rFonts w:ascii="宋体" w:hAnsi="宋体" w:cs="宋体"/>
                <w:color w:val="000000"/>
              </w:rPr>
              <w:t>-3.67%</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3B87B" w14:textId="77777777" w:rsidR="00100093" w:rsidRPr="002A58AC" w:rsidRDefault="00100093" w:rsidP="002F3E80">
            <w:pPr>
              <w:widowControl/>
              <w:jc w:val="right"/>
              <w:rPr>
                <w:rFonts w:ascii="宋体" w:hAnsi="宋体" w:cs="宋体"/>
                <w:color w:val="000000"/>
              </w:rPr>
            </w:pPr>
            <w:r w:rsidRPr="002A58AC">
              <w:rPr>
                <w:rFonts w:ascii="宋体" w:hAnsi="宋体" w:cs="宋体"/>
                <w:color w:val="000000"/>
              </w:rPr>
              <w:t>-0.05%</w:t>
            </w:r>
          </w:p>
        </w:tc>
      </w:tr>
      <w:tr w:rsidR="00100093" w14:paraId="18ACD7D4" w14:textId="77777777" w:rsidTr="00100093">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9A996" w14:textId="77777777" w:rsidR="00100093" w:rsidRDefault="00100093" w:rsidP="00100093">
            <w:pPr>
              <w:widowControl/>
              <w:rPr>
                <w:rFonts w:ascii="宋体" w:hAnsi="宋体"/>
                <w:sz w:val="24"/>
              </w:rPr>
            </w:pPr>
            <w:r>
              <w:rPr>
                <w:rFonts w:ascii="宋体" w:hAnsi="宋体" w:hint="eastAsia"/>
                <w:sz w:val="24"/>
              </w:rPr>
              <w:t>2011年8月31日（基金合同生效日）至2</w:t>
            </w:r>
            <w:r>
              <w:rPr>
                <w:rFonts w:ascii="宋体" w:hAnsi="宋体"/>
                <w:sz w:val="24"/>
              </w:rPr>
              <w:t>022年</w:t>
            </w:r>
            <w:r>
              <w:rPr>
                <w:rFonts w:ascii="宋体" w:hAnsi="宋体" w:hint="eastAsia"/>
                <w:sz w:val="24"/>
              </w:rPr>
              <w:t>6月3</w:t>
            </w:r>
            <w:r>
              <w:rPr>
                <w:rFonts w:ascii="宋体" w:hAnsi="宋体"/>
                <w:sz w:val="24"/>
              </w:rPr>
              <w:t>0日</w:t>
            </w:r>
          </w:p>
        </w:tc>
        <w:tc>
          <w:tcPr>
            <w:tcW w:w="1338" w:type="dxa"/>
            <w:tcBorders>
              <w:top w:val="single" w:sz="4" w:space="0" w:color="auto"/>
              <w:bottom w:val="single" w:sz="4" w:space="0" w:color="auto"/>
              <w:right w:val="single" w:sz="4" w:space="0" w:color="auto"/>
            </w:tcBorders>
            <w:shd w:val="clear" w:color="auto" w:fill="auto"/>
            <w:noWrap/>
            <w:vAlign w:val="center"/>
          </w:tcPr>
          <w:p w14:paraId="4E8BACD1" w14:textId="77777777" w:rsidR="00100093" w:rsidRPr="002F3E80" w:rsidRDefault="00100093" w:rsidP="002F3E80">
            <w:pPr>
              <w:widowControl/>
              <w:jc w:val="right"/>
              <w:rPr>
                <w:rFonts w:ascii="宋体" w:hAnsi="宋体" w:cs="宋体"/>
                <w:color w:val="000000"/>
              </w:rPr>
            </w:pPr>
            <w:r w:rsidRPr="002A58AC">
              <w:rPr>
                <w:rFonts w:ascii="宋体" w:hAnsi="宋体" w:cs="宋体"/>
                <w:color w:val="000000"/>
              </w:rPr>
              <w:t>-22.60%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1B926" w14:textId="77777777" w:rsidR="00100093" w:rsidRPr="002F3E80" w:rsidRDefault="00100093" w:rsidP="002F3E80">
            <w:pPr>
              <w:widowControl/>
              <w:jc w:val="right"/>
              <w:rPr>
                <w:rFonts w:ascii="宋体" w:hAnsi="宋体" w:cs="宋体"/>
                <w:color w:val="000000"/>
              </w:rPr>
            </w:pPr>
            <w:r w:rsidRPr="002A58AC">
              <w:rPr>
                <w:rFonts w:ascii="宋体" w:hAnsi="宋体" w:cs="宋体"/>
                <w:color w:val="000000"/>
              </w:rPr>
              <w:t>0.94%</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8BDE0" w14:textId="77777777" w:rsidR="00100093" w:rsidRPr="002F3E80" w:rsidRDefault="00100093" w:rsidP="002F3E80">
            <w:pPr>
              <w:widowControl/>
              <w:jc w:val="right"/>
              <w:rPr>
                <w:rFonts w:ascii="宋体" w:hAnsi="宋体" w:cs="宋体"/>
                <w:color w:val="000000"/>
              </w:rPr>
            </w:pPr>
            <w:r w:rsidRPr="002A58AC">
              <w:rPr>
                <w:rFonts w:ascii="宋体" w:hAnsi="宋体" w:cs="宋体"/>
                <w:color w:val="000000"/>
              </w:rPr>
              <w:t>4.65%</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8F067" w14:textId="77777777" w:rsidR="00100093" w:rsidRPr="002F3E80" w:rsidRDefault="00100093" w:rsidP="002F3E80">
            <w:pPr>
              <w:widowControl/>
              <w:jc w:val="right"/>
              <w:rPr>
                <w:rFonts w:ascii="宋体" w:hAnsi="宋体" w:cs="宋体"/>
                <w:color w:val="000000"/>
              </w:rPr>
            </w:pPr>
            <w:r w:rsidRPr="002A58AC">
              <w:rPr>
                <w:rFonts w:ascii="宋体" w:hAnsi="宋体" w:cs="宋体"/>
                <w:color w:val="000000"/>
              </w:rPr>
              <w:t>0.99%</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B5178" w14:textId="77777777" w:rsidR="00100093" w:rsidRPr="002F3E80" w:rsidRDefault="00100093" w:rsidP="002F3E80">
            <w:pPr>
              <w:widowControl/>
              <w:jc w:val="right"/>
              <w:rPr>
                <w:rFonts w:ascii="宋体" w:hAnsi="宋体" w:cs="宋体"/>
                <w:color w:val="000000"/>
              </w:rPr>
            </w:pPr>
            <w:r w:rsidRPr="002A58AC">
              <w:rPr>
                <w:rFonts w:ascii="宋体" w:hAnsi="宋体" w:cs="宋体"/>
                <w:color w:val="000000"/>
              </w:rPr>
              <w:t>-27.25%</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14F53" w14:textId="77777777" w:rsidR="00100093" w:rsidRPr="002F3E80" w:rsidRDefault="00100093" w:rsidP="002F3E80">
            <w:pPr>
              <w:widowControl/>
              <w:jc w:val="right"/>
              <w:rPr>
                <w:rFonts w:ascii="宋体" w:hAnsi="宋体" w:cs="宋体"/>
                <w:color w:val="000000"/>
              </w:rPr>
            </w:pPr>
            <w:r w:rsidRPr="002A58AC">
              <w:rPr>
                <w:rFonts w:ascii="宋体" w:hAnsi="宋体" w:cs="宋体"/>
                <w:color w:val="000000"/>
              </w:rPr>
              <w:t>-0.05%</w:t>
            </w:r>
          </w:p>
        </w:tc>
      </w:tr>
    </w:tbl>
    <w:p w14:paraId="39E0AE18" w14:textId="77777777" w:rsidR="0037652E" w:rsidRDefault="00BF49B0">
      <w:pPr>
        <w:spacing w:line="440" w:lineRule="exact"/>
        <w:ind w:firstLineChars="200" w:firstLine="480"/>
        <w:rPr>
          <w:rFonts w:ascii="宋体" w:hAnsi="宋体"/>
          <w:sz w:val="24"/>
        </w:rPr>
      </w:pPr>
      <w:r>
        <w:rPr>
          <w:rFonts w:ascii="宋体" w:hAnsi="宋体" w:hint="eastAsia"/>
          <w:sz w:val="24"/>
        </w:rPr>
        <w:t>2、自基金合同生效以来基金累计净值增长率变动及其与同期业绩比较基准收益率变动的比较图</w:t>
      </w:r>
    </w:p>
    <w:p w14:paraId="7B83A389" w14:textId="77777777" w:rsidR="0037652E" w:rsidRDefault="00100093">
      <w:r w:rsidRPr="002F3E80">
        <w:rPr>
          <w:rFonts w:ascii="宋体" w:hAnsi="宋体" w:cs="宋体"/>
          <w:noProof/>
          <w:sz w:val="24"/>
          <w:szCs w:val="28"/>
        </w:rPr>
        <w:lastRenderedPageBreak/>
        <w:drawing>
          <wp:inline distT="0" distB="0" distL="0" distR="0" wp14:anchorId="29CEB763" wp14:editId="7A5E14B2">
            <wp:extent cx="5274310" cy="3955732"/>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5"/>
                    <a:stretch>
                      <a:fillRect/>
                    </a:stretch>
                  </pic:blipFill>
                  <pic:spPr>
                    <a:xfrm>
                      <a:off x="0" y="0"/>
                      <a:ext cx="5274310" cy="3955732"/>
                    </a:xfrm>
                    <a:prstGeom prst="rect">
                      <a:avLst/>
                    </a:prstGeom>
                  </pic:spPr>
                </pic:pic>
              </a:graphicData>
            </a:graphic>
          </wp:inline>
        </w:drawing>
      </w:r>
    </w:p>
    <w:p w14:paraId="0425B04A" w14:textId="77777777" w:rsidR="0037652E" w:rsidRDefault="0037652E">
      <w:pPr>
        <w:spacing w:line="440" w:lineRule="exact"/>
        <w:ind w:firstLineChars="200" w:firstLine="480"/>
        <w:rPr>
          <w:rFonts w:ascii="宋体" w:hAnsi="宋体"/>
          <w:sz w:val="24"/>
        </w:rPr>
      </w:pPr>
    </w:p>
    <w:p w14:paraId="34E8C18D" w14:textId="77777777" w:rsidR="0037652E" w:rsidRDefault="0037652E">
      <w:pPr>
        <w:spacing w:line="440" w:lineRule="exact"/>
        <w:ind w:firstLineChars="200" w:firstLine="480"/>
        <w:rPr>
          <w:rFonts w:ascii="宋体" w:hAnsi="宋体"/>
          <w:sz w:val="24"/>
        </w:rPr>
      </w:pPr>
    </w:p>
    <w:p w14:paraId="605620AD" w14:textId="77777777" w:rsidR="0037652E" w:rsidRDefault="0037652E">
      <w:pPr>
        <w:spacing w:line="440" w:lineRule="exact"/>
        <w:ind w:firstLineChars="200" w:firstLine="480"/>
        <w:rPr>
          <w:rFonts w:ascii="宋体" w:hAnsi="宋体"/>
          <w:sz w:val="24"/>
        </w:rPr>
      </w:pPr>
    </w:p>
    <w:p w14:paraId="6330809C" w14:textId="77777777" w:rsidR="0037652E" w:rsidRDefault="00BF49B0">
      <w:pPr>
        <w:rPr>
          <w:rFonts w:ascii="宋体" w:hAnsi="宋体"/>
          <w:sz w:val="24"/>
        </w:rPr>
      </w:pPr>
      <w:r>
        <w:rPr>
          <w:rFonts w:ascii="宋体" w:hAnsi="宋体"/>
          <w:sz w:val="24"/>
        </w:rPr>
        <w:br w:type="page"/>
      </w:r>
    </w:p>
    <w:p w14:paraId="56C2D2DD" w14:textId="77777777" w:rsidR="0037652E" w:rsidRDefault="0037652E">
      <w:pPr>
        <w:spacing w:line="440" w:lineRule="exact"/>
        <w:ind w:firstLineChars="200" w:firstLine="480"/>
        <w:rPr>
          <w:rFonts w:ascii="宋体" w:hAnsi="宋体"/>
          <w:sz w:val="24"/>
        </w:rPr>
      </w:pPr>
    </w:p>
    <w:p w14:paraId="0B203B3C" w14:textId="77777777" w:rsidR="0037652E" w:rsidRDefault="00BF49B0">
      <w:pPr>
        <w:spacing w:line="360" w:lineRule="auto"/>
        <w:ind w:firstLineChars="50" w:firstLine="120"/>
        <w:jc w:val="center"/>
        <w:outlineLvl w:val="0"/>
        <w:rPr>
          <w:rFonts w:ascii="宋体" w:hAnsi="宋体"/>
          <w:b/>
          <w:sz w:val="24"/>
          <w:szCs w:val="24"/>
        </w:rPr>
      </w:pPr>
      <w:bookmarkStart w:id="45" w:name="_Toc16839"/>
      <w:bookmarkStart w:id="46" w:name="_Toc65325113"/>
      <w:bookmarkStart w:id="47" w:name="_Toc28882"/>
      <w:bookmarkStart w:id="48" w:name="_Toc110606847"/>
      <w:r>
        <w:rPr>
          <w:rFonts w:ascii="宋体" w:hAnsi="宋体" w:hint="eastAsia"/>
          <w:b/>
          <w:sz w:val="24"/>
          <w:szCs w:val="24"/>
        </w:rPr>
        <w:t>第六部分 基金管理人</w:t>
      </w:r>
      <w:bookmarkEnd w:id="27"/>
      <w:bookmarkEnd w:id="45"/>
      <w:bookmarkEnd w:id="46"/>
      <w:bookmarkEnd w:id="47"/>
      <w:bookmarkEnd w:id="48"/>
    </w:p>
    <w:p w14:paraId="6E8D2331" w14:textId="77777777" w:rsidR="0037652E" w:rsidRDefault="0037652E">
      <w:pPr>
        <w:tabs>
          <w:tab w:val="left" w:pos="961"/>
        </w:tabs>
        <w:snapToGrid w:val="0"/>
        <w:spacing w:line="360" w:lineRule="auto"/>
        <w:ind w:firstLineChars="200" w:firstLine="420"/>
        <w:rPr>
          <w:rFonts w:hAnsi="宋体"/>
          <w:bCs/>
          <w:szCs w:val="21"/>
        </w:rPr>
      </w:pPr>
    </w:p>
    <w:p w14:paraId="378C0A0F" w14:textId="77777777" w:rsidR="0037652E" w:rsidRDefault="00BF49B0">
      <w:pPr>
        <w:spacing w:line="360" w:lineRule="auto"/>
        <w:ind w:firstLineChars="200" w:firstLine="482"/>
        <w:rPr>
          <w:rFonts w:eastAsiaTheme="minorEastAsia"/>
          <w:b/>
          <w:sz w:val="24"/>
          <w:szCs w:val="24"/>
        </w:rPr>
      </w:pPr>
      <w:r>
        <w:rPr>
          <w:rFonts w:eastAsiaTheme="minorEastAsia"/>
          <w:b/>
          <w:sz w:val="24"/>
          <w:szCs w:val="24"/>
        </w:rPr>
        <w:t>（一）基金管理人简况</w:t>
      </w:r>
      <w:r>
        <w:rPr>
          <w:rFonts w:eastAsiaTheme="minorEastAsia"/>
          <w:b/>
          <w:sz w:val="24"/>
          <w:szCs w:val="24"/>
        </w:rPr>
        <w:t xml:space="preserve"> </w:t>
      </w:r>
    </w:p>
    <w:p w14:paraId="126AB3A6" w14:textId="77777777" w:rsidR="0037652E" w:rsidRDefault="00BF49B0">
      <w:pPr>
        <w:adjustRightInd w:val="0"/>
        <w:snapToGrid w:val="0"/>
        <w:spacing w:line="360" w:lineRule="auto"/>
        <w:ind w:firstLineChars="200" w:firstLine="480"/>
        <w:rPr>
          <w:rFonts w:ascii="宋体" w:hAnsi="宋体"/>
          <w:sz w:val="24"/>
        </w:rPr>
      </w:pPr>
      <w:r>
        <w:rPr>
          <w:rFonts w:ascii="宋体" w:hAnsi="宋体" w:hint="eastAsia"/>
          <w:sz w:val="24"/>
        </w:rPr>
        <w:t xml:space="preserve">名称：汇添富基金管理股份有限公司 </w:t>
      </w:r>
    </w:p>
    <w:p w14:paraId="227AA4BF" w14:textId="77777777" w:rsidR="0037652E" w:rsidRDefault="00BF49B0">
      <w:pPr>
        <w:adjustRightInd w:val="0"/>
        <w:snapToGrid w:val="0"/>
        <w:spacing w:line="360" w:lineRule="auto"/>
        <w:ind w:firstLineChars="200" w:firstLine="480"/>
        <w:rPr>
          <w:rFonts w:ascii="宋体" w:hAnsi="宋体"/>
          <w:sz w:val="24"/>
        </w:rPr>
      </w:pPr>
      <w:r>
        <w:rPr>
          <w:rFonts w:ascii="宋体" w:hAnsi="宋体" w:hint="eastAsia"/>
          <w:sz w:val="24"/>
        </w:rPr>
        <w:t xml:space="preserve">住所：上海市黄浦区北京东路666号H区（东座）6楼H686室 </w:t>
      </w:r>
    </w:p>
    <w:p w14:paraId="560F0B20" w14:textId="77777777" w:rsidR="0037652E" w:rsidRDefault="00BF49B0">
      <w:pPr>
        <w:adjustRightInd w:val="0"/>
        <w:snapToGrid w:val="0"/>
        <w:spacing w:line="360" w:lineRule="auto"/>
        <w:ind w:firstLineChars="200" w:firstLine="480"/>
        <w:rPr>
          <w:rFonts w:ascii="宋体" w:hAnsi="宋体"/>
          <w:sz w:val="24"/>
        </w:rPr>
      </w:pPr>
      <w:r>
        <w:rPr>
          <w:rFonts w:ascii="宋体" w:hAnsi="宋体" w:hint="eastAsia"/>
          <w:sz w:val="24"/>
        </w:rPr>
        <w:t>办公地址：</w:t>
      </w:r>
      <w:r w:rsidR="00584EAA" w:rsidRPr="00584EAA">
        <w:rPr>
          <w:rFonts w:ascii="宋体" w:hAnsi="宋体" w:hint="eastAsia"/>
          <w:sz w:val="24"/>
        </w:rPr>
        <w:t>上海市黄浦区外马路728号</w:t>
      </w:r>
      <w:r>
        <w:rPr>
          <w:rFonts w:ascii="宋体" w:hAnsi="宋体" w:hint="eastAsia"/>
          <w:sz w:val="24"/>
        </w:rPr>
        <w:t xml:space="preserve"> </w:t>
      </w:r>
    </w:p>
    <w:p w14:paraId="1A2ABF5E" w14:textId="77777777" w:rsidR="0037652E" w:rsidRDefault="00BF49B0">
      <w:pPr>
        <w:adjustRightInd w:val="0"/>
        <w:snapToGrid w:val="0"/>
        <w:spacing w:line="360" w:lineRule="auto"/>
        <w:ind w:firstLineChars="200" w:firstLine="480"/>
        <w:rPr>
          <w:rFonts w:ascii="宋体" w:hAnsi="宋体"/>
          <w:sz w:val="24"/>
        </w:rPr>
      </w:pPr>
      <w:r>
        <w:rPr>
          <w:rFonts w:ascii="宋体" w:hAnsi="宋体" w:hint="eastAsia"/>
          <w:sz w:val="24"/>
        </w:rPr>
        <w:t xml:space="preserve">法定代表人：李文 </w:t>
      </w:r>
    </w:p>
    <w:p w14:paraId="74FC2C79" w14:textId="77777777" w:rsidR="0037652E" w:rsidRDefault="00BF49B0">
      <w:pPr>
        <w:adjustRightInd w:val="0"/>
        <w:snapToGrid w:val="0"/>
        <w:spacing w:line="360" w:lineRule="auto"/>
        <w:ind w:firstLineChars="200" w:firstLine="480"/>
        <w:rPr>
          <w:rFonts w:ascii="宋体" w:hAnsi="宋体"/>
          <w:sz w:val="24"/>
        </w:rPr>
      </w:pPr>
      <w:r>
        <w:rPr>
          <w:rFonts w:ascii="宋体" w:hAnsi="宋体" w:hint="eastAsia"/>
          <w:sz w:val="24"/>
        </w:rPr>
        <w:t xml:space="preserve">成立时间： 2005年2月3日 </w:t>
      </w:r>
    </w:p>
    <w:p w14:paraId="0943080F" w14:textId="77777777" w:rsidR="0037652E" w:rsidRDefault="00BF49B0">
      <w:pPr>
        <w:adjustRightInd w:val="0"/>
        <w:snapToGrid w:val="0"/>
        <w:spacing w:line="360" w:lineRule="auto"/>
        <w:ind w:firstLineChars="200" w:firstLine="480"/>
        <w:rPr>
          <w:rFonts w:ascii="宋体" w:hAnsi="宋体"/>
          <w:sz w:val="24"/>
        </w:rPr>
      </w:pPr>
      <w:r>
        <w:rPr>
          <w:rFonts w:ascii="宋体" w:hAnsi="宋体" w:hint="eastAsia"/>
          <w:sz w:val="24"/>
        </w:rPr>
        <w:t xml:space="preserve">批准设立机关：中国证券监督管理委员会 </w:t>
      </w:r>
    </w:p>
    <w:p w14:paraId="6B98E2B7" w14:textId="77777777" w:rsidR="0037652E" w:rsidRDefault="00BF49B0">
      <w:pPr>
        <w:adjustRightInd w:val="0"/>
        <w:snapToGrid w:val="0"/>
        <w:spacing w:line="360" w:lineRule="auto"/>
        <w:ind w:firstLineChars="200" w:firstLine="480"/>
        <w:rPr>
          <w:rFonts w:ascii="宋体" w:hAnsi="宋体"/>
          <w:sz w:val="24"/>
        </w:rPr>
      </w:pPr>
      <w:r>
        <w:rPr>
          <w:rFonts w:ascii="宋体" w:hAnsi="宋体" w:hint="eastAsia"/>
          <w:sz w:val="24"/>
        </w:rPr>
        <w:t xml:space="preserve">批准设立文号：证监基金字[2005]5号 </w:t>
      </w:r>
    </w:p>
    <w:p w14:paraId="633E7A51" w14:textId="77777777" w:rsidR="0037652E" w:rsidRDefault="00BF49B0">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 xml:space="preserve">注册资本：人民币132,724,224元 </w:t>
      </w:r>
    </w:p>
    <w:p w14:paraId="6EE76EBB" w14:textId="77777777" w:rsidR="00584EAA" w:rsidRDefault="00584EAA">
      <w:pPr>
        <w:adjustRightInd w:val="0"/>
        <w:snapToGrid w:val="0"/>
        <w:spacing w:line="360" w:lineRule="auto"/>
        <w:ind w:firstLineChars="200" w:firstLine="480"/>
        <w:rPr>
          <w:rFonts w:ascii="宋体" w:hAnsi="宋体"/>
          <w:sz w:val="24"/>
        </w:rPr>
      </w:pPr>
      <w:r w:rsidRPr="00584EAA">
        <w:rPr>
          <w:rFonts w:ascii="宋体" w:hAnsi="宋体" w:hint="eastAsia"/>
          <w:sz w:val="24"/>
        </w:rPr>
        <w:t>联系人：李鹏</w:t>
      </w:r>
    </w:p>
    <w:p w14:paraId="3F8FFF0F" w14:textId="77777777" w:rsidR="0037652E" w:rsidRDefault="00BF49B0">
      <w:pPr>
        <w:adjustRightInd w:val="0"/>
        <w:snapToGrid w:val="0"/>
        <w:spacing w:line="360" w:lineRule="auto"/>
        <w:ind w:firstLineChars="200" w:firstLine="480"/>
        <w:rPr>
          <w:rFonts w:ascii="宋体" w:hAnsi="宋体"/>
          <w:sz w:val="24"/>
        </w:rPr>
      </w:pPr>
      <w:r>
        <w:rPr>
          <w:rFonts w:ascii="宋体" w:hAnsi="宋体" w:hint="eastAsia"/>
          <w:sz w:val="24"/>
        </w:rPr>
        <w:t xml:space="preserve">联系电话：021－28932888 </w:t>
      </w:r>
    </w:p>
    <w:p w14:paraId="1238B77F" w14:textId="77777777" w:rsidR="0037652E" w:rsidRDefault="00BF49B0">
      <w:pPr>
        <w:adjustRightInd w:val="0"/>
        <w:snapToGrid w:val="0"/>
        <w:spacing w:line="360" w:lineRule="auto"/>
        <w:ind w:firstLineChars="200" w:firstLine="480"/>
        <w:rPr>
          <w:rFonts w:ascii="宋体" w:hAnsi="宋体"/>
          <w:sz w:val="24"/>
        </w:rPr>
      </w:pPr>
      <w:r>
        <w:rPr>
          <w:rFonts w:ascii="宋体" w:hAnsi="宋体" w:hint="eastAsia"/>
          <w:sz w:val="24"/>
        </w:rPr>
        <w:t>股东名称及其出资比例：</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3739"/>
      </w:tblGrid>
      <w:tr w:rsidR="0037652E" w14:paraId="5A4CAC11" w14:textId="77777777">
        <w:tc>
          <w:tcPr>
            <w:tcW w:w="4733" w:type="dxa"/>
            <w:tcBorders>
              <w:top w:val="single" w:sz="4" w:space="0" w:color="auto"/>
              <w:left w:val="single" w:sz="4" w:space="0" w:color="auto"/>
              <w:bottom w:val="single" w:sz="4" w:space="0" w:color="auto"/>
              <w:right w:val="single" w:sz="4" w:space="0" w:color="auto"/>
            </w:tcBorders>
            <w:vAlign w:val="center"/>
          </w:tcPr>
          <w:p w14:paraId="24E43CD5" w14:textId="77777777" w:rsidR="0037652E" w:rsidRDefault="00BF49B0">
            <w:pPr>
              <w:widowControl/>
              <w:spacing w:line="360" w:lineRule="auto"/>
              <w:rPr>
                <w:sz w:val="24"/>
              </w:rPr>
            </w:pPr>
            <w:r>
              <w:rPr>
                <w:rFonts w:hint="eastAsia"/>
                <w:sz w:val="24"/>
              </w:rPr>
              <w:t>股东名称</w:t>
            </w:r>
          </w:p>
        </w:tc>
        <w:tc>
          <w:tcPr>
            <w:tcW w:w="3739" w:type="dxa"/>
            <w:tcBorders>
              <w:top w:val="single" w:sz="4" w:space="0" w:color="auto"/>
              <w:left w:val="single" w:sz="4" w:space="0" w:color="auto"/>
              <w:bottom w:val="single" w:sz="4" w:space="0" w:color="auto"/>
              <w:right w:val="single" w:sz="4" w:space="0" w:color="auto"/>
            </w:tcBorders>
            <w:vAlign w:val="center"/>
          </w:tcPr>
          <w:p w14:paraId="62FE8BF9" w14:textId="77777777" w:rsidR="0037652E" w:rsidRDefault="00BF49B0">
            <w:pPr>
              <w:widowControl/>
              <w:spacing w:line="360" w:lineRule="auto"/>
              <w:rPr>
                <w:sz w:val="24"/>
              </w:rPr>
            </w:pPr>
            <w:r>
              <w:rPr>
                <w:rFonts w:hint="eastAsia"/>
                <w:sz w:val="24"/>
              </w:rPr>
              <w:t>股权比例</w:t>
            </w:r>
          </w:p>
        </w:tc>
      </w:tr>
      <w:tr w:rsidR="0037652E" w14:paraId="119B8197" w14:textId="77777777">
        <w:tc>
          <w:tcPr>
            <w:tcW w:w="4733" w:type="dxa"/>
            <w:tcBorders>
              <w:top w:val="single" w:sz="4" w:space="0" w:color="auto"/>
              <w:left w:val="single" w:sz="4" w:space="0" w:color="auto"/>
              <w:bottom w:val="single" w:sz="4" w:space="0" w:color="auto"/>
              <w:right w:val="single" w:sz="4" w:space="0" w:color="auto"/>
            </w:tcBorders>
            <w:vAlign w:val="center"/>
          </w:tcPr>
          <w:p w14:paraId="4A71F57F" w14:textId="77777777" w:rsidR="0037652E" w:rsidRDefault="00BF49B0">
            <w:pPr>
              <w:widowControl/>
              <w:spacing w:line="360" w:lineRule="auto"/>
              <w:rPr>
                <w:sz w:val="24"/>
              </w:rPr>
            </w:pPr>
            <w:r>
              <w:rPr>
                <w:rFonts w:hint="eastAsia"/>
                <w:sz w:val="24"/>
              </w:rPr>
              <w:t>东方证券股份有限公司</w:t>
            </w:r>
          </w:p>
        </w:tc>
        <w:tc>
          <w:tcPr>
            <w:tcW w:w="3739" w:type="dxa"/>
            <w:tcBorders>
              <w:top w:val="single" w:sz="4" w:space="0" w:color="auto"/>
              <w:left w:val="single" w:sz="4" w:space="0" w:color="auto"/>
              <w:bottom w:val="single" w:sz="4" w:space="0" w:color="auto"/>
              <w:right w:val="single" w:sz="4" w:space="0" w:color="auto"/>
            </w:tcBorders>
            <w:vAlign w:val="center"/>
          </w:tcPr>
          <w:p w14:paraId="10E3E381" w14:textId="77777777" w:rsidR="0037652E" w:rsidRDefault="00BF49B0">
            <w:pPr>
              <w:widowControl/>
              <w:spacing w:line="360" w:lineRule="auto"/>
              <w:rPr>
                <w:sz w:val="24"/>
              </w:rPr>
            </w:pPr>
            <w:r>
              <w:rPr>
                <w:sz w:val="24"/>
              </w:rPr>
              <w:t>35.412%</w:t>
            </w:r>
          </w:p>
        </w:tc>
      </w:tr>
      <w:tr w:rsidR="0037652E" w14:paraId="15591663" w14:textId="77777777">
        <w:tc>
          <w:tcPr>
            <w:tcW w:w="4733" w:type="dxa"/>
            <w:tcBorders>
              <w:top w:val="single" w:sz="4" w:space="0" w:color="auto"/>
              <w:left w:val="single" w:sz="4" w:space="0" w:color="auto"/>
              <w:bottom w:val="single" w:sz="4" w:space="0" w:color="auto"/>
              <w:right w:val="single" w:sz="4" w:space="0" w:color="auto"/>
            </w:tcBorders>
            <w:vAlign w:val="center"/>
          </w:tcPr>
          <w:p w14:paraId="15C73A67" w14:textId="77777777" w:rsidR="0037652E" w:rsidRDefault="00BF49B0">
            <w:pPr>
              <w:widowControl/>
              <w:spacing w:line="360" w:lineRule="auto"/>
              <w:rPr>
                <w:sz w:val="24"/>
              </w:rPr>
            </w:pPr>
            <w:r>
              <w:rPr>
                <w:rFonts w:hint="eastAsia"/>
                <w:sz w:val="24"/>
              </w:rPr>
              <w:t>上海菁聚金投资管理合伙企业（有限合伙）</w:t>
            </w:r>
          </w:p>
        </w:tc>
        <w:tc>
          <w:tcPr>
            <w:tcW w:w="3739" w:type="dxa"/>
            <w:tcBorders>
              <w:top w:val="single" w:sz="4" w:space="0" w:color="auto"/>
              <w:left w:val="single" w:sz="4" w:space="0" w:color="auto"/>
              <w:bottom w:val="single" w:sz="4" w:space="0" w:color="auto"/>
              <w:right w:val="single" w:sz="4" w:space="0" w:color="auto"/>
            </w:tcBorders>
            <w:vAlign w:val="center"/>
          </w:tcPr>
          <w:p w14:paraId="17182BE8" w14:textId="77777777" w:rsidR="0037652E" w:rsidRDefault="00BF49B0">
            <w:pPr>
              <w:widowControl/>
              <w:spacing w:line="360" w:lineRule="auto"/>
              <w:rPr>
                <w:sz w:val="24"/>
              </w:rPr>
            </w:pPr>
            <w:r>
              <w:rPr>
                <w:sz w:val="24"/>
              </w:rPr>
              <w:t>24.656%</w:t>
            </w:r>
          </w:p>
        </w:tc>
      </w:tr>
      <w:tr w:rsidR="0037652E" w14:paraId="241AAC61" w14:textId="77777777">
        <w:tc>
          <w:tcPr>
            <w:tcW w:w="4733" w:type="dxa"/>
            <w:tcBorders>
              <w:top w:val="single" w:sz="4" w:space="0" w:color="auto"/>
              <w:left w:val="single" w:sz="4" w:space="0" w:color="auto"/>
              <w:bottom w:val="single" w:sz="4" w:space="0" w:color="auto"/>
              <w:right w:val="single" w:sz="4" w:space="0" w:color="auto"/>
            </w:tcBorders>
            <w:vAlign w:val="center"/>
          </w:tcPr>
          <w:p w14:paraId="15BC82CC" w14:textId="77777777" w:rsidR="0037652E" w:rsidRDefault="00BF49B0">
            <w:pPr>
              <w:widowControl/>
              <w:spacing w:line="360" w:lineRule="auto"/>
              <w:rPr>
                <w:sz w:val="24"/>
              </w:rPr>
            </w:pPr>
            <w:r>
              <w:rPr>
                <w:rFonts w:hint="eastAsia"/>
                <w:sz w:val="24"/>
              </w:rPr>
              <w:t>上海上报资产管理有限公司</w:t>
            </w:r>
          </w:p>
        </w:tc>
        <w:tc>
          <w:tcPr>
            <w:tcW w:w="3739" w:type="dxa"/>
            <w:tcBorders>
              <w:top w:val="single" w:sz="4" w:space="0" w:color="auto"/>
              <w:left w:val="single" w:sz="4" w:space="0" w:color="auto"/>
              <w:bottom w:val="single" w:sz="4" w:space="0" w:color="auto"/>
              <w:right w:val="single" w:sz="4" w:space="0" w:color="auto"/>
            </w:tcBorders>
            <w:vAlign w:val="center"/>
          </w:tcPr>
          <w:p w14:paraId="7BF293BD" w14:textId="77777777" w:rsidR="0037652E" w:rsidRDefault="00BF49B0">
            <w:pPr>
              <w:widowControl/>
              <w:spacing w:line="360" w:lineRule="auto"/>
              <w:rPr>
                <w:sz w:val="24"/>
              </w:rPr>
            </w:pPr>
            <w:r>
              <w:rPr>
                <w:sz w:val="24"/>
              </w:rPr>
              <w:t>19.966%</w:t>
            </w:r>
          </w:p>
        </w:tc>
      </w:tr>
      <w:tr w:rsidR="0037652E" w14:paraId="15AC8A50" w14:textId="77777777">
        <w:tc>
          <w:tcPr>
            <w:tcW w:w="4733" w:type="dxa"/>
            <w:tcBorders>
              <w:top w:val="single" w:sz="4" w:space="0" w:color="auto"/>
              <w:left w:val="single" w:sz="4" w:space="0" w:color="auto"/>
              <w:bottom w:val="single" w:sz="4" w:space="0" w:color="auto"/>
              <w:right w:val="single" w:sz="4" w:space="0" w:color="auto"/>
            </w:tcBorders>
            <w:vAlign w:val="center"/>
          </w:tcPr>
          <w:p w14:paraId="2E53BC50" w14:textId="77777777" w:rsidR="0037652E" w:rsidRDefault="00BF49B0">
            <w:pPr>
              <w:widowControl/>
              <w:spacing w:line="360" w:lineRule="auto"/>
              <w:rPr>
                <w:sz w:val="24"/>
              </w:rPr>
            </w:pPr>
            <w:r>
              <w:rPr>
                <w:rFonts w:hint="eastAsia"/>
                <w:sz w:val="24"/>
              </w:rPr>
              <w:t>东航金控有限责任公司</w:t>
            </w:r>
          </w:p>
        </w:tc>
        <w:tc>
          <w:tcPr>
            <w:tcW w:w="3739" w:type="dxa"/>
            <w:tcBorders>
              <w:top w:val="single" w:sz="4" w:space="0" w:color="auto"/>
              <w:left w:val="single" w:sz="4" w:space="0" w:color="auto"/>
              <w:bottom w:val="single" w:sz="4" w:space="0" w:color="auto"/>
              <w:right w:val="single" w:sz="4" w:space="0" w:color="auto"/>
            </w:tcBorders>
            <w:vAlign w:val="center"/>
          </w:tcPr>
          <w:p w14:paraId="5D6C0FF1" w14:textId="77777777" w:rsidR="0037652E" w:rsidRDefault="00BF49B0">
            <w:pPr>
              <w:widowControl/>
              <w:spacing w:line="360" w:lineRule="auto"/>
              <w:rPr>
                <w:sz w:val="24"/>
              </w:rPr>
            </w:pPr>
            <w:r>
              <w:rPr>
                <w:sz w:val="24"/>
              </w:rPr>
              <w:t>19.966%</w:t>
            </w:r>
          </w:p>
        </w:tc>
      </w:tr>
      <w:tr w:rsidR="0037652E" w14:paraId="5312E5EE" w14:textId="77777777">
        <w:tc>
          <w:tcPr>
            <w:tcW w:w="4733" w:type="dxa"/>
            <w:tcBorders>
              <w:top w:val="single" w:sz="4" w:space="0" w:color="auto"/>
              <w:left w:val="single" w:sz="4" w:space="0" w:color="auto"/>
              <w:bottom w:val="single" w:sz="4" w:space="0" w:color="auto"/>
              <w:right w:val="single" w:sz="4" w:space="0" w:color="auto"/>
            </w:tcBorders>
            <w:vAlign w:val="center"/>
          </w:tcPr>
          <w:p w14:paraId="1742D8E9" w14:textId="77777777" w:rsidR="0037652E" w:rsidRDefault="00BF49B0">
            <w:pPr>
              <w:widowControl/>
              <w:spacing w:line="360" w:lineRule="auto"/>
              <w:rPr>
                <w:sz w:val="24"/>
              </w:rPr>
            </w:pPr>
            <w:r>
              <w:rPr>
                <w:rFonts w:hint="eastAsia"/>
                <w:sz w:val="24"/>
              </w:rPr>
              <w:t>合计</w:t>
            </w:r>
          </w:p>
        </w:tc>
        <w:tc>
          <w:tcPr>
            <w:tcW w:w="3739" w:type="dxa"/>
            <w:tcBorders>
              <w:top w:val="single" w:sz="4" w:space="0" w:color="auto"/>
              <w:left w:val="single" w:sz="4" w:space="0" w:color="auto"/>
              <w:bottom w:val="single" w:sz="4" w:space="0" w:color="auto"/>
              <w:right w:val="single" w:sz="4" w:space="0" w:color="auto"/>
            </w:tcBorders>
            <w:vAlign w:val="center"/>
          </w:tcPr>
          <w:p w14:paraId="7A881ECF" w14:textId="77777777" w:rsidR="0037652E" w:rsidRDefault="00BF49B0">
            <w:pPr>
              <w:widowControl/>
              <w:spacing w:line="360" w:lineRule="auto"/>
              <w:rPr>
                <w:sz w:val="24"/>
              </w:rPr>
            </w:pPr>
            <w:r>
              <w:rPr>
                <w:sz w:val="24"/>
              </w:rPr>
              <w:t>100%</w:t>
            </w:r>
          </w:p>
        </w:tc>
      </w:tr>
    </w:tbl>
    <w:p w14:paraId="170BC9AF" w14:textId="77777777" w:rsidR="0037652E" w:rsidRDefault="00BF49B0">
      <w:pPr>
        <w:spacing w:line="360" w:lineRule="auto"/>
        <w:ind w:firstLineChars="200" w:firstLine="482"/>
        <w:rPr>
          <w:rFonts w:ascii="宋体" w:hAnsi="宋体"/>
          <w:b/>
          <w:sz w:val="24"/>
        </w:rPr>
      </w:pPr>
      <w:r>
        <w:rPr>
          <w:rFonts w:ascii="宋体" w:hAnsi="宋体" w:hint="eastAsia"/>
          <w:b/>
          <w:sz w:val="24"/>
        </w:rPr>
        <w:t xml:space="preserve">（二）主要人员情况 </w:t>
      </w:r>
    </w:p>
    <w:p w14:paraId="3A44F978" w14:textId="77777777" w:rsidR="00100093" w:rsidRPr="00AF44C8" w:rsidRDefault="00100093" w:rsidP="00100093">
      <w:pPr>
        <w:widowControl/>
        <w:adjustRightInd w:val="0"/>
        <w:snapToGrid w:val="0"/>
        <w:spacing w:line="360" w:lineRule="auto"/>
        <w:ind w:firstLineChars="200" w:firstLine="480"/>
        <w:rPr>
          <w:rFonts w:ascii="宋体" w:hAnsi="宋体"/>
          <w:bCs/>
          <w:sz w:val="24"/>
          <w:szCs w:val="24"/>
        </w:rPr>
      </w:pPr>
      <w:r w:rsidRPr="00AF44C8">
        <w:rPr>
          <w:rFonts w:ascii="宋体" w:hAnsi="宋体" w:hint="eastAsia"/>
          <w:bCs/>
          <w:sz w:val="24"/>
          <w:szCs w:val="24"/>
        </w:rPr>
        <w:t>1、董事会成员</w:t>
      </w:r>
    </w:p>
    <w:p w14:paraId="44412581"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李文先生，2015年4月16日起担任董事长。中国籍，1967 年出生，厦门大学会计学博士。现任汇添富基金管理股份有限公司董事长，汇添富资产管理(香港)有限公司董事长。历任中国人民银行厦门市分行稽核处科长，中国人民银行杏林支行、国家外汇管理局杏林支局副行长、副局长，中国人民银行厦门市中心支行银行监管一处、二处副处长，东方证券有限责任公司资金财务管理总部副总经理，稽核总部总经理，东方证券股份有限公司资金财务管理总部总经理，汇添富基金管理股份有限公司督察长。其他现任职务包括中国证券投资基金业协会副</w:t>
      </w:r>
      <w:r w:rsidRPr="000371F0">
        <w:rPr>
          <w:rFonts w:ascii="宋体" w:hAnsi="宋体" w:hint="eastAsia"/>
          <w:bCs/>
          <w:sz w:val="24"/>
          <w:szCs w:val="24"/>
        </w:rPr>
        <w:lastRenderedPageBreak/>
        <w:t>会长、合规与风险管理专业委员会主席，上海资产管理协会会长，深圳证券交易所理事会创业板股票发行规范委员会委员等。</w:t>
      </w:r>
    </w:p>
    <w:p w14:paraId="1248978A"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程峰先生，2016年11月20日起担任董事。中国籍，1971 年出生，上海交通大学工商管理硕士。现任上海报业集团副总经理，上海上报资产管理有限公司董事长，上海文化产权交易所股份有限公司董事长，上海东方报业有限公司董事长，上海瑞力投资基金管理有限公司董事长。历任上海市对外经济贸易委员会团委副书记、书记，上海机械进出口(集团)有限公司副总裁，上海市对外经济贸易委员会技术进口处副处长，上海市对外经济贸易委员会科技发展与技术贸易处副处长、处长，上海国际集团有限公司办公室、信息中心主任，上海国际集团有限公司行政管理总部总经理，上海国际集团金融服务有限公司党委副书记、总经理，上海国际集团金融服务有限公司党委书记、董事长、总经理，上海国际集团金融服务有限公司党委书记、董事长，上海国有资产经营有限公司党委书记、董事长。</w:t>
      </w:r>
    </w:p>
    <w:p w14:paraId="05EA3C2A"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林福杰先生，2018年3月21日起担任董事。中国籍，1971年出生，上海交通大学工商管理硕士。现任东航金控有限责任公司董事、总经理、党委副书记，东航国际控股（香港）有限公司董事，汇添富基金管理股份有限公司董事。曾任东航期货有限责任公司部门经理，东航集团财务有限责任公司副总经理、董事长，东航国际融资租赁有限公司董事、董事长，东航国际金融（香港）有限公司董事，国泰人寿保险有限责任公司董事、副总经理，东航金控有限责任公司党委书记、副总经理等。</w:t>
      </w:r>
    </w:p>
    <w:p w14:paraId="0612BF20"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张晖先生，2015年4月16日起担任董事，总经理。中国籍，1971年出生，上海财经大学数量经济学硕士。现任汇添富基金管理股份有限公司总经理，汇添富资本管理有限公司董事长。历任申银万国证券研究所高级分析师，富国基金管理有限公司高级分析师、研究主管和基金经理，汇添富基金管理股份有限公司副总经理、投资总监、投资决策委员会副主席，曾担任中国证券监督管理委员会第十届和第十一届发行审核委员会委员。</w:t>
      </w:r>
    </w:p>
    <w:p w14:paraId="183AD404"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魏尚进（SHANG JIN WEI）先生，2020年1月9日起担任汇添富基金独立董事。美国籍，1964年出生，加州大学伯克利分校经济学博士。现任复旦泛海国际金融学院学术访问学者、美国哥伦比亚大学终身讲席教授、美国外交关系委员会成员、美国国民经济研究局研究员、欧洲经济政策研究中心研究员、深圳高等金融研究院理事、香港金融管理局金融研究院顾问等。曾于2014-2016年间任亚洲</w:t>
      </w:r>
      <w:r w:rsidRPr="000371F0">
        <w:rPr>
          <w:rFonts w:ascii="宋体" w:hAnsi="宋体" w:hint="eastAsia"/>
          <w:bCs/>
          <w:sz w:val="24"/>
          <w:szCs w:val="24"/>
        </w:rPr>
        <w:lastRenderedPageBreak/>
        <w:t>开发银行首位华人首席经济学家兼区域合作与经济研究局局长。其它既往职务包括哈佛大学肯尼迪政府学院副教授、美国国民经济研究局中国经济研究组创始主任、美国布鲁金斯学会高级研究员、国际货币基金组织贸易与投资研究主管、世界银行顾问、美国联邦储备系统董事局访问学者等。</w:t>
      </w:r>
    </w:p>
    <w:p w14:paraId="23E4696F"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黄钰昌（HWANG YUH-CHANG）先生，2021年9月23日起担任汇添富基金独立董事。美国籍，1955年出生，加州大学伯克利分校会计学博士。现任中欧国际工商学院会计学终身荣誉教授、卓越服务研究领域主任和DBA课程学术主任，美国亚利桑那大学荣退教授，教学和研究领域包括管理会计、公司治理、激励合同设计、绩效评估、医疗成本和质量管理。曾任美国匹兹堡大学凯兹商学院助理教授、美国亚利桑那州立大学凯瑞商学院会计系终身教授，曾于2007-2009年间被选为美国会计学会的管理会计学会秘书长。</w:t>
      </w:r>
    </w:p>
    <w:p w14:paraId="0CAD81D9"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连平先生，2021年9月23日起担任汇添富基金独立董事。中国籍，1956年出生，华东师范大学金融专业博士，教授，博士生导师。现任植信投资研究院院长兼首席经济学家、华东师范大学经济与管理学部名誉主任，国务院金融稳定发展委员会特聘专家、国家发展改革委员会价格监测中心特聘专家、中国首席经济学家论坛理事长、中国银行业协会行业发展研究委员会主任、亚洲金融智库首席经济学家委员会副主任、上海市人民政府决策咨询特聘专家，上海市经济学会副会长、享受国务院政府特殊津贴。2007-2019任交通银行首席经济学家。曾多次出席党和国家领导人主持的专家会议。</w:t>
      </w:r>
    </w:p>
    <w:p w14:paraId="775B0FFC"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2、监事会成员</w:t>
      </w:r>
    </w:p>
    <w:p w14:paraId="7B81328D"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毛海东先生，2015年6月30日起担任监事，2021年9月23日起担任监事会主席。中国籍，1978年出生，经济学硕士。现任东航金控有限责任公司财富管理中心总经理，东航私募基金管理有限公司总经理、董事，东航国际控股（香港）有限公司董事，东航国际金融（香港）有限公司董事，东航商业保理有限公司董事，汇添富基金管理股份有限公司监事。曾任东航期货有限责任公司董事长、党总支书记，东航金控有限责任公司总经理助理，曾任职于东航集团财务有限责任公司等。</w:t>
      </w:r>
    </w:p>
    <w:p w14:paraId="267D3CBE"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任瑞良先生，2004年10月20日起担任监事，2015年6月30日至2021年9月23日担任监事会主席。中国籍，1963年出生，大学学历，会计师、非执业注册会计师职称。现任上海报业集团上海上报资产管理有限公司副总经理。历任</w:t>
      </w:r>
      <w:r w:rsidRPr="000371F0">
        <w:rPr>
          <w:rFonts w:ascii="宋体" w:hAnsi="宋体" w:hint="eastAsia"/>
          <w:bCs/>
          <w:sz w:val="24"/>
          <w:szCs w:val="24"/>
        </w:rPr>
        <w:lastRenderedPageBreak/>
        <w:t>文汇新民联合报业集团财务中心财务主管，文汇新民联合报业集团文新投资公司财务主管、总经理助理、副总经理等。</w:t>
      </w:r>
    </w:p>
    <w:p w14:paraId="2D8FFFB2"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王如富先生，2015年9月8日起担任监事。中国籍，1973年出生，硕士研究生，注册会计师。现任东方证券股份有限公司董事会秘书兼董事会办公室主任。历任申银万国证券计划统筹总部综合计划部专员、发展协调办公室专员，金信证券规划发展总部总经理助理、秘书处副主任（主持工作），东方证券研究所证券市场战略资深研究员、董事会办公室资深主管、主任助理、副主任。</w:t>
      </w:r>
    </w:p>
    <w:p w14:paraId="08510BC3"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王静女士，2008年2月23日起担任职工监事。中国籍，1977年出生，复旦大学EMBA。现任汇添富基金管理股份有限公司私人财富管理中心总监。曾任职于中国东方航空集团公司宣传部，东航金控有限责任公司研究发展部。</w:t>
      </w:r>
    </w:p>
    <w:p w14:paraId="283CDEE1"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林旋女士，2008年2月23日起担任职工监事。中国籍，1977年出生，华东政法学院法学硕士。现任汇添富基金管理股份有限公司董事会办公室副总监，汇添富资本管理有限公司监事。曾任职于东方证券股份有限公司办公室。</w:t>
      </w:r>
    </w:p>
    <w:p w14:paraId="423F2991"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陈杰先生，2013年8月8日起担任职工监事。中国籍，1979年出生，北京大学理学博士。现任汇添富基金管理股份有限公司综合办公室总监。曾任职于罗兰贝格管理咨询有限公司，泰科电子（上海）有限公司能源事业部。</w:t>
      </w:r>
    </w:p>
    <w:p w14:paraId="0C2A72A0"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3、高管人员</w:t>
      </w:r>
    </w:p>
    <w:p w14:paraId="537C1A86"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李文先生，董事长。（简历请参见上述董事会成员介绍）</w:t>
      </w:r>
    </w:p>
    <w:p w14:paraId="5B125B92"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张晖先生，2015年6月25日起担任总经理。（简历请参见上述董事会成员介绍）</w:t>
      </w:r>
    </w:p>
    <w:p w14:paraId="6A4FE886"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雷继明先生，2012年3月7日起担任副总经理。中国籍，1971年出生，工商管理硕士。2011年12月加入汇添富基金管理股份有限公司，现任公司副总经理、市场总监。历任中国民族国际信托投资公司网上交易部副总经理，中国民族证券有限责任公司营业部总经理、经纪业务总监、总裁助理。</w:t>
      </w:r>
    </w:p>
    <w:p w14:paraId="16983985"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娄焱女士，2013年1月7日起担任副总经理。中国籍，1971年出生，金融经济学硕士。2011年4月加入汇添富基金管理股份有限公司，现任公司副总经理。曾在赛格国际信托投资股份有限公司、华夏证券股份有限公司、嘉实基金管理有限公司、招商基金管理有限公司、华夏基金管理有限公司以及富达基金北京与上海代表处工作，负责投资银行、证券投资研究，以及基金产品策划、机构理财等管理工作。</w:t>
      </w:r>
    </w:p>
    <w:p w14:paraId="68E358D0"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lastRenderedPageBreak/>
        <w:t>袁建军先生，2015年8月5日起担任副总经理。中国籍，1972年出生，金融学硕士。2005年4月加入汇添富基金管理股份有限公司，现任公司副总经理、投资决策委员会主席。历任华夏证券股份有限公司研究所行业二部副经理，汇添富基金管理股份有限公司基金经理、专户投资总监、总经理助理，并于2014年至2015年期间担任中国证券监督管理委员会第十六届主板发行审核委员会专职委员。</w:t>
      </w:r>
    </w:p>
    <w:p w14:paraId="74D317EC" w14:textId="77777777" w:rsidR="000371F0" w:rsidRPr="000371F0" w:rsidRDefault="000371F0" w:rsidP="000371F0">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李骁先生，2017年3月3日起担任副总经理。中国籍，1969年出生，武汉大学金融学硕士。2016年9月加入汇添富基金管理股份有限公司，现任公司副总经理、首席信息官。历任厦门建行计算机处副处长，厦门建行信用卡部副处长、处长，厦门建行信息技术部处长，建总行北京开发中心负责人，建总行信息技术管理部副总经理，建总行信息技术管理部副总经理兼北京研发中心主任，建总行信息技术管理部资深专员（副总经理级）。</w:t>
      </w:r>
    </w:p>
    <w:p w14:paraId="5BC9B496" w14:textId="0BDE8B13" w:rsidR="00100093" w:rsidRDefault="000371F0" w:rsidP="00100093">
      <w:pPr>
        <w:widowControl/>
        <w:adjustRightInd w:val="0"/>
        <w:snapToGrid w:val="0"/>
        <w:spacing w:line="360" w:lineRule="auto"/>
        <w:ind w:firstLineChars="200" w:firstLine="480"/>
        <w:rPr>
          <w:rFonts w:ascii="宋体" w:hAnsi="宋体"/>
          <w:bCs/>
          <w:sz w:val="24"/>
          <w:szCs w:val="24"/>
        </w:rPr>
      </w:pPr>
      <w:r w:rsidRPr="000371F0">
        <w:rPr>
          <w:rFonts w:ascii="宋体" w:hAnsi="宋体" w:hint="eastAsia"/>
          <w:bCs/>
          <w:sz w:val="24"/>
          <w:szCs w:val="24"/>
        </w:rPr>
        <w:t>李鹏先生，2015年6月25日起担任督察长。中国籍，1978年出生，上海财经大学经济学博士。2015年3月加入汇添富基金管理股份有限公司，现任公司督察长。历任上海证监局主任科员、副处长，上海农商银行同业金融部副总经理，汇添富基金管理股份有限公司稽核监察部总监。</w:t>
      </w:r>
    </w:p>
    <w:p w14:paraId="6421B6C1" w14:textId="77777777" w:rsidR="0037652E" w:rsidRDefault="00BF49B0" w:rsidP="00C66F9B">
      <w:pPr>
        <w:spacing w:line="360" w:lineRule="auto"/>
        <w:ind w:firstLineChars="200" w:firstLine="480"/>
        <w:rPr>
          <w:rFonts w:hAnsi="宋体"/>
          <w:bCs/>
          <w:sz w:val="24"/>
          <w:szCs w:val="24"/>
        </w:rPr>
      </w:pPr>
      <w:r>
        <w:rPr>
          <w:rFonts w:hAnsi="宋体" w:hint="eastAsia"/>
          <w:bCs/>
          <w:sz w:val="24"/>
          <w:szCs w:val="24"/>
        </w:rPr>
        <w:t>（四）基金经理</w:t>
      </w:r>
    </w:p>
    <w:p w14:paraId="7C6D0943" w14:textId="77777777" w:rsidR="0037652E" w:rsidRDefault="00BF49B0">
      <w:pPr>
        <w:autoSpaceDE w:val="0"/>
        <w:autoSpaceDN w:val="0"/>
        <w:adjustRightInd w:val="0"/>
        <w:snapToGrid w:val="0"/>
        <w:spacing w:line="360" w:lineRule="auto"/>
        <w:ind w:firstLine="420"/>
        <w:rPr>
          <w:rFonts w:hAnsi="宋体"/>
          <w:sz w:val="24"/>
        </w:rPr>
      </w:pPr>
      <w:r>
        <w:rPr>
          <w:rFonts w:hAnsi="宋体" w:hint="eastAsia"/>
          <w:sz w:val="24"/>
        </w:rPr>
        <w:t>1</w:t>
      </w:r>
      <w:r>
        <w:rPr>
          <w:rFonts w:hAnsi="宋体" w:hint="eastAsia"/>
          <w:sz w:val="24"/>
        </w:rPr>
        <w:t>、现任基金经理</w:t>
      </w:r>
    </w:p>
    <w:p w14:paraId="7E0958E8" w14:textId="50FFFF1F" w:rsidR="0037652E" w:rsidRDefault="00BF49B0">
      <w:pPr>
        <w:autoSpaceDE w:val="0"/>
        <w:autoSpaceDN w:val="0"/>
        <w:adjustRightInd w:val="0"/>
        <w:snapToGrid w:val="0"/>
        <w:spacing w:line="360" w:lineRule="auto"/>
        <w:ind w:firstLine="420"/>
        <w:rPr>
          <w:rFonts w:hAnsi="宋体"/>
          <w:bCs/>
          <w:sz w:val="24"/>
        </w:rPr>
      </w:pPr>
      <w:r>
        <w:rPr>
          <w:rFonts w:hAnsi="宋体" w:hint="eastAsia"/>
          <w:bCs/>
          <w:sz w:val="24"/>
        </w:rPr>
        <w:t>赖中立，</w:t>
      </w:r>
      <w:r w:rsidR="009402F8" w:rsidRPr="009402F8">
        <w:rPr>
          <w:rFonts w:hAnsi="宋体" w:hint="eastAsia"/>
          <w:bCs/>
          <w:sz w:val="24"/>
        </w:rPr>
        <w:t>国籍：中国。学历：北京大学中国经济研究中心金融学硕士。从业资格：证券投资基金从业资格。从业经历：曾任泰达宏利基金管理有限公司风险管理分析师。</w:t>
      </w:r>
      <w:r w:rsidR="009402F8" w:rsidRPr="009402F8">
        <w:rPr>
          <w:rFonts w:hAnsi="宋体" w:hint="eastAsia"/>
          <w:bCs/>
          <w:sz w:val="24"/>
        </w:rPr>
        <w:t>2010</w:t>
      </w:r>
      <w:r w:rsidR="009402F8" w:rsidRPr="009402F8">
        <w:rPr>
          <w:rFonts w:hAnsi="宋体" w:hint="eastAsia"/>
          <w:bCs/>
          <w:sz w:val="24"/>
        </w:rPr>
        <w:t>年</w:t>
      </w:r>
      <w:r w:rsidR="009402F8" w:rsidRPr="009402F8">
        <w:rPr>
          <w:rFonts w:hAnsi="宋体" w:hint="eastAsia"/>
          <w:bCs/>
          <w:sz w:val="24"/>
        </w:rPr>
        <w:t>8</w:t>
      </w:r>
      <w:r w:rsidR="009402F8" w:rsidRPr="009402F8">
        <w:rPr>
          <w:rFonts w:hAnsi="宋体" w:hint="eastAsia"/>
          <w:bCs/>
          <w:sz w:val="24"/>
        </w:rPr>
        <w:t>月加入汇添富基金管理股份有限公司，历任金融工程部分析师、基金经理助理。</w:t>
      </w:r>
      <w:r w:rsidR="009402F8" w:rsidRPr="009402F8">
        <w:rPr>
          <w:rFonts w:hAnsi="宋体" w:hint="eastAsia"/>
          <w:bCs/>
          <w:sz w:val="24"/>
        </w:rPr>
        <w:t>2012</w:t>
      </w:r>
      <w:r w:rsidR="009402F8" w:rsidRPr="009402F8">
        <w:rPr>
          <w:rFonts w:hAnsi="宋体" w:hint="eastAsia"/>
          <w:bCs/>
          <w:sz w:val="24"/>
        </w:rPr>
        <w:t>年</w:t>
      </w:r>
      <w:r w:rsidR="009402F8" w:rsidRPr="009402F8">
        <w:rPr>
          <w:rFonts w:hAnsi="宋体" w:hint="eastAsia"/>
          <w:bCs/>
          <w:sz w:val="24"/>
        </w:rPr>
        <w:t>11</w:t>
      </w:r>
      <w:r w:rsidR="009402F8" w:rsidRPr="009402F8">
        <w:rPr>
          <w:rFonts w:hAnsi="宋体" w:hint="eastAsia"/>
          <w:bCs/>
          <w:sz w:val="24"/>
        </w:rPr>
        <w:t>月</w:t>
      </w:r>
      <w:r w:rsidR="009402F8" w:rsidRPr="009402F8">
        <w:rPr>
          <w:rFonts w:hAnsi="宋体" w:hint="eastAsia"/>
          <w:bCs/>
          <w:sz w:val="24"/>
        </w:rPr>
        <w:t>1</w:t>
      </w:r>
      <w:r w:rsidR="009402F8" w:rsidRPr="009402F8">
        <w:rPr>
          <w:rFonts w:hAnsi="宋体" w:hint="eastAsia"/>
          <w:bCs/>
          <w:sz w:val="24"/>
        </w:rPr>
        <w:t>日至今任汇添富黄金及贵金属证券投资基金</w:t>
      </w:r>
      <w:r w:rsidR="009402F8" w:rsidRPr="009402F8">
        <w:rPr>
          <w:rFonts w:hAnsi="宋体" w:hint="eastAsia"/>
          <w:bCs/>
          <w:sz w:val="24"/>
        </w:rPr>
        <w:t>(LOF)</w:t>
      </w:r>
      <w:r w:rsidR="009402F8" w:rsidRPr="009402F8">
        <w:rPr>
          <w:rFonts w:hAnsi="宋体" w:hint="eastAsia"/>
          <w:bCs/>
          <w:sz w:val="24"/>
        </w:rPr>
        <w:t>的基金经理。</w:t>
      </w:r>
      <w:r w:rsidR="009402F8" w:rsidRPr="009402F8">
        <w:rPr>
          <w:rFonts w:hAnsi="宋体" w:hint="eastAsia"/>
          <w:bCs/>
          <w:sz w:val="24"/>
        </w:rPr>
        <w:t>2014</w:t>
      </w:r>
      <w:r w:rsidR="009402F8" w:rsidRPr="009402F8">
        <w:rPr>
          <w:rFonts w:hAnsi="宋体" w:hint="eastAsia"/>
          <w:bCs/>
          <w:sz w:val="24"/>
        </w:rPr>
        <w:t>年</w:t>
      </w:r>
      <w:r w:rsidR="009402F8" w:rsidRPr="009402F8">
        <w:rPr>
          <w:rFonts w:hAnsi="宋体" w:hint="eastAsia"/>
          <w:bCs/>
          <w:sz w:val="24"/>
        </w:rPr>
        <w:t>3</w:t>
      </w:r>
      <w:r w:rsidR="009402F8" w:rsidRPr="009402F8">
        <w:rPr>
          <w:rFonts w:hAnsi="宋体" w:hint="eastAsia"/>
          <w:bCs/>
          <w:sz w:val="24"/>
        </w:rPr>
        <w:t>月</w:t>
      </w:r>
      <w:r w:rsidR="009402F8" w:rsidRPr="009402F8">
        <w:rPr>
          <w:rFonts w:hAnsi="宋体" w:hint="eastAsia"/>
          <w:bCs/>
          <w:sz w:val="24"/>
        </w:rPr>
        <w:t>6</w:t>
      </w:r>
      <w:r w:rsidR="009402F8" w:rsidRPr="009402F8">
        <w:rPr>
          <w:rFonts w:hAnsi="宋体" w:hint="eastAsia"/>
          <w:bCs/>
          <w:sz w:val="24"/>
        </w:rPr>
        <w:t>日至</w:t>
      </w:r>
      <w:r w:rsidR="009402F8" w:rsidRPr="009402F8">
        <w:rPr>
          <w:rFonts w:hAnsi="宋体" w:hint="eastAsia"/>
          <w:bCs/>
          <w:sz w:val="24"/>
        </w:rPr>
        <w:t>2023</w:t>
      </w:r>
      <w:r w:rsidR="009402F8" w:rsidRPr="009402F8">
        <w:rPr>
          <w:rFonts w:hAnsi="宋体" w:hint="eastAsia"/>
          <w:bCs/>
          <w:sz w:val="24"/>
        </w:rPr>
        <w:t>年</w:t>
      </w:r>
      <w:r w:rsidR="009402F8" w:rsidRPr="009402F8">
        <w:rPr>
          <w:rFonts w:hAnsi="宋体" w:hint="eastAsia"/>
          <w:bCs/>
          <w:sz w:val="24"/>
        </w:rPr>
        <w:t>4</w:t>
      </w:r>
      <w:r w:rsidR="009402F8" w:rsidRPr="009402F8">
        <w:rPr>
          <w:rFonts w:hAnsi="宋体" w:hint="eastAsia"/>
          <w:bCs/>
          <w:sz w:val="24"/>
        </w:rPr>
        <w:t>月</w:t>
      </w:r>
      <w:r w:rsidR="009402F8" w:rsidRPr="009402F8">
        <w:rPr>
          <w:rFonts w:hAnsi="宋体" w:hint="eastAsia"/>
          <w:bCs/>
          <w:sz w:val="24"/>
        </w:rPr>
        <w:t>13</w:t>
      </w:r>
      <w:r w:rsidR="009402F8" w:rsidRPr="009402F8">
        <w:rPr>
          <w:rFonts w:hAnsi="宋体" w:hint="eastAsia"/>
          <w:bCs/>
          <w:sz w:val="24"/>
        </w:rPr>
        <w:t>日任汇添富恒生指数型证券投资基金（</w:t>
      </w:r>
      <w:r w:rsidR="009402F8" w:rsidRPr="009402F8">
        <w:rPr>
          <w:rFonts w:hAnsi="宋体" w:hint="eastAsia"/>
          <w:bCs/>
          <w:sz w:val="24"/>
        </w:rPr>
        <w:t>QDII-LOF</w:t>
      </w:r>
      <w:r w:rsidR="009402F8" w:rsidRPr="009402F8">
        <w:rPr>
          <w:rFonts w:hAnsi="宋体" w:hint="eastAsia"/>
          <w:bCs/>
          <w:sz w:val="24"/>
        </w:rPr>
        <w:t>）的基金经理。</w:t>
      </w:r>
      <w:r w:rsidR="009402F8" w:rsidRPr="009402F8">
        <w:rPr>
          <w:rFonts w:hAnsi="宋体" w:hint="eastAsia"/>
          <w:bCs/>
          <w:sz w:val="24"/>
        </w:rPr>
        <w:t>2015</w:t>
      </w:r>
      <w:r w:rsidR="009402F8" w:rsidRPr="009402F8">
        <w:rPr>
          <w:rFonts w:hAnsi="宋体" w:hint="eastAsia"/>
          <w:bCs/>
          <w:sz w:val="24"/>
        </w:rPr>
        <w:t>年</w:t>
      </w:r>
      <w:r w:rsidR="009402F8" w:rsidRPr="009402F8">
        <w:rPr>
          <w:rFonts w:hAnsi="宋体" w:hint="eastAsia"/>
          <w:bCs/>
          <w:sz w:val="24"/>
        </w:rPr>
        <w:t>1</w:t>
      </w:r>
      <w:r w:rsidR="009402F8" w:rsidRPr="009402F8">
        <w:rPr>
          <w:rFonts w:hAnsi="宋体" w:hint="eastAsia"/>
          <w:bCs/>
          <w:sz w:val="24"/>
        </w:rPr>
        <w:t>月</w:t>
      </w:r>
      <w:r w:rsidR="009402F8" w:rsidRPr="009402F8">
        <w:rPr>
          <w:rFonts w:hAnsi="宋体" w:hint="eastAsia"/>
          <w:bCs/>
          <w:sz w:val="24"/>
        </w:rPr>
        <w:t>6</w:t>
      </w:r>
      <w:r w:rsidR="009402F8" w:rsidRPr="009402F8">
        <w:rPr>
          <w:rFonts w:hAnsi="宋体" w:hint="eastAsia"/>
          <w:bCs/>
          <w:sz w:val="24"/>
        </w:rPr>
        <w:t>日至</w:t>
      </w:r>
      <w:r w:rsidR="009402F8" w:rsidRPr="009402F8">
        <w:rPr>
          <w:rFonts w:hAnsi="宋体" w:hint="eastAsia"/>
          <w:bCs/>
          <w:sz w:val="24"/>
        </w:rPr>
        <w:t>2023</w:t>
      </w:r>
      <w:r w:rsidR="009402F8" w:rsidRPr="009402F8">
        <w:rPr>
          <w:rFonts w:hAnsi="宋体" w:hint="eastAsia"/>
          <w:bCs/>
          <w:sz w:val="24"/>
        </w:rPr>
        <w:t>年</w:t>
      </w:r>
      <w:r w:rsidR="009402F8" w:rsidRPr="009402F8">
        <w:rPr>
          <w:rFonts w:hAnsi="宋体" w:hint="eastAsia"/>
          <w:bCs/>
          <w:sz w:val="24"/>
        </w:rPr>
        <w:t>4</w:t>
      </w:r>
      <w:r w:rsidR="009402F8" w:rsidRPr="009402F8">
        <w:rPr>
          <w:rFonts w:hAnsi="宋体" w:hint="eastAsia"/>
          <w:bCs/>
          <w:sz w:val="24"/>
        </w:rPr>
        <w:t>月</w:t>
      </w:r>
      <w:r w:rsidR="009402F8" w:rsidRPr="009402F8">
        <w:rPr>
          <w:rFonts w:hAnsi="宋体" w:hint="eastAsia"/>
          <w:bCs/>
          <w:sz w:val="24"/>
        </w:rPr>
        <w:t>13</w:t>
      </w:r>
      <w:r w:rsidR="009402F8" w:rsidRPr="009402F8">
        <w:rPr>
          <w:rFonts w:hAnsi="宋体" w:hint="eastAsia"/>
          <w:bCs/>
          <w:sz w:val="24"/>
        </w:rPr>
        <w:t>日任汇添富深证</w:t>
      </w:r>
      <w:r w:rsidR="009402F8" w:rsidRPr="009402F8">
        <w:rPr>
          <w:rFonts w:hAnsi="宋体" w:hint="eastAsia"/>
          <w:bCs/>
          <w:sz w:val="24"/>
        </w:rPr>
        <w:t>300</w:t>
      </w:r>
      <w:r w:rsidR="009402F8" w:rsidRPr="009402F8">
        <w:rPr>
          <w:rFonts w:hAnsi="宋体" w:hint="eastAsia"/>
          <w:bCs/>
          <w:sz w:val="24"/>
        </w:rPr>
        <w:t>交易型开放式指数证券投资基金联接基金的基金经理。</w:t>
      </w:r>
      <w:r w:rsidR="009402F8" w:rsidRPr="009402F8">
        <w:rPr>
          <w:rFonts w:hAnsi="宋体" w:hint="eastAsia"/>
          <w:bCs/>
          <w:sz w:val="24"/>
        </w:rPr>
        <w:t>2015</w:t>
      </w:r>
      <w:r w:rsidR="009402F8" w:rsidRPr="009402F8">
        <w:rPr>
          <w:rFonts w:hAnsi="宋体" w:hint="eastAsia"/>
          <w:bCs/>
          <w:sz w:val="24"/>
        </w:rPr>
        <w:t>年</w:t>
      </w:r>
      <w:r w:rsidR="009402F8" w:rsidRPr="009402F8">
        <w:rPr>
          <w:rFonts w:hAnsi="宋体" w:hint="eastAsia"/>
          <w:bCs/>
          <w:sz w:val="24"/>
        </w:rPr>
        <w:t>1</w:t>
      </w:r>
      <w:r w:rsidR="009402F8" w:rsidRPr="009402F8">
        <w:rPr>
          <w:rFonts w:hAnsi="宋体" w:hint="eastAsia"/>
          <w:bCs/>
          <w:sz w:val="24"/>
        </w:rPr>
        <w:t>月</w:t>
      </w:r>
      <w:r w:rsidR="009402F8" w:rsidRPr="009402F8">
        <w:rPr>
          <w:rFonts w:hAnsi="宋体" w:hint="eastAsia"/>
          <w:bCs/>
          <w:sz w:val="24"/>
        </w:rPr>
        <w:t>6</w:t>
      </w:r>
      <w:r w:rsidR="009402F8" w:rsidRPr="009402F8">
        <w:rPr>
          <w:rFonts w:hAnsi="宋体" w:hint="eastAsia"/>
          <w:bCs/>
          <w:sz w:val="24"/>
        </w:rPr>
        <w:t>日至</w:t>
      </w:r>
      <w:r w:rsidR="009402F8" w:rsidRPr="009402F8">
        <w:rPr>
          <w:rFonts w:hAnsi="宋体" w:hint="eastAsia"/>
          <w:bCs/>
          <w:sz w:val="24"/>
        </w:rPr>
        <w:t>2023</w:t>
      </w:r>
      <w:r w:rsidR="009402F8" w:rsidRPr="009402F8">
        <w:rPr>
          <w:rFonts w:hAnsi="宋体" w:hint="eastAsia"/>
          <w:bCs/>
          <w:sz w:val="24"/>
        </w:rPr>
        <w:t>年</w:t>
      </w:r>
      <w:r w:rsidR="009402F8" w:rsidRPr="009402F8">
        <w:rPr>
          <w:rFonts w:hAnsi="宋体" w:hint="eastAsia"/>
          <w:bCs/>
          <w:sz w:val="24"/>
        </w:rPr>
        <w:t>4</w:t>
      </w:r>
      <w:r w:rsidR="009402F8" w:rsidRPr="009402F8">
        <w:rPr>
          <w:rFonts w:hAnsi="宋体" w:hint="eastAsia"/>
          <w:bCs/>
          <w:sz w:val="24"/>
        </w:rPr>
        <w:t>月</w:t>
      </w:r>
      <w:r w:rsidR="009402F8" w:rsidRPr="009402F8">
        <w:rPr>
          <w:rFonts w:hAnsi="宋体" w:hint="eastAsia"/>
          <w:bCs/>
          <w:sz w:val="24"/>
        </w:rPr>
        <w:t>13</w:t>
      </w:r>
      <w:r w:rsidR="009402F8" w:rsidRPr="009402F8">
        <w:rPr>
          <w:rFonts w:hAnsi="宋体" w:hint="eastAsia"/>
          <w:bCs/>
          <w:sz w:val="24"/>
        </w:rPr>
        <w:t>日任深证</w:t>
      </w:r>
      <w:r w:rsidR="009402F8" w:rsidRPr="009402F8">
        <w:rPr>
          <w:rFonts w:hAnsi="宋体" w:hint="eastAsia"/>
          <w:bCs/>
          <w:sz w:val="24"/>
        </w:rPr>
        <w:t>300</w:t>
      </w:r>
      <w:r w:rsidR="009402F8" w:rsidRPr="009402F8">
        <w:rPr>
          <w:rFonts w:hAnsi="宋体" w:hint="eastAsia"/>
          <w:bCs/>
          <w:sz w:val="24"/>
        </w:rPr>
        <w:t>交易型开放式指数证券投资基金的基金经理。</w:t>
      </w:r>
      <w:r w:rsidR="009402F8" w:rsidRPr="009402F8">
        <w:rPr>
          <w:rFonts w:hAnsi="宋体" w:hint="eastAsia"/>
          <w:bCs/>
          <w:sz w:val="24"/>
        </w:rPr>
        <w:t>2015</w:t>
      </w:r>
      <w:r w:rsidR="009402F8" w:rsidRPr="009402F8">
        <w:rPr>
          <w:rFonts w:hAnsi="宋体" w:hint="eastAsia"/>
          <w:bCs/>
          <w:sz w:val="24"/>
        </w:rPr>
        <w:t>年</w:t>
      </w:r>
      <w:r w:rsidR="009402F8" w:rsidRPr="009402F8">
        <w:rPr>
          <w:rFonts w:hAnsi="宋体" w:hint="eastAsia"/>
          <w:bCs/>
          <w:sz w:val="24"/>
        </w:rPr>
        <w:t>5</w:t>
      </w:r>
      <w:r w:rsidR="009402F8" w:rsidRPr="009402F8">
        <w:rPr>
          <w:rFonts w:hAnsi="宋体" w:hint="eastAsia"/>
          <w:bCs/>
          <w:sz w:val="24"/>
        </w:rPr>
        <w:t>月</w:t>
      </w:r>
      <w:r w:rsidR="009402F8" w:rsidRPr="009402F8">
        <w:rPr>
          <w:rFonts w:hAnsi="宋体" w:hint="eastAsia"/>
          <w:bCs/>
          <w:sz w:val="24"/>
        </w:rPr>
        <w:t>26</w:t>
      </w:r>
      <w:r w:rsidR="009402F8" w:rsidRPr="009402F8">
        <w:rPr>
          <w:rFonts w:hAnsi="宋体" w:hint="eastAsia"/>
          <w:bCs/>
          <w:sz w:val="24"/>
        </w:rPr>
        <w:t>日至</w:t>
      </w:r>
      <w:r w:rsidR="009402F8" w:rsidRPr="009402F8">
        <w:rPr>
          <w:rFonts w:hAnsi="宋体" w:hint="eastAsia"/>
          <w:bCs/>
          <w:sz w:val="24"/>
        </w:rPr>
        <w:t>2016</w:t>
      </w:r>
      <w:r w:rsidR="009402F8" w:rsidRPr="009402F8">
        <w:rPr>
          <w:rFonts w:hAnsi="宋体" w:hint="eastAsia"/>
          <w:bCs/>
          <w:sz w:val="24"/>
        </w:rPr>
        <w:t>年</w:t>
      </w:r>
      <w:r w:rsidR="009402F8" w:rsidRPr="009402F8">
        <w:rPr>
          <w:rFonts w:hAnsi="宋体" w:hint="eastAsia"/>
          <w:bCs/>
          <w:sz w:val="24"/>
        </w:rPr>
        <w:t>7</w:t>
      </w:r>
      <w:r w:rsidR="009402F8" w:rsidRPr="009402F8">
        <w:rPr>
          <w:rFonts w:hAnsi="宋体" w:hint="eastAsia"/>
          <w:bCs/>
          <w:sz w:val="24"/>
        </w:rPr>
        <w:t>月</w:t>
      </w:r>
      <w:r w:rsidR="009402F8" w:rsidRPr="009402F8">
        <w:rPr>
          <w:rFonts w:hAnsi="宋体" w:hint="eastAsia"/>
          <w:bCs/>
          <w:sz w:val="24"/>
        </w:rPr>
        <w:t>13</w:t>
      </w:r>
      <w:r w:rsidR="009402F8" w:rsidRPr="009402F8">
        <w:rPr>
          <w:rFonts w:hAnsi="宋体" w:hint="eastAsia"/>
          <w:bCs/>
          <w:sz w:val="24"/>
        </w:rPr>
        <w:t>日任汇添富香港优势精选混合型证券投资基金的基金经理。</w:t>
      </w:r>
      <w:r w:rsidR="009402F8" w:rsidRPr="009402F8">
        <w:rPr>
          <w:rFonts w:hAnsi="宋体" w:hint="eastAsia"/>
          <w:bCs/>
          <w:sz w:val="24"/>
        </w:rPr>
        <w:t>2016</w:t>
      </w:r>
      <w:r w:rsidR="009402F8" w:rsidRPr="009402F8">
        <w:rPr>
          <w:rFonts w:hAnsi="宋体" w:hint="eastAsia"/>
          <w:bCs/>
          <w:sz w:val="24"/>
        </w:rPr>
        <w:t>年</w:t>
      </w:r>
      <w:r w:rsidR="009402F8" w:rsidRPr="009402F8">
        <w:rPr>
          <w:rFonts w:hAnsi="宋体" w:hint="eastAsia"/>
          <w:bCs/>
          <w:sz w:val="24"/>
        </w:rPr>
        <w:t>12</w:t>
      </w:r>
      <w:r w:rsidR="009402F8" w:rsidRPr="009402F8">
        <w:rPr>
          <w:rFonts w:hAnsi="宋体" w:hint="eastAsia"/>
          <w:bCs/>
          <w:sz w:val="24"/>
        </w:rPr>
        <w:t>月</w:t>
      </w:r>
      <w:r w:rsidR="009402F8" w:rsidRPr="009402F8">
        <w:rPr>
          <w:rFonts w:hAnsi="宋体" w:hint="eastAsia"/>
          <w:bCs/>
          <w:sz w:val="24"/>
        </w:rPr>
        <w:t>29</w:t>
      </w:r>
      <w:r w:rsidR="009402F8" w:rsidRPr="009402F8">
        <w:rPr>
          <w:rFonts w:hAnsi="宋体" w:hint="eastAsia"/>
          <w:bCs/>
          <w:sz w:val="24"/>
        </w:rPr>
        <w:t>日至</w:t>
      </w:r>
      <w:r w:rsidR="009402F8" w:rsidRPr="009402F8">
        <w:rPr>
          <w:rFonts w:hAnsi="宋体" w:hint="eastAsia"/>
          <w:bCs/>
          <w:sz w:val="24"/>
        </w:rPr>
        <w:t>2023</w:t>
      </w:r>
      <w:r w:rsidR="009402F8" w:rsidRPr="009402F8">
        <w:rPr>
          <w:rFonts w:hAnsi="宋体" w:hint="eastAsia"/>
          <w:bCs/>
          <w:sz w:val="24"/>
        </w:rPr>
        <w:t>年</w:t>
      </w:r>
      <w:r w:rsidR="009402F8" w:rsidRPr="009402F8">
        <w:rPr>
          <w:rFonts w:hAnsi="宋体" w:hint="eastAsia"/>
          <w:bCs/>
          <w:sz w:val="24"/>
        </w:rPr>
        <w:t>4</w:t>
      </w:r>
      <w:r w:rsidR="009402F8" w:rsidRPr="009402F8">
        <w:rPr>
          <w:rFonts w:hAnsi="宋体" w:hint="eastAsia"/>
          <w:bCs/>
          <w:sz w:val="24"/>
        </w:rPr>
        <w:t>月</w:t>
      </w:r>
      <w:r w:rsidR="009402F8" w:rsidRPr="009402F8">
        <w:rPr>
          <w:rFonts w:hAnsi="宋体" w:hint="eastAsia"/>
          <w:bCs/>
          <w:sz w:val="24"/>
        </w:rPr>
        <w:t>13</w:t>
      </w:r>
      <w:r w:rsidR="009402F8" w:rsidRPr="009402F8">
        <w:rPr>
          <w:rFonts w:hAnsi="宋体" w:hint="eastAsia"/>
          <w:bCs/>
          <w:sz w:val="24"/>
        </w:rPr>
        <w:t>日任汇添富中证环境治理指数型证券投资基金</w:t>
      </w:r>
      <w:r w:rsidR="009402F8" w:rsidRPr="009402F8">
        <w:rPr>
          <w:rFonts w:hAnsi="宋体" w:hint="eastAsia"/>
          <w:bCs/>
          <w:sz w:val="24"/>
        </w:rPr>
        <w:t>(LOF)</w:t>
      </w:r>
      <w:r w:rsidR="009402F8" w:rsidRPr="009402F8">
        <w:rPr>
          <w:rFonts w:hAnsi="宋体" w:hint="eastAsia"/>
          <w:bCs/>
          <w:sz w:val="24"/>
        </w:rPr>
        <w:t>的基金经理。</w:t>
      </w:r>
      <w:r w:rsidR="009402F8" w:rsidRPr="009402F8">
        <w:rPr>
          <w:rFonts w:hAnsi="宋体" w:hint="eastAsia"/>
          <w:bCs/>
          <w:sz w:val="24"/>
        </w:rPr>
        <w:t>2017</w:t>
      </w:r>
      <w:r w:rsidR="009402F8" w:rsidRPr="009402F8">
        <w:rPr>
          <w:rFonts w:hAnsi="宋体" w:hint="eastAsia"/>
          <w:bCs/>
          <w:sz w:val="24"/>
        </w:rPr>
        <w:t>年</w:t>
      </w:r>
      <w:r w:rsidR="009402F8" w:rsidRPr="009402F8">
        <w:rPr>
          <w:rFonts w:hAnsi="宋体" w:hint="eastAsia"/>
          <w:bCs/>
          <w:sz w:val="24"/>
        </w:rPr>
        <w:t>5</w:t>
      </w:r>
      <w:r w:rsidR="009402F8" w:rsidRPr="009402F8">
        <w:rPr>
          <w:rFonts w:hAnsi="宋体" w:hint="eastAsia"/>
          <w:bCs/>
          <w:sz w:val="24"/>
        </w:rPr>
        <w:t>月</w:t>
      </w:r>
      <w:r w:rsidR="009402F8" w:rsidRPr="009402F8">
        <w:rPr>
          <w:rFonts w:hAnsi="宋体" w:hint="eastAsia"/>
          <w:bCs/>
          <w:sz w:val="24"/>
        </w:rPr>
        <w:t>18</w:t>
      </w:r>
      <w:r w:rsidR="009402F8" w:rsidRPr="009402F8">
        <w:rPr>
          <w:rFonts w:hAnsi="宋体" w:hint="eastAsia"/>
          <w:bCs/>
          <w:sz w:val="24"/>
        </w:rPr>
        <w:t>日至今任汇添富优选回报灵活配置混合型证券投资基金的基金经理。</w:t>
      </w:r>
      <w:r w:rsidR="009402F8" w:rsidRPr="009402F8">
        <w:rPr>
          <w:rFonts w:hAnsi="宋体" w:hint="eastAsia"/>
          <w:bCs/>
          <w:sz w:val="24"/>
        </w:rPr>
        <w:t>2017</w:t>
      </w:r>
      <w:r w:rsidR="009402F8" w:rsidRPr="009402F8">
        <w:rPr>
          <w:rFonts w:hAnsi="宋体" w:hint="eastAsia"/>
          <w:bCs/>
          <w:sz w:val="24"/>
        </w:rPr>
        <w:t>年</w:t>
      </w:r>
      <w:r w:rsidR="009402F8" w:rsidRPr="009402F8">
        <w:rPr>
          <w:rFonts w:hAnsi="宋体" w:hint="eastAsia"/>
          <w:bCs/>
          <w:sz w:val="24"/>
        </w:rPr>
        <w:t>11</w:t>
      </w:r>
      <w:r w:rsidR="009402F8" w:rsidRPr="009402F8">
        <w:rPr>
          <w:rFonts w:hAnsi="宋体" w:hint="eastAsia"/>
          <w:bCs/>
          <w:sz w:val="24"/>
        </w:rPr>
        <w:t>月</w:t>
      </w:r>
      <w:r w:rsidR="009402F8" w:rsidRPr="009402F8">
        <w:rPr>
          <w:rFonts w:hAnsi="宋体" w:hint="eastAsia"/>
          <w:bCs/>
          <w:sz w:val="24"/>
        </w:rPr>
        <w:t>24</w:t>
      </w:r>
      <w:r w:rsidR="009402F8" w:rsidRPr="009402F8">
        <w:rPr>
          <w:rFonts w:hAnsi="宋体" w:hint="eastAsia"/>
          <w:bCs/>
          <w:sz w:val="24"/>
        </w:rPr>
        <w:t>日至</w:t>
      </w:r>
      <w:r w:rsidR="009402F8" w:rsidRPr="009402F8">
        <w:rPr>
          <w:rFonts w:hAnsi="宋体" w:hint="eastAsia"/>
          <w:bCs/>
          <w:sz w:val="24"/>
        </w:rPr>
        <w:t>2023</w:t>
      </w:r>
      <w:r w:rsidR="009402F8" w:rsidRPr="009402F8">
        <w:rPr>
          <w:rFonts w:hAnsi="宋体" w:hint="eastAsia"/>
          <w:bCs/>
          <w:sz w:val="24"/>
        </w:rPr>
        <w:t>年</w:t>
      </w:r>
      <w:r w:rsidR="009402F8" w:rsidRPr="009402F8">
        <w:rPr>
          <w:rFonts w:hAnsi="宋体" w:hint="eastAsia"/>
          <w:bCs/>
          <w:sz w:val="24"/>
        </w:rPr>
        <w:t>4</w:t>
      </w:r>
      <w:r w:rsidR="009402F8" w:rsidRPr="009402F8">
        <w:rPr>
          <w:rFonts w:hAnsi="宋体" w:hint="eastAsia"/>
          <w:bCs/>
          <w:sz w:val="24"/>
        </w:rPr>
        <w:t>月</w:t>
      </w:r>
      <w:r w:rsidR="009402F8" w:rsidRPr="009402F8">
        <w:rPr>
          <w:rFonts w:hAnsi="宋体" w:hint="eastAsia"/>
          <w:bCs/>
          <w:sz w:val="24"/>
        </w:rPr>
        <w:t>13</w:t>
      </w:r>
      <w:r w:rsidR="009402F8" w:rsidRPr="009402F8">
        <w:rPr>
          <w:rFonts w:hAnsi="宋体" w:hint="eastAsia"/>
          <w:bCs/>
          <w:sz w:val="24"/>
        </w:rPr>
        <w:t>日任汇添富中证港股通高股息投资</w:t>
      </w:r>
      <w:r w:rsidR="009402F8" w:rsidRPr="009402F8">
        <w:rPr>
          <w:rFonts w:hAnsi="宋体" w:hint="eastAsia"/>
          <w:bCs/>
          <w:sz w:val="24"/>
        </w:rPr>
        <w:lastRenderedPageBreak/>
        <w:t>指数发起式证券投资基金</w:t>
      </w:r>
      <w:r w:rsidR="009402F8" w:rsidRPr="009402F8">
        <w:rPr>
          <w:rFonts w:hAnsi="宋体" w:hint="eastAsia"/>
          <w:bCs/>
          <w:sz w:val="24"/>
        </w:rPr>
        <w:t>(LOF)</w:t>
      </w:r>
      <w:r w:rsidR="009402F8" w:rsidRPr="009402F8">
        <w:rPr>
          <w:rFonts w:hAnsi="宋体" w:hint="eastAsia"/>
          <w:bCs/>
          <w:sz w:val="24"/>
        </w:rPr>
        <w:t>的基金经理。</w:t>
      </w:r>
      <w:r w:rsidR="009402F8" w:rsidRPr="009402F8">
        <w:rPr>
          <w:rFonts w:hAnsi="宋体" w:hint="eastAsia"/>
          <w:bCs/>
          <w:sz w:val="24"/>
        </w:rPr>
        <w:t>2021</w:t>
      </w:r>
      <w:r w:rsidR="009402F8" w:rsidRPr="009402F8">
        <w:rPr>
          <w:rFonts w:hAnsi="宋体" w:hint="eastAsia"/>
          <w:bCs/>
          <w:sz w:val="24"/>
        </w:rPr>
        <w:t>年</w:t>
      </w:r>
      <w:r w:rsidR="009402F8" w:rsidRPr="009402F8">
        <w:rPr>
          <w:rFonts w:hAnsi="宋体" w:hint="eastAsia"/>
          <w:bCs/>
          <w:sz w:val="24"/>
        </w:rPr>
        <w:t>10</w:t>
      </w:r>
      <w:r w:rsidR="009402F8" w:rsidRPr="009402F8">
        <w:rPr>
          <w:rFonts w:hAnsi="宋体" w:hint="eastAsia"/>
          <w:bCs/>
          <w:sz w:val="24"/>
        </w:rPr>
        <w:t>月</w:t>
      </w:r>
      <w:r w:rsidR="009402F8" w:rsidRPr="009402F8">
        <w:rPr>
          <w:rFonts w:hAnsi="宋体" w:hint="eastAsia"/>
          <w:bCs/>
          <w:sz w:val="24"/>
        </w:rPr>
        <w:t>26</w:t>
      </w:r>
      <w:r w:rsidR="009402F8" w:rsidRPr="009402F8">
        <w:rPr>
          <w:rFonts w:hAnsi="宋体" w:hint="eastAsia"/>
          <w:bCs/>
          <w:sz w:val="24"/>
        </w:rPr>
        <w:t>日至今任汇添富中证沪港深消费龙头指数型发起式证券投资基金的基金经理。</w:t>
      </w:r>
      <w:r w:rsidR="009402F8" w:rsidRPr="009402F8">
        <w:rPr>
          <w:rFonts w:hAnsi="宋体" w:hint="eastAsia"/>
          <w:bCs/>
          <w:sz w:val="24"/>
        </w:rPr>
        <w:t>2021</w:t>
      </w:r>
      <w:r w:rsidR="009402F8" w:rsidRPr="009402F8">
        <w:rPr>
          <w:rFonts w:hAnsi="宋体" w:hint="eastAsia"/>
          <w:bCs/>
          <w:sz w:val="24"/>
        </w:rPr>
        <w:t>年</w:t>
      </w:r>
      <w:r w:rsidR="009402F8" w:rsidRPr="009402F8">
        <w:rPr>
          <w:rFonts w:hAnsi="宋体" w:hint="eastAsia"/>
          <w:bCs/>
          <w:sz w:val="24"/>
        </w:rPr>
        <w:t>10</w:t>
      </w:r>
      <w:r w:rsidR="009402F8" w:rsidRPr="009402F8">
        <w:rPr>
          <w:rFonts w:hAnsi="宋体" w:hint="eastAsia"/>
          <w:bCs/>
          <w:sz w:val="24"/>
        </w:rPr>
        <w:t>月</w:t>
      </w:r>
      <w:r w:rsidR="009402F8" w:rsidRPr="009402F8">
        <w:rPr>
          <w:rFonts w:hAnsi="宋体" w:hint="eastAsia"/>
          <w:bCs/>
          <w:sz w:val="24"/>
        </w:rPr>
        <w:t>26</w:t>
      </w:r>
      <w:r w:rsidR="009402F8" w:rsidRPr="009402F8">
        <w:rPr>
          <w:rFonts w:hAnsi="宋体" w:hint="eastAsia"/>
          <w:bCs/>
          <w:sz w:val="24"/>
        </w:rPr>
        <w:t>日至今任汇添富中证光伏产业指数增强型发起式证券投资基金的基金经理。</w:t>
      </w:r>
      <w:r w:rsidR="009402F8" w:rsidRPr="009402F8">
        <w:rPr>
          <w:rFonts w:hAnsi="宋体" w:hint="eastAsia"/>
          <w:bCs/>
          <w:sz w:val="24"/>
        </w:rPr>
        <w:t>2022</w:t>
      </w:r>
      <w:r w:rsidR="009402F8" w:rsidRPr="009402F8">
        <w:rPr>
          <w:rFonts w:hAnsi="宋体" w:hint="eastAsia"/>
          <w:bCs/>
          <w:sz w:val="24"/>
        </w:rPr>
        <w:t>年</w:t>
      </w:r>
      <w:r w:rsidR="009402F8" w:rsidRPr="009402F8">
        <w:rPr>
          <w:rFonts w:hAnsi="宋体" w:hint="eastAsia"/>
          <w:bCs/>
          <w:sz w:val="24"/>
        </w:rPr>
        <w:t>3</w:t>
      </w:r>
      <w:r w:rsidR="009402F8" w:rsidRPr="009402F8">
        <w:rPr>
          <w:rFonts w:hAnsi="宋体" w:hint="eastAsia"/>
          <w:bCs/>
          <w:sz w:val="24"/>
        </w:rPr>
        <w:t>月</w:t>
      </w:r>
      <w:r w:rsidR="009402F8" w:rsidRPr="009402F8">
        <w:rPr>
          <w:rFonts w:hAnsi="宋体" w:hint="eastAsia"/>
          <w:bCs/>
          <w:sz w:val="24"/>
        </w:rPr>
        <w:t>29</w:t>
      </w:r>
      <w:r w:rsidR="009402F8" w:rsidRPr="009402F8">
        <w:rPr>
          <w:rFonts w:hAnsi="宋体" w:hint="eastAsia"/>
          <w:bCs/>
          <w:sz w:val="24"/>
        </w:rPr>
        <w:t>日至今任汇添富中证科创创业</w:t>
      </w:r>
      <w:r w:rsidR="009402F8" w:rsidRPr="009402F8">
        <w:rPr>
          <w:rFonts w:hAnsi="宋体" w:hint="eastAsia"/>
          <w:bCs/>
          <w:sz w:val="24"/>
        </w:rPr>
        <w:t>50</w:t>
      </w:r>
      <w:r w:rsidR="009402F8" w:rsidRPr="009402F8">
        <w:rPr>
          <w:rFonts w:hAnsi="宋体" w:hint="eastAsia"/>
          <w:bCs/>
          <w:sz w:val="24"/>
        </w:rPr>
        <w:t>指数增强型发起式证券投资基金的基金经理。</w:t>
      </w:r>
      <w:r w:rsidR="009402F8" w:rsidRPr="009402F8">
        <w:rPr>
          <w:rFonts w:hAnsi="宋体" w:hint="eastAsia"/>
          <w:bCs/>
          <w:sz w:val="24"/>
        </w:rPr>
        <w:t>2022</w:t>
      </w:r>
      <w:r w:rsidR="009402F8" w:rsidRPr="009402F8">
        <w:rPr>
          <w:rFonts w:hAnsi="宋体" w:hint="eastAsia"/>
          <w:bCs/>
          <w:sz w:val="24"/>
        </w:rPr>
        <w:t>年</w:t>
      </w:r>
      <w:r w:rsidR="009402F8" w:rsidRPr="009402F8">
        <w:rPr>
          <w:rFonts w:hAnsi="宋体" w:hint="eastAsia"/>
          <w:bCs/>
          <w:sz w:val="24"/>
        </w:rPr>
        <w:t>7</w:t>
      </w:r>
      <w:r w:rsidR="009402F8" w:rsidRPr="009402F8">
        <w:rPr>
          <w:rFonts w:hAnsi="宋体" w:hint="eastAsia"/>
          <w:bCs/>
          <w:sz w:val="24"/>
        </w:rPr>
        <w:t>月</w:t>
      </w:r>
      <w:r w:rsidR="009402F8" w:rsidRPr="009402F8">
        <w:rPr>
          <w:rFonts w:hAnsi="宋体" w:hint="eastAsia"/>
          <w:bCs/>
          <w:sz w:val="24"/>
        </w:rPr>
        <w:t>5</w:t>
      </w:r>
      <w:r w:rsidR="009402F8" w:rsidRPr="009402F8">
        <w:rPr>
          <w:rFonts w:hAnsi="宋体" w:hint="eastAsia"/>
          <w:bCs/>
          <w:sz w:val="24"/>
        </w:rPr>
        <w:t>日至今任汇添富恒生香港上市生物科技交易型开放式指数证券投资基金（</w:t>
      </w:r>
      <w:r w:rsidR="009402F8" w:rsidRPr="009402F8">
        <w:rPr>
          <w:rFonts w:hAnsi="宋体" w:hint="eastAsia"/>
          <w:bCs/>
          <w:sz w:val="24"/>
        </w:rPr>
        <w:t>QDII</w:t>
      </w:r>
      <w:r w:rsidR="009402F8" w:rsidRPr="009402F8">
        <w:rPr>
          <w:rFonts w:hAnsi="宋体" w:hint="eastAsia"/>
          <w:bCs/>
          <w:sz w:val="24"/>
        </w:rPr>
        <w:t>）的基金经理。</w:t>
      </w:r>
    </w:p>
    <w:p w14:paraId="47A4A901" w14:textId="77777777" w:rsidR="0037652E" w:rsidRDefault="00BF49B0">
      <w:pPr>
        <w:autoSpaceDE w:val="0"/>
        <w:autoSpaceDN w:val="0"/>
        <w:adjustRightInd w:val="0"/>
        <w:snapToGrid w:val="0"/>
        <w:spacing w:line="360" w:lineRule="auto"/>
        <w:ind w:firstLine="420"/>
        <w:rPr>
          <w:rFonts w:hAnsi="宋体"/>
          <w:sz w:val="24"/>
        </w:rPr>
      </w:pPr>
      <w:r>
        <w:rPr>
          <w:rFonts w:hAnsi="宋体"/>
          <w:sz w:val="24"/>
        </w:rPr>
        <w:t>2</w:t>
      </w:r>
      <w:r>
        <w:rPr>
          <w:rFonts w:hAnsi="宋体"/>
          <w:sz w:val="24"/>
        </w:rPr>
        <w:t>、历任基金经理</w:t>
      </w:r>
    </w:p>
    <w:p w14:paraId="12F4546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刘子龙，</w:t>
      </w:r>
      <w:r>
        <w:rPr>
          <w:rFonts w:hAnsi="宋体" w:hint="eastAsia"/>
          <w:bCs/>
          <w:sz w:val="24"/>
          <w:szCs w:val="24"/>
        </w:rPr>
        <w:t>2011</w:t>
      </w:r>
      <w:r>
        <w:rPr>
          <w:rFonts w:hAnsi="宋体" w:hint="eastAsia"/>
          <w:bCs/>
          <w:sz w:val="24"/>
          <w:szCs w:val="24"/>
        </w:rPr>
        <w:t>年</w:t>
      </w:r>
      <w:r>
        <w:rPr>
          <w:rFonts w:hAnsi="宋体" w:hint="eastAsia"/>
          <w:bCs/>
          <w:sz w:val="24"/>
          <w:szCs w:val="24"/>
        </w:rPr>
        <w:t>8</w:t>
      </w:r>
      <w:r>
        <w:rPr>
          <w:rFonts w:hAnsi="宋体" w:hint="eastAsia"/>
          <w:bCs/>
          <w:sz w:val="24"/>
          <w:szCs w:val="24"/>
        </w:rPr>
        <w:t>月</w:t>
      </w:r>
      <w:r>
        <w:rPr>
          <w:rFonts w:hAnsi="宋体" w:hint="eastAsia"/>
          <w:bCs/>
          <w:sz w:val="24"/>
          <w:szCs w:val="24"/>
        </w:rPr>
        <w:t>31</w:t>
      </w:r>
      <w:r>
        <w:rPr>
          <w:rFonts w:hAnsi="宋体" w:hint="eastAsia"/>
          <w:bCs/>
          <w:sz w:val="24"/>
          <w:szCs w:val="24"/>
        </w:rPr>
        <w:t>日至</w:t>
      </w:r>
      <w:r>
        <w:rPr>
          <w:rFonts w:hAnsi="宋体" w:hint="eastAsia"/>
          <w:bCs/>
          <w:sz w:val="24"/>
          <w:szCs w:val="24"/>
        </w:rPr>
        <w:t>2012</w:t>
      </w:r>
      <w:r>
        <w:rPr>
          <w:rFonts w:hAnsi="宋体" w:hint="eastAsia"/>
          <w:bCs/>
          <w:sz w:val="24"/>
          <w:szCs w:val="24"/>
        </w:rPr>
        <w:t>年</w:t>
      </w:r>
      <w:r>
        <w:rPr>
          <w:rFonts w:hAnsi="宋体" w:hint="eastAsia"/>
          <w:bCs/>
          <w:sz w:val="24"/>
          <w:szCs w:val="24"/>
        </w:rPr>
        <w:t>11</w:t>
      </w:r>
      <w:r>
        <w:rPr>
          <w:rFonts w:hAnsi="宋体" w:hint="eastAsia"/>
          <w:bCs/>
          <w:sz w:val="24"/>
          <w:szCs w:val="24"/>
        </w:rPr>
        <w:t>月</w:t>
      </w:r>
      <w:r>
        <w:rPr>
          <w:rFonts w:hAnsi="宋体" w:hint="eastAsia"/>
          <w:bCs/>
          <w:sz w:val="24"/>
          <w:szCs w:val="24"/>
        </w:rPr>
        <w:t>1</w:t>
      </w:r>
      <w:r>
        <w:rPr>
          <w:rFonts w:hAnsi="宋体" w:hint="eastAsia"/>
          <w:bCs/>
          <w:sz w:val="24"/>
          <w:szCs w:val="24"/>
        </w:rPr>
        <w:t>日任汇添富黄金及贵金属证券投资基金（</w:t>
      </w:r>
      <w:r>
        <w:rPr>
          <w:rFonts w:hAnsi="宋体" w:hint="eastAsia"/>
          <w:bCs/>
          <w:sz w:val="24"/>
          <w:szCs w:val="24"/>
        </w:rPr>
        <w:t>LOF</w:t>
      </w:r>
      <w:r>
        <w:rPr>
          <w:rFonts w:hAnsi="宋体"/>
          <w:bCs/>
          <w:sz w:val="24"/>
          <w:szCs w:val="24"/>
        </w:rPr>
        <w:t>）</w:t>
      </w:r>
      <w:r>
        <w:rPr>
          <w:rFonts w:hAnsi="宋体" w:hint="eastAsia"/>
          <w:bCs/>
          <w:sz w:val="24"/>
          <w:szCs w:val="24"/>
        </w:rPr>
        <w:t>的基金经理。</w:t>
      </w:r>
    </w:p>
    <w:p w14:paraId="42576A8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（五）投资决策委员会</w:t>
      </w:r>
    </w:p>
    <w:p w14:paraId="2E9EBF32" w14:textId="77777777" w:rsidR="0037652E" w:rsidRDefault="00BF49B0">
      <w:pPr>
        <w:widowControl/>
        <w:adjustRightInd w:val="0"/>
        <w:snapToGrid w:val="0"/>
        <w:spacing w:line="360" w:lineRule="auto"/>
        <w:ind w:firstLine="420"/>
        <w:rPr>
          <w:rFonts w:ascii="宋体" w:hAnsi="宋体"/>
          <w:bCs/>
          <w:sz w:val="24"/>
          <w:szCs w:val="24"/>
        </w:rPr>
      </w:pPr>
      <w:r>
        <w:rPr>
          <w:rFonts w:ascii="宋体" w:hAnsi="宋体" w:hint="eastAsia"/>
          <w:bCs/>
          <w:sz w:val="24"/>
          <w:szCs w:val="24"/>
        </w:rPr>
        <w:t>主席：袁建军（副总经理）</w:t>
      </w:r>
    </w:p>
    <w:p w14:paraId="1B19A833" w14:textId="666204C2" w:rsidR="0037652E" w:rsidRDefault="000C761B">
      <w:pPr>
        <w:widowControl/>
        <w:adjustRightInd w:val="0"/>
        <w:snapToGrid w:val="0"/>
        <w:spacing w:line="360" w:lineRule="auto"/>
        <w:ind w:firstLine="420"/>
        <w:rPr>
          <w:rFonts w:ascii="宋体" w:hAnsi="宋体"/>
          <w:bCs/>
          <w:sz w:val="24"/>
          <w:szCs w:val="24"/>
        </w:rPr>
      </w:pPr>
      <w:r w:rsidRPr="000C761B">
        <w:rPr>
          <w:rFonts w:ascii="宋体" w:hAnsi="宋体" w:hint="eastAsia"/>
          <w:bCs/>
          <w:sz w:val="24"/>
          <w:szCs w:val="24"/>
        </w:rPr>
        <w:t>成员：邵佳民（首席固收投资官）、王栩（总经理助理，权益投资总监）、劳杰男（研究总监，基金经理）、韩贤旺（首席经济学家，国际业务部总监）、宋鹏（养老金投资部总监）</w:t>
      </w:r>
    </w:p>
    <w:p w14:paraId="4256677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（六）上述人员之间不存在近亲属关系。</w:t>
      </w:r>
    </w:p>
    <w:p w14:paraId="07CD4B1B"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三、基金管理人的职责</w:t>
      </w:r>
      <w:r>
        <w:rPr>
          <w:rFonts w:hAnsi="宋体" w:hint="eastAsia"/>
          <w:b/>
          <w:bCs/>
          <w:sz w:val="24"/>
          <w:szCs w:val="24"/>
        </w:rPr>
        <w:t xml:space="preserve"> </w:t>
      </w:r>
    </w:p>
    <w:p w14:paraId="69C707B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根据《基金法》、《运作办法》及其他法律、法规的规定，基金管理人应履行以下职责：</w:t>
      </w:r>
      <w:r>
        <w:rPr>
          <w:rFonts w:hAnsi="宋体" w:hint="eastAsia"/>
          <w:bCs/>
          <w:sz w:val="24"/>
          <w:szCs w:val="24"/>
        </w:rPr>
        <w:t xml:space="preserve"> </w:t>
      </w:r>
    </w:p>
    <w:p w14:paraId="138037E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、依法募集基金，办理或者委托经中国证监会认定的其他机构代为办理基金份额的发售、申购、赎回和登记事宜；</w:t>
      </w:r>
      <w:r>
        <w:rPr>
          <w:rFonts w:hAnsi="宋体" w:hint="eastAsia"/>
          <w:bCs/>
          <w:sz w:val="24"/>
          <w:szCs w:val="24"/>
        </w:rPr>
        <w:t xml:space="preserve"> </w:t>
      </w:r>
    </w:p>
    <w:p w14:paraId="38ED376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、办理基金备案手续；</w:t>
      </w:r>
      <w:r>
        <w:rPr>
          <w:rFonts w:hAnsi="宋体" w:hint="eastAsia"/>
          <w:bCs/>
          <w:sz w:val="24"/>
          <w:szCs w:val="24"/>
        </w:rPr>
        <w:t xml:space="preserve"> </w:t>
      </w:r>
    </w:p>
    <w:p w14:paraId="7F73B49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、对所管理的不同基金财产分别管理、分别记账，进行证券投资；</w:t>
      </w:r>
      <w:r>
        <w:rPr>
          <w:rFonts w:hAnsi="宋体" w:hint="eastAsia"/>
          <w:bCs/>
          <w:sz w:val="24"/>
          <w:szCs w:val="24"/>
        </w:rPr>
        <w:t xml:space="preserve"> </w:t>
      </w:r>
    </w:p>
    <w:p w14:paraId="14E347C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、按照基金合同的约定确定基金收益分配方案，及时足额向基金份额持有人分配收益；</w:t>
      </w:r>
      <w:r>
        <w:rPr>
          <w:rFonts w:hAnsi="宋体" w:hint="eastAsia"/>
          <w:bCs/>
          <w:sz w:val="24"/>
          <w:szCs w:val="24"/>
        </w:rPr>
        <w:t xml:space="preserve"> </w:t>
      </w:r>
    </w:p>
    <w:p w14:paraId="6E45E8D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、进行基金会计核算并编制基金财务会计报告；</w:t>
      </w:r>
      <w:r>
        <w:rPr>
          <w:rFonts w:hAnsi="宋体" w:hint="eastAsia"/>
          <w:bCs/>
          <w:sz w:val="24"/>
          <w:szCs w:val="24"/>
        </w:rPr>
        <w:t xml:space="preserve"> </w:t>
      </w:r>
    </w:p>
    <w:p w14:paraId="0B03A0B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6</w:t>
      </w:r>
      <w:r>
        <w:rPr>
          <w:rFonts w:hAnsi="宋体" w:hint="eastAsia"/>
          <w:bCs/>
          <w:sz w:val="24"/>
          <w:szCs w:val="24"/>
        </w:rPr>
        <w:t>、编制基金季度报告、中期报告和年度报告；</w:t>
      </w:r>
      <w:r>
        <w:rPr>
          <w:rFonts w:hAnsi="宋体" w:hint="eastAsia"/>
          <w:bCs/>
          <w:sz w:val="24"/>
          <w:szCs w:val="24"/>
        </w:rPr>
        <w:t xml:space="preserve"> </w:t>
      </w:r>
    </w:p>
    <w:p w14:paraId="2539169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7</w:t>
      </w:r>
      <w:r>
        <w:rPr>
          <w:rFonts w:hAnsi="宋体" w:hint="eastAsia"/>
          <w:bCs/>
          <w:sz w:val="24"/>
          <w:szCs w:val="24"/>
        </w:rPr>
        <w:t>、计算并公告基金净值信息，确定基金份额申购、赎回价格；</w:t>
      </w:r>
      <w:r>
        <w:rPr>
          <w:rFonts w:hAnsi="宋体" w:hint="eastAsia"/>
          <w:bCs/>
          <w:sz w:val="24"/>
          <w:szCs w:val="24"/>
        </w:rPr>
        <w:t xml:space="preserve"> </w:t>
      </w:r>
    </w:p>
    <w:p w14:paraId="1A24B31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8</w:t>
      </w:r>
      <w:r>
        <w:rPr>
          <w:rFonts w:hAnsi="宋体" w:hint="eastAsia"/>
          <w:bCs/>
          <w:sz w:val="24"/>
          <w:szCs w:val="24"/>
        </w:rPr>
        <w:t>、办理与基金财产管理业务活动有关的信息披露事项；</w:t>
      </w:r>
      <w:r>
        <w:rPr>
          <w:rFonts w:hAnsi="宋体" w:hint="eastAsia"/>
          <w:bCs/>
          <w:sz w:val="24"/>
          <w:szCs w:val="24"/>
        </w:rPr>
        <w:t xml:space="preserve"> </w:t>
      </w:r>
    </w:p>
    <w:p w14:paraId="0CF6519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9</w:t>
      </w:r>
      <w:r>
        <w:rPr>
          <w:rFonts w:hAnsi="宋体" w:hint="eastAsia"/>
          <w:bCs/>
          <w:sz w:val="24"/>
          <w:szCs w:val="24"/>
        </w:rPr>
        <w:t>、召集基金份额持有人大会；</w:t>
      </w:r>
      <w:r>
        <w:rPr>
          <w:rFonts w:hAnsi="宋体" w:hint="eastAsia"/>
          <w:bCs/>
          <w:sz w:val="24"/>
          <w:szCs w:val="24"/>
        </w:rPr>
        <w:t xml:space="preserve"> </w:t>
      </w:r>
    </w:p>
    <w:p w14:paraId="60A4F37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10</w:t>
      </w:r>
      <w:r>
        <w:rPr>
          <w:rFonts w:hAnsi="宋体" w:hint="eastAsia"/>
          <w:bCs/>
          <w:sz w:val="24"/>
          <w:szCs w:val="24"/>
        </w:rPr>
        <w:t>、保存基金财产管理业务活动的记录、账册、报表和其他相关资料；</w:t>
      </w:r>
      <w:r>
        <w:rPr>
          <w:rFonts w:hAnsi="宋体" w:hint="eastAsia"/>
          <w:bCs/>
          <w:sz w:val="24"/>
          <w:szCs w:val="24"/>
        </w:rPr>
        <w:t xml:space="preserve"> </w:t>
      </w:r>
    </w:p>
    <w:p w14:paraId="331CB50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lastRenderedPageBreak/>
        <w:t>11</w:t>
      </w:r>
      <w:r>
        <w:rPr>
          <w:rFonts w:hAnsi="宋体" w:hint="eastAsia"/>
          <w:bCs/>
          <w:sz w:val="24"/>
          <w:szCs w:val="24"/>
        </w:rPr>
        <w:t>、以基金管理人名义，代表基金份额持有人利益行使诉讼权利或者实施其他法律行为；</w:t>
      </w:r>
      <w:r>
        <w:rPr>
          <w:rFonts w:hAnsi="宋体" w:hint="eastAsia"/>
          <w:bCs/>
          <w:sz w:val="24"/>
          <w:szCs w:val="24"/>
        </w:rPr>
        <w:t xml:space="preserve"> </w:t>
      </w:r>
    </w:p>
    <w:p w14:paraId="6F59D27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12</w:t>
      </w:r>
      <w:r>
        <w:rPr>
          <w:rFonts w:hAnsi="宋体" w:hint="eastAsia"/>
          <w:bCs/>
          <w:sz w:val="24"/>
          <w:szCs w:val="24"/>
        </w:rPr>
        <w:t>、有关法律法规、中国证监会和《基金合同》规定的其他职责。</w:t>
      </w:r>
      <w:r>
        <w:rPr>
          <w:rFonts w:hAnsi="宋体" w:hint="eastAsia"/>
          <w:bCs/>
          <w:sz w:val="24"/>
          <w:szCs w:val="24"/>
        </w:rPr>
        <w:t xml:space="preserve"> </w:t>
      </w:r>
    </w:p>
    <w:p w14:paraId="63EC01E9"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四、基金管理人和基金经理的承诺</w:t>
      </w:r>
      <w:r>
        <w:rPr>
          <w:rFonts w:hAnsi="宋体" w:hint="eastAsia"/>
          <w:b/>
          <w:bCs/>
          <w:sz w:val="24"/>
          <w:szCs w:val="24"/>
        </w:rPr>
        <w:t xml:space="preserve"> </w:t>
      </w:r>
    </w:p>
    <w:p w14:paraId="70122A0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r>
        <w:rPr>
          <w:rFonts w:hAnsi="宋体" w:hint="eastAsia"/>
          <w:bCs/>
          <w:sz w:val="24"/>
          <w:szCs w:val="24"/>
        </w:rPr>
        <w:t xml:space="preserve"> </w:t>
      </w:r>
    </w:p>
    <w:p w14:paraId="03E314F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、本基金管理人承诺严格遵守《中华人民共和国证券法》、《基金法》及有关法律法规，建立健全的内部控制制度，采取有效措施，防止下列行为发生：</w:t>
      </w:r>
      <w:r>
        <w:rPr>
          <w:rFonts w:hAnsi="宋体" w:hint="eastAsia"/>
          <w:bCs/>
          <w:sz w:val="24"/>
          <w:szCs w:val="24"/>
        </w:rPr>
        <w:t xml:space="preserve"> </w:t>
      </w:r>
    </w:p>
    <w:p w14:paraId="39A88AC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w:t>
      </w:r>
      <w:r>
        <w:rPr>
          <w:rFonts w:hAnsi="宋体" w:hint="eastAsia"/>
          <w:bCs/>
          <w:sz w:val="24"/>
          <w:szCs w:val="24"/>
        </w:rPr>
        <w:t>）</w:t>
      </w:r>
      <w:r>
        <w:rPr>
          <w:rFonts w:hAnsi="宋体" w:hint="eastAsia"/>
          <w:bCs/>
          <w:sz w:val="24"/>
          <w:szCs w:val="24"/>
        </w:rPr>
        <w:t xml:space="preserve"> </w:t>
      </w:r>
      <w:r>
        <w:rPr>
          <w:rFonts w:hAnsi="宋体" w:hint="eastAsia"/>
          <w:bCs/>
          <w:sz w:val="24"/>
          <w:szCs w:val="24"/>
        </w:rPr>
        <w:t>将其固有财产或者他人财产混同于基金财产从事证券投资；</w:t>
      </w:r>
      <w:r>
        <w:rPr>
          <w:rFonts w:hAnsi="宋体" w:hint="eastAsia"/>
          <w:bCs/>
          <w:sz w:val="24"/>
          <w:szCs w:val="24"/>
        </w:rPr>
        <w:t xml:space="preserve"> </w:t>
      </w:r>
    </w:p>
    <w:p w14:paraId="11E07A2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2</w:t>
      </w:r>
      <w:r>
        <w:rPr>
          <w:rFonts w:hAnsi="宋体" w:hint="eastAsia"/>
          <w:bCs/>
          <w:sz w:val="24"/>
          <w:szCs w:val="24"/>
        </w:rPr>
        <w:t>）</w:t>
      </w:r>
      <w:r>
        <w:rPr>
          <w:rFonts w:hAnsi="宋体" w:hint="eastAsia"/>
          <w:bCs/>
          <w:sz w:val="24"/>
          <w:szCs w:val="24"/>
        </w:rPr>
        <w:t xml:space="preserve"> </w:t>
      </w:r>
      <w:r>
        <w:rPr>
          <w:rFonts w:hAnsi="宋体" w:hint="eastAsia"/>
          <w:bCs/>
          <w:sz w:val="24"/>
          <w:szCs w:val="24"/>
        </w:rPr>
        <w:t>不公平地对待其管理的不同基金财产；</w:t>
      </w:r>
      <w:r>
        <w:rPr>
          <w:rFonts w:hAnsi="宋体" w:hint="eastAsia"/>
          <w:bCs/>
          <w:sz w:val="24"/>
          <w:szCs w:val="24"/>
        </w:rPr>
        <w:t xml:space="preserve"> </w:t>
      </w:r>
    </w:p>
    <w:p w14:paraId="6BBA70F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3</w:t>
      </w:r>
      <w:r>
        <w:rPr>
          <w:rFonts w:hAnsi="宋体" w:hint="eastAsia"/>
          <w:bCs/>
          <w:sz w:val="24"/>
          <w:szCs w:val="24"/>
        </w:rPr>
        <w:t>）</w:t>
      </w:r>
      <w:r>
        <w:rPr>
          <w:rFonts w:hAnsi="宋体" w:hint="eastAsia"/>
          <w:bCs/>
          <w:sz w:val="24"/>
          <w:szCs w:val="24"/>
        </w:rPr>
        <w:t xml:space="preserve"> </w:t>
      </w:r>
      <w:r>
        <w:rPr>
          <w:rFonts w:hAnsi="宋体" w:hint="eastAsia"/>
          <w:bCs/>
          <w:sz w:val="24"/>
          <w:szCs w:val="24"/>
        </w:rPr>
        <w:t>利用基金财产为基金份额持有人以外的第三人谋取利益；</w:t>
      </w:r>
      <w:r>
        <w:rPr>
          <w:rFonts w:hAnsi="宋体" w:hint="eastAsia"/>
          <w:bCs/>
          <w:sz w:val="24"/>
          <w:szCs w:val="24"/>
        </w:rPr>
        <w:t xml:space="preserve"> </w:t>
      </w:r>
    </w:p>
    <w:p w14:paraId="6A8DD02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4</w:t>
      </w:r>
      <w:r>
        <w:rPr>
          <w:rFonts w:hAnsi="宋体" w:hint="eastAsia"/>
          <w:bCs/>
          <w:sz w:val="24"/>
          <w:szCs w:val="24"/>
        </w:rPr>
        <w:t>）</w:t>
      </w:r>
      <w:r>
        <w:rPr>
          <w:rFonts w:hAnsi="宋体" w:hint="eastAsia"/>
          <w:bCs/>
          <w:sz w:val="24"/>
          <w:szCs w:val="24"/>
        </w:rPr>
        <w:t xml:space="preserve"> </w:t>
      </w:r>
      <w:r>
        <w:rPr>
          <w:rFonts w:hAnsi="宋体" w:hint="eastAsia"/>
          <w:bCs/>
          <w:sz w:val="24"/>
          <w:szCs w:val="24"/>
        </w:rPr>
        <w:t>向基金份额持有人违规承诺收益或者承担损失；</w:t>
      </w:r>
      <w:r>
        <w:rPr>
          <w:rFonts w:hAnsi="宋体" w:hint="eastAsia"/>
          <w:bCs/>
          <w:sz w:val="24"/>
          <w:szCs w:val="24"/>
        </w:rPr>
        <w:t xml:space="preserve"> </w:t>
      </w:r>
    </w:p>
    <w:p w14:paraId="5D769EF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5</w:t>
      </w:r>
      <w:r>
        <w:rPr>
          <w:rFonts w:hAnsi="宋体" w:hint="eastAsia"/>
          <w:bCs/>
          <w:sz w:val="24"/>
          <w:szCs w:val="24"/>
        </w:rPr>
        <w:t>）</w:t>
      </w:r>
      <w:r>
        <w:rPr>
          <w:rFonts w:hAnsi="宋体" w:hint="eastAsia"/>
          <w:bCs/>
          <w:sz w:val="24"/>
          <w:szCs w:val="24"/>
        </w:rPr>
        <w:t xml:space="preserve"> </w:t>
      </w:r>
      <w:r>
        <w:rPr>
          <w:rFonts w:hAnsi="宋体" w:hint="eastAsia"/>
          <w:bCs/>
          <w:sz w:val="24"/>
          <w:szCs w:val="24"/>
        </w:rPr>
        <w:t>法律法规或中国证监会禁止的其他行为。</w:t>
      </w:r>
      <w:r>
        <w:rPr>
          <w:rFonts w:hAnsi="宋体" w:hint="eastAsia"/>
          <w:bCs/>
          <w:sz w:val="24"/>
          <w:szCs w:val="24"/>
        </w:rPr>
        <w:t xml:space="preserve"> </w:t>
      </w:r>
    </w:p>
    <w:p w14:paraId="2ABD31D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、本基金管理人承诺加强人员管理，强化职业操守，督促和约束员工遵守国家有关法律、法规及行业规范，诚实信用、勤勉尽责，不从事以下活动：</w:t>
      </w:r>
      <w:r>
        <w:rPr>
          <w:rFonts w:hAnsi="宋体" w:hint="eastAsia"/>
          <w:bCs/>
          <w:sz w:val="24"/>
          <w:szCs w:val="24"/>
        </w:rPr>
        <w:t xml:space="preserve"> </w:t>
      </w:r>
    </w:p>
    <w:p w14:paraId="372CC85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w:t>
      </w:r>
      <w:r>
        <w:rPr>
          <w:rFonts w:hAnsi="宋体" w:hint="eastAsia"/>
          <w:bCs/>
          <w:sz w:val="24"/>
          <w:szCs w:val="24"/>
        </w:rPr>
        <w:t>）</w:t>
      </w:r>
      <w:r>
        <w:rPr>
          <w:rFonts w:hAnsi="宋体" w:hint="eastAsia"/>
          <w:bCs/>
          <w:sz w:val="24"/>
          <w:szCs w:val="24"/>
        </w:rPr>
        <w:t xml:space="preserve"> </w:t>
      </w:r>
      <w:r>
        <w:rPr>
          <w:rFonts w:hAnsi="宋体" w:hint="eastAsia"/>
          <w:bCs/>
          <w:sz w:val="24"/>
          <w:szCs w:val="24"/>
        </w:rPr>
        <w:t>越权或违规经营；</w:t>
      </w:r>
      <w:r>
        <w:rPr>
          <w:rFonts w:hAnsi="宋体" w:hint="eastAsia"/>
          <w:bCs/>
          <w:sz w:val="24"/>
          <w:szCs w:val="24"/>
        </w:rPr>
        <w:t xml:space="preserve"> </w:t>
      </w:r>
    </w:p>
    <w:p w14:paraId="4C0F5C6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2</w:t>
      </w:r>
      <w:r>
        <w:rPr>
          <w:rFonts w:hAnsi="宋体" w:hint="eastAsia"/>
          <w:bCs/>
          <w:sz w:val="24"/>
          <w:szCs w:val="24"/>
        </w:rPr>
        <w:t>）</w:t>
      </w:r>
      <w:r>
        <w:rPr>
          <w:rFonts w:hAnsi="宋体" w:hint="eastAsia"/>
          <w:bCs/>
          <w:sz w:val="24"/>
          <w:szCs w:val="24"/>
        </w:rPr>
        <w:t xml:space="preserve"> </w:t>
      </w:r>
      <w:r>
        <w:rPr>
          <w:rFonts w:hAnsi="宋体" w:hint="eastAsia"/>
          <w:bCs/>
          <w:sz w:val="24"/>
          <w:szCs w:val="24"/>
        </w:rPr>
        <w:t>违反基金合同或托管协议；</w:t>
      </w:r>
      <w:r>
        <w:rPr>
          <w:rFonts w:hAnsi="宋体" w:hint="eastAsia"/>
          <w:bCs/>
          <w:sz w:val="24"/>
          <w:szCs w:val="24"/>
        </w:rPr>
        <w:t xml:space="preserve"> </w:t>
      </w:r>
    </w:p>
    <w:p w14:paraId="04595D6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3</w:t>
      </w:r>
      <w:r>
        <w:rPr>
          <w:rFonts w:hAnsi="宋体" w:hint="eastAsia"/>
          <w:bCs/>
          <w:sz w:val="24"/>
          <w:szCs w:val="24"/>
        </w:rPr>
        <w:t>）</w:t>
      </w:r>
      <w:r>
        <w:rPr>
          <w:rFonts w:hAnsi="宋体" w:hint="eastAsia"/>
          <w:bCs/>
          <w:sz w:val="24"/>
          <w:szCs w:val="24"/>
        </w:rPr>
        <w:t xml:space="preserve"> </w:t>
      </w:r>
      <w:r>
        <w:rPr>
          <w:rFonts w:hAnsi="宋体" w:hint="eastAsia"/>
          <w:bCs/>
          <w:sz w:val="24"/>
          <w:szCs w:val="24"/>
        </w:rPr>
        <w:t>故意损害基金份额持有人或其他基金相关机构的合法利益；</w:t>
      </w:r>
      <w:r>
        <w:rPr>
          <w:rFonts w:hAnsi="宋体" w:hint="eastAsia"/>
          <w:bCs/>
          <w:sz w:val="24"/>
          <w:szCs w:val="24"/>
        </w:rPr>
        <w:t xml:space="preserve"> </w:t>
      </w:r>
    </w:p>
    <w:p w14:paraId="7360D47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4</w:t>
      </w:r>
      <w:r>
        <w:rPr>
          <w:rFonts w:hAnsi="宋体" w:hint="eastAsia"/>
          <w:bCs/>
          <w:sz w:val="24"/>
          <w:szCs w:val="24"/>
        </w:rPr>
        <w:t>）</w:t>
      </w:r>
      <w:r>
        <w:rPr>
          <w:rFonts w:hAnsi="宋体" w:hint="eastAsia"/>
          <w:bCs/>
          <w:sz w:val="24"/>
          <w:szCs w:val="24"/>
        </w:rPr>
        <w:t xml:space="preserve"> </w:t>
      </w:r>
      <w:r>
        <w:rPr>
          <w:rFonts w:hAnsi="宋体" w:hint="eastAsia"/>
          <w:bCs/>
          <w:sz w:val="24"/>
          <w:szCs w:val="24"/>
        </w:rPr>
        <w:t>在向中国证监会报送的资料中弄虚作假；</w:t>
      </w:r>
      <w:r>
        <w:rPr>
          <w:rFonts w:hAnsi="宋体" w:hint="eastAsia"/>
          <w:bCs/>
          <w:sz w:val="24"/>
          <w:szCs w:val="24"/>
        </w:rPr>
        <w:t xml:space="preserve"> </w:t>
      </w:r>
    </w:p>
    <w:p w14:paraId="64C2CA5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5</w:t>
      </w:r>
      <w:r>
        <w:rPr>
          <w:rFonts w:hAnsi="宋体" w:hint="eastAsia"/>
          <w:bCs/>
          <w:sz w:val="24"/>
          <w:szCs w:val="24"/>
        </w:rPr>
        <w:t>）</w:t>
      </w:r>
      <w:r>
        <w:rPr>
          <w:rFonts w:hAnsi="宋体" w:hint="eastAsia"/>
          <w:bCs/>
          <w:sz w:val="24"/>
          <w:szCs w:val="24"/>
        </w:rPr>
        <w:t xml:space="preserve"> </w:t>
      </w:r>
      <w:r>
        <w:rPr>
          <w:rFonts w:hAnsi="宋体" w:hint="eastAsia"/>
          <w:bCs/>
          <w:sz w:val="24"/>
          <w:szCs w:val="24"/>
        </w:rPr>
        <w:t>拒绝、干扰、阻挠或严重影响中国证监会依法监管；</w:t>
      </w:r>
      <w:r>
        <w:rPr>
          <w:rFonts w:hAnsi="宋体" w:hint="eastAsia"/>
          <w:bCs/>
          <w:sz w:val="24"/>
          <w:szCs w:val="24"/>
        </w:rPr>
        <w:t xml:space="preserve"> </w:t>
      </w:r>
    </w:p>
    <w:p w14:paraId="1FD95CF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6</w:t>
      </w:r>
      <w:r>
        <w:rPr>
          <w:rFonts w:hAnsi="宋体" w:hint="eastAsia"/>
          <w:bCs/>
          <w:sz w:val="24"/>
          <w:szCs w:val="24"/>
        </w:rPr>
        <w:t>）</w:t>
      </w:r>
      <w:r>
        <w:rPr>
          <w:rFonts w:hAnsi="宋体" w:hint="eastAsia"/>
          <w:bCs/>
          <w:sz w:val="24"/>
          <w:szCs w:val="24"/>
        </w:rPr>
        <w:t xml:space="preserve"> </w:t>
      </w:r>
      <w:r>
        <w:rPr>
          <w:rFonts w:hAnsi="宋体" w:hint="eastAsia"/>
          <w:bCs/>
          <w:sz w:val="24"/>
          <w:szCs w:val="24"/>
        </w:rPr>
        <w:t>玩忽职守、滥用职权；</w:t>
      </w:r>
      <w:r>
        <w:rPr>
          <w:rFonts w:hAnsi="宋体" w:hint="eastAsia"/>
          <w:bCs/>
          <w:sz w:val="24"/>
          <w:szCs w:val="24"/>
        </w:rPr>
        <w:t xml:space="preserve"> </w:t>
      </w:r>
    </w:p>
    <w:p w14:paraId="70D08F7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7</w:t>
      </w:r>
      <w:r>
        <w:rPr>
          <w:rFonts w:hAnsi="宋体" w:hint="eastAsia"/>
          <w:bCs/>
          <w:sz w:val="24"/>
          <w:szCs w:val="24"/>
        </w:rPr>
        <w:t>）</w:t>
      </w:r>
      <w:r>
        <w:rPr>
          <w:rFonts w:hAnsi="宋体" w:hint="eastAsia"/>
          <w:bCs/>
          <w:sz w:val="24"/>
          <w:szCs w:val="24"/>
        </w:rPr>
        <w:t xml:space="preserve"> </w:t>
      </w:r>
      <w:r>
        <w:rPr>
          <w:rFonts w:hAnsi="宋体" w:hint="eastAsia"/>
          <w:bCs/>
          <w:sz w:val="24"/>
          <w:szCs w:val="24"/>
        </w:rPr>
        <w:t>违反现行有效的有关法律、法规、规章、基金合同和中国证监会的有关规定，泄漏在任职期间知悉的有关证券、基金的商业秘密，尚未依法公开的基金投资内容、基金投资计划等信息；</w:t>
      </w:r>
      <w:r>
        <w:rPr>
          <w:rFonts w:hAnsi="宋体" w:hint="eastAsia"/>
          <w:bCs/>
          <w:sz w:val="24"/>
          <w:szCs w:val="24"/>
        </w:rPr>
        <w:t xml:space="preserve"> </w:t>
      </w:r>
    </w:p>
    <w:p w14:paraId="0C1D1F0E"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8</w:t>
      </w:r>
      <w:r>
        <w:rPr>
          <w:rFonts w:hAnsi="宋体" w:hint="eastAsia"/>
          <w:bCs/>
          <w:sz w:val="24"/>
          <w:szCs w:val="24"/>
        </w:rPr>
        <w:t>）</w:t>
      </w:r>
      <w:r>
        <w:rPr>
          <w:rFonts w:hAnsi="宋体" w:hint="eastAsia"/>
          <w:bCs/>
          <w:sz w:val="24"/>
          <w:szCs w:val="24"/>
        </w:rPr>
        <w:t xml:space="preserve"> </w:t>
      </w:r>
      <w:r>
        <w:rPr>
          <w:rFonts w:hAnsi="宋体" w:hint="eastAsia"/>
          <w:bCs/>
          <w:sz w:val="24"/>
          <w:szCs w:val="24"/>
        </w:rPr>
        <w:t>违反证券交易场所业务规则，利用对敲、倒仓等手段操纵市场价格，扰乱市场秩序；</w:t>
      </w:r>
      <w:r>
        <w:rPr>
          <w:rFonts w:hAnsi="宋体" w:hint="eastAsia"/>
          <w:bCs/>
          <w:sz w:val="24"/>
          <w:szCs w:val="24"/>
        </w:rPr>
        <w:t xml:space="preserve"> </w:t>
      </w:r>
    </w:p>
    <w:p w14:paraId="543D069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9</w:t>
      </w:r>
      <w:r>
        <w:rPr>
          <w:rFonts w:hAnsi="宋体" w:hint="eastAsia"/>
          <w:bCs/>
          <w:sz w:val="24"/>
          <w:szCs w:val="24"/>
        </w:rPr>
        <w:t>）</w:t>
      </w:r>
      <w:r>
        <w:rPr>
          <w:rFonts w:hAnsi="宋体" w:hint="eastAsia"/>
          <w:bCs/>
          <w:sz w:val="24"/>
          <w:szCs w:val="24"/>
        </w:rPr>
        <w:t xml:space="preserve"> </w:t>
      </w:r>
      <w:r>
        <w:rPr>
          <w:rFonts w:hAnsi="宋体" w:hint="eastAsia"/>
          <w:bCs/>
          <w:sz w:val="24"/>
          <w:szCs w:val="24"/>
        </w:rPr>
        <w:t>贬损同行，以抬高自己；</w:t>
      </w:r>
      <w:r>
        <w:rPr>
          <w:rFonts w:hAnsi="宋体" w:hint="eastAsia"/>
          <w:bCs/>
          <w:sz w:val="24"/>
          <w:szCs w:val="24"/>
        </w:rPr>
        <w:t xml:space="preserve"> </w:t>
      </w:r>
    </w:p>
    <w:p w14:paraId="4431E88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10</w:t>
      </w:r>
      <w:r>
        <w:rPr>
          <w:rFonts w:hAnsi="宋体" w:hint="eastAsia"/>
          <w:bCs/>
          <w:sz w:val="24"/>
          <w:szCs w:val="24"/>
        </w:rPr>
        <w:t>）以不正当手段谋求业务发展；</w:t>
      </w:r>
      <w:r>
        <w:rPr>
          <w:rFonts w:hAnsi="宋体" w:hint="eastAsia"/>
          <w:bCs/>
          <w:sz w:val="24"/>
          <w:szCs w:val="24"/>
        </w:rPr>
        <w:t xml:space="preserve"> </w:t>
      </w:r>
    </w:p>
    <w:p w14:paraId="49B1720E"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11</w:t>
      </w:r>
      <w:r>
        <w:rPr>
          <w:rFonts w:hAnsi="宋体" w:hint="eastAsia"/>
          <w:bCs/>
          <w:sz w:val="24"/>
          <w:szCs w:val="24"/>
        </w:rPr>
        <w:t>）有悖社会公德，损害证券投资基金人员形象；</w:t>
      </w:r>
      <w:r>
        <w:rPr>
          <w:rFonts w:hAnsi="宋体" w:hint="eastAsia"/>
          <w:bCs/>
          <w:sz w:val="24"/>
          <w:szCs w:val="24"/>
        </w:rPr>
        <w:t xml:space="preserve"> </w:t>
      </w:r>
    </w:p>
    <w:p w14:paraId="3771711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lastRenderedPageBreak/>
        <w:t>（</w:t>
      </w:r>
      <w:r>
        <w:rPr>
          <w:rFonts w:hAnsi="宋体" w:hint="eastAsia"/>
          <w:bCs/>
          <w:sz w:val="24"/>
          <w:szCs w:val="24"/>
        </w:rPr>
        <w:t>12</w:t>
      </w:r>
      <w:r>
        <w:rPr>
          <w:rFonts w:hAnsi="宋体" w:hint="eastAsia"/>
          <w:bCs/>
          <w:sz w:val="24"/>
          <w:szCs w:val="24"/>
        </w:rPr>
        <w:t>）在公开信息披露和广告中故意含有虚假、误导、欺诈成分；</w:t>
      </w:r>
      <w:r>
        <w:rPr>
          <w:rFonts w:hAnsi="宋体" w:hint="eastAsia"/>
          <w:bCs/>
          <w:sz w:val="24"/>
          <w:szCs w:val="24"/>
        </w:rPr>
        <w:t xml:space="preserve"> </w:t>
      </w:r>
    </w:p>
    <w:p w14:paraId="160BFEF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13</w:t>
      </w:r>
      <w:r>
        <w:rPr>
          <w:rFonts w:hAnsi="宋体" w:hint="eastAsia"/>
          <w:bCs/>
          <w:sz w:val="24"/>
          <w:szCs w:val="24"/>
        </w:rPr>
        <w:t>）其他法律、行政法规以及中国证监会禁止的行为。</w:t>
      </w:r>
      <w:r>
        <w:rPr>
          <w:rFonts w:hAnsi="宋体" w:hint="eastAsia"/>
          <w:bCs/>
          <w:sz w:val="24"/>
          <w:szCs w:val="24"/>
        </w:rPr>
        <w:t xml:space="preserve"> </w:t>
      </w:r>
    </w:p>
    <w:p w14:paraId="6541C08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、基金经理承诺</w:t>
      </w:r>
      <w:r>
        <w:rPr>
          <w:rFonts w:hAnsi="宋体" w:hint="eastAsia"/>
          <w:bCs/>
          <w:sz w:val="24"/>
          <w:szCs w:val="24"/>
        </w:rPr>
        <w:t xml:space="preserve"> </w:t>
      </w:r>
    </w:p>
    <w:p w14:paraId="26847AC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w:t>
      </w:r>
      <w:r>
        <w:rPr>
          <w:rFonts w:hAnsi="宋体" w:hint="eastAsia"/>
          <w:bCs/>
          <w:sz w:val="24"/>
          <w:szCs w:val="24"/>
        </w:rPr>
        <w:t>）依照有关法律、法规和基金合同的规定，本着谨慎勤勉的原则为基金份额持有人谋取最大利益；</w:t>
      </w:r>
      <w:r>
        <w:rPr>
          <w:rFonts w:hAnsi="宋体" w:hint="eastAsia"/>
          <w:bCs/>
          <w:sz w:val="24"/>
          <w:szCs w:val="24"/>
        </w:rPr>
        <w:t xml:space="preserve"> </w:t>
      </w:r>
    </w:p>
    <w:p w14:paraId="4366D57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2</w:t>
      </w:r>
      <w:r>
        <w:rPr>
          <w:rFonts w:hAnsi="宋体" w:hint="eastAsia"/>
          <w:bCs/>
          <w:sz w:val="24"/>
          <w:szCs w:val="24"/>
        </w:rPr>
        <w:t>）不利用职务之便为自己及其代理人、受雇人或任何第三人谋取利益；</w:t>
      </w:r>
      <w:r>
        <w:rPr>
          <w:rFonts w:hAnsi="宋体" w:hint="eastAsia"/>
          <w:bCs/>
          <w:sz w:val="24"/>
          <w:szCs w:val="24"/>
        </w:rPr>
        <w:t xml:space="preserve"> </w:t>
      </w:r>
    </w:p>
    <w:p w14:paraId="5B17563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3</w:t>
      </w:r>
      <w:r>
        <w:rPr>
          <w:rFonts w:hAnsi="宋体" w:hint="eastAsia"/>
          <w:bCs/>
          <w:sz w:val="24"/>
          <w:szCs w:val="24"/>
        </w:rPr>
        <w:t>）</w:t>
      </w:r>
      <w:r>
        <w:rPr>
          <w:rFonts w:hAnsi="宋体" w:hint="eastAsia"/>
          <w:bCs/>
          <w:sz w:val="24"/>
          <w:szCs w:val="24"/>
        </w:rPr>
        <w:t xml:space="preserve"> </w:t>
      </w:r>
      <w:r>
        <w:rPr>
          <w:rFonts w:hAnsi="宋体" w:hint="eastAsia"/>
          <w:bCs/>
          <w:sz w:val="24"/>
          <w:szCs w:val="24"/>
        </w:rPr>
        <w:t>不违反现行有效的有关法律法规、基金合同和中国证监会的有关规定，泄漏在任职期间知悉的有关证券、基金的商业秘密、尚未依法公开的基金投资内容、基金投资计划等信息；</w:t>
      </w:r>
      <w:r>
        <w:rPr>
          <w:rFonts w:hAnsi="宋体" w:hint="eastAsia"/>
          <w:bCs/>
          <w:sz w:val="24"/>
          <w:szCs w:val="24"/>
        </w:rPr>
        <w:t xml:space="preserve"> </w:t>
      </w:r>
    </w:p>
    <w:p w14:paraId="295494F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4</w:t>
      </w:r>
      <w:r>
        <w:rPr>
          <w:rFonts w:hAnsi="宋体" w:hint="eastAsia"/>
          <w:bCs/>
          <w:sz w:val="24"/>
          <w:szCs w:val="24"/>
        </w:rPr>
        <w:t>）不从事损害基金财产和基金份额持有人利益的证券交易及其他活动。</w:t>
      </w:r>
      <w:r>
        <w:rPr>
          <w:rFonts w:hAnsi="宋体" w:hint="eastAsia"/>
          <w:bCs/>
          <w:sz w:val="24"/>
          <w:szCs w:val="24"/>
        </w:rPr>
        <w:t xml:space="preserve"> </w:t>
      </w:r>
    </w:p>
    <w:p w14:paraId="2CE2A42A"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五、基金管理人的风险管理体系</w:t>
      </w:r>
      <w:r>
        <w:rPr>
          <w:rFonts w:hAnsi="宋体" w:hint="eastAsia"/>
          <w:b/>
          <w:bCs/>
          <w:sz w:val="24"/>
          <w:szCs w:val="24"/>
        </w:rPr>
        <w:t xml:space="preserve"> </w:t>
      </w:r>
    </w:p>
    <w:p w14:paraId="0DC0A51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管理人将经营管理中的主要风险划分为投资风险、合规风险、营运风险和道德风险四大类，其中，投资风险主要包括市场风险、信用风险、流动性风险等。针对上述各类风险，基金管理人建立了一套完整的风险管理体系。</w:t>
      </w:r>
    </w:p>
    <w:p w14:paraId="328A484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、风险管理原则</w:t>
      </w:r>
    </w:p>
    <w:p w14:paraId="7E03E5B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基金管理人风险管理体系的构建遵循以下六项基本原则：</w:t>
      </w:r>
    </w:p>
    <w:p w14:paraId="768FBAF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w:t>
      </w:r>
      <w:r>
        <w:rPr>
          <w:rFonts w:hAnsi="宋体" w:hint="eastAsia"/>
          <w:bCs/>
          <w:sz w:val="24"/>
          <w:szCs w:val="24"/>
        </w:rPr>
        <w:t>）营造良好的风险管理文化和内部控制环境，使风险意识贯穿到每位员工、各个岗位和经营管理的各个环节。</w:t>
      </w:r>
    </w:p>
    <w:p w14:paraId="0303DBA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2</w:t>
      </w:r>
      <w:r>
        <w:rPr>
          <w:rFonts w:hAnsi="宋体" w:hint="eastAsia"/>
          <w:bCs/>
          <w:sz w:val="24"/>
          <w:szCs w:val="24"/>
        </w:rPr>
        <w:t>）建立完善的风险管理组织体系，切实保证风险管理部门的独立性和权威性，使其有效地发挥职能作用。</w:t>
      </w:r>
    </w:p>
    <w:p w14:paraId="460EC51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3</w:t>
      </w:r>
      <w:r>
        <w:rPr>
          <w:rFonts w:hAnsi="宋体" w:hint="eastAsia"/>
          <w:bCs/>
          <w:sz w:val="24"/>
          <w:szCs w:val="24"/>
        </w:rPr>
        <w:t>）确保风险管理制度的严肃性，保证风险管理制度在投资管理和经营活动过程中得到切实有效的执行。</w:t>
      </w:r>
    </w:p>
    <w:p w14:paraId="3FAB4C3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4</w:t>
      </w:r>
      <w:r>
        <w:rPr>
          <w:rFonts w:hAnsi="宋体" w:hint="eastAsia"/>
          <w:bCs/>
          <w:sz w:val="24"/>
          <w:szCs w:val="24"/>
        </w:rPr>
        <w:t>）运用合理有效的风险指标和模型，实现风险事前配置和预警、事中实时监控、事后评估和反馈的全程嵌入式投资风险管理模式。</w:t>
      </w:r>
    </w:p>
    <w:p w14:paraId="29978A1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5</w:t>
      </w:r>
      <w:r>
        <w:rPr>
          <w:rFonts w:hAnsi="宋体" w:hint="eastAsia"/>
          <w:bCs/>
          <w:sz w:val="24"/>
          <w:szCs w:val="24"/>
        </w:rPr>
        <w:t>）建立和推进员工职业守则教育和专业培训体系，确保员工具备良好的职业操守和充分的职责胜任能力。</w:t>
      </w:r>
    </w:p>
    <w:p w14:paraId="359938F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6</w:t>
      </w:r>
      <w:r>
        <w:rPr>
          <w:rFonts w:hAnsi="宋体" w:hint="eastAsia"/>
          <w:bCs/>
          <w:sz w:val="24"/>
          <w:szCs w:val="24"/>
        </w:rPr>
        <w:t>）建立风险事件学习机制，认真剖析各类风险事件，汲取经验和教训，不断完善风险管理体系。</w:t>
      </w:r>
    </w:p>
    <w:p w14:paraId="522C61A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、风险管理组织架构</w:t>
      </w:r>
      <w:r>
        <w:rPr>
          <w:rFonts w:hAnsi="宋体" w:hint="eastAsia"/>
          <w:bCs/>
          <w:sz w:val="24"/>
          <w:szCs w:val="24"/>
        </w:rPr>
        <w:t xml:space="preserve"> </w:t>
      </w:r>
    </w:p>
    <w:p w14:paraId="0BAB4DC4" w14:textId="77777777" w:rsidR="0037652E" w:rsidRDefault="00BF49B0">
      <w:pPr>
        <w:widowControl/>
        <w:adjustRightInd w:val="0"/>
        <w:snapToGrid w:val="0"/>
        <w:spacing w:line="360" w:lineRule="auto"/>
        <w:ind w:firstLineChars="200" w:firstLine="480"/>
        <w:rPr>
          <w:color w:val="000000"/>
          <w:kern w:val="0"/>
          <w:sz w:val="24"/>
          <w:szCs w:val="24"/>
        </w:rPr>
      </w:pPr>
      <w:bookmarkStart w:id="49" w:name="_Toc179862497"/>
      <w:bookmarkStart w:id="50" w:name="_Toc172866668"/>
      <w:r>
        <w:rPr>
          <w:color w:val="000000"/>
          <w:kern w:val="0"/>
          <w:sz w:val="24"/>
          <w:szCs w:val="24"/>
        </w:rPr>
        <w:lastRenderedPageBreak/>
        <w:t>本基金管理人建立了董事会、经营管理层、风险管理部门、各职能部门四级风险管理组织架构，并明确了相应的风险管理职能。</w:t>
      </w:r>
    </w:p>
    <w:p w14:paraId="45D3029D" w14:textId="77777777" w:rsidR="0037652E" w:rsidRDefault="00BF49B0">
      <w:pPr>
        <w:widowControl/>
        <w:adjustRightInd w:val="0"/>
        <w:snapToGrid w:val="0"/>
        <w:spacing w:line="360" w:lineRule="auto"/>
        <w:ind w:firstLineChars="900" w:firstLine="2168"/>
        <w:rPr>
          <w:b/>
          <w:color w:val="000000"/>
          <w:kern w:val="0"/>
          <w:sz w:val="24"/>
          <w:szCs w:val="24"/>
        </w:rPr>
      </w:pPr>
      <w:r>
        <w:rPr>
          <w:b/>
          <w:color w:val="000000"/>
          <w:kern w:val="0"/>
          <w:sz w:val="24"/>
          <w:szCs w:val="24"/>
        </w:rPr>
        <w:t>汇添富风险管理组织结构图</w:t>
      </w:r>
    </w:p>
    <w:p w14:paraId="4B181388" w14:textId="77777777" w:rsidR="0037652E" w:rsidRDefault="00BF49B0">
      <w:pPr>
        <w:widowControl/>
        <w:adjustRightInd w:val="0"/>
        <w:snapToGrid w:val="0"/>
        <w:spacing w:line="360" w:lineRule="auto"/>
        <w:ind w:firstLineChars="900" w:firstLine="1890"/>
        <w:rPr>
          <w:b/>
          <w:color w:val="000000"/>
          <w:kern w:val="0"/>
          <w:sz w:val="24"/>
          <w:szCs w:val="24"/>
        </w:rPr>
      </w:pPr>
      <w:r>
        <w:rPr>
          <w:rFonts w:hint="eastAsia"/>
          <w:noProof/>
        </w:rPr>
        <mc:AlternateContent>
          <mc:Choice Requires="wpg">
            <w:drawing>
              <wp:anchor distT="0" distB="0" distL="114300" distR="114300" simplePos="0" relativeHeight="251659264" behindDoc="1" locked="0" layoutInCell="1" allowOverlap="1" wp14:anchorId="064CF8AA" wp14:editId="51EC38F2">
                <wp:simplePos x="0" y="0"/>
                <wp:positionH relativeFrom="column">
                  <wp:posOffset>15875</wp:posOffset>
                </wp:positionH>
                <wp:positionV relativeFrom="paragraph">
                  <wp:posOffset>163830</wp:posOffset>
                </wp:positionV>
                <wp:extent cx="5257800" cy="2971165"/>
                <wp:effectExtent l="12700" t="0" r="25400" b="19685"/>
                <wp:wrapTight wrapText="bothSides">
                  <wp:wrapPolygon edited="0">
                    <wp:start x="-52" y="0"/>
                    <wp:lineTo x="-52" y="6232"/>
                    <wp:lineTo x="3391" y="6648"/>
                    <wp:lineTo x="-52" y="7479"/>
                    <wp:lineTo x="-52" y="9971"/>
                    <wp:lineTo x="1748" y="11079"/>
                    <wp:lineTo x="-52" y="11079"/>
                    <wp:lineTo x="-52" y="17588"/>
                    <wp:lineTo x="12626" y="17727"/>
                    <wp:lineTo x="12626" y="20635"/>
                    <wp:lineTo x="13330" y="21466"/>
                    <wp:lineTo x="13878" y="21605"/>
                    <wp:lineTo x="21548" y="21605"/>
                    <wp:lineTo x="21548" y="19112"/>
                    <wp:lineTo x="13330" y="17727"/>
                    <wp:lineTo x="21548" y="17588"/>
                    <wp:lineTo x="21548" y="14957"/>
                    <wp:lineTo x="13330" y="13295"/>
                    <wp:lineTo x="13330" y="11079"/>
                    <wp:lineTo x="14896" y="11079"/>
                    <wp:lineTo x="16930" y="9833"/>
                    <wp:lineTo x="17009" y="7756"/>
                    <wp:lineTo x="16617" y="7479"/>
                    <wp:lineTo x="13252" y="6648"/>
                    <wp:lineTo x="13409" y="4709"/>
                    <wp:lineTo x="12783" y="4432"/>
                    <wp:lineTo x="7617" y="4432"/>
                    <wp:lineTo x="7617" y="0"/>
                    <wp:lineTo x="-52" y="0"/>
                  </wp:wrapPolygon>
                </wp:wrapTight>
                <wp:docPr id="19" name="组合 19"/>
                <wp:cNvGraphicFramePr/>
                <a:graphic xmlns:a="http://schemas.openxmlformats.org/drawingml/2006/main">
                  <a:graphicData uri="http://schemas.microsoft.com/office/word/2010/wordprocessingGroup">
                    <wpg:wgp>
                      <wpg:cNvGrpSpPr/>
                      <wpg:grpSpPr>
                        <a:xfrm>
                          <a:off x="0" y="0"/>
                          <a:ext cx="5257800" cy="2971165"/>
                          <a:chOff x="0" y="0"/>
                          <a:chExt cx="4682195" cy="3227705"/>
                        </a:xfrm>
                        <a:effectLst/>
                      </wpg:grpSpPr>
                      <wpg:grpSp>
                        <wpg:cNvPr id="20" name="组合 47"/>
                        <wpg:cNvGrpSpPr/>
                        <wpg:grpSpPr>
                          <a:xfrm>
                            <a:off x="0" y="0"/>
                            <a:ext cx="4682195" cy="3227705"/>
                            <a:chOff x="1594087" y="0"/>
                            <a:chExt cx="4682692" cy="3227927"/>
                          </a:xfrm>
                          <a:effectLst/>
                        </wpg:grpSpPr>
                        <wps:wsp>
                          <wps:cNvPr id="48" name="直接连接符 12"/>
                          <wps:cNvCnPr/>
                          <wps:spPr>
                            <a:xfrm>
                              <a:off x="2402653" y="342900"/>
                              <a:ext cx="25044" cy="1933175"/>
                            </a:xfrm>
                            <a:prstGeom prst="straightConnector1">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9" name="矩形 49"/>
                          <wps:cNvSpPr/>
                          <wps:spPr>
                            <a:xfrm>
                              <a:off x="1594087" y="0"/>
                              <a:ext cx="1631950" cy="342900"/>
                            </a:xfrm>
                            <a:prstGeom prst="rect">
                              <a:avLst/>
                            </a:prstGeom>
                            <a:solidFill>
                              <a:srgbClr val="FF3300"/>
                            </a:solidFill>
                            <a:ln w="25400" cap="flat" cmpd="sng" algn="ctr">
                              <a:noFill/>
                              <a:prstDash val="solid"/>
                            </a:ln>
                            <a:effectLst/>
                          </wps:spPr>
                          <wps:txbx>
                            <w:txbxContent>
                              <w:p w14:paraId="7FD051E5" w14:textId="77777777" w:rsidR="000E3183" w:rsidRDefault="000E3183">
                                <w:pPr>
                                  <w:jc w:val="center"/>
                                  <w:rPr>
                                    <w:b/>
                                    <w:color w:val="FFFFFF"/>
                                    <w:sz w:val="24"/>
                                  </w:rPr>
                                </w:pPr>
                                <w:r>
                                  <w:rPr>
                                    <w:rFonts w:hint="eastAsia"/>
                                    <w:b/>
                                    <w:color w:val="FFFFFF"/>
                                    <w:sz w:val="24"/>
                                  </w:rPr>
                                  <w:t>董事会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矩形 50"/>
                          <wps:cNvSpPr/>
                          <wps:spPr>
                            <a:xfrm>
                              <a:off x="1594087" y="581891"/>
                              <a:ext cx="1631950" cy="342900"/>
                            </a:xfrm>
                            <a:prstGeom prst="rect">
                              <a:avLst/>
                            </a:prstGeom>
                            <a:solidFill>
                              <a:srgbClr val="000066"/>
                            </a:solidFill>
                            <a:ln w="25400" cap="flat" cmpd="sng" algn="ctr">
                              <a:solidFill>
                                <a:srgbClr val="4BACC6">
                                  <a:shade val="50000"/>
                                </a:srgbClr>
                              </a:solidFill>
                              <a:prstDash val="solid"/>
                            </a:ln>
                            <a:effectLst/>
                          </wps:spPr>
                          <wps:txbx>
                            <w:txbxContent>
                              <w:p w14:paraId="173BD407" w14:textId="77777777" w:rsidR="000E3183" w:rsidRDefault="000E3183">
                                <w:pPr>
                                  <w:jc w:val="center"/>
                                  <w:rPr>
                                    <w:b/>
                                    <w:sz w:val="22"/>
                                  </w:rPr>
                                </w:pPr>
                                <w:r>
                                  <w:rPr>
                                    <w:rFonts w:hint="eastAsia"/>
                                    <w:b/>
                                    <w:sz w:val="22"/>
                                  </w:rPr>
                                  <w:t>审计与</w:t>
                                </w:r>
                                <w:r>
                                  <w:rPr>
                                    <w:b/>
                                    <w:sz w:val="22"/>
                                  </w:rPr>
                                  <w:t>风险管理委员会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 name="矩形 51"/>
                          <wps:cNvSpPr/>
                          <wps:spPr>
                            <a:xfrm>
                              <a:off x="1594087" y="1139333"/>
                              <a:ext cx="1631950" cy="342900"/>
                            </a:xfrm>
                            <a:prstGeom prst="rect">
                              <a:avLst/>
                            </a:prstGeom>
                            <a:solidFill>
                              <a:srgbClr val="FF3300"/>
                            </a:solidFill>
                            <a:ln w="25400" cap="flat" cmpd="sng" algn="ctr">
                              <a:noFill/>
                              <a:prstDash val="solid"/>
                            </a:ln>
                            <a:effectLst/>
                          </wps:spPr>
                          <wps:txbx>
                            <w:txbxContent>
                              <w:p w14:paraId="13371562" w14:textId="77777777" w:rsidR="000E3183" w:rsidRDefault="000E3183">
                                <w:pPr>
                                  <w:jc w:val="center"/>
                                  <w:rPr>
                                    <w:b/>
                                    <w:sz w:val="24"/>
                                  </w:rPr>
                                </w:pPr>
                                <w:r>
                                  <w:rPr>
                                    <w:rFonts w:hint="eastAsia"/>
                                    <w:b/>
                                    <w:color w:val="FFFFFF"/>
                                    <w:sz w:val="24"/>
                                  </w:rPr>
                                  <w:t>经营管理</w:t>
                                </w:r>
                                <w:r>
                                  <w:rPr>
                                    <w:b/>
                                    <w:color w:val="FFFFFF"/>
                                    <w:sz w:val="24"/>
                                  </w:rPr>
                                  <w:t>层</w:t>
                                </w:r>
                              </w:p>
                              <w:p w14:paraId="433C0547" w14:textId="77777777" w:rsidR="000E3183" w:rsidRDefault="000E3183">
                                <w:pPr>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 name="矩形 52"/>
                          <wps:cNvSpPr/>
                          <wps:spPr>
                            <a:xfrm>
                              <a:off x="1594087" y="1686995"/>
                              <a:ext cx="1631950" cy="342900"/>
                            </a:xfrm>
                            <a:prstGeom prst="rect">
                              <a:avLst/>
                            </a:prstGeom>
                            <a:solidFill>
                              <a:srgbClr val="000066"/>
                            </a:solidFill>
                            <a:ln w="25400" cap="flat" cmpd="sng" algn="ctr">
                              <a:solidFill>
                                <a:srgbClr val="4BACC6">
                                  <a:shade val="50000"/>
                                </a:srgbClr>
                              </a:solidFill>
                              <a:prstDash val="solid"/>
                            </a:ln>
                            <a:effectLst/>
                          </wps:spPr>
                          <wps:txbx>
                            <w:txbxContent>
                              <w:p w14:paraId="424922D4" w14:textId="77777777" w:rsidR="000E3183" w:rsidRDefault="000E3183">
                                <w:pPr>
                                  <w:jc w:val="center"/>
                                  <w:rPr>
                                    <w:b/>
                                    <w:sz w:val="24"/>
                                  </w:rPr>
                                </w:pPr>
                                <w:r>
                                  <w:rPr>
                                    <w:rFonts w:hint="eastAsia"/>
                                    <w:b/>
                                    <w:sz w:val="24"/>
                                  </w:rPr>
                                  <w:t>风险控制</w:t>
                                </w:r>
                                <w:r>
                                  <w:rPr>
                                    <w:b/>
                                    <w:sz w:val="24"/>
                                  </w:rPr>
                                  <w:t>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 name="矩形 53"/>
                          <wps:cNvSpPr/>
                          <wps:spPr>
                            <a:xfrm>
                              <a:off x="3589695" y="1139333"/>
                              <a:ext cx="1631947" cy="342901"/>
                            </a:xfrm>
                            <a:prstGeom prst="rect">
                              <a:avLst/>
                            </a:prstGeom>
                            <a:solidFill>
                              <a:srgbClr val="000066"/>
                            </a:solidFill>
                            <a:ln w="25400" cap="flat" cmpd="sng" algn="ctr">
                              <a:solidFill>
                                <a:srgbClr val="4BACC6">
                                  <a:shade val="50000"/>
                                </a:srgbClr>
                              </a:solidFill>
                              <a:prstDash val="solid"/>
                            </a:ln>
                            <a:effectLst/>
                          </wps:spPr>
                          <wps:txbx>
                            <w:txbxContent>
                              <w:p w14:paraId="008804CE" w14:textId="77777777" w:rsidR="000E3183" w:rsidRDefault="000E3183">
                                <w:pPr>
                                  <w:jc w:val="center"/>
                                  <w:rPr>
                                    <w:b/>
                                    <w:sz w:val="24"/>
                                  </w:rPr>
                                </w:pPr>
                                <w:r>
                                  <w:rPr>
                                    <w:rFonts w:hint="eastAsia"/>
                                    <w:b/>
                                    <w:sz w:val="24"/>
                                  </w:rPr>
                                  <w:t>督察长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矩形 54"/>
                          <wps:cNvSpPr/>
                          <wps:spPr>
                            <a:xfrm>
                              <a:off x="1609878" y="2271352"/>
                              <a:ext cx="1631951" cy="342901"/>
                            </a:xfrm>
                            <a:prstGeom prst="rect">
                              <a:avLst/>
                            </a:prstGeom>
                            <a:solidFill>
                              <a:srgbClr val="000066"/>
                            </a:solidFill>
                            <a:ln w="25400" cap="flat" cmpd="sng" algn="ctr">
                              <a:solidFill>
                                <a:srgbClr val="4BACC6">
                                  <a:shade val="50000"/>
                                </a:srgbClr>
                              </a:solidFill>
                              <a:prstDash val="solid"/>
                            </a:ln>
                            <a:effectLst/>
                          </wps:spPr>
                          <wps:txbx>
                            <w:txbxContent>
                              <w:p w14:paraId="42FC00E0" w14:textId="77777777" w:rsidR="000E3183" w:rsidRDefault="000E3183">
                                <w:pPr>
                                  <w:jc w:val="center"/>
                                  <w:rPr>
                                    <w:b/>
                                    <w:sz w:val="24"/>
                                  </w:rPr>
                                </w:pPr>
                                <w:r>
                                  <w:rPr>
                                    <w:rFonts w:hint="eastAsia"/>
                                    <w:b/>
                                    <w:sz w:val="24"/>
                                  </w:rPr>
                                  <w:t>各职能</w:t>
                                </w:r>
                                <w:r>
                                  <w:rPr>
                                    <w:b/>
                                    <w:sz w:val="24"/>
                                  </w:rPr>
                                  <w:t>部门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5" name="矩形 55"/>
                          <wps:cNvSpPr/>
                          <wps:spPr>
                            <a:xfrm>
                              <a:off x="4644828" y="2885026"/>
                              <a:ext cx="1631951" cy="342901"/>
                            </a:xfrm>
                            <a:prstGeom prst="rect">
                              <a:avLst/>
                            </a:prstGeom>
                            <a:solidFill>
                              <a:srgbClr val="000066"/>
                            </a:solidFill>
                            <a:ln w="25400" cap="flat" cmpd="sng" algn="ctr">
                              <a:solidFill>
                                <a:srgbClr val="4BACC6">
                                  <a:shade val="50000"/>
                                </a:srgbClr>
                              </a:solidFill>
                              <a:prstDash val="solid"/>
                            </a:ln>
                            <a:effectLst/>
                          </wps:spPr>
                          <wps:txbx>
                            <w:txbxContent>
                              <w:p w14:paraId="011D80C3" w14:textId="77777777" w:rsidR="000E3183" w:rsidRDefault="000E3183">
                                <w:pPr>
                                  <w:jc w:val="center"/>
                                  <w:rPr>
                                    <w:b/>
                                    <w:sz w:val="24"/>
                                  </w:rPr>
                                </w:pPr>
                                <w:r>
                                  <w:rPr>
                                    <w:rFonts w:hint="eastAsia"/>
                                    <w:b/>
                                    <w:sz w:val="24"/>
                                  </w:rPr>
                                  <w:t>风险管理</w:t>
                                </w:r>
                                <w:r>
                                  <w:rPr>
                                    <w:b/>
                                    <w:sz w:val="24"/>
                                  </w:rPr>
                                  <w:t>部</w:t>
                                </w:r>
                              </w:p>
                              <w:p w14:paraId="63E16D5D" w14:textId="77777777" w:rsidR="000E3183" w:rsidRDefault="000E3183">
                                <w:pPr>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6" name="矩形 56"/>
                          <wps:cNvSpPr/>
                          <wps:spPr>
                            <a:xfrm>
                              <a:off x="4640427" y="2275455"/>
                              <a:ext cx="1631949" cy="342901"/>
                            </a:xfrm>
                            <a:prstGeom prst="rect">
                              <a:avLst/>
                            </a:prstGeom>
                            <a:solidFill>
                              <a:srgbClr val="000066"/>
                            </a:solidFill>
                            <a:ln w="25400" cap="flat" cmpd="sng" algn="ctr">
                              <a:solidFill>
                                <a:srgbClr val="4BACC6">
                                  <a:shade val="50000"/>
                                </a:srgbClr>
                              </a:solidFill>
                              <a:prstDash val="solid"/>
                            </a:ln>
                            <a:effectLst/>
                          </wps:spPr>
                          <wps:txbx>
                            <w:txbxContent>
                              <w:p w14:paraId="1C133B68" w14:textId="77777777" w:rsidR="000E3183" w:rsidRDefault="000E3183">
                                <w:pPr>
                                  <w:jc w:val="center"/>
                                  <w:rPr>
                                    <w:b/>
                                    <w:sz w:val="24"/>
                                  </w:rPr>
                                </w:pPr>
                                <w:r>
                                  <w:rPr>
                                    <w:rFonts w:hint="eastAsia"/>
                                    <w:b/>
                                    <w:sz w:val="24"/>
                                  </w:rPr>
                                  <w:t>合规稽核</w:t>
                                </w:r>
                                <w:r>
                                  <w:rPr>
                                    <w:b/>
                                    <w:sz w:val="24"/>
                                  </w:rPr>
                                  <w:t>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直接连接符 57"/>
                          <wps:cNvCnPr/>
                          <wps:spPr>
                            <a:xfrm>
                              <a:off x="4409795" y="1495586"/>
                              <a:ext cx="8486" cy="1573792"/>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8" name="直接连接符 58"/>
                          <wps:cNvCnPr/>
                          <wps:spPr>
                            <a:xfrm>
                              <a:off x="4403374" y="733476"/>
                              <a:ext cx="0" cy="38608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s:wsp>
                        <wps:cNvPr id="59" name="直接连接符 59"/>
                        <wps:cNvCnPr/>
                        <wps:spPr>
                          <a:xfrm>
                            <a:off x="1663453" y="732116"/>
                            <a:ext cx="114511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0" name="直接连接符 60"/>
                        <wps:cNvCnPr/>
                        <wps:spPr>
                          <a:xfrm flipV="1">
                            <a:off x="2823957" y="2452063"/>
                            <a:ext cx="207528"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1" name="直接连接符 61"/>
                        <wps:cNvCnPr/>
                        <wps:spPr>
                          <a:xfrm flipV="1">
                            <a:off x="2838508" y="3052572"/>
                            <a:ext cx="207528"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2" name="直接连接符 62"/>
                        <wps:cNvCnPr/>
                        <wps:spPr>
                          <a:xfrm>
                            <a:off x="829672" y="2150166"/>
                            <a:ext cx="199401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wgp>
                  </a:graphicData>
                </a:graphic>
              </wp:anchor>
            </w:drawing>
          </mc:Choice>
          <mc:Fallback xmlns:cx="http://schemas.microsoft.com/office/drawing/2014/chartex" xmlns:w16se="http://schemas.microsoft.com/office/word/2015/wordml/symex">
            <w:pict>
              <v:group w14:anchorId="064CF8AA" id="组合 19" o:spid="_x0000_s1026" style="position:absolute;left:0;text-align:left;margin-left:1.25pt;margin-top:12.9pt;width:414pt;height:233.95pt;z-index:-251657216" coordsize="4682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">
                <v:group id="组合 47" o:spid="_x0000_s1027" style="position:absolute;width:46821;height:32277" coordorigin="15940" coordsize="46826,3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直接连接符 12" o:spid="_x0000_s1028" type="#_x0000_t32" style="position:absolute;left:24026;top:3429;width:250;height:19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" strokecolor="windowText" strokeweight="3pt">
                    <v:shadow on="t" color="black" opacity="22937f" origin=",.5" offset="0,.63889mm"/>
                  </v:shape>
                  <v:rect id="矩形 49" o:spid="_x0000_s1029" style="position:absolute;left:15940;width:163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" fillcolor="#f30" stroked="f" strokeweight="2pt">
                    <v:textbox>
                      <w:txbxContent>
                        <w:p w14:paraId="7FD051E5" w14:textId="77777777" w:rsidR="000E3183" w:rsidRDefault="000E3183">
                          <w:pPr>
                            <w:jc w:val="center"/>
                            <w:rPr>
                              <w:b/>
                              <w:color w:val="FFFFFF"/>
                              <w:sz w:val="24"/>
                            </w:rPr>
                          </w:pPr>
                          <w:r>
                            <w:rPr>
                              <w:rFonts w:hint="eastAsia"/>
                              <w:b/>
                              <w:color w:val="FFFFFF"/>
                              <w:sz w:val="24"/>
                            </w:rPr>
                            <w:t>董事会</w:t>
                          </w:r>
                        </w:p>
                      </w:txbxContent>
                    </v:textbox>
                  </v:rect>
                  <v:rect id="矩形 50" o:spid="_x0000_s1030" style="position:absolute;left:15940;top:5818;width:163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" fillcolor="#006" strokecolor="#357d91" strokeweight="2pt">
                    <v:textbox>
                      <w:txbxContent>
                        <w:p w14:paraId="173BD407" w14:textId="77777777" w:rsidR="000E3183" w:rsidRDefault="000E3183">
                          <w:pPr>
                            <w:jc w:val="center"/>
                            <w:rPr>
                              <w:b/>
                              <w:sz w:val="22"/>
                            </w:rPr>
                          </w:pPr>
                          <w:r>
                            <w:rPr>
                              <w:rFonts w:hint="eastAsia"/>
                              <w:b/>
                              <w:sz w:val="22"/>
                            </w:rPr>
                            <w:t>审计与</w:t>
                          </w:r>
                          <w:r>
                            <w:rPr>
                              <w:b/>
                              <w:sz w:val="22"/>
                            </w:rPr>
                            <w:t>风险管理委员会</w:t>
                          </w:r>
                        </w:p>
                      </w:txbxContent>
                    </v:textbox>
                  </v:rect>
                  <v:rect id="矩形 51" o:spid="_x0000_s1031" style="position:absolute;left:15940;top:11393;width:163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" fillcolor="#f30" stroked="f" strokeweight="2pt">
                    <v:textbox>
                      <w:txbxContent>
                        <w:p w14:paraId="13371562" w14:textId="77777777" w:rsidR="000E3183" w:rsidRDefault="000E3183">
                          <w:pPr>
                            <w:jc w:val="center"/>
                            <w:rPr>
                              <w:b/>
                              <w:sz w:val="24"/>
                            </w:rPr>
                          </w:pPr>
                          <w:r>
                            <w:rPr>
                              <w:rFonts w:hint="eastAsia"/>
                              <w:b/>
                              <w:color w:val="FFFFFF"/>
                              <w:sz w:val="24"/>
                            </w:rPr>
                            <w:t>经营管理</w:t>
                          </w:r>
                          <w:r>
                            <w:rPr>
                              <w:b/>
                              <w:color w:val="FFFFFF"/>
                              <w:sz w:val="24"/>
                            </w:rPr>
                            <w:t>层</w:t>
                          </w:r>
                        </w:p>
                        <w:p w14:paraId="433C0547" w14:textId="77777777" w:rsidR="000E3183" w:rsidRDefault="000E3183">
                          <w:pPr>
                            <w:jc w:val="center"/>
                            <w:rPr>
                              <w:b/>
                              <w:sz w:val="24"/>
                            </w:rPr>
                          </w:pPr>
                        </w:p>
                      </w:txbxContent>
                    </v:textbox>
                  </v:rect>
                  <v:rect id="矩形 52" o:spid="_x0000_s1032" style="position:absolute;left:15940;top:16869;width:163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" fillcolor="#006" strokecolor="#357d91" strokeweight="2pt">
                    <v:textbox>
                      <w:txbxContent>
                        <w:p w14:paraId="424922D4" w14:textId="77777777" w:rsidR="000E3183" w:rsidRDefault="000E3183">
                          <w:pPr>
                            <w:jc w:val="center"/>
                            <w:rPr>
                              <w:b/>
                              <w:sz w:val="24"/>
                            </w:rPr>
                          </w:pPr>
                          <w:r>
                            <w:rPr>
                              <w:rFonts w:hint="eastAsia"/>
                              <w:b/>
                              <w:sz w:val="24"/>
                            </w:rPr>
                            <w:t>风险控制</w:t>
                          </w:r>
                          <w:r>
                            <w:rPr>
                              <w:b/>
                              <w:sz w:val="24"/>
                            </w:rPr>
                            <w:t>委员会</w:t>
                          </w:r>
                        </w:p>
                      </w:txbxContent>
                    </v:textbox>
                  </v:rect>
                  <v:rect id="矩形 53" o:spid="_x0000_s1033" style="position:absolute;left:35896;top:11393;width:163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" fillcolor="#006" strokecolor="#357d91" strokeweight="2pt">
                    <v:textbox>
                      <w:txbxContent>
                        <w:p w14:paraId="008804CE" w14:textId="77777777" w:rsidR="000E3183" w:rsidRDefault="000E3183">
                          <w:pPr>
                            <w:jc w:val="center"/>
                            <w:rPr>
                              <w:b/>
                              <w:sz w:val="24"/>
                            </w:rPr>
                          </w:pPr>
                          <w:r>
                            <w:rPr>
                              <w:rFonts w:hint="eastAsia"/>
                              <w:b/>
                              <w:sz w:val="24"/>
                            </w:rPr>
                            <w:t>督察长</w:t>
                          </w:r>
                        </w:p>
                      </w:txbxContent>
                    </v:textbox>
                  </v:rect>
                  <v:rect id="矩形 54" o:spid="_x0000_s1034" style="position:absolute;left:16098;top:22713;width:163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" fillcolor="#006" strokecolor="#357d91" strokeweight="2pt">
                    <v:textbox>
                      <w:txbxContent>
                        <w:p w14:paraId="42FC00E0" w14:textId="77777777" w:rsidR="000E3183" w:rsidRDefault="000E3183">
                          <w:pPr>
                            <w:jc w:val="center"/>
                            <w:rPr>
                              <w:b/>
                              <w:sz w:val="24"/>
                            </w:rPr>
                          </w:pPr>
                          <w:r>
                            <w:rPr>
                              <w:rFonts w:hint="eastAsia"/>
                              <w:b/>
                              <w:sz w:val="24"/>
                            </w:rPr>
                            <w:t>各职能</w:t>
                          </w:r>
                          <w:r>
                            <w:rPr>
                              <w:b/>
                              <w:sz w:val="24"/>
                            </w:rPr>
                            <w:t>部门</w:t>
                          </w:r>
                        </w:p>
                      </w:txbxContent>
                    </v:textbox>
                  </v:rect>
                  <v:rect id="矩形 55" o:spid="_x0000_s1035" style="position:absolute;left:46448;top:28850;width:1631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" fillcolor="#006" strokecolor="#357d91" strokeweight="2pt">
                    <v:textbox>
                      <w:txbxContent>
                        <w:p w14:paraId="011D80C3" w14:textId="77777777" w:rsidR="000E3183" w:rsidRDefault="000E3183">
                          <w:pPr>
                            <w:jc w:val="center"/>
                            <w:rPr>
                              <w:b/>
                              <w:sz w:val="24"/>
                            </w:rPr>
                          </w:pPr>
                          <w:r>
                            <w:rPr>
                              <w:rFonts w:hint="eastAsia"/>
                              <w:b/>
                              <w:sz w:val="24"/>
                            </w:rPr>
                            <w:t>风险管理</w:t>
                          </w:r>
                          <w:r>
                            <w:rPr>
                              <w:b/>
                              <w:sz w:val="24"/>
                            </w:rPr>
                            <w:t>部</w:t>
                          </w:r>
                        </w:p>
                        <w:p w14:paraId="63E16D5D" w14:textId="77777777" w:rsidR="000E3183" w:rsidRDefault="000E3183">
                          <w:pPr>
                            <w:jc w:val="center"/>
                            <w:rPr>
                              <w:b/>
                              <w:sz w:val="24"/>
                            </w:rPr>
                          </w:pPr>
                        </w:p>
                      </w:txbxContent>
                    </v:textbox>
                  </v:rect>
                  <v:rect id="矩形 56" o:spid="_x0000_s1036" style="position:absolute;left:46404;top:22754;width:1631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" fillcolor="#006" strokecolor="#357d91" strokeweight="2pt">
                    <v:textbox>
                      <w:txbxContent>
                        <w:p w14:paraId="1C133B68" w14:textId="77777777" w:rsidR="000E3183" w:rsidRDefault="000E3183">
                          <w:pPr>
                            <w:jc w:val="center"/>
                            <w:rPr>
                              <w:b/>
                              <w:sz w:val="24"/>
                            </w:rPr>
                          </w:pPr>
                          <w:r>
                            <w:rPr>
                              <w:rFonts w:hint="eastAsia"/>
                              <w:b/>
                              <w:sz w:val="24"/>
                            </w:rPr>
                            <w:t>合规稽核</w:t>
                          </w:r>
                          <w:r>
                            <w:rPr>
                              <w:b/>
                              <w:sz w:val="24"/>
                            </w:rPr>
                            <w:t>部</w:t>
                          </w:r>
                        </w:p>
                      </w:txbxContent>
                    </v:textbox>
                  </v:rect>
                  <v:line id="直接连接符 57" o:spid="_x0000_s1037" style="position:absolute;visibility:visible;mso-wrap-style:square" from="44097,14955" to="44182,3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" strokecolor="windowText" strokeweight="3pt">
                    <v:shadow on="t" color="black" opacity="22937f" origin=",.5" offset="0,.63889mm"/>
                  </v:line>
                  <v:line id="直接连接符 58" o:spid="_x0000_s1038" style="position:absolute;visibility:visible;mso-wrap-style:square" from="44033,7334" to="44033,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" strokecolor="windowText" strokeweight="3pt">
                    <v:shadow on="t" color="black" opacity="22937f" origin=",.5" offset="0,.63889mm"/>
                  </v:line>
                </v:group>
                <v:line id="直接连接符 59" o:spid="_x0000_s1039" style="position:absolute;visibility:visible;mso-wrap-style:square" from="16634,7321" to="28085,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" strokecolor="windowText" strokeweight="3pt">
                  <v:shadow on="t" color="black" opacity="22937f" origin=",.5" offset="0,.63889mm"/>
                </v:line>
                <v:line id="直接连接符 60" o:spid="_x0000_s1040" style="position:absolute;flip:y;visibility:visible;mso-wrap-style:square" from="28239,24520" to="30314,2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" strokecolor="windowText" strokeweight="3pt">
                  <v:shadow on="t" color="black" opacity="22937f" origin=",.5" offset="0,.63889mm"/>
                </v:line>
                <v:line id="直接连接符 61" o:spid="_x0000_s1041" style="position:absolute;flip:y;visibility:visible;mso-wrap-style:square" from="28385,30525" to="30460,3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" strokecolor="windowText" strokeweight="3pt">
                  <v:shadow on="t" color="black" opacity="22937f" origin=",.5" offset="0,.63889mm"/>
                </v:line>
                <v:line id="直接连接符 62" o:spid="_x0000_s1042" style="position:absolute;visibility:visible;mso-wrap-style:square" from="8296,21501" to="28236,2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" strokecolor="windowText" strokeweight="3pt">
                  <v:shadow on="t" color="black" opacity="22937f" origin=",.5" offset="0,.63889mm"/>
                </v:line>
                <w10:wrap type="tight"/>
              </v:group>
            </w:pict>
          </mc:Fallback>
        </mc:AlternateContent>
      </w:r>
    </w:p>
    <w:p w14:paraId="75B221B8" w14:textId="77777777" w:rsidR="0037652E" w:rsidRDefault="0037652E">
      <w:pPr>
        <w:spacing w:line="360" w:lineRule="auto"/>
        <w:ind w:firstLineChars="200" w:firstLine="480"/>
        <w:rPr>
          <w:color w:val="000000"/>
          <w:kern w:val="0"/>
          <w:sz w:val="24"/>
          <w:szCs w:val="24"/>
        </w:rPr>
      </w:pPr>
    </w:p>
    <w:p w14:paraId="4DC47D77" w14:textId="77777777" w:rsidR="0037652E" w:rsidRDefault="0037652E">
      <w:pPr>
        <w:spacing w:line="360" w:lineRule="auto"/>
        <w:ind w:firstLineChars="200" w:firstLine="480"/>
        <w:rPr>
          <w:color w:val="000000"/>
          <w:kern w:val="0"/>
          <w:sz w:val="24"/>
          <w:szCs w:val="24"/>
        </w:rPr>
      </w:pPr>
    </w:p>
    <w:p w14:paraId="060E0E2F" w14:textId="77777777" w:rsidR="0037652E" w:rsidRDefault="0037652E">
      <w:pPr>
        <w:spacing w:line="360" w:lineRule="auto"/>
        <w:ind w:firstLineChars="200" w:firstLine="480"/>
        <w:rPr>
          <w:color w:val="000000"/>
          <w:kern w:val="0"/>
          <w:sz w:val="24"/>
          <w:szCs w:val="24"/>
        </w:rPr>
      </w:pPr>
    </w:p>
    <w:p w14:paraId="6442CD48" w14:textId="77777777" w:rsidR="0037652E" w:rsidRDefault="0037652E">
      <w:pPr>
        <w:spacing w:line="360" w:lineRule="auto"/>
        <w:ind w:firstLineChars="200" w:firstLine="480"/>
        <w:rPr>
          <w:color w:val="000000"/>
          <w:kern w:val="0"/>
          <w:sz w:val="24"/>
          <w:szCs w:val="24"/>
        </w:rPr>
      </w:pPr>
    </w:p>
    <w:p w14:paraId="71CA2370" w14:textId="77777777" w:rsidR="0037652E" w:rsidRDefault="0037652E">
      <w:pPr>
        <w:spacing w:line="360" w:lineRule="auto"/>
        <w:ind w:firstLineChars="200" w:firstLine="480"/>
        <w:rPr>
          <w:color w:val="000000"/>
          <w:kern w:val="0"/>
          <w:sz w:val="24"/>
          <w:szCs w:val="24"/>
        </w:rPr>
      </w:pPr>
    </w:p>
    <w:p w14:paraId="72BE692F" w14:textId="77777777" w:rsidR="0037652E" w:rsidRDefault="0037652E">
      <w:pPr>
        <w:spacing w:line="360" w:lineRule="auto"/>
        <w:ind w:firstLineChars="200" w:firstLine="480"/>
        <w:rPr>
          <w:color w:val="000000"/>
          <w:kern w:val="0"/>
          <w:sz w:val="24"/>
          <w:szCs w:val="24"/>
        </w:rPr>
      </w:pPr>
    </w:p>
    <w:p w14:paraId="0DD626B0" w14:textId="77777777" w:rsidR="0037652E" w:rsidRDefault="0037652E">
      <w:pPr>
        <w:spacing w:line="360" w:lineRule="auto"/>
        <w:ind w:firstLineChars="200" w:firstLine="480"/>
        <w:rPr>
          <w:color w:val="000000"/>
          <w:kern w:val="0"/>
          <w:sz w:val="24"/>
          <w:szCs w:val="24"/>
        </w:rPr>
      </w:pPr>
    </w:p>
    <w:p w14:paraId="6B96F617" w14:textId="77777777" w:rsidR="0037652E" w:rsidRDefault="0037652E">
      <w:pPr>
        <w:spacing w:line="360" w:lineRule="auto"/>
        <w:ind w:firstLineChars="200" w:firstLine="480"/>
        <w:rPr>
          <w:color w:val="000000"/>
          <w:kern w:val="0"/>
          <w:sz w:val="24"/>
          <w:szCs w:val="24"/>
        </w:rPr>
      </w:pPr>
    </w:p>
    <w:p w14:paraId="196BCD7D" w14:textId="77777777" w:rsidR="0037652E" w:rsidRDefault="0037652E">
      <w:pPr>
        <w:spacing w:line="360" w:lineRule="auto"/>
        <w:ind w:firstLineChars="200" w:firstLine="480"/>
        <w:rPr>
          <w:color w:val="000000"/>
          <w:kern w:val="0"/>
          <w:sz w:val="24"/>
          <w:szCs w:val="24"/>
        </w:rPr>
      </w:pPr>
    </w:p>
    <w:p w14:paraId="57B6F512" w14:textId="77777777" w:rsidR="0037652E" w:rsidRDefault="00BF49B0">
      <w:pPr>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）董事会对公司风险管理负有最终责任，董事会下设</w:t>
      </w:r>
      <w:r>
        <w:rPr>
          <w:rFonts w:hint="eastAsia"/>
          <w:color w:val="000000"/>
          <w:kern w:val="0"/>
          <w:sz w:val="24"/>
          <w:szCs w:val="24"/>
        </w:rPr>
        <w:t>审计与</w:t>
      </w:r>
      <w:r>
        <w:rPr>
          <w:color w:val="000000"/>
          <w:kern w:val="0"/>
          <w:sz w:val="24"/>
          <w:szCs w:val="24"/>
        </w:rPr>
        <w:t>风险管理委员会与督察长。</w:t>
      </w:r>
      <w:r>
        <w:rPr>
          <w:rFonts w:hint="eastAsia"/>
          <w:color w:val="000000"/>
          <w:kern w:val="0"/>
          <w:sz w:val="24"/>
          <w:szCs w:val="24"/>
        </w:rPr>
        <w:t>审计与</w:t>
      </w:r>
      <w:r>
        <w:rPr>
          <w:color w:val="000000"/>
          <w:kern w:val="0"/>
          <w:sz w:val="24"/>
          <w:szCs w:val="24"/>
        </w:rPr>
        <w:t>风险管理委员会主要负责审核和指导公司的风险管理政策，对公司的整体风险水平、风险控制措施的实施情况进行评价。督察长负责组织指导公司</w:t>
      </w:r>
      <w:r>
        <w:rPr>
          <w:rFonts w:hint="eastAsia"/>
          <w:color w:val="000000"/>
          <w:kern w:val="0"/>
          <w:sz w:val="24"/>
          <w:szCs w:val="24"/>
        </w:rPr>
        <w:t>合规</w:t>
      </w:r>
      <w:r>
        <w:rPr>
          <w:color w:val="000000"/>
          <w:kern w:val="0"/>
          <w:sz w:val="24"/>
          <w:szCs w:val="24"/>
        </w:rPr>
        <w:t>稽核和风险管理工作，监督检查受托资产和公司运作的合法合规情况及公司内部风险控制情况。</w:t>
      </w:r>
    </w:p>
    <w:p w14:paraId="20E4AA61"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）经营管理层负责风险管理政策、风险控制措施的制定和落实，经营管理层下设风险控制委员会。风险控制委员会主要负责审议风险管理制度和流程，处置重大风险事件，促进风险管理文化的形成。</w:t>
      </w:r>
    </w:p>
    <w:p w14:paraId="7F6901DC"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3</w:t>
      </w:r>
      <w:r>
        <w:rPr>
          <w:color w:val="000000"/>
          <w:kern w:val="0"/>
          <w:sz w:val="24"/>
          <w:szCs w:val="24"/>
        </w:rPr>
        <w:t>）</w:t>
      </w:r>
      <w:r>
        <w:rPr>
          <w:rFonts w:ascii="宋体" w:hAnsi="宋体" w:cs="Calibri" w:hint="eastAsia"/>
          <w:color w:val="000000"/>
          <w:sz w:val="24"/>
          <w:szCs w:val="24"/>
          <w:lang w:bidi="ar"/>
        </w:rPr>
        <w:t>合规稽核部和风险管理部是合规管理和风险管理的职能部门，负责合规风险、投资组合市场风险、信用风险、流动性风险、营运风险、道德风险等的管理。</w:t>
      </w:r>
    </w:p>
    <w:p w14:paraId="7A793EB8"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4</w:t>
      </w:r>
      <w:r>
        <w:rPr>
          <w:color w:val="000000"/>
          <w:kern w:val="0"/>
          <w:sz w:val="24"/>
          <w:szCs w:val="24"/>
        </w:rPr>
        <w:t>）各职能部门负责从经营管理的各业务环节上贯彻落实风险管理措施，执行风险识别、风险测量、风险控制、风险评价和风险报告等风险管理程序，并持续完善相应的内部控制制度和流程。</w:t>
      </w:r>
    </w:p>
    <w:p w14:paraId="186804F8"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lastRenderedPageBreak/>
        <w:t>3</w:t>
      </w:r>
      <w:r>
        <w:rPr>
          <w:color w:val="000000"/>
          <w:kern w:val="0"/>
          <w:sz w:val="24"/>
          <w:szCs w:val="24"/>
        </w:rPr>
        <w:t>、风险管理内容</w:t>
      </w:r>
    </w:p>
    <w:p w14:paraId="699355C3"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本基金管理人的风险管理包括风险识别、风险测量、风险控制、风险评价、风险报告等内容。</w:t>
      </w:r>
    </w:p>
    <w:p w14:paraId="544E1878"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）风险识别是指对现实以及潜在的各种风险加以判断、归类和鉴定风险性质的过程。</w:t>
      </w:r>
    </w:p>
    <w:p w14:paraId="530D8C62"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）风险测量是指估计和预测风险发生的概率和可能造成的损失，并根据这两个因素的结合来衡量风险大小的程度。</w:t>
      </w:r>
    </w:p>
    <w:p w14:paraId="49CF6ECE"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3</w:t>
      </w:r>
      <w:r>
        <w:rPr>
          <w:color w:val="000000"/>
          <w:kern w:val="0"/>
          <w:sz w:val="24"/>
          <w:szCs w:val="24"/>
        </w:rPr>
        <w:t>）风险控制是指采取相应的措施，监控和防止各种风险的发生，实现以合理的成本在最大限度内防范风险和减轻损失。</w:t>
      </w:r>
    </w:p>
    <w:p w14:paraId="35DAC18F"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4</w:t>
      </w:r>
      <w:r>
        <w:rPr>
          <w:color w:val="000000"/>
          <w:kern w:val="0"/>
          <w:sz w:val="24"/>
          <w:szCs w:val="24"/>
        </w:rPr>
        <w:t>）风险评价是指分析风险识别、风险测量和风险控制的执行情况和运行效果的过程。</w:t>
      </w:r>
    </w:p>
    <w:p w14:paraId="244053EE"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5</w:t>
      </w:r>
      <w:r>
        <w:rPr>
          <w:color w:val="000000"/>
          <w:kern w:val="0"/>
          <w:sz w:val="24"/>
          <w:szCs w:val="24"/>
        </w:rPr>
        <w:t>）风险报告是指将风险事件及处置、风险评价情况以一定程序进行报告的过程。</w:t>
      </w:r>
    </w:p>
    <w:p w14:paraId="52E0A827"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六、基金管理人的内部控制制度</w:t>
      </w:r>
    </w:p>
    <w:p w14:paraId="0F9FC014"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内部控制是指基金管理人为防范和化解风险，保证经营运作符合基金管理人发展规划，在充分考虑内外部环境的基础上，通过建立组织机制、运用管理方法、实施控制程序与控制措施而形成的系统。</w:t>
      </w:r>
      <w:r>
        <w:rPr>
          <w:color w:val="000000"/>
          <w:kern w:val="0"/>
          <w:sz w:val="24"/>
          <w:szCs w:val="24"/>
        </w:rPr>
        <w:t xml:space="preserve"> </w:t>
      </w:r>
    </w:p>
    <w:p w14:paraId="7E9885EB"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基金管理人结合自身具体情况，建立了科学合理、控制严密、运行高效的内部控制体系，并制定了科学完善的内部控制制度。</w:t>
      </w:r>
      <w:r>
        <w:rPr>
          <w:color w:val="000000"/>
          <w:kern w:val="0"/>
          <w:sz w:val="24"/>
          <w:szCs w:val="24"/>
        </w:rPr>
        <w:t xml:space="preserve"> </w:t>
      </w:r>
    </w:p>
    <w:p w14:paraId="3C569397"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1</w:t>
      </w:r>
      <w:r>
        <w:rPr>
          <w:color w:val="000000"/>
          <w:kern w:val="0"/>
          <w:sz w:val="24"/>
          <w:szCs w:val="24"/>
        </w:rPr>
        <w:t>、内部控制目标</w:t>
      </w:r>
      <w:r>
        <w:rPr>
          <w:color w:val="000000"/>
          <w:kern w:val="0"/>
          <w:sz w:val="24"/>
          <w:szCs w:val="24"/>
        </w:rPr>
        <w:t xml:space="preserve"> </w:t>
      </w:r>
    </w:p>
    <w:p w14:paraId="6068CE36"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）保证基金管理人经营运作遵守国家法律法规和行业监管规则，自觉形成守法经营、规范运作的经营思想和经营理念。</w:t>
      </w:r>
      <w:r>
        <w:rPr>
          <w:color w:val="000000"/>
          <w:kern w:val="0"/>
          <w:sz w:val="24"/>
          <w:szCs w:val="24"/>
        </w:rPr>
        <w:t xml:space="preserve"> </w:t>
      </w:r>
    </w:p>
    <w:p w14:paraId="2FBBDCF6"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）防范和化解经营风险，提高经营管理效益，确保经营业务的稳健运行和受托资产的安全完整，实现持续、稳定、健康发展。</w:t>
      </w:r>
      <w:r>
        <w:rPr>
          <w:color w:val="000000"/>
          <w:kern w:val="0"/>
          <w:sz w:val="24"/>
          <w:szCs w:val="24"/>
        </w:rPr>
        <w:t xml:space="preserve"> </w:t>
      </w:r>
    </w:p>
    <w:p w14:paraId="5518A00F"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3</w:t>
      </w:r>
      <w:r>
        <w:rPr>
          <w:color w:val="000000"/>
          <w:kern w:val="0"/>
          <w:sz w:val="24"/>
          <w:szCs w:val="24"/>
        </w:rPr>
        <w:t>）确保基金管理人和基金财务及其他信息的真实、准确、及时、完整。</w:t>
      </w:r>
      <w:r>
        <w:rPr>
          <w:color w:val="000000"/>
          <w:kern w:val="0"/>
          <w:sz w:val="24"/>
          <w:szCs w:val="24"/>
        </w:rPr>
        <w:t xml:space="preserve"> </w:t>
      </w:r>
    </w:p>
    <w:p w14:paraId="2CC13F5C"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2</w:t>
      </w:r>
      <w:r>
        <w:rPr>
          <w:color w:val="000000"/>
          <w:kern w:val="0"/>
          <w:sz w:val="24"/>
          <w:szCs w:val="24"/>
        </w:rPr>
        <w:t>、内部控制原则</w:t>
      </w:r>
      <w:r>
        <w:rPr>
          <w:color w:val="000000"/>
          <w:kern w:val="0"/>
          <w:sz w:val="24"/>
          <w:szCs w:val="24"/>
        </w:rPr>
        <w:t xml:space="preserve"> </w:t>
      </w:r>
    </w:p>
    <w:p w14:paraId="0CA87315"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）健全性原则。内部控制机制覆盖基金管理人的各项业务、各个部门和各级人员，并渗透到决策、执行、监督、反馈等各个环节。</w:t>
      </w:r>
      <w:r>
        <w:rPr>
          <w:color w:val="000000"/>
          <w:kern w:val="0"/>
          <w:sz w:val="24"/>
          <w:szCs w:val="24"/>
        </w:rPr>
        <w:t xml:space="preserve"> </w:t>
      </w:r>
    </w:p>
    <w:p w14:paraId="3553AB1F"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）有效性原则。通过科学的内部控制手段和方法，建立合理的内部控制程序，维护内部控制的有效执行。</w:t>
      </w:r>
      <w:r>
        <w:rPr>
          <w:color w:val="000000"/>
          <w:kern w:val="0"/>
          <w:sz w:val="24"/>
          <w:szCs w:val="24"/>
        </w:rPr>
        <w:t xml:space="preserve"> </w:t>
      </w:r>
    </w:p>
    <w:p w14:paraId="65D88A78"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lastRenderedPageBreak/>
        <w:t>（</w:t>
      </w:r>
      <w:r>
        <w:rPr>
          <w:color w:val="000000"/>
          <w:kern w:val="0"/>
          <w:sz w:val="24"/>
          <w:szCs w:val="24"/>
        </w:rPr>
        <w:t>3</w:t>
      </w:r>
      <w:r>
        <w:rPr>
          <w:color w:val="000000"/>
          <w:kern w:val="0"/>
          <w:sz w:val="24"/>
          <w:szCs w:val="24"/>
        </w:rPr>
        <w:t>）独立性原则。基金管理人各机构、部门和岗位职责保持相对独立，基金资产、固有财产、其他资产的运作相互分离。</w:t>
      </w:r>
      <w:r>
        <w:rPr>
          <w:color w:val="000000"/>
          <w:kern w:val="0"/>
          <w:sz w:val="24"/>
          <w:szCs w:val="24"/>
        </w:rPr>
        <w:t xml:space="preserve"> </w:t>
      </w:r>
    </w:p>
    <w:p w14:paraId="3F44FF00"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4</w:t>
      </w:r>
      <w:r>
        <w:rPr>
          <w:color w:val="000000"/>
          <w:kern w:val="0"/>
          <w:sz w:val="24"/>
          <w:szCs w:val="24"/>
        </w:rPr>
        <w:t>）相互制约原则。基金管理人内部部门和岗位的设置权责分明、相互制衡。</w:t>
      </w:r>
      <w:r>
        <w:rPr>
          <w:color w:val="000000"/>
          <w:kern w:val="0"/>
          <w:sz w:val="24"/>
          <w:szCs w:val="24"/>
        </w:rPr>
        <w:t xml:space="preserve"> </w:t>
      </w:r>
    </w:p>
    <w:p w14:paraId="54F781EF"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5</w:t>
      </w:r>
      <w:r>
        <w:rPr>
          <w:color w:val="000000"/>
          <w:kern w:val="0"/>
          <w:sz w:val="24"/>
          <w:szCs w:val="24"/>
        </w:rPr>
        <w:t>）成本效益原则。基金管理人运用科学化的经营管理方法降低运作成本，提高经济效益，以合理的控制成本达到最佳的内部控制效果。</w:t>
      </w:r>
      <w:r>
        <w:rPr>
          <w:color w:val="000000"/>
          <w:kern w:val="0"/>
          <w:sz w:val="24"/>
          <w:szCs w:val="24"/>
        </w:rPr>
        <w:t xml:space="preserve"> </w:t>
      </w:r>
    </w:p>
    <w:p w14:paraId="36408CFC"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3</w:t>
      </w:r>
      <w:r>
        <w:rPr>
          <w:color w:val="000000"/>
          <w:kern w:val="0"/>
          <w:sz w:val="24"/>
          <w:szCs w:val="24"/>
        </w:rPr>
        <w:t>、内部控制内容</w:t>
      </w:r>
      <w:r>
        <w:rPr>
          <w:color w:val="000000"/>
          <w:kern w:val="0"/>
          <w:sz w:val="24"/>
          <w:szCs w:val="24"/>
        </w:rPr>
        <w:t xml:space="preserve"> </w:t>
      </w:r>
    </w:p>
    <w:p w14:paraId="656D6D3F"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基金管理人的内部控制要求建立：不相容职务相分离的机制、完善的岗位责任制、规范的岗位管理措施、完整的信息资料保全系统、严格的授权控制、有效的风险防范系统和快速反应机制等。</w:t>
      </w:r>
      <w:r>
        <w:rPr>
          <w:color w:val="000000"/>
          <w:kern w:val="0"/>
          <w:sz w:val="24"/>
          <w:szCs w:val="24"/>
        </w:rPr>
        <w:t xml:space="preserve"> </w:t>
      </w:r>
    </w:p>
    <w:p w14:paraId="3204F197"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基金管理人遵守国家有关法律法规，遵循合法合规性原则、全面性原则、审慎性原则和适时性原则，制订了系统完善的内部控制制度。内部控制的内容包括投资管理业务控制、信息披露控制、信息技术系统控制、会计系统控制以及内部稽核控制等。</w:t>
      </w:r>
      <w:r>
        <w:rPr>
          <w:color w:val="000000"/>
          <w:kern w:val="0"/>
          <w:sz w:val="24"/>
          <w:szCs w:val="24"/>
        </w:rPr>
        <w:t xml:space="preserve"> </w:t>
      </w:r>
    </w:p>
    <w:p w14:paraId="02B4F052"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）投资管理业务控制</w:t>
      </w:r>
      <w:r>
        <w:rPr>
          <w:color w:val="000000"/>
          <w:kern w:val="0"/>
          <w:sz w:val="24"/>
          <w:szCs w:val="24"/>
        </w:rPr>
        <w:t xml:space="preserve"> </w:t>
      </w:r>
    </w:p>
    <w:p w14:paraId="727431AF"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基金管理人通过规范投资业务流程，分层次强化投资风险控制。公司根据投资管理业务不同阶段的性质和特点，制定了完善的管理规章、操作流程和岗位手册，明确揭示不同业务可能存在的风险，分别采取不同措施进行控制。</w:t>
      </w:r>
      <w:r>
        <w:rPr>
          <w:color w:val="000000"/>
          <w:kern w:val="0"/>
          <w:sz w:val="24"/>
          <w:szCs w:val="24"/>
        </w:rPr>
        <w:t xml:space="preserve"> </w:t>
      </w:r>
    </w:p>
    <w:p w14:paraId="6EA2F3BF"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针对投资研究业务，基金管理人制定了《汇添富基金管理股份有限公司投资研究部制度》，对研究工作的业务流程、研究报告质量评价，研究与投资的交流渠道等都做了明确的规定；对于投资决策业务，基金管理人制定了《汇添富基金管理股份有限公司投资管理制度》，保证投资决策严格遵守法律法规的有关规定，符合基金合同所规定的要求，同时设立了汇添富投资风险评估与管理制度以及投资管理业绩评价体系；对于基金交易业务，基金管理人将实行集中交易与防火墙制度，建立交易监测系统、预警系统和交易反馈系统，完善相关的安全设施，交易流程将严格按照</w:t>
      </w:r>
      <w:r>
        <w:rPr>
          <w:color w:val="000000"/>
          <w:kern w:val="0"/>
          <w:sz w:val="24"/>
          <w:szCs w:val="24"/>
        </w:rPr>
        <w:t>“</w:t>
      </w:r>
      <w:r>
        <w:rPr>
          <w:color w:val="000000"/>
          <w:kern w:val="0"/>
          <w:sz w:val="24"/>
          <w:szCs w:val="24"/>
        </w:rPr>
        <w:t>审核</w:t>
      </w:r>
      <w:r>
        <w:rPr>
          <w:color w:val="000000"/>
          <w:kern w:val="0"/>
          <w:sz w:val="24"/>
          <w:szCs w:val="24"/>
        </w:rPr>
        <w:t>—</w:t>
      </w:r>
      <w:r>
        <w:rPr>
          <w:color w:val="000000"/>
          <w:kern w:val="0"/>
          <w:sz w:val="24"/>
          <w:szCs w:val="24"/>
        </w:rPr>
        <w:t>执行</w:t>
      </w:r>
      <w:r>
        <w:rPr>
          <w:color w:val="000000"/>
          <w:kern w:val="0"/>
          <w:sz w:val="24"/>
          <w:szCs w:val="24"/>
        </w:rPr>
        <w:t>—</w:t>
      </w:r>
      <w:r>
        <w:rPr>
          <w:color w:val="000000"/>
          <w:kern w:val="0"/>
          <w:sz w:val="24"/>
          <w:szCs w:val="24"/>
        </w:rPr>
        <w:t>反馈</w:t>
      </w:r>
      <w:r>
        <w:rPr>
          <w:color w:val="000000"/>
          <w:kern w:val="0"/>
          <w:sz w:val="24"/>
          <w:szCs w:val="24"/>
        </w:rPr>
        <w:t>—</w:t>
      </w:r>
      <w:r>
        <w:rPr>
          <w:color w:val="000000"/>
          <w:kern w:val="0"/>
          <w:sz w:val="24"/>
          <w:szCs w:val="24"/>
        </w:rPr>
        <w:t>复核</w:t>
      </w:r>
      <w:r>
        <w:rPr>
          <w:color w:val="000000"/>
          <w:kern w:val="0"/>
          <w:sz w:val="24"/>
          <w:szCs w:val="24"/>
        </w:rPr>
        <w:t>—</w:t>
      </w:r>
      <w:r>
        <w:rPr>
          <w:color w:val="000000"/>
          <w:kern w:val="0"/>
          <w:sz w:val="24"/>
          <w:szCs w:val="24"/>
        </w:rPr>
        <w:t>存档</w:t>
      </w:r>
      <w:r>
        <w:rPr>
          <w:color w:val="000000"/>
          <w:kern w:val="0"/>
          <w:sz w:val="24"/>
          <w:szCs w:val="24"/>
        </w:rPr>
        <w:t>”</w:t>
      </w:r>
      <w:r>
        <w:rPr>
          <w:color w:val="000000"/>
          <w:kern w:val="0"/>
          <w:sz w:val="24"/>
          <w:szCs w:val="24"/>
        </w:rPr>
        <w:t>的程序进行，防止不正当关联交易损害基金份额持有人利益。</w:t>
      </w:r>
      <w:r>
        <w:rPr>
          <w:color w:val="000000"/>
          <w:kern w:val="0"/>
          <w:sz w:val="24"/>
          <w:szCs w:val="24"/>
        </w:rPr>
        <w:t xml:space="preserve"> </w:t>
      </w:r>
    </w:p>
    <w:p w14:paraId="7C6DC9D0"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）信息披露控制</w:t>
      </w:r>
    </w:p>
    <w:p w14:paraId="1AE43244"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基金管理人通过完善信息披露制度，确保基金份额持有人及时完整地了解基金信息。基金管理人按照法律、法规和中国证监会有关规定，建立了《汇添富基</w:t>
      </w:r>
      <w:r>
        <w:rPr>
          <w:color w:val="000000"/>
          <w:kern w:val="0"/>
          <w:sz w:val="24"/>
          <w:szCs w:val="24"/>
        </w:rPr>
        <w:lastRenderedPageBreak/>
        <w:t>金管理股份有限公司公开募集证券投资基金信息披露管理制度》，指定了信息披露责任人负责信息披露工作，进行信息的组织、审核和发布，并将定期对信息披露进行检查和评价，保证公开披露的信息真实、准确、完整。</w:t>
      </w:r>
    </w:p>
    <w:p w14:paraId="3F691E5D"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3</w:t>
      </w:r>
      <w:r>
        <w:rPr>
          <w:color w:val="000000"/>
          <w:kern w:val="0"/>
          <w:sz w:val="24"/>
          <w:szCs w:val="24"/>
        </w:rPr>
        <w:t>）信息技术系统控制</w:t>
      </w:r>
      <w:r>
        <w:rPr>
          <w:color w:val="000000"/>
          <w:kern w:val="0"/>
          <w:sz w:val="24"/>
          <w:szCs w:val="24"/>
        </w:rPr>
        <w:t xml:space="preserve"> </w:t>
      </w:r>
    </w:p>
    <w:p w14:paraId="3EBEB073"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基金管理人建立了先进的信息技术系统和完善的信息技术管理制度。基金管理人的信息技术系统由先进的计算机系统构成，通过了国家、金融行业软件工程标准的认证，并有完整的技术资料。基金管理人制定了严格的信息技术岗位责任制度、门禁制度、内外网分离制度等管理措施，对电子信息数据进行即时保存和备份，重要数据实行异地备份并且长期保存，确保了系统可靠、稳定、安全地运行。在人员控制方面，对信息技术人员进行有关信息系统安全的统一培训和考核；信息技术人员之间定期轮换岗位。</w:t>
      </w:r>
      <w:r>
        <w:rPr>
          <w:color w:val="000000"/>
          <w:kern w:val="0"/>
          <w:sz w:val="24"/>
          <w:szCs w:val="24"/>
        </w:rPr>
        <w:t xml:space="preserve"> </w:t>
      </w:r>
    </w:p>
    <w:p w14:paraId="3483FD60"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4</w:t>
      </w:r>
      <w:r>
        <w:rPr>
          <w:color w:val="000000"/>
          <w:kern w:val="0"/>
          <w:sz w:val="24"/>
          <w:szCs w:val="24"/>
        </w:rPr>
        <w:t>）会计系统控制</w:t>
      </w:r>
      <w:r>
        <w:rPr>
          <w:color w:val="000000"/>
          <w:kern w:val="0"/>
          <w:sz w:val="24"/>
          <w:szCs w:val="24"/>
        </w:rPr>
        <w:t xml:space="preserve"> </w:t>
      </w:r>
    </w:p>
    <w:p w14:paraId="469C1E4C"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基金管理人通过建立严格的会计系统控制措施，确保会计核算正常运转。基金管理人根据《中华人民共和国会计法》、《金融企业会计制度》、《证券投资基金会计核算业务指引》、《企业财务通则》等国家有关法律、法规制订了基金会计制度、公司财务制度、会计工作操作流程和会计岗位工作手册。通过事前防范、事中检查、事后监督的方式发现、堵截、杜绝基金会计核算中存在的各种风险。具体措施包括：采用了目前最先进的基金核算软件；基金会计严格执行复核制度；基金会计核算采用基金管理人与托管银行双人同步独立核算、相互核对的方式；每日制作基金会计核算估值系统电子数据的备份，同时打印保存书面的记账凭证、各类会计报表、统计报表，并由专人保存原始记账凭证等。</w:t>
      </w:r>
    </w:p>
    <w:p w14:paraId="6E431BF4"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w:t>
      </w:r>
      <w:r>
        <w:rPr>
          <w:color w:val="000000"/>
          <w:kern w:val="0"/>
          <w:sz w:val="24"/>
          <w:szCs w:val="24"/>
        </w:rPr>
        <w:t>5</w:t>
      </w:r>
      <w:r>
        <w:rPr>
          <w:color w:val="000000"/>
          <w:kern w:val="0"/>
          <w:sz w:val="24"/>
          <w:szCs w:val="24"/>
        </w:rPr>
        <w:t>）内部稽核控制</w:t>
      </w:r>
    </w:p>
    <w:p w14:paraId="1F945162"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lang w:bidi="ar"/>
        </w:rPr>
        <w:t>基金管理人通过制定稽核监察制度，开展独立监督，确保内部控制的有效性。基金管理人设立督察长，督察长可以列席基金管理人召开的任何会议，调阅相关档案，就内部控制制度的执行情况独立地履行检查、评价、报告、建议职能。督察长定期和不定期向董事会报告公司内部控制执行情况。公司为合规稽核部配备充足合格的稽核监察人员，监督各业务部门和人员遵守法律、法规和规章的有关情况；检查各业务部门和人员执行内部控制制度、各项管理制度和业务规章的情况。</w:t>
      </w:r>
    </w:p>
    <w:p w14:paraId="1802EC41"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t>4</w:t>
      </w:r>
      <w:r>
        <w:rPr>
          <w:color w:val="000000"/>
          <w:kern w:val="0"/>
          <w:sz w:val="24"/>
          <w:szCs w:val="24"/>
        </w:rPr>
        <w:t>、基金管理人关于内部控制制度声明书</w:t>
      </w:r>
      <w:r>
        <w:rPr>
          <w:color w:val="000000"/>
          <w:kern w:val="0"/>
          <w:sz w:val="24"/>
          <w:szCs w:val="24"/>
        </w:rPr>
        <w:t xml:space="preserve"> </w:t>
      </w:r>
    </w:p>
    <w:p w14:paraId="432E3050" w14:textId="77777777" w:rsidR="0037652E" w:rsidRDefault="00BF49B0">
      <w:pPr>
        <w:widowControl/>
        <w:adjustRightInd w:val="0"/>
        <w:snapToGrid w:val="0"/>
        <w:spacing w:line="360" w:lineRule="auto"/>
        <w:ind w:firstLineChars="200" w:firstLine="480"/>
        <w:rPr>
          <w:color w:val="000000"/>
          <w:kern w:val="0"/>
          <w:sz w:val="24"/>
          <w:szCs w:val="24"/>
        </w:rPr>
      </w:pPr>
      <w:r>
        <w:rPr>
          <w:color w:val="000000"/>
          <w:kern w:val="0"/>
          <w:sz w:val="24"/>
          <w:szCs w:val="24"/>
        </w:rPr>
        <w:lastRenderedPageBreak/>
        <w:t>（</w:t>
      </w:r>
      <w:r>
        <w:rPr>
          <w:color w:val="000000"/>
          <w:kern w:val="0"/>
          <w:sz w:val="24"/>
          <w:szCs w:val="24"/>
        </w:rPr>
        <w:t>1</w:t>
      </w:r>
      <w:r>
        <w:rPr>
          <w:color w:val="000000"/>
          <w:kern w:val="0"/>
          <w:sz w:val="24"/>
          <w:szCs w:val="24"/>
        </w:rPr>
        <w:t>）基金管理人承诺以上关于内部控制制度的披露真实、准确；</w:t>
      </w:r>
    </w:p>
    <w:p w14:paraId="5E003777" w14:textId="77777777" w:rsidR="0037652E" w:rsidRDefault="00BF49B0">
      <w:pPr>
        <w:tabs>
          <w:tab w:val="left" w:pos="961"/>
        </w:tabs>
        <w:snapToGrid w:val="0"/>
        <w:spacing w:line="360" w:lineRule="auto"/>
        <w:ind w:firstLineChars="200" w:firstLine="480"/>
        <w:rPr>
          <w:rFonts w:hAnsi="宋体"/>
          <w:bCs/>
          <w:sz w:val="24"/>
          <w:szCs w:val="24"/>
        </w:rPr>
      </w:pPr>
      <w:r>
        <w:rPr>
          <w:color w:val="000000"/>
          <w:kern w:val="0"/>
          <w:sz w:val="24"/>
          <w:szCs w:val="24"/>
        </w:rPr>
        <w:t>（</w:t>
      </w:r>
      <w:r>
        <w:rPr>
          <w:color w:val="000000"/>
          <w:kern w:val="0"/>
          <w:sz w:val="24"/>
          <w:szCs w:val="24"/>
        </w:rPr>
        <w:t>2</w:t>
      </w:r>
      <w:r>
        <w:rPr>
          <w:color w:val="000000"/>
          <w:kern w:val="0"/>
          <w:sz w:val="24"/>
          <w:szCs w:val="24"/>
        </w:rPr>
        <w:t>）基金管理人承诺根据市场变化和基金管理人业务发展不断完善内部风险控制制度</w:t>
      </w:r>
      <w:bookmarkEnd w:id="49"/>
      <w:bookmarkEnd w:id="50"/>
      <w:r>
        <w:rPr>
          <w:rFonts w:hAnsi="宋体" w:hint="eastAsia"/>
          <w:bCs/>
          <w:sz w:val="24"/>
          <w:szCs w:val="24"/>
        </w:rPr>
        <w:t>。</w:t>
      </w:r>
    </w:p>
    <w:p w14:paraId="495CB83B" w14:textId="77777777" w:rsidR="0037652E" w:rsidRDefault="0037652E">
      <w:pPr>
        <w:tabs>
          <w:tab w:val="left" w:pos="961"/>
        </w:tabs>
        <w:snapToGrid w:val="0"/>
        <w:spacing w:line="360" w:lineRule="auto"/>
        <w:ind w:firstLineChars="200" w:firstLine="480"/>
        <w:rPr>
          <w:rFonts w:hAnsi="宋体"/>
          <w:bCs/>
          <w:sz w:val="24"/>
          <w:szCs w:val="24"/>
        </w:rPr>
      </w:pPr>
    </w:p>
    <w:p w14:paraId="05148DC6" w14:textId="77777777" w:rsidR="0037652E" w:rsidRDefault="0037652E">
      <w:pPr>
        <w:tabs>
          <w:tab w:val="left" w:pos="961"/>
        </w:tabs>
        <w:snapToGrid w:val="0"/>
        <w:spacing w:line="360" w:lineRule="auto"/>
        <w:ind w:firstLineChars="200" w:firstLine="480"/>
        <w:rPr>
          <w:rFonts w:hAnsi="宋体"/>
          <w:bCs/>
          <w:sz w:val="24"/>
          <w:szCs w:val="24"/>
        </w:rPr>
      </w:pPr>
    </w:p>
    <w:p w14:paraId="008F8C59" w14:textId="77777777" w:rsidR="0037652E" w:rsidRDefault="0037652E">
      <w:pPr>
        <w:tabs>
          <w:tab w:val="left" w:pos="961"/>
        </w:tabs>
        <w:snapToGrid w:val="0"/>
        <w:spacing w:line="360" w:lineRule="auto"/>
        <w:ind w:firstLineChars="200" w:firstLine="480"/>
        <w:rPr>
          <w:rFonts w:hAnsi="宋体"/>
          <w:bCs/>
          <w:sz w:val="24"/>
          <w:szCs w:val="24"/>
        </w:rPr>
      </w:pPr>
    </w:p>
    <w:p w14:paraId="1E07D447" w14:textId="77777777" w:rsidR="0037652E" w:rsidRDefault="0037652E">
      <w:pPr>
        <w:tabs>
          <w:tab w:val="left" w:pos="961"/>
        </w:tabs>
        <w:snapToGrid w:val="0"/>
        <w:spacing w:line="360" w:lineRule="auto"/>
        <w:ind w:firstLineChars="200" w:firstLine="480"/>
        <w:rPr>
          <w:rFonts w:hAnsi="宋体"/>
          <w:bCs/>
          <w:sz w:val="24"/>
          <w:szCs w:val="24"/>
        </w:rPr>
      </w:pPr>
    </w:p>
    <w:p w14:paraId="2D676623" w14:textId="77777777" w:rsidR="0037652E" w:rsidRDefault="0037652E">
      <w:pPr>
        <w:tabs>
          <w:tab w:val="left" w:pos="961"/>
        </w:tabs>
        <w:snapToGrid w:val="0"/>
        <w:spacing w:line="360" w:lineRule="auto"/>
        <w:ind w:firstLineChars="200" w:firstLine="480"/>
        <w:rPr>
          <w:rFonts w:hAnsi="宋体"/>
          <w:bCs/>
          <w:sz w:val="24"/>
          <w:szCs w:val="24"/>
        </w:rPr>
      </w:pPr>
    </w:p>
    <w:p w14:paraId="72C6107C" w14:textId="77777777" w:rsidR="0037652E" w:rsidRDefault="0037652E">
      <w:pPr>
        <w:tabs>
          <w:tab w:val="left" w:pos="961"/>
        </w:tabs>
        <w:snapToGrid w:val="0"/>
        <w:spacing w:line="360" w:lineRule="auto"/>
        <w:ind w:firstLineChars="200" w:firstLine="480"/>
        <w:rPr>
          <w:rFonts w:hAnsi="宋体"/>
          <w:bCs/>
          <w:sz w:val="24"/>
          <w:szCs w:val="24"/>
        </w:rPr>
      </w:pPr>
    </w:p>
    <w:p w14:paraId="33735D58" w14:textId="77777777" w:rsidR="0037652E" w:rsidRDefault="0037652E">
      <w:pPr>
        <w:tabs>
          <w:tab w:val="left" w:pos="961"/>
        </w:tabs>
        <w:snapToGrid w:val="0"/>
        <w:spacing w:line="360" w:lineRule="auto"/>
        <w:ind w:firstLineChars="200" w:firstLine="480"/>
        <w:rPr>
          <w:rFonts w:hAnsi="宋体"/>
          <w:bCs/>
          <w:sz w:val="24"/>
          <w:szCs w:val="24"/>
        </w:rPr>
      </w:pPr>
    </w:p>
    <w:p w14:paraId="6BD0D79A" w14:textId="77777777" w:rsidR="0037652E" w:rsidRDefault="0037652E">
      <w:pPr>
        <w:tabs>
          <w:tab w:val="left" w:pos="961"/>
        </w:tabs>
        <w:snapToGrid w:val="0"/>
        <w:spacing w:line="360" w:lineRule="auto"/>
        <w:ind w:firstLineChars="200" w:firstLine="480"/>
        <w:rPr>
          <w:rFonts w:hAnsi="宋体"/>
          <w:bCs/>
          <w:sz w:val="24"/>
          <w:szCs w:val="24"/>
        </w:rPr>
      </w:pPr>
    </w:p>
    <w:p w14:paraId="45EC1898" w14:textId="77777777" w:rsidR="0037652E" w:rsidRDefault="0037652E">
      <w:pPr>
        <w:tabs>
          <w:tab w:val="left" w:pos="961"/>
        </w:tabs>
        <w:snapToGrid w:val="0"/>
        <w:spacing w:line="360" w:lineRule="auto"/>
        <w:ind w:firstLineChars="200" w:firstLine="480"/>
        <w:rPr>
          <w:rFonts w:hAnsi="宋体"/>
          <w:bCs/>
          <w:sz w:val="24"/>
          <w:szCs w:val="24"/>
        </w:rPr>
      </w:pPr>
    </w:p>
    <w:p w14:paraId="0D785D8F" w14:textId="77777777" w:rsidR="0037652E" w:rsidRDefault="0037652E">
      <w:pPr>
        <w:tabs>
          <w:tab w:val="left" w:pos="961"/>
        </w:tabs>
        <w:snapToGrid w:val="0"/>
        <w:spacing w:line="360" w:lineRule="auto"/>
        <w:ind w:firstLineChars="200" w:firstLine="480"/>
        <w:rPr>
          <w:rFonts w:hAnsi="宋体"/>
          <w:bCs/>
          <w:sz w:val="24"/>
          <w:szCs w:val="24"/>
        </w:rPr>
      </w:pPr>
    </w:p>
    <w:p w14:paraId="5DA9DE5C" w14:textId="77777777" w:rsidR="0037652E" w:rsidRDefault="0037652E">
      <w:pPr>
        <w:tabs>
          <w:tab w:val="left" w:pos="961"/>
        </w:tabs>
        <w:snapToGrid w:val="0"/>
        <w:spacing w:line="360" w:lineRule="auto"/>
        <w:ind w:firstLineChars="200" w:firstLine="480"/>
        <w:rPr>
          <w:rFonts w:hAnsi="宋体"/>
          <w:bCs/>
          <w:sz w:val="24"/>
          <w:szCs w:val="24"/>
        </w:rPr>
      </w:pPr>
    </w:p>
    <w:p w14:paraId="58C45E17" w14:textId="77777777" w:rsidR="0037652E" w:rsidRDefault="0037652E">
      <w:pPr>
        <w:tabs>
          <w:tab w:val="left" w:pos="961"/>
        </w:tabs>
        <w:snapToGrid w:val="0"/>
        <w:spacing w:line="360" w:lineRule="auto"/>
        <w:ind w:firstLineChars="200" w:firstLine="480"/>
        <w:rPr>
          <w:rFonts w:hAnsi="宋体"/>
          <w:bCs/>
          <w:sz w:val="24"/>
          <w:szCs w:val="24"/>
        </w:rPr>
      </w:pPr>
    </w:p>
    <w:p w14:paraId="005A7D10" w14:textId="77777777" w:rsidR="0037652E" w:rsidRDefault="0037652E">
      <w:pPr>
        <w:tabs>
          <w:tab w:val="left" w:pos="961"/>
        </w:tabs>
        <w:snapToGrid w:val="0"/>
        <w:spacing w:line="360" w:lineRule="auto"/>
        <w:ind w:firstLineChars="200" w:firstLine="480"/>
        <w:rPr>
          <w:rFonts w:hAnsi="宋体"/>
          <w:bCs/>
          <w:sz w:val="24"/>
          <w:szCs w:val="24"/>
        </w:rPr>
      </w:pPr>
    </w:p>
    <w:p w14:paraId="2A7C8716" w14:textId="77777777" w:rsidR="0037652E" w:rsidRDefault="0037652E">
      <w:pPr>
        <w:tabs>
          <w:tab w:val="left" w:pos="961"/>
        </w:tabs>
        <w:snapToGrid w:val="0"/>
        <w:spacing w:line="360" w:lineRule="auto"/>
        <w:ind w:firstLineChars="200" w:firstLine="480"/>
        <w:rPr>
          <w:rFonts w:hAnsi="宋体"/>
          <w:bCs/>
          <w:sz w:val="24"/>
          <w:szCs w:val="24"/>
        </w:rPr>
      </w:pPr>
    </w:p>
    <w:p w14:paraId="06571A48" w14:textId="77777777" w:rsidR="00100093" w:rsidRDefault="00100093">
      <w:pPr>
        <w:widowControl/>
        <w:jc w:val="left"/>
        <w:rPr>
          <w:rFonts w:ascii="宋体" w:hAnsi="宋体"/>
          <w:b/>
          <w:sz w:val="24"/>
          <w:szCs w:val="24"/>
        </w:rPr>
      </w:pPr>
      <w:bookmarkStart w:id="51" w:name="_Toc5436"/>
      <w:bookmarkStart w:id="52" w:name="_Toc12261"/>
      <w:bookmarkStart w:id="53" w:name="_Toc65325114"/>
      <w:r>
        <w:rPr>
          <w:rFonts w:ascii="宋体" w:hAnsi="宋体"/>
          <w:b/>
          <w:sz w:val="24"/>
          <w:szCs w:val="24"/>
        </w:rPr>
        <w:br w:type="page"/>
      </w:r>
    </w:p>
    <w:p w14:paraId="5698025D" w14:textId="77777777" w:rsidR="0037652E" w:rsidRDefault="00BF49B0">
      <w:pPr>
        <w:spacing w:line="360" w:lineRule="auto"/>
        <w:ind w:firstLineChars="200" w:firstLine="482"/>
        <w:jc w:val="center"/>
        <w:outlineLvl w:val="0"/>
        <w:rPr>
          <w:rFonts w:ascii="宋体" w:hAnsi="宋体"/>
          <w:b/>
          <w:sz w:val="24"/>
          <w:szCs w:val="24"/>
        </w:rPr>
      </w:pPr>
      <w:bookmarkStart w:id="54" w:name="_Toc110606848"/>
      <w:r>
        <w:rPr>
          <w:rFonts w:ascii="宋体" w:hAnsi="宋体" w:hint="eastAsia"/>
          <w:b/>
          <w:sz w:val="24"/>
          <w:szCs w:val="24"/>
        </w:rPr>
        <w:lastRenderedPageBreak/>
        <w:t>第七部分 基金的募集</w:t>
      </w:r>
      <w:bookmarkEnd w:id="51"/>
      <w:bookmarkEnd w:id="52"/>
      <w:bookmarkEnd w:id="53"/>
      <w:bookmarkEnd w:id="54"/>
    </w:p>
    <w:p w14:paraId="209F8B32" w14:textId="77777777" w:rsidR="0037652E" w:rsidRDefault="0037652E">
      <w:pPr>
        <w:tabs>
          <w:tab w:val="left" w:pos="961"/>
        </w:tabs>
        <w:snapToGrid w:val="0"/>
        <w:spacing w:line="360" w:lineRule="auto"/>
        <w:ind w:firstLineChars="200" w:firstLine="420"/>
        <w:rPr>
          <w:rFonts w:hAnsi="宋体"/>
          <w:bCs/>
          <w:szCs w:val="21"/>
        </w:rPr>
      </w:pPr>
    </w:p>
    <w:p w14:paraId="23ABB5BD"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一、基金募集的依据</w:t>
      </w:r>
    </w:p>
    <w:p w14:paraId="0D67CC7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本基金由基金管理人依照《基金法》、《运作办法》、《销售办法》、《信息披露办法》、《基金合同》及其它法律法规的有关规定，经</w:t>
      </w:r>
      <w:r>
        <w:rPr>
          <w:rFonts w:hAnsi="宋体" w:hint="eastAsia"/>
          <w:bCs/>
          <w:sz w:val="24"/>
          <w:szCs w:val="24"/>
        </w:rPr>
        <w:t xml:space="preserve"> 2011</w:t>
      </w:r>
      <w:r>
        <w:rPr>
          <w:rFonts w:hAnsi="宋体" w:hint="eastAsia"/>
          <w:bCs/>
          <w:sz w:val="24"/>
          <w:szCs w:val="24"/>
        </w:rPr>
        <w:t>年</w:t>
      </w:r>
      <w:r>
        <w:rPr>
          <w:rFonts w:hAnsi="宋体" w:hint="eastAsia"/>
          <w:bCs/>
          <w:sz w:val="24"/>
          <w:szCs w:val="24"/>
        </w:rPr>
        <w:t>5</w:t>
      </w:r>
      <w:r>
        <w:rPr>
          <w:rFonts w:hAnsi="宋体" w:hint="eastAsia"/>
          <w:bCs/>
          <w:sz w:val="24"/>
          <w:szCs w:val="24"/>
        </w:rPr>
        <w:t>月</w:t>
      </w:r>
      <w:r>
        <w:rPr>
          <w:rFonts w:hAnsi="宋体" w:hint="eastAsia"/>
          <w:bCs/>
          <w:sz w:val="24"/>
          <w:szCs w:val="24"/>
        </w:rPr>
        <w:t>31</w:t>
      </w:r>
      <w:r>
        <w:rPr>
          <w:rFonts w:hAnsi="宋体" w:hint="eastAsia"/>
          <w:bCs/>
          <w:sz w:val="24"/>
          <w:szCs w:val="24"/>
        </w:rPr>
        <w:t>日中国证监会证监许可【</w:t>
      </w:r>
      <w:r>
        <w:rPr>
          <w:rFonts w:hAnsi="宋体" w:hint="eastAsia"/>
          <w:bCs/>
          <w:sz w:val="24"/>
          <w:szCs w:val="24"/>
        </w:rPr>
        <w:t>2011</w:t>
      </w:r>
      <w:r>
        <w:rPr>
          <w:rFonts w:hAnsi="宋体" w:hint="eastAsia"/>
          <w:bCs/>
          <w:sz w:val="24"/>
          <w:szCs w:val="24"/>
        </w:rPr>
        <w:t>】</w:t>
      </w:r>
      <w:r>
        <w:rPr>
          <w:rFonts w:hAnsi="宋体" w:hint="eastAsia"/>
          <w:bCs/>
          <w:sz w:val="24"/>
          <w:szCs w:val="24"/>
        </w:rPr>
        <w:t>838</w:t>
      </w:r>
      <w:r>
        <w:rPr>
          <w:rFonts w:hAnsi="宋体" w:hint="eastAsia"/>
          <w:bCs/>
          <w:sz w:val="24"/>
          <w:szCs w:val="24"/>
        </w:rPr>
        <w:t>号文批准募集。</w:t>
      </w:r>
    </w:p>
    <w:p w14:paraId="621B7234"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二、基金类型与运作方式</w:t>
      </w:r>
    </w:p>
    <w:p w14:paraId="51F91C9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基金类型为境外投资基金中基金，基金运作方式为上市契约型开放式（</w:t>
      </w:r>
      <w:r>
        <w:rPr>
          <w:rFonts w:hAnsi="宋体" w:hint="eastAsia"/>
          <w:bCs/>
          <w:sz w:val="24"/>
          <w:szCs w:val="24"/>
        </w:rPr>
        <w:t>LOF</w:t>
      </w:r>
      <w:r>
        <w:rPr>
          <w:rFonts w:hAnsi="宋体" w:hint="eastAsia"/>
          <w:bCs/>
          <w:sz w:val="24"/>
          <w:szCs w:val="24"/>
        </w:rPr>
        <w:t>）。</w:t>
      </w:r>
    </w:p>
    <w:p w14:paraId="5CCAB5AE"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三、上市交易所</w:t>
      </w:r>
    </w:p>
    <w:p w14:paraId="67A8B27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深圳证券交易所</w:t>
      </w:r>
    </w:p>
    <w:p w14:paraId="4DD392C4"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四、基金存续期间</w:t>
      </w:r>
    </w:p>
    <w:p w14:paraId="48B235A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不定期</w:t>
      </w:r>
    </w:p>
    <w:p w14:paraId="77C045D0"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五、发售方式和销售渠道</w:t>
      </w:r>
    </w:p>
    <w:p w14:paraId="2643451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本基金将通过场外和场内两种方式公开发售。</w:t>
      </w:r>
    </w:p>
    <w:p w14:paraId="7DBE0EA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、场外发售</w:t>
      </w:r>
    </w:p>
    <w:p w14:paraId="7F45A05E"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场外发售指通过基金管理人的直销网点及基金代销机构的代销网点发售（具体名单详见基金份额发售公告或相关业务公告）通过场外公开发售基金份额的行为。</w:t>
      </w:r>
    </w:p>
    <w:p w14:paraId="2D2625DE"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、场内发售</w:t>
      </w:r>
    </w:p>
    <w:p w14:paraId="2B8788E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场内发售指通过深圳证券交易所内具有</w:t>
      </w:r>
      <w:r>
        <w:rPr>
          <w:rFonts w:hAnsi="宋体" w:hint="eastAsia"/>
          <w:sz w:val="24"/>
          <w:szCs w:val="24"/>
        </w:rPr>
        <w:t>基金代销资格</w:t>
      </w:r>
      <w:r>
        <w:rPr>
          <w:rFonts w:hAnsi="宋体" w:hint="eastAsia"/>
          <w:bCs/>
          <w:sz w:val="24"/>
          <w:szCs w:val="24"/>
        </w:rPr>
        <w:t>的会员单位通过场内代理发售基金份额的行为。尚未取得</w:t>
      </w:r>
      <w:r>
        <w:rPr>
          <w:rFonts w:hAnsi="宋体" w:hint="eastAsia"/>
          <w:sz w:val="24"/>
          <w:szCs w:val="24"/>
        </w:rPr>
        <w:t>基金代销资格</w:t>
      </w:r>
      <w:r>
        <w:rPr>
          <w:rFonts w:hAnsi="宋体" w:hint="eastAsia"/>
          <w:bCs/>
          <w:sz w:val="24"/>
          <w:szCs w:val="24"/>
        </w:rPr>
        <w:t>，但属于深圳证券交易所会员的其他机构，可在本基金上市后，代理投资者通过深圳证券交易所交易系统参与本基金的上市交易。</w:t>
      </w:r>
    </w:p>
    <w:p w14:paraId="099B8B7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本基金认购采取全额缴款认购的方式。基金投资者在募集期内可多次认购，认购一经受理不得撤销。本基金的具体发售方式和发售机构见《发售公告》。</w:t>
      </w:r>
    </w:p>
    <w:p w14:paraId="2F4218A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基金发行币种为人民币。</w:t>
      </w:r>
    </w:p>
    <w:p w14:paraId="15B81F3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、通过场内认购的基金份额登记在证券登记结算系统基金份额持有人证券账户下，通过场外认购的基金份额登记在注册登记系统基金份额持有人开放式基金账户下。</w:t>
      </w:r>
    </w:p>
    <w:p w14:paraId="5391B64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登记在证券登记结算系统中的基金份额既可以在深圳证券交易所上市交易，</w:t>
      </w:r>
      <w:r>
        <w:rPr>
          <w:rFonts w:hAnsi="宋体" w:hint="eastAsia"/>
          <w:bCs/>
          <w:sz w:val="24"/>
          <w:szCs w:val="24"/>
        </w:rPr>
        <w:lastRenderedPageBreak/>
        <w:t>也可以直接申请场内赎回；登记在证券登记结算系统中的基金份额如需办理场外赎回，应当办理跨系统转托管后方能实施。登记在注册登记系统中的基金份额可申请场外赎回；登记在注册登记系统中的基金份额如需办理场内赎回，应当办理跨系统转托管后方能实施。</w:t>
      </w:r>
    </w:p>
    <w:p w14:paraId="180A97F7"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六、募集期限</w:t>
      </w:r>
    </w:p>
    <w:p w14:paraId="69748DD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本基金的募集期限为自基金份额发售之日起不超过</w:t>
      </w:r>
      <w:r>
        <w:rPr>
          <w:rFonts w:hAnsi="宋体" w:hint="eastAsia"/>
          <w:bCs/>
          <w:sz w:val="24"/>
          <w:szCs w:val="24"/>
        </w:rPr>
        <w:t>3</w:t>
      </w:r>
      <w:r>
        <w:rPr>
          <w:rFonts w:hAnsi="宋体" w:hint="eastAsia"/>
          <w:bCs/>
          <w:sz w:val="24"/>
          <w:szCs w:val="24"/>
        </w:rPr>
        <w:t>个月。</w:t>
      </w:r>
    </w:p>
    <w:p w14:paraId="3773146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本基金自</w:t>
      </w:r>
      <w:r>
        <w:rPr>
          <w:rFonts w:hAnsi="宋体" w:hint="eastAsia"/>
          <w:bCs/>
          <w:sz w:val="24"/>
          <w:szCs w:val="24"/>
        </w:rPr>
        <w:t>2011</w:t>
      </w:r>
      <w:r>
        <w:rPr>
          <w:rFonts w:hAnsi="宋体" w:hint="eastAsia"/>
          <w:bCs/>
          <w:sz w:val="24"/>
          <w:szCs w:val="24"/>
        </w:rPr>
        <w:t>年</w:t>
      </w:r>
      <w:r>
        <w:rPr>
          <w:rFonts w:hAnsi="宋体" w:hint="eastAsia"/>
          <w:bCs/>
          <w:sz w:val="24"/>
          <w:szCs w:val="24"/>
        </w:rPr>
        <w:t>7</w:t>
      </w:r>
      <w:r>
        <w:rPr>
          <w:rFonts w:hAnsi="宋体" w:hint="eastAsia"/>
          <w:bCs/>
          <w:sz w:val="24"/>
          <w:szCs w:val="24"/>
        </w:rPr>
        <w:t>月</w:t>
      </w:r>
      <w:r>
        <w:rPr>
          <w:rFonts w:hAnsi="宋体" w:hint="eastAsia"/>
          <w:bCs/>
          <w:sz w:val="24"/>
          <w:szCs w:val="24"/>
        </w:rPr>
        <w:t>25</w:t>
      </w:r>
      <w:r>
        <w:rPr>
          <w:rFonts w:hAnsi="宋体" w:hint="eastAsia"/>
          <w:bCs/>
          <w:sz w:val="24"/>
          <w:szCs w:val="24"/>
        </w:rPr>
        <w:t>日至</w:t>
      </w:r>
      <w:r>
        <w:rPr>
          <w:rFonts w:hAnsi="宋体" w:hint="eastAsia"/>
          <w:bCs/>
          <w:sz w:val="24"/>
          <w:szCs w:val="24"/>
        </w:rPr>
        <w:t>2011</w:t>
      </w:r>
      <w:r>
        <w:rPr>
          <w:rFonts w:hAnsi="宋体" w:hint="eastAsia"/>
          <w:bCs/>
          <w:sz w:val="24"/>
          <w:szCs w:val="24"/>
        </w:rPr>
        <w:t>年</w:t>
      </w:r>
      <w:r>
        <w:rPr>
          <w:rFonts w:hAnsi="宋体" w:hint="eastAsia"/>
          <w:bCs/>
          <w:sz w:val="24"/>
          <w:szCs w:val="24"/>
        </w:rPr>
        <w:t>8</w:t>
      </w:r>
      <w:r>
        <w:rPr>
          <w:rFonts w:hAnsi="宋体" w:hint="eastAsia"/>
          <w:bCs/>
          <w:sz w:val="24"/>
          <w:szCs w:val="24"/>
        </w:rPr>
        <w:t>月</w:t>
      </w:r>
      <w:r>
        <w:rPr>
          <w:rFonts w:hAnsi="宋体" w:hint="eastAsia"/>
          <w:bCs/>
          <w:sz w:val="24"/>
          <w:szCs w:val="24"/>
        </w:rPr>
        <w:t>25</w:t>
      </w:r>
      <w:r>
        <w:rPr>
          <w:rFonts w:hAnsi="宋体" w:hint="eastAsia"/>
          <w:bCs/>
          <w:sz w:val="24"/>
          <w:szCs w:val="24"/>
        </w:rPr>
        <w:t>日进行发售。在发售期内，本基金面向个人投资者、机构投资者同时发售。基金管理人可根据基金销售情况在募集期限内适当延长或缩短基金发售时间，并及时公告。</w:t>
      </w:r>
    </w:p>
    <w:p w14:paraId="54E37BD4"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七、募集规模</w:t>
      </w:r>
    </w:p>
    <w:p w14:paraId="361252E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本基金募集期内的募集规模上限为</w:t>
      </w:r>
      <w:r>
        <w:rPr>
          <w:rFonts w:hAnsi="宋体" w:hint="eastAsia"/>
          <w:bCs/>
          <w:sz w:val="24"/>
          <w:szCs w:val="24"/>
        </w:rPr>
        <w:t xml:space="preserve">50 </w:t>
      </w:r>
      <w:r>
        <w:rPr>
          <w:rFonts w:hAnsi="宋体" w:hint="eastAsia"/>
          <w:bCs/>
          <w:sz w:val="24"/>
          <w:szCs w:val="24"/>
        </w:rPr>
        <w:t>亿份（不包括利息折算的份额）。若募集期投资者的认购金额超过募集规模上限，基金管理人采取末日比例配售的方式对募集规模进行控制，具体方案详见</w:t>
      </w:r>
      <w:r>
        <w:rPr>
          <w:rFonts w:hAnsi="宋体"/>
          <w:bCs/>
          <w:sz w:val="24"/>
          <w:szCs w:val="24"/>
        </w:rPr>
        <w:t>《发售公告》</w:t>
      </w:r>
      <w:r>
        <w:rPr>
          <w:rFonts w:hAnsi="宋体" w:hint="eastAsia"/>
          <w:bCs/>
          <w:sz w:val="24"/>
          <w:szCs w:val="24"/>
        </w:rPr>
        <w:t>。基金合同生效后，基金规模不受上述募集规模上限的限制，但基金管理人有权根据基金的外汇额度控制基金申购规模并暂停基金的申购。</w:t>
      </w:r>
    </w:p>
    <w:p w14:paraId="78023390"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八、募集对象</w:t>
      </w:r>
    </w:p>
    <w:p w14:paraId="0781138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本基金的募集对象为符合法律法规规定的个人投资者、机构投资者，以及法律法规或中国证监会允许购买开放式证券投资基金的其他投资者。</w:t>
      </w:r>
    </w:p>
    <w:p w14:paraId="7DD5D676"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九、募集场所</w:t>
      </w:r>
    </w:p>
    <w:p w14:paraId="0F91593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本基金将通过场外和场内两种方式公开发售。场外将通过基金管理人的直销中心及代销机构的代销网点公开发售，场内将通过深圳证券交易所内具有</w:t>
      </w:r>
      <w:r>
        <w:rPr>
          <w:rFonts w:hAnsi="宋体" w:hint="eastAsia"/>
          <w:sz w:val="24"/>
          <w:szCs w:val="24"/>
        </w:rPr>
        <w:t>基金代销资格</w:t>
      </w:r>
      <w:r>
        <w:rPr>
          <w:rFonts w:hAnsi="宋体" w:hint="eastAsia"/>
          <w:bCs/>
          <w:sz w:val="24"/>
          <w:szCs w:val="24"/>
        </w:rPr>
        <w:t>的会员单位发售，具体销售机构和联系方式，参见本基金的《发售公告》以及销售机构在当地以各类形式发布的公告。</w:t>
      </w:r>
    </w:p>
    <w:p w14:paraId="56185FA2" w14:textId="77777777" w:rsidR="0037652E" w:rsidRDefault="00BF49B0">
      <w:pPr>
        <w:tabs>
          <w:tab w:val="left" w:pos="961"/>
        </w:tabs>
        <w:snapToGrid w:val="0"/>
        <w:spacing w:line="360" w:lineRule="auto"/>
        <w:ind w:firstLineChars="200" w:firstLine="480"/>
        <w:rPr>
          <w:rFonts w:hAnsi="宋体"/>
          <w:b/>
          <w:bCs/>
          <w:sz w:val="24"/>
          <w:szCs w:val="24"/>
        </w:rPr>
      </w:pPr>
      <w:r>
        <w:rPr>
          <w:color w:val="000000"/>
          <w:kern w:val="0"/>
          <w:sz w:val="24"/>
          <w:szCs w:val="24"/>
        </w:rPr>
        <w:t>投资者还可以登录基金管理人网站（</w:t>
      </w:r>
      <w:r>
        <w:rPr>
          <w:color w:val="000000"/>
          <w:kern w:val="0"/>
          <w:sz w:val="24"/>
          <w:szCs w:val="24"/>
        </w:rPr>
        <w:t>www.99fund.com</w:t>
      </w:r>
      <w:r>
        <w:rPr>
          <w:color w:val="000000"/>
          <w:kern w:val="0"/>
          <w:sz w:val="24"/>
          <w:szCs w:val="24"/>
        </w:rPr>
        <w:t>）办理开户、认购等业务，网上交易开通流程、业务规则请登录基金管理人网站查询</w:t>
      </w:r>
      <w:r>
        <w:rPr>
          <w:rFonts w:hint="eastAsia"/>
          <w:color w:val="000000"/>
          <w:kern w:val="0"/>
          <w:sz w:val="24"/>
          <w:szCs w:val="24"/>
        </w:rPr>
        <w:t>。</w:t>
      </w:r>
    </w:p>
    <w:p w14:paraId="00199CBA"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十、基金的面值、认购费用及认购份额的计算</w:t>
      </w:r>
    </w:p>
    <w:p w14:paraId="719E3AF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、本基金的基金份额初始面值为人民币</w:t>
      </w:r>
      <w:r>
        <w:rPr>
          <w:rFonts w:hAnsi="宋体" w:hint="eastAsia"/>
          <w:bCs/>
          <w:sz w:val="24"/>
          <w:szCs w:val="24"/>
        </w:rPr>
        <w:t xml:space="preserve">1.00 </w:t>
      </w:r>
      <w:r>
        <w:rPr>
          <w:rFonts w:hAnsi="宋体" w:hint="eastAsia"/>
          <w:bCs/>
          <w:sz w:val="24"/>
          <w:szCs w:val="24"/>
        </w:rPr>
        <w:t>元，按面值发售。</w:t>
      </w:r>
    </w:p>
    <w:p w14:paraId="5E4A480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、认购费用</w:t>
      </w:r>
    </w:p>
    <w:p w14:paraId="62B9A0F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w:t>
      </w:r>
      <w:r>
        <w:rPr>
          <w:rFonts w:hAnsi="宋体" w:hint="eastAsia"/>
          <w:bCs/>
          <w:sz w:val="24"/>
          <w:szCs w:val="24"/>
        </w:rPr>
        <w:t>）本基金的场外认购费率如下表：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3737"/>
      </w:tblGrid>
      <w:tr w:rsidR="0037652E" w14:paraId="4298AB7A" w14:textId="77777777">
        <w:trPr>
          <w:cantSplit/>
          <w:trHeight w:val="285"/>
          <w:jc w:val="center"/>
        </w:trPr>
        <w:tc>
          <w:tcPr>
            <w:tcW w:w="4143" w:type="dxa"/>
            <w:shd w:val="clear" w:color="auto" w:fill="auto"/>
            <w:vAlign w:val="center"/>
          </w:tcPr>
          <w:p w14:paraId="0661D418" w14:textId="77777777" w:rsidR="0037652E" w:rsidRDefault="00BF49B0">
            <w:pPr>
              <w:spacing w:line="360" w:lineRule="auto"/>
              <w:ind w:firstLineChars="200" w:firstLine="482"/>
              <w:jc w:val="center"/>
              <w:rPr>
                <w:b/>
                <w:sz w:val="24"/>
                <w:szCs w:val="24"/>
              </w:rPr>
            </w:pPr>
            <w:r>
              <w:rPr>
                <w:rFonts w:hAnsi="宋体"/>
                <w:b/>
                <w:sz w:val="24"/>
                <w:szCs w:val="24"/>
              </w:rPr>
              <w:lastRenderedPageBreak/>
              <w:t>购买金额（</w:t>
            </w:r>
            <w:r>
              <w:rPr>
                <w:b/>
                <w:sz w:val="24"/>
                <w:szCs w:val="24"/>
              </w:rPr>
              <w:t>M</w:t>
            </w:r>
            <w:r>
              <w:rPr>
                <w:rFonts w:hAnsi="宋体"/>
                <w:b/>
                <w:sz w:val="24"/>
                <w:szCs w:val="24"/>
              </w:rPr>
              <w:t>）</w:t>
            </w:r>
          </w:p>
        </w:tc>
        <w:tc>
          <w:tcPr>
            <w:tcW w:w="3737" w:type="dxa"/>
            <w:shd w:val="clear" w:color="auto" w:fill="auto"/>
            <w:vAlign w:val="center"/>
          </w:tcPr>
          <w:p w14:paraId="72124973" w14:textId="77777777" w:rsidR="0037652E" w:rsidRDefault="00BF49B0">
            <w:pPr>
              <w:spacing w:line="360" w:lineRule="auto"/>
              <w:ind w:firstLineChars="200" w:firstLine="482"/>
              <w:jc w:val="center"/>
              <w:rPr>
                <w:b/>
                <w:sz w:val="24"/>
                <w:szCs w:val="24"/>
              </w:rPr>
            </w:pPr>
            <w:r>
              <w:rPr>
                <w:rFonts w:hAnsi="宋体"/>
                <w:b/>
                <w:sz w:val="24"/>
                <w:szCs w:val="24"/>
              </w:rPr>
              <w:t>认购费率</w:t>
            </w:r>
          </w:p>
        </w:tc>
      </w:tr>
      <w:tr w:rsidR="0037652E" w14:paraId="1A402E76" w14:textId="77777777">
        <w:trPr>
          <w:cantSplit/>
          <w:trHeight w:val="285"/>
          <w:jc w:val="center"/>
        </w:trPr>
        <w:tc>
          <w:tcPr>
            <w:tcW w:w="4143" w:type="dxa"/>
            <w:shd w:val="clear" w:color="auto" w:fill="auto"/>
            <w:vAlign w:val="center"/>
          </w:tcPr>
          <w:p w14:paraId="75F733F8" w14:textId="77777777" w:rsidR="0037652E" w:rsidRDefault="00BF49B0">
            <w:pPr>
              <w:spacing w:line="360" w:lineRule="auto"/>
              <w:ind w:firstLineChars="200" w:firstLine="480"/>
              <w:jc w:val="center"/>
              <w:rPr>
                <w:sz w:val="24"/>
                <w:szCs w:val="24"/>
              </w:rPr>
            </w:pPr>
            <w:r>
              <w:rPr>
                <w:sz w:val="24"/>
                <w:szCs w:val="24"/>
              </w:rPr>
              <w:t>M</w:t>
            </w:r>
            <w:r>
              <w:rPr>
                <w:rFonts w:hAnsi="宋体"/>
                <w:sz w:val="24"/>
                <w:szCs w:val="24"/>
              </w:rPr>
              <w:t>＜</w:t>
            </w:r>
            <w:r>
              <w:rPr>
                <w:sz w:val="24"/>
                <w:szCs w:val="24"/>
              </w:rPr>
              <w:t xml:space="preserve">100 </w:t>
            </w:r>
            <w:r>
              <w:rPr>
                <w:rFonts w:hAnsi="宋体"/>
                <w:sz w:val="24"/>
                <w:szCs w:val="24"/>
              </w:rPr>
              <w:t>万</w:t>
            </w:r>
          </w:p>
        </w:tc>
        <w:tc>
          <w:tcPr>
            <w:tcW w:w="3737" w:type="dxa"/>
            <w:shd w:val="clear" w:color="auto" w:fill="auto"/>
            <w:vAlign w:val="center"/>
          </w:tcPr>
          <w:p w14:paraId="2791AA54" w14:textId="77777777" w:rsidR="0037652E" w:rsidRDefault="00BF49B0">
            <w:pPr>
              <w:spacing w:line="360" w:lineRule="auto"/>
              <w:ind w:firstLineChars="200" w:firstLine="480"/>
              <w:jc w:val="center"/>
              <w:rPr>
                <w:sz w:val="24"/>
                <w:szCs w:val="24"/>
              </w:rPr>
            </w:pPr>
            <w:r>
              <w:rPr>
                <w:rFonts w:hint="eastAsia"/>
                <w:sz w:val="24"/>
                <w:szCs w:val="24"/>
              </w:rPr>
              <w:t>0</w:t>
            </w:r>
            <w:r>
              <w:rPr>
                <w:sz w:val="24"/>
                <w:szCs w:val="24"/>
              </w:rPr>
              <w:t>.</w:t>
            </w:r>
            <w:r>
              <w:rPr>
                <w:rFonts w:hint="eastAsia"/>
                <w:sz w:val="24"/>
                <w:szCs w:val="24"/>
              </w:rPr>
              <w:t>6</w:t>
            </w:r>
            <w:r>
              <w:rPr>
                <w:sz w:val="24"/>
                <w:szCs w:val="24"/>
              </w:rPr>
              <w:t>0%</w:t>
            </w:r>
          </w:p>
        </w:tc>
      </w:tr>
      <w:tr w:rsidR="0037652E" w14:paraId="1A4604D6" w14:textId="77777777">
        <w:trPr>
          <w:cantSplit/>
          <w:trHeight w:val="285"/>
          <w:jc w:val="center"/>
        </w:trPr>
        <w:tc>
          <w:tcPr>
            <w:tcW w:w="4143" w:type="dxa"/>
            <w:shd w:val="clear" w:color="auto" w:fill="auto"/>
            <w:vAlign w:val="center"/>
          </w:tcPr>
          <w:p w14:paraId="2B432575" w14:textId="77777777" w:rsidR="0037652E" w:rsidRDefault="00BF49B0">
            <w:pPr>
              <w:spacing w:line="360" w:lineRule="auto"/>
              <w:ind w:firstLineChars="200" w:firstLine="480"/>
              <w:jc w:val="center"/>
              <w:rPr>
                <w:sz w:val="24"/>
                <w:szCs w:val="24"/>
              </w:rPr>
            </w:pPr>
            <w:r>
              <w:rPr>
                <w:sz w:val="24"/>
                <w:szCs w:val="24"/>
              </w:rPr>
              <w:t xml:space="preserve">100 </w:t>
            </w:r>
            <w:r>
              <w:rPr>
                <w:rFonts w:hAnsi="宋体"/>
                <w:sz w:val="24"/>
                <w:szCs w:val="24"/>
              </w:rPr>
              <w:t>万</w:t>
            </w:r>
            <w:r>
              <w:rPr>
                <w:sz w:val="24"/>
                <w:szCs w:val="24"/>
              </w:rPr>
              <w:t>≤M</w:t>
            </w:r>
            <w:r>
              <w:rPr>
                <w:rFonts w:hAnsi="宋体"/>
                <w:sz w:val="24"/>
                <w:szCs w:val="24"/>
              </w:rPr>
              <w:t>＜</w:t>
            </w:r>
            <w:r>
              <w:rPr>
                <w:sz w:val="24"/>
                <w:szCs w:val="24"/>
              </w:rPr>
              <w:t xml:space="preserve">500 </w:t>
            </w:r>
            <w:r>
              <w:rPr>
                <w:rFonts w:hAnsi="宋体"/>
                <w:sz w:val="24"/>
                <w:szCs w:val="24"/>
              </w:rPr>
              <w:t>万</w:t>
            </w:r>
          </w:p>
        </w:tc>
        <w:tc>
          <w:tcPr>
            <w:tcW w:w="3737" w:type="dxa"/>
            <w:shd w:val="clear" w:color="auto" w:fill="auto"/>
            <w:vAlign w:val="center"/>
          </w:tcPr>
          <w:p w14:paraId="4A00C302" w14:textId="77777777" w:rsidR="0037652E" w:rsidRDefault="00BF49B0">
            <w:pPr>
              <w:spacing w:line="360" w:lineRule="auto"/>
              <w:ind w:firstLineChars="200" w:firstLine="480"/>
              <w:jc w:val="center"/>
              <w:rPr>
                <w:sz w:val="24"/>
                <w:szCs w:val="24"/>
              </w:rPr>
            </w:pPr>
            <w:r>
              <w:rPr>
                <w:sz w:val="24"/>
                <w:szCs w:val="24"/>
              </w:rPr>
              <w:t>0.</w:t>
            </w:r>
            <w:r>
              <w:rPr>
                <w:rFonts w:hint="eastAsia"/>
                <w:sz w:val="24"/>
                <w:szCs w:val="24"/>
              </w:rPr>
              <w:t>3</w:t>
            </w:r>
            <w:r>
              <w:rPr>
                <w:sz w:val="24"/>
                <w:szCs w:val="24"/>
              </w:rPr>
              <w:t>0%</w:t>
            </w:r>
          </w:p>
        </w:tc>
      </w:tr>
      <w:tr w:rsidR="0037652E" w14:paraId="1211DB1B" w14:textId="77777777">
        <w:trPr>
          <w:cantSplit/>
          <w:trHeight w:val="285"/>
          <w:jc w:val="center"/>
        </w:trPr>
        <w:tc>
          <w:tcPr>
            <w:tcW w:w="4143" w:type="dxa"/>
            <w:shd w:val="clear" w:color="auto" w:fill="auto"/>
            <w:vAlign w:val="center"/>
          </w:tcPr>
          <w:p w14:paraId="0B3448CE" w14:textId="77777777" w:rsidR="0037652E" w:rsidRDefault="00BF49B0">
            <w:pPr>
              <w:spacing w:line="360" w:lineRule="auto"/>
              <w:ind w:firstLineChars="200" w:firstLine="480"/>
              <w:jc w:val="center"/>
              <w:rPr>
                <w:sz w:val="24"/>
                <w:szCs w:val="24"/>
              </w:rPr>
            </w:pPr>
            <w:r>
              <w:rPr>
                <w:sz w:val="24"/>
                <w:szCs w:val="24"/>
              </w:rPr>
              <w:t xml:space="preserve">500 </w:t>
            </w:r>
            <w:r>
              <w:rPr>
                <w:rFonts w:hAnsi="宋体"/>
                <w:sz w:val="24"/>
                <w:szCs w:val="24"/>
              </w:rPr>
              <w:t>万</w:t>
            </w:r>
            <w:r>
              <w:rPr>
                <w:sz w:val="24"/>
                <w:szCs w:val="24"/>
              </w:rPr>
              <w:t>≤M</w:t>
            </w:r>
            <w:r>
              <w:rPr>
                <w:rFonts w:hAnsi="宋体"/>
                <w:sz w:val="24"/>
                <w:szCs w:val="24"/>
              </w:rPr>
              <w:t>＜</w:t>
            </w:r>
            <w:r>
              <w:rPr>
                <w:sz w:val="24"/>
                <w:szCs w:val="24"/>
              </w:rPr>
              <w:t xml:space="preserve">1000 </w:t>
            </w:r>
            <w:r>
              <w:rPr>
                <w:rFonts w:hAnsi="宋体"/>
                <w:sz w:val="24"/>
                <w:szCs w:val="24"/>
              </w:rPr>
              <w:t>万</w:t>
            </w:r>
          </w:p>
        </w:tc>
        <w:tc>
          <w:tcPr>
            <w:tcW w:w="3737" w:type="dxa"/>
            <w:shd w:val="clear" w:color="auto" w:fill="auto"/>
            <w:vAlign w:val="center"/>
          </w:tcPr>
          <w:p w14:paraId="6FD9D01D" w14:textId="77777777" w:rsidR="0037652E" w:rsidRDefault="00BF49B0">
            <w:pPr>
              <w:spacing w:line="360" w:lineRule="auto"/>
              <w:ind w:firstLineChars="200" w:firstLine="480"/>
              <w:jc w:val="center"/>
              <w:rPr>
                <w:sz w:val="24"/>
                <w:szCs w:val="24"/>
              </w:rPr>
            </w:pPr>
            <w:r>
              <w:rPr>
                <w:sz w:val="24"/>
                <w:szCs w:val="24"/>
              </w:rPr>
              <w:t>0.</w:t>
            </w:r>
            <w:r>
              <w:rPr>
                <w:rFonts w:hint="eastAsia"/>
                <w:sz w:val="24"/>
                <w:szCs w:val="24"/>
              </w:rPr>
              <w:t>1</w:t>
            </w:r>
            <w:r>
              <w:rPr>
                <w:sz w:val="24"/>
                <w:szCs w:val="24"/>
              </w:rPr>
              <w:t>0%</w:t>
            </w:r>
          </w:p>
        </w:tc>
      </w:tr>
      <w:tr w:rsidR="0037652E" w14:paraId="7426D447" w14:textId="77777777">
        <w:trPr>
          <w:cantSplit/>
          <w:trHeight w:val="285"/>
          <w:jc w:val="center"/>
        </w:trPr>
        <w:tc>
          <w:tcPr>
            <w:tcW w:w="4143" w:type="dxa"/>
            <w:shd w:val="clear" w:color="auto" w:fill="auto"/>
            <w:vAlign w:val="center"/>
          </w:tcPr>
          <w:p w14:paraId="520F43F2" w14:textId="77777777" w:rsidR="0037652E" w:rsidRDefault="00BF49B0">
            <w:pPr>
              <w:spacing w:line="360" w:lineRule="auto"/>
              <w:ind w:firstLineChars="200" w:firstLine="480"/>
              <w:jc w:val="center"/>
              <w:rPr>
                <w:sz w:val="24"/>
                <w:szCs w:val="24"/>
              </w:rPr>
            </w:pPr>
            <w:r>
              <w:rPr>
                <w:sz w:val="24"/>
                <w:szCs w:val="24"/>
              </w:rPr>
              <w:t xml:space="preserve">M≥1000 </w:t>
            </w:r>
            <w:r>
              <w:rPr>
                <w:rFonts w:hAnsi="宋体"/>
                <w:sz w:val="24"/>
                <w:szCs w:val="24"/>
              </w:rPr>
              <w:t>万</w:t>
            </w:r>
          </w:p>
        </w:tc>
        <w:tc>
          <w:tcPr>
            <w:tcW w:w="3737" w:type="dxa"/>
            <w:shd w:val="clear" w:color="auto" w:fill="auto"/>
            <w:vAlign w:val="center"/>
          </w:tcPr>
          <w:p w14:paraId="2EAE6A0A" w14:textId="77777777" w:rsidR="0037652E" w:rsidRDefault="00BF49B0">
            <w:pPr>
              <w:spacing w:line="360" w:lineRule="auto"/>
              <w:ind w:firstLineChars="200" w:firstLine="480"/>
              <w:jc w:val="center"/>
              <w:rPr>
                <w:sz w:val="24"/>
                <w:szCs w:val="24"/>
              </w:rPr>
            </w:pPr>
            <w:r>
              <w:rPr>
                <w:rFonts w:hAnsi="宋体"/>
                <w:sz w:val="24"/>
                <w:szCs w:val="24"/>
              </w:rPr>
              <w:t>每笔</w:t>
            </w:r>
            <w:r>
              <w:rPr>
                <w:sz w:val="24"/>
                <w:szCs w:val="24"/>
              </w:rPr>
              <w:t>1000</w:t>
            </w:r>
            <w:r>
              <w:rPr>
                <w:rFonts w:hAnsi="宋体"/>
                <w:sz w:val="24"/>
                <w:szCs w:val="24"/>
              </w:rPr>
              <w:t>元</w:t>
            </w:r>
          </w:p>
        </w:tc>
      </w:tr>
    </w:tbl>
    <w:p w14:paraId="10AA8F0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当发生末日比例确认时，投资者认购费率按照认购申请确认金额所对应的费率计算。</w:t>
      </w:r>
    </w:p>
    <w:p w14:paraId="7A3E7E8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2</w:t>
      </w:r>
      <w:r>
        <w:rPr>
          <w:rFonts w:hAnsi="宋体" w:hint="eastAsia"/>
          <w:bCs/>
          <w:sz w:val="24"/>
          <w:szCs w:val="24"/>
        </w:rPr>
        <w:t>）本基金的场内认购费率由销售机构比照场外认购费率执行。</w:t>
      </w:r>
    </w:p>
    <w:p w14:paraId="4A88B93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基金认购费用不列入基金财产，主要用于基金的市场推广、销售、注册登记等募集期间发生的各项费用。募集期间发生的信息披露费、会计师费和律师费等各项费用，不从基金资产中列支。</w:t>
      </w:r>
    </w:p>
    <w:p w14:paraId="7A373BF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、基金认购份额的计算</w:t>
      </w:r>
    </w:p>
    <w:p w14:paraId="3405492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w:t>
      </w:r>
      <w:r>
        <w:rPr>
          <w:rFonts w:hAnsi="宋体" w:hint="eastAsia"/>
          <w:bCs/>
          <w:sz w:val="24"/>
          <w:szCs w:val="24"/>
        </w:rPr>
        <w:t>）场外认购份额的计算</w:t>
      </w:r>
    </w:p>
    <w:p w14:paraId="49D43AE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场外认购采用金额认购的方式。基金的认购金额包括认购费用和净认购金额。场外认购份额的计算中，涉及基金份额的计算结果采用四舍五入法，保留到小数点后两位，由此产生的收益或损失由基金财产承担；涉及金额的计算结果亦按四舍五入方法，保留到小数点后两位，由此产生的收益或损失由基金财产承担。</w:t>
      </w:r>
    </w:p>
    <w:p w14:paraId="6DE492A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基金场外认购份额的具体计算方法如下：</w:t>
      </w:r>
    </w:p>
    <w:p w14:paraId="74DBB9C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净认购金额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认购金额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1 </w:t>
      </w:r>
      <w:r>
        <w:rPr>
          <w:rFonts w:hAnsi="宋体" w:hint="eastAsia"/>
          <w:bCs/>
          <w:sz w:val="24"/>
          <w:szCs w:val="24"/>
        </w:rPr>
        <w:t>＋</w:t>
      </w:r>
      <w:r>
        <w:rPr>
          <w:rFonts w:hAnsi="宋体" w:hint="eastAsia"/>
          <w:bCs/>
          <w:sz w:val="24"/>
          <w:szCs w:val="24"/>
        </w:rPr>
        <w:t xml:space="preserve"> </w:t>
      </w:r>
      <w:r>
        <w:rPr>
          <w:rFonts w:hAnsi="宋体" w:hint="eastAsia"/>
          <w:bCs/>
          <w:sz w:val="24"/>
          <w:szCs w:val="24"/>
        </w:rPr>
        <w:t>认购费率）</w:t>
      </w:r>
    </w:p>
    <w:p w14:paraId="2C72294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（注：对于</w:t>
      </w:r>
      <w:r>
        <w:rPr>
          <w:rFonts w:hAnsi="宋体" w:hint="eastAsia"/>
          <w:bCs/>
          <w:sz w:val="24"/>
          <w:szCs w:val="24"/>
        </w:rPr>
        <w:t xml:space="preserve"> 1000 </w:t>
      </w:r>
      <w:r>
        <w:rPr>
          <w:rFonts w:hAnsi="宋体" w:hint="eastAsia"/>
          <w:bCs/>
          <w:sz w:val="24"/>
          <w:szCs w:val="24"/>
        </w:rPr>
        <w:t>万（含）以上的适用绝对费用数额的认购，</w:t>
      </w:r>
    </w:p>
    <w:p w14:paraId="32A5A47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净认购金额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认购金额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认购费用）</w:t>
      </w:r>
    </w:p>
    <w:p w14:paraId="17A33AC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认购费用</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认购金额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净认购金额</w:t>
      </w:r>
    </w:p>
    <w:p w14:paraId="6C11C99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认购份额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（净认购金额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认购资金产生的利息）</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基金份额初始面值</w:t>
      </w:r>
    </w:p>
    <w:p w14:paraId="016E962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例：某投资者投资</w:t>
      </w:r>
      <w:r>
        <w:rPr>
          <w:rFonts w:hAnsi="宋体" w:hint="eastAsia"/>
          <w:bCs/>
          <w:sz w:val="24"/>
          <w:szCs w:val="24"/>
        </w:rPr>
        <w:t xml:space="preserve">10,000 </w:t>
      </w:r>
      <w:r>
        <w:rPr>
          <w:rFonts w:hAnsi="宋体" w:hint="eastAsia"/>
          <w:bCs/>
          <w:sz w:val="24"/>
          <w:szCs w:val="24"/>
        </w:rPr>
        <w:t>元通过场外认购本基金，如果认购期内认购资金获得的利息为</w:t>
      </w:r>
      <w:r>
        <w:rPr>
          <w:rFonts w:hAnsi="宋体" w:hint="eastAsia"/>
          <w:bCs/>
          <w:sz w:val="24"/>
          <w:szCs w:val="24"/>
        </w:rPr>
        <w:t>10</w:t>
      </w:r>
      <w:r>
        <w:rPr>
          <w:rFonts w:hAnsi="宋体" w:hint="eastAsia"/>
          <w:bCs/>
          <w:sz w:val="24"/>
          <w:szCs w:val="24"/>
        </w:rPr>
        <w:t>元，则投资者可得到的基金份额计算如下：</w:t>
      </w:r>
    </w:p>
    <w:p w14:paraId="0A82D49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净认购金额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10,000</w:t>
      </w:r>
      <w:r>
        <w:rPr>
          <w:rFonts w:hAnsi="宋体" w:hint="eastAsia"/>
          <w:bCs/>
          <w:sz w:val="24"/>
          <w:szCs w:val="24"/>
        </w:rPr>
        <w:t>／（</w:t>
      </w:r>
      <w:r>
        <w:rPr>
          <w:rFonts w:hAnsi="宋体" w:hint="eastAsia"/>
          <w:bCs/>
          <w:sz w:val="24"/>
          <w:szCs w:val="24"/>
        </w:rPr>
        <w:t>1</w:t>
      </w:r>
      <w:r>
        <w:rPr>
          <w:rFonts w:hAnsi="宋体" w:hint="eastAsia"/>
          <w:bCs/>
          <w:sz w:val="24"/>
          <w:szCs w:val="24"/>
        </w:rPr>
        <w:t>＋</w:t>
      </w:r>
      <w:r>
        <w:rPr>
          <w:rFonts w:hAnsi="宋体" w:hint="eastAsia"/>
          <w:bCs/>
          <w:sz w:val="24"/>
          <w:szCs w:val="24"/>
        </w:rPr>
        <w:t>0.6%</w:t>
      </w:r>
      <w:r>
        <w:rPr>
          <w:rFonts w:hAnsi="宋体" w:hint="eastAsia"/>
          <w:bCs/>
          <w:sz w:val="24"/>
          <w:szCs w:val="24"/>
        </w:rPr>
        <w:t>）＝</w:t>
      </w:r>
      <w:r>
        <w:rPr>
          <w:rFonts w:hAnsi="宋体" w:hint="eastAsia"/>
          <w:bCs/>
          <w:sz w:val="24"/>
          <w:szCs w:val="24"/>
        </w:rPr>
        <w:t xml:space="preserve">  9940.36 </w:t>
      </w:r>
      <w:r>
        <w:rPr>
          <w:rFonts w:hAnsi="宋体" w:hint="eastAsia"/>
          <w:bCs/>
          <w:sz w:val="24"/>
          <w:szCs w:val="24"/>
        </w:rPr>
        <w:t>元；</w:t>
      </w:r>
    </w:p>
    <w:p w14:paraId="5822AC2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认购费用</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10,000 </w:t>
      </w:r>
      <w:r>
        <w:rPr>
          <w:rFonts w:hAnsi="宋体" w:hint="eastAsia"/>
          <w:bCs/>
          <w:sz w:val="24"/>
          <w:szCs w:val="24"/>
        </w:rPr>
        <w:t>－</w:t>
      </w:r>
      <w:r>
        <w:rPr>
          <w:rFonts w:hAnsi="宋体" w:hint="eastAsia"/>
          <w:bCs/>
          <w:sz w:val="24"/>
          <w:szCs w:val="24"/>
        </w:rPr>
        <w:t xml:space="preserve"> 9940.36  </w:t>
      </w:r>
      <w:r>
        <w:rPr>
          <w:rFonts w:hAnsi="宋体" w:hint="eastAsia"/>
          <w:bCs/>
          <w:sz w:val="24"/>
          <w:szCs w:val="24"/>
        </w:rPr>
        <w:t>＝</w:t>
      </w:r>
      <w:r>
        <w:rPr>
          <w:rFonts w:hAnsi="宋体" w:hint="eastAsia"/>
          <w:bCs/>
          <w:sz w:val="24"/>
          <w:szCs w:val="24"/>
        </w:rPr>
        <w:t xml:space="preserve">  59.64 </w:t>
      </w:r>
      <w:r>
        <w:rPr>
          <w:rFonts w:hAnsi="宋体" w:hint="eastAsia"/>
          <w:bCs/>
          <w:sz w:val="24"/>
          <w:szCs w:val="24"/>
        </w:rPr>
        <w:t>元；</w:t>
      </w:r>
    </w:p>
    <w:p w14:paraId="4534215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认购份额</w:t>
      </w:r>
      <w:r>
        <w:rPr>
          <w:rFonts w:hAnsi="宋体" w:hint="eastAsia"/>
          <w:bCs/>
          <w:sz w:val="24"/>
          <w:szCs w:val="24"/>
        </w:rPr>
        <w:t xml:space="preserve"> </w:t>
      </w:r>
      <w:r>
        <w:rPr>
          <w:rFonts w:hAnsi="宋体" w:hint="eastAsia"/>
          <w:bCs/>
          <w:sz w:val="24"/>
          <w:szCs w:val="24"/>
        </w:rPr>
        <w:t>＝（</w:t>
      </w:r>
      <w:r>
        <w:rPr>
          <w:rFonts w:hAnsi="宋体" w:hint="eastAsia"/>
          <w:bCs/>
          <w:sz w:val="24"/>
          <w:szCs w:val="24"/>
        </w:rPr>
        <w:t>9940.36+10</w:t>
      </w:r>
      <w:r>
        <w:rPr>
          <w:rFonts w:hAnsi="宋体" w:hint="eastAsia"/>
          <w:bCs/>
          <w:sz w:val="24"/>
          <w:szCs w:val="24"/>
        </w:rPr>
        <w:t>）</w:t>
      </w:r>
      <w:r>
        <w:rPr>
          <w:rFonts w:hAnsi="宋体" w:hint="eastAsia"/>
          <w:bCs/>
          <w:sz w:val="24"/>
          <w:szCs w:val="24"/>
        </w:rPr>
        <w:t xml:space="preserve">/1.00  </w:t>
      </w:r>
      <w:r>
        <w:rPr>
          <w:rFonts w:hAnsi="宋体" w:hint="eastAsia"/>
          <w:bCs/>
          <w:sz w:val="24"/>
          <w:szCs w:val="24"/>
        </w:rPr>
        <w:t>＝</w:t>
      </w:r>
      <w:r>
        <w:rPr>
          <w:rFonts w:hAnsi="宋体" w:hint="eastAsia"/>
          <w:bCs/>
          <w:sz w:val="24"/>
          <w:szCs w:val="24"/>
        </w:rPr>
        <w:t xml:space="preserve">  9950.36 </w:t>
      </w:r>
      <w:r>
        <w:rPr>
          <w:rFonts w:hAnsi="宋体" w:hint="eastAsia"/>
          <w:bCs/>
          <w:sz w:val="24"/>
          <w:szCs w:val="24"/>
        </w:rPr>
        <w:t>份。</w:t>
      </w:r>
    </w:p>
    <w:p w14:paraId="7BEFC07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lastRenderedPageBreak/>
        <w:t>即投资者投资</w:t>
      </w:r>
      <w:r>
        <w:rPr>
          <w:rFonts w:hAnsi="宋体" w:hint="eastAsia"/>
          <w:bCs/>
          <w:sz w:val="24"/>
          <w:szCs w:val="24"/>
        </w:rPr>
        <w:t xml:space="preserve"> 10,000 </w:t>
      </w:r>
      <w:r>
        <w:rPr>
          <w:rFonts w:hAnsi="宋体" w:hint="eastAsia"/>
          <w:bCs/>
          <w:sz w:val="24"/>
          <w:szCs w:val="24"/>
        </w:rPr>
        <w:t>元认购通过场外本基金，加上认购资金在认购期内获得的利息，可得到</w:t>
      </w:r>
      <w:r>
        <w:rPr>
          <w:rFonts w:hAnsi="宋体" w:hint="eastAsia"/>
          <w:bCs/>
          <w:sz w:val="24"/>
          <w:szCs w:val="24"/>
        </w:rPr>
        <w:t>9950.36</w:t>
      </w:r>
      <w:r>
        <w:rPr>
          <w:rFonts w:hAnsi="宋体" w:hint="eastAsia"/>
          <w:bCs/>
          <w:sz w:val="24"/>
          <w:szCs w:val="24"/>
        </w:rPr>
        <w:t>份基金份额。</w:t>
      </w:r>
    </w:p>
    <w:p w14:paraId="37B6DE4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2</w:t>
      </w:r>
      <w:r>
        <w:rPr>
          <w:rFonts w:hAnsi="宋体" w:hint="eastAsia"/>
          <w:bCs/>
          <w:sz w:val="24"/>
          <w:szCs w:val="24"/>
        </w:rPr>
        <w:t>）场内认购份额的计算</w:t>
      </w:r>
    </w:p>
    <w:p w14:paraId="7D7B512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基金场内认购采用份额认购的方式，认购价格为</w:t>
      </w:r>
      <w:r>
        <w:rPr>
          <w:rFonts w:hAnsi="宋体" w:hint="eastAsia"/>
          <w:bCs/>
          <w:sz w:val="24"/>
          <w:szCs w:val="24"/>
        </w:rPr>
        <w:t xml:space="preserve"> 1.00 </w:t>
      </w:r>
      <w:r>
        <w:rPr>
          <w:rFonts w:hAnsi="宋体" w:hint="eastAsia"/>
          <w:bCs/>
          <w:sz w:val="24"/>
          <w:szCs w:val="24"/>
        </w:rPr>
        <w:t>元</w:t>
      </w:r>
      <w:r>
        <w:rPr>
          <w:rFonts w:hAnsi="宋体" w:hint="eastAsia"/>
          <w:bCs/>
          <w:sz w:val="24"/>
          <w:szCs w:val="24"/>
        </w:rPr>
        <w:t>/</w:t>
      </w:r>
      <w:r>
        <w:rPr>
          <w:rFonts w:hAnsi="宋体" w:hint="eastAsia"/>
          <w:bCs/>
          <w:sz w:val="24"/>
          <w:szCs w:val="24"/>
        </w:rPr>
        <w:t>份。场内认购金额计算保留到小数点后两位，小数点后两位以后的部分四舍五入。利息折算的份额保留至整数位（最小单位为</w:t>
      </w:r>
      <w:r>
        <w:rPr>
          <w:rFonts w:hAnsi="宋体" w:hint="eastAsia"/>
          <w:bCs/>
          <w:sz w:val="24"/>
          <w:szCs w:val="24"/>
        </w:rPr>
        <w:t>1</w:t>
      </w:r>
      <w:r>
        <w:rPr>
          <w:rFonts w:hAnsi="宋体" w:hint="eastAsia"/>
          <w:bCs/>
          <w:sz w:val="24"/>
          <w:szCs w:val="24"/>
        </w:rPr>
        <w:t>份），余额计入基金财产。</w:t>
      </w:r>
    </w:p>
    <w:p w14:paraId="7EE4C71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场内认购份额的计算公式为：</w:t>
      </w:r>
    </w:p>
    <w:p w14:paraId="29B7994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认购金额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认购价格</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认购份额</w:t>
      </w:r>
      <w:r>
        <w:rPr>
          <w:rFonts w:hAnsi="宋体" w:hint="eastAsia"/>
          <w:bCs/>
          <w:sz w:val="24"/>
          <w:szCs w:val="24"/>
        </w:rPr>
        <w:t xml:space="preserve"> </w:t>
      </w:r>
      <w:r>
        <w:rPr>
          <w:rFonts w:hAnsi="宋体" w:hint="eastAsia"/>
          <w:bCs/>
          <w:sz w:val="24"/>
          <w:szCs w:val="24"/>
        </w:rPr>
        <w:t>×（</w:t>
      </w:r>
      <w:r>
        <w:rPr>
          <w:rFonts w:hAnsi="宋体" w:hint="eastAsia"/>
          <w:bCs/>
          <w:sz w:val="24"/>
          <w:szCs w:val="24"/>
        </w:rPr>
        <w:t>1+</w:t>
      </w:r>
      <w:r>
        <w:rPr>
          <w:rFonts w:hAnsi="宋体" w:hint="eastAsia"/>
          <w:bCs/>
          <w:sz w:val="24"/>
          <w:szCs w:val="24"/>
        </w:rPr>
        <w:t>认购费率）</w:t>
      </w:r>
    </w:p>
    <w:p w14:paraId="037EED8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认购费用</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认购价格</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认购份额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认购费率</w:t>
      </w:r>
    </w:p>
    <w:p w14:paraId="376A9C7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认购份额总额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认购份额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利息折算的份额</w:t>
      </w:r>
    </w:p>
    <w:p w14:paraId="1000A3C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例：某投资者通过场内认购</w:t>
      </w:r>
      <w:r>
        <w:rPr>
          <w:rFonts w:hAnsi="宋体" w:hint="eastAsia"/>
          <w:bCs/>
          <w:sz w:val="24"/>
          <w:szCs w:val="24"/>
        </w:rPr>
        <w:t>10,000</w:t>
      </w:r>
      <w:r>
        <w:rPr>
          <w:rFonts w:hAnsi="宋体" w:hint="eastAsia"/>
          <w:bCs/>
          <w:sz w:val="24"/>
          <w:szCs w:val="24"/>
        </w:rPr>
        <w:t>份本基金，如果认购期内认购资金获得的利息为</w:t>
      </w:r>
      <w:r>
        <w:rPr>
          <w:rFonts w:hAnsi="宋体" w:hint="eastAsia"/>
          <w:bCs/>
          <w:sz w:val="24"/>
          <w:szCs w:val="24"/>
        </w:rPr>
        <w:t>8</w:t>
      </w:r>
      <w:r>
        <w:rPr>
          <w:rFonts w:hAnsi="宋体" w:hint="eastAsia"/>
          <w:bCs/>
          <w:sz w:val="24"/>
          <w:szCs w:val="24"/>
        </w:rPr>
        <w:t>元，若会员单位设定的认购费率为</w:t>
      </w:r>
      <w:r>
        <w:rPr>
          <w:rFonts w:hAnsi="宋体" w:hint="eastAsia"/>
          <w:bCs/>
          <w:sz w:val="24"/>
          <w:szCs w:val="24"/>
        </w:rPr>
        <w:t>0.6%</w:t>
      </w:r>
      <w:r>
        <w:rPr>
          <w:rFonts w:hAnsi="宋体" w:hint="eastAsia"/>
          <w:bCs/>
          <w:sz w:val="24"/>
          <w:szCs w:val="24"/>
        </w:rPr>
        <w:t>，则其可得到的基金份额计算如下：</w:t>
      </w:r>
    </w:p>
    <w:p w14:paraId="03988F8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认购金额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1.00</w:t>
      </w:r>
      <w:r>
        <w:rPr>
          <w:rFonts w:hAnsi="宋体" w:hint="eastAsia"/>
          <w:bCs/>
          <w:sz w:val="24"/>
          <w:szCs w:val="24"/>
        </w:rPr>
        <w:t>×</w:t>
      </w:r>
      <w:r>
        <w:rPr>
          <w:rFonts w:hAnsi="宋体" w:hint="eastAsia"/>
          <w:bCs/>
          <w:sz w:val="24"/>
          <w:szCs w:val="24"/>
        </w:rPr>
        <w:t>10,000</w:t>
      </w:r>
      <w:r>
        <w:rPr>
          <w:rFonts w:hAnsi="宋体" w:hint="eastAsia"/>
          <w:bCs/>
          <w:sz w:val="24"/>
          <w:szCs w:val="24"/>
        </w:rPr>
        <w:t>×（</w:t>
      </w:r>
      <w:r>
        <w:rPr>
          <w:rFonts w:hAnsi="宋体" w:hint="eastAsia"/>
          <w:bCs/>
          <w:sz w:val="24"/>
          <w:szCs w:val="24"/>
        </w:rPr>
        <w:t>1</w:t>
      </w:r>
      <w:r>
        <w:rPr>
          <w:rFonts w:hAnsi="宋体" w:hint="eastAsia"/>
          <w:bCs/>
          <w:sz w:val="24"/>
          <w:szCs w:val="24"/>
        </w:rPr>
        <w:t>＋</w:t>
      </w:r>
      <w:r>
        <w:rPr>
          <w:rFonts w:hAnsi="宋体" w:hint="eastAsia"/>
          <w:bCs/>
          <w:sz w:val="24"/>
          <w:szCs w:val="24"/>
        </w:rPr>
        <w:t>0.6%</w:t>
      </w:r>
      <w:r>
        <w:rPr>
          <w:rFonts w:hAnsi="宋体" w:hint="eastAsia"/>
          <w:bCs/>
          <w:sz w:val="24"/>
          <w:szCs w:val="24"/>
        </w:rPr>
        <w:t>）＝</w:t>
      </w:r>
      <w:r>
        <w:rPr>
          <w:rFonts w:hAnsi="宋体" w:hint="eastAsia"/>
          <w:bCs/>
          <w:sz w:val="24"/>
          <w:szCs w:val="24"/>
        </w:rPr>
        <w:t xml:space="preserve">10,060.00 </w:t>
      </w:r>
      <w:r>
        <w:rPr>
          <w:rFonts w:hAnsi="宋体" w:hint="eastAsia"/>
          <w:bCs/>
          <w:sz w:val="24"/>
          <w:szCs w:val="24"/>
        </w:rPr>
        <w:t>元</w:t>
      </w:r>
    </w:p>
    <w:p w14:paraId="0EC7977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认购费用</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1.00</w:t>
      </w:r>
      <w:r>
        <w:rPr>
          <w:rFonts w:hAnsi="宋体" w:hint="eastAsia"/>
          <w:bCs/>
          <w:sz w:val="24"/>
          <w:szCs w:val="24"/>
        </w:rPr>
        <w:t>×</w:t>
      </w:r>
      <w:r>
        <w:rPr>
          <w:rFonts w:hAnsi="宋体" w:hint="eastAsia"/>
          <w:bCs/>
          <w:sz w:val="24"/>
          <w:szCs w:val="24"/>
        </w:rPr>
        <w:t>10,000</w:t>
      </w:r>
      <w:r>
        <w:rPr>
          <w:rFonts w:hAnsi="宋体" w:hint="eastAsia"/>
          <w:bCs/>
          <w:sz w:val="24"/>
          <w:szCs w:val="24"/>
        </w:rPr>
        <w:t>×</w:t>
      </w:r>
      <w:r>
        <w:rPr>
          <w:rFonts w:hAnsi="宋体" w:hint="eastAsia"/>
          <w:bCs/>
          <w:sz w:val="24"/>
          <w:szCs w:val="24"/>
        </w:rPr>
        <w:t xml:space="preserve">0.6% </w:t>
      </w:r>
      <w:r>
        <w:rPr>
          <w:rFonts w:hAnsi="宋体" w:hint="eastAsia"/>
          <w:bCs/>
          <w:sz w:val="24"/>
          <w:szCs w:val="24"/>
        </w:rPr>
        <w:t>＝</w:t>
      </w:r>
      <w:r>
        <w:rPr>
          <w:rFonts w:hAnsi="宋体" w:hint="eastAsia"/>
          <w:bCs/>
          <w:sz w:val="24"/>
          <w:szCs w:val="24"/>
        </w:rPr>
        <w:t xml:space="preserve"> 60.00 </w:t>
      </w:r>
      <w:r>
        <w:rPr>
          <w:rFonts w:hAnsi="宋体" w:hint="eastAsia"/>
          <w:bCs/>
          <w:sz w:val="24"/>
          <w:szCs w:val="24"/>
        </w:rPr>
        <w:t>元</w:t>
      </w:r>
    </w:p>
    <w:p w14:paraId="1A09C2F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利息折算的份额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8</w:t>
      </w:r>
      <w:r>
        <w:rPr>
          <w:rFonts w:hAnsi="宋体" w:hint="eastAsia"/>
          <w:bCs/>
          <w:sz w:val="24"/>
          <w:szCs w:val="24"/>
        </w:rPr>
        <w:t>／</w:t>
      </w:r>
      <w:r>
        <w:rPr>
          <w:rFonts w:hAnsi="宋体" w:hint="eastAsia"/>
          <w:bCs/>
          <w:sz w:val="24"/>
          <w:szCs w:val="24"/>
        </w:rPr>
        <w:t xml:space="preserve">1.00 </w:t>
      </w:r>
      <w:r>
        <w:rPr>
          <w:rFonts w:hAnsi="宋体" w:hint="eastAsia"/>
          <w:bCs/>
          <w:sz w:val="24"/>
          <w:szCs w:val="24"/>
        </w:rPr>
        <w:t>＝</w:t>
      </w:r>
      <w:r>
        <w:rPr>
          <w:rFonts w:hAnsi="宋体" w:hint="eastAsia"/>
          <w:bCs/>
          <w:sz w:val="24"/>
          <w:szCs w:val="24"/>
        </w:rPr>
        <w:t xml:space="preserve"> 8 </w:t>
      </w:r>
      <w:r>
        <w:rPr>
          <w:rFonts w:hAnsi="宋体" w:hint="eastAsia"/>
          <w:bCs/>
          <w:sz w:val="24"/>
          <w:szCs w:val="24"/>
        </w:rPr>
        <w:t>份</w:t>
      </w:r>
    </w:p>
    <w:p w14:paraId="038A1DD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认购份额总额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10,000</w:t>
      </w:r>
      <w:r>
        <w:rPr>
          <w:rFonts w:hAnsi="宋体" w:hint="eastAsia"/>
          <w:bCs/>
          <w:sz w:val="24"/>
          <w:szCs w:val="24"/>
        </w:rPr>
        <w:t>＋</w:t>
      </w:r>
      <w:r>
        <w:rPr>
          <w:rFonts w:hAnsi="宋体" w:hint="eastAsia"/>
          <w:bCs/>
          <w:sz w:val="24"/>
          <w:szCs w:val="24"/>
        </w:rPr>
        <w:t xml:space="preserve">8 </w:t>
      </w:r>
      <w:r>
        <w:rPr>
          <w:rFonts w:hAnsi="宋体" w:hint="eastAsia"/>
          <w:bCs/>
          <w:sz w:val="24"/>
          <w:szCs w:val="24"/>
        </w:rPr>
        <w:t>＝</w:t>
      </w:r>
      <w:r>
        <w:rPr>
          <w:rFonts w:hAnsi="宋体" w:hint="eastAsia"/>
          <w:bCs/>
          <w:sz w:val="24"/>
          <w:szCs w:val="24"/>
        </w:rPr>
        <w:t xml:space="preserve"> 10,008 </w:t>
      </w:r>
      <w:r>
        <w:rPr>
          <w:rFonts w:hAnsi="宋体" w:hint="eastAsia"/>
          <w:bCs/>
          <w:sz w:val="24"/>
          <w:szCs w:val="24"/>
        </w:rPr>
        <w:t>份</w:t>
      </w:r>
    </w:p>
    <w:p w14:paraId="64A7378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即投资者通过场内认购</w:t>
      </w:r>
      <w:r>
        <w:rPr>
          <w:rFonts w:hAnsi="宋体" w:hint="eastAsia"/>
          <w:bCs/>
          <w:sz w:val="24"/>
          <w:szCs w:val="24"/>
        </w:rPr>
        <w:t xml:space="preserve">10,000 </w:t>
      </w:r>
      <w:r>
        <w:rPr>
          <w:rFonts w:hAnsi="宋体" w:hint="eastAsia"/>
          <w:bCs/>
          <w:sz w:val="24"/>
          <w:szCs w:val="24"/>
        </w:rPr>
        <w:t>份本基金，需缴纳</w:t>
      </w:r>
      <w:r>
        <w:rPr>
          <w:rFonts w:hAnsi="宋体" w:hint="eastAsia"/>
          <w:bCs/>
          <w:sz w:val="24"/>
          <w:szCs w:val="24"/>
        </w:rPr>
        <w:t xml:space="preserve">10,060 </w:t>
      </w:r>
      <w:r>
        <w:rPr>
          <w:rFonts w:hAnsi="宋体" w:hint="eastAsia"/>
          <w:bCs/>
          <w:sz w:val="24"/>
          <w:szCs w:val="24"/>
        </w:rPr>
        <w:t>元，加上认购资金在认购期内获得的利息，基金发售结束后，投资者经确认的基金份额为</w:t>
      </w:r>
      <w:r>
        <w:rPr>
          <w:rFonts w:hAnsi="宋体" w:hint="eastAsia"/>
          <w:bCs/>
          <w:sz w:val="24"/>
          <w:szCs w:val="24"/>
        </w:rPr>
        <w:t xml:space="preserve">10,008 </w:t>
      </w:r>
      <w:r>
        <w:rPr>
          <w:rFonts w:hAnsi="宋体" w:hint="eastAsia"/>
          <w:bCs/>
          <w:sz w:val="24"/>
          <w:szCs w:val="24"/>
        </w:rPr>
        <w:t>份。</w:t>
      </w:r>
    </w:p>
    <w:p w14:paraId="7E09933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、销售机构对投资者认购申请的受理并不代表该申请一定成功，而仅代表销售机构确实接收到认购申请。认购申请的确认以基金注册登记机构或基金管理人的确认结果为准。</w:t>
      </w:r>
    </w:p>
    <w:p w14:paraId="5060F9F9"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十一、投资者对本基金份额的认购</w:t>
      </w:r>
    </w:p>
    <w:p w14:paraId="3362956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、认购时间安排</w:t>
      </w:r>
    </w:p>
    <w:p w14:paraId="680A895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投资者认购本基金的具体业务办理时间参见《发售公告》。</w:t>
      </w:r>
    </w:p>
    <w:p w14:paraId="774421F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、投资者认购本基金应提交的文件和办理的手续</w:t>
      </w:r>
    </w:p>
    <w:p w14:paraId="0BD85D5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投资者认购本基金应提交的文件和办理的手续参见《发售公告》。</w:t>
      </w:r>
    </w:p>
    <w:p w14:paraId="0680E30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、认购的限额</w:t>
      </w:r>
    </w:p>
    <w:p w14:paraId="1992BEB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w:t>
      </w:r>
      <w:r>
        <w:rPr>
          <w:rFonts w:hAnsi="宋体" w:hint="eastAsia"/>
          <w:bCs/>
          <w:sz w:val="24"/>
          <w:szCs w:val="24"/>
        </w:rPr>
        <w:t>）场外认购限额</w:t>
      </w:r>
    </w:p>
    <w:p w14:paraId="2DAB424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本基金场外认购的首次单笔认购最低金额为人民币</w:t>
      </w:r>
      <w:r>
        <w:rPr>
          <w:rFonts w:hAnsi="宋体" w:hint="eastAsia"/>
          <w:bCs/>
          <w:sz w:val="24"/>
          <w:szCs w:val="24"/>
        </w:rPr>
        <w:t xml:space="preserve">1,000 </w:t>
      </w:r>
      <w:r>
        <w:rPr>
          <w:rFonts w:hAnsi="宋体" w:hint="eastAsia"/>
          <w:bCs/>
          <w:sz w:val="24"/>
          <w:szCs w:val="24"/>
        </w:rPr>
        <w:t>元（含认购费），</w:t>
      </w:r>
      <w:r>
        <w:rPr>
          <w:rFonts w:hAnsi="宋体" w:hint="eastAsia"/>
          <w:bCs/>
          <w:sz w:val="24"/>
          <w:szCs w:val="24"/>
        </w:rPr>
        <w:lastRenderedPageBreak/>
        <w:t>追加认购的单笔认购最低金额为人民币</w:t>
      </w:r>
      <w:r>
        <w:rPr>
          <w:rFonts w:hAnsi="宋体" w:hint="eastAsia"/>
          <w:bCs/>
          <w:sz w:val="24"/>
          <w:szCs w:val="24"/>
        </w:rPr>
        <w:t>1,000</w:t>
      </w:r>
      <w:r>
        <w:rPr>
          <w:rFonts w:hAnsi="宋体" w:hint="eastAsia"/>
          <w:bCs/>
          <w:sz w:val="24"/>
          <w:szCs w:val="24"/>
        </w:rPr>
        <w:t>元。本公司</w:t>
      </w:r>
      <w:r>
        <w:rPr>
          <w:rFonts w:hAnsi="宋体"/>
          <w:bCs/>
          <w:sz w:val="24"/>
          <w:szCs w:val="24"/>
        </w:rPr>
        <w:t>直销中心首次认购的最低金额为人民币</w:t>
      </w:r>
      <w:r>
        <w:rPr>
          <w:rFonts w:hAnsi="宋体"/>
          <w:bCs/>
          <w:sz w:val="24"/>
          <w:szCs w:val="24"/>
        </w:rPr>
        <w:t>50000</w:t>
      </w:r>
      <w:r>
        <w:rPr>
          <w:rFonts w:hAnsi="宋体"/>
          <w:bCs/>
          <w:sz w:val="24"/>
          <w:szCs w:val="24"/>
        </w:rPr>
        <w:t>元（含认购费）</w:t>
      </w:r>
      <w:r>
        <w:rPr>
          <w:rFonts w:hint="eastAsia"/>
          <w:color w:val="000000"/>
          <w:kern w:val="0"/>
          <w:sz w:val="24"/>
          <w:szCs w:val="24"/>
        </w:rPr>
        <w:t>，线</w:t>
      </w:r>
      <w:r>
        <w:rPr>
          <w:kern w:val="0"/>
          <w:sz w:val="24"/>
          <w:szCs w:val="24"/>
        </w:rPr>
        <w:t>上直销系统</w:t>
      </w:r>
      <w:r>
        <w:rPr>
          <w:rFonts w:hint="eastAsia"/>
          <w:color w:val="000000"/>
          <w:sz w:val="24"/>
          <w:szCs w:val="24"/>
        </w:rPr>
        <w:t>认购</w:t>
      </w:r>
      <w:r>
        <w:rPr>
          <w:color w:val="000000"/>
          <w:sz w:val="24"/>
          <w:szCs w:val="24"/>
        </w:rPr>
        <w:t>最低金额为人民币</w:t>
      </w:r>
      <w:r>
        <w:rPr>
          <w:color w:val="000000"/>
          <w:sz w:val="24"/>
          <w:szCs w:val="24"/>
        </w:rPr>
        <w:t>1000</w:t>
      </w:r>
      <w:r>
        <w:rPr>
          <w:color w:val="000000"/>
          <w:sz w:val="24"/>
          <w:szCs w:val="24"/>
        </w:rPr>
        <w:t>元（含</w:t>
      </w:r>
      <w:r>
        <w:rPr>
          <w:rFonts w:hint="eastAsia"/>
          <w:color w:val="000000"/>
          <w:sz w:val="24"/>
          <w:szCs w:val="24"/>
        </w:rPr>
        <w:t>认购</w:t>
      </w:r>
      <w:r>
        <w:rPr>
          <w:color w:val="000000"/>
          <w:sz w:val="24"/>
          <w:szCs w:val="24"/>
        </w:rPr>
        <w:t>费）</w:t>
      </w:r>
      <w:r>
        <w:rPr>
          <w:rFonts w:hAnsi="宋体" w:hint="eastAsia"/>
          <w:bCs/>
          <w:sz w:val="24"/>
          <w:szCs w:val="24"/>
        </w:rPr>
        <w:t>，</w:t>
      </w:r>
      <w:r>
        <w:rPr>
          <w:rFonts w:hAnsi="宋体"/>
          <w:bCs/>
          <w:sz w:val="24"/>
          <w:szCs w:val="24"/>
        </w:rPr>
        <w:t>超过最低认购金额的部分不设金额级差。</w:t>
      </w:r>
      <w:r>
        <w:rPr>
          <w:rFonts w:hAnsi="宋体" w:hint="eastAsia"/>
          <w:bCs/>
          <w:sz w:val="24"/>
          <w:szCs w:val="24"/>
        </w:rPr>
        <w:t>各代销机构对本基金最低认购金额及交易级差有其他规定的，以各代销机构的业务规定为准。</w:t>
      </w:r>
      <w:r>
        <w:rPr>
          <w:rFonts w:hAnsi="宋体" w:hint="eastAsia"/>
          <w:bCs/>
          <w:sz w:val="24"/>
          <w:szCs w:val="24"/>
        </w:rPr>
        <w:t xml:space="preserve"> </w:t>
      </w:r>
    </w:p>
    <w:p w14:paraId="1E1A88C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2</w:t>
      </w:r>
      <w:r>
        <w:rPr>
          <w:rFonts w:hAnsi="宋体" w:hint="eastAsia"/>
          <w:bCs/>
          <w:sz w:val="24"/>
          <w:szCs w:val="24"/>
        </w:rPr>
        <w:t>）场内认购限额</w:t>
      </w:r>
    </w:p>
    <w:p w14:paraId="7AFE95E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在具有基金代销资格的深圳证券交易所会员单位的单笔最低认购份额为</w:t>
      </w:r>
      <w:r>
        <w:rPr>
          <w:rFonts w:hAnsi="宋体" w:hint="eastAsia"/>
          <w:bCs/>
          <w:sz w:val="24"/>
          <w:szCs w:val="24"/>
        </w:rPr>
        <w:t xml:space="preserve">1,000 </w:t>
      </w:r>
      <w:r>
        <w:rPr>
          <w:rFonts w:hAnsi="宋体" w:hint="eastAsia"/>
          <w:bCs/>
          <w:sz w:val="24"/>
          <w:szCs w:val="24"/>
        </w:rPr>
        <w:t>份，超过</w:t>
      </w:r>
      <w:r>
        <w:rPr>
          <w:rFonts w:hAnsi="宋体" w:hint="eastAsia"/>
          <w:bCs/>
          <w:sz w:val="24"/>
          <w:szCs w:val="24"/>
        </w:rPr>
        <w:t xml:space="preserve">1,000 </w:t>
      </w:r>
      <w:r>
        <w:rPr>
          <w:rFonts w:hAnsi="宋体" w:hint="eastAsia"/>
          <w:bCs/>
          <w:sz w:val="24"/>
          <w:szCs w:val="24"/>
        </w:rPr>
        <w:t>份的须是</w:t>
      </w:r>
      <w:r>
        <w:rPr>
          <w:rFonts w:hAnsi="宋体" w:hint="eastAsia"/>
          <w:bCs/>
          <w:sz w:val="24"/>
          <w:szCs w:val="24"/>
        </w:rPr>
        <w:t xml:space="preserve">1,000 </w:t>
      </w:r>
      <w:r>
        <w:rPr>
          <w:rFonts w:hAnsi="宋体" w:hint="eastAsia"/>
          <w:bCs/>
          <w:sz w:val="24"/>
          <w:szCs w:val="24"/>
        </w:rPr>
        <w:t>份的整数倍，且每笔认购最大不得超过</w:t>
      </w:r>
      <w:r>
        <w:rPr>
          <w:rFonts w:hAnsi="宋体" w:hint="eastAsia"/>
          <w:bCs/>
          <w:sz w:val="24"/>
          <w:szCs w:val="24"/>
        </w:rPr>
        <w:t xml:space="preserve">99,999,000 </w:t>
      </w:r>
      <w:r>
        <w:rPr>
          <w:rFonts w:hAnsi="宋体" w:hint="eastAsia"/>
          <w:bCs/>
          <w:sz w:val="24"/>
          <w:szCs w:val="24"/>
        </w:rPr>
        <w:t>份。</w:t>
      </w:r>
    </w:p>
    <w:p w14:paraId="13C9CE0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3</w:t>
      </w:r>
      <w:r>
        <w:rPr>
          <w:rFonts w:hAnsi="宋体" w:hint="eastAsia"/>
          <w:bCs/>
          <w:sz w:val="24"/>
          <w:szCs w:val="24"/>
        </w:rPr>
        <w:t>）如发生末日比例确认，认购申请确认不受认购最低金额的限制。</w:t>
      </w:r>
    </w:p>
    <w:p w14:paraId="3FF1E05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4</w:t>
      </w:r>
      <w:r>
        <w:rPr>
          <w:rFonts w:hAnsi="宋体" w:hint="eastAsia"/>
          <w:bCs/>
          <w:sz w:val="24"/>
          <w:szCs w:val="24"/>
        </w:rPr>
        <w:t>）本基金对单个账户的认购和持有基金份额不进行限制。</w:t>
      </w:r>
    </w:p>
    <w:p w14:paraId="3D388F33"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十二、募集资金及利息的处理</w:t>
      </w:r>
    </w:p>
    <w:p w14:paraId="3DDA5B57" w14:textId="77777777" w:rsidR="0037652E" w:rsidRDefault="00BF49B0">
      <w:pPr>
        <w:tabs>
          <w:tab w:val="left" w:pos="961"/>
        </w:tabs>
        <w:snapToGrid w:val="0"/>
        <w:spacing w:line="360" w:lineRule="auto"/>
        <w:ind w:firstLineChars="200" w:firstLine="480"/>
        <w:rPr>
          <w:rFonts w:hAnsi="宋体"/>
          <w:bCs/>
          <w:szCs w:val="21"/>
        </w:rPr>
      </w:pPr>
      <w:r>
        <w:rPr>
          <w:rFonts w:hAnsi="宋体" w:hint="eastAsia"/>
          <w:bCs/>
          <w:sz w:val="24"/>
          <w:szCs w:val="24"/>
        </w:rPr>
        <w:t>《基金合同》生效前，投资者的认购款项只能存入募集账户，不得动用。认购款项在募集期间产生的利息将折算为基金份额归基金份额持有人所有，其中利息及利息折算的基金份额以基金注册登记机构的记录为准。</w:t>
      </w:r>
    </w:p>
    <w:p w14:paraId="7CEEDAD7"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十三、基金募集情况</w:t>
      </w:r>
    </w:p>
    <w:p w14:paraId="724E59D2" w14:textId="6F16ABA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本基金募集期限为</w:t>
      </w:r>
      <w:r>
        <w:rPr>
          <w:rFonts w:hAnsi="宋体" w:hint="eastAsia"/>
          <w:bCs/>
          <w:sz w:val="24"/>
          <w:szCs w:val="24"/>
        </w:rPr>
        <w:t>2011</w:t>
      </w:r>
      <w:r>
        <w:rPr>
          <w:rFonts w:hAnsi="宋体" w:hint="eastAsia"/>
          <w:bCs/>
          <w:sz w:val="24"/>
          <w:szCs w:val="24"/>
        </w:rPr>
        <w:t>年</w:t>
      </w:r>
      <w:r>
        <w:rPr>
          <w:rFonts w:hAnsi="宋体" w:hint="eastAsia"/>
          <w:bCs/>
          <w:sz w:val="24"/>
          <w:szCs w:val="24"/>
        </w:rPr>
        <w:t>7</w:t>
      </w:r>
      <w:r>
        <w:rPr>
          <w:rFonts w:hAnsi="宋体" w:hint="eastAsia"/>
          <w:bCs/>
          <w:sz w:val="24"/>
          <w:szCs w:val="24"/>
        </w:rPr>
        <w:t>月</w:t>
      </w:r>
      <w:r>
        <w:rPr>
          <w:rFonts w:hAnsi="宋体" w:hint="eastAsia"/>
          <w:bCs/>
          <w:sz w:val="24"/>
          <w:szCs w:val="24"/>
        </w:rPr>
        <w:t>25</w:t>
      </w:r>
      <w:r>
        <w:rPr>
          <w:rFonts w:hAnsi="宋体" w:hint="eastAsia"/>
          <w:bCs/>
          <w:sz w:val="24"/>
          <w:szCs w:val="24"/>
        </w:rPr>
        <w:t>日至</w:t>
      </w:r>
      <w:r>
        <w:rPr>
          <w:rFonts w:hAnsi="宋体" w:hint="eastAsia"/>
          <w:bCs/>
          <w:sz w:val="24"/>
          <w:szCs w:val="24"/>
        </w:rPr>
        <w:t>2011</w:t>
      </w:r>
      <w:r>
        <w:rPr>
          <w:rFonts w:hAnsi="宋体" w:hint="eastAsia"/>
          <w:bCs/>
          <w:sz w:val="24"/>
          <w:szCs w:val="24"/>
        </w:rPr>
        <w:t>年</w:t>
      </w:r>
      <w:r>
        <w:rPr>
          <w:rFonts w:hAnsi="宋体" w:hint="eastAsia"/>
          <w:bCs/>
          <w:sz w:val="24"/>
          <w:szCs w:val="24"/>
        </w:rPr>
        <w:t>8</w:t>
      </w:r>
      <w:r>
        <w:rPr>
          <w:rFonts w:hAnsi="宋体" w:hint="eastAsia"/>
          <w:bCs/>
          <w:sz w:val="24"/>
          <w:szCs w:val="24"/>
        </w:rPr>
        <w:t>月</w:t>
      </w:r>
      <w:r>
        <w:rPr>
          <w:rFonts w:hAnsi="宋体" w:hint="eastAsia"/>
          <w:bCs/>
          <w:sz w:val="24"/>
          <w:szCs w:val="24"/>
        </w:rPr>
        <w:t>25</w:t>
      </w:r>
      <w:r>
        <w:rPr>
          <w:rFonts w:hAnsi="宋体" w:hint="eastAsia"/>
          <w:bCs/>
          <w:sz w:val="24"/>
          <w:szCs w:val="24"/>
        </w:rPr>
        <w:t>日。经会计师事务所验资，按照每份基金份额面值人民币</w:t>
      </w:r>
      <w:r>
        <w:rPr>
          <w:rFonts w:hAnsi="宋体"/>
          <w:bCs/>
          <w:sz w:val="24"/>
          <w:szCs w:val="24"/>
        </w:rPr>
        <w:t>1.00</w:t>
      </w:r>
      <w:r>
        <w:rPr>
          <w:rFonts w:hAnsi="宋体" w:hint="eastAsia"/>
          <w:bCs/>
          <w:sz w:val="24"/>
          <w:szCs w:val="24"/>
        </w:rPr>
        <w:t>元计算，基金募集期共募集</w:t>
      </w:r>
      <w:r>
        <w:rPr>
          <w:rFonts w:hAnsi="宋体"/>
          <w:bCs/>
          <w:sz w:val="24"/>
          <w:szCs w:val="24"/>
        </w:rPr>
        <w:t>614,808,767.15</w:t>
      </w:r>
      <w:r>
        <w:rPr>
          <w:rFonts w:hAnsi="宋体" w:hint="eastAsia"/>
          <w:bCs/>
          <w:sz w:val="24"/>
          <w:szCs w:val="24"/>
        </w:rPr>
        <w:t>份基金份额（其中包括利息转份额</w:t>
      </w:r>
      <w:r>
        <w:rPr>
          <w:rFonts w:hAnsi="宋体"/>
          <w:bCs/>
          <w:sz w:val="24"/>
          <w:szCs w:val="24"/>
        </w:rPr>
        <w:t>390,796.81</w:t>
      </w:r>
      <w:r>
        <w:rPr>
          <w:rFonts w:hAnsi="宋体" w:hint="eastAsia"/>
          <w:bCs/>
          <w:sz w:val="24"/>
          <w:szCs w:val="24"/>
        </w:rPr>
        <w:t>份），有效认购户数为</w:t>
      </w:r>
      <w:r>
        <w:rPr>
          <w:rFonts w:hAnsi="宋体"/>
          <w:bCs/>
          <w:sz w:val="24"/>
          <w:szCs w:val="24"/>
        </w:rPr>
        <w:t>12,902</w:t>
      </w:r>
      <w:r>
        <w:rPr>
          <w:rFonts w:hAnsi="宋体" w:hint="eastAsia"/>
          <w:bCs/>
          <w:sz w:val="24"/>
          <w:szCs w:val="24"/>
        </w:rPr>
        <w:t>户。其中，汇添富基金管理股份有限公司运用固有资金</w:t>
      </w:r>
      <w:r>
        <w:rPr>
          <w:rFonts w:hAnsi="宋体" w:hint="eastAsia"/>
          <w:bCs/>
          <w:sz w:val="24"/>
          <w:szCs w:val="24"/>
        </w:rPr>
        <w:t>30,000,000.00</w:t>
      </w:r>
      <w:r>
        <w:rPr>
          <w:rFonts w:hAnsi="宋体" w:hint="eastAsia"/>
          <w:bCs/>
          <w:sz w:val="24"/>
          <w:szCs w:val="24"/>
        </w:rPr>
        <w:t>元认购本基金份额</w:t>
      </w:r>
      <w:r>
        <w:rPr>
          <w:rFonts w:hAnsi="宋体" w:hint="eastAsia"/>
          <w:bCs/>
          <w:sz w:val="24"/>
          <w:szCs w:val="24"/>
        </w:rPr>
        <w:t>30,002,300.00</w:t>
      </w:r>
      <w:r>
        <w:rPr>
          <w:rFonts w:hAnsi="宋体" w:hint="eastAsia"/>
          <w:bCs/>
          <w:sz w:val="24"/>
          <w:szCs w:val="24"/>
        </w:rPr>
        <w:t>份（含募集期利息结转的份额），认购费用</w:t>
      </w:r>
      <w:r>
        <w:rPr>
          <w:rFonts w:hAnsi="宋体" w:hint="eastAsia"/>
          <w:bCs/>
          <w:sz w:val="24"/>
          <w:szCs w:val="24"/>
        </w:rPr>
        <w:t>1,000.00</w:t>
      </w:r>
      <w:r>
        <w:rPr>
          <w:rFonts w:hAnsi="宋体" w:hint="eastAsia"/>
          <w:bCs/>
          <w:sz w:val="24"/>
          <w:szCs w:val="24"/>
        </w:rPr>
        <w:t>元；汇添富基金管理股份有限公司基金从业人员认购本基金基金份额</w:t>
      </w:r>
      <w:r>
        <w:rPr>
          <w:rFonts w:hAnsi="宋体"/>
          <w:bCs/>
          <w:sz w:val="24"/>
          <w:szCs w:val="24"/>
        </w:rPr>
        <w:t>62,716.47</w:t>
      </w:r>
      <w:r>
        <w:rPr>
          <w:rFonts w:hAnsi="宋体" w:hint="eastAsia"/>
          <w:bCs/>
          <w:sz w:val="24"/>
          <w:szCs w:val="24"/>
        </w:rPr>
        <w:t>份（含募集期利息结转的份额），占基金总份额比例</w:t>
      </w:r>
      <w:r>
        <w:rPr>
          <w:rFonts w:hAnsi="宋体"/>
          <w:bCs/>
          <w:sz w:val="24"/>
          <w:szCs w:val="24"/>
        </w:rPr>
        <w:t>0.01</w:t>
      </w:r>
      <w:r>
        <w:rPr>
          <w:rFonts w:hAnsi="宋体" w:hint="eastAsia"/>
          <w:bCs/>
          <w:sz w:val="24"/>
          <w:szCs w:val="24"/>
        </w:rPr>
        <w:t>%</w:t>
      </w:r>
      <w:r>
        <w:rPr>
          <w:rFonts w:hAnsi="宋体" w:hint="eastAsia"/>
          <w:bCs/>
          <w:sz w:val="24"/>
          <w:szCs w:val="24"/>
        </w:rPr>
        <w:t>。</w:t>
      </w:r>
    </w:p>
    <w:p w14:paraId="42D8C6E6" w14:textId="77777777" w:rsidR="0037652E" w:rsidRDefault="00BF49B0">
      <w:pPr>
        <w:spacing w:line="360" w:lineRule="auto"/>
        <w:ind w:firstLineChars="200" w:firstLine="480"/>
        <w:jc w:val="center"/>
        <w:outlineLvl w:val="0"/>
        <w:rPr>
          <w:rFonts w:ascii="宋体" w:hAnsi="宋体"/>
          <w:b/>
          <w:sz w:val="24"/>
          <w:szCs w:val="24"/>
        </w:rPr>
      </w:pPr>
      <w:r>
        <w:rPr>
          <w:rFonts w:hAnsi="宋体"/>
          <w:bCs/>
          <w:sz w:val="24"/>
          <w:szCs w:val="24"/>
        </w:rPr>
        <w:br w:type="page"/>
      </w:r>
      <w:bookmarkStart w:id="55" w:name="_Toc30056"/>
      <w:bookmarkStart w:id="56" w:name="_Toc65325115"/>
      <w:bookmarkStart w:id="57" w:name="_Toc7232"/>
      <w:bookmarkStart w:id="58" w:name="_Toc110606849"/>
      <w:r>
        <w:rPr>
          <w:rFonts w:ascii="宋体" w:hAnsi="宋体" w:hint="eastAsia"/>
          <w:b/>
          <w:sz w:val="24"/>
          <w:szCs w:val="24"/>
        </w:rPr>
        <w:lastRenderedPageBreak/>
        <w:t>第八部分 基金合同的生效</w:t>
      </w:r>
      <w:bookmarkEnd w:id="55"/>
      <w:bookmarkEnd w:id="56"/>
      <w:bookmarkEnd w:id="57"/>
      <w:bookmarkEnd w:id="58"/>
    </w:p>
    <w:p w14:paraId="115337E7" w14:textId="77777777" w:rsidR="0037652E" w:rsidRDefault="0037652E">
      <w:pPr>
        <w:tabs>
          <w:tab w:val="left" w:pos="961"/>
        </w:tabs>
        <w:snapToGrid w:val="0"/>
        <w:spacing w:line="360" w:lineRule="auto"/>
        <w:ind w:firstLineChars="200" w:firstLine="420"/>
        <w:rPr>
          <w:rFonts w:hAnsi="宋体"/>
          <w:bCs/>
          <w:szCs w:val="21"/>
        </w:rPr>
      </w:pPr>
    </w:p>
    <w:p w14:paraId="4094644C"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b/>
          <w:bCs/>
          <w:sz w:val="24"/>
          <w:szCs w:val="24"/>
        </w:rPr>
        <w:t>一、基金备案的条件</w:t>
      </w:r>
    </w:p>
    <w:p w14:paraId="17D8871C"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本基金自基金份额发售之日起</w:t>
      </w:r>
      <w:r>
        <w:rPr>
          <w:rFonts w:hAnsi="宋体"/>
          <w:bCs/>
          <w:sz w:val="24"/>
          <w:szCs w:val="24"/>
        </w:rPr>
        <w:t>3</w:t>
      </w:r>
      <w:r>
        <w:rPr>
          <w:rFonts w:hAnsi="宋体"/>
          <w:bCs/>
          <w:sz w:val="24"/>
          <w:szCs w:val="24"/>
        </w:rPr>
        <w:t>个月内，在基金募集份额总额不少于</w:t>
      </w:r>
      <w:r>
        <w:rPr>
          <w:rFonts w:hAnsi="宋体"/>
          <w:bCs/>
          <w:sz w:val="24"/>
          <w:szCs w:val="24"/>
        </w:rPr>
        <w:t>2</w:t>
      </w:r>
      <w:r>
        <w:rPr>
          <w:rFonts w:hAnsi="宋体"/>
          <w:bCs/>
          <w:sz w:val="24"/>
          <w:szCs w:val="24"/>
        </w:rPr>
        <w:t>亿份，基金募集金额不少于</w:t>
      </w:r>
      <w:r>
        <w:rPr>
          <w:rFonts w:hAnsi="宋体"/>
          <w:bCs/>
          <w:sz w:val="24"/>
          <w:szCs w:val="24"/>
        </w:rPr>
        <w:t>2</w:t>
      </w:r>
      <w:r>
        <w:rPr>
          <w:rFonts w:hAnsi="宋体"/>
          <w:bCs/>
          <w:sz w:val="24"/>
          <w:szCs w:val="24"/>
        </w:rPr>
        <w:t>亿元人民币且基金份额持有人不少于</w:t>
      </w:r>
      <w:r>
        <w:rPr>
          <w:rFonts w:hAnsi="宋体"/>
          <w:bCs/>
          <w:sz w:val="24"/>
          <w:szCs w:val="24"/>
        </w:rPr>
        <w:t>200</w:t>
      </w:r>
      <w:r>
        <w:rPr>
          <w:rFonts w:hAnsi="宋体"/>
          <w:bCs/>
          <w:sz w:val="24"/>
          <w:szCs w:val="24"/>
        </w:rPr>
        <w:t>人的条件下，基金管理人依据法律法规及《招募说明书》可以决定停止基金发售，并在</w:t>
      </w:r>
      <w:r>
        <w:rPr>
          <w:rFonts w:hAnsi="宋体"/>
          <w:bCs/>
          <w:sz w:val="24"/>
          <w:szCs w:val="24"/>
        </w:rPr>
        <w:t>10</w:t>
      </w:r>
      <w:r>
        <w:rPr>
          <w:rFonts w:hAnsi="宋体"/>
          <w:bCs/>
          <w:sz w:val="24"/>
          <w:szCs w:val="24"/>
        </w:rPr>
        <w:t>日内聘请法定验资机构验资，自收到验资报告之日起</w:t>
      </w:r>
      <w:r>
        <w:rPr>
          <w:rFonts w:hAnsi="宋体"/>
          <w:bCs/>
          <w:sz w:val="24"/>
          <w:szCs w:val="24"/>
        </w:rPr>
        <w:t>10</w:t>
      </w:r>
      <w:r>
        <w:rPr>
          <w:rFonts w:hAnsi="宋体"/>
          <w:bCs/>
          <w:sz w:val="24"/>
          <w:szCs w:val="24"/>
        </w:rPr>
        <w:t>日内，向中国证监会办理基金备案手续。</w:t>
      </w:r>
    </w:p>
    <w:p w14:paraId="68C40C4B"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418924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《基金合同》生效时，认购款项在募集期内产生的利息将折合成基金份额归投资者所有。利息的具体金额，以注册登记机构的记录为准。</w:t>
      </w:r>
    </w:p>
    <w:p w14:paraId="7DAFAEDC"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b/>
          <w:bCs/>
          <w:sz w:val="24"/>
          <w:szCs w:val="24"/>
        </w:rPr>
        <w:t>二、</w:t>
      </w:r>
      <w:r>
        <w:rPr>
          <w:rFonts w:hAnsi="宋体" w:hint="eastAsia"/>
          <w:b/>
          <w:bCs/>
          <w:sz w:val="24"/>
          <w:szCs w:val="24"/>
        </w:rPr>
        <w:t>《</w:t>
      </w:r>
      <w:r>
        <w:rPr>
          <w:rFonts w:hAnsi="宋体"/>
          <w:b/>
          <w:bCs/>
          <w:sz w:val="24"/>
          <w:szCs w:val="24"/>
        </w:rPr>
        <w:t>基金合同</w:t>
      </w:r>
      <w:r>
        <w:rPr>
          <w:rFonts w:hAnsi="宋体" w:hint="eastAsia"/>
          <w:b/>
          <w:bCs/>
          <w:sz w:val="24"/>
          <w:szCs w:val="24"/>
        </w:rPr>
        <w:t>》</w:t>
      </w:r>
      <w:r>
        <w:rPr>
          <w:rFonts w:hAnsi="宋体"/>
          <w:b/>
          <w:bCs/>
          <w:sz w:val="24"/>
          <w:szCs w:val="24"/>
        </w:rPr>
        <w:t>不能生效时募集资金的处理方式</w:t>
      </w:r>
    </w:p>
    <w:p w14:paraId="57D439A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如果《基金合同》不能生效，基金管理人应当承担下列责任：</w:t>
      </w:r>
    </w:p>
    <w:p w14:paraId="03B4FF76"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、以其固有财产承担因募集行为而产生的债务和费用；</w:t>
      </w:r>
    </w:p>
    <w:p w14:paraId="51B8F70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2</w:t>
      </w:r>
      <w:r>
        <w:rPr>
          <w:rFonts w:hAnsi="宋体"/>
          <w:bCs/>
          <w:sz w:val="24"/>
          <w:szCs w:val="24"/>
        </w:rPr>
        <w:t>、在基金募集期限届满后</w:t>
      </w:r>
      <w:r>
        <w:rPr>
          <w:rFonts w:hAnsi="宋体"/>
          <w:bCs/>
          <w:sz w:val="24"/>
          <w:szCs w:val="24"/>
        </w:rPr>
        <w:t>30</w:t>
      </w:r>
      <w:r>
        <w:rPr>
          <w:rFonts w:hAnsi="宋体"/>
          <w:bCs/>
          <w:sz w:val="24"/>
          <w:szCs w:val="24"/>
        </w:rPr>
        <w:t>日内返还投资者已缴纳的款项，并加计银行同期存款利息。</w:t>
      </w:r>
    </w:p>
    <w:p w14:paraId="3FE9CB58" w14:textId="77777777" w:rsidR="0037652E" w:rsidRDefault="00BF49B0">
      <w:pPr>
        <w:widowControl/>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w:t>
      </w:r>
      <w:r>
        <w:rPr>
          <w:rFonts w:hAnsi="宋体"/>
          <w:sz w:val="24"/>
        </w:rPr>
        <w:t>如基金募集失败，基金管理人、基金托管人及代销机构不得请求报酬。基金管理人、基金托管人和代销机构为基金募集支付之一切费用应由各方各自承担。</w:t>
      </w:r>
    </w:p>
    <w:p w14:paraId="072AB5DB"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b/>
          <w:bCs/>
          <w:sz w:val="24"/>
          <w:szCs w:val="24"/>
        </w:rPr>
        <w:t>三、基金存续期内的基金份额持有人数量和资产规模</w:t>
      </w:r>
    </w:p>
    <w:p w14:paraId="0C8F3F9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《基金合同》生效后，基金份额持有人数量不满</w:t>
      </w:r>
      <w:r>
        <w:rPr>
          <w:rFonts w:hAnsi="宋体"/>
          <w:bCs/>
          <w:sz w:val="24"/>
          <w:szCs w:val="24"/>
        </w:rPr>
        <w:t>200</w:t>
      </w:r>
      <w:r>
        <w:rPr>
          <w:rFonts w:hAnsi="宋体"/>
          <w:bCs/>
          <w:sz w:val="24"/>
          <w:szCs w:val="24"/>
        </w:rPr>
        <w:t>人或者基金资产净值低于</w:t>
      </w:r>
      <w:r>
        <w:rPr>
          <w:rFonts w:hAnsi="宋体"/>
          <w:bCs/>
          <w:sz w:val="24"/>
          <w:szCs w:val="24"/>
        </w:rPr>
        <w:t>5,000</w:t>
      </w:r>
      <w:r>
        <w:rPr>
          <w:rFonts w:hAnsi="宋体"/>
          <w:bCs/>
          <w:sz w:val="24"/>
          <w:szCs w:val="24"/>
        </w:rPr>
        <w:t>万元的，基金管理人应当及时报告中国证监会；连续</w:t>
      </w:r>
      <w:r>
        <w:rPr>
          <w:rFonts w:hAnsi="宋体"/>
          <w:bCs/>
          <w:sz w:val="24"/>
          <w:szCs w:val="24"/>
        </w:rPr>
        <w:t>20</w:t>
      </w:r>
      <w:r>
        <w:rPr>
          <w:rFonts w:hAnsi="宋体"/>
          <w:bCs/>
          <w:sz w:val="24"/>
          <w:szCs w:val="24"/>
        </w:rPr>
        <w:t>个工作日出现前述情形的，基金管理人应当向中国证监会说明原因并报送解决方案。</w:t>
      </w:r>
    </w:p>
    <w:p w14:paraId="6E876410"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法律法规另有规定时，从其规定。</w:t>
      </w:r>
    </w:p>
    <w:p w14:paraId="5B169C58"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四、本基金</w:t>
      </w:r>
      <w:r>
        <w:rPr>
          <w:rFonts w:hAnsi="宋体"/>
          <w:b/>
          <w:bCs/>
          <w:sz w:val="24"/>
          <w:szCs w:val="24"/>
        </w:rPr>
        <w:t>基金合同于</w:t>
      </w:r>
      <w:r>
        <w:rPr>
          <w:rFonts w:hAnsi="宋体"/>
          <w:b/>
          <w:bCs/>
          <w:sz w:val="24"/>
          <w:szCs w:val="24"/>
        </w:rPr>
        <w:t>2011</w:t>
      </w:r>
      <w:r>
        <w:rPr>
          <w:rFonts w:hAnsi="宋体"/>
          <w:b/>
          <w:bCs/>
          <w:sz w:val="24"/>
          <w:szCs w:val="24"/>
        </w:rPr>
        <w:t>年</w:t>
      </w:r>
      <w:r>
        <w:rPr>
          <w:rFonts w:hAnsi="宋体" w:hint="eastAsia"/>
          <w:b/>
          <w:bCs/>
          <w:sz w:val="24"/>
          <w:szCs w:val="24"/>
        </w:rPr>
        <w:t>8</w:t>
      </w:r>
      <w:r>
        <w:rPr>
          <w:rFonts w:hAnsi="宋体"/>
          <w:b/>
          <w:bCs/>
          <w:sz w:val="24"/>
          <w:szCs w:val="24"/>
        </w:rPr>
        <w:t>月</w:t>
      </w:r>
      <w:r>
        <w:rPr>
          <w:rFonts w:hAnsi="宋体" w:hint="eastAsia"/>
          <w:b/>
          <w:bCs/>
          <w:sz w:val="24"/>
          <w:szCs w:val="24"/>
        </w:rPr>
        <w:t>31</w:t>
      </w:r>
      <w:r>
        <w:rPr>
          <w:rFonts w:hAnsi="宋体"/>
          <w:b/>
          <w:bCs/>
          <w:sz w:val="24"/>
          <w:szCs w:val="24"/>
        </w:rPr>
        <w:t>日正式生效</w:t>
      </w:r>
      <w:r>
        <w:rPr>
          <w:rFonts w:hAnsi="宋体" w:hint="eastAsia"/>
          <w:b/>
          <w:bCs/>
          <w:sz w:val="24"/>
          <w:szCs w:val="24"/>
        </w:rPr>
        <w:t>。</w:t>
      </w:r>
    </w:p>
    <w:p w14:paraId="0D78B06B" w14:textId="77777777" w:rsidR="0037652E" w:rsidRDefault="0037652E">
      <w:pPr>
        <w:tabs>
          <w:tab w:val="left" w:pos="961"/>
        </w:tabs>
        <w:snapToGrid w:val="0"/>
        <w:spacing w:line="360" w:lineRule="auto"/>
        <w:ind w:firstLineChars="200" w:firstLine="420"/>
        <w:rPr>
          <w:rFonts w:hAnsi="宋体"/>
          <w:bCs/>
          <w:szCs w:val="21"/>
        </w:rPr>
      </w:pPr>
    </w:p>
    <w:p w14:paraId="6A14A12E" w14:textId="77777777" w:rsidR="0037652E" w:rsidRDefault="00BF49B0">
      <w:pPr>
        <w:spacing w:line="360" w:lineRule="auto"/>
        <w:ind w:firstLineChars="50" w:firstLine="105"/>
        <w:jc w:val="center"/>
        <w:outlineLvl w:val="0"/>
        <w:rPr>
          <w:rFonts w:ascii="宋体" w:hAnsi="宋体"/>
          <w:b/>
          <w:sz w:val="24"/>
          <w:szCs w:val="24"/>
        </w:rPr>
      </w:pPr>
      <w:r>
        <w:rPr>
          <w:rFonts w:hAnsi="宋体"/>
          <w:bCs/>
          <w:szCs w:val="21"/>
        </w:rPr>
        <w:br w:type="page"/>
      </w:r>
      <w:bookmarkStart w:id="59" w:name="_Toc65325116"/>
      <w:bookmarkStart w:id="60" w:name="_Toc18557"/>
      <w:bookmarkStart w:id="61" w:name="_Toc17569"/>
      <w:bookmarkStart w:id="62" w:name="_Toc110606850"/>
      <w:r>
        <w:rPr>
          <w:rFonts w:ascii="宋体" w:hAnsi="宋体" w:hint="eastAsia"/>
          <w:b/>
          <w:sz w:val="24"/>
          <w:szCs w:val="24"/>
        </w:rPr>
        <w:lastRenderedPageBreak/>
        <w:t>第九部分 基金份额的上市交易</w:t>
      </w:r>
      <w:bookmarkEnd w:id="59"/>
      <w:bookmarkEnd w:id="60"/>
      <w:bookmarkEnd w:id="61"/>
      <w:bookmarkEnd w:id="62"/>
    </w:p>
    <w:p w14:paraId="34785746" w14:textId="77777777" w:rsidR="0037652E" w:rsidRDefault="0037652E">
      <w:pPr>
        <w:tabs>
          <w:tab w:val="left" w:pos="961"/>
        </w:tabs>
        <w:snapToGrid w:val="0"/>
        <w:spacing w:line="340" w:lineRule="exact"/>
        <w:ind w:firstLineChars="200" w:firstLine="420"/>
        <w:rPr>
          <w:rFonts w:hAnsi="宋体"/>
          <w:bCs/>
          <w:szCs w:val="21"/>
        </w:rPr>
      </w:pPr>
    </w:p>
    <w:p w14:paraId="1E7C550A" w14:textId="77777777" w:rsidR="000775EB" w:rsidRPr="006C2832" w:rsidRDefault="000775EB" w:rsidP="000775EB">
      <w:pPr>
        <w:tabs>
          <w:tab w:val="left" w:pos="961"/>
        </w:tabs>
        <w:snapToGrid w:val="0"/>
        <w:spacing w:line="360" w:lineRule="auto"/>
        <w:ind w:firstLineChars="200" w:firstLine="480"/>
        <w:rPr>
          <w:rFonts w:hAnsi="宋体"/>
          <w:bCs/>
          <w:sz w:val="24"/>
          <w:szCs w:val="24"/>
        </w:rPr>
      </w:pPr>
      <w:r w:rsidRPr="006C2832">
        <w:rPr>
          <w:rFonts w:hAnsi="宋体" w:hint="eastAsia"/>
          <w:bCs/>
          <w:sz w:val="24"/>
          <w:szCs w:val="24"/>
        </w:rPr>
        <w:t>本基金</w:t>
      </w:r>
      <w:r w:rsidRPr="006C2832">
        <w:rPr>
          <w:rFonts w:hAnsi="宋体" w:hint="eastAsia"/>
          <w:bCs/>
          <w:sz w:val="24"/>
          <w:szCs w:val="24"/>
        </w:rPr>
        <w:t>A</w:t>
      </w:r>
      <w:r w:rsidRPr="006C2832">
        <w:rPr>
          <w:rFonts w:hAnsi="宋体" w:hint="eastAsia"/>
          <w:bCs/>
          <w:sz w:val="24"/>
          <w:szCs w:val="24"/>
        </w:rPr>
        <w:t>类基金份额已于</w:t>
      </w:r>
      <w:r w:rsidRPr="006C2832">
        <w:rPr>
          <w:rFonts w:hAnsi="宋体" w:hint="eastAsia"/>
          <w:bCs/>
          <w:sz w:val="24"/>
          <w:szCs w:val="24"/>
        </w:rPr>
        <w:t>2</w:t>
      </w:r>
      <w:r w:rsidRPr="006C2832">
        <w:rPr>
          <w:rFonts w:hAnsi="宋体"/>
          <w:bCs/>
          <w:sz w:val="24"/>
          <w:szCs w:val="24"/>
        </w:rPr>
        <w:t>012</w:t>
      </w:r>
      <w:r w:rsidRPr="006C2832">
        <w:rPr>
          <w:rFonts w:hAnsi="宋体" w:hint="eastAsia"/>
          <w:bCs/>
          <w:sz w:val="24"/>
          <w:szCs w:val="24"/>
        </w:rPr>
        <w:t>年</w:t>
      </w:r>
      <w:r w:rsidRPr="006C2832">
        <w:rPr>
          <w:rFonts w:hAnsi="宋体" w:hint="eastAsia"/>
          <w:bCs/>
          <w:sz w:val="24"/>
          <w:szCs w:val="24"/>
        </w:rPr>
        <w:t>3</w:t>
      </w:r>
      <w:r w:rsidRPr="006C2832">
        <w:rPr>
          <w:rFonts w:hAnsi="宋体" w:hint="eastAsia"/>
          <w:bCs/>
          <w:sz w:val="24"/>
          <w:szCs w:val="24"/>
        </w:rPr>
        <w:t>月</w:t>
      </w:r>
      <w:r w:rsidRPr="006C2832">
        <w:rPr>
          <w:rFonts w:hAnsi="宋体" w:hint="eastAsia"/>
          <w:bCs/>
          <w:sz w:val="24"/>
          <w:szCs w:val="24"/>
        </w:rPr>
        <w:t>1</w:t>
      </w:r>
      <w:r w:rsidRPr="006C2832">
        <w:rPr>
          <w:rFonts w:hAnsi="宋体" w:hint="eastAsia"/>
          <w:bCs/>
          <w:sz w:val="24"/>
          <w:szCs w:val="24"/>
        </w:rPr>
        <w:t>日起在深圳证券交易所上市，</w:t>
      </w:r>
      <w:r w:rsidRPr="006C2832">
        <w:rPr>
          <w:rFonts w:hAnsi="宋体" w:hint="eastAsia"/>
          <w:bCs/>
          <w:sz w:val="24"/>
          <w:szCs w:val="24"/>
        </w:rPr>
        <w:t>C</w:t>
      </w:r>
      <w:r w:rsidRPr="006C2832">
        <w:rPr>
          <w:rFonts w:hAnsi="宋体" w:hint="eastAsia"/>
          <w:bCs/>
          <w:sz w:val="24"/>
          <w:szCs w:val="24"/>
        </w:rPr>
        <w:t>类基金份额不上市交易。如无特指，本章节涉及的上市份额仅指本基金</w:t>
      </w:r>
      <w:r w:rsidRPr="006C2832">
        <w:rPr>
          <w:rFonts w:hAnsi="宋体" w:hint="eastAsia"/>
          <w:bCs/>
          <w:sz w:val="24"/>
          <w:szCs w:val="24"/>
        </w:rPr>
        <w:t>A</w:t>
      </w:r>
      <w:r w:rsidRPr="006C2832">
        <w:rPr>
          <w:rFonts w:hAnsi="宋体" w:hint="eastAsia"/>
          <w:bCs/>
          <w:sz w:val="24"/>
          <w:szCs w:val="24"/>
        </w:rPr>
        <w:t>类基金份额。</w:t>
      </w:r>
    </w:p>
    <w:p w14:paraId="07B8F20C" w14:textId="2D3315BD"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一、基金的上市</w:t>
      </w:r>
    </w:p>
    <w:p w14:paraId="5D2A732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如基金具备下列条件，基金管理人可依据《深圳证券交易所证券投资基金上市规则》，向深圳证券交易所申请上市交易。</w:t>
      </w:r>
    </w:p>
    <w:p w14:paraId="408F786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、经中国证监会核准发售且基金合同生效；</w:t>
      </w:r>
    </w:p>
    <w:p w14:paraId="5B09EE5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、基金合同期限五年以上；</w:t>
      </w:r>
    </w:p>
    <w:p w14:paraId="270955E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、基金份额持有人不少于</w:t>
      </w:r>
      <w:r>
        <w:rPr>
          <w:rFonts w:hAnsi="宋体" w:hint="eastAsia"/>
          <w:bCs/>
          <w:sz w:val="24"/>
          <w:szCs w:val="24"/>
        </w:rPr>
        <w:t xml:space="preserve">1000 </w:t>
      </w:r>
      <w:r>
        <w:rPr>
          <w:rFonts w:hAnsi="宋体" w:hint="eastAsia"/>
          <w:bCs/>
          <w:sz w:val="24"/>
          <w:szCs w:val="24"/>
        </w:rPr>
        <w:t>人；</w:t>
      </w:r>
    </w:p>
    <w:p w14:paraId="2C32222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、基金管理人和基金托管人的资格经中国证监会核准；</w:t>
      </w:r>
    </w:p>
    <w:p w14:paraId="1A55808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、深圳证券交易所要求的其他条件。</w:t>
      </w:r>
    </w:p>
    <w:p w14:paraId="5D30514C"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二、上市交易的时间和地点</w:t>
      </w:r>
    </w:p>
    <w:p w14:paraId="21ABA86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基金合同生效六个月后，在相关条件成熟的情况下，基金管理人将向深圳证券交易所申请本基金上市交易。基金获准在深圳证券交易所上市交易的，基金管理人应在基金上市日前至少</w:t>
      </w:r>
      <w:r>
        <w:rPr>
          <w:rFonts w:hAnsi="宋体" w:hint="eastAsia"/>
          <w:bCs/>
          <w:sz w:val="24"/>
          <w:szCs w:val="24"/>
        </w:rPr>
        <w:t>3</w:t>
      </w:r>
      <w:r>
        <w:rPr>
          <w:rFonts w:hAnsi="宋体" w:hint="eastAsia"/>
          <w:bCs/>
          <w:sz w:val="24"/>
          <w:szCs w:val="24"/>
        </w:rPr>
        <w:t>个工作日发布基金上市交易公告书。</w:t>
      </w:r>
    </w:p>
    <w:p w14:paraId="516932F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本基金已于</w:t>
      </w:r>
      <w:r>
        <w:rPr>
          <w:rFonts w:hAnsi="宋体" w:hint="eastAsia"/>
          <w:bCs/>
          <w:sz w:val="24"/>
          <w:szCs w:val="24"/>
        </w:rPr>
        <w:t>2012</w:t>
      </w:r>
      <w:r>
        <w:rPr>
          <w:rFonts w:hAnsi="宋体" w:hint="eastAsia"/>
          <w:bCs/>
          <w:sz w:val="24"/>
          <w:szCs w:val="24"/>
        </w:rPr>
        <w:t>年</w:t>
      </w:r>
      <w:r>
        <w:rPr>
          <w:rFonts w:hAnsi="宋体" w:hint="eastAsia"/>
          <w:bCs/>
          <w:sz w:val="24"/>
          <w:szCs w:val="24"/>
        </w:rPr>
        <w:t>3</w:t>
      </w:r>
      <w:r>
        <w:rPr>
          <w:rFonts w:hAnsi="宋体" w:hint="eastAsia"/>
          <w:bCs/>
          <w:sz w:val="24"/>
          <w:szCs w:val="24"/>
        </w:rPr>
        <w:t>月</w:t>
      </w:r>
      <w:r>
        <w:rPr>
          <w:rFonts w:hAnsi="宋体" w:hint="eastAsia"/>
          <w:bCs/>
          <w:sz w:val="24"/>
          <w:szCs w:val="24"/>
        </w:rPr>
        <w:t>1</w:t>
      </w:r>
      <w:r>
        <w:rPr>
          <w:rFonts w:hAnsi="宋体" w:hint="eastAsia"/>
          <w:bCs/>
          <w:sz w:val="24"/>
          <w:szCs w:val="24"/>
        </w:rPr>
        <w:t>日在深圳证券交易所上市交易。</w:t>
      </w:r>
    </w:p>
    <w:p w14:paraId="4BD41D1E"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基金上市后，登记在证券登记结算系统中的基金份额可直接在深圳证券交易所上市交易；登记在注册登记系统中的基金份额通过办理跨系统转托管业务将基金份额转至证券登记结算系统后，方可上市交易。</w:t>
      </w:r>
    </w:p>
    <w:p w14:paraId="236DF260"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三、上市交易的规则</w:t>
      </w:r>
    </w:p>
    <w:p w14:paraId="4BF8049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本基金在深圳证券交易所的上市交易需遵照《深圳证券交易所交易规则》、《深圳证券交易所证券投资基金上市规则》等有关规定，包括但不限于：</w:t>
      </w:r>
    </w:p>
    <w:p w14:paraId="04D6270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、本基金上市首日的开盘参考价为上市前最新公布的基金份额净值；</w:t>
      </w:r>
    </w:p>
    <w:p w14:paraId="26A2D94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、本基金实行价格涨跌幅限制，涨跌幅比例限制为</w:t>
      </w:r>
      <w:r>
        <w:rPr>
          <w:rFonts w:hAnsi="宋体" w:hint="eastAsia"/>
          <w:bCs/>
          <w:sz w:val="24"/>
          <w:szCs w:val="24"/>
        </w:rPr>
        <w:t>10%</w:t>
      </w:r>
      <w:r>
        <w:rPr>
          <w:rFonts w:hAnsi="宋体" w:hint="eastAsia"/>
          <w:bCs/>
          <w:sz w:val="24"/>
          <w:szCs w:val="24"/>
        </w:rPr>
        <w:t>，自上市首日起实行；</w:t>
      </w:r>
    </w:p>
    <w:p w14:paraId="507768E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、本基金买入申报数量为</w:t>
      </w:r>
      <w:r>
        <w:rPr>
          <w:rFonts w:hAnsi="宋体" w:hint="eastAsia"/>
          <w:bCs/>
          <w:sz w:val="24"/>
          <w:szCs w:val="24"/>
        </w:rPr>
        <w:t xml:space="preserve">100 </w:t>
      </w:r>
      <w:r>
        <w:rPr>
          <w:rFonts w:hAnsi="宋体" w:hint="eastAsia"/>
          <w:bCs/>
          <w:sz w:val="24"/>
          <w:szCs w:val="24"/>
        </w:rPr>
        <w:t>份或其整数倍；</w:t>
      </w:r>
    </w:p>
    <w:p w14:paraId="1000C23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、本基金申报价格最小变动单位为</w:t>
      </w:r>
      <w:r>
        <w:rPr>
          <w:rFonts w:hAnsi="宋体" w:hint="eastAsia"/>
          <w:bCs/>
          <w:sz w:val="24"/>
          <w:szCs w:val="24"/>
        </w:rPr>
        <w:t xml:space="preserve">0.001 </w:t>
      </w:r>
      <w:r>
        <w:rPr>
          <w:rFonts w:hAnsi="宋体" w:hint="eastAsia"/>
          <w:bCs/>
          <w:sz w:val="24"/>
          <w:szCs w:val="24"/>
        </w:rPr>
        <w:t>元人民币；</w:t>
      </w:r>
    </w:p>
    <w:p w14:paraId="082745F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、本基金适用大宗交易的有关规则。</w:t>
      </w:r>
    </w:p>
    <w:p w14:paraId="65B4F9D6"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lastRenderedPageBreak/>
        <w:t>四、上市交易的费用</w:t>
      </w:r>
    </w:p>
    <w:p w14:paraId="6AE17B6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本基金上市交易的费用按照深圳证券交易所有关规定办理。</w:t>
      </w:r>
    </w:p>
    <w:p w14:paraId="53BA77B8"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五、上市交易的行情揭示</w:t>
      </w:r>
    </w:p>
    <w:p w14:paraId="338FAF1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本基金在深圳证券交易所挂牌交易，交易行情通过行情发布系统揭示。行情发布系统同时揭示基金最新公布的基金份额净值。</w:t>
      </w:r>
    </w:p>
    <w:p w14:paraId="2A3D4972"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六、上市交易的停复牌</w:t>
      </w:r>
    </w:p>
    <w:p w14:paraId="0C375B7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本基金的停复牌按照相关法律法规、中国证监会及深圳证券交易所的有关规定执行。</w:t>
      </w:r>
    </w:p>
    <w:p w14:paraId="42BC3E1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本基金上市后，若出现以下情形，基金管理人向深圳证券交易所申请本基金停牌，并由深圳证券交易所决定是否停牌及停、复牌时间。</w:t>
      </w:r>
    </w:p>
    <w:p w14:paraId="4AA6E71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当基金管理人预计已使用外汇额度接近国家外汇局批准的境外证券投资额度上限时，基金管理人可发布交易风险提示公告，向基金投资者提示风险，并向深圳证券交易所申请本基金于公告日上午开市起停牌一小时；</w:t>
      </w:r>
    </w:p>
    <w:p w14:paraId="7FFC95C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、当本基金因外汇额度原因暂停申购时，本基金管理人应向深圳证券交易所申请在刊登暂停申购公告当日对本基金停牌，并于下一交易日复牌；</w:t>
      </w:r>
    </w:p>
    <w:p w14:paraId="1809E7A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、本基金因外汇额度原因暂停申购期间，基金管理人向国家外汇局申请增加外汇额度并获得批准时，应及时发布公告，披露恢复申购的时间，并向深圳证券交易所申请于公告当日停牌、于下一交易日复牌；</w:t>
      </w:r>
    </w:p>
    <w:p w14:paraId="4F07CF2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、若因暂停申购导致本基金折溢价率出现异常，本基金管理人将根据深圳证券交易所的要求进行风险提示，并向深圳证券交易所申请本基金于提示公告日上午开市起停牌一小时。</w:t>
      </w:r>
    </w:p>
    <w:p w14:paraId="79A2BF7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若未来对上述情形有更合适的处理措施，本基金管理人可根据法律法规、深圳证券交易所相关规定对上述措施进行调整及修改。</w:t>
      </w:r>
    </w:p>
    <w:p w14:paraId="73983030"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七、暂停上市的情形和处理方式</w:t>
      </w:r>
    </w:p>
    <w:p w14:paraId="307D9A4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本基金上市后，发生下列情况之一时，应暂停上市交易：</w:t>
      </w:r>
    </w:p>
    <w:p w14:paraId="5D952EF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、不再具备本条“一、基金的上市”中规定的上市条件；</w:t>
      </w:r>
    </w:p>
    <w:p w14:paraId="3F38E13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、违反国家有关法律、法规，中国证监会决定暂停其上市；</w:t>
      </w:r>
    </w:p>
    <w:p w14:paraId="042539D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、严重违反《深圳证券交易所证券投资基金上市规则》；</w:t>
      </w:r>
    </w:p>
    <w:p w14:paraId="23281FA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、深圳证券交易所认为应当暂停上市的其他情形。</w:t>
      </w:r>
    </w:p>
    <w:p w14:paraId="5552445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发生上述暂停上市情形时，基金管理人在接到深圳证券交易所通知后，应立</w:t>
      </w:r>
      <w:r>
        <w:rPr>
          <w:rFonts w:hAnsi="宋体" w:hint="eastAsia"/>
          <w:bCs/>
          <w:sz w:val="24"/>
          <w:szCs w:val="24"/>
        </w:rPr>
        <w:lastRenderedPageBreak/>
        <w:t>即在指定媒介上刊登暂停上市公告。</w:t>
      </w:r>
    </w:p>
    <w:p w14:paraId="6E34998C"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八、恢复上市的公告</w:t>
      </w:r>
    </w:p>
    <w:p w14:paraId="72F3814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暂停上市情形消除后，基金管理人可向深圳证券交易所提出恢复上市申请，经深圳证券交易所核准后，可恢复本基金上市，并在中国证监会指定媒介上刊登恢复上市公告。</w:t>
      </w:r>
    </w:p>
    <w:p w14:paraId="02B4411E"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九、终止上市的情形和处理方式</w:t>
      </w:r>
    </w:p>
    <w:p w14:paraId="5832BCC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发生下列情况之一时，本基金应终止上市交易：</w:t>
      </w:r>
    </w:p>
    <w:p w14:paraId="2D8187A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、自暂停上市之日起半年内未能消除暂停上市原因的；</w:t>
      </w:r>
    </w:p>
    <w:p w14:paraId="5D3CC15E"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、基金份额持有人大会决定提前终止上市；</w:t>
      </w:r>
    </w:p>
    <w:p w14:paraId="7ED30E7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、基金合同约定的终止上市的其他情形；</w:t>
      </w:r>
    </w:p>
    <w:p w14:paraId="01DF950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、深圳证券交易所认为应当终止上市的其他情形。</w:t>
      </w:r>
    </w:p>
    <w:p w14:paraId="7963CE7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发生上述终止上市情形时，由证券交易所终止其上市交易，基金管理人报经中国证监会备案后终止本基金的上市，并在指定媒介上刊登终止上市公告。</w:t>
      </w:r>
    </w:p>
    <w:p w14:paraId="04F52858"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十、相关法律法规、中国证监会及深圳证券交易所对基金上市交易的规则等规定内容进行调整的，本基金的基金合同相应予以修改，且此修改无须召开基金份额持有人大会。</w:t>
      </w:r>
    </w:p>
    <w:p w14:paraId="4C19727D" w14:textId="77777777" w:rsidR="0037652E" w:rsidRDefault="0037652E">
      <w:pPr>
        <w:tabs>
          <w:tab w:val="left" w:pos="961"/>
        </w:tabs>
        <w:snapToGrid w:val="0"/>
        <w:spacing w:line="340" w:lineRule="exact"/>
        <w:ind w:firstLineChars="200" w:firstLine="420"/>
        <w:rPr>
          <w:rFonts w:hAnsi="宋体"/>
          <w:bCs/>
          <w:szCs w:val="21"/>
        </w:rPr>
      </w:pPr>
    </w:p>
    <w:p w14:paraId="0749F9EF" w14:textId="77777777" w:rsidR="0037652E" w:rsidRDefault="0037652E">
      <w:pPr>
        <w:tabs>
          <w:tab w:val="left" w:pos="961"/>
        </w:tabs>
        <w:snapToGrid w:val="0"/>
        <w:spacing w:line="360" w:lineRule="auto"/>
        <w:ind w:firstLineChars="200" w:firstLine="420"/>
        <w:rPr>
          <w:rFonts w:hAnsi="宋体"/>
          <w:bCs/>
          <w:szCs w:val="21"/>
        </w:rPr>
      </w:pPr>
    </w:p>
    <w:p w14:paraId="3C05F51B" w14:textId="77777777" w:rsidR="0037652E" w:rsidRDefault="00BF49B0">
      <w:pPr>
        <w:spacing w:line="360" w:lineRule="auto"/>
        <w:ind w:firstLineChars="50" w:firstLine="105"/>
        <w:jc w:val="center"/>
        <w:outlineLvl w:val="0"/>
        <w:rPr>
          <w:rFonts w:ascii="宋体" w:hAnsi="宋体"/>
          <w:b/>
          <w:sz w:val="24"/>
          <w:szCs w:val="24"/>
        </w:rPr>
      </w:pPr>
      <w:r>
        <w:rPr>
          <w:rFonts w:hAnsi="宋体"/>
          <w:bCs/>
          <w:szCs w:val="21"/>
        </w:rPr>
        <w:br w:type="page"/>
      </w:r>
      <w:bookmarkStart w:id="63" w:name="_Toc10961"/>
      <w:bookmarkStart w:id="64" w:name="_Toc65325117"/>
      <w:bookmarkStart w:id="65" w:name="_Toc1187"/>
      <w:bookmarkStart w:id="66" w:name="_Toc110606851"/>
      <w:r>
        <w:rPr>
          <w:rFonts w:ascii="宋体" w:hAnsi="宋体" w:hint="eastAsia"/>
          <w:b/>
          <w:sz w:val="24"/>
          <w:szCs w:val="24"/>
        </w:rPr>
        <w:lastRenderedPageBreak/>
        <w:t>第十部分 基金份额的申购和赎回</w:t>
      </w:r>
      <w:bookmarkEnd w:id="63"/>
      <w:bookmarkEnd w:id="64"/>
      <w:bookmarkEnd w:id="65"/>
      <w:bookmarkEnd w:id="66"/>
    </w:p>
    <w:p w14:paraId="4B98D7E3" w14:textId="77777777" w:rsidR="0037652E" w:rsidRDefault="0037652E">
      <w:pPr>
        <w:tabs>
          <w:tab w:val="left" w:pos="961"/>
        </w:tabs>
        <w:snapToGrid w:val="0"/>
        <w:spacing w:line="360" w:lineRule="auto"/>
        <w:ind w:firstLineChars="200" w:firstLine="420"/>
        <w:rPr>
          <w:rFonts w:hAnsi="宋体"/>
          <w:bCs/>
          <w:szCs w:val="21"/>
        </w:rPr>
      </w:pPr>
    </w:p>
    <w:p w14:paraId="63DEABDA" w14:textId="0C131387" w:rsidR="006F3D61" w:rsidRDefault="006F3D61">
      <w:pPr>
        <w:tabs>
          <w:tab w:val="left" w:pos="961"/>
        </w:tabs>
        <w:snapToGrid w:val="0"/>
        <w:spacing w:line="360" w:lineRule="auto"/>
        <w:ind w:firstLineChars="200" w:firstLine="480"/>
        <w:rPr>
          <w:rFonts w:hAnsi="宋体"/>
          <w:b/>
          <w:bCs/>
          <w:sz w:val="24"/>
          <w:szCs w:val="24"/>
        </w:rPr>
      </w:pPr>
      <w:r w:rsidRPr="006F3D61">
        <w:rPr>
          <w:rFonts w:hAnsi="宋体" w:hint="eastAsia"/>
          <w:bCs/>
          <w:sz w:val="24"/>
          <w:szCs w:val="24"/>
        </w:rPr>
        <w:t>投资者可通过场外或场内两种方式对本基金</w:t>
      </w:r>
      <w:r w:rsidRPr="006F3D61">
        <w:rPr>
          <w:rFonts w:hAnsi="宋体" w:hint="eastAsia"/>
          <w:bCs/>
          <w:sz w:val="24"/>
          <w:szCs w:val="24"/>
        </w:rPr>
        <w:t>A</w:t>
      </w:r>
      <w:r w:rsidRPr="006F3D61">
        <w:rPr>
          <w:rFonts w:hAnsi="宋体" w:hint="eastAsia"/>
          <w:bCs/>
          <w:sz w:val="24"/>
          <w:szCs w:val="24"/>
        </w:rPr>
        <w:t>类基金份额进行申购、赎回；投资者仅可通过场外方式对本基金</w:t>
      </w:r>
      <w:r w:rsidRPr="006F3D61">
        <w:rPr>
          <w:rFonts w:hAnsi="宋体" w:hint="eastAsia"/>
          <w:bCs/>
          <w:sz w:val="24"/>
          <w:szCs w:val="24"/>
        </w:rPr>
        <w:t>C</w:t>
      </w:r>
      <w:r w:rsidRPr="006F3D61">
        <w:rPr>
          <w:rFonts w:hAnsi="宋体" w:hint="eastAsia"/>
          <w:bCs/>
          <w:sz w:val="24"/>
          <w:szCs w:val="24"/>
        </w:rPr>
        <w:t>类基金份额进行申购、赎回。</w:t>
      </w:r>
    </w:p>
    <w:p w14:paraId="419EF974" w14:textId="0A7FCCC1"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一、申购与赎回场所</w:t>
      </w:r>
    </w:p>
    <w:p w14:paraId="0AD4B6C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本基金场外申购和赎回场所为基金管理人的直销网点及基金场外代销机构的代销网点，场内申购和赎回场所为深圳证券交易所内具有</w:t>
      </w:r>
      <w:r>
        <w:rPr>
          <w:rFonts w:hAnsi="宋体" w:hint="eastAsia"/>
          <w:sz w:val="24"/>
          <w:szCs w:val="24"/>
        </w:rPr>
        <w:t>基金代销资格</w:t>
      </w:r>
      <w:r>
        <w:rPr>
          <w:rFonts w:hAnsi="宋体" w:hint="eastAsia"/>
          <w:bCs/>
          <w:sz w:val="24"/>
          <w:szCs w:val="24"/>
        </w:rPr>
        <w:t>的会员单位。基金投资者应当在销售机构办理基金销售业务的营业场所或按销售机构提供的其他方式办理基金份额的申购与赎回。基金管理人可根据情况变更或增减基金代销机构，并在基金管理人网站公示。</w:t>
      </w:r>
    </w:p>
    <w:p w14:paraId="1D73B4E6"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二、申购与赎回的开放日及时间</w:t>
      </w:r>
    </w:p>
    <w:p w14:paraId="7AEFAA8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本基金的申购、赎回自《基金合同》生效后不超过</w:t>
      </w:r>
      <w:r>
        <w:rPr>
          <w:rFonts w:hAnsi="宋体" w:hint="eastAsia"/>
          <w:bCs/>
          <w:sz w:val="24"/>
          <w:szCs w:val="24"/>
        </w:rPr>
        <w:t xml:space="preserve">3 </w:t>
      </w:r>
      <w:r>
        <w:rPr>
          <w:rFonts w:hAnsi="宋体" w:hint="eastAsia"/>
          <w:bCs/>
          <w:sz w:val="24"/>
          <w:szCs w:val="24"/>
        </w:rPr>
        <w:t>个月的时间内开始办理，基金管理人应在开始办理申购赎回的具体日期前</w:t>
      </w:r>
      <w:r>
        <w:rPr>
          <w:rFonts w:hAnsi="宋体" w:hint="eastAsia"/>
          <w:bCs/>
          <w:sz w:val="24"/>
          <w:szCs w:val="24"/>
        </w:rPr>
        <w:t xml:space="preserve">2 </w:t>
      </w:r>
      <w:r>
        <w:rPr>
          <w:rFonts w:hAnsi="宋体" w:hint="eastAsia"/>
          <w:bCs/>
          <w:sz w:val="24"/>
          <w:szCs w:val="24"/>
        </w:rPr>
        <w:t>日在指定媒介公告。</w:t>
      </w:r>
    </w:p>
    <w:p w14:paraId="576DE81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申购和赎回的开放日为上海证券交易所、深圳证券交易所、纽约证券交易所、伦敦证券交易所、苏黎世证券交易所同时开放交易的每个工作日（基金管理人公告暂停申购或赎回时除外）。投资者应当在开放日的开放时间办理申购和赎回申请。具体业务办理时间为上海证券交易所、深圳证券交易所正常交易日的交易时间。</w:t>
      </w:r>
    </w:p>
    <w:p w14:paraId="2E6E901B" w14:textId="49899DCB"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对于投资者在非开放时间提出的申购、赎回申请，其基金份额申购、赎回价格为下次办理</w:t>
      </w:r>
      <w:r w:rsidR="004C2224" w:rsidRPr="004C2224">
        <w:rPr>
          <w:rFonts w:hAnsi="宋体" w:hint="eastAsia"/>
          <w:bCs/>
          <w:sz w:val="24"/>
          <w:szCs w:val="24"/>
        </w:rPr>
        <w:t>相应类别的</w:t>
      </w:r>
      <w:r>
        <w:rPr>
          <w:rFonts w:hAnsi="宋体" w:hint="eastAsia"/>
          <w:bCs/>
          <w:sz w:val="24"/>
          <w:szCs w:val="24"/>
        </w:rPr>
        <w:t>基金份额申购、赎回时间所在开放日的价格。</w:t>
      </w:r>
    </w:p>
    <w:p w14:paraId="629B210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基金合同生效后，若本基金的主要交易市场发生变化、出现新的证券交易市场或交易所交易时间更改或实际情况需要，基金管理人可对申购、赎回的开放日及时间进行调整，但此项调整应在实施前</w:t>
      </w:r>
      <w:r>
        <w:rPr>
          <w:rFonts w:hAnsi="宋体" w:hint="eastAsia"/>
          <w:bCs/>
          <w:sz w:val="24"/>
          <w:szCs w:val="24"/>
        </w:rPr>
        <w:t xml:space="preserve">2 </w:t>
      </w:r>
      <w:r>
        <w:rPr>
          <w:rFonts w:hAnsi="宋体" w:hint="eastAsia"/>
          <w:bCs/>
          <w:sz w:val="24"/>
          <w:szCs w:val="24"/>
        </w:rPr>
        <w:t>日在指定媒介公告。</w:t>
      </w:r>
    </w:p>
    <w:p w14:paraId="744F768A" w14:textId="2E85E0A0"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w:t>
      </w:r>
      <w:r w:rsidR="00586DBC" w:rsidRPr="00586DBC">
        <w:rPr>
          <w:rFonts w:hAnsi="宋体" w:hint="eastAsia"/>
          <w:bCs/>
          <w:sz w:val="24"/>
          <w:szCs w:val="24"/>
        </w:rPr>
        <w:t>A</w:t>
      </w:r>
      <w:r w:rsidR="00586DBC" w:rsidRPr="00586DBC">
        <w:rPr>
          <w:rFonts w:hAnsi="宋体" w:hint="eastAsia"/>
          <w:bCs/>
          <w:sz w:val="24"/>
          <w:szCs w:val="24"/>
        </w:rPr>
        <w:t>类基金份额</w:t>
      </w:r>
      <w:r>
        <w:rPr>
          <w:rFonts w:hAnsi="宋体" w:hint="eastAsia"/>
          <w:bCs/>
          <w:sz w:val="24"/>
          <w:szCs w:val="24"/>
        </w:rPr>
        <w:t>已于</w:t>
      </w:r>
      <w:r>
        <w:rPr>
          <w:rFonts w:hAnsi="宋体"/>
          <w:bCs/>
          <w:sz w:val="24"/>
          <w:szCs w:val="24"/>
        </w:rPr>
        <w:t>2011</w:t>
      </w:r>
      <w:r>
        <w:rPr>
          <w:rFonts w:hAnsi="宋体" w:hint="eastAsia"/>
          <w:bCs/>
          <w:sz w:val="24"/>
          <w:szCs w:val="24"/>
        </w:rPr>
        <w:t>年</w:t>
      </w:r>
      <w:r>
        <w:rPr>
          <w:rFonts w:hAnsi="宋体" w:hint="eastAsia"/>
          <w:bCs/>
          <w:sz w:val="24"/>
          <w:szCs w:val="24"/>
        </w:rPr>
        <w:t>9</w:t>
      </w:r>
      <w:r>
        <w:rPr>
          <w:rFonts w:hAnsi="宋体" w:hint="eastAsia"/>
          <w:bCs/>
          <w:sz w:val="24"/>
          <w:szCs w:val="24"/>
        </w:rPr>
        <w:t>月</w:t>
      </w:r>
      <w:r>
        <w:rPr>
          <w:rFonts w:hAnsi="宋体" w:hint="eastAsia"/>
          <w:bCs/>
          <w:sz w:val="24"/>
          <w:szCs w:val="24"/>
        </w:rPr>
        <w:t>22</w:t>
      </w:r>
      <w:r>
        <w:rPr>
          <w:rFonts w:hAnsi="宋体" w:hint="eastAsia"/>
          <w:bCs/>
          <w:sz w:val="24"/>
          <w:szCs w:val="24"/>
        </w:rPr>
        <w:t>日开始办理日常申购、赎回业务</w:t>
      </w:r>
      <w:r w:rsidR="00586DBC" w:rsidRPr="00586DBC">
        <w:rPr>
          <w:rFonts w:hAnsi="宋体" w:hint="eastAsia"/>
          <w:bCs/>
          <w:sz w:val="24"/>
          <w:szCs w:val="24"/>
        </w:rPr>
        <w:t>；本基金</w:t>
      </w:r>
      <w:r w:rsidR="00586DBC" w:rsidRPr="00586DBC">
        <w:rPr>
          <w:rFonts w:hAnsi="宋体" w:hint="eastAsia"/>
          <w:bCs/>
          <w:sz w:val="24"/>
          <w:szCs w:val="24"/>
        </w:rPr>
        <w:t>C</w:t>
      </w:r>
      <w:r w:rsidR="00586DBC" w:rsidRPr="00586DBC">
        <w:rPr>
          <w:rFonts w:hAnsi="宋体" w:hint="eastAsia"/>
          <w:bCs/>
          <w:sz w:val="24"/>
          <w:szCs w:val="24"/>
        </w:rPr>
        <w:t>类基金份额于</w:t>
      </w:r>
      <w:r w:rsidR="009A4AD5" w:rsidRPr="00586DBC">
        <w:rPr>
          <w:rFonts w:hAnsi="宋体" w:hint="eastAsia"/>
          <w:bCs/>
          <w:sz w:val="24"/>
          <w:szCs w:val="24"/>
        </w:rPr>
        <w:t>2023</w:t>
      </w:r>
      <w:r w:rsidR="009A4AD5" w:rsidRPr="00586DBC">
        <w:rPr>
          <w:rFonts w:hAnsi="宋体" w:hint="eastAsia"/>
          <w:bCs/>
          <w:sz w:val="24"/>
          <w:szCs w:val="24"/>
        </w:rPr>
        <w:t>年</w:t>
      </w:r>
      <w:r w:rsidR="009A4AD5">
        <w:rPr>
          <w:rFonts w:hAnsi="宋体"/>
          <w:bCs/>
          <w:sz w:val="24"/>
          <w:szCs w:val="24"/>
        </w:rPr>
        <w:t>5</w:t>
      </w:r>
      <w:r w:rsidR="009A4AD5" w:rsidRPr="00586DBC">
        <w:rPr>
          <w:rFonts w:hAnsi="宋体" w:hint="eastAsia"/>
          <w:bCs/>
          <w:sz w:val="24"/>
          <w:szCs w:val="24"/>
        </w:rPr>
        <w:t>月</w:t>
      </w:r>
      <w:r w:rsidR="009A4AD5">
        <w:rPr>
          <w:rFonts w:hAnsi="宋体"/>
          <w:bCs/>
          <w:sz w:val="24"/>
          <w:szCs w:val="24"/>
        </w:rPr>
        <w:t>19</w:t>
      </w:r>
      <w:r w:rsidR="00586DBC" w:rsidRPr="00586DBC">
        <w:rPr>
          <w:rFonts w:hAnsi="宋体" w:hint="eastAsia"/>
          <w:bCs/>
          <w:sz w:val="24"/>
          <w:szCs w:val="24"/>
        </w:rPr>
        <w:t>日开始办理日常申购、赎回业务</w:t>
      </w:r>
      <w:r>
        <w:rPr>
          <w:rFonts w:hAnsi="宋体" w:hint="eastAsia"/>
          <w:bCs/>
          <w:sz w:val="24"/>
          <w:szCs w:val="24"/>
        </w:rPr>
        <w:t>。</w:t>
      </w:r>
      <w:r>
        <w:rPr>
          <w:rFonts w:hAnsi="宋体" w:hint="eastAsia"/>
          <w:bCs/>
          <w:sz w:val="24"/>
          <w:szCs w:val="24"/>
        </w:rPr>
        <w:t xml:space="preserve"> </w:t>
      </w:r>
    </w:p>
    <w:p w14:paraId="27837A47"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三、申购与赎回的原则</w:t>
      </w:r>
    </w:p>
    <w:p w14:paraId="79F6D03A" w14:textId="0BBC25E9"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、“未知价”原则，即申购、赎回价格以申请当日收市后计算</w:t>
      </w:r>
      <w:r w:rsidR="005D7D3C">
        <w:rPr>
          <w:rFonts w:hAnsi="宋体" w:hint="eastAsia"/>
          <w:bCs/>
          <w:sz w:val="24"/>
          <w:szCs w:val="24"/>
        </w:rPr>
        <w:t>相应类别</w:t>
      </w:r>
      <w:r>
        <w:rPr>
          <w:rFonts w:hAnsi="宋体" w:hint="eastAsia"/>
          <w:bCs/>
          <w:sz w:val="24"/>
          <w:szCs w:val="24"/>
        </w:rPr>
        <w:t>的基金份额净值为基准进行计算；</w:t>
      </w:r>
    </w:p>
    <w:p w14:paraId="0C9F4A7E"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、“金额申购、份额赎回”原则，即申购以金额申请，赎回以份额申请；</w:t>
      </w:r>
    </w:p>
    <w:p w14:paraId="55F97C5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、当日的申购与赎回申请可以在基金管理人规定的时间以内撤销；</w:t>
      </w:r>
    </w:p>
    <w:p w14:paraId="5F241B2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lastRenderedPageBreak/>
        <w:t>4</w:t>
      </w:r>
      <w:r>
        <w:rPr>
          <w:rFonts w:hAnsi="宋体" w:hint="eastAsia"/>
          <w:bCs/>
          <w:sz w:val="24"/>
          <w:szCs w:val="24"/>
        </w:rPr>
        <w:t>、场外赎回遵循“先进先出”原则，即基金份额持有人在场外赎回基金份额，基金管理人对该基金份额持有人的基金份额进行赎回处理时，认购、申购确认日期在先的基金份额先赎回，认购、申购确认日期在后的基金份额后赎回，以确定所适用的赎回费率；</w:t>
      </w:r>
    </w:p>
    <w:p w14:paraId="07318EB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、基金管理人可根据基金运作的实际情况并在不影响基金份额持有人实质利益的前提下调整上述原则。基金管理人必须在新规则开始实施前按照《信息披露办法》的有关规定在指定媒介上公告；</w:t>
      </w:r>
    </w:p>
    <w:p w14:paraId="133BDDA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6</w:t>
      </w:r>
      <w:r>
        <w:rPr>
          <w:rFonts w:hAnsi="宋体" w:hint="eastAsia"/>
          <w:bCs/>
          <w:sz w:val="24"/>
          <w:szCs w:val="24"/>
        </w:rPr>
        <w:t>、投资人通过深圳证券交易所交易系统办理本基金的场内申购、赎回业务时，需遵守深圳证券交易所的相关业务规则。</w:t>
      </w:r>
    </w:p>
    <w:p w14:paraId="7AB29F09"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四、申购与赎回的程序</w:t>
      </w:r>
    </w:p>
    <w:p w14:paraId="318C20E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、申购和赎回的申请方式</w:t>
      </w:r>
    </w:p>
    <w:p w14:paraId="67D6B82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基金投资者必须根据销售机构及深圳证券交易所规定的程序，在开放日的业务办理时间向销售机构提出申购或赎回的申请。</w:t>
      </w:r>
    </w:p>
    <w:p w14:paraId="3363642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投资者在申购本基金时须按销售机构规定的方式备足申购资金，投资者在提交赎回申请时，必须有足够的基金份额余额，否则所提交的申购、赎回的申请无效而不予成交。</w:t>
      </w:r>
    </w:p>
    <w:p w14:paraId="0706A1B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、申购和赎回申请的确认</w:t>
      </w:r>
    </w:p>
    <w:p w14:paraId="24767FA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 xml:space="preserve">T </w:t>
      </w:r>
      <w:r>
        <w:rPr>
          <w:rFonts w:hAnsi="宋体" w:hint="eastAsia"/>
          <w:bCs/>
          <w:sz w:val="24"/>
          <w:szCs w:val="24"/>
        </w:rPr>
        <w:t>日规定时间受理的申请，正常情况下，基金注册登记机构在</w:t>
      </w:r>
      <w:r>
        <w:rPr>
          <w:rFonts w:hAnsi="宋体" w:hint="eastAsia"/>
          <w:bCs/>
          <w:sz w:val="24"/>
          <w:szCs w:val="24"/>
        </w:rPr>
        <w:t xml:space="preserve">T+2 </w:t>
      </w:r>
      <w:r>
        <w:rPr>
          <w:rFonts w:hAnsi="宋体" w:hint="eastAsia"/>
          <w:bCs/>
          <w:sz w:val="24"/>
          <w:szCs w:val="24"/>
        </w:rPr>
        <w:t>日内为投资者对该交易的有效性进行确认，在</w:t>
      </w:r>
      <w:r>
        <w:rPr>
          <w:rFonts w:hAnsi="宋体" w:hint="eastAsia"/>
          <w:bCs/>
          <w:sz w:val="24"/>
          <w:szCs w:val="24"/>
        </w:rPr>
        <w:t>T</w:t>
      </w:r>
      <w:r>
        <w:rPr>
          <w:rFonts w:hAnsi="宋体" w:hint="eastAsia"/>
          <w:bCs/>
          <w:sz w:val="24"/>
          <w:szCs w:val="24"/>
        </w:rPr>
        <w:t>＋</w:t>
      </w:r>
      <w:r>
        <w:rPr>
          <w:rFonts w:hAnsi="宋体" w:hint="eastAsia"/>
          <w:bCs/>
          <w:sz w:val="24"/>
          <w:szCs w:val="24"/>
        </w:rPr>
        <w:t xml:space="preserve">3 </w:t>
      </w:r>
      <w:r>
        <w:rPr>
          <w:rFonts w:hAnsi="宋体" w:hint="eastAsia"/>
          <w:bCs/>
          <w:sz w:val="24"/>
          <w:szCs w:val="24"/>
        </w:rPr>
        <w:t>日后（包括该日）投资者可向销售机构或以销售机构规定的其他方式查询申购与赎回的成交情况。销售机构对投资者申购申请的受理并不代表该申请一定成功，而仅代表销售机构确实接收到申购申请。申购申请的确认以注册登记机构或基金管理人的确认结果为准。</w:t>
      </w:r>
    </w:p>
    <w:p w14:paraId="710C473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、申购和赎回的款项支付</w:t>
      </w:r>
    </w:p>
    <w:p w14:paraId="7F15EEF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申购采用全额缴款方式，若申购资金在规定时间内未全额到账则申购不成功，若申购不成功或无效，申购款项将退回投资者账户。</w:t>
      </w:r>
    </w:p>
    <w:p w14:paraId="077E354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投资者</w:t>
      </w:r>
      <w:r>
        <w:rPr>
          <w:rFonts w:hAnsi="宋体" w:hint="eastAsia"/>
          <w:bCs/>
          <w:sz w:val="24"/>
          <w:szCs w:val="24"/>
        </w:rPr>
        <w:t xml:space="preserve">T </w:t>
      </w:r>
      <w:r>
        <w:rPr>
          <w:rFonts w:hAnsi="宋体" w:hint="eastAsia"/>
          <w:bCs/>
          <w:sz w:val="24"/>
          <w:szCs w:val="24"/>
        </w:rPr>
        <w:t>日赎回申请成功后，基金管理人将通过基金注册登记机构及其相关销售机构在</w:t>
      </w:r>
      <w:r>
        <w:rPr>
          <w:rFonts w:hAnsi="宋体" w:hint="eastAsia"/>
          <w:bCs/>
          <w:sz w:val="24"/>
          <w:szCs w:val="24"/>
        </w:rPr>
        <w:t>T</w:t>
      </w:r>
      <w:r>
        <w:rPr>
          <w:rFonts w:hAnsi="宋体" w:hint="eastAsia"/>
          <w:bCs/>
          <w:sz w:val="24"/>
          <w:szCs w:val="24"/>
        </w:rPr>
        <w:t>＋</w:t>
      </w:r>
      <w:r>
        <w:rPr>
          <w:rFonts w:hAnsi="宋体" w:hint="eastAsia"/>
          <w:bCs/>
          <w:sz w:val="24"/>
          <w:szCs w:val="24"/>
        </w:rPr>
        <w:t xml:space="preserve">10 </w:t>
      </w:r>
      <w:r>
        <w:rPr>
          <w:rFonts w:hAnsi="宋体" w:hint="eastAsia"/>
          <w:bCs/>
          <w:sz w:val="24"/>
          <w:szCs w:val="24"/>
        </w:rPr>
        <w:t>日内将赎回款项划往基金份额持有人账户，但中国证监会另有规定的除外；如基金投资所处的主要市场有一个或一个以上休市时，基金管理人将通过注册登记机构及其相关基金销售机构最迟不超过</w:t>
      </w:r>
      <w:r>
        <w:rPr>
          <w:rFonts w:hAnsi="宋体" w:hint="eastAsia"/>
          <w:bCs/>
          <w:sz w:val="24"/>
          <w:szCs w:val="24"/>
        </w:rPr>
        <w:t>T</w:t>
      </w:r>
      <w:r>
        <w:rPr>
          <w:rFonts w:hAnsi="宋体" w:hint="eastAsia"/>
          <w:bCs/>
          <w:sz w:val="24"/>
          <w:szCs w:val="24"/>
        </w:rPr>
        <w:t>＋</w:t>
      </w:r>
      <w:r>
        <w:rPr>
          <w:rFonts w:hAnsi="宋体" w:hint="eastAsia"/>
          <w:bCs/>
          <w:sz w:val="24"/>
          <w:szCs w:val="24"/>
        </w:rPr>
        <w:t xml:space="preserve">13 </w:t>
      </w:r>
      <w:r>
        <w:rPr>
          <w:rFonts w:hAnsi="宋体" w:hint="eastAsia"/>
          <w:bCs/>
          <w:sz w:val="24"/>
          <w:szCs w:val="24"/>
        </w:rPr>
        <w:t>日（包括该日）内将赎回款项划往基金份额持有人账户。国家外汇管理相关规定有变更或本</w:t>
      </w:r>
      <w:r>
        <w:rPr>
          <w:rFonts w:hAnsi="宋体" w:hint="eastAsia"/>
          <w:bCs/>
          <w:sz w:val="24"/>
          <w:szCs w:val="24"/>
        </w:rPr>
        <w:lastRenderedPageBreak/>
        <w:t>基金所投资市场的交易清算规则有变更时</w:t>
      </w:r>
      <w:r>
        <w:rPr>
          <w:rFonts w:hAnsi="宋体" w:hint="eastAsia"/>
          <w:bCs/>
          <w:sz w:val="24"/>
          <w:szCs w:val="24"/>
        </w:rPr>
        <w:t xml:space="preserve">, </w:t>
      </w:r>
      <w:r>
        <w:rPr>
          <w:rFonts w:hAnsi="宋体" w:hint="eastAsia"/>
          <w:bCs/>
          <w:sz w:val="24"/>
          <w:szCs w:val="24"/>
        </w:rPr>
        <w:t>赎回款支付时间将相应调整。在发生巨额赎回的情形时，款项的支付办法参照《基金合同》的有关条款处理。</w:t>
      </w:r>
    </w:p>
    <w:p w14:paraId="0FCDD442"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五、申购与赎回的数额限制</w:t>
      </w:r>
    </w:p>
    <w:p w14:paraId="6654B30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、申购基金的金额限制</w:t>
      </w:r>
    </w:p>
    <w:p w14:paraId="5A65FA13" w14:textId="0D904F1C"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本基金场外申购时，投资者通过代销机构网点申购本基金基金份额单笔最低金额为人民币</w:t>
      </w:r>
      <w:r>
        <w:rPr>
          <w:rFonts w:hAnsi="宋体" w:hint="eastAsia"/>
          <w:bCs/>
          <w:sz w:val="24"/>
          <w:szCs w:val="24"/>
        </w:rPr>
        <w:t>1</w:t>
      </w:r>
      <w:r>
        <w:rPr>
          <w:rFonts w:hAnsi="宋体" w:hint="eastAsia"/>
          <w:bCs/>
          <w:sz w:val="24"/>
          <w:szCs w:val="24"/>
        </w:rPr>
        <w:t>元（含申购费）；通过基金管理人直销中心首次申购本基金</w:t>
      </w:r>
      <w:r w:rsidR="00545FB2">
        <w:rPr>
          <w:rFonts w:hAnsi="宋体" w:hint="eastAsia"/>
          <w:bCs/>
          <w:sz w:val="24"/>
          <w:szCs w:val="24"/>
        </w:rPr>
        <w:t>A</w:t>
      </w:r>
      <w:r w:rsidR="00545FB2">
        <w:rPr>
          <w:rFonts w:hAnsi="宋体" w:hint="eastAsia"/>
          <w:bCs/>
          <w:sz w:val="24"/>
          <w:szCs w:val="24"/>
        </w:rPr>
        <w:t>类</w:t>
      </w:r>
      <w:r>
        <w:rPr>
          <w:rFonts w:hAnsi="宋体" w:hint="eastAsia"/>
          <w:bCs/>
          <w:sz w:val="24"/>
          <w:szCs w:val="24"/>
        </w:rPr>
        <w:t>基金份额的最低金额为人民币</w:t>
      </w:r>
      <w:r>
        <w:rPr>
          <w:rFonts w:hAnsi="宋体" w:hint="eastAsia"/>
          <w:bCs/>
          <w:sz w:val="24"/>
          <w:szCs w:val="24"/>
        </w:rPr>
        <w:t>50000</w:t>
      </w:r>
      <w:r>
        <w:rPr>
          <w:rFonts w:hAnsi="宋体" w:hint="eastAsia"/>
          <w:bCs/>
          <w:sz w:val="24"/>
          <w:szCs w:val="24"/>
        </w:rPr>
        <w:t>元（含申购费）</w:t>
      </w:r>
      <w:r w:rsidR="00545FB2">
        <w:rPr>
          <w:rFonts w:hAnsi="宋体" w:hint="eastAsia"/>
          <w:bCs/>
          <w:sz w:val="24"/>
          <w:szCs w:val="24"/>
        </w:rPr>
        <w:t>，</w:t>
      </w:r>
      <w:r w:rsidR="00545FB2" w:rsidRPr="00545FB2">
        <w:rPr>
          <w:rFonts w:hAnsi="宋体" w:hint="eastAsia"/>
          <w:bCs/>
          <w:sz w:val="24"/>
          <w:szCs w:val="24"/>
        </w:rPr>
        <w:t>通过基金管理人直销中心首次申购本基金</w:t>
      </w:r>
      <w:r w:rsidR="00545FB2">
        <w:rPr>
          <w:rFonts w:hAnsi="宋体"/>
          <w:bCs/>
          <w:sz w:val="24"/>
          <w:szCs w:val="24"/>
        </w:rPr>
        <w:t>C</w:t>
      </w:r>
      <w:r w:rsidR="00545FB2" w:rsidRPr="00545FB2">
        <w:rPr>
          <w:rFonts w:hAnsi="宋体" w:hint="eastAsia"/>
          <w:bCs/>
          <w:sz w:val="24"/>
          <w:szCs w:val="24"/>
        </w:rPr>
        <w:t>类基金份额的最低金额为人民币</w:t>
      </w:r>
      <w:r w:rsidR="00545FB2">
        <w:rPr>
          <w:rFonts w:hAnsi="宋体" w:hint="eastAsia"/>
          <w:bCs/>
          <w:sz w:val="24"/>
          <w:szCs w:val="24"/>
        </w:rPr>
        <w:t>1</w:t>
      </w:r>
      <w:r w:rsidR="00545FB2" w:rsidRPr="00545FB2">
        <w:rPr>
          <w:rFonts w:hAnsi="宋体" w:hint="eastAsia"/>
          <w:bCs/>
          <w:sz w:val="24"/>
          <w:szCs w:val="24"/>
        </w:rPr>
        <w:t>00</w:t>
      </w:r>
      <w:r w:rsidR="00545FB2" w:rsidRPr="00545FB2">
        <w:rPr>
          <w:rFonts w:hAnsi="宋体" w:hint="eastAsia"/>
          <w:bCs/>
          <w:sz w:val="24"/>
          <w:szCs w:val="24"/>
        </w:rPr>
        <w:t>元</w:t>
      </w:r>
      <w:r>
        <w:rPr>
          <w:rFonts w:hint="eastAsia"/>
          <w:color w:val="000000"/>
          <w:kern w:val="0"/>
          <w:sz w:val="24"/>
          <w:szCs w:val="24"/>
        </w:rPr>
        <w:t>；</w:t>
      </w:r>
      <w:r>
        <w:rPr>
          <w:color w:val="000000"/>
          <w:kern w:val="0"/>
          <w:sz w:val="24"/>
          <w:szCs w:val="24"/>
        </w:rPr>
        <w:t>通过</w:t>
      </w:r>
      <w:r>
        <w:rPr>
          <w:rFonts w:hint="eastAsia"/>
          <w:color w:val="000000"/>
          <w:kern w:val="0"/>
          <w:sz w:val="24"/>
          <w:szCs w:val="24"/>
        </w:rPr>
        <w:t>基金管理人线</w:t>
      </w:r>
      <w:r>
        <w:rPr>
          <w:rFonts w:ascii="宋体" w:hAnsi="宋体" w:cs="宋体-18030"/>
          <w:color w:val="000000"/>
          <w:kern w:val="0"/>
          <w:sz w:val="24"/>
          <w:szCs w:val="24"/>
        </w:rPr>
        <w:t>上直销系统</w:t>
      </w:r>
      <w:r>
        <w:rPr>
          <w:color w:val="000000"/>
          <w:kern w:val="0"/>
          <w:sz w:val="24"/>
          <w:szCs w:val="24"/>
        </w:rPr>
        <w:t>申购本基金基金份额单笔最低金额为人民币</w:t>
      </w:r>
      <w:r>
        <w:rPr>
          <w:color w:val="000000"/>
          <w:kern w:val="0"/>
          <w:sz w:val="24"/>
          <w:szCs w:val="24"/>
        </w:rPr>
        <w:t>1</w:t>
      </w:r>
      <w:r>
        <w:rPr>
          <w:color w:val="000000"/>
          <w:kern w:val="0"/>
          <w:sz w:val="24"/>
          <w:szCs w:val="24"/>
        </w:rPr>
        <w:t>元（含</w:t>
      </w:r>
      <w:r>
        <w:rPr>
          <w:rFonts w:hint="eastAsia"/>
          <w:color w:val="000000"/>
          <w:kern w:val="0"/>
          <w:sz w:val="24"/>
          <w:szCs w:val="24"/>
        </w:rPr>
        <w:t>申购</w:t>
      </w:r>
      <w:r>
        <w:rPr>
          <w:color w:val="000000"/>
          <w:kern w:val="0"/>
          <w:sz w:val="24"/>
          <w:szCs w:val="24"/>
        </w:rPr>
        <w:t>费）</w:t>
      </w:r>
      <w:r>
        <w:rPr>
          <w:rFonts w:hAnsi="宋体" w:hint="eastAsia"/>
          <w:bCs/>
          <w:sz w:val="24"/>
          <w:szCs w:val="24"/>
        </w:rPr>
        <w:t>；各代销机构对本基金最低申购金额及交易级差有其他规定的，以各代销机构的业务规定为准。</w:t>
      </w:r>
    </w:p>
    <w:p w14:paraId="15378A84" w14:textId="2627B4EA"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投资者将当期分配的基金收益转为</w:t>
      </w:r>
      <w:r w:rsidR="00741112">
        <w:rPr>
          <w:rFonts w:hint="eastAsia"/>
          <w:bCs/>
          <w:sz w:val="24"/>
        </w:rPr>
        <w:t>相应类别的</w:t>
      </w:r>
      <w:r>
        <w:rPr>
          <w:rFonts w:hAnsi="宋体" w:hint="eastAsia"/>
          <w:bCs/>
          <w:sz w:val="24"/>
          <w:szCs w:val="24"/>
        </w:rPr>
        <w:t>基金份额时，不受最低申购金额的限制。投资者可多次申购，对单个投资者累计持有基金份额的比例或数量不设上限限制。法律法规、中国证监会另有规定的除外。</w:t>
      </w:r>
    </w:p>
    <w:p w14:paraId="0EC994BE"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本基金场内申购的单笔申购最低金额为人民币</w:t>
      </w:r>
      <w:r>
        <w:rPr>
          <w:rFonts w:hAnsi="宋体" w:hint="eastAsia"/>
          <w:bCs/>
          <w:sz w:val="24"/>
          <w:szCs w:val="24"/>
        </w:rPr>
        <w:t xml:space="preserve">1000 </w:t>
      </w:r>
      <w:r>
        <w:rPr>
          <w:rFonts w:hAnsi="宋体" w:hint="eastAsia"/>
          <w:bCs/>
          <w:sz w:val="24"/>
          <w:szCs w:val="24"/>
        </w:rPr>
        <w:t>元。</w:t>
      </w:r>
    </w:p>
    <w:p w14:paraId="665BE5A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、赎回基金的份额限制</w:t>
      </w:r>
    </w:p>
    <w:p w14:paraId="6E8562EC" w14:textId="35D8B4E2" w:rsidR="0037652E" w:rsidRDefault="00BF49B0">
      <w:pPr>
        <w:pStyle w:val="a3"/>
        <w:adjustRightInd w:val="0"/>
        <w:snapToGrid w:val="0"/>
        <w:spacing w:line="360" w:lineRule="auto"/>
        <w:ind w:firstLine="482"/>
        <w:rPr>
          <w:rFonts w:ascii="宋体" w:hAnsi="宋体"/>
          <w:sz w:val="24"/>
        </w:rPr>
      </w:pPr>
      <w:r>
        <w:rPr>
          <w:rFonts w:ascii="宋体" w:hAnsi="宋体" w:hint="eastAsia"/>
          <w:sz w:val="24"/>
        </w:rPr>
        <w:t>场外单笔赎回不得少于</w:t>
      </w:r>
      <w:r w:rsidR="002664C1">
        <w:rPr>
          <w:rFonts w:ascii="宋体" w:hAnsi="宋体" w:hint="eastAsia"/>
          <w:sz w:val="24"/>
        </w:rPr>
        <w:t>0</w:t>
      </w:r>
      <w:r w:rsidR="002664C1">
        <w:rPr>
          <w:rFonts w:ascii="宋体" w:hAnsi="宋体"/>
          <w:sz w:val="24"/>
        </w:rPr>
        <w:t>.</w:t>
      </w:r>
      <w:r>
        <w:rPr>
          <w:rFonts w:ascii="宋体" w:hAnsi="宋体"/>
          <w:sz w:val="24"/>
        </w:rPr>
        <w:t>1</w:t>
      </w:r>
      <w:r>
        <w:rPr>
          <w:rFonts w:ascii="宋体" w:hAnsi="宋体" w:hint="eastAsia"/>
          <w:sz w:val="24"/>
        </w:rPr>
        <w:t>份，基金份额持有人的基金账户在销售机构中基金份额不足</w:t>
      </w:r>
      <w:r w:rsidR="002664C1">
        <w:rPr>
          <w:rFonts w:ascii="宋体" w:hAnsi="宋体" w:hint="eastAsia"/>
          <w:sz w:val="24"/>
        </w:rPr>
        <w:t>0</w:t>
      </w:r>
      <w:r w:rsidR="002664C1">
        <w:rPr>
          <w:rFonts w:ascii="宋体" w:hAnsi="宋体"/>
          <w:sz w:val="24"/>
        </w:rPr>
        <w:t>.</w:t>
      </w:r>
      <w:r>
        <w:rPr>
          <w:rFonts w:ascii="宋体" w:hAnsi="宋体"/>
          <w:sz w:val="24"/>
        </w:rPr>
        <w:t>1</w:t>
      </w:r>
      <w:r>
        <w:rPr>
          <w:rFonts w:ascii="宋体" w:hAnsi="宋体" w:hint="eastAsia"/>
          <w:sz w:val="24"/>
        </w:rPr>
        <w:t>份的，注册登记系统有权将全部剩余份额自动赎回。场内单笔赎回不得少于5份，基金份额持有人的基金账户在销售机构中基金份额不足5份的，注册登记系统自动将剩余份额全部赎回。</w:t>
      </w:r>
    </w:p>
    <w:p w14:paraId="0E30E73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w:t>
      </w:r>
      <w:r>
        <w:rPr>
          <w:rFonts w:hint="eastAsia"/>
          <w:bCs/>
          <w:sz w:val="24"/>
        </w:rPr>
        <w:t>当接受申购申请对存量基金份额持有人利益构成潜在重大不利影响时，基金管理人应当采取规定单一投资者申购金额上限、基金规模上限或基金单日净申购比例上限，以及拒绝大额申购、暂停基金申购等措施，切实保护存量基金份额持有人的合法权益，具体规定请参见更新的招募说明书或相关公告。</w:t>
      </w:r>
    </w:p>
    <w:p w14:paraId="052380B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基金管理人、深圳证券交易所或中国证券登记结算有限责任公司可根据市场情况，在法律法规允许的情况下，调整上述对申购金额、赎回份额、最低基金份额余额和累计持有基金份额上限的数量限制，基金管理人必须在调整生效前依照《信息披露办法》的有关规定在指定媒介上公告。</w:t>
      </w:r>
    </w:p>
    <w:p w14:paraId="3E0D2AB2"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六、申购费用和赎回费用</w:t>
      </w:r>
    </w:p>
    <w:p w14:paraId="1A2BB613" w14:textId="46761FC2" w:rsidR="0037652E" w:rsidRDefault="00BF49B0">
      <w:pPr>
        <w:tabs>
          <w:tab w:val="left" w:pos="961"/>
        </w:tabs>
        <w:snapToGrid w:val="0"/>
        <w:spacing w:line="360" w:lineRule="auto"/>
        <w:ind w:firstLineChars="200" w:firstLine="480"/>
        <w:rPr>
          <w:sz w:val="24"/>
          <w:szCs w:val="24"/>
        </w:rPr>
      </w:pPr>
      <w:r>
        <w:rPr>
          <w:rFonts w:hAnsi="宋体" w:hint="eastAsia"/>
          <w:bCs/>
          <w:sz w:val="24"/>
          <w:szCs w:val="24"/>
        </w:rPr>
        <w:t>1</w:t>
      </w:r>
      <w:r>
        <w:rPr>
          <w:rFonts w:hAnsi="宋体" w:hint="eastAsia"/>
          <w:bCs/>
          <w:sz w:val="24"/>
          <w:szCs w:val="24"/>
        </w:rPr>
        <w:t>、本基金</w:t>
      </w:r>
      <w:r w:rsidR="005D7D3C">
        <w:rPr>
          <w:rFonts w:hAnsi="宋体" w:hint="eastAsia"/>
          <w:bCs/>
          <w:sz w:val="24"/>
          <w:szCs w:val="24"/>
        </w:rPr>
        <w:t>A</w:t>
      </w:r>
      <w:r w:rsidR="005D7D3C">
        <w:rPr>
          <w:rFonts w:hAnsi="宋体" w:hint="eastAsia"/>
          <w:bCs/>
          <w:sz w:val="24"/>
          <w:szCs w:val="24"/>
        </w:rPr>
        <w:t>类基金份额的</w:t>
      </w:r>
      <w:r>
        <w:rPr>
          <w:rFonts w:hAnsi="宋体" w:hint="eastAsia"/>
          <w:bCs/>
          <w:sz w:val="24"/>
          <w:szCs w:val="24"/>
        </w:rPr>
        <w:t>场外申购费率不高于</w:t>
      </w:r>
      <w:r>
        <w:rPr>
          <w:rFonts w:hAnsi="宋体" w:hint="eastAsia"/>
          <w:bCs/>
          <w:sz w:val="24"/>
          <w:szCs w:val="24"/>
        </w:rPr>
        <w:t>0.8%</w:t>
      </w:r>
      <w:r>
        <w:rPr>
          <w:rFonts w:hAnsi="宋体" w:hint="eastAsia"/>
          <w:bCs/>
          <w:sz w:val="24"/>
          <w:szCs w:val="24"/>
        </w:rPr>
        <w:t>，随申购金额的增加而</w:t>
      </w:r>
      <w:r>
        <w:rPr>
          <w:rFonts w:hAnsi="宋体" w:hint="eastAsia"/>
          <w:bCs/>
          <w:sz w:val="24"/>
          <w:szCs w:val="24"/>
        </w:rPr>
        <w:lastRenderedPageBreak/>
        <w:t>递减，具体费率如下表所示：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3737"/>
      </w:tblGrid>
      <w:tr w:rsidR="0037652E" w14:paraId="30AADC3E" w14:textId="77777777">
        <w:trPr>
          <w:cantSplit/>
          <w:trHeight w:val="285"/>
          <w:jc w:val="center"/>
        </w:trPr>
        <w:tc>
          <w:tcPr>
            <w:tcW w:w="4143" w:type="dxa"/>
            <w:shd w:val="clear" w:color="auto" w:fill="auto"/>
            <w:vAlign w:val="center"/>
          </w:tcPr>
          <w:p w14:paraId="19F4AE5A" w14:textId="77777777" w:rsidR="0037652E" w:rsidRDefault="00BF49B0">
            <w:pPr>
              <w:spacing w:line="360" w:lineRule="auto"/>
              <w:ind w:firstLineChars="200" w:firstLine="482"/>
              <w:jc w:val="center"/>
              <w:rPr>
                <w:b/>
                <w:sz w:val="24"/>
                <w:szCs w:val="24"/>
              </w:rPr>
            </w:pPr>
            <w:r>
              <w:rPr>
                <w:rFonts w:hAnsi="宋体"/>
                <w:b/>
                <w:sz w:val="24"/>
                <w:szCs w:val="24"/>
              </w:rPr>
              <w:t>购买金额（</w:t>
            </w:r>
            <w:r>
              <w:rPr>
                <w:b/>
                <w:sz w:val="24"/>
                <w:szCs w:val="24"/>
              </w:rPr>
              <w:t>M</w:t>
            </w:r>
            <w:r>
              <w:rPr>
                <w:rFonts w:hAnsi="宋体"/>
                <w:b/>
                <w:sz w:val="24"/>
                <w:szCs w:val="24"/>
              </w:rPr>
              <w:t>）</w:t>
            </w:r>
          </w:p>
        </w:tc>
        <w:tc>
          <w:tcPr>
            <w:tcW w:w="3737" w:type="dxa"/>
            <w:shd w:val="clear" w:color="auto" w:fill="auto"/>
            <w:vAlign w:val="center"/>
          </w:tcPr>
          <w:p w14:paraId="5AD1760E" w14:textId="77777777" w:rsidR="0037652E" w:rsidRDefault="00BF49B0">
            <w:pPr>
              <w:spacing w:line="360" w:lineRule="auto"/>
              <w:ind w:firstLineChars="200" w:firstLine="482"/>
              <w:jc w:val="center"/>
              <w:rPr>
                <w:b/>
                <w:sz w:val="24"/>
                <w:szCs w:val="24"/>
              </w:rPr>
            </w:pPr>
            <w:r>
              <w:rPr>
                <w:rFonts w:hAnsi="宋体"/>
                <w:b/>
                <w:sz w:val="24"/>
                <w:szCs w:val="24"/>
              </w:rPr>
              <w:t>申购费率</w:t>
            </w:r>
          </w:p>
        </w:tc>
      </w:tr>
      <w:tr w:rsidR="0037652E" w14:paraId="7E16C6D8" w14:textId="77777777">
        <w:trPr>
          <w:cantSplit/>
          <w:trHeight w:val="285"/>
          <w:jc w:val="center"/>
        </w:trPr>
        <w:tc>
          <w:tcPr>
            <w:tcW w:w="4143" w:type="dxa"/>
            <w:shd w:val="clear" w:color="auto" w:fill="auto"/>
            <w:vAlign w:val="center"/>
          </w:tcPr>
          <w:p w14:paraId="25CFF23E" w14:textId="77777777" w:rsidR="0037652E" w:rsidRDefault="00BF49B0">
            <w:pPr>
              <w:spacing w:line="360" w:lineRule="auto"/>
              <w:ind w:firstLineChars="200" w:firstLine="480"/>
              <w:rPr>
                <w:sz w:val="24"/>
                <w:szCs w:val="24"/>
              </w:rPr>
            </w:pPr>
            <w:r>
              <w:rPr>
                <w:sz w:val="24"/>
                <w:szCs w:val="24"/>
              </w:rPr>
              <w:t>M</w:t>
            </w:r>
            <w:r>
              <w:rPr>
                <w:rFonts w:hAnsi="宋体"/>
                <w:sz w:val="24"/>
                <w:szCs w:val="24"/>
              </w:rPr>
              <w:t>＜</w:t>
            </w:r>
            <w:r>
              <w:rPr>
                <w:sz w:val="24"/>
                <w:szCs w:val="24"/>
              </w:rPr>
              <w:t xml:space="preserve">100 </w:t>
            </w:r>
            <w:r>
              <w:rPr>
                <w:rFonts w:hAnsi="宋体"/>
                <w:sz w:val="24"/>
                <w:szCs w:val="24"/>
              </w:rPr>
              <w:t>万</w:t>
            </w:r>
          </w:p>
        </w:tc>
        <w:tc>
          <w:tcPr>
            <w:tcW w:w="3737" w:type="dxa"/>
            <w:shd w:val="clear" w:color="auto" w:fill="auto"/>
            <w:vAlign w:val="center"/>
          </w:tcPr>
          <w:p w14:paraId="358D0572" w14:textId="77777777" w:rsidR="0037652E" w:rsidRDefault="00BF49B0">
            <w:pPr>
              <w:spacing w:line="360" w:lineRule="auto"/>
              <w:ind w:firstLineChars="200" w:firstLine="480"/>
              <w:rPr>
                <w:sz w:val="24"/>
                <w:szCs w:val="24"/>
              </w:rPr>
            </w:pPr>
            <w:r>
              <w:rPr>
                <w:rFonts w:hint="eastAsia"/>
                <w:sz w:val="24"/>
                <w:szCs w:val="24"/>
              </w:rPr>
              <w:t>0</w:t>
            </w:r>
            <w:r>
              <w:rPr>
                <w:sz w:val="24"/>
                <w:szCs w:val="24"/>
              </w:rPr>
              <w:t>.</w:t>
            </w:r>
            <w:r>
              <w:rPr>
                <w:rFonts w:hint="eastAsia"/>
                <w:sz w:val="24"/>
                <w:szCs w:val="24"/>
              </w:rPr>
              <w:t>8</w:t>
            </w:r>
            <w:r>
              <w:rPr>
                <w:sz w:val="24"/>
                <w:szCs w:val="24"/>
              </w:rPr>
              <w:t>0%</w:t>
            </w:r>
          </w:p>
        </w:tc>
      </w:tr>
      <w:tr w:rsidR="0037652E" w14:paraId="36A61675" w14:textId="77777777">
        <w:trPr>
          <w:cantSplit/>
          <w:trHeight w:val="285"/>
          <w:jc w:val="center"/>
        </w:trPr>
        <w:tc>
          <w:tcPr>
            <w:tcW w:w="4143" w:type="dxa"/>
            <w:shd w:val="clear" w:color="auto" w:fill="auto"/>
            <w:vAlign w:val="center"/>
          </w:tcPr>
          <w:p w14:paraId="4AD743E7" w14:textId="77777777" w:rsidR="0037652E" w:rsidRDefault="00BF49B0">
            <w:pPr>
              <w:spacing w:line="360" w:lineRule="auto"/>
              <w:ind w:firstLineChars="200" w:firstLine="480"/>
              <w:rPr>
                <w:sz w:val="24"/>
                <w:szCs w:val="24"/>
              </w:rPr>
            </w:pPr>
            <w:r>
              <w:rPr>
                <w:sz w:val="24"/>
                <w:szCs w:val="24"/>
              </w:rPr>
              <w:t xml:space="preserve">100 </w:t>
            </w:r>
            <w:r>
              <w:rPr>
                <w:rFonts w:hAnsi="宋体"/>
                <w:sz w:val="24"/>
                <w:szCs w:val="24"/>
              </w:rPr>
              <w:t>万</w:t>
            </w:r>
            <w:r>
              <w:rPr>
                <w:sz w:val="24"/>
                <w:szCs w:val="24"/>
              </w:rPr>
              <w:t>≤M</w:t>
            </w:r>
            <w:r>
              <w:rPr>
                <w:rFonts w:hAnsi="宋体"/>
                <w:sz w:val="24"/>
                <w:szCs w:val="24"/>
              </w:rPr>
              <w:t>＜</w:t>
            </w:r>
            <w:r>
              <w:rPr>
                <w:sz w:val="24"/>
                <w:szCs w:val="24"/>
              </w:rPr>
              <w:t xml:space="preserve">200 </w:t>
            </w:r>
            <w:r>
              <w:rPr>
                <w:rFonts w:hAnsi="宋体"/>
                <w:sz w:val="24"/>
                <w:szCs w:val="24"/>
              </w:rPr>
              <w:t>万</w:t>
            </w:r>
          </w:p>
        </w:tc>
        <w:tc>
          <w:tcPr>
            <w:tcW w:w="3737" w:type="dxa"/>
            <w:shd w:val="clear" w:color="auto" w:fill="auto"/>
            <w:vAlign w:val="center"/>
          </w:tcPr>
          <w:p w14:paraId="3F54E370" w14:textId="77777777" w:rsidR="0037652E" w:rsidRDefault="00BF49B0">
            <w:pPr>
              <w:spacing w:line="360" w:lineRule="auto"/>
              <w:ind w:firstLineChars="200" w:firstLine="480"/>
              <w:rPr>
                <w:sz w:val="24"/>
                <w:szCs w:val="24"/>
              </w:rPr>
            </w:pPr>
            <w:r>
              <w:rPr>
                <w:rFonts w:hint="eastAsia"/>
                <w:sz w:val="24"/>
                <w:szCs w:val="24"/>
              </w:rPr>
              <w:t>0</w:t>
            </w:r>
            <w:r>
              <w:rPr>
                <w:sz w:val="24"/>
                <w:szCs w:val="24"/>
              </w:rPr>
              <w:t>.</w:t>
            </w:r>
            <w:r>
              <w:rPr>
                <w:rFonts w:hint="eastAsia"/>
                <w:sz w:val="24"/>
                <w:szCs w:val="24"/>
              </w:rPr>
              <w:t>5</w:t>
            </w:r>
            <w:r>
              <w:rPr>
                <w:sz w:val="24"/>
                <w:szCs w:val="24"/>
              </w:rPr>
              <w:t>0%</w:t>
            </w:r>
          </w:p>
        </w:tc>
      </w:tr>
      <w:tr w:rsidR="0037652E" w14:paraId="02695AED" w14:textId="77777777">
        <w:trPr>
          <w:cantSplit/>
          <w:trHeight w:val="285"/>
          <w:jc w:val="center"/>
        </w:trPr>
        <w:tc>
          <w:tcPr>
            <w:tcW w:w="4143" w:type="dxa"/>
            <w:shd w:val="clear" w:color="auto" w:fill="auto"/>
            <w:vAlign w:val="center"/>
          </w:tcPr>
          <w:p w14:paraId="1CB84705" w14:textId="77777777" w:rsidR="0037652E" w:rsidRDefault="00BF49B0">
            <w:pPr>
              <w:spacing w:line="360" w:lineRule="auto"/>
              <w:ind w:firstLineChars="200" w:firstLine="480"/>
              <w:rPr>
                <w:sz w:val="24"/>
                <w:szCs w:val="24"/>
              </w:rPr>
            </w:pPr>
            <w:r>
              <w:rPr>
                <w:sz w:val="24"/>
                <w:szCs w:val="24"/>
              </w:rPr>
              <w:t xml:space="preserve">200 </w:t>
            </w:r>
            <w:r>
              <w:rPr>
                <w:rFonts w:hAnsi="宋体"/>
                <w:sz w:val="24"/>
                <w:szCs w:val="24"/>
              </w:rPr>
              <w:t>万</w:t>
            </w:r>
            <w:r>
              <w:rPr>
                <w:sz w:val="24"/>
                <w:szCs w:val="24"/>
              </w:rPr>
              <w:t>≤M</w:t>
            </w:r>
            <w:r>
              <w:rPr>
                <w:rFonts w:hAnsi="宋体"/>
                <w:sz w:val="24"/>
                <w:szCs w:val="24"/>
              </w:rPr>
              <w:t>＜</w:t>
            </w:r>
            <w:r>
              <w:rPr>
                <w:sz w:val="24"/>
                <w:szCs w:val="24"/>
              </w:rPr>
              <w:t xml:space="preserve">500 </w:t>
            </w:r>
            <w:r>
              <w:rPr>
                <w:rFonts w:hAnsi="宋体"/>
                <w:sz w:val="24"/>
                <w:szCs w:val="24"/>
              </w:rPr>
              <w:t>万</w:t>
            </w:r>
          </w:p>
        </w:tc>
        <w:tc>
          <w:tcPr>
            <w:tcW w:w="3737" w:type="dxa"/>
            <w:shd w:val="clear" w:color="auto" w:fill="auto"/>
            <w:vAlign w:val="center"/>
          </w:tcPr>
          <w:p w14:paraId="64894D5A" w14:textId="77777777" w:rsidR="0037652E" w:rsidRDefault="00BF49B0">
            <w:pPr>
              <w:spacing w:line="360" w:lineRule="auto"/>
              <w:ind w:firstLineChars="200" w:firstLine="480"/>
              <w:rPr>
                <w:sz w:val="24"/>
                <w:szCs w:val="24"/>
              </w:rPr>
            </w:pPr>
            <w:r>
              <w:rPr>
                <w:sz w:val="24"/>
                <w:szCs w:val="24"/>
              </w:rPr>
              <w:t>0.30%</w:t>
            </w:r>
          </w:p>
        </w:tc>
      </w:tr>
      <w:tr w:rsidR="0037652E" w14:paraId="1799871A" w14:textId="77777777">
        <w:trPr>
          <w:cantSplit/>
          <w:trHeight w:val="285"/>
          <w:jc w:val="center"/>
        </w:trPr>
        <w:tc>
          <w:tcPr>
            <w:tcW w:w="4143" w:type="dxa"/>
            <w:shd w:val="clear" w:color="auto" w:fill="auto"/>
            <w:vAlign w:val="center"/>
          </w:tcPr>
          <w:p w14:paraId="1ED1F8C9" w14:textId="77777777" w:rsidR="0037652E" w:rsidRDefault="00BF49B0">
            <w:pPr>
              <w:spacing w:line="360" w:lineRule="auto"/>
              <w:ind w:firstLineChars="200" w:firstLine="480"/>
              <w:rPr>
                <w:sz w:val="24"/>
                <w:szCs w:val="24"/>
              </w:rPr>
            </w:pPr>
            <w:r>
              <w:rPr>
                <w:sz w:val="24"/>
                <w:szCs w:val="24"/>
              </w:rPr>
              <w:t xml:space="preserve">M≥500 </w:t>
            </w:r>
            <w:r>
              <w:rPr>
                <w:rFonts w:hAnsi="宋体"/>
                <w:sz w:val="24"/>
                <w:szCs w:val="24"/>
              </w:rPr>
              <w:t>万</w:t>
            </w:r>
          </w:p>
        </w:tc>
        <w:tc>
          <w:tcPr>
            <w:tcW w:w="3737" w:type="dxa"/>
            <w:shd w:val="clear" w:color="auto" w:fill="auto"/>
            <w:vAlign w:val="center"/>
          </w:tcPr>
          <w:p w14:paraId="784203D2" w14:textId="77777777" w:rsidR="0037652E" w:rsidRDefault="00BF49B0">
            <w:pPr>
              <w:spacing w:line="360" w:lineRule="auto"/>
              <w:ind w:firstLineChars="200" w:firstLine="480"/>
              <w:rPr>
                <w:sz w:val="24"/>
                <w:szCs w:val="24"/>
              </w:rPr>
            </w:pPr>
            <w:r>
              <w:rPr>
                <w:rFonts w:hAnsi="宋体"/>
                <w:sz w:val="24"/>
                <w:szCs w:val="24"/>
              </w:rPr>
              <w:t>每笔</w:t>
            </w:r>
            <w:r>
              <w:rPr>
                <w:sz w:val="24"/>
                <w:szCs w:val="24"/>
              </w:rPr>
              <w:t>1000</w:t>
            </w:r>
            <w:r>
              <w:rPr>
                <w:rFonts w:hAnsi="宋体"/>
                <w:sz w:val="24"/>
                <w:szCs w:val="24"/>
              </w:rPr>
              <w:t>元</w:t>
            </w:r>
          </w:p>
        </w:tc>
      </w:tr>
    </w:tbl>
    <w:p w14:paraId="77E0B500" w14:textId="66D854A4"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w:t>
      </w:r>
      <w:r w:rsidR="005D7D3C">
        <w:rPr>
          <w:rFonts w:hAnsi="宋体" w:hint="eastAsia"/>
          <w:bCs/>
          <w:sz w:val="24"/>
          <w:szCs w:val="24"/>
        </w:rPr>
        <w:t>A</w:t>
      </w:r>
      <w:r w:rsidR="005D7D3C">
        <w:rPr>
          <w:rFonts w:hAnsi="宋体" w:hint="eastAsia"/>
          <w:bCs/>
          <w:sz w:val="24"/>
          <w:szCs w:val="24"/>
        </w:rPr>
        <w:t>类基金份额</w:t>
      </w:r>
      <w:r>
        <w:rPr>
          <w:rFonts w:hAnsi="宋体" w:hint="eastAsia"/>
          <w:bCs/>
          <w:sz w:val="24"/>
          <w:szCs w:val="24"/>
        </w:rPr>
        <w:t>的场内申购费率由销售机构比照场外申购费率执行。</w:t>
      </w:r>
    </w:p>
    <w:p w14:paraId="143408F3" w14:textId="0C44CEBE" w:rsidR="005D7D3C" w:rsidRDefault="005D7D3C">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w:t>
      </w:r>
      <w:r>
        <w:rPr>
          <w:rFonts w:hAnsi="宋体" w:hint="eastAsia"/>
          <w:bCs/>
          <w:sz w:val="24"/>
          <w:szCs w:val="24"/>
        </w:rPr>
        <w:t>C</w:t>
      </w:r>
      <w:r>
        <w:rPr>
          <w:rFonts w:hAnsi="宋体" w:hint="eastAsia"/>
          <w:bCs/>
          <w:sz w:val="24"/>
          <w:szCs w:val="24"/>
        </w:rPr>
        <w:t>类基金份额</w:t>
      </w:r>
      <w:r w:rsidR="00821144">
        <w:rPr>
          <w:rFonts w:hAnsi="宋体" w:hint="eastAsia"/>
          <w:bCs/>
          <w:sz w:val="24"/>
          <w:szCs w:val="24"/>
        </w:rPr>
        <w:t>仅开通场外申购，</w:t>
      </w:r>
      <w:r w:rsidR="00D45A1B">
        <w:rPr>
          <w:rFonts w:hAnsi="宋体" w:hint="eastAsia"/>
          <w:bCs/>
          <w:sz w:val="24"/>
          <w:szCs w:val="24"/>
        </w:rPr>
        <w:t>且</w:t>
      </w:r>
      <w:r>
        <w:rPr>
          <w:rFonts w:hAnsi="宋体" w:hint="eastAsia"/>
          <w:bCs/>
          <w:sz w:val="24"/>
          <w:szCs w:val="24"/>
        </w:rPr>
        <w:t>不收取申购费用。</w:t>
      </w:r>
    </w:p>
    <w:p w14:paraId="028CC8ED" w14:textId="16047E0E"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w:t>
      </w:r>
      <w:r w:rsidR="00571F86" w:rsidRPr="00571F86">
        <w:rPr>
          <w:rFonts w:hAnsi="宋体" w:hint="eastAsia"/>
          <w:bCs/>
          <w:sz w:val="24"/>
          <w:szCs w:val="24"/>
        </w:rPr>
        <w:t>A</w:t>
      </w:r>
      <w:r w:rsidR="00571F86" w:rsidRPr="00571F86">
        <w:rPr>
          <w:rFonts w:hAnsi="宋体" w:hint="eastAsia"/>
          <w:bCs/>
          <w:sz w:val="24"/>
          <w:szCs w:val="24"/>
        </w:rPr>
        <w:t>类基金份额</w:t>
      </w:r>
      <w:r>
        <w:rPr>
          <w:rFonts w:hAnsi="宋体" w:hint="eastAsia"/>
          <w:bCs/>
          <w:sz w:val="24"/>
          <w:szCs w:val="24"/>
        </w:rPr>
        <w:t>的申购费用由</w:t>
      </w:r>
      <w:r w:rsidR="00571F86" w:rsidRPr="00571F86">
        <w:rPr>
          <w:rFonts w:hAnsi="宋体" w:hint="eastAsia"/>
          <w:bCs/>
          <w:sz w:val="24"/>
          <w:szCs w:val="24"/>
        </w:rPr>
        <w:t>申购</w:t>
      </w:r>
      <w:r w:rsidR="00571F86" w:rsidRPr="00571F86">
        <w:rPr>
          <w:rFonts w:hAnsi="宋体" w:hint="eastAsia"/>
          <w:bCs/>
          <w:sz w:val="24"/>
          <w:szCs w:val="24"/>
        </w:rPr>
        <w:t>A</w:t>
      </w:r>
      <w:r w:rsidR="00571F86" w:rsidRPr="00571F86">
        <w:rPr>
          <w:rFonts w:hAnsi="宋体" w:hint="eastAsia"/>
          <w:bCs/>
          <w:sz w:val="24"/>
          <w:szCs w:val="24"/>
        </w:rPr>
        <w:t>类基金份额的投资人</w:t>
      </w:r>
      <w:r>
        <w:rPr>
          <w:rFonts w:hAnsi="宋体" w:hint="eastAsia"/>
          <w:bCs/>
          <w:sz w:val="24"/>
          <w:szCs w:val="24"/>
        </w:rPr>
        <w:t>承担，不列入基金财产，主要用于本基金的市场推广、销售、注册登记等各项费用。</w:t>
      </w:r>
    </w:p>
    <w:p w14:paraId="196DCFAA" w14:textId="0FE32513" w:rsidR="005D7D3C"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、本基金</w:t>
      </w:r>
      <w:r w:rsidR="00E9707A">
        <w:rPr>
          <w:rFonts w:hAnsi="宋体" w:hint="eastAsia"/>
          <w:bCs/>
          <w:sz w:val="24"/>
          <w:szCs w:val="24"/>
        </w:rPr>
        <w:t>A</w:t>
      </w:r>
      <w:r w:rsidR="00E9707A">
        <w:rPr>
          <w:rFonts w:hAnsi="宋体" w:hint="eastAsia"/>
          <w:bCs/>
          <w:sz w:val="24"/>
          <w:szCs w:val="24"/>
        </w:rPr>
        <w:t>类基金份额的</w:t>
      </w:r>
      <w:r>
        <w:rPr>
          <w:rFonts w:hAnsi="宋体" w:hint="eastAsia"/>
          <w:bCs/>
          <w:sz w:val="24"/>
          <w:szCs w:val="24"/>
        </w:rPr>
        <w:t>场外赎回费率，对持续持有期少于</w:t>
      </w:r>
      <w:r>
        <w:rPr>
          <w:rFonts w:hAnsi="宋体"/>
          <w:bCs/>
          <w:sz w:val="24"/>
          <w:szCs w:val="24"/>
        </w:rPr>
        <w:t>7</w:t>
      </w:r>
      <w:r>
        <w:rPr>
          <w:rFonts w:hAnsi="宋体" w:hint="eastAsia"/>
          <w:bCs/>
          <w:sz w:val="24"/>
          <w:szCs w:val="24"/>
        </w:rPr>
        <w:t>日的投资者收取</w:t>
      </w:r>
      <w:r>
        <w:rPr>
          <w:rFonts w:hAnsi="宋体"/>
          <w:bCs/>
          <w:sz w:val="24"/>
          <w:szCs w:val="24"/>
        </w:rPr>
        <w:t>1.5%</w:t>
      </w:r>
      <w:r>
        <w:rPr>
          <w:rFonts w:hAnsi="宋体" w:hint="eastAsia"/>
          <w:bCs/>
          <w:sz w:val="24"/>
          <w:szCs w:val="24"/>
        </w:rPr>
        <w:t>的赎回费，对于持续持有期大于等于</w:t>
      </w:r>
      <w:r>
        <w:rPr>
          <w:rFonts w:hAnsi="宋体" w:hint="eastAsia"/>
          <w:bCs/>
          <w:sz w:val="24"/>
          <w:szCs w:val="24"/>
        </w:rPr>
        <w:t>7</w:t>
      </w:r>
      <w:r>
        <w:rPr>
          <w:rFonts w:hAnsi="宋体" w:hint="eastAsia"/>
          <w:bCs/>
          <w:sz w:val="24"/>
          <w:szCs w:val="24"/>
        </w:rPr>
        <w:t>日的投资者收的赎回费率不高于</w:t>
      </w:r>
      <w:r>
        <w:rPr>
          <w:rFonts w:hAnsi="宋体" w:hint="eastAsia"/>
          <w:bCs/>
          <w:sz w:val="24"/>
          <w:szCs w:val="24"/>
        </w:rPr>
        <w:t>0.5%</w:t>
      </w:r>
      <w:r>
        <w:rPr>
          <w:rFonts w:hAnsi="宋体" w:hint="eastAsia"/>
          <w:bCs/>
          <w:sz w:val="24"/>
          <w:szCs w:val="24"/>
        </w:rPr>
        <w:t>，随份额持有时间增加而递减。</w:t>
      </w:r>
      <w:r w:rsidR="00821144">
        <w:rPr>
          <w:rFonts w:hAnsi="宋体" w:hint="eastAsia"/>
          <w:bCs/>
          <w:sz w:val="24"/>
          <w:szCs w:val="24"/>
        </w:rPr>
        <w:t>本基金</w:t>
      </w:r>
      <w:r w:rsidR="00821144">
        <w:rPr>
          <w:rFonts w:hAnsi="宋体" w:hint="eastAsia"/>
          <w:bCs/>
          <w:sz w:val="24"/>
          <w:szCs w:val="24"/>
        </w:rPr>
        <w:t>A</w:t>
      </w:r>
      <w:r w:rsidR="00821144">
        <w:rPr>
          <w:rFonts w:hAnsi="宋体" w:hint="eastAsia"/>
          <w:bCs/>
          <w:sz w:val="24"/>
          <w:szCs w:val="24"/>
        </w:rPr>
        <w:t>类基金份额</w:t>
      </w:r>
      <w:r>
        <w:rPr>
          <w:rFonts w:hAnsi="宋体" w:hint="eastAsia"/>
          <w:bCs/>
          <w:sz w:val="24"/>
          <w:szCs w:val="24"/>
        </w:rPr>
        <w:t>具体</w:t>
      </w:r>
      <w:r w:rsidR="00821144">
        <w:rPr>
          <w:rFonts w:hAnsi="宋体" w:hint="eastAsia"/>
          <w:bCs/>
          <w:sz w:val="24"/>
          <w:szCs w:val="24"/>
        </w:rPr>
        <w:t>的场外赎回</w:t>
      </w:r>
      <w:r>
        <w:rPr>
          <w:rFonts w:hAnsi="宋体" w:hint="eastAsia"/>
          <w:bCs/>
          <w:sz w:val="24"/>
          <w:szCs w:val="24"/>
        </w:rPr>
        <w:t>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3818"/>
      </w:tblGrid>
      <w:tr w:rsidR="0037652E" w14:paraId="2C3E95BB" w14:textId="77777777">
        <w:trPr>
          <w:trHeight w:val="448"/>
          <w:jc w:val="center"/>
        </w:trPr>
        <w:tc>
          <w:tcPr>
            <w:tcW w:w="4117" w:type="dxa"/>
            <w:vAlign w:val="center"/>
          </w:tcPr>
          <w:p w14:paraId="4921FD2F" w14:textId="77777777" w:rsidR="0037652E" w:rsidRDefault="00BF49B0">
            <w:pPr>
              <w:spacing w:line="360" w:lineRule="auto"/>
              <w:ind w:firstLineChars="200" w:firstLine="482"/>
              <w:jc w:val="center"/>
              <w:rPr>
                <w:rFonts w:hAnsi="宋体"/>
                <w:b/>
                <w:sz w:val="24"/>
                <w:szCs w:val="24"/>
              </w:rPr>
            </w:pPr>
            <w:r>
              <w:rPr>
                <w:rFonts w:hAnsi="宋体"/>
                <w:b/>
                <w:sz w:val="24"/>
                <w:szCs w:val="24"/>
              </w:rPr>
              <w:t>持有时间（</w:t>
            </w:r>
            <w:r>
              <w:rPr>
                <w:rFonts w:hAnsi="宋体"/>
                <w:b/>
                <w:sz w:val="24"/>
                <w:szCs w:val="24"/>
              </w:rPr>
              <w:t>N</w:t>
            </w:r>
            <w:r>
              <w:rPr>
                <w:rFonts w:hAnsi="宋体"/>
                <w:b/>
                <w:sz w:val="24"/>
                <w:szCs w:val="24"/>
              </w:rPr>
              <w:t>）</w:t>
            </w:r>
          </w:p>
        </w:tc>
        <w:tc>
          <w:tcPr>
            <w:tcW w:w="3818" w:type="dxa"/>
            <w:vAlign w:val="center"/>
          </w:tcPr>
          <w:p w14:paraId="37FAD15C" w14:textId="77777777" w:rsidR="0037652E" w:rsidRDefault="00BF49B0">
            <w:pPr>
              <w:spacing w:line="360" w:lineRule="auto"/>
              <w:ind w:firstLineChars="200" w:firstLine="482"/>
              <w:jc w:val="center"/>
              <w:rPr>
                <w:rFonts w:hAnsi="宋体"/>
                <w:b/>
                <w:sz w:val="24"/>
                <w:szCs w:val="24"/>
              </w:rPr>
            </w:pPr>
            <w:r>
              <w:rPr>
                <w:rFonts w:hAnsi="宋体"/>
                <w:b/>
                <w:sz w:val="24"/>
                <w:szCs w:val="24"/>
              </w:rPr>
              <w:t>赎回费率</w:t>
            </w:r>
          </w:p>
        </w:tc>
      </w:tr>
      <w:tr w:rsidR="0037652E" w14:paraId="101643DD" w14:textId="77777777">
        <w:trPr>
          <w:trHeight w:val="448"/>
          <w:jc w:val="center"/>
        </w:trPr>
        <w:tc>
          <w:tcPr>
            <w:tcW w:w="4117" w:type="dxa"/>
            <w:vAlign w:val="center"/>
          </w:tcPr>
          <w:p w14:paraId="78030291" w14:textId="77777777" w:rsidR="0037652E" w:rsidRDefault="00BF49B0">
            <w:pPr>
              <w:spacing w:line="360" w:lineRule="auto"/>
              <w:ind w:firstLineChars="200" w:firstLine="480"/>
              <w:jc w:val="left"/>
              <w:rPr>
                <w:rFonts w:hAnsi="宋体"/>
                <w:b/>
                <w:sz w:val="24"/>
                <w:szCs w:val="24"/>
              </w:rPr>
            </w:pPr>
            <w:r>
              <w:rPr>
                <w:sz w:val="24"/>
                <w:szCs w:val="24"/>
              </w:rPr>
              <w:t>N</w:t>
            </w:r>
            <w:r>
              <w:rPr>
                <w:rFonts w:hAnsi="宋体"/>
                <w:sz w:val="24"/>
                <w:szCs w:val="24"/>
              </w:rPr>
              <w:t>＜</w:t>
            </w:r>
            <w:r>
              <w:rPr>
                <w:rFonts w:hAnsi="宋体" w:hint="eastAsia"/>
                <w:sz w:val="24"/>
                <w:szCs w:val="24"/>
              </w:rPr>
              <w:t>7</w:t>
            </w:r>
            <w:r>
              <w:rPr>
                <w:rFonts w:hAnsi="宋体" w:hint="eastAsia"/>
                <w:sz w:val="24"/>
                <w:szCs w:val="24"/>
              </w:rPr>
              <w:t>天</w:t>
            </w:r>
          </w:p>
        </w:tc>
        <w:tc>
          <w:tcPr>
            <w:tcW w:w="3818" w:type="dxa"/>
            <w:vAlign w:val="center"/>
          </w:tcPr>
          <w:p w14:paraId="26867A80" w14:textId="77777777" w:rsidR="0037652E" w:rsidRDefault="00BF49B0">
            <w:pPr>
              <w:spacing w:line="360" w:lineRule="auto"/>
              <w:ind w:firstLineChars="200" w:firstLine="480"/>
              <w:jc w:val="left"/>
              <w:rPr>
                <w:rFonts w:hAnsi="宋体"/>
                <w:sz w:val="24"/>
                <w:szCs w:val="24"/>
              </w:rPr>
            </w:pPr>
            <w:r>
              <w:rPr>
                <w:rFonts w:hAnsi="宋体"/>
                <w:sz w:val="24"/>
                <w:szCs w:val="24"/>
              </w:rPr>
              <w:t>1.50%</w:t>
            </w:r>
          </w:p>
        </w:tc>
      </w:tr>
      <w:tr w:rsidR="0037652E" w14:paraId="4977FA78" w14:textId="77777777">
        <w:trPr>
          <w:jc w:val="center"/>
        </w:trPr>
        <w:tc>
          <w:tcPr>
            <w:tcW w:w="4117" w:type="dxa"/>
            <w:vAlign w:val="center"/>
          </w:tcPr>
          <w:p w14:paraId="41363413" w14:textId="77777777" w:rsidR="0037652E" w:rsidRDefault="00BF49B0">
            <w:pPr>
              <w:spacing w:line="360" w:lineRule="auto"/>
              <w:ind w:firstLineChars="200" w:firstLine="480"/>
              <w:rPr>
                <w:sz w:val="24"/>
                <w:szCs w:val="24"/>
              </w:rPr>
            </w:pPr>
            <w:r>
              <w:rPr>
                <w:rFonts w:hint="eastAsia"/>
                <w:sz w:val="24"/>
                <w:szCs w:val="24"/>
              </w:rPr>
              <w:t>7</w:t>
            </w:r>
            <w:r>
              <w:rPr>
                <w:rFonts w:hint="eastAsia"/>
                <w:sz w:val="24"/>
                <w:szCs w:val="24"/>
              </w:rPr>
              <w:t>天</w:t>
            </w:r>
            <w:r>
              <w:rPr>
                <w:sz w:val="24"/>
                <w:szCs w:val="24"/>
              </w:rPr>
              <w:t>≤N</w:t>
            </w:r>
            <w:r>
              <w:rPr>
                <w:rFonts w:hAnsi="宋体"/>
                <w:sz w:val="24"/>
                <w:szCs w:val="24"/>
              </w:rPr>
              <w:t>＜</w:t>
            </w:r>
            <w:r>
              <w:rPr>
                <w:sz w:val="24"/>
                <w:szCs w:val="24"/>
              </w:rPr>
              <w:t>1</w:t>
            </w:r>
            <w:r>
              <w:rPr>
                <w:rFonts w:hAnsi="宋体"/>
                <w:sz w:val="24"/>
                <w:szCs w:val="24"/>
              </w:rPr>
              <w:t>年</w:t>
            </w:r>
          </w:p>
        </w:tc>
        <w:tc>
          <w:tcPr>
            <w:tcW w:w="3818" w:type="dxa"/>
            <w:vAlign w:val="center"/>
          </w:tcPr>
          <w:p w14:paraId="57789EFB" w14:textId="77777777" w:rsidR="0037652E" w:rsidRDefault="00BF49B0">
            <w:pPr>
              <w:spacing w:line="360" w:lineRule="auto"/>
              <w:ind w:firstLineChars="200" w:firstLine="480"/>
              <w:rPr>
                <w:sz w:val="24"/>
                <w:szCs w:val="24"/>
              </w:rPr>
            </w:pPr>
            <w:r>
              <w:rPr>
                <w:sz w:val="24"/>
                <w:szCs w:val="24"/>
              </w:rPr>
              <w:t>0.50%</w:t>
            </w:r>
          </w:p>
        </w:tc>
      </w:tr>
      <w:tr w:rsidR="0037652E" w14:paraId="6E4A5C67" w14:textId="77777777">
        <w:trPr>
          <w:jc w:val="center"/>
        </w:trPr>
        <w:tc>
          <w:tcPr>
            <w:tcW w:w="4117" w:type="dxa"/>
            <w:vAlign w:val="center"/>
          </w:tcPr>
          <w:p w14:paraId="1AD0AE07" w14:textId="77777777" w:rsidR="0037652E" w:rsidRDefault="00BF49B0">
            <w:pPr>
              <w:spacing w:line="360" w:lineRule="auto"/>
              <w:ind w:firstLineChars="200" w:firstLine="480"/>
              <w:rPr>
                <w:sz w:val="24"/>
                <w:szCs w:val="24"/>
              </w:rPr>
            </w:pPr>
            <w:r>
              <w:rPr>
                <w:sz w:val="24"/>
                <w:szCs w:val="24"/>
              </w:rPr>
              <w:t>1</w:t>
            </w:r>
            <w:r>
              <w:rPr>
                <w:rFonts w:hAnsi="宋体"/>
                <w:sz w:val="24"/>
                <w:szCs w:val="24"/>
              </w:rPr>
              <w:t>年</w:t>
            </w:r>
            <w:r>
              <w:rPr>
                <w:sz w:val="24"/>
                <w:szCs w:val="24"/>
              </w:rPr>
              <w:t>≤N</w:t>
            </w:r>
            <w:r>
              <w:rPr>
                <w:rFonts w:hAnsi="宋体"/>
                <w:sz w:val="24"/>
                <w:szCs w:val="24"/>
              </w:rPr>
              <w:t>＜</w:t>
            </w:r>
            <w:r>
              <w:rPr>
                <w:sz w:val="24"/>
                <w:szCs w:val="24"/>
              </w:rPr>
              <w:t>2</w:t>
            </w:r>
            <w:r>
              <w:rPr>
                <w:rFonts w:hAnsi="宋体"/>
                <w:sz w:val="24"/>
                <w:szCs w:val="24"/>
              </w:rPr>
              <w:t>年</w:t>
            </w:r>
          </w:p>
        </w:tc>
        <w:tc>
          <w:tcPr>
            <w:tcW w:w="3818" w:type="dxa"/>
            <w:vAlign w:val="center"/>
          </w:tcPr>
          <w:p w14:paraId="52B1139D" w14:textId="77777777" w:rsidR="0037652E" w:rsidRDefault="00BF49B0">
            <w:pPr>
              <w:spacing w:line="360" w:lineRule="auto"/>
              <w:ind w:firstLineChars="200" w:firstLine="480"/>
              <w:rPr>
                <w:sz w:val="24"/>
                <w:szCs w:val="24"/>
              </w:rPr>
            </w:pPr>
            <w:r>
              <w:rPr>
                <w:sz w:val="24"/>
                <w:szCs w:val="24"/>
              </w:rPr>
              <w:t>0.</w:t>
            </w:r>
            <w:r>
              <w:rPr>
                <w:rFonts w:hint="eastAsia"/>
                <w:sz w:val="24"/>
                <w:szCs w:val="24"/>
              </w:rPr>
              <w:t>30</w:t>
            </w:r>
            <w:r>
              <w:rPr>
                <w:sz w:val="24"/>
                <w:szCs w:val="24"/>
              </w:rPr>
              <w:t>%</w:t>
            </w:r>
          </w:p>
        </w:tc>
      </w:tr>
      <w:tr w:rsidR="0037652E" w14:paraId="4B157A88" w14:textId="77777777">
        <w:trPr>
          <w:jc w:val="center"/>
        </w:trPr>
        <w:tc>
          <w:tcPr>
            <w:tcW w:w="4117" w:type="dxa"/>
            <w:vAlign w:val="center"/>
          </w:tcPr>
          <w:p w14:paraId="35C7CA9D" w14:textId="77777777" w:rsidR="0037652E" w:rsidRDefault="00BF49B0">
            <w:pPr>
              <w:spacing w:line="360" w:lineRule="auto"/>
              <w:ind w:firstLineChars="200" w:firstLine="480"/>
              <w:rPr>
                <w:sz w:val="24"/>
                <w:szCs w:val="24"/>
              </w:rPr>
            </w:pPr>
            <w:r>
              <w:rPr>
                <w:sz w:val="24"/>
                <w:szCs w:val="24"/>
              </w:rPr>
              <w:t>N≥2</w:t>
            </w:r>
            <w:r>
              <w:rPr>
                <w:rFonts w:hAnsi="宋体"/>
                <w:sz w:val="24"/>
                <w:szCs w:val="24"/>
              </w:rPr>
              <w:t>年</w:t>
            </w:r>
          </w:p>
        </w:tc>
        <w:tc>
          <w:tcPr>
            <w:tcW w:w="3818" w:type="dxa"/>
            <w:vAlign w:val="center"/>
          </w:tcPr>
          <w:p w14:paraId="4CB4B1CA" w14:textId="77777777" w:rsidR="0037652E" w:rsidRDefault="00BF49B0">
            <w:pPr>
              <w:spacing w:line="360" w:lineRule="auto"/>
              <w:ind w:firstLineChars="200" w:firstLine="480"/>
              <w:rPr>
                <w:sz w:val="24"/>
                <w:szCs w:val="24"/>
              </w:rPr>
            </w:pPr>
            <w:r>
              <w:rPr>
                <w:sz w:val="24"/>
                <w:szCs w:val="24"/>
              </w:rPr>
              <w:t>0</w:t>
            </w:r>
          </w:p>
        </w:tc>
      </w:tr>
    </w:tbl>
    <w:p w14:paraId="120A9FAE" w14:textId="52219568"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w:t>
      </w:r>
      <w:r w:rsidR="00C6177A">
        <w:rPr>
          <w:rFonts w:hAnsi="宋体" w:hint="eastAsia"/>
          <w:bCs/>
          <w:sz w:val="24"/>
          <w:szCs w:val="24"/>
        </w:rPr>
        <w:t>A</w:t>
      </w:r>
      <w:r w:rsidR="00C6177A">
        <w:rPr>
          <w:rFonts w:hAnsi="宋体" w:hint="eastAsia"/>
          <w:bCs/>
          <w:sz w:val="24"/>
          <w:szCs w:val="24"/>
        </w:rPr>
        <w:t>类基金份额的</w:t>
      </w:r>
      <w:r>
        <w:rPr>
          <w:rFonts w:hAnsi="宋体" w:hint="eastAsia"/>
          <w:bCs/>
          <w:sz w:val="24"/>
          <w:szCs w:val="24"/>
        </w:rPr>
        <w:t>场内赎回费率，本基金管理人对持续持有期少于</w:t>
      </w:r>
      <w:r>
        <w:rPr>
          <w:rFonts w:hAnsi="宋体"/>
          <w:bCs/>
          <w:sz w:val="24"/>
          <w:szCs w:val="24"/>
        </w:rPr>
        <w:t>7</w:t>
      </w:r>
      <w:r>
        <w:rPr>
          <w:rFonts w:hAnsi="宋体" w:hint="eastAsia"/>
          <w:bCs/>
          <w:sz w:val="24"/>
          <w:szCs w:val="24"/>
        </w:rPr>
        <w:t>日的投资者收取</w:t>
      </w:r>
      <w:r>
        <w:rPr>
          <w:rFonts w:hAnsi="宋体"/>
          <w:bCs/>
          <w:sz w:val="24"/>
          <w:szCs w:val="24"/>
        </w:rPr>
        <w:t>1.5%</w:t>
      </w:r>
      <w:r>
        <w:rPr>
          <w:rFonts w:hAnsi="宋体" w:hint="eastAsia"/>
          <w:bCs/>
          <w:sz w:val="24"/>
          <w:szCs w:val="24"/>
        </w:rPr>
        <w:t>的赎回费，对于持续持有期大于等于</w:t>
      </w:r>
      <w:r>
        <w:rPr>
          <w:rFonts w:hAnsi="宋体" w:hint="eastAsia"/>
          <w:bCs/>
          <w:sz w:val="24"/>
          <w:szCs w:val="24"/>
        </w:rPr>
        <w:t>7</w:t>
      </w:r>
      <w:r>
        <w:rPr>
          <w:rFonts w:hAnsi="宋体" w:hint="eastAsia"/>
          <w:bCs/>
          <w:sz w:val="24"/>
          <w:szCs w:val="24"/>
        </w:rPr>
        <w:t>日的投资者收取的赎回费率固定为</w:t>
      </w:r>
      <w:r>
        <w:rPr>
          <w:rFonts w:hAnsi="宋体" w:hint="eastAsia"/>
          <w:bCs/>
          <w:sz w:val="24"/>
          <w:szCs w:val="24"/>
        </w:rPr>
        <w:t>0.5%</w:t>
      </w:r>
      <w:r>
        <w:rPr>
          <w:rFonts w:hAnsi="宋体" w:hint="eastAsia"/>
          <w:bCs/>
          <w:sz w:val="24"/>
          <w:szCs w:val="24"/>
        </w:rPr>
        <w:t>。</w:t>
      </w:r>
    </w:p>
    <w:p w14:paraId="5B0A7B67" w14:textId="1811FBE2" w:rsidR="005D7D3C" w:rsidRDefault="005D7D3C">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w:t>
      </w:r>
      <w:r>
        <w:rPr>
          <w:rFonts w:hAnsi="宋体" w:hint="eastAsia"/>
          <w:bCs/>
          <w:sz w:val="24"/>
          <w:szCs w:val="24"/>
        </w:rPr>
        <w:t>C</w:t>
      </w:r>
      <w:r>
        <w:rPr>
          <w:rFonts w:hAnsi="宋体" w:hint="eastAsia"/>
          <w:bCs/>
          <w:sz w:val="24"/>
          <w:szCs w:val="24"/>
        </w:rPr>
        <w:t>类</w:t>
      </w:r>
      <w:r w:rsidR="00027CE6">
        <w:rPr>
          <w:rFonts w:hAnsi="宋体" w:hint="eastAsia"/>
          <w:bCs/>
          <w:sz w:val="24"/>
          <w:szCs w:val="24"/>
        </w:rPr>
        <w:t>基金份额</w:t>
      </w:r>
      <w:r w:rsidR="00255820">
        <w:rPr>
          <w:rFonts w:hAnsi="宋体" w:hint="eastAsia"/>
          <w:bCs/>
          <w:sz w:val="24"/>
          <w:szCs w:val="24"/>
        </w:rPr>
        <w:t>仅开放场外赎回，</w:t>
      </w:r>
      <w:r w:rsidR="00027CE6">
        <w:rPr>
          <w:rFonts w:hAnsi="宋体" w:hint="eastAsia"/>
          <w:bCs/>
          <w:sz w:val="24"/>
          <w:szCs w:val="24"/>
        </w:rPr>
        <w:t>赎回费率</w:t>
      </w:r>
      <w:r w:rsidR="007B6539">
        <w:rPr>
          <w:rFonts w:hAnsi="宋体" w:hint="eastAsia"/>
          <w:bCs/>
          <w:sz w:val="24"/>
          <w:szCs w:val="24"/>
        </w:rPr>
        <w:t>随</w:t>
      </w:r>
      <w:r w:rsidR="00255820">
        <w:rPr>
          <w:rFonts w:hAnsi="宋体" w:hint="eastAsia"/>
          <w:bCs/>
          <w:sz w:val="24"/>
          <w:szCs w:val="24"/>
        </w:rPr>
        <w:t>份额持有时间增加而递减</w:t>
      </w:r>
      <w:r w:rsidR="00027CE6">
        <w:rPr>
          <w:rFonts w:hAnsi="宋体" w:hint="eastAsia"/>
          <w:bCs/>
          <w:sz w:val="24"/>
          <w:szCs w:val="24"/>
        </w:rPr>
        <w:t>，</w:t>
      </w:r>
      <w:r w:rsidR="00027CE6" w:rsidRPr="00027CE6">
        <w:rPr>
          <w:rFonts w:hAnsi="宋体" w:hint="eastAsia"/>
          <w:bCs/>
          <w:sz w:val="24"/>
          <w:szCs w:val="24"/>
        </w:rPr>
        <w:t>本基金管理人对持续持有期少于</w:t>
      </w:r>
      <w:r w:rsidR="00027CE6" w:rsidRPr="00027CE6">
        <w:rPr>
          <w:rFonts w:hAnsi="宋体" w:hint="eastAsia"/>
          <w:bCs/>
          <w:sz w:val="24"/>
          <w:szCs w:val="24"/>
        </w:rPr>
        <w:t>7</w:t>
      </w:r>
      <w:r w:rsidR="00027CE6" w:rsidRPr="00027CE6">
        <w:rPr>
          <w:rFonts w:hAnsi="宋体" w:hint="eastAsia"/>
          <w:bCs/>
          <w:sz w:val="24"/>
          <w:szCs w:val="24"/>
        </w:rPr>
        <w:t>日的投资者收取</w:t>
      </w:r>
      <w:r w:rsidR="00027CE6" w:rsidRPr="00027CE6">
        <w:rPr>
          <w:rFonts w:hAnsi="宋体" w:hint="eastAsia"/>
          <w:bCs/>
          <w:sz w:val="24"/>
          <w:szCs w:val="24"/>
        </w:rPr>
        <w:t>1.5%</w:t>
      </w:r>
      <w:r w:rsidR="00027CE6" w:rsidRPr="00027CE6">
        <w:rPr>
          <w:rFonts w:hAnsi="宋体" w:hint="eastAsia"/>
          <w:bCs/>
          <w:sz w:val="24"/>
          <w:szCs w:val="24"/>
        </w:rPr>
        <w:t>的赎回费，对于持续持有期大于等于</w:t>
      </w:r>
      <w:r w:rsidR="00027CE6" w:rsidRPr="00027CE6">
        <w:rPr>
          <w:rFonts w:hAnsi="宋体" w:hint="eastAsia"/>
          <w:bCs/>
          <w:sz w:val="24"/>
          <w:szCs w:val="24"/>
        </w:rPr>
        <w:t>7</w:t>
      </w:r>
      <w:r w:rsidR="00027CE6" w:rsidRPr="00027CE6">
        <w:rPr>
          <w:rFonts w:hAnsi="宋体" w:hint="eastAsia"/>
          <w:bCs/>
          <w:sz w:val="24"/>
          <w:szCs w:val="24"/>
        </w:rPr>
        <w:t>日的投资者</w:t>
      </w:r>
      <w:r w:rsidR="00027CE6">
        <w:rPr>
          <w:rFonts w:hAnsi="宋体" w:hint="eastAsia"/>
          <w:bCs/>
          <w:sz w:val="24"/>
          <w:szCs w:val="24"/>
        </w:rPr>
        <w:t>不收赎回费。</w:t>
      </w:r>
    </w:p>
    <w:p w14:paraId="3C9C9BB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赎回费用由基金赎回人承担。投资者可将其持有的全部或部分基金份额赎回。本基金的赎回费用在投资者赎回本基金份额时收取，扣除用于市场推广、注册登记费和其他手续费后的余额归基金财产，赎回费归入基金财产的比例不得低于法律法规或中国证监会规定的比例下限。</w:t>
      </w:r>
    </w:p>
    <w:p w14:paraId="5F0FB77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lastRenderedPageBreak/>
        <w:t>3</w:t>
      </w:r>
      <w:r>
        <w:rPr>
          <w:rFonts w:hAnsi="宋体" w:hint="eastAsia"/>
          <w:bCs/>
          <w:sz w:val="24"/>
          <w:szCs w:val="24"/>
        </w:rPr>
        <w:t>、基金管理人可以在《基金合同》约定的范围内调整申购、赎回费率或收费方式，基金管理人最迟应于新的费率或收费方式实施日前</w:t>
      </w:r>
      <w:r>
        <w:rPr>
          <w:rFonts w:hAnsi="宋体" w:hint="eastAsia"/>
          <w:bCs/>
          <w:sz w:val="24"/>
          <w:szCs w:val="24"/>
        </w:rPr>
        <w:t>2</w:t>
      </w:r>
      <w:r>
        <w:rPr>
          <w:rFonts w:hAnsi="宋体" w:hint="eastAsia"/>
          <w:bCs/>
          <w:sz w:val="24"/>
          <w:szCs w:val="24"/>
        </w:rPr>
        <w:t>个工作日在指定媒介上公告。</w:t>
      </w:r>
    </w:p>
    <w:p w14:paraId="78FD47B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基金管理人可以在不违背法律法规规定及《基金合同》约定的情形下根据市场情况制定基金促销计划，针对特定地域范围、特定行业、特定职业的投资者以及以特定交易方式等进行基金交易的投资者定期或不定期地开展基金促销活动。在基金促销活动期间，按相关监管部门要求履行相关手续后，基金管理人可以适当调低基金申购费率、基金赎回费率和转换费率。</w:t>
      </w:r>
    </w:p>
    <w:p w14:paraId="27B4ECE8"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七、申购份额与赎回金额的计算</w:t>
      </w:r>
    </w:p>
    <w:p w14:paraId="62F1476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、基金申购份额的计算</w:t>
      </w:r>
    </w:p>
    <w:p w14:paraId="5D4C8943" w14:textId="04F8C680"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通过场外方式进行申购的，申购涉及金额、份额的计算结果均保留到小数点后两位，小数点后两位以后的部分四舍五入，由此产生的误差计入基金财产；通过场内方式申购的，申购涉及金额的计算结果保留到小数点后两位，小数点后两位以后的部分四舍五入，由此产生的误差计入基金财产；申购涉及份额的计算结果保留到整数位，计算所得整数位后小数部分的份额对应的资金返还至投资者资金账户。</w:t>
      </w:r>
    </w:p>
    <w:p w14:paraId="5D6EAAFA" w14:textId="79A21D12" w:rsidR="00027CE6" w:rsidRPr="00027CE6" w:rsidRDefault="00027CE6">
      <w:pPr>
        <w:tabs>
          <w:tab w:val="left" w:pos="961"/>
        </w:tabs>
        <w:snapToGrid w:val="0"/>
        <w:spacing w:line="360" w:lineRule="auto"/>
        <w:ind w:firstLineChars="200" w:firstLine="480"/>
        <w:rPr>
          <w:rFonts w:hAnsi="宋体"/>
          <w:bCs/>
          <w:sz w:val="24"/>
          <w:szCs w:val="24"/>
        </w:rPr>
      </w:pPr>
      <w:r w:rsidRPr="005874C9">
        <w:rPr>
          <w:rFonts w:hAnsi="宋体" w:hint="eastAsia"/>
          <w:bCs/>
          <w:sz w:val="24"/>
          <w:szCs w:val="24"/>
        </w:rPr>
        <w:t>（</w:t>
      </w:r>
      <w:r w:rsidRPr="005874C9">
        <w:rPr>
          <w:rFonts w:hAnsi="宋体"/>
          <w:bCs/>
          <w:sz w:val="24"/>
          <w:szCs w:val="24"/>
        </w:rPr>
        <w:t>1</w:t>
      </w:r>
      <w:r w:rsidRPr="005874C9">
        <w:rPr>
          <w:rFonts w:hAnsi="宋体" w:hint="eastAsia"/>
          <w:bCs/>
          <w:sz w:val="24"/>
          <w:szCs w:val="24"/>
        </w:rPr>
        <w:t>）本基金</w:t>
      </w:r>
      <w:r w:rsidRPr="005874C9">
        <w:rPr>
          <w:rFonts w:hAnsi="宋体"/>
          <w:bCs/>
          <w:sz w:val="24"/>
          <w:szCs w:val="24"/>
        </w:rPr>
        <w:t>A</w:t>
      </w:r>
      <w:r w:rsidRPr="005874C9">
        <w:rPr>
          <w:rFonts w:hAnsi="宋体" w:hint="eastAsia"/>
          <w:bCs/>
          <w:sz w:val="24"/>
          <w:szCs w:val="24"/>
        </w:rPr>
        <w:t>类基金份额，申购时申购份额计算公式为：</w:t>
      </w:r>
    </w:p>
    <w:p w14:paraId="5652E383" w14:textId="27974A8D" w:rsidR="0037652E" w:rsidRDefault="007F30B0">
      <w:pPr>
        <w:tabs>
          <w:tab w:val="left" w:pos="961"/>
        </w:tabs>
        <w:snapToGrid w:val="0"/>
        <w:spacing w:line="360" w:lineRule="auto"/>
        <w:ind w:firstLineChars="200" w:firstLine="480"/>
        <w:rPr>
          <w:rFonts w:hAnsi="宋体"/>
          <w:bCs/>
          <w:sz w:val="24"/>
          <w:szCs w:val="24"/>
        </w:rPr>
      </w:pPr>
      <w:r w:rsidRPr="007F30B0">
        <w:rPr>
          <w:rFonts w:hAnsi="宋体"/>
          <w:bCs/>
          <w:sz w:val="24"/>
          <w:szCs w:val="24"/>
        </w:rPr>
        <w:t>本基金</w:t>
      </w:r>
      <w:r w:rsidRPr="007F30B0">
        <w:rPr>
          <w:rFonts w:hAnsi="宋体" w:hint="eastAsia"/>
          <w:bCs/>
          <w:sz w:val="24"/>
          <w:szCs w:val="24"/>
        </w:rPr>
        <w:t>A</w:t>
      </w:r>
      <w:r w:rsidRPr="007F30B0">
        <w:rPr>
          <w:rFonts w:hAnsi="宋体" w:hint="eastAsia"/>
          <w:bCs/>
          <w:sz w:val="24"/>
          <w:szCs w:val="24"/>
        </w:rPr>
        <w:t>类基金份额</w:t>
      </w:r>
      <w:r w:rsidR="006D2E30">
        <w:rPr>
          <w:rFonts w:hAnsi="宋体" w:hint="eastAsia"/>
          <w:bCs/>
          <w:sz w:val="24"/>
          <w:szCs w:val="24"/>
        </w:rPr>
        <w:t>可通过场内、场外</w:t>
      </w:r>
      <w:r w:rsidR="009117C6">
        <w:rPr>
          <w:rFonts w:hAnsi="宋体" w:hint="eastAsia"/>
          <w:bCs/>
          <w:sz w:val="24"/>
          <w:szCs w:val="24"/>
        </w:rPr>
        <w:t>两种</w:t>
      </w:r>
      <w:r w:rsidR="006D2E30">
        <w:rPr>
          <w:rFonts w:hAnsi="宋体" w:hint="eastAsia"/>
          <w:bCs/>
          <w:sz w:val="24"/>
          <w:szCs w:val="24"/>
        </w:rPr>
        <w:t>方式</w:t>
      </w:r>
      <w:r w:rsidR="009117C6">
        <w:rPr>
          <w:rFonts w:hAnsi="宋体" w:hint="eastAsia"/>
          <w:bCs/>
          <w:sz w:val="24"/>
          <w:szCs w:val="24"/>
        </w:rPr>
        <w:t>进行</w:t>
      </w:r>
      <w:r w:rsidR="006D2E30">
        <w:rPr>
          <w:rFonts w:hAnsi="宋体" w:hint="eastAsia"/>
          <w:bCs/>
          <w:sz w:val="24"/>
          <w:szCs w:val="24"/>
        </w:rPr>
        <w:t>申购，</w:t>
      </w:r>
      <w:r w:rsidR="00F8021A">
        <w:rPr>
          <w:rFonts w:hAnsi="宋体" w:hint="eastAsia"/>
          <w:bCs/>
          <w:sz w:val="24"/>
          <w:szCs w:val="24"/>
        </w:rPr>
        <w:t>且</w:t>
      </w:r>
      <w:r w:rsidRPr="007F30B0">
        <w:rPr>
          <w:rFonts w:hAnsi="宋体"/>
          <w:bCs/>
          <w:sz w:val="24"/>
          <w:szCs w:val="24"/>
        </w:rPr>
        <w:t>以净申购金额为基数采用比例费率计算申购费用。</w:t>
      </w:r>
      <w:r w:rsidR="00027CE6">
        <w:rPr>
          <w:rFonts w:hAnsi="宋体" w:hint="eastAsia"/>
          <w:bCs/>
          <w:sz w:val="24"/>
          <w:szCs w:val="24"/>
        </w:rPr>
        <w:t>A</w:t>
      </w:r>
      <w:r w:rsidR="00027CE6">
        <w:rPr>
          <w:rFonts w:hAnsi="宋体" w:hint="eastAsia"/>
          <w:bCs/>
          <w:sz w:val="24"/>
          <w:szCs w:val="24"/>
        </w:rPr>
        <w:t>类</w:t>
      </w:r>
      <w:r w:rsidR="00BF49B0">
        <w:rPr>
          <w:rFonts w:hAnsi="宋体" w:hint="eastAsia"/>
          <w:bCs/>
          <w:sz w:val="24"/>
          <w:szCs w:val="24"/>
        </w:rPr>
        <w:t>基金</w:t>
      </w:r>
      <w:r w:rsidR="00027CE6">
        <w:rPr>
          <w:rFonts w:hAnsi="宋体" w:hint="eastAsia"/>
          <w:bCs/>
          <w:sz w:val="24"/>
          <w:szCs w:val="24"/>
        </w:rPr>
        <w:t>份额</w:t>
      </w:r>
      <w:r w:rsidR="00BF49B0">
        <w:rPr>
          <w:rFonts w:hAnsi="宋体" w:hint="eastAsia"/>
          <w:bCs/>
          <w:sz w:val="24"/>
          <w:szCs w:val="24"/>
        </w:rPr>
        <w:t>的申购金额包括申购费用和净申购金额，其中：</w:t>
      </w:r>
    </w:p>
    <w:p w14:paraId="44EF08C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净申购金额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申购金额</w:t>
      </w:r>
      <w:r>
        <w:rPr>
          <w:rFonts w:hAnsi="宋体" w:hint="eastAsia"/>
          <w:bCs/>
          <w:sz w:val="24"/>
          <w:szCs w:val="24"/>
        </w:rPr>
        <w:t xml:space="preserve"> / </w:t>
      </w:r>
      <w:r>
        <w:rPr>
          <w:rFonts w:hAnsi="宋体" w:hint="eastAsia"/>
          <w:bCs/>
          <w:sz w:val="24"/>
          <w:szCs w:val="24"/>
        </w:rPr>
        <w:t>（</w:t>
      </w:r>
      <w:r>
        <w:rPr>
          <w:rFonts w:hAnsi="宋体" w:hint="eastAsia"/>
          <w:bCs/>
          <w:sz w:val="24"/>
          <w:szCs w:val="24"/>
        </w:rPr>
        <w:t xml:space="preserve">1 + </w:t>
      </w:r>
      <w:r>
        <w:rPr>
          <w:rFonts w:hAnsi="宋体" w:hint="eastAsia"/>
          <w:bCs/>
          <w:sz w:val="24"/>
          <w:szCs w:val="24"/>
        </w:rPr>
        <w:t>申购费率）</w:t>
      </w:r>
    </w:p>
    <w:p w14:paraId="212FD11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申购费用</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申购金额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净申购金额</w:t>
      </w:r>
    </w:p>
    <w:p w14:paraId="42755EA9" w14:textId="3812FE92"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申购份额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净申购金额</w:t>
      </w:r>
      <w:r>
        <w:rPr>
          <w:rFonts w:hAnsi="宋体" w:hint="eastAsia"/>
          <w:bCs/>
          <w:sz w:val="24"/>
          <w:szCs w:val="24"/>
        </w:rPr>
        <w:t xml:space="preserve"> / </w:t>
      </w:r>
      <w:r>
        <w:rPr>
          <w:rFonts w:hAnsi="宋体" w:hint="eastAsia"/>
          <w:bCs/>
          <w:sz w:val="24"/>
          <w:szCs w:val="24"/>
        </w:rPr>
        <w:t>申购当日</w:t>
      </w:r>
      <w:r w:rsidR="00027CE6">
        <w:rPr>
          <w:rFonts w:hAnsi="宋体" w:hint="eastAsia"/>
          <w:bCs/>
          <w:sz w:val="24"/>
          <w:szCs w:val="24"/>
        </w:rPr>
        <w:t>A</w:t>
      </w:r>
      <w:r w:rsidR="00027CE6">
        <w:rPr>
          <w:rFonts w:hAnsi="宋体" w:hint="eastAsia"/>
          <w:bCs/>
          <w:sz w:val="24"/>
          <w:szCs w:val="24"/>
        </w:rPr>
        <w:t>类</w:t>
      </w:r>
      <w:r>
        <w:rPr>
          <w:rFonts w:hAnsi="宋体" w:hint="eastAsia"/>
          <w:bCs/>
          <w:sz w:val="24"/>
          <w:szCs w:val="24"/>
        </w:rPr>
        <w:t>基金份额净值</w:t>
      </w:r>
    </w:p>
    <w:p w14:paraId="2BBD442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（注：对于</w:t>
      </w:r>
      <w:r>
        <w:rPr>
          <w:rFonts w:hAnsi="宋体"/>
          <w:bCs/>
          <w:sz w:val="24"/>
          <w:szCs w:val="24"/>
        </w:rPr>
        <w:t>5</w:t>
      </w:r>
      <w:r>
        <w:rPr>
          <w:rFonts w:hAnsi="宋体" w:hint="eastAsia"/>
          <w:bCs/>
          <w:sz w:val="24"/>
          <w:szCs w:val="24"/>
        </w:rPr>
        <w:t xml:space="preserve">00 </w:t>
      </w:r>
      <w:r>
        <w:rPr>
          <w:rFonts w:hAnsi="宋体" w:hint="eastAsia"/>
          <w:bCs/>
          <w:sz w:val="24"/>
          <w:szCs w:val="24"/>
        </w:rPr>
        <w:t>万（含）以上的适用绝对费用数额的申购，净申购金额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申购金额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申购费用）</w:t>
      </w:r>
    </w:p>
    <w:p w14:paraId="16ED3077" w14:textId="1423CB6F"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例：某投资者通过场外投资</w:t>
      </w:r>
      <w:r>
        <w:rPr>
          <w:rFonts w:hAnsi="宋体" w:hint="eastAsia"/>
          <w:bCs/>
          <w:sz w:val="24"/>
          <w:szCs w:val="24"/>
        </w:rPr>
        <w:t>1</w:t>
      </w:r>
      <w:r>
        <w:rPr>
          <w:rFonts w:hAnsi="宋体" w:hint="eastAsia"/>
          <w:bCs/>
          <w:sz w:val="24"/>
          <w:szCs w:val="24"/>
        </w:rPr>
        <w:t>万元申购本基金</w:t>
      </w:r>
      <w:r w:rsidR="00027CE6">
        <w:rPr>
          <w:rFonts w:hAnsi="宋体" w:hint="eastAsia"/>
          <w:bCs/>
          <w:sz w:val="24"/>
          <w:szCs w:val="24"/>
        </w:rPr>
        <w:t>A</w:t>
      </w:r>
      <w:r w:rsidR="00027CE6">
        <w:rPr>
          <w:rFonts w:hAnsi="宋体" w:hint="eastAsia"/>
          <w:bCs/>
          <w:sz w:val="24"/>
          <w:szCs w:val="24"/>
        </w:rPr>
        <w:t>类基金份额</w:t>
      </w:r>
      <w:r>
        <w:rPr>
          <w:rFonts w:hAnsi="宋体" w:hint="eastAsia"/>
          <w:bCs/>
          <w:sz w:val="24"/>
          <w:szCs w:val="24"/>
        </w:rPr>
        <w:t>，申购费率为</w:t>
      </w:r>
      <w:r>
        <w:rPr>
          <w:rFonts w:hAnsi="宋体" w:hint="eastAsia"/>
          <w:bCs/>
          <w:sz w:val="24"/>
          <w:szCs w:val="24"/>
        </w:rPr>
        <w:t>0.8%</w:t>
      </w:r>
      <w:r>
        <w:rPr>
          <w:rFonts w:hAnsi="宋体" w:hint="eastAsia"/>
          <w:bCs/>
          <w:sz w:val="24"/>
          <w:szCs w:val="24"/>
        </w:rPr>
        <w:t>，假定申购当日</w:t>
      </w:r>
      <w:r w:rsidR="00E41F78">
        <w:rPr>
          <w:rFonts w:hAnsi="宋体" w:hint="eastAsia"/>
          <w:bCs/>
          <w:sz w:val="24"/>
          <w:szCs w:val="24"/>
        </w:rPr>
        <w:t>A</w:t>
      </w:r>
      <w:r w:rsidR="00E41F78">
        <w:rPr>
          <w:rFonts w:hAnsi="宋体" w:hint="eastAsia"/>
          <w:bCs/>
          <w:sz w:val="24"/>
          <w:szCs w:val="24"/>
        </w:rPr>
        <w:t>类</w:t>
      </w:r>
      <w:r>
        <w:rPr>
          <w:rFonts w:hAnsi="宋体" w:hint="eastAsia"/>
          <w:bCs/>
          <w:sz w:val="24"/>
          <w:szCs w:val="24"/>
        </w:rPr>
        <w:t>基金份额净值为</w:t>
      </w:r>
      <w:r>
        <w:rPr>
          <w:rFonts w:hAnsi="宋体" w:hint="eastAsia"/>
          <w:bCs/>
          <w:sz w:val="24"/>
          <w:szCs w:val="24"/>
        </w:rPr>
        <w:t>1.050</w:t>
      </w:r>
      <w:r>
        <w:rPr>
          <w:rFonts w:hAnsi="宋体" w:hint="eastAsia"/>
          <w:bCs/>
          <w:sz w:val="24"/>
          <w:szCs w:val="24"/>
        </w:rPr>
        <w:t>元，则其可得到的申购份额为：</w:t>
      </w:r>
    </w:p>
    <w:p w14:paraId="24690EF6" w14:textId="5A0ABB46"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净申购金额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10,000</w:t>
      </w:r>
      <w:r w:rsidR="00877489">
        <w:rPr>
          <w:rFonts w:hAnsi="宋体"/>
          <w:bCs/>
          <w:sz w:val="24"/>
          <w:szCs w:val="24"/>
        </w:rPr>
        <w:t>.00</w:t>
      </w:r>
      <w:r>
        <w:rPr>
          <w:rFonts w:hAnsi="宋体" w:hint="eastAsia"/>
          <w:bCs/>
          <w:sz w:val="24"/>
          <w:szCs w:val="24"/>
        </w:rPr>
        <w:t>／</w:t>
      </w:r>
      <w:r>
        <w:rPr>
          <w:rFonts w:hAnsi="宋体" w:hint="eastAsia"/>
          <w:bCs/>
          <w:sz w:val="24"/>
          <w:szCs w:val="24"/>
        </w:rPr>
        <w:t>(1</w:t>
      </w:r>
      <w:r>
        <w:rPr>
          <w:rFonts w:hAnsi="宋体" w:hint="eastAsia"/>
          <w:bCs/>
          <w:sz w:val="24"/>
          <w:szCs w:val="24"/>
        </w:rPr>
        <w:t>＋</w:t>
      </w:r>
      <w:r>
        <w:rPr>
          <w:rFonts w:hAnsi="宋体" w:hint="eastAsia"/>
          <w:bCs/>
          <w:sz w:val="24"/>
          <w:szCs w:val="24"/>
        </w:rPr>
        <w:t xml:space="preserve">0.8%) </w:t>
      </w:r>
      <w:r>
        <w:rPr>
          <w:rFonts w:hAnsi="宋体" w:hint="eastAsia"/>
          <w:bCs/>
          <w:sz w:val="24"/>
          <w:szCs w:val="24"/>
        </w:rPr>
        <w:t>＝</w:t>
      </w:r>
      <w:r>
        <w:rPr>
          <w:rFonts w:hAnsi="宋体" w:hint="eastAsia"/>
          <w:bCs/>
          <w:sz w:val="24"/>
          <w:szCs w:val="24"/>
        </w:rPr>
        <w:t xml:space="preserve"> 9920.63 </w:t>
      </w:r>
      <w:r>
        <w:rPr>
          <w:rFonts w:hAnsi="宋体" w:hint="eastAsia"/>
          <w:bCs/>
          <w:sz w:val="24"/>
          <w:szCs w:val="24"/>
        </w:rPr>
        <w:t>元</w:t>
      </w:r>
    </w:p>
    <w:p w14:paraId="6D6FC303" w14:textId="6A11D9DD"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申购费用</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10,000</w:t>
      </w:r>
      <w:r w:rsidR="00877489">
        <w:rPr>
          <w:rFonts w:hAnsi="宋体"/>
          <w:bCs/>
          <w:sz w:val="24"/>
          <w:szCs w:val="24"/>
        </w:rPr>
        <w:t>.00</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9920.63 </w:t>
      </w:r>
      <w:r>
        <w:rPr>
          <w:rFonts w:hAnsi="宋体" w:hint="eastAsia"/>
          <w:bCs/>
          <w:sz w:val="24"/>
          <w:szCs w:val="24"/>
        </w:rPr>
        <w:t>＝</w:t>
      </w:r>
      <w:r>
        <w:rPr>
          <w:rFonts w:hAnsi="宋体" w:hint="eastAsia"/>
          <w:bCs/>
          <w:sz w:val="24"/>
          <w:szCs w:val="24"/>
        </w:rPr>
        <w:t xml:space="preserve"> 79.37 </w:t>
      </w:r>
      <w:r>
        <w:rPr>
          <w:rFonts w:hAnsi="宋体" w:hint="eastAsia"/>
          <w:bCs/>
          <w:sz w:val="24"/>
          <w:szCs w:val="24"/>
        </w:rPr>
        <w:t>元</w:t>
      </w:r>
    </w:p>
    <w:p w14:paraId="73994D8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申购份额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9920.63/1.050 </w:t>
      </w:r>
      <w:r>
        <w:rPr>
          <w:rFonts w:hAnsi="宋体" w:hint="eastAsia"/>
          <w:bCs/>
          <w:sz w:val="24"/>
          <w:szCs w:val="24"/>
        </w:rPr>
        <w:t>＝</w:t>
      </w:r>
      <w:r>
        <w:rPr>
          <w:rFonts w:hAnsi="宋体" w:hint="eastAsia"/>
          <w:bCs/>
          <w:sz w:val="24"/>
          <w:szCs w:val="24"/>
        </w:rPr>
        <w:t xml:space="preserve"> 9448.22 </w:t>
      </w:r>
      <w:r>
        <w:rPr>
          <w:rFonts w:hAnsi="宋体" w:hint="eastAsia"/>
          <w:bCs/>
          <w:sz w:val="24"/>
          <w:szCs w:val="24"/>
        </w:rPr>
        <w:t>份</w:t>
      </w:r>
    </w:p>
    <w:p w14:paraId="0C4D6C7E" w14:textId="6FBBD2F8" w:rsidR="00356459" w:rsidRPr="00027CE6" w:rsidRDefault="00356459" w:rsidP="00356459">
      <w:pPr>
        <w:tabs>
          <w:tab w:val="left" w:pos="961"/>
        </w:tabs>
        <w:snapToGrid w:val="0"/>
        <w:spacing w:line="360" w:lineRule="auto"/>
        <w:ind w:firstLineChars="200" w:firstLine="480"/>
        <w:rPr>
          <w:rFonts w:hAnsi="宋体"/>
          <w:bCs/>
          <w:sz w:val="24"/>
          <w:szCs w:val="24"/>
        </w:rPr>
      </w:pPr>
      <w:r w:rsidRPr="00027CE6">
        <w:rPr>
          <w:rFonts w:hAnsi="宋体" w:hint="eastAsia"/>
          <w:bCs/>
          <w:sz w:val="24"/>
          <w:szCs w:val="24"/>
        </w:rPr>
        <w:lastRenderedPageBreak/>
        <w:t>即：</w:t>
      </w:r>
      <w:r>
        <w:rPr>
          <w:rFonts w:hAnsi="宋体" w:hint="eastAsia"/>
          <w:bCs/>
          <w:sz w:val="24"/>
          <w:szCs w:val="24"/>
        </w:rPr>
        <w:t>投资者通过场外投资</w:t>
      </w:r>
      <w:r>
        <w:rPr>
          <w:rFonts w:hAnsi="宋体" w:hint="eastAsia"/>
          <w:bCs/>
          <w:sz w:val="24"/>
          <w:szCs w:val="24"/>
        </w:rPr>
        <w:t>1</w:t>
      </w:r>
      <w:r>
        <w:rPr>
          <w:rFonts w:hAnsi="宋体" w:hint="eastAsia"/>
          <w:bCs/>
          <w:sz w:val="24"/>
          <w:szCs w:val="24"/>
        </w:rPr>
        <w:t>万元申购</w:t>
      </w:r>
      <w:r w:rsidRPr="00027CE6">
        <w:rPr>
          <w:rFonts w:hAnsi="宋体"/>
          <w:bCs/>
          <w:sz w:val="24"/>
          <w:szCs w:val="24"/>
        </w:rPr>
        <w:t>本基金</w:t>
      </w:r>
      <w:r>
        <w:rPr>
          <w:rFonts w:hAnsi="宋体" w:hint="eastAsia"/>
          <w:bCs/>
          <w:sz w:val="24"/>
          <w:szCs w:val="24"/>
        </w:rPr>
        <w:t>A</w:t>
      </w:r>
      <w:r>
        <w:rPr>
          <w:rFonts w:hAnsi="宋体" w:hint="eastAsia"/>
          <w:bCs/>
          <w:sz w:val="24"/>
          <w:szCs w:val="24"/>
        </w:rPr>
        <w:t>类</w:t>
      </w:r>
      <w:r w:rsidRPr="00027CE6">
        <w:rPr>
          <w:rFonts w:hAnsi="宋体"/>
          <w:bCs/>
          <w:sz w:val="24"/>
          <w:szCs w:val="24"/>
        </w:rPr>
        <w:t>基金份额，</w:t>
      </w:r>
      <w:r w:rsidR="00E41F78">
        <w:rPr>
          <w:rFonts w:hAnsi="宋体" w:hint="eastAsia"/>
          <w:bCs/>
          <w:sz w:val="24"/>
          <w:szCs w:val="24"/>
        </w:rPr>
        <w:t>假定申购当日</w:t>
      </w:r>
      <w:r w:rsidR="004E67E3">
        <w:rPr>
          <w:rFonts w:hAnsi="宋体" w:hint="eastAsia"/>
          <w:bCs/>
          <w:sz w:val="24"/>
          <w:szCs w:val="24"/>
        </w:rPr>
        <w:t>A</w:t>
      </w:r>
      <w:r w:rsidR="004E67E3">
        <w:rPr>
          <w:rFonts w:hAnsi="宋体" w:hint="eastAsia"/>
          <w:bCs/>
          <w:sz w:val="24"/>
          <w:szCs w:val="24"/>
        </w:rPr>
        <w:t>类</w:t>
      </w:r>
      <w:r w:rsidR="00E41F78">
        <w:rPr>
          <w:rFonts w:hAnsi="宋体" w:hint="eastAsia"/>
          <w:bCs/>
          <w:sz w:val="24"/>
          <w:szCs w:val="24"/>
        </w:rPr>
        <w:t>基金份额净值为</w:t>
      </w:r>
      <w:r w:rsidR="00E41F78">
        <w:rPr>
          <w:rFonts w:hAnsi="宋体" w:hint="eastAsia"/>
          <w:bCs/>
          <w:sz w:val="24"/>
          <w:szCs w:val="24"/>
        </w:rPr>
        <w:t>1.050</w:t>
      </w:r>
      <w:r w:rsidR="00E41F78">
        <w:rPr>
          <w:rFonts w:hAnsi="宋体" w:hint="eastAsia"/>
          <w:bCs/>
          <w:sz w:val="24"/>
          <w:szCs w:val="24"/>
        </w:rPr>
        <w:t>元，</w:t>
      </w:r>
      <w:r w:rsidRPr="00027CE6">
        <w:rPr>
          <w:rFonts w:hAnsi="宋体"/>
          <w:bCs/>
          <w:sz w:val="24"/>
          <w:szCs w:val="24"/>
        </w:rPr>
        <w:t>则其可得到</w:t>
      </w:r>
      <w:r w:rsidR="007731BA">
        <w:rPr>
          <w:rFonts w:hAnsi="宋体" w:hint="eastAsia"/>
          <w:bCs/>
          <w:sz w:val="24"/>
          <w:szCs w:val="24"/>
        </w:rPr>
        <w:t>9448.22</w:t>
      </w:r>
      <w:r w:rsidRPr="00027CE6">
        <w:rPr>
          <w:rFonts w:hAnsi="宋体"/>
          <w:bCs/>
          <w:sz w:val="24"/>
          <w:szCs w:val="24"/>
        </w:rPr>
        <w:t>份</w:t>
      </w:r>
      <w:r w:rsidR="007731BA">
        <w:rPr>
          <w:rFonts w:hAnsi="宋体" w:hint="eastAsia"/>
          <w:bCs/>
          <w:sz w:val="24"/>
          <w:szCs w:val="24"/>
        </w:rPr>
        <w:t>A</w:t>
      </w:r>
      <w:r w:rsidR="007731BA">
        <w:rPr>
          <w:rFonts w:hAnsi="宋体" w:hint="eastAsia"/>
          <w:bCs/>
          <w:sz w:val="24"/>
          <w:szCs w:val="24"/>
        </w:rPr>
        <w:t>类</w:t>
      </w:r>
      <w:r w:rsidRPr="00027CE6">
        <w:rPr>
          <w:rFonts w:hAnsi="宋体"/>
          <w:bCs/>
          <w:sz w:val="24"/>
          <w:szCs w:val="24"/>
        </w:rPr>
        <w:t>基金份额。</w:t>
      </w:r>
    </w:p>
    <w:p w14:paraId="5E956C28" w14:textId="006D08EE" w:rsidR="00027CE6" w:rsidRPr="00027CE6" w:rsidRDefault="00027CE6" w:rsidP="00027CE6">
      <w:pPr>
        <w:tabs>
          <w:tab w:val="left" w:pos="961"/>
        </w:tabs>
        <w:snapToGrid w:val="0"/>
        <w:spacing w:line="360" w:lineRule="auto"/>
        <w:ind w:firstLineChars="200" w:firstLine="480"/>
        <w:rPr>
          <w:rFonts w:hAnsi="宋体"/>
          <w:bCs/>
          <w:sz w:val="24"/>
          <w:szCs w:val="24"/>
        </w:rPr>
      </w:pPr>
      <w:r w:rsidRPr="00152158">
        <w:rPr>
          <w:rFonts w:hAnsi="宋体" w:hint="eastAsia"/>
          <w:bCs/>
          <w:sz w:val="24"/>
          <w:szCs w:val="24"/>
        </w:rPr>
        <w:t>（</w:t>
      </w:r>
      <w:r>
        <w:rPr>
          <w:rFonts w:hAnsi="宋体" w:hint="eastAsia"/>
          <w:bCs/>
          <w:sz w:val="24"/>
          <w:szCs w:val="24"/>
        </w:rPr>
        <w:t>2</w:t>
      </w:r>
      <w:r w:rsidRPr="00152158">
        <w:rPr>
          <w:rFonts w:hAnsi="宋体" w:hint="eastAsia"/>
          <w:bCs/>
          <w:sz w:val="24"/>
          <w:szCs w:val="24"/>
        </w:rPr>
        <w:t>）本基金</w:t>
      </w:r>
      <w:r>
        <w:rPr>
          <w:rFonts w:hAnsi="宋体"/>
          <w:bCs/>
          <w:sz w:val="24"/>
          <w:szCs w:val="24"/>
        </w:rPr>
        <w:t>C</w:t>
      </w:r>
      <w:r w:rsidRPr="00152158">
        <w:rPr>
          <w:rFonts w:hAnsi="宋体" w:hint="eastAsia"/>
          <w:bCs/>
          <w:sz w:val="24"/>
          <w:szCs w:val="24"/>
        </w:rPr>
        <w:t>类基金份额</w:t>
      </w:r>
      <w:r w:rsidR="009B0B1E">
        <w:rPr>
          <w:rFonts w:hAnsi="宋体" w:hint="eastAsia"/>
          <w:bCs/>
          <w:sz w:val="24"/>
          <w:szCs w:val="24"/>
        </w:rPr>
        <w:t>仅可通过场外方式申购</w:t>
      </w:r>
      <w:r w:rsidRPr="00152158">
        <w:rPr>
          <w:rFonts w:hAnsi="宋体" w:hint="eastAsia"/>
          <w:bCs/>
          <w:sz w:val="24"/>
          <w:szCs w:val="24"/>
        </w:rPr>
        <w:t>，申购时申购份额计算公式为：</w:t>
      </w:r>
    </w:p>
    <w:p w14:paraId="6DC94CD5" w14:textId="7D77B270" w:rsidR="00027CE6" w:rsidRDefault="00027CE6">
      <w:pPr>
        <w:tabs>
          <w:tab w:val="left" w:pos="961"/>
        </w:tabs>
        <w:snapToGrid w:val="0"/>
        <w:spacing w:line="360" w:lineRule="auto"/>
        <w:ind w:firstLineChars="200" w:firstLine="480"/>
        <w:rPr>
          <w:rFonts w:hAnsi="宋体"/>
          <w:bCs/>
          <w:sz w:val="24"/>
          <w:szCs w:val="24"/>
        </w:rPr>
      </w:pPr>
      <w:r w:rsidRPr="00027CE6">
        <w:rPr>
          <w:rFonts w:hAnsi="宋体" w:hint="eastAsia"/>
          <w:bCs/>
          <w:sz w:val="24"/>
          <w:szCs w:val="24"/>
        </w:rPr>
        <w:t>申购份额</w:t>
      </w:r>
      <w:r w:rsidRPr="00027CE6">
        <w:rPr>
          <w:rFonts w:hAnsi="宋体" w:hint="eastAsia"/>
          <w:bCs/>
          <w:sz w:val="24"/>
          <w:szCs w:val="24"/>
        </w:rPr>
        <w:t>=</w:t>
      </w:r>
      <w:r w:rsidRPr="00027CE6">
        <w:rPr>
          <w:rFonts w:hAnsi="宋体" w:hint="eastAsia"/>
          <w:bCs/>
          <w:sz w:val="24"/>
          <w:szCs w:val="24"/>
        </w:rPr>
        <w:t>申购金额</w:t>
      </w:r>
      <w:r w:rsidRPr="00027CE6">
        <w:rPr>
          <w:rFonts w:hAnsi="宋体" w:hint="eastAsia"/>
          <w:bCs/>
          <w:sz w:val="24"/>
          <w:szCs w:val="24"/>
        </w:rPr>
        <w:t>/</w:t>
      </w:r>
      <w:r w:rsidRPr="00027CE6">
        <w:rPr>
          <w:rFonts w:hAnsi="宋体" w:hint="eastAsia"/>
          <w:bCs/>
          <w:sz w:val="24"/>
          <w:szCs w:val="24"/>
        </w:rPr>
        <w:t>申购</w:t>
      </w:r>
      <w:r w:rsidR="00FC4549">
        <w:rPr>
          <w:rFonts w:hAnsi="宋体" w:hint="eastAsia"/>
          <w:bCs/>
          <w:sz w:val="24"/>
          <w:szCs w:val="24"/>
        </w:rPr>
        <w:t>C</w:t>
      </w:r>
      <w:r w:rsidRPr="00027CE6">
        <w:rPr>
          <w:rFonts w:hAnsi="宋体" w:hint="eastAsia"/>
          <w:bCs/>
          <w:sz w:val="24"/>
          <w:szCs w:val="24"/>
        </w:rPr>
        <w:t>日该类基金份额净值</w:t>
      </w:r>
    </w:p>
    <w:p w14:paraId="36CD2786" w14:textId="74055E82" w:rsidR="00027CE6" w:rsidRPr="00027CE6" w:rsidRDefault="00027CE6" w:rsidP="00027CE6">
      <w:pPr>
        <w:tabs>
          <w:tab w:val="left" w:pos="961"/>
        </w:tabs>
        <w:snapToGrid w:val="0"/>
        <w:spacing w:line="360" w:lineRule="auto"/>
        <w:ind w:firstLineChars="200" w:firstLine="480"/>
        <w:rPr>
          <w:rFonts w:hAnsi="宋体"/>
          <w:bCs/>
          <w:sz w:val="24"/>
          <w:szCs w:val="24"/>
        </w:rPr>
      </w:pPr>
      <w:r w:rsidRPr="00027CE6">
        <w:rPr>
          <w:rFonts w:hAnsi="宋体" w:hint="eastAsia"/>
          <w:bCs/>
          <w:sz w:val="24"/>
          <w:szCs w:val="24"/>
        </w:rPr>
        <w:t>例：假定某投资者在</w:t>
      </w:r>
      <w:r w:rsidRPr="00027CE6">
        <w:rPr>
          <w:rFonts w:hAnsi="宋体" w:hint="eastAsia"/>
          <w:bCs/>
          <w:sz w:val="24"/>
          <w:szCs w:val="24"/>
        </w:rPr>
        <w:t>T</w:t>
      </w:r>
      <w:r w:rsidRPr="00027CE6">
        <w:rPr>
          <w:rFonts w:hAnsi="宋体" w:hint="eastAsia"/>
          <w:bCs/>
          <w:sz w:val="24"/>
          <w:szCs w:val="24"/>
        </w:rPr>
        <w:t>日投资</w:t>
      </w:r>
      <w:r w:rsidRPr="00027CE6">
        <w:rPr>
          <w:rFonts w:hAnsi="宋体" w:hint="eastAsia"/>
          <w:bCs/>
          <w:sz w:val="24"/>
          <w:szCs w:val="24"/>
        </w:rPr>
        <w:t>50,000</w:t>
      </w:r>
      <w:r w:rsidRPr="00027CE6">
        <w:rPr>
          <w:rFonts w:hAnsi="宋体" w:hint="eastAsia"/>
          <w:bCs/>
          <w:sz w:val="24"/>
          <w:szCs w:val="24"/>
        </w:rPr>
        <w:t>元申购本基金</w:t>
      </w:r>
      <w:r w:rsidRPr="00027CE6">
        <w:rPr>
          <w:rFonts w:hAnsi="宋体" w:hint="eastAsia"/>
          <w:bCs/>
          <w:sz w:val="24"/>
          <w:szCs w:val="24"/>
        </w:rPr>
        <w:t>C</w:t>
      </w:r>
      <w:r w:rsidRPr="00027CE6">
        <w:rPr>
          <w:rFonts w:hAnsi="宋体" w:hint="eastAsia"/>
          <w:bCs/>
          <w:sz w:val="24"/>
          <w:szCs w:val="24"/>
        </w:rPr>
        <w:t>类基金份额，假设申购当日</w:t>
      </w:r>
      <w:r w:rsidRPr="00027CE6">
        <w:rPr>
          <w:rFonts w:hAnsi="宋体" w:hint="eastAsia"/>
          <w:bCs/>
          <w:sz w:val="24"/>
          <w:szCs w:val="24"/>
        </w:rPr>
        <w:t>C</w:t>
      </w:r>
      <w:r w:rsidRPr="00027CE6">
        <w:rPr>
          <w:rFonts w:hAnsi="宋体" w:hint="eastAsia"/>
          <w:bCs/>
          <w:sz w:val="24"/>
          <w:szCs w:val="24"/>
        </w:rPr>
        <w:t>类基金份额净值为</w:t>
      </w:r>
      <w:r w:rsidRPr="00027CE6">
        <w:rPr>
          <w:rFonts w:hAnsi="宋体" w:hint="eastAsia"/>
          <w:bCs/>
          <w:sz w:val="24"/>
          <w:szCs w:val="24"/>
        </w:rPr>
        <w:t>1.052</w:t>
      </w:r>
      <w:r w:rsidRPr="00027CE6">
        <w:rPr>
          <w:rFonts w:hAnsi="宋体" w:hint="eastAsia"/>
          <w:bCs/>
          <w:sz w:val="24"/>
          <w:szCs w:val="24"/>
        </w:rPr>
        <w:t>元，则其可得到的申购份额计算如下：</w:t>
      </w:r>
    </w:p>
    <w:p w14:paraId="777218EB" w14:textId="43893024" w:rsidR="00027CE6" w:rsidRPr="00027CE6" w:rsidRDefault="00027CE6" w:rsidP="00027CE6">
      <w:pPr>
        <w:tabs>
          <w:tab w:val="left" w:pos="961"/>
        </w:tabs>
        <w:snapToGrid w:val="0"/>
        <w:spacing w:line="360" w:lineRule="auto"/>
        <w:ind w:firstLineChars="200" w:firstLine="480"/>
        <w:rPr>
          <w:rFonts w:hAnsi="宋体"/>
          <w:bCs/>
          <w:sz w:val="24"/>
          <w:szCs w:val="24"/>
        </w:rPr>
      </w:pPr>
      <w:r w:rsidRPr="00027CE6">
        <w:rPr>
          <w:rFonts w:hAnsi="宋体" w:hint="eastAsia"/>
          <w:bCs/>
          <w:sz w:val="24"/>
          <w:szCs w:val="24"/>
        </w:rPr>
        <w:t>申购份额</w:t>
      </w:r>
      <w:r w:rsidRPr="00027CE6">
        <w:rPr>
          <w:rFonts w:hAnsi="宋体" w:hint="eastAsia"/>
          <w:bCs/>
          <w:sz w:val="24"/>
          <w:szCs w:val="24"/>
        </w:rPr>
        <w:t xml:space="preserve"> = 50,000</w:t>
      </w:r>
      <w:r w:rsidR="00E6477E">
        <w:rPr>
          <w:rFonts w:hAnsi="宋体"/>
          <w:bCs/>
          <w:sz w:val="24"/>
          <w:szCs w:val="24"/>
        </w:rPr>
        <w:t>.00</w:t>
      </w:r>
      <w:r w:rsidRPr="00027CE6">
        <w:rPr>
          <w:rFonts w:hAnsi="宋体" w:hint="eastAsia"/>
          <w:bCs/>
          <w:sz w:val="24"/>
          <w:szCs w:val="24"/>
        </w:rPr>
        <w:t>/1.052=47,528.52</w:t>
      </w:r>
      <w:r w:rsidRPr="00027CE6">
        <w:rPr>
          <w:rFonts w:hAnsi="宋体" w:hint="eastAsia"/>
          <w:bCs/>
          <w:sz w:val="24"/>
          <w:szCs w:val="24"/>
        </w:rPr>
        <w:t>份</w:t>
      </w:r>
    </w:p>
    <w:p w14:paraId="6F32D605" w14:textId="1780BFD1" w:rsidR="00027CE6" w:rsidRPr="00027CE6" w:rsidRDefault="00027CE6" w:rsidP="00027CE6">
      <w:pPr>
        <w:tabs>
          <w:tab w:val="left" w:pos="961"/>
        </w:tabs>
        <w:snapToGrid w:val="0"/>
        <w:spacing w:line="360" w:lineRule="auto"/>
        <w:ind w:firstLineChars="200" w:firstLine="480"/>
        <w:rPr>
          <w:rFonts w:hAnsi="宋体"/>
          <w:bCs/>
          <w:sz w:val="24"/>
          <w:szCs w:val="24"/>
        </w:rPr>
      </w:pPr>
      <w:r w:rsidRPr="00027CE6">
        <w:rPr>
          <w:rFonts w:hAnsi="宋体" w:hint="eastAsia"/>
          <w:bCs/>
          <w:sz w:val="24"/>
          <w:szCs w:val="24"/>
        </w:rPr>
        <w:t>即：投资者投资</w:t>
      </w:r>
      <w:r w:rsidRPr="00027CE6">
        <w:rPr>
          <w:rFonts w:hAnsi="宋体"/>
          <w:bCs/>
          <w:sz w:val="24"/>
          <w:szCs w:val="24"/>
        </w:rPr>
        <w:t>5</w:t>
      </w:r>
      <w:r w:rsidRPr="00027CE6">
        <w:rPr>
          <w:rFonts w:hAnsi="宋体"/>
          <w:bCs/>
          <w:sz w:val="24"/>
          <w:szCs w:val="24"/>
        </w:rPr>
        <w:t>万元申购本基金</w:t>
      </w:r>
      <w:r w:rsidRPr="00027CE6">
        <w:rPr>
          <w:rFonts w:hAnsi="宋体"/>
          <w:bCs/>
          <w:sz w:val="24"/>
          <w:szCs w:val="24"/>
        </w:rPr>
        <w:t>C</w:t>
      </w:r>
      <w:r w:rsidRPr="00027CE6">
        <w:rPr>
          <w:rFonts w:hAnsi="宋体"/>
          <w:bCs/>
          <w:sz w:val="24"/>
          <w:szCs w:val="24"/>
        </w:rPr>
        <w:t>类基金份额，假设申购当日</w:t>
      </w:r>
      <w:r w:rsidRPr="00027CE6">
        <w:rPr>
          <w:rFonts w:hAnsi="宋体"/>
          <w:bCs/>
          <w:sz w:val="24"/>
          <w:szCs w:val="24"/>
        </w:rPr>
        <w:t>C</w:t>
      </w:r>
      <w:r w:rsidRPr="00027CE6">
        <w:rPr>
          <w:rFonts w:hAnsi="宋体"/>
          <w:bCs/>
          <w:sz w:val="24"/>
          <w:szCs w:val="24"/>
        </w:rPr>
        <w:t>类基金份额净值为</w:t>
      </w:r>
      <w:r w:rsidRPr="00027CE6">
        <w:rPr>
          <w:rFonts w:hAnsi="宋体"/>
          <w:bCs/>
          <w:sz w:val="24"/>
          <w:szCs w:val="24"/>
        </w:rPr>
        <w:t>1.052</w:t>
      </w:r>
      <w:r w:rsidRPr="00027CE6">
        <w:rPr>
          <w:rFonts w:hAnsi="宋体"/>
          <w:bCs/>
          <w:sz w:val="24"/>
          <w:szCs w:val="24"/>
        </w:rPr>
        <w:t>元，则其可得到</w:t>
      </w:r>
      <w:r w:rsidRPr="00027CE6">
        <w:rPr>
          <w:rFonts w:hAnsi="宋体"/>
          <w:bCs/>
          <w:sz w:val="24"/>
          <w:szCs w:val="24"/>
        </w:rPr>
        <w:t>47,528.52</w:t>
      </w:r>
      <w:r w:rsidRPr="00027CE6">
        <w:rPr>
          <w:rFonts w:hAnsi="宋体"/>
          <w:bCs/>
          <w:sz w:val="24"/>
          <w:szCs w:val="24"/>
        </w:rPr>
        <w:t>份</w:t>
      </w:r>
      <w:r w:rsidRPr="00027CE6">
        <w:rPr>
          <w:rFonts w:hAnsi="宋体"/>
          <w:bCs/>
          <w:sz w:val="24"/>
          <w:szCs w:val="24"/>
        </w:rPr>
        <w:t>C</w:t>
      </w:r>
      <w:r w:rsidRPr="00027CE6">
        <w:rPr>
          <w:rFonts w:hAnsi="宋体"/>
          <w:bCs/>
          <w:sz w:val="24"/>
          <w:szCs w:val="24"/>
        </w:rPr>
        <w:t>类基金份额。</w:t>
      </w:r>
    </w:p>
    <w:p w14:paraId="5B3F8B8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、基金赎回金额的计算</w:t>
      </w:r>
    </w:p>
    <w:p w14:paraId="2FD7C9E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本基金采用“份额赎回”方式。基金赎回金额具体的计算方法如下：</w:t>
      </w:r>
    </w:p>
    <w:p w14:paraId="0468737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基金的净赎回金额为赎回总额扣减赎回费用，其中：</w:t>
      </w:r>
    </w:p>
    <w:p w14:paraId="36215A18" w14:textId="38D497D2"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赎回总额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赎回份额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赎回当日</w:t>
      </w:r>
      <w:r w:rsidR="00027CE6">
        <w:rPr>
          <w:rFonts w:hAnsi="宋体" w:hint="eastAsia"/>
          <w:bCs/>
          <w:sz w:val="24"/>
          <w:szCs w:val="24"/>
        </w:rPr>
        <w:t>该类</w:t>
      </w:r>
      <w:r>
        <w:rPr>
          <w:rFonts w:hAnsi="宋体" w:hint="eastAsia"/>
          <w:bCs/>
          <w:sz w:val="24"/>
          <w:szCs w:val="24"/>
        </w:rPr>
        <w:t>基金份额净值</w:t>
      </w:r>
    </w:p>
    <w:p w14:paraId="388A0C5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赎回费用</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赎回总额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赎回费率</w:t>
      </w:r>
    </w:p>
    <w:p w14:paraId="2308DD6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净赎回金额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赎回总额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w:t>
      </w:r>
      <w:r>
        <w:rPr>
          <w:rFonts w:hAnsi="宋体" w:hint="eastAsia"/>
          <w:bCs/>
          <w:sz w:val="24"/>
          <w:szCs w:val="24"/>
        </w:rPr>
        <w:t>赎回费用</w:t>
      </w:r>
    </w:p>
    <w:p w14:paraId="26223978" w14:textId="1181E201"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例：某投资者</w:t>
      </w:r>
      <w:r w:rsidR="00A54B0C">
        <w:rPr>
          <w:rFonts w:hAnsi="宋体" w:hint="eastAsia"/>
          <w:bCs/>
          <w:sz w:val="24"/>
          <w:szCs w:val="24"/>
        </w:rPr>
        <w:t>场外</w:t>
      </w:r>
      <w:r>
        <w:rPr>
          <w:rFonts w:hAnsi="宋体" w:hint="eastAsia"/>
          <w:bCs/>
          <w:sz w:val="24"/>
          <w:szCs w:val="24"/>
        </w:rPr>
        <w:t>赎回本基金</w:t>
      </w:r>
      <w:r>
        <w:rPr>
          <w:rFonts w:hAnsi="宋体" w:hint="eastAsia"/>
          <w:bCs/>
          <w:sz w:val="24"/>
          <w:szCs w:val="24"/>
        </w:rPr>
        <w:t>1</w:t>
      </w:r>
      <w:r>
        <w:rPr>
          <w:rFonts w:hAnsi="宋体" w:hint="eastAsia"/>
          <w:bCs/>
          <w:sz w:val="24"/>
          <w:szCs w:val="24"/>
        </w:rPr>
        <w:t>万份</w:t>
      </w:r>
      <w:r w:rsidR="00027CE6">
        <w:rPr>
          <w:rFonts w:hAnsi="宋体" w:hint="eastAsia"/>
          <w:bCs/>
          <w:sz w:val="24"/>
          <w:szCs w:val="24"/>
        </w:rPr>
        <w:t>A</w:t>
      </w:r>
      <w:r w:rsidR="00027CE6">
        <w:rPr>
          <w:rFonts w:hAnsi="宋体" w:hint="eastAsia"/>
          <w:bCs/>
          <w:sz w:val="24"/>
          <w:szCs w:val="24"/>
        </w:rPr>
        <w:t>类</w:t>
      </w:r>
      <w:r>
        <w:rPr>
          <w:rFonts w:hAnsi="宋体" w:hint="eastAsia"/>
          <w:bCs/>
          <w:sz w:val="24"/>
          <w:szCs w:val="24"/>
        </w:rPr>
        <w:t>基金份额，持有时间为</w:t>
      </w:r>
      <w:r>
        <w:rPr>
          <w:rFonts w:hAnsi="宋体" w:hint="eastAsia"/>
          <w:bCs/>
          <w:sz w:val="24"/>
          <w:szCs w:val="24"/>
        </w:rPr>
        <w:t>8</w:t>
      </w:r>
      <w:r>
        <w:rPr>
          <w:rFonts w:hAnsi="宋体" w:hint="eastAsia"/>
          <w:bCs/>
          <w:sz w:val="24"/>
          <w:szCs w:val="24"/>
        </w:rPr>
        <w:t>个月，对应的赎回费率为</w:t>
      </w:r>
      <w:r>
        <w:rPr>
          <w:rFonts w:hAnsi="宋体" w:hint="eastAsia"/>
          <w:bCs/>
          <w:sz w:val="24"/>
          <w:szCs w:val="24"/>
        </w:rPr>
        <w:t>0.5%</w:t>
      </w:r>
      <w:r>
        <w:rPr>
          <w:rFonts w:hAnsi="宋体" w:hint="eastAsia"/>
          <w:bCs/>
          <w:sz w:val="24"/>
          <w:szCs w:val="24"/>
        </w:rPr>
        <w:t>，假设赎回当日</w:t>
      </w:r>
      <w:r w:rsidR="00027CE6">
        <w:rPr>
          <w:rFonts w:hAnsi="宋体" w:hint="eastAsia"/>
          <w:bCs/>
          <w:sz w:val="24"/>
          <w:szCs w:val="24"/>
        </w:rPr>
        <w:t>A</w:t>
      </w:r>
      <w:r w:rsidR="00027CE6">
        <w:rPr>
          <w:rFonts w:hAnsi="宋体" w:hint="eastAsia"/>
          <w:bCs/>
          <w:sz w:val="24"/>
          <w:szCs w:val="24"/>
        </w:rPr>
        <w:t>类</w:t>
      </w:r>
      <w:r>
        <w:rPr>
          <w:rFonts w:hAnsi="宋体" w:hint="eastAsia"/>
          <w:bCs/>
          <w:sz w:val="24"/>
          <w:szCs w:val="24"/>
        </w:rPr>
        <w:t>基金份额净值是</w:t>
      </w:r>
      <w:r>
        <w:rPr>
          <w:rFonts w:hAnsi="宋体" w:hint="eastAsia"/>
          <w:bCs/>
          <w:sz w:val="24"/>
          <w:szCs w:val="24"/>
        </w:rPr>
        <w:t>1.050</w:t>
      </w:r>
      <w:r>
        <w:rPr>
          <w:rFonts w:hAnsi="宋体" w:hint="eastAsia"/>
          <w:bCs/>
          <w:sz w:val="24"/>
          <w:szCs w:val="24"/>
        </w:rPr>
        <w:t>元，则其可得到的</w:t>
      </w:r>
      <w:r w:rsidR="004368B5">
        <w:rPr>
          <w:rFonts w:hAnsi="宋体" w:hint="eastAsia"/>
          <w:bCs/>
          <w:sz w:val="24"/>
          <w:szCs w:val="24"/>
        </w:rPr>
        <w:t>净</w:t>
      </w:r>
      <w:r>
        <w:rPr>
          <w:rFonts w:hAnsi="宋体" w:hint="eastAsia"/>
          <w:bCs/>
          <w:sz w:val="24"/>
          <w:szCs w:val="24"/>
        </w:rPr>
        <w:t>赎回金额为：</w:t>
      </w:r>
    </w:p>
    <w:p w14:paraId="0A0378E7" w14:textId="6A84A8F3"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赎回总额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10,000</w:t>
      </w:r>
      <w:r w:rsidR="002B128E">
        <w:rPr>
          <w:rFonts w:hAnsi="宋体"/>
          <w:bCs/>
          <w:sz w:val="24"/>
          <w:szCs w:val="24"/>
        </w:rPr>
        <w:t>.00</w:t>
      </w:r>
      <w:r>
        <w:rPr>
          <w:rFonts w:hAnsi="宋体" w:hint="eastAsia"/>
          <w:bCs/>
          <w:sz w:val="24"/>
          <w:szCs w:val="24"/>
        </w:rPr>
        <w:t>×</w:t>
      </w:r>
      <w:r>
        <w:rPr>
          <w:rFonts w:hAnsi="宋体" w:hint="eastAsia"/>
          <w:bCs/>
          <w:sz w:val="24"/>
          <w:szCs w:val="24"/>
        </w:rPr>
        <w:t xml:space="preserve">1.050 </w:t>
      </w:r>
      <w:r>
        <w:rPr>
          <w:rFonts w:hAnsi="宋体" w:hint="eastAsia"/>
          <w:bCs/>
          <w:sz w:val="24"/>
          <w:szCs w:val="24"/>
        </w:rPr>
        <w:t>＝</w:t>
      </w:r>
      <w:r>
        <w:rPr>
          <w:rFonts w:hAnsi="宋体" w:hint="eastAsia"/>
          <w:bCs/>
          <w:sz w:val="24"/>
          <w:szCs w:val="24"/>
        </w:rPr>
        <w:t xml:space="preserve"> 10,500</w:t>
      </w:r>
      <w:r w:rsidR="002B128E">
        <w:rPr>
          <w:rFonts w:hAnsi="宋体"/>
          <w:bCs/>
          <w:sz w:val="24"/>
          <w:szCs w:val="24"/>
        </w:rPr>
        <w:t>.00</w:t>
      </w:r>
      <w:r>
        <w:rPr>
          <w:rFonts w:hAnsi="宋体" w:hint="eastAsia"/>
          <w:bCs/>
          <w:sz w:val="24"/>
          <w:szCs w:val="24"/>
        </w:rPr>
        <w:t xml:space="preserve"> </w:t>
      </w:r>
      <w:r>
        <w:rPr>
          <w:rFonts w:hAnsi="宋体" w:hint="eastAsia"/>
          <w:bCs/>
          <w:sz w:val="24"/>
          <w:szCs w:val="24"/>
        </w:rPr>
        <w:t>元</w:t>
      </w:r>
    </w:p>
    <w:p w14:paraId="4241F442" w14:textId="24D47266"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赎回费用</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10,500</w:t>
      </w:r>
      <w:r w:rsidR="002B128E">
        <w:rPr>
          <w:rFonts w:hAnsi="宋体"/>
          <w:bCs/>
          <w:sz w:val="24"/>
          <w:szCs w:val="24"/>
        </w:rPr>
        <w:t>.00</w:t>
      </w:r>
      <w:r>
        <w:rPr>
          <w:rFonts w:hAnsi="宋体" w:hint="eastAsia"/>
          <w:bCs/>
          <w:sz w:val="24"/>
          <w:szCs w:val="24"/>
        </w:rPr>
        <w:t>×</w:t>
      </w:r>
      <w:r>
        <w:rPr>
          <w:rFonts w:hAnsi="宋体" w:hint="eastAsia"/>
          <w:bCs/>
          <w:sz w:val="24"/>
          <w:szCs w:val="24"/>
        </w:rPr>
        <w:t xml:space="preserve">0.5% </w:t>
      </w:r>
      <w:r>
        <w:rPr>
          <w:rFonts w:hAnsi="宋体" w:hint="eastAsia"/>
          <w:bCs/>
          <w:sz w:val="24"/>
          <w:szCs w:val="24"/>
        </w:rPr>
        <w:t>＝</w:t>
      </w:r>
      <w:r>
        <w:rPr>
          <w:rFonts w:hAnsi="宋体" w:hint="eastAsia"/>
          <w:bCs/>
          <w:sz w:val="24"/>
          <w:szCs w:val="24"/>
        </w:rPr>
        <w:t xml:space="preserve"> 52.50 </w:t>
      </w:r>
      <w:r>
        <w:rPr>
          <w:rFonts w:hAnsi="宋体" w:hint="eastAsia"/>
          <w:bCs/>
          <w:sz w:val="24"/>
          <w:szCs w:val="24"/>
        </w:rPr>
        <w:t>元</w:t>
      </w:r>
    </w:p>
    <w:p w14:paraId="7744669C" w14:textId="7BEC92C1"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净赎回金额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10,500</w:t>
      </w:r>
      <w:r w:rsidR="002B128E">
        <w:rPr>
          <w:rFonts w:hAnsi="宋体"/>
          <w:bCs/>
          <w:sz w:val="24"/>
          <w:szCs w:val="24"/>
        </w:rPr>
        <w:t>.00</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52.50 </w:t>
      </w:r>
      <w:r>
        <w:rPr>
          <w:rFonts w:hAnsi="宋体" w:hint="eastAsia"/>
          <w:bCs/>
          <w:sz w:val="24"/>
          <w:szCs w:val="24"/>
        </w:rPr>
        <w:t>＝</w:t>
      </w:r>
      <w:r>
        <w:rPr>
          <w:rFonts w:hAnsi="宋体" w:hint="eastAsia"/>
          <w:bCs/>
          <w:sz w:val="24"/>
          <w:szCs w:val="24"/>
        </w:rPr>
        <w:t xml:space="preserve"> 10,447.50</w:t>
      </w:r>
      <w:r>
        <w:rPr>
          <w:rFonts w:hAnsi="宋体" w:hint="eastAsia"/>
          <w:bCs/>
          <w:sz w:val="24"/>
          <w:szCs w:val="24"/>
        </w:rPr>
        <w:t>元</w:t>
      </w:r>
    </w:p>
    <w:p w14:paraId="3DC6F51E" w14:textId="0CBEBEF6" w:rsidR="00C85685" w:rsidRDefault="00C85685">
      <w:pPr>
        <w:tabs>
          <w:tab w:val="left" w:pos="961"/>
        </w:tabs>
        <w:snapToGrid w:val="0"/>
        <w:spacing w:line="360" w:lineRule="auto"/>
        <w:ind w:firstLineChars="200" w:firstLine="480"/>
        <w:rPr>
          <w:rFonts w:hAnsi="宋体"/>
          <w:bCs/>
          <w:sz w:val="24"/>
          <w:szCs w:val="24"/>
        </w:rPr>
      </w:pPr>
      <w:r w:rsidRPr="00C85685">
        <w:rPr>
          <w:rFonts w:hAnsi="宋体" w:hint="eastAsia"/>
          <w:bCs/>
          <w:sz w:val="24"/>
          <w:szCs w:val="24"/>
        </w:rPr>
        <w:t>即：</w:t>
      </w:r>
      <w:r>
        <w:rPr>
          <w:rFonts w:hAnsi="宋体" w:hint="eastAsia"/>
          <w:bCs/>
          <w:sz w:val="24"/>
          <w:szCs w:val="24"/>
        </w:rPr>
        <w:t>投资者</w:t>
      </w:r>
      <w:r w:rsidR="00D27CAA">
        <w:rPr>
          <w:rFonts w:hAnsi="宋体" w:hint="eastAsia"/>
          <w:bCs/>
          <w:sz w:val="24"/>
          <w:szCs w:val="24"/>
        </w:rPr>
        <w:t>场外</w:t>
      </w:r>
      <w:r>
        <w:rPr>
          <w:rFonts w:hAnsi="宋体" w:hint="eastAsia"/>
          <w:bCs/>
          <w:sz w:val="24"/>
          <w:szCs w:val="24"/>
        </w:rPr>
        <w:t>赎回本基金</w:t>
      </w:r>
      <w:r>
        <w:rPr>
          <w:rFonts w:hAnsi="宋体" w:hint="eastAsia"/>
          <w:bCs/>
          <w:sz w:val="24"/>
          <w:szCs w:val="24"/>
        </w:rPr>
        <w:t>1</w:t>
      </w:r>
      <w:r>
        <w:rPr>
          <w:rFonts w:hAnsi="宋体" w:hint="eastAsia"/>
          <w:bCs/>
          <w:sz w:val="24"/>
          <w:szCs w:val="24"/>
        </w:rPr>
        <w:t>万份</w:t>
      </w:r>
      <w:r>
        <w:rPr>
          <w:rFonts w:hAnsi="宋体" w:hint="eastAsia"/>
          <w:bCs/>
          <w:sz w:val="24"/>
          <w:szCs w:val="24"/>
        </w:rPr>
        <w:t>A</w:t>
      </w:r>
      <w:r>
        <w:rPr>
          <w:rFonts w:hAnsi="宋体" w:hint="eastAsia"/>
          <w:bCs/>
          <w:sz w:val="24"/>
          <w:szCs w:val="24"/>
        </w:rPr>
        <w:t>类基金份额，持有时间为</w:t>
      </w:r>
      <w:r>
        <w:rPr>
          <w:rFonts w:hAnsi="宋体" w:hint="eastAsia"/>
          <w:bCs/>
          <w:sz w:val="24"/>
          <w:szCs w:val="24"/>
        </w:rPr>
        <w:t>8</w:t>
      </w:r>
      <w:r>
        <w:rPr>
          <w:rFonts w:hAnsi="宋体" w:hint="eastAsia"/>
          <w:bCs/>
          <w:sz w:val="24"/>
          <w:szCs w:val="24"/>
        </w:rPr>
        <w:t>个月，假设赎回当日</w:t>
      </w:r>
      <w:r>
        <w:rPr>
          <w:rFonts w:hAnsi="宋体" w:hint="eastAsia"/>
          <w:bCs/>
          <w:sz w:val="24"/>
          <w:szCs w:val="24"/>
        </w:rPr>
        <w:t>A</w:t>
      </w:r>
      <w:r>
        <w:rPr>
          <w:rFonts w:hAnsi="宋体" w:hint="eastAsia"/>
          <w:bCs/>
          <w:sz w:val="24"/>
          <w:szCs w:val="24"/>
        </w:rPr>
        <w:t>类基金份额净值是</w:t>
      </w:r>
      <w:r>
        <w:rPr>
          <w:rFonts w:hAnsi="宋体" w:hint="eastAsia"/>
          <w:bCs/>
          <w:sz w:val="24"/>
          <w:szCs w:val="24"/>
        </w:rPr>
        <w:t>1.050</w:t>
      </w:r>
      <w:r>
        <w:rPr>
          <w:rFonts w:hAnsi="宋体" w:hint="eastAsia"/>
          <w:bCs/>
          <w:sz w:val="24"/>
          <w:szCs w:val="24"/>
        </w:rPr>
        <w:t>元，</w:t>
      </w:r>
      <w:r w:rsidR="00A51A08">
        <w:rPr>
          <w:rFonts w:hAnsi="宋体" w:hint="eastAsia"/>
          <w:bCs/>
          <w:sz w:val="24"/>
          <w:szCs w:val="24"/>
        </w:rPr>
        <w:t>则其可得到的</w:t>
      </w:r>
      <w:r w:rsidR="004368B5">
        <w:rPr>
          <w:rFonts w:hAnsi="宋体" w:hint="eastAsia"/>
          <w:bCs/>
          <w:sz w:val="24"/>
          <w:szCs w:val="24"/>
        </w:rPr>
        <w:t>净</w:t>
      </w:r>
      <w:r w:rsidR="00A51A08">
        <w:rPr>
          <w:rFonts w:hAnsi="宋体" w:hint="eastAsia"/>
          <w:bCs/>
          <w:sz w:val="24"/>
          <w:szCs w:val="24"/>
        </w:rPr>
        <w:t>赎回金额为</w:t>
      </w:r>
      <w:r w:rsidR="00A51A08">
        <w:rPr>
          <w:rFonts w:hAnsi="宋体" w:hint="eastAsia"/>
          <w:bCs/>
          <w:sz w:val="24"/>
          <w:szCs w:val="24"/>
        </w:rPr>
        <w:t>10,447.50</w:t>
      </w:r>
      <w:r w:rsidR="00A51A08">
        <w:rPr>
          <w:rFonts w:hAnsi="宋体" w:hint="eastAsia"/>
          <w:bCs/>
          <w:sz w:val="24"/>
          <w:szCs w:val="24"/>
        </w:rPr>
        <w:t>元</w:t>
      </w:r>
      <w:r w:rsidRPr="00C85685">
        <w:rPr>
          <w:rFonts w:hAnsi="宋体" w:hint="eastAsia"/>
          <w:bCs/>
          <w:sz w:val="24"/>
          <w:szCs w:val="24"/>
        </w:rPr>
        <w:t>。</w:t>
      </w:r>
    </w:p>
    <w:p w14:paraId="1621585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、本基金份额净值的计算</w:t>
      </w:r>
    </w:p>
    <w:p w14:paraId="18462020" w14:textId="42CB4565"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 xml:space="preserve">T </w:t>
      </w:r>
      <w:r>
        <w:rPr>
          <w:rFonts w:hAnsi="宋体" w:hint="eastAsia"/>
          <w:bCs/>
          <w:sz w:val="24"/>
          <w:szCs w:val="24"/>
        </w:rPr>
        <w:t>日</w:t>
      </w:r>
      <w:r w:rsidR="00027CE6">
        <w:rPr>
          <w:rFonts w:hAnsi="宋体" w:hint="eastAsia"/>
          <w:bCs/>
          <w:sz w:val="24"/>
          <w:szCs w:val="24"/>
        </w:rPr>
        <w:t>任一类</w:t>
      </w:r>
      <w:r>
        <w:rPr>
          <w:rFonts w:hAnsi="宋体" w:hint="eastAsia"/>
          <w:bCs/>
          <w:sz w:val="24"/>
          <w:szCs w:val="24"/>
        </w:rPr>
        <w:t>基金份额净值＝</w:t>
      </w:r>
      <w:r>
        <w:rPr>
          <w:rFonts w:hAnsi="宋体" w:hint="eastAsia"/>
          <w:bCs/>
          <w:sz w:val="24"/>
          <w:szCs w:val="24"/>
        </w:rPr>
        <w:t xml:space="preserve">T </w:t>
      </w:r>
      <w:r>
        <w:rPr>
          <w:rFonts w:hAnsi="宋体" w:hint="eastAsia"/>
          <w:bCs/>
          <w:sz w:val="24"/>
          <w:szCs w:val="24"/>
        </w:rPr>
        <w:t>日闭市后的</w:t>
      </w:r>
      <w:r w:rsidR="00027CE6">
        <w:rPr>
          <w:rFonts w:hAnsi="宋体" w:hint="eastAsia"/>
          <w:bCs/>
          <w:sz w:val="24"/>
          <w:szCs w:val="24"/>
        </w:rPr>
        <w:t>该类</w:t>
      </w:r>
      <w:r>
        <w:rPr>
          <w:rFonts w:hAnsi="宋体" w:hint="eastAsia"/>
          <w:bCs/>
          <w:sz w:val="24"/>
          <w:szCs w:val="24"/>
        </w:rPr>
        <w:t>基金资产净值</w:t>
      </w:r>
      <w:r>
        <w:rPr>
          <w:rFonts w:hAnsi="宋体" w:hint="eastAsia"/>
          <w:bCs/>
          <w:sz w:val="24"/>
          <w:szCs w:val="24"/>
        </w:rPr>
        <w:t xml:space="preserve">/T </w:t>
      </w:r>
      <w:r>
        <w:rPr>
          <w:rFonts w:hAnsi="宋体" w:hint="eastAsia"/>
          <w:bCs/>
          <w:sz w:val="24"/>
          <w:szCs w:val="24"/>
        </w:rPr>
        <w:t>日</w:t>
      </w:r>
      <w:r w:rsidR="00027CE6">
        <w:rPr>
          <w:rFonts w:hAnsi="宋体" w:hint="eastAsia"/>
          <w:bCs/>
          <w:sz w:val="24"/>
          <w:szCs w:val="24"/>
        </w:rPr>
        <w:t>该类</w:t>
      </w:r>
      <w:r>
        <w:rPr>
          <w:rFonts w:hAnsi="宋体" w:hint="eastAsia"/>
          <w:bCs/>
          <w:sz w:val="24"/>
          <w:szCs w:val="24"/>
        </w:rPr>
        <w:t>基金份额的余额数量</w:t>
      </w:r>
    </w:p>
    <w:p w14:paraId="554B3966" w14:textId="46A1AA40" w:rsidR="0037652E" w:rsidRDefault="008F0F5C">
      <w:pPr>
        <w:tabs>
          <w:tab w:val="left" w:pos="961"/>
        </w:tabs>
        <w:snapToGrid w:val="0"/>
        <w:spacing w:line="360" w:lineRule="auto"/>
        <w:ind w:firstLineChars="200" w:firstLine="480"/>
        <w:rPr>
          <w:rFonts w:hAnsi="宋体"/>
          <w:bCs/>
          <w:sz w:val="24"/>
          <w:szCs w:val="24"/>
        </w:rPr>
      </w:pPr>
      <w:r>
        <w:rPr>
          <w:rFonts w:hAnsi="宋体" w:hint="eastAsia"/>
          <w:bCs/>
          <w:sz w:val="24"/>
          <w:szCs w:val="24"/>
        </w:rPr>
        <w:t>各类</w:t>
      </w:r>
      <w:r w:rsidR="00BF49B0">
        <w:rPr>
          <w:rFonts w:hAnsi="宋体" w:hint="eastAsia"/>
          <w:bCs/>
          <w:sz w:val="24"/>
          <w:szCs w:val="24"/>
        </w:rPr>
        <w:t>基金份额净值应当在估值日后</w:t>
      </w:r>
      <w:r w:rsidR="00BF49B0">
        <w:rPr>
          <w:rFonts w:hAnsi="宋体" w:hint="eastAsia"/>
          <w:bCs/>
          <w:sz w:val="24"/>
          <w:szCs w:val="24"/>
        </w:rPr>
        <w:t xml:space="preserve">2 </w:t>
      </w:r>
      <w:r w:rsidR="00BF49B0">
        <w:rPr>
          <w:rFonts w:hAnsi="宋体" w:hint="eastAsia"/>
          <w:bCs/>
          <w:sz w:val="24"/>
          <w:szCs w:val="24"/>
        </w:rPr>
        <w:t>个工作日内披露。遇特殊情况，经中国证监会同意，可以适当延迟计算或公告。本基金</w:t>
      </w:r>
      <w:r w:rsidR="00CC0DBB">
        <w:rPr>
          <w:rFonts w:hAnsi="宋体" w:hint="eastAsia"/>
          <w:bCs/>
          <w:sz w:val="24"/>
          <w:szCs w:val="24"/>
        </w:rPr>
        <w:t>各类</w:t>
      </w:r>
      <w:r w:rsidR="00BF49B0">
        <w:rPr>
          <w:rFonts w:hAnsi="宋体" w:hint="eastAsia"/>
          <w:bCs/>
          <w:sz w:val="24"/>
          <w:szCs w:val="24"/>
        </w:rPr>
        <w:t>基金份额净值的计算，</w:t>
      </w:r>
      <w:r w:rsidR="00CC0DBB">
        <w:rPr>
          <w:rFonts w:hAnsi="宋体" w:hint="eastAsia"/>
          <w:bCs/>
          <w:sz w:val="24"/>
          <w:szCs w:val="24"/>
        </w:rPr>
        <w:t>均</w:t>
      </w:r>
      <w:r w:rsidR="00BF49B0">
        <w:rPr>
          <w:rFonts w:hAnsi="宋体" w:hint="eastAsia"/>
          <w:bCs/>
          <w:sz w:val="24"/>
          <w:szCs w:val="24"/>
        </w:rPr>
        <w:lastRenderedPageBreak/>
        <w:t>保留到小数点后</w:t>
      </w:r>
      <w:r w:rsidR="00BF49B0">
        <w:rPr>
          <w:rFonts w:hAnsi="宋体" w:hint="eastAsia"/>
          <w:bCs/>
          <w:sz w:val="24"/>
          <w:szCs w:val="24"/>
        </w:rPr>
        <w:t xml:space="preserve">3 </w:t>
      </w:r>
      <w:r w:rsidR="00BF49B0">
        <w:rPr>
          <w:rFonts w:hAnsi="宋体" w:hint="eastAsia"/>
          <w:bCs/>
          <w:sz w:val="24"/>
          <w:szCs w:val="24"/>
        </w:rPr>
        <w:t>位，小数点后第</w:t>
      </w:r>
      <w:r w:rsidR="00BF49B0">
        <w:rPr>
          <w:rFonts w:hAnsi="宋体" w:hint="eastAsia"/>
          <w:bCs/>
          <w:sz w:val="24"/>
          <w:szCs w:val="24"/>
        </w:rPr>
        <w:t xml:space="preserve">4 </w:t>
      </w:r>
      <w:r w:rsidR="00BF49B0">
        <w:rPr>
          <w:rFonts w:hAnsi="宋体" w:hint="eastAsia"/>
          <w:bCs/>
          <w:sz w:val="24"/>
          <w:szCs w:val="24"/>
        </w:rPr>
        <w:t>位四舍五入。</w:t>
      </w:r>
    </w:p>
    <w:p w14:paraId="41E5ECB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、申购份额、余额的处理方式</w:t>
      </w:r>
    </w:p>
    <w:p w14:paraId="2CB759EA" w14:textId="7D8DE7DF"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申购的有效份额为按实际确认的申购金额在扣除相应的费用后，以当日</w:t>
      </w:r>
      <w:r w:rsidR="009055C8">
        <w:rPr>
          <w:rFonts w:hAnsi="宋体" w:hint="eastAsia"/>
          <w:bCs/>
          <w:sz w:val="24"/>
          <w:szCs w:val="24"/>
        </w:rPr>
        <w:t>该类</w:t>
      </w:r>
      <w:r>
        <w:rPr>
          <w:rFonts w:hAnsi="宋体" w:hint="eastAsia"/>
          <w:bCs/>
          <w:sz w:val="24"/>
          <w:szCs w:val="24"/>
        </w:rPr>
        <w:t>基金份额净值为基准计算。其中，通过场外方式进行申购的，申购份额计算结果保留到小数点后两位，小数点后两位以后的部分四舍五入，由此产生的误差计入基金财产；通过场内方式申购的，申购份额计算结果保留到整数位，计算所得整数位后小数部分的份额对应的资金返还至投资者资金账户。</w:t>
      </w:r>
    </w:p>
    <w:p w14:paraId="11011E48" w14:textId="0D0789C1"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例：某投资者通过场外投资</w:t>
      </w:r>
      <w:r>
        <w:rPr>
          <w:rFonts w:hAnsi="宋体" w:hint="eastAsia"/>
          <w:bCs/>
          <w:sz w:val="24"/>
          <w:szCs w:val="24"/>
        </w:rPr>
        <w:t>1</w:t>
      </w:r>
      <w:r>
        <w:rPr>
          <w:rFonts w:hAnsi="宋体" w:hint="eastAsia"/>
          <w:bCs/>
          <w:sz w:val="24"/>
          <w:szCs w:val="24"/>
        </w:rPr>
        <w:t>万元申购本基金</w:t>
      </w:r>
      <w:r w:rsidR="00027CE6">
        <w:rPr>
          <w:rFonts w:hAnsi="宋体" w:hint="eastAsia"/>
          <w:bCs/>
          <w:sz w:val="24"/>
          <w:szCs w:val="24"/>
        </w:rPr>
        <w:t>A</w:t>
      </w:r>
      <w:r w:rsidR="00027CE6">
        <w:rPr>
          <w:rFonts w:hAnsi="宋体" w:hint="eastAsia"/>
          <w:bCs/>
          <w:sz w:val="24"/>
          <w:szCs w:val="24"/>
        </w:rPr>
        <w:t>类基金份额</w:t>
      </w:r>
      <w:r>
        <w:rPr>
          <w:rFonts w:hAnsi="宋体" w:hint="eastAsia"/>
          <w:bCs/>
          <w:sz w:val="24"/>
          <w:szCs w:val="24"/>
        </w:rPr>
        <w:t>，申购费率为</w:t>
      </w:r>
      <w:r>
        <w:rPr>
          <w:rFonts w:hAnsi="宋体" w:hint="eastAsia"/>
          <w:bCs/>
          <w:sz w:val="24"/>
          <w:szCs w:val="24"/>
        </w:rPr>
        <w:t>0.8%</w:t>
      </w:r>
      <w:r>
        <w:rPr>
          <w:rFonts w:hAnsi="宋体" w:hint="eastAsia"/>
          <w:bCs/>
          <w:sz w:val="24"/>
          <w:szCs w:val="24"/>
        </w:rPr>
        <w:t>，假定申购当日</w:t>
      </w:r>
      <w:r w:rsidR="00536068">
        <w:rPr>
          <w:rFonts w:hAnsi="宋体" w:hint="eastAsia"/>
          <w:bCs/>
          <w:sz w:val="24"/>
          <w:szCs w:val="24"/>
        </w:rPr>
        <w:t>A</w:t>
      </w:r>
      <w:r w:rsidR="00027CE6">
        <w:rPr>
          <w:rFonts w:hAnsi="宋体" w:hint="eastAsia"/>
          <w:bCs/>
          <w:sz w:val="24"/>
          <w:szCs w:val="24"/>
        </w:rPr>
        <w:t>类</w:t>
      </w:r>
      <w:r>
        <w:rPr>
          <w:rFonts w:hAnsi="宋体" w:hint="eastAsia"/>
          <w:bCs/>
          <w:sz w:val="24"/>
          <w:szCs w:val="24"/>
        </w:rPr>
        <w:t>基金份额净值为</w:t>
      </w:r>
      <w:r>
        <w:rPr>
          <w:rFonts w:hAnsi="宋体" w:hint="eastAsia"/>
          <w:bCs/>
          <w:sz w:val="24"/>
          <w:szCs w:val="24"/>
        </w:rPr>
        <w:t>1.050</w:t>
      </w:r>
      <w:r>
        <w:rPr>
          <w:rFonts w:hAnsi="宋体" w:hint="eastAsia"/>
          <w:bCs/>
          <w:sz w:val="24"/>
          <w:szCs w:val="24"/>
        </w:rPr>
        <w:t>元，则其可得到的申购份额为</w:t>
      </w:r>
      <w:bookmarkStart w:id="67" w:name="OLE_LINK4"/>
      <w:r>
        <w:rPr>
          <w:rFonts w:hAnsi="宋体" w:hint="eastAsia"/>
          <w:bCs/>
          <w:sz w:val="24"/>
          <w:szCs w:val="24"/>
        </w:rPr>
        <w:t>9448</w:t>
      </w:r>
      <w:bookmarkEnd w:id="67"/>
      <w:r>
        <w:rPr>
          <w:rFonts w:hAnsi="宋体" w:hint="eastAsia"/>
          <w:bCs/>
          <w:sz w:val="24"/>
          <w:szCs w:val="24"/>
        </w:rPr>
        <w:t>.22</w:t>
      </w:r>
      <w:r>
        <w:rPr>
          <w:rFonts w:hAnsi="宋体" w:hint="eastAsia"/>
          <w:bCs/>
          <w:sz w:val="24"/>
          <w:szCs w:val="24"/>
        </w:rPr>
        <w:t>份，申购费用为</w:t>
      </w:r>
      <w:r>
        <w:rPr>
          <w:rFonts w:hAnsi="宋体" w:hint="eastAsia"/>
          <w:bCs/>
          <w:sz w:val="24"/>
          <w:szCs w:val="24"/>
        </w:rPr>
        <w:t>79.37</w:t>
      </w:r>
      <w:r>
        <w:rPr>
          <w:rFonts w:hAnsi="宋体" w:hint="eastAsia"/>
          <w:bCs/>
          <w:sz w:val="24"/>
          <w:szCs w:val="24"/>
        </w:rPr>
        <w:t>元。</w:t>
      </w:r>
    </w:p>
    <w:p w14:paraId="72F3737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如果该投资者选择通过场内申购，则因场内份额保留至整数份，故投资者申购所得份额为</w:t>
      </w:r>
      <w:r>
        <w:rPr>
          <w:rFonts w:hAnsi="宋体" w:hint="eastAsia"/>
          <w:bCs/>
          <w:sz w:val="24"/>
          <w:szCs w:val="24"/>
        </w:rPr>
        <w:t>9448</w:t>
      </w:r>
      <w:r>
        <w:rPr>
          <w:rFonts w:hAnsi="宋体" w:hint="eastAsia"/>
          <w:bCs/>
          <w:sz w:val="24"/>
          <w:szCs w:val="24"/>
        </w:rPr>
        <w:t>份，不足</w:t>
      </w:r>
      <w:r>
        <w:rPr>
          <w:rFonts w:hAnsi="宋体" w:hint="eastAsia"/>
          <w:bCs/>
          <w:sz w:val="24"/>
          <w:szCs w:val="24"/>
        </w:rPr>
        <w:t>1</w:t>
      </w:r>
      <w:r>
        <w:rPr>
          <w:rFonts w:hAnsi="宋体" w:hint="eastAsia"/>
          <w:bCs/>
          <w:sz w:val="24"/>
          <w:szCs w:val="24"/>
        </w:rPr>
        <w:t>份部分对应的申购资金返还给投资者。计算方法如下：</w:t>
      </w:r>
    </w:p>
    <w:p w14:paraId="00A0943D" w14:textId="42F244EC"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实际净申购金额＝</w:t>
      </w:r>
      <w:r>
        <w:rPr>
          <w:rFonts w:hAnsi="宋体" w:hint="eastAsia"/>
          <w:bCs/>
          <w:sz w:val="24"/>
          <w:szCs w:val="24"/>
        </w:rPr>
        <w:t xml:space="preserve"> 9448 </w:t>
      </w:r>
      <w:r>
        <w:rPr>
          <w:rFonts w:hAnsi="宋体" w:hint="eastAsia"/>
          <w:bCs/>
          <w:sz w:val="24"/>
          <w:szCs w:val="24"/>
        </w:rPr>
        <w:t>×</w:t>
      </w:r>
      <w:r>
        <w:rPr>
          <w:rFonts w:hAnsi="宋体" w:hint="eastAsia"/>
          <w:bCs/>
          <w:sz w:val="24"/>
          <w:szCs w:val="24"/>
        </w:rPr>
        <w:t xml:space="preserve">1.050 </w:t>
      </w:r>
      <w:r>
        <w:rPr>
          <w:rFonts w:hAnsi="宋体" w:hint="eastAsia"/>
          <w:bCs/>
          <w:sz w:val="24"/>
          <w:szCs w:val="24"/>
        </w:rPr>
        <w:t>＝</w:t>
      </w:r>
      <w:r>
        <w:rPr>
          <w:rFonts w:hAnsi="宋体" w:hint="eastAsia"/>
          <w:bCs/>
          <w:sz w:val="24"/>
          <w:szCs w:val="24"/>
        </w:rPr>
        <w:t xml:space="preserve"> 9920.40</w:t>
      </w:r>
      <w:r>
        <w:rPr>
          <w:rFonts w:hAnsi="宋体" w:hint="eastAsia"/>
          <w:bCs/>
          <w:sz w:val="24"/>
          <w:szCs w:val="24"/>
        </w:rPr>
        <w:t>元</w:t>
      </w:r>
    </w:p>
    <w:p w14:paraId="2B63A813" w14:textId="7E0E6771"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退款金额</w:t>
      </w:r>
      <w:r>
        <w:rPr>
          <w:rFonts w:hAnsi="宋体" w:hint="eastAsia"/>
          <w:bCs/>
          <w:sz w:val="24"/>
          <w:szCs w:val="24"/>
        </w:rPr>
        <w:t xml:space="preserve"> </w:t>
      </w:r>
      <w:r>
        <w:rPr>
          <w:rFonts w:hAnsi="宋体" w:hint="eastAsia"/>
          <w:bCs/>
          <w:sz w:val="24"/>
          <w:szCs w:val="24"/>
        </w:rPr>
        <w:t>＝</w:t>
      </w:r>
      <w:r>
        <w:rPr>
          <w:rFonts w:hAnsi="宋体" w:hint="eastAsia"/>
          <w:bCs/>
          <w:sz w:val="24"/>
          <w:szCs w:val="24"/>
        </w:rPr>
        <w:t xml:space="preserve"> 10,000</w:t>
      </w:r>
      <w:r w:rsidR="00676CCE">
        <w:rPr>
          <w:rFonts w:hAnsi="宋体"/>
          <w:bCs/>
          <w:sz w:val="24"/>
          <w:szCs w:val="24"/>
        </w:rPr>
        <w:t>.00</w:t>
      </w:r>
      <w:r>
        <w:rPr>
          <w:rFonts w:hAnsi="宋体" w:hint="eastAsia"/>
          <w:bCs/>
          <w:sz w:val="24"/>
          <w:szCs w:val="24"/>
        </w:rPr>
        <w:t>－</w:t>
      </w:r>
      <w:r>
        <w:rPr>
          <w:rFonts w:hAnsi="宋体" w:hint="eastAsia"/>
          <w:bCs/>
          <w:sz w:val="24"/>
          <w:szCs w:val="24"/>
        </w:rPr>
        <w:t>9920.40</w:t>
      </w:r>
      <w:r>
        <w:rPr>
          <w:rFonts w:hAnsi="宋体" w:hint="eastAsia"/>
          <w:bCs/>
          <w:sz w:val="24"/>
          <w:szCs w:val="24"/>
        </w:rPr>
        <w:t>－</w:t>
      </w:r>
      <w:r>
        <w:rPr>
          <w:rFonts w:hAnsi="宋体" w:hint="eastAsia"/>
          <w:bCs/>
          <w:sz w:val="24"/>
          <w:szCs w:val="24"/>
        </w:rPr>
        <w:t xml:space="preserve">79.37 </w:t>
      </w:r>
      <w:r>
        <w:rPr>
          <w:rFonts w:hAnsi="宋体" w:hint="eastAsia"/>
          <w:bCs/>
          <w:sz w:val="24"/>
          <w:szCs w:val="24"/>
        </w:rPr>
        <w:t>＝</w:t>
      </w:r>
      <w:r>
        <w:rPr>
          <w:rFonts w:hAnsi="宋体" w:hint="eastAsia"/>
          <w:bCs/>
          <w:sz w:val="24"/>
          <w:szCs w:val="24"/>
        </w:rPr>
        <w:t xml:space="preserve"> 0.23</w:t>
      </w:r>
      <w:r>
        <w:rPr>
          <w:rFonts w:hAnsi="宋体" w:hint="eastAsia"/>
          <w:bCs/>
          <w:sz w:val="24"/>
          <w:szCs w:val="24"/>
        </w:rPr>
        <w:t>元</w:t>
      </w:r>
    </w:p>
    <w:p w14:paraId="2933B86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、赎回金额的处理方式</w:t>
      </w:r>
    </w:p>
    <w:p w14:paraId="4036CC3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赎回金额计算结果保留到小数点后两位，小数点后两位以后的部分四舍五入，由此产生的误差计入基金财产。</w:t>
      </w:r>
    </w:p>
    <w:p w14:paraId="1144DB9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6</w:t>
      </w:r>
      <w:r>
        <w:rPr>
          <w:rFonts w:hAnsi="宋体" w:hint="eastAsia"/>
          <w:bCs/>
          <w:sz w:val="24"/>
          <w:szCs w:val="24"/>
        </w:rPr>
        <w:t>、深圳证券交易所或中国证券登记结算有限责任公司可以在法律法规允许的范围内，增加基金场内申购或场内赎回的方式，基金管理人应依法在指定媒介上公告。</w:t>
      </w:r>
    </w:p>
    <w:p w14:paraId="19A91935"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八、申购和赎回的注册登记</w:t>
      </w:r>
    </w:p>
    <w:p w14:paraId="0738C892" w14:textId="753C7392"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本基金申购与赎回的注册登记业务，按照</w:t>
      </w:r>
      <w:r w:rsidR="002119D9">
        <w:rPr>
          <w:rFonts w:hAnsi="宋体" w:hint="eastAsia"/>
          <w:bCs/>
          <w:sz w:val="24"/>
          <w:szCs w:val="24"/>
        </w:rPr>
        <w:t>基金注册登记机构</w:t>
      </w:r>
      <w:r>
        <w:rPr>
          <w:rFonts w:hAnsi="宋体" w:hint="eastAsia"/>
          <w:bCs/>
          <w:sz w:val="24"/>
          <w:szCs w:val="24"/>
        </w:rPr>
        <w:t>的有关规定办理。通常情况下，投资者申购基金成功后，基金注册登记机构在</w:t>
      </w:r>
      <w:r>
        <w:rPr>
          <w:rFonts w:hAnsi="宋体" w:hint="eastAsia"/>
          <w:bCs/>
          <w:sz w:val="24"/>
          <w:szCs w:val="24"/>
        </w:rPr>
        <w:t>T+2</w:t>
      </w:r>
      <w:r>
        <w:rPr>
          <w:rFonts w:hAnsi="宋体" w:hint="eastAsia"/>
          <w:bCs/>
          <w:sz w:val="24"/>
          <w:szCs w:val="24"/>
        </w:rPr>
        <w:t>日为投资者登记权益并办理注册登记手续，投资者自</w:t>
      </w:r>
      <w:r>
        <w:rPr>
          <w:rFonts w:hAnsi="宋体" w:hint="eastAsia"/>
          <w:bCs/>
          <w:sz w:val="24"/>
          <w:szCs w:val="24"/>
        </w:rPr>
        <w:t xml:space="preserve">T+3 </w:t>
      </w:r>
      <w:r>
        <w:rPr>
          <w:rFonts w:hAnsi="宋体" w:hint="eastAsia"/>
          <w:bCs/>
          <w:sz w:val="24"/>
          <w:szCs w:val="24"/>
        </w:rPr>
        <w:t>日（含该日）后有权赎回该部分基金份额。</w:t>
      </w:r>
    </w:p>
    <w:p w14:paraId="2873330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投资者赎回基金成功后，基金注册登记机构在</w:t>
      </w:r>
      <w:r>
        <w:rPr>
          <w:rFonts w:hAnsi="宋体" w:hint="eastAsia"/>
          <w:bCs/>
          <w:sz w:val="24"/>
          <w:szCs w:val="24"/>
        </w:rPr>
        <w:t xml:space="preserve">T+2 </w:t>
      </w:r>
      <w:r>
        <w:rPr>
          <w:rFonts w:hAnsi="宋体" w:hint="eastAsia"/>
          <w:bCs/>
          <w:sz w:val="24"/>
          <w:szCs w:val="24"/>
        </w:rPr>
        <w:t>日为投资者办理扣除权益的注册登记手续。</w:t>
      </w:r>
    </w:p>
    <w:p w14:paraId="6678560C" w14:textId="2B2AACAA" w:rsidR="0037652E" w:rsidRDefault="005531CE">
      <w:pPr>
        <w:tabs>
          <w:tab w:val="left" w:pos="961"/>
        </w:tabs>
        <w:snapToGrid w:val="0"/>
        <w:spacing w:line="360" w:lineRule="auto"/>
        <w:ind w:firstLineChars="200" w:firstLine="480"/>
        <w:rPr>
          <w:rFonts w:hAnsi="宋体"/>
          <w:bCs/>
          <w:sz w:val="24"/>
          <w:szCs w:val="24"/>
        </w:rPr>
      </w:pPr>
      <w:r>
        <w:rPr>
          <w:rFonts w:hAnsi="宋体" w:hint="eastAsia"/>
          <w:bCs/>
          <w:sz w:val="24"/>
          <w:szCs w:val="24"/>
        </w:rPr>
        <w:t>基金注册登记机构</w:t>
      </w:r>
      <w:r w:rsidR="00BF49B0">
        <w:rPr>
          <w:rFonts w:hAnsi="宋体" w:hint="eastAsia"/>
          <w:bCs/>
          <w:sz w:val="24"/>
          <w:szCs w:val="24"/>
        </w:rPr>
        <w:t>可以在法律法规允许的范围内，依法对上述注册登记办理时间进行调整，基金管理人应依法最迟于开始实施前</w:t>
      </w:r>
      <w:r w:rsidR="00BF49B0">
        <w:rPr>
          <w:rFonts w:hAnsi="宋体" w:hint="eastAsia"/>
          <w:bCs/>
          <w:sz w:val="24"/>
          <w:szCs w:val="24"/>
        </w:rPr>
        <w:t>2</w:t>
      </w:r>
      <w:r w:rsidR="00BF49B0">
        <w:rPr>
          <w:rFonts w:hAnsi="宋体" w:hint="eastAsia"/>
          <w:bCs/>
          <w:sz w:val="24"/>
          <w:szCs w:val="24"/>
        </w:rPr>
        <w:t>个工作日在指定媒介上公</w:t>
      </w:r>
      <w:r w:rsidR="00BF49B0">
        <w:rPr>
          <w:rFonts w:hAnsi="宋体" w:hint="eastAsia"/>
          <w:bCs/>
          <w:sz w:val="24"/>
          <w:szCs w:val="24"/>
        </w:rPr>
        <w:lastRenderedPageBreak/>
        <w:t>告。</w:t>
      </w:r>
    </w:p>
    <w:p w14:paraId="3189FC67"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九、拒绝或暂停申购的情形及处理方式</w:t>
      </w:r>
    </w:p>
    <w:p w14:paraId="15A4C06E"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除非出现如下情形，基金管理人不得暂停或拒绝基金投资者的申购申请：</w:t>
      </w:r>
    </w:p>
    <w:p w14:paraId="6C76FA9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、不可抗力的原因导致基金无法正常运作；</w:t>
      </w:r>
      <w:r>
        <w:rPr>
          <w:rFonts w:hAnsi="宋体" w:hint="eastAsia"/>
          <w:bCs/>
          <w:sz w:val="24"/>
          <w:szCs w:val="24"/>
        </w:rPr>
        <w:t xml:space="preserve"> </w:t>
      </w:r>
    </w:p>
    <w:p w14:paraId="2B78BA1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、本基金进行交易的主要证券交易市场或外汇市场交易时间非正常停市，导致基金管理人无法计算当日基金资产净值；</w:t>
      </w:r>
    </w:p>
    <w:p w14:paraId="5187DD9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、本基金投资的主要证券交易市场或外汇市场的公众节假日，并可能影响本基金正常估值时；</w:t>
      </w:r>
    </w:p>
    <w:p w14:paraId="644CF6DE"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、本基金的资产组合中的重要部分发生暂停交易或其他重大事件，继续接受申购可能会影响或损害其他基金份额持有人利益时；</w:t>
      </w:r>
    </w:p>
    <w:p w14:paraId="77A79D0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、基金管理人、基金托管人、基金销售机构或注册登记机构因技术保障或人员伤亡导致基金销售系统或基金注册登记系统或基金会计系统无法正常运行；</w:t>
      </w:r>
    </w:p>
    <w:p w14:paraId="743F20F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6</w:t>
      </w:r>
      <w:r>
        <w:rPr>
          <w:rFonts w:hAnsi="宋体" w:hint="eastAsia"/>
          <w:bCs/>
          <w:sz w:val="24"/>
          <w:szCs w:val="24"/>
        </w:rPr>
        <w:t>、基金资产规模过大，使基金管理人无法找到合适的投资品种，或可能对基金业绩产生负面影响，从而损害现有基金份额持有人的利益；</w:t>
      </w:r>
    </w:p>
    <w:p w14:paraId="34E0189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7</w:t>
      </w:r>
      <w:r>
        <w:rPr>
          <w:rFonts w:hAnsi="宋体" w:hint="eastAsia"/>
          <w:bCs/>
          <w:sz w:val="24"/>
          <w:szCs w:val="24"/>
        </w:rPr>
        <w:t>、基金资产规模或者份额数量达到了基金管理人规定的上限（基金管理人可根据外管局的审批及市场情况进行调整）；</w:t>
      </w:r>
    </w:p>
    <w:p w14:paraId="141B4A1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8</w:t>
      </w:r>
      <w:r>
        <w:rPr>
          <w:rFonts w:hAnsi="宋体" w:hint="eastAsia"/>
          <w:bCs/>
          <w:sz w:val="24"/>
          <w:szCs w:val="24"/>
        </w:rPr>
        <w:t>、基金管理人认为会有损于现有基金份额持有人利益的某笔申购；</w:t>
      </w:r>
    </w:p>
    <w:p w14:paraId="75F739C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9</w:t>
      </w:r>
      <w:r>
        <w:rPr>
          <w:rFonts w:hAnsi="宋体" w:hint="eastAsia"/>
          <w:bCs/>
          <w:sz w:val="24"/>
          <w:szCs w:val="24"/>
        </w:rPr>
        <w:t>、发生本基金合同规定的暂停基金资产估值情况；</w:t>
      </w:r>
    </w:p>
    <w:p w14:paraId="286FD804"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10</w:t>
      </w:r>
      <w:r>
        <w:rPr>
          <w:rFonts w:hAnsi="宋体" w:hint="eastAsia"/>
          <w:bCs/>
          <w:sz w:val="24"/>
          <w:szCs w:val="24"/>
        </w:rPr>
        <w:t>、当前一估值日基金资产净值</w:t>
      </w:r>
      <w:r>
        <w:rPr>
          <w:rFonts w:hAnsi="宋体" w:hint="eastAsia"/>
          <w:bCs/>
          <w:sz w:val="24"/>
          <w:szCs w:val="24"/>
        </w:rPr>
        <w:t>50%</w:t>
      </w:r>
      <w:r>
        <w:rPr>
          <w:rFonts w:hAnsi="宋体" w:hint="eastAsia"/>
          <w:bCs/>
          <w:sz w:val="24"/>
          <w:szCs w:val="24"/>
        </w:rPr>
        <w:t>以上的资产出现无可参考的活跃市场价格且采用估值技术仍导致公允价值存在重大不确定性时，经与基金托管人协商确认后，基金管理人应当暂停接受投资人的申购申请；</w:t>
      </w:r>
    </w:p>
    <w:p w14:paraId="65BED3C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11</w:t>
      </w:r>
      <w:r>
        <w:rPr>
          <w:rFonts w:hAnsi="宋体" w:hint="eastAsia"/>
          <w:bCs/>
          <w:sz w:val="24"/>
          <w:szCs w:val="24"/>
        </w:rPr>
        <w:t>、基金管理人接受某笔或者某些申购申请有可能导致单一投资者持有基金份额的比例达到或者超过</w:t>
      </w:r>
      <w:r>
        <w:rPr>
          <w:rFonts w:hAnsi="宋体" w:hint="eastAsia"/>
          <w:bCs/>
          <w:sz w:val="24"/>
          <w:szCs w:val="24"/>
        </w:rPr>
        <w:t>50%</w:t>
      </w:r>
      <w:r>
        <w:rPr>
          <w:rFonts w:hAnsi="宋体" w:hint="eastAsia"/>
          <w:bCs/>
          <w:sz w:val="24"/>
          <w:szCs w:val="24"/>
        </w:rPr>
        <w:t>，或者变相规避</w:t>
      </w:r>
      <w:r>
        <w:rPr>
          <w:rFonts w:hAnsi="宋体" w:hint="eastAsia"/>
          <w:bCs/>
          <w:sz w:val="24"/>
          <w:szCs w:val="24"/>
        </w:rPr>
        <w:t>50%</w:t>
      </w:r>
      <w:r>
        <w:rPr>
          <w:rFonts w:hAnsi="宋体" w:hint="eastAsia"/>
          <w:bCs/>
          <w:sz w:val="24"/>
          <w:szCs w:val="24"/>
        </w:rPr>
        <w:t>集中度的情形时；</w:t>
      </w:r>
    </w:p>
    <w:p w14:paraId="64CED68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12</w:t>
      </w:r>
      <w:r>
        <w:rPr>
          <w:rFonts w:hAnsi="宋体" w:hint="eastAsia"/>
          <w:bCs/>
          <w:sz w:val="24"/>
          <w:szCs w:val="24"/>
        </w:rPr>
        <w:t>、申请超过基金管理人设定的基金总规模、单日净申购比例上限、单个投资者单日或单笔申购金额上限的；</w:t>
      </w:r>
    </w:p>
    <w:p w14:paraId="6E08C81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13</w:t>
      </w:r>
      <w:r>
        <w:rPr>
          <w:rFonts w:hAnsi="宋体" w:hint="eastAsia"/>
          <w:bCs/>
          <w:sz w:val="24"/>
          <w:szCs w:val="24"/>
        </w:rPr>
        <w:t>、法律法规规定或中国证监会认定的其他可暂停申购的情形。</w:t>
      </w:r>
    </w:p>
    <w:p w14:paraId="61F10C6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发生上述情形之一的，申购款项将全额或部分退还投资者。发生上述</w:t>
      </w:r>
      <w:r>
        <w:rPr>
          <w:rFonts w:hAnsi="宋体" w:hint="eastAsia"/>
          <w:bCs/>
          <w:sz w:val="24"/>
          <w:szCs w:val="24"/>
        </w:rPr>
        <w:t>1</w:t>
      </w:r>
      <w:r>
        <w:rPr>
          <w:rFonts w:hAnsi="宋体" w:hint="eastAsia"/>
          <w:bCs/>
          <w:sz w:val="24"/>
          <w:szCs w:val="24"/>
        </w:rPr>
        <w:t>到</w:t>
      </w:r>
      <w:r>
        <w:rPr>
          <w:rFonts w:hAnsi="宋体" w:hint="eastAsia"/>
          <w:bCs/>
          <w:sz w:val="24"/>
          <w:szCs w:val="24"/>
        </w:rPr>
        <w:t>7</w:t>
      </w:r>
      <w:r>
        <w:rPr>
          <w:rFonts w:hAnsi="宋体" w:hint="eastAsia"/>
          <w:bCs/>
          <w:sz w:val="24"/>
          <w:szCs w:val="24"/>
        </w:rPr>
        <w:t>项、第</w:t>
      </w:r>
      <w:r>
        <w:rPr>
          <w:rFonts w:hAnsi="宋体" w:hint="eastAsia"/>
          <w:bCs/>
          <w:sz w:val="24"/>
          <w:szCs w:val="24"/>
        </w:rPr>
        <w:t>9</w:t>
      </w:r>
      <w:r>
        <w:rPr>
          <w:rFonts w:hAnsi="宋体" w:hint="eastAsia"/>
          <w:bCs/>
          <w:sz w:val="24"/>
          <w:szCs w:val="24"/>
        </w:rPr>
        <w:t>项、第</w:t>
      </w:r>
      <w:r>
        <w:rPr>
          <w:rFonts w:hAnsi="宋体" w:hint="eastAsia"/>
          <w:bCs/>
          <w:sz w:val="24"/>
          <w:szCs w:val="24"/>
        </w:rPr>
        <w:t>10</w:t>
      </w:r>
      <w:r>
        <w:rPr>
          <w:rFonts w:hAnsi="宋体" w:hint="eastAsia"/>
          <w:bCs/>
          <w:sz w:val="24"/>
          <w:szCs w:val="24"/>
        </w:rPr>
        <w:t>项和第</w:t>
      </w:r>
      <w:r>
        <w:rPr>
          <w:rFonts w:hAnsi="宋体" w:hint="eastAsia"/>
          <w:bCs/>
          <w:sz w:val="24"/>
          <w:szCs w:val="24"/>
        </w:rPr>
        <w:t>13</w:t>
      </w:r>
      <w:r>
        <w:rPr>
          <w:rFonts w:hAnsi="宋体" w:hint="eastAsia"/>
          <w:bCs/>
          <w:sz w:val="24"/>
          <w:szCs w:val="24"/>
        </w:rPr>
        <w:t>项暂停申购情形时，基金管理人应当在指定媒介上刊登暂停申购公告。</w:t>
      </w:r>
    </w:p>
    <w:p w14:paraId="77756A3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在暂停申购的情况消除时，基金管理人应及时恢复申购业务的办理，并依照</w:t>
      </w:r>
      <w:r>
        <w:rPr>
          <w:rFonts w:hAnsi="宋体" w:hint="eastAsia"/>
          <w:bCs/>
          <w:sz w:val="24"/>
          <w:szCs w:val="24"/>
        </w:rPr>
        <w:lastRenderedPageBreak/>
        <w:t>有关规定在指定媒介公告。</w:t>
      </w:r>
    </w:p>
    <w:p w14:paraId="6E788C8E"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十、暂停赎回或者延缓支付赎回款项的情形及处理方式</w:t>
      </w:r>
    </w:p>
    <w:p w14:paraId="21B5160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除非出现如下情形，基金管理人不得拒绝接受或暂停基金份额持有人的赎回申请或者延缓支付赎回款项：</w:t>
      </w:r>
    </w:p>
    <w:p w14:paraId="3B19E5E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、不可抗力的原因导致基金管理人不能支付赎回款项；</w:t>
      </w:r>
    </w:p>
    <w:p w14:paraId="6B968C7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、本基金进行交易的主要证券交易市场或外汇市场交易时间非正常停市或遇公众节假日，可能影响本基金投资，或导致基金管理人无法计算当日基金资产净值；</w:t>
      </w:r>
    </w:p>
    <w:p w14:paraId="0997832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、因市场剧烈波动或其他原因而出现连续</w:t>
      </w:r>
      <w:r>
        <w:rPr>
          <w:rFonts w:hAnsi="宋体" w:hint="eastAsia"/>
          <w:bCs/>
          <w:sz w:val="24"/>
          <w:szCs w:val="24"/>
        </w:rPr>
        <w:t>2</w:t>
      </w:r>
      <w:r>
        <w:rPr>
          <w:rFonts w:hAnsi="宋体" w:hint="eastAsia"/>
          <w:bCs/>
          <w:sz w:val="24"/>
          <w:szCs w:val="24"/>
        </w:rPr>
        <w:t>个或</w:t>
      </w:r>
      <w:r>
        <w:rPr>
          <w:rFonts w:hAnsi="宋体" w:hint="eastAsia"/>
          <w:bCs/>
          <w:sz w:val="24"/>
          <w:szCs w:val="24"/>
        </w:rPr>
        <w:t>2</w:t>
      </w:r>
      <w:r>
        <w:rPr>
          <w:rFonts w:hAnsi="宋体" w:hint="eastAsia"/>
          <w:bCs/>
          <w:sz w:val="24"/>
          <w:szCs w:val="24"/>
        </w:rPr>
        <w:t>个以上开放日巨额赎回，导致本基金的现金支付出现困难；</w:t>
      </w:r>
    </w:p>
    <w:p w14:paraId="148E50F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、本基金投资的主要证券交易市场或外汇市场的公众节假日、休市，并可能影响本基金正常估值与投资时；</w:t>
      </w:r>
    </w:p>
    <w:p w14:paraId="32C60F7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、本基金的资产组合中的重要部分发生暂停交易或其他重大事件，继续接受赎回可能会影响或损害其他基金份额持有人利益时；</w:t>
      </w:r>
    </w:p>
    <w:p w14:paraId="734C375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6</w:t>
      </w:r>
      <w:r>
        <w:rPr>
          <w:rFonts w:hAnsi="宋体" w:hint="eastAsia"/>
          <w:bCs/>
          <w:sz w:val="24"/>
          <w:szCs w:val="24"/>
        </w:rPr>
        <w:t>、基金管理人、基金托管人、基金销售机构或注册登记机构因技术保障或人员伤亡导致基金销售系统或基金注册登记系统或基金会计系统无法正常运行时；</w:t>
      </w:r>
    </w:p>
    <w:p w14:paraId="4DF4397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7</w:t>
      </w:r>
      <w:r>
        <w:rPr>
          <w:rFonts w:hAnsi="宋体" w:hint="eastAsia"/>
          <w:bCs/>
          <w:sz w:val="24"/>
          <w:szCs w:val="24"/>
        </w:rPr>
        <w:t>、当前一估值日基金资产净值</w:t>
      </w:r>
      <w:r>
        <w:rPr>
          <w:rFonts w:hAnsi="宋体" w:hint="eastAsia"/>
          <w:bCs/>
          <w:sz w:val="24"/>
          <w:szCs w:val="24"/>
        </w:rPr>
        <w:t>50%</w:t>
      </w:r>
      <w:r>
        <w:rPr>
          <w:rFonts w:hAnsi="宋体" w:hint="eastAsia"/>
          <w:bCs/>
          <w:sz w:val="24"/>
          <w:szCs w:val="24"/>
        </w:rPr>
        <w:t>以上的资产出现无可参考的活跃市场价格且采用估值技术仍导致公允价值存在重大不确定性时，经与基金托管人协商确认后，基金管理人应当采取暂停接受投资人的赎回申请或延缓支付赎回款项的措施；</w:t>
      </w:r>
    </w:p>
    <w:p w14:paraId="2D4E101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8</w:t>
      </w:r>
      <w:r>
        <w:rPr>
          <w:rFonts w:hAnsi="宋体" w:hint="eastAsia"/>
          <w:bCs/>
          <w:sz w:val="24"/>
          <w:szCs w:val="24"/>
        </w:rPr>
        <w:t>、法律法规规定或中国证监会认定的其他情形。</w:t>
      </w:r>
    </w:p>
    <w:p w14:paraId="26CCAF4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w:t>
      </w:r>
      <w:r>
        <w:rPr>
          <w:rFonts w:hAnsi="宋体" w:hint="eastAsia"/>
          <w:bCs/>
          <w:sz w:val="24"/>
          <w:szCs w:val="24"/>
        </w:rPr>
        <w:t>20</w:t>
      </w:r>
      <w:r>
        <w:rPr>
          <w:rFonts w:hAnsi="宋体" w:hint="eastAsia"/>
          <w:bCs/>
          <w:sz w:val="24"/>
          <w:szCs w:val="24"/>
        </w:rPr>
        <w:t>个工作日内予以支付。</w:t>
      </w:r>
    </w:p>
    <w:p w14:paraId="156D1DF9"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同时，在出现上述第</w:t>
      </w:r>
      <w:r>
        <w:rPr>
          <w:rFonts w:hAnsi="宋体" w:hint="eastAsia"/>
          <w:bCs/>
          <w:sz w:val="24"/>
          <w:szCs w:val="24"/>
        </w:rPr>
        <w:t>3</w:t>
      </w:r>
      <w:r>
        <w:rPr>
          <w:rFonts w:hAnsi="宋体" w:hint="eastAsia"/>
          <w:bCs/>
          <w:sz w:val="24"/>
          <w:szCs w:val="24"/>
        </w:rPr>
        <w:t>款的情形时，对已接受的赎回申请可延期支付赎回款项，最长不超过支付时间</w:t>
      </w:r>
      <w:r>
        <w:rPr>
          <w:rFonts w:hAnsi="宋体" w:hint="eastAsia"/>
          <w:bCs/>
          <w:sz w:val="24"/>
          <w:szCs w:val="24"/>
        </w:rPr>
        <w:t>20</w:t>
      </w:r>
      <w:r>
        <w:rPr>
          <w:rFonts w:hAnsi="宋体" w:hint="eastAsia"/>
          <w:bCs/>
          <w:sz w:val="24"/>
          <w:szCs w:val="24"/>
        </w:rPr>
        <w:t>个工作日，并在指定媒介上公告。投资者在申请赎回时可事先选择将当日可能未获受理部分予以撤销。</w:t>
      </w:r>
    </w:p>
    <w:p w14:paraId="1623918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lastRenderedPageBreak/>
        <w:t>暂停基金的赎回，基金管理人应及时在指定媒介上刊登暂停赎回公告。</w:t>
      </w:r>
    </w:p>
    <w:p w14:paraId="6D91D69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在暂停赎回的情况消除时，基金管理人应及时恢复赎回业务的办理，并依照有关规定在指定媒介上公告。</w:t>
      </w:r>
    </w:p>
    <w:p w14:paraId="0EE2E2DC"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十一、巨额赎回的情形及处理方式</w:t>
      </w:r>
    </w:p>
    <w:p w14:paraId="3125D0C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、巨额赎回的认定</w:t>
      </w:r>
    </w:p>
    <w:p w14:paraId="12C7981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本基金单个开放日，基金净赎回申请（赎回申请总数加上基金转换中转出申请份额总数后扣除申购申请总数及基金转换中转入申请份额总数后的余额）超过上一日基金总份额的</w:t>
      </w:r>
      <w:r>
        <w:rPr>
          <w:rFonts w:hAnsi="宋体" w:hint="eastAsia"/>
          <w:bCs/>
          <w:sz w:val="24"/>
          <w:szCs w:val="24"/>
        </w:rPr>
        <w:t>10%</w:t>
      </w:r>
      <w:r>
        <w:rPr>
          <w:rFonts w:hAnsi="宋体" w:hint="eastAsia"/>
          <w:bCs/>
          <w:sz w:val="24"/>
          <w:szCs w:val="24"/>
        </w:rPr>
        <w:t>时，即认为发生了巨额赎回。</w:t>
      </w:r>
    </w:p>
    <w:p w14:paraId="0E21B75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、巨额赎回的处理方式</w:t>
      </w:r>
    </w:p>
    <w:p w14:paraId="3E83656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当出现巨额赎回时，基金管理人可以根据本基金当时的资产组合状况决定全额赎回或部分顺延赎回。</w:t>
      </w:r>
    </w:p>
    <w:p w14:paraId="51D6610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1</w:t>
      </w:r>
      <w:r>
        <w:rPr>
          <w:rFonts w:hAnsi="宋体" w:hint="eastAsia"/>
          <w:bCs/>
          <w:sz w:val="24"/>
          <w:szCs w:val="24"/>
        </w:rPr>
        <w:t>）全额赎回：当基金管理人认为有能力支付投资者的全部赎回申请时，按正常赎回程序执行。</w:t>
      </w:r>
    </w:p>
    <w:p w14:paraId="28565637" w14:textId="01F449EC"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2</w:t>
      </w:r>
      <w:r>
        <w:rPr>
          <w:rFonts w:hAnsi="宋体" w:hint="eastAsia"/>
          <w:bCs/>
          <w:sz w:val="24"/>
          <w:szCs w:val="24"/>
        </w:rPr>
        <w:t>）部分顺延赎回：当基金管理人认为支付投资者的赎回申请有困难或认为支付投资者的赎回申请可能会对基金的资产净值造成较大波动时，基金管理人在当日接受赎回比例不低于上一日基金总份额的</w:t>
      </w:r>
      <w:r>
        <w:rPr>
          <w:rFonts w:hAnsi="宋体" w:hint="eastAsia"/>
          <w:bCs/>
          <w:sz w:val="24"/>
          <w:szCs w:val="24"/>
        </w:rPr>
        <w:t>10%</w:t>
      </w:r>
      <w:r>
        <w:rPr>
          <w:rFonts w:hAnsi="宋体" w:hint="eastAsia"/>
          <w:bCs/>
          <w:sz w:val="24"/>
          <w:szCs w:val="24"/>
        </w:rPr>
        <w:t>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w:t>
      </w:r>
      <w:r w:rsidR="00013E74" w:rsidRPr="00013E74">
        <w:rPr>
          <w:rFonts w:hAnsi="宋体" w:hint="eastAsia"/>
          <w:bCs/>
          <w:sz w:val="24"/>
          <w:szCs w:val="24"/>
        </w:rPr>
        <w:t>该类基金份额</w:t>
      </w:r>
      <w:r>
        <w:rPr>
          <w:rFonts w:hAnsi="宋体" w:hint="eastAsia"/>
          <w:bCs/>
          <w:sz w:val="24"/>
          <w:szCs w:val="24"/>
        </w:rPr>
        <w:t>的价格。依照上述规定转入下一个开放日的赎回不享有赎回优先权，并以此类推，直到全部赎回为止。部分顺延赎回不受单笔赎回最低份额的限制。</w:t>
      </w:r>
    </w:p>
    <w:p w14:paraId="133646B0"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3</w:t>
      </w:r>
      <w:r>
        <w:rPr>
          <w:rFonts w:hAnsi="宋体" w:hint="eastAsia"/>
          <w:bCs/>
          <w:sz w:val="24"/>
          <w:szCs w:val="24"/>
        </w:rPr>
        <w:t>）如果发生巨额赎回，且单个开放日内单个基金份额持有人申请赎回的基金份额占前一开放日基金总份额的比例超过</w:t>
      </w:r>
      <w:r>
        <w:rPr>
          <w:rFonts w:hAnsi="宋体" w:hint="eastAsia"/>
          <w:bCs/>
          <w:sz w:val="24"/>
          <w:szCs w:val="24"/>
        </w:rPr>
        <w:t>30%</w:t>
      </w:r>
      <w:r>
        <w:rPr>
          <w:rFonts w:hAnsi="宋体" w:hint="eastAsia"/>
          <w:bCs/>
          <w:sz w:val="24"/>
          <w:szCs w:val="24"/>
        </w:rPr>
        <w:t>时，本基金管理人可以对该单个基金份额持有人超过</w:t>
      </w:r>
      <w:r>
        <w:rPr>
          <w:rFonts w:hAnsi="宋体" w:hint="eastAsia"/>
          <w:bCs/>
          <w:sz w:val="24"/>
          <w:szCs w:val="24"/>
        </w:rPr>
        <w:t>30%</w:t>
      </w:r>
      <w:r>
        <w:rPr>
          <w:rFonts w:hAnsi="宋体" w:hint="eastAsia"/>
          <w:bCs/>
          <w:sz w:val="24"/>
          <w:szCs w:val="24"/>
        </w:rPr>
        <w:t>比例的赎回申请实施延期办理赎回申请。</w:t>
      </w:r>
    </w:p>
    <w:p w14:paraId="2442851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对该单个基金份额持有人不超过</w:t>
      </w:r>
      <w:r>
        <w:rPr>
          <w:rFonts w:hAnsi="宋体" w:hint="eastAsia"/>
          <w:bCs/>
          <w:sz w:val="24"/>
          <w:szCs w:val="24"/>
        </w:rPr>
        <w:t>30%</w:t>
      </w:r>
      <w:r>
        <w:rPr>
          <w:rFonts w:hAnsi="宋体" w:hint="eastAsia"/>
          <w:bCs/>
          <w:sz w:val="24"/>
          <w:szCs w:val="24"/>
        </w:rPr>
        <w:t>比例的赎回申请，与当日其他赎回申请一起，按上述（</w:t>
      </w:r>
      <w:r>
        <w:rPr>
          <w:rFonts w:hAnsi="宋体" w:hint="eastAsia"/>
          <w:bCs/>
          <w:sz w:val="24"/>
          <w:szCs w:val="24"/>
        </w:rPr>
        <w:t>1</w:t>
      </w:r>
      <w:r>
        <w:rPr>
          <w:rFonts w:hAnsi="宋体" w:hint="eastAsia"/>
          <w:bCs/>
          <w:sz w:val="24"/>
          <w:szCs w:val="24"/>
        </w:rPr>
        <w:t>）、（</w:t>
      </w:r>
      <w:r>
        <w:rPr>
          <w:rFonts w:hAnsi="宋体" w:hint="eastAsia"/>
          <w:bCs/>
          <w:sz w:val="24"/>
          <w:szCs w:val="24"/>
        </w:rPr>
        <w:t>2</w:t>
      </w:r>
      <w:r>
        <w:rPr>
          <w:rFonts w:hAnsi="宋体" w:hint="eastAsia"/>
          <w:bCs/>
          <w:sz w:val="24"/>
          <w:szCs w:val="24"/>
        </w:rPr>
        <w:t>）方式处理。如下一开放日，该单一基金份额持有人剩余未赎回部分仍旧超出前一开放日基金总份额的</w:t>
      </w:r>
      <w:r>
        <w:rPr>
          <w:rFonts w:hAnsi="宋体" w:hint="eastAsia"/>
          <w:bCs/>
          <w:sz w:val="24"/>
          <w:szCs w:val="24"/>
        </w:rPr>
        <w:t>30%</w:t>
      </w:r>
      <w:r>
        <w:rPr>
          <w:rFonts w:hAnsi="宋体" w:hint="eastAsia"/>
          <w:bCs/>
          <w:sz w:val="24"/>
          <w:szCs w:val="24"/>
        </w:rPr>
        <w:t>时，继续按前述规则处理，直至该单一基金份额持有人单个开放日内申请赎回的基金份额占前一开放日基金总份额的比例低于</w:t>
      </w:r>
      <w:r>
        <w:rPr>
          <w:rFonts w:hAnsi="宋体" w:hint="eastAsia"/>
          <w:bCs/>
          <w:sz w:val="24"/>
          <w:szCs w:val="24"/>
        </w:rPr>
        <w:t>30%</w:t>
      </w:r>
      <w:r>
        <w:rPr>
          <w:rFonts w:hAnsi="宋体" w:hint="eastAsia"/>
          <w:bCs/>
          <w:sz w:val="24"/>
          <w:szCs w:val="24"/>
        </w:rPr>
        <w:t>。</w:t>
      </w:r>
    </w:p>
    <w:p w14:paraId="26F86AD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lastRenderedPageBreak/>
        <w:t>基金管理人在履行适当程序后，有权根据当时市场环境调整前述比例及处理规则，并在指定媒介上进行公告。</w:t>
      </w:r>
    </w:p>
    <w:p w14:paraId="2327AFB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4</w:t>
      </w:r>
      <w:r>
        <w:rPr>
          <w:rFonts w:hAnsi="宋体" w:hint="eastAsia"/>
          <w:bCs/>
          <w:sz w:val="24"/>
          <w:szCs w:val="24"/>
        </w:rPr>
        <w:t>）巨额赎回的公告：当发生巨额赎回并顺延赎回时，基金管理人应在</w:t>
      </w:r>
      <w:r>
        <w:rPr>
          <w:rFonts w:hAnsi="宋体" w:hint="eastAsia"/>
          <w:bCs/>
          <w:sz w:val="24"/>
          <w:szCs w:val="24"/>
        </w:rPr>
        <w:t>2</w:t>
      </w:r>
      <w:r>
        <w:rPr>
          <w:rFonts w:hAnsi="宋体" w:hint="eastAsia"/>
          <w:bCs/>
          <w:sz w:val="24"/>
          <w:szCs w:val="24"/>
        </w:rPr>
        <w:t>日内通过指定媒介或基金代销机构的网点刊登公告。同时以邮寄、传真或《招募说明书》规定的其他方式通知基金份额持有人，并说明有关处理方法。</w:t>
      </w:r>
    </w:p>
    <w:p w14:paraId="448DEC9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本基金连续</w:t>
      </w:r>
      <w:r>
        <w:rPr>
          <w:rFonts w:hAnsi="宋体" w:hint="eastAsia"/>
          <w:bCs/>
          <w:sz w:val="24"/>
          <w:szCs w:val="24"/>
        </w:rPr>
        <w:t>2</w:t>
      </w:r>
      <w:r>
        <w:rPr>
          <w:rFonts w:hAnsi="宋体" w:hint="eastAsia"/>
          <w:bCs/>
          <w:sz w:val="24"/>
          <w:szCs w:val="24"/>
        </w:rPr>
        <w:t>个开放日以上发生巨额赎回，如基金管理人认为有必要，可暂停接受赎回申请；已经接受的赎回申请可以延缓支付赎回款项，但不得超过支付时间</w:t>
      </w:r>
      <w:r>
        <w:rPr>
          <w:rFonts w:hAnsi="宋体" w:hint="eastAsia"/>
          <w:bCs/>
          <w:sz w:val="24"/>
          <w:szCs w:val="24"/>
        </w:rPr>
        <w:t>20</w:t>
      </w:r>
      <w:r>
        <w:rPr>
          <w:rFonts w:hAnsi="宋体" w:hint="eastAsia"/>
          <w:bCs/>
          <w:sz w:val="24"/>
          <w:szCs w:val="24"/>
        </w:rPr>
        <w:t>个工作日，并应当在指定媒介上公告。</w:t>
      </w:r>
    </w:p>
    <w:p w14:paraId="13BAD552"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十二、其他暂停申购和赎回的情形及处理方式</w:t>
      </w:r>
    </w:p>
    <w:p w14:paraId="01966A8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发生《基金合同》或《招募说明书》中未予载明的事项，但基金管理人有正当理由认为需要暂停基金申购、赎回的，可以在履行届时有效的合法程序后，暂停接受投资者的申购、赎回申请。</w:t>
      </w:r>
    </w:p>
    <w:p w14:paraId="0282932B"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十三、重新开放申购或赎回的公告</w:t>
      </w:r>
    </w:p>
    <w:p w14:paraId="66549A55" w14:textId="345B560B"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如果发生暂停的时间为一天，基金管理人应于重新开放日在指定媒介上刊登基金重新开放申购或赎回的公告并公布最近一个开放日的</w:t>
      </w:r>
      <w:r w:rsidR="00ED62F8" w:rsidRPr="00ED62F8">
        <w:rPr>
          <w:rFonts w:hAnsi="宋体" w:hint="eastAsia"/>
          <w:bCs/>
          <w:sz w:val="24"/>
          <w:szCs w:val="24"/>
        </w:rPr>
        <w:t>各类</w:t>
      </w:r>
      <w:r>
        <w:rPr>
          <w:rFonts w:hAnsi="宋体" w:hint="eastAsia"/>
          <w:bCs/>
          <w:sz w:val="24"/>
          <w:szCs w:val="24"/>
        </w:rPr>
        <w:t>基金份额净值。</w:t>
      </w:r>
    </w:p>
    <w:p w14:paraId="56B19FAE" w14:textId="339CD019"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如果发生暂停的时间超过一天但少于两周，暂停结束基金重新开放申购或赎回时，基金管理人应提前</w:t>
      </w:r>
      <w:r>
        <w:rPr>
          <w:rFonts w:hAnsi="宋体" w:hint="eastAsia"/>
          <w:bCs/>
          <w:sz w:val="24"/>
          <w:szCs w:val="24"/>
        </w:rPr>
        <w:t>2</w:t>
      </w:r>
      <w:r>
        <w:rPr>
          <w:rFonts w:hAnsi="宋体" w:hint="eastAsia"/>
          <w:bCs/>
          <w:sz w:val="24"/>
          <w:szCs w:val="24"/>
        </w:rPr>
        <w:t>个工作日在指定媒介上刊登基金重新开放申购或赎回的公告，并在重新开始办理申购或赎回的开放日公告最近一个开放日的</w:t>
      </w:r>
      <w:r w:rsidR="00ED62F8" w:rsidRPr="00ED62F8">
        <w:rPr>
          <w:rFonts w:hAnsi="宋体" w:hint="eastAsia"/>
          <w:bCs/>
          <w:sz w:val="24"/>
          <w:szCs w:val="24"/>
        </w:rPr>
        <w:t>各类</w:t>
      </w:r>
      <w:r>
        <w:rPr>
          <w:rFonts w:hAnsi="宋体" w:hint="eastAsia"/>
          <w:bCs/>
          <w:sz w:val="24"/>
          <w:szCs w:val="24"/>
        </w:rPr>
        <w:t>基金份额净值。</w:t>
      </w:r>
    </w:p>
    <w:p w14:paraId="7747BDE9" w14:textId="4A47770A"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如果发生暂停的时间超过两周（含两周），暂停期间，基金管理人自行确定公告增加次数，并根据《信息披露办法》在指定媒介刊登公告。暂停结束基金重新开放申购或赎回时，基金管理人应提前</w:t>
      </w:r>
      <w:r>
        <w:rPr>
          <w:rFonts w:hAnsi="宋体" w:hint="eastAsia"/>
          <w:bCs/>
          <w:sz w:val="24"/>
          <w:szCs w:val="24"/>
        </w:rPr>
        <w:t>2</w:t>
      </w:r>
      <w:r>
        <w:rPr>
          <w:rFonts w:hAnsi="宋体" w:hint="eastAsia"/>
          <w:bCs/>
          <w:sz w:val="24"/>
          <w:szCs w:val="24"/>
        </w:rPr>
        <w:t>个工作日在指定媒介上连续刊登基金重新开放申购或赎回的公告，并在重新开放申购或赎回日公告最近一个开放日的</w:t>
      </w:r>
      <w:r w:rsidR="00ED62F8" w:rsidRPr="00ED62F8">
        <w:rPr>
          <w:rFonts w:hAnsi="宋体" w:hint="eastAsia"/>
          <w:bCs/>
          <w:sz w:val="24"/>
          <w:szCs w:val="24"/>
        </w:rPr>
        <w:t>各类</w:t>
      </w:r>
      <w:r>
        <w:rPr>
          <w:rFonts w:hAnsi="宋体" w:hint="eastAsia"/>
          <w:bCs/>
          <w:sz w:val="24"/>
          <w:szCs w:val="24"/>
        </w:rPr>
        <w:t>基金份额净值。</w:t>
      </w:r>
    </w:p>
    <w:p w14:paraId="164D7C79"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十四、基金的转换</w:t>
      </w:r>
    </w:p>
    <w:p w14:paraId="35ACE5EE"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14:paraId="44FDA93D"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十五、转托管</w:t>
      </w:r>
    </w:p>
    <w:p w14:paraId="5252517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lastRenderedPageBreak/>
        <w:t>本基金目前实行份额托管的交易制度。投资者可将所持有的基金份额从一个交易账户转入另一个交易账户进行交易。具体办理方法参照业务规则的有关规定以及基金代销机构的业务规则。</w:t>
      </w:r>
    </w:p>
    <w:p w14:paraId="3B0C26E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（一）基金份额的登记</w:t>
      </w:r>
    </w:p>
    <w:p w14:paraId="5C3E7D7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本基金的基金份额采用分系统登记的原则。场外认购或申购买入的基金份额登记在注册登记系统基金份额持有人开放式基金账户下；场内认购、申购或上市交易买入的基金份额登记在证券登记结算系统基金份额持有人证券账户下。</w:t>
      </w:r>
    </w:p>
    <w:p w14:paraId="645FDB2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、登记在证券登记结算系统中的基金份额既可以在深圳证券交易所上市交易，也可以申请场内赎回。</w:t>
      </w:r>
    </w:p>
    <w:p w14:paraId="4C67455A"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、登记在注册登记系统中的基金份额可申请场外赎回，不可以在深圳证券交易所上市交易，也不可以直接申请场内赎回。</w:t>
      </w:r>
    </w:p>
    <w:p w14:paraId="30DC73E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（二）系统内转托管</w:t>
      </w:r>
    </w:p>
    <w:p w14:paraId="14570F1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、系统内转托管是指基金份额持有人将持有的基金份额在注册登记系统内不同销售机构（网点）之间或证券登记结算系统内不同会员单位（席位）之间进行转托管的行为。</w:t>
      </w:r>
    </w:p>
    <w:p w14:paraId="6AEB3C6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、基金份额登记在注册登记系统的基金份额持有人在变更办理基金赎回业务的销售机构（网点）时，须办理已持有基金份额的系统内转托管。</w:t>
      </w:r>
    </w:p>
    <w:p w14:paraId="5D78FABB"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、基金份额登记在证券登记结算系统的基金份额持有人在变更办理上市交易或场内赎回的会员单位（席位）时，须办理已持有基金份额的系统内转托管。</w:t>
      </w:r>
    </w:p>
    <w:p w14:paraId="0537C482"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具体办理方法参照相关业务规则的有关规定以及基金代销机构的业务规则。</w:t>
      </w:r>
    </w:p>
    <w:p w14:paraId="477A6A4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（三）跨系统转登记</w:t>
      </w:r>
    </w:p>
    <w:p w14:paraId="3E4BB800" w14:textId="389D2D1C"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、跨系统转登记是指基金份额持有人将持有的</w:t>
      </w:r>
      <w:r w:rsidR="00C52C93" w:rsidRPr="00C52C93">
        <w:rPr>
          <w:rFonts w:hAnsi="宋体" w:hint="eastAsia"/>
          <w:bCs/>
          <w:sz w:val="24"/>
          <w:szCs w:val="24"/>
        </w:rPr>
        <w:t>A</w:t>
      </w:r>
      <w:r w:rsidR="00C52C93" w:rsidRPr="00C52C93">
        <w:rPr>
          <w:rFonts w:hAnsi="宋体" w:hint="eastAsia"/>
          <w:bCs/>
          <w:sz w:val="24"/>
          <w:szCs w:val="24"/>
        </w:rPr>
        <w:t>类</w:t>
      </w:r>
      <w:r>
        <w:rPr>
          <w:rFonts w:hAnsi="宋体" w:hint="eastAsia"/>
          <w:bCs/>
          <w:sz w:val="24"/>
          <w:szCs w:val="24"/>
        </w:rPr>
        <w:t>基金份额在注册登记系统和证券登记结算系统之间进行转登记的行为。</w:t>
      </w:r>
      <w:r w:rsidR="00C52C93" w:rsidRPr="00C52C93">
        <w:rPr>
          <w:rFonts w:hAnsi="宋体" w:hint="eastAsia"/>
          <w:bCs/>
          <w:sz w:val="24"/>
          <w:szCs w:val="24"/>
        </w:rPr>
        <w:t>除非基金管理人另行公告，本基金不支持</w:t>
      </w:r>
      <w:r w:rsidR="00C52C93" w:rsidRPr="00C52C93">
        <w:rPr>
          <w:rFonts w:hAnsi="宋体" w:hint="eastAsia"/>
          <w:bCs/>
          <w:sz w:val="24"/>
          <w:szCs w:val="24"/>
        </w:rPr>
        <w:t>C</w:t>
      </w:r>
      <w:r w:rsidR="00C52C93" w:rsidRPr="00C52C93">
        <w:rPr>
          <w:rFonts w:hAnsi="宋体" w:hint="eastAsia"/>
          <w:bCs/>
          <w:sz w:val="24"/>
          <w:szCs w:val="24"/>
        </w:rPr>
        <w:t>类基金份额进行跨系统转登记。</w:t>
      </w:r>
    </w:p>
    <w:p w14:paraId="79DEB72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、本基金跨系统转登记的具体业务按照中国证券登记结算有限责任公司的相关规定办理。</w:t>
      </w:r>
    </w:p>
    <w:p w14:paraId="70256D98"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十六、定期定额投资计划</w:t>
      </w:r>
    </w:p>
    <w:p w14:paraId="66EA47FE" w14:textId="77777777" w:rsidR="0037652E" w:rsidRDefault="00BF49B0">
      <w:pPr>
        <w:widowControl/>
        <w:adjustRightInd w:val="0"/>
        <w:snapToGrid w:val="0"/>
        <w:spacing w:line="360" w:lineRule="auto"/>
        <w:ind w:firstLineChars="200" w:firstLine="480"/>
        <w:rPr>
          <w:rFonts w:ascii="宋体" w:hAnsi="宋体"/>
          <w:sz w:val="24"/>
        </w:rPr>
      </w:pPr>
      <w:r>
        <w:rPr>
          <w:rFonts w:ascii="宋体" w:hAnsi="宋体"/>
          <w:sz w:val="24"/>
        </w:rPr>
        <w:t>定期定额投资计划是基金申购业务的一种方式，投资者可通过基金销售机构提交申请，约定每期扣款日、扣款金额及扣款方式，由指定的销售机构于每期约定扣款日在投资者指定资金账户内自动完成扣款和基金申购申请。定期定额投资</w:t>
      </w:r>
      <w:r>
        <w:rPr>
          <w:rFonts w:ascii="宋体" w:hAnsi="宋体"/>
          <w:sz w:val="24"/>
        </w:rPr>
        <w:lastRenderedPageBreak/>
        <w:t>计划并不构成对基金日常申购、赎回等业务的影响，投资者在办理相关基金定期定额投资计划的同时，仍然可以进行日常申购、赎回业务。</w:t>
      </w:r>
    </w:p>
    <w:p w14:paraId="44D8CB24" w14:textId="77777777" w:rsidR="0037652E" w:rsidRDefault="00BF49B0">
      <w:pPr>
        <w:widowControl/>
        <w:adjustRightInd w:val="0"/>
        <w:snapToGrid w:val="0"/>
        <w:spacing w:line="360" w:lineRule="auto"/>
        <w:ind w:firstLineChars="200" w:firstLine="480"/>
        <w:rPr>
          <w:rFonts w:ascii="宋体" w:hAnsi="宋体"/>
          <w:sz w:val="24"/>
        </w:rPr>
      </w:pPr>
      <w:r>
        <w:rPr>
          <w:rFonts w:ascii="宋体" w:hAnsi="宋体"/>
          <w:sz w:val="24"/>
        </w:rPr>
        <w:t>投资者可通过经本</w:t>
      </w:r>
      <w:r>
        <w:rPr>
          <w:rFonts w:ascii="宋体" w:hAnsi="宋体" w:hint="eastAsia"/>
          <w:sz w:val="24"/>
        </w:rPr>
        <w:t>基金管理人</w:t>
      </w:r>
      <w:r>
        <w:rPr>
          <w:rFonts w:ascii="宋体" w:hAnsi="宋体"/>
          <w:sz w:val="24"/>
        </w:rPr>
        <w:t>公告可办理本业务的销售机构网点申请办理本业务。本基金管理人可根据情况增减开办该业务的销售机构，并予以公告。</w:t>
      </w:r>
    </w:p>
    <w:p w14:paraId="4BF6052F" w14:textId="77777777" w:rsidR="0037652E" w:rsidRDefault="00BF49B0">
      <w:pPr>
        <w:widowControl/>
        <w:adjustRightInd w:val="0"/>
        <w:snapToGrid w:val="0"/>
        <w:spacing w:line="360" w:lineRule="auto"/>
        <w:ind w:firstLineChars="200" w:firstLine="480"/>
        <w:rPr>
          <w:rFonts w:ascii="宋体" w:hAnsi="宋体"/>
          <w:sz w:val="24"/>
        </w:rPr>
      </w:pPr>
      <w:r>
        <w:rPr>
          <w:rFonts w:ascii="宋体" w:hAnsi="宋体"/>
          <w:sz w:val="24"/>
        </w:rPr>
        <w:t>具体办理方法参照《汇添富基金管理股份有限公司开放式基金业务规则》的有关规定以及基金代销机构的业务规则。</w:t>
      </w:r>
    </w:p>
    <w:p w14:paraId="48D5B677" w14:textId="13F1EA31" w:rsidR="00AA314E" w:rsidRDefault="00AA314E">
      <w:pPr>
        <w:widowControl/>
        <w:adjustRightInd w:val="0"/>
        <w:snapToGrid w:val="0"/>
        <w:spacing w:line="360" w:lineRule="auto"/>
        <w:ind w:firstLineChars="200" w:firstLine="480"/>
        <w:rPr>
          <w:rFonts w:ascii="宋体" w:hAnsi="宋体"/>
          <w:sz w:val="24"/>
        </w:rPr>
      </w:pPr>
      <w:r w:rsidRPr="00AA314E">
        <w:rPr>
          <w:rFonts w:ascii="宋体" w:hAnsi="宋体" w:hint="eastAsia"/>
          <w:sz w:val="24"/>
        </w:rPr>
        <w:t>本基金</w:t>
      </w:r>
      <w:r>
        <w:rPr>
          <w:rFonts w:ascii="宋体" w:hAnsi="宋体" w:hint="eastAsia"/>
          <w:sz w:val="24"/>
        </w:rPr>
        <w:t>A类基金份额</w:t>
      </w:r>
      <w:r w:rsidRPr="00AA314E">
        <w:rPr>
          <w:rFonts w:ascii="宋体" w:hAnsi="宋体" w:hint="eastAsia"/>
          <w:sz w:val="24"/>
        </w:rPr>
        <w:t>自20</w:t>
      </w:r>
      <w:r>
        <w:rPr>
          <w:rFonts w:ascii="宋体" w:hAnsi="宋体"/>
          <w:sz w:val="24"/>
        </w:rPr>
        <w:t>11</w:t>
      </w:r>
      <w:r w:rsidRPr="00AA314E">
        <w:rPr>
          <w:rFonts w:ascii="宋体" w:hAnsi="宋体" w:hint="eastAsia"/>
          <w:sz w:val="24"/>
        </w:rPr>
        <w:t>年</w:t>
      </w:r>
      <w:r>
        <w:rPr>
          <w:rFonts w:ascii="宋体" w:hAnsi="宋体" w:hint="eastAsia"/>
          <w:sz w:val="24"/>
        </w:rPr>
        <w:t>9</w:t>
      </w:r>
      <w:r w:rsidRPr="00AA314E">
        <w:rPr>
          <w:rFonts w:ascii="宋体" w:hAnsi="宋体" w:hint="eastAsia"/>
          <w:sz w:val="24"/>
        </w:rPr>
        <w:t>月</w:t>
      </w:r>
      <w:r>
        <w:rPr>
          <w:rFonts w:ascii="宋体" w:hAnsi="宋体" w:hint="eastAsia"/>
          <w:sz w:val="24"/>
        </w:rPr>
        <w:t>2</w:t>
      </w:r>
      <w:r>
        <w:rPr>
          <w:rFonts w:ascii="宋体" w:hAnsi="宋体"/>
          <w:sz w:val="24"/>
        </w:rPr>
        <w:t>2</w:t>
      </w:r>
      <w:r w:rsidRPr="00AA314E">
        <w:rPr>
          <w:rFonts w:ascii="宋体" w:hAnsi="宋体" w:hint="eastAsia"/>
          <w:sz w:val="24"/>
        </w:rPr>
        <w:t>日起开始办理定期定额投资业务</w:t>
      </w:r>
      <w:r>
        <w:rPr>
          <w:rFonts w:ascii="宋体" w:hAnsi="宋体" w:hint="eastAsia"/>
          <w:sz w:val="24"/>
        </w:rPr>
        <w:t>，</w:t>
      </w:r>
      <w:r w:rsidRPr="00AA314E">
        <w:rPr>
          <w:rFonts w:ascii="宋体" w:hAnsi="宋体" w:hint="eastAsia"/>
          <w:sz w:val="24"/>
        </w:rPr>
        <w:t>本基金</w:t>
      </w:r>
      <w:r>
        <w:rPr>
          <w:rFonts w:ascii="宋体" w:hAnsi="宋体"/>
          <w:sz w:val="24"/>
        </w:rPr>
        <w:t>C</w:t>
      </w:r>
      <w:r w:rsidRPr="00AA314E">
        <w:rPr>
          <w:rFonts w:ascii="宋体" w:hAnsi="宋体" w:hint="eastAsia"/>
          <w:sz w:val="24"/>
        </w:rPr>
        <w:t>类基金份额自</w:t>
      </w:r>
      <w:r w:rsidR="009A4AD5" w:rsidRPr="00AA314E">
        <w:rPr>
          <w:rFonts w:ascii="宋体" w:hAnsi="宋体" w:hint="eastAsia"/>
          <w:sz w:val="24"/>
        </w:rPr>
        <w:t>20</w:t>
      </w:r>
      <w:r w:rsidR="009A4AD5">
        <w:rPr>
          <w:rFonts w:ascii="宋体" w:hAnsi="宋体"/>
          <w:sz w:val="24"/>
        </w:rPr>
        <w:t>23</w:t>
      </w:r>
      <w:r w:rsidR="009A4AD5" w:rsidRPr="00AA314E">
        <w:rPr>
          <w:rFonts w:ascii="宋体" w:hAnsi="宋体" w:hint="eastAsia"/>
          <w:sz w:val="24"/>
        </w:rPr>
        <w:t>年</w:t>
      </w:r>
      <w:r w:rsidR="009A4AD5">
        <w:rPr>
          <w:rFonts w:ascii="宋体" w:hAnsi="宋体" w:hint="eastAsia"/>
          <w:sz w:val="24"/>
        </w:rPr>
        <w:t>5</w:t>
      </w:r>
      <w:r w:rsidR="009A4AD5" w:rsidRPr="00AA314E">
        <w:rPr>
          <w:rFonts w:ascii="宋体" w:hAnsi="宋体" w:hint="eastAsia"/>
          <w:sz w:val="24"/>
        </w:rPr>
        <w:t>月</w:t>
      </w:r>
      <w:r w:rsidR="009A4AD5">
        <w:rPr>
          <w:rFonts w:ascii="宋体" w:hAnsi="宋体"/>
          <w:sz w:val="24"/>
        </w:rPr>
        <w:t>19</w:t>
      </w:r>
      <w:r w:rsidRPr="00AA314E">
        <w:rPr>
          <w:rFonts w:ascii="宋体" w:hAnsi="宋体" w:hint="eastAsia"/>
          <w:sz w:val="24"/>
        </w:rPr>
        <w:t>日起开始办理定期定额投资业务。</w:t>
      </w:r>
    </w:p>
    <w:p w14:paraId="3831C580"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十七、基金的非交易过户</w:t>
      </w:r>
    </w:p>
    <w:p w14:paraId="687288C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非交易过户是指不采用申购、赎回等基金交易方式，将一定数量的基金份额按照一定规则从某一投资者基金账户转移到另一投资者基金账户的行为。</w:t>
      </w:r>
    </w:p>
    <w:p w14:paraId="0CF62CDD"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14:paraId="5B23C358" w14:textId="1F2EBCB8"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基金注册登记机构受理上述情况下的非交易过户，其他销售机构不得办理该项业务。对于符合条件的非交易过户申请按</w:t>
      </w:r>
      <w:r w:rsidR="002D46A5" w:rsidRPr="002D46A5">
        <w:rPr>
          <w:rFonts w:hAnsi="宋体" w:hint="eastAsia"/>
          <w:bCs/>
          <w:sz w:val="24"/>
          <w:szCs w:val="24"/>
        </w:rPr>
        <w:t>基金注册登记机构</w:t>
      </w:r>
      <w:r>
        <w:rPr>
          <w:rFonts w:hAnsi="宋体" w:hint="eastAsia"/>
          <w:bCs/>
          <w:sz w:val="24"/>
          <w:szCs w:val="24"/>
        </w:rPr>
        <w:t>、深圳证券交易所等相关机构相关业务规则的有关规定办理。</w:t>
      </w:r>
    </w:p>
    <w:p w14:paraId="0609F57E"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十八、基金的冻结与解冻</w:t>
      </w:r>
    </w:p>
    <w:p w14:paraId="471B932D" w14:textId="77777777" w:rsidR="0037652E" w:rsidRDefault="00BF49B0">
      <w:pPr>
        <w:spacing w:line="360" w:lineRule="auto"/>
        <w:ind w:firstLineChars="200" w:firstLine="480"/>
        <w:rPr>
          <w:bCs/>
          <w:sz w:val="24"/>
        </w:rPr>
      </w:pPr>
      <w:r>
        <w:rPr>
          <w:rFonts w:hAnsi="宋体" w:hint="eastAsia"/>
          <w:bCs/>
          <w:sz w:val="24"/>
          <w:szCs w:val="24"/>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w:t>
      </w:r>
    </w:p>
    <w:p w14:paraId="07EA0C3A"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十九、实施侧袋机制期间本基金的申购与赎回</w:t>
      </w:r>
    </w:p>
    <w:p w14:paraId="38E3CF9B" w14:textId="77777777" w:rsidR="0037652E" w:rsidRDefault="00BF49B0">
      <w:pPr>
        <w:tabs>
          <w:tab w:val="left" w:pos="961"/>
        </w:tabs>
        <w:snapToGrid w:val="0"/>
        <w:spacing w:line="360" w:lineRule="auto"/>
        <w:ind w:firstLineChars="200" w:firstLine="480"/>
        <w:rPr>
          <w:rFonts w:hAnsi="宋体"/>
          <w:bCs/>
          <w:sz w:val="24"/>
          <w:szCs w:val="24"/>
        </w:rPr>
      </w:pPr>
      <w:r>
        <w:rPr>
          <w:rFonts w:hint="eastAsia"/>
          <w:sz w:val="24"/>
        </w:rPr>
        <w:t>本基金实施侧袋机制的，本基金的申购和赎回安排详见本招募说明书“侧袋机制”章节的规定或相关公告。</w:t>
      </w:r>
    </w:p>
    <w:p w14:paraId="16A0528A" w14:textId="77777777" w:rsidR="0037652E" w:rsidRDefault="00BF49B0">
      <w:pPr>
        <w:rPr>
          <w:rFonts w:hAnsi="宋体"/>
          <w:bCs/>
          <w:szCs w:val="21"/>
        </w:rPr>
      </w:pPr>
      <w:r>
        <w:rPr>
          <w:rFonts w:hAnsi="宋体"/>
          <w:bCs/>
          <w:szCs w:val="21"/>
        </w:rPr>
        <w:br w:type="page"/>
      </w:r>
    </w:p>
    <w:p w14:paraId="1F8B3AD2" w14:textId="77777777" w:rsidR="0037652E" w:rsidRDefault="0037652E">
      <w:pPr>
        <w:tabs>
          <w:tab w:val="left" w:pos="961"/>
        </w:tabs>
        <w:snapToGrid w:val="0"/>
        <w:spacing w:line="360" w:lineRule="auto"/>
        <w:ind w:firstLineChars="200" w:firstLine="420"/>
        <w:rPr>
          <w:rFonts w:hAnsi="宋体"/>
          <w:bCs/>
          <w:szCs w:val="21"/>
        </w:rPr>
      </w:pPr>
    </w:p>
    <w:p w14:paraId="3B5C5717" w14:textId="77777777" w:rsidR="0037652E" w:rsidRDefault="00BF49B0">
      <w:pPr>
        <w:spacing w:line="360" w:lineRule="auto"/>
        <w:ind w:firstLineChars="50" w:firstLine="120"/>
        <w:jc w:val="center"/>
        <w:outlineLvl w:val="0"/>
        <w:rPr>
          <w:rFonts w:ascii="宋体" w:hAnsi="宋体"/>
          <w:b/>
          <w:sz w:val="24"/>
          <w:szCs w:val="24"/>
        </w:rPr>
      </w:pPr>
      <w:bookmarkStart w:id="68" w:name="_Toc65325118"/>
      <w:bookmarkStart w:id="69" w:name="_Toc1241"/>
      <w:bookmarkStart w:id="70" w:name="_Toc24010"/>
      <w:bookmarkStart w:id="71" w:name="_Toc110606852"/>
      <w:r>
        <w:rPr>
          <w:rFonts w:ascii="宋体" w:hAnsi="宋体" w:hint="eastAsia"/>
          <w:b/>
          <w:sz w:val="24"/>
          <w:szCs w:val="24"/>
        </w:rPr>
        <w:t>第十一部分 基金的费用与税收</w:t>
      </w:r>
      <w:bookmarkEnd w:id="68"/>
      <w:bookmarkEnd w:id="69"/>
      <w:bookmarkEnd w:id="70"/>
      <w:bookmarkEnd w:id="71"/>
    </w:p>
    <w:p w14:paraId="6085EE29" w14:textId="77777777" w:rsidR="0037652E" w:rsidRDefault="0037652E">
      <w:pPr>
        <w:tabs>
          <w:tab w:val="left" w:pos="961"/>
        </w:tabs>
        <w:snapToGrid w:val="0"/>
        <w:spacing w:line="360" w:lineRule="auto"/>
        <w:ind w:firstLineChars="200" w:firstLine="420"/>
        <w:rPr>
          <w:rFonts w:hAnsi="宋体"/>
          <w:bCs/>
          <w:szCs w:val="21"/>
        </w:rPr>
      </w:pPr>
    </w:p>
    <w:p w14:paraId="0D0E8ED0"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b/>
          <w:bCs/>
          <w:sz w:val="24"/>
          <w:szCs w:val="24"/>
        </w:rPr>
        <w:t>一、基金费用的种类</w:t>
      </w:r>
    </w:p>
    <w:p w14:paraId="028974F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、基金的管理费；</w:t>
      </w:r>
    </w:p>
    <w:p w14:paraId="6E58F26E"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2</w:t>
      </w:r>
      <w:r>
        <w:rPr>
          <w:rFonts w:hAnsi="宋体"/>
          <w:bCs/>
          <w:sz w:val="24"/>
          <w:szCs w:val="24"/>
        </w:rPr>
        <w:t>、基金的托管费</w:t>
      </w:r>
      <w:r>
        <w:rPr>
          <w:rFonts w:hAnsi="宋体" w:hint="eastAsia"/>
          <w:bCs/>
          <w:sz w:val="24"/>
          <w:szCs w:val="24"/>
        </w:rPr>
        <w:t>（其中包含境外托管人托管费）</w:t>
      </w:r>
      <w:r>
        <w:rPr>
          <w:rFonts w:hAnsi="宋体"/>
          <w:bCs/>
          <w:sz w:val="24"/>
          <w:szCs w:val="24"/>
        </w:rPr>
        <w:t>；</w:t>
      </w:r>
    </w:p>
    <w:p w14:paraId="302B4BFF" w14:textId="5BD9C581" w:rsidR="00027CE6" w:rsidRDefault="00027CE6">
      <w:pPr>
        <w:tabs>
          <w:tab w:val="left" w:pos="961"/>
        </w:tabs>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w:t>
      </w:r>
      <w:r>
        <w:rPr>
          <w:rFonts w:hAnsi="宋体" w:hint="eastAsia"/>
          <w:bCs/>
          <w:sz w:val="24"/>
          <w:szCs w:val="24"/>
        </w:rPr>
        <w:t>C</w:t>
      </w:r>
      <w:r>
        <w:rPr>
          <w:rFonts w:hAnsi="宋体" w:hint="eastAsia"/>
          <w:bCs/>
          <w:sz w:val="24"/>
          <w:szCs w:val="24"/>
        </w:rPr>
        <w:t>类基金份额收取的销售服务费；</w:t>
      </w:r>
    </w:p>
    <w:p w14:paraId="655969D6" w14:textId="5F0A92D8" w:rsidR="0037652E" w:rsidRDefault="00027CE6">
      <w:pPr>
        <w:tabs>
          <w:tab w:val="left" w:pos="961"/>
        </w:tabs>
        <w:snapToGrid w:val="0"/>
        <w:spacing w:line="360" w:lineRule="auto"/>
        <w:ind w:firstLineChars="200" w:firstLine="480"/>
        <w:rPr>
          <w:rFonts w:hAnsi="宋体"/>
          <w:bCs/>
          <w:sz w:val="24"/>
          <w:szCs w:val="24"/>
        </w:rPr>
      </w:pPr>
      <w:r>
        <w:rPr>
          <w:rFonts w:hAnsi="宋体"/>
          <w:bCs/>
          <w:sz w:val="24"/>
          <w:szCs w:val="24"/>
        </w:rPr>
        <w:t>4</w:t>
      </w:r>
      <w:r w:rsidR="00BF49B0">
        <w:rPr>
          <w:rFonts w:hAnsi="宋体"/>
          <w:bCs/>
          <w:sz w:val="24"/>
          <w:szCs w:val="24"/>
        </w:rPr>
        <w:t>、《基金合同》生效后与基金相关的信息披露费用；</w:t>
      </w:r>
    </w:p>
    <w:p w14:paraId="323E1BAC" w14:textId="33B0448F" w:rsidR="0037652E" w:rsidRDefault="00027CE6">
      <w:pPr>
        <w:tabs>
          <w:tab w:val="left" w:pos="961"/>
        </w:tabs>
        <w:snapToGrid w:val="0"/>
        <w:spacing w:line="360" w:lineRule="auto"/>
        <w:ind w:firstLineChars="200" w:firstLine="480"/>
        <w:rPr>
          <w:rFonts w:hAnsi="宋体"/>
          <w:bCs/>
          <w:sz w:val="24"/>
          <w:szCs w:val="24"/>
        </w:rPr>
      </w:pPr>
      <w:r>
        <w:rPr>
          <w:rFonts w:hAnsi="宋体"/>
          <w:bCs/>
          <w:sz w:val="24"/>
          <w:szCs w:val="24"/>
        </w:rPr>
        <w:t>5</w:t>
      </w:r>
      <w:r w:rsidR="00BF49B0">
        <w:rPr>
          <w:rFonts w:hAnsi="宋体"/>
          <w:bCs/>
          <w:sz w:val="24"/>
          <w:szCs w:val="24"/>
        </w:rPr>
        <w:t>、基金的证券交易费用及在境外市场的交易、清算、登记等实际发生的费用；</w:t>
      </w:r>
    </w:p>
    <w:p w14:paraId="13B862AA" w14:textId="0C42DE7F" w:rsidR="0037652E" w:rsidRDefault="00027CE6">
      <w:pPr>
        <w:tabs>
          <w:tab w:val="left" w:pos="961"/>
        </w:tabs>
        <w:snapToGrid w:val="0"/>
        <w:spacing w:line="360" w:lineRule="auto"/>
        <w:ind w:firstLineChars="200" w:firstLine="480"/>
        <w:rPr>
          <w:rFonts w:hAnsi="宋体"/>
          <w:bCs/>
          <w:sz w:val="24"/>
          <w:szCs w:val="24"/>
        </w:rPr>
      </w:pPr>
      <w:r>
        <w:rPr>
          <w:rFonts w:hAnsi="宋体"/>
          <w:bCs/>
          <w:sz w:val="24"/>
          <w:szCs w:val="24"/>
        </w:rPr>
        <w:t>6</w:t>
      </w:r>
      <w:r w:rsidR="00BF49B0">
        <w:rPr>
          <w:rFonts w:hAnsi="宋体"/>
          <w:bCs/>
          <w:sz w:val="24"/>
          <w:szCs w:val="24"/>
        </w:rPr>
        <w:t>、基金份额持有人大会费用；</w:t>
      </w:r>
    </w:p>
    <w:p w14:paraId="23ADCAAF" w14:textId="7C5E589E" w:rsidR="0037652E" w:rsidRDefault="00027CE6">
      <w:pPr>
        <w:tabs>
          <w:tab w:val="left" w:pos="961"/>
        </w:tabs>
        <w:snapToGrid w:val="0"/>
        <w:spacing w:line="360" w:lineRule="auto"/>
        <w:ind w:firstLineChars="200" w:firstLine="480"/>
        <w:rPr>
          <w:rFonts w:hAnsi="宋体"/>
          <w:bCs/>
          <w:sz w:val="24"/>
          <w:szCs w:val="24"/>
        </w:rPr>
      </w:pPr>
      <w:r>
        <w:rPr>
          <w:rFonts w:hAnsi="宋体"/>
          <w:bCs/>
          <w:sz w:val="24"/>
          <w:szCs w:val="24"/>
        </w:rPr>
        <w:t>7</w:t>
      </w:r>
      <w:r w:rsidR="00BF49B0">
        <w:rPr>
          <w:rFonts w:hAnsi="宋体"/>
          <w:bCs/>
          <w:sz w:val="24"/>
          <w:szCs w:val="24"/>
        </w:rPr>
        <w:t>、《基金合同》生效后与基金相关的会计师费、律师费等根据有关法规、《基金合同》及相应协议的规定，由基金管理人根据其他有关法规及相应协议的规定，按费用支出金额支付，列入或摊入当期基金费用；</w:t>
      </w:r>
    </w:p>
    <w:p w14:paraId="5D455485" w14:textId="4A7AA53A" w:rsidR="0037652E" w:rsidRDefault="00027CE6">
      <w:pPr>
        <w:tabs>
          <w:tab w:val="left" w:pos="961"/>
        </w:tabs>
        <w:snapToGrid w:val="0"/>
        <w:spacing w:line="360" w:lineRule="auto"/>
        <w:ind w:firstLineChars="200" w:firstLine="480"/>
        <w:rPr>
          <w:rFonts w:hAnsi="宋体"/>
          <w:bCs/>
          <w:sz w:val="24"/>
          <w:szCs w:val="24"/>
        </w:rPr>
      </w:pPr>
      <w:r>
        <w:rPr>
          <w:rFonts w:hAnsi="宋体"/>
          <w:bCs/>
          <w:sz w:val="24"/>
          <w:szCs w:val="24"/>
        </w:rPr>
        <w:t>8</w:t>
      </w:r>
      <w:r w:rsidR="00BF49B0">
        <w:rPr>
          <w:rFonts w:hAnsi="宋体"/>
          <w:bCs/>
          <w:sz w:val="24"/>
          <w:szCs w:val="24"/>
        </w:rPr>
        <w:t>、基金依照有关法律法规应当缴纳的，购买或处置证券有关的任何税收、征费、关税、印花税、交易及其他税收及预扣提税（以及与前述各项有关的任何利息及费用）（简称“税收”）；</w:t>
      </w:r>
    </w:p>
    <w:p w14:paraId="47C84DF4" w14:textId="5E21776A" w:rsidR="0037652E" w:rsidRDefault="00027CE6">
      <w:pPr>
        <w:tabs>
          <w:tab w:val="left" w:pos="961"/>
        </w:tabs>
        <w:snapToGrid w:val="0"/>
        <w:spacing w:line="360" w:lineRule="auto"/>
        <w:ind w:firstLineChars="200" w:firstLine="480"/>
        <w:rPr>
          <w:rFonts w:hAnsi="宋体"/>
          <w:bCs/>
          <w:sz w:val="24"/>
          <w:szCs w:val="24"/>
        </w:rPr>
      </w:pPr>
      <w:r>
        <w:rPr>
          <w:rFonts w:hAnsi="宋体" w:hint="eastAsia"/>
          <w:bCs/>
          <w:sz w:val="24"/>
          <w:szCs w:val="24"/>
        </w:rPr>
        <w:t>9</w:t>
      </w:r>
      <w:r w:rsidR="00BF49B0">
        <w:rPr>
          <w:rFonts w:hAnsi="宋体"/>
          <w:bCs/>
          <w:sz w:val="24"/>
          <w:szCs w:val="24"/>
        </w:rPr>
        <w:t>、基金的银行汇划费用；</w:t>
      </w:r>
    </w:p>
    <w:p w14:paraId="6A636919" w14:textId="44EEF313" w:rsidR="0037652E" w:rsidRDefault="00027CE6">
      <w:pPr>
        <w:tabs>
          <w:tab w:val="left" w:pos="961"/>
        </w:tabs>
        <w:snapToGrid w:val="0"/>
        <w:spacing w:line="360" w:lineRule="auto"/>
        <w:ind w:firstLineChars="200" w:firstLine="480"/>
        <w:rPr>
          <w:rFonts w:hAnsi="宋体"/>
          <w:bCs/>
          <w:sz w:val="24"/>
          <w:szCs w:val="24"/>
        </w:rPr>
      </w:pPr>
      <w:r>
        <w:rPr>
          <w:rFonts w:hAnsi="宋体" w:hint="eastAsia"/>
          <w:bCs/>
          <w:sz w:val="24"/>
          <w:szCs w:val="24"/>
        </w:rPr>
        <w:t>10</w:t>
      </w:r>
      <w:r w:rsidR="00BF49B0">
        <w:rPr>
          <w:rFonts w:hAnsi="宋体"/>
          <w:bCs/>
          <w:sz w:val="24"/>
          <w:szCs w:val="24"/>
        </w:rPr>
        <w:t>、</w:t>
      </w:r>
      <w:r w:rsidR="00BF49B0">
        <w:rPr>
          <w:rFonts w:hAnsi="宋体" w:hint="eastAsia"/>
          <w:bCs/>
          <w:sz w:val="24"/>
          <w:szCs w:val="24"/>
        </w:rPr>
        <w:t>经生效的司法文书判决或裁定明确应由基金财产承担的</w:t>
      </w:r>
      <w:r w:rsidR="00BF49B0">
        <w:rPr>
          <w:rFonts w:hAnsi="宋体"/>
          <w:bCs/>
          <w:sz w:val="24"/>
          <w:szCs w:val="24"/>
        </w:rPr>
        <w:t>与基金有关的诉讼、追索费用；</w:t>
      </w:r>
    </w:p>
    <w:p w14:paraId="02C3CDA9" w14:textId="1DF00A61" w:rsidR="0037652E" w:rsidRDefault="00027CE6">
      <w:pPr>
        <w:tabs>
          <w:tab w:val="left" w:pos="961"/>
        </w:tabs>
        <w:snapToGrid w:val="0"/>
        <w:spacing w:line="360" w:lineRule="auto"/>
        <w:ind w:firstLineChars="200" w:firstLine="480"/>
        <w:rPr>
          <w:rFonts w:hAnsi="宋体"/>
          <w:bCs/>
          <w:sz w:val="24"/>
          <w:szCs w:val="24"/>
        </w:rPr>
      </w:pPr>
      <w:r>
        <w:rPr>
          <w:rFonts w:hAnsi="宋体"/>
          <w:bCs/>
          <w:sz w:val="24"/>
          <w:szCs w:val="24"/>
        </w:rPr>
        <w:t>11</w:t>
      </w:r>
      <w:r w:rsidR="00BF49B0">
        <w:rPr>
          <w:rFonts w:hAnsi="宋体" w:hint="eastAsia"/>
          <w:bCs/>
          <w:sz w:val="24"/>
          <w:szCs w:val="24"/>
        </w:rPr>
        <w:t>、基金上市费及年费；</w:t>
      </w:r>
    </w:p>
    <w:p w14:paraId="2CB57D40" w14:textId="2E72BCC8" w:rsidR="0037652E" w:rsidRDefault="00027CE6">
      <w:pPr>
        <w:tabs>
          <w:tab w:val="left" w:pos="961"/>
        </w:tabs>
        <w:snapToGrid w:val="0"/>
        <w:spacing w:line="360" w:lineRule="auto"/>
        <w:ind w:firstLineChars="200" w:firstLine="480"/>
        <w:rPr>
          <w:rFonts w:hAnsi="宋体"/>
          <w:bCs/>
          <w:sz w:val="24"/>
          <w:szCs w:val="24"/>
        </w:rPr>
      </w:pPr>
      <w:r>
        <w:rPr>
          <w:rFonts w:hAnsi="宋体"/>
          <w:bCs/>
          <w:sz w:val="24"/>
          <w:szCs w:val="24"/>
        </w:rPr>
        <w:t>12</w:t>
      </w:r>
      <w:r w:rsidR="00BF49B0">
        <w:rPr>
          <w:rFonts w:hAnsi="宋体" w:hint="eastAsia"/>
          <w:bCs/>
          <w:sz w:val="24"/>
          <w:szCs w:val="24"/>
        </w:rPr>
        <w:t>、基金外汇交易的相关费用；</w:t>
      </w:r>
    </w:p>
    <w:p w14:paraId="4992C436" w14:textId="02C11954" w:rsidR="0037652E" w:rsidRDefault="00027CE6">
      <w:pPr>
        <w:tabs>
          <w:tab w:val="left" w:pos="961"/>
        </w:tabs>
        <w:snapToGrid w:val="0"/>
        <w:spacing w:line="360" w:lineRule="auto"/>
        <w:ind w:firstLineChars="200" w:firstLine="480"/>
        <w:rPr>
          <w:rFonts w:hAnsi="宋体"/>
          <w:bCs/>
          <w:sz w:val="24"/>
          <w:szCs w:val="24"/>
        </w:rPr>
      </w:pPr>
      <w:r>
        <w:rPr>
          <w:rFonts w:hAnsi="宋体"/>
          <w:bCs/>
          <w:sz w:val="24"/>
          <w:szCs w:val="24"/>
        </w:rPr>
        <w:t>13</w:t>
      </w:r>
      <w:r w:rsidR="00BF49B0">
        <w:rPr>
          <w:rFonts w:hAnsi="宋体" w:hint="eastAsia"/>
          <w:bCs/>
          <w:sz w:val="24"/>
          <w:szCs w:val="24"/>
        </w:rPr>
        <w:t>、因更换境外托管人而进行的资产转移所产生的费用；</w:t>
      </w:r>
    </w:p>
    <w:p w14:paraId="1E7E32CC" w14:textId="44F568BB"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1</w:t>
      </w:r>
      <w:r w:rsidR="00027CE6">
        <w:rPr>
          <w:rFonts w:hAnsi="宋体"/>
          <w:bCs/>
          <w:sz w:val="24"/>
          <w:szCs w:val="24"/>
        </w:rPr>
        <w:t>4</w:t>
      </w:r>
      <w:r>
        <w:rPr>
          <w:rFonts w:hAnsi="宋体"/>
          <w:bCs/>
          <w:sz w:val="24"/>
          <w:szCs w:val="24"/>
        </w:rPr>
        <w:t>、按照国家有关规定和《基金合同》约定，可以在基金财产中列支的其他费用。</w:t>
      </w:r>
    </w:p>
    <w:p w14:paraId="6A6F7427" w14:textId="77777777" w:rsidR="0037652E" w:rsidRDefault="00BF49B0">
      <w:pPr>
        <w:tabs>
          <w:tab w:val="left" w:pos="961"/>
        </w:tabs>
        <w:snapToGrid w:val="0"/>
        <w:spacing w:line="360" w:lineRule="auto"/>
        <w:ind w:firstLineChars="200" w:firstLine="480"/>
        <w:rPr>
          <w:bCs/>
          <w:sz w:val="24"/>
          <w:szCs w:val="24"/>
        </w:rPr>
      </w:pPr>
      <w:r>
        <w:rPr>
          <w:rFonts w:hAnsi="宋体"/>
          <w:bCs/>
          <w:sz w:val="24"/>
          <w:szCs w:val="24"/>
        </w:rPr>
        <w:t>本基金终止清算时所发生费用，按实际支出额从基金财产总值中扣除。</w:t>
      </w:r>
    </w:p>
    <w:p w14:paraId="50C7F746" w14:textId="77777777" w:rsidR="0037652E" w:rsidRDefault="00BF49B0">
      <w:pPr>
        <w:tabs>
          <w:tab w:val="left" w:pos="961"/>
        </w:tabs>
        <w:snapToGrid w:val="0"/>
        <w:spacing w:line="360" w:lineRule="auto"/>
        <w:ind w:firstLineChars="200" w:firstLine="482"/>
        <w:rPr>
          <w:b/>
          <w:bCs/>
          <w:sz w:val="24"/>
          <w:szCs w:val="24"/>
        </w:rPr>
      </w:pPr>
      <w:r>
        <w:rPr>
          <w:b/>
          <w:bCs/>
          <w:sz w:val="24"/>
          <w:szCs w:val="24"/>
        </w:rPr>
        <w:t>二、基金费用计提方法、计提标准和支付方式</w:t>
      </w:r>
    </w:p>
    <w:p w14:paraId="226622FB"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、基金的管理费</w:t>
      </w:r>
    </w:p>
    <w:p w14:paraId="4358B5E6"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本基金的管理费按前一日基金资产净值</w:t>
      </w:r>
      <w:r>
        <w:rPr>
          <w:rFonts w:hint="eastAsia"/>
          <w:bCs/>
          <w:sz w:val="24"/>
          <w:szCs w:val="24"/>
        </w:rPr>
        <w:t>的</w:t>
      </w:r>
      <w:r>
        <w:rPr>
          <w:rFonts w:hint="eastAsia"/>
          <w:bCs/>
          <w:sz w:val="24"/>
          <w:szCs w:val="24"/>
        </w:rPr>
        <w:t>1.00</w:t>
      </w:r>
      <w:r>
        <w:rPr>
          <w:bCs/>
          <w:sz w:val="24"/>
          <w:szCs w:val="24"/>
        </w:rPr>
        <w:t>%</w:t>
      </w:r>
      <w:r>
        <w:rPr>
          <w:bCs/>
          <w:sz w:val="24"/>
          <w:szCs w:val="24"/>
        </w:rPr>
        <w:t>的年费率计提。计算方法如下：</w:t>
      </w:r>
    </w:p>
    <w:p w14:paraId="3D4713AB"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H</w:t>
      </w:r>
      <w:r>
        <w:rPr>
          <w:rFonts w:hint="eastAsia"/>
          <w:bCs/>
          <w:sz w:val="24"/>
          <w:szCs w:val="24"/>
        </w:rPr>
        <w:t xml:space="preserve"> </w:t>
      </w:r>
      <w:r>
        <w:rPr>
          <w:bCs/>
          <w:sz w:val="24"/>
          <w:szCs w:val="24"/>
        </w:rPr>
        <w:t>＝</w:t>
      </w:r>
      <w:r>
        <w:rPr>
          <w:rFonts w:hint="eastAsia"/>
          <w:bCs/>
          <w:sz w:val="24"/>
          <w:szCs w:val="24"/>
        </w:rPr>
        <w:t xml:space="preserve"> </w:t>
      </w:r>
      <w:r>
        <w:rPr>
          <w:bCs/>
          <w:sz w:val="24"/>
          <w:szCs w:val="24"/>
        </w:rPr>
        <w:t>E</w:t>
      </w:r>
      <w:r>
        <w:rPr>
          <w:rFonts w:hint="eastAsia"/>
          <w:bCs/>
          <w:sz w:val="24"/>
          <w:szCs w:val="24"/>
        </w:rPr>
        <w:t xml:space="preserve"> </w:t>
      </w:r>
      <w:r>
        <w:rPr>
          <w:bCs/>
          <w:sz w:val="24"/>
          <w:szCs w:val="24"/>
        </w:rPr>
        <w:t>×</w:t>
      </w:r>
      <w:r>
        <w:rPr>
          <w:rFonts w:hint="eastAsia"/>
          <w:bCs/>
          <w:sz w:val="24"/>
          <w:szCs w:val="24"/>
        </w:rPr>
        <w:t xml:space="preserve"> 1.00</w:t>
      </w:r>
      <w:r>
        <w:rPr>
          <w:bCs/>
          <w:sz w:val="24"/>
          <w:szCs w:val="24"/>
        </w:rPr>
        <w:t>%</w:t>
      </w:r>
      <w:r>
        <w:rPr>
          <w:rFonts w:hint="eastAsia"/>
          <w:bCs/>
          <w:sz w:val="24"/>
          <w:szCs w:val="24"/>
        </w:rPr>
        <w:t xml:space="preserve"> </w:t>
      </w:r>
      <w:r>
        <w:rPr>
          <w:bCs/>
          <w:sz w:val="24"/>
          <w:szCs w:val="24"/>
        </w:rPr>
        <w:t>÷</w:t>
      </w:r>
      <w:r>
        <w:rPr>
          <w:rFonts w:hint="eastAsia"/>
          <w:bCs/>
          <w:sz w:val="24"/>
          <w:szCs w:val="24"/>
        </w:rPr>
        <w:t xml:space="preserve"> </w:t>
      </w:r>
      <w:r>
        <w:rPr>
          <w:bCs/>
          <w:sz w:val="24"/>
          <w:szCs w:val="24"/>
        </w:rPr>
        <w:t>当年天数</w:t>
      </w:r>
    </w:p>
    <w:p w14:paraId="6ACA5C2A" w14:textId="77777777" w:rsidR="0037652E" w:rsidRDefault="00BF49B0">
      <w:pPr>
        <w:tabs>
          <w:tab w:val="left" w:pos="961"/>
        </w:tabs>
        <w:snapToGrid w:val="0"/>
        <w:spacing w:line="360" w:lineRule="auto"/>
        <w:ind w:firstLineChars="200" w:firstLine="480"/>
        <w:rPr>
          <w:bCs/>
          <w:sz w:val="24"/>
          <w:szCs w:val="24"/>
        </w:rPr>
      </w:pPr>
      <w:r>
        <w:rPr>
          <w:bCs/>
          <w:sz w:val="24"/>
          <w:szCs w:val="24"/>
        </w:rPr>
        <w:t>H</w:t>
      </w:r>
      <w:r>
        <w:rPr>
          <w:bCs/>
          <w:sz w:val="24"/>
          <w:szCs w:val="24"/>
        </w:rPr>
        <w:t>为每日应计提的基金管理费</w:t>
      </w:r>
    </w:p>
    <w:p w14:paraId="703E9750" w14:textId="77777777" w:rsidR="0037652E" w:rsidRDefault="00BF49B0">
      <w:pPr>
        <w:tabs>
          <w:tab w:val="left" w:pos="961"/>
        </w:tabs>
        <w:snapToGrid w:val="0"/>
        <w:spacing w:line="360" w:lineRule="auto"/>
        <w:ind w:firstLineChars="200" w:firstLine="480"/>
        <w:rPr>
          <w:bCs/>
          <w:sz w:val="24"/>
          <w:szCs w:val="24"/>
        </w:rPr>
      </w:pPr>
      <w:r>
        <w:rPr>
          <w:bCs/>
          <w:sz w:val="24"/>
          <w:szCs w:val="24"/>
        </w:rPr>
        <w:t>E</w:t>
      </w:r>
      <w:r>
        <w:rPr>
          <w:bCs/>
          <w:sz w:val="24"/>
          <w:szCs w:val="24"/>
        </w:rPr>
        <w:t>为前一日的基金资产净值</w:t>
      </w:r>
    </w:p>
    <w:p w14:paraId="2C3FD32C" w14:textId="77777777" w:rsidR="0037652E" w:rsidRDefault="00BF49B0">
      <w:pPr>
        <w:tabs>
          <w:tab w:val="left" w:pos="961"/>
        </w:tabs>
        <w:snapToGrid w:val="0"/>
        <w:spacing w:line="360" w:lineRule="auto"/>
        <w:ind w:firstLineChars="200" w:firstLine="480"/>
        <w:rPr>
          <w:bCs/>
          <w:sz w:val="24"/>
          <w:szCs w:val="24"/>
        </w:rPr>
      </w:pPr>
      <w:r>
        <w:rPr>
          <w:bCs/>
          <w:sz w:val="24"/>
          <w:szCs w:val="24"/>
        </w:rPr>
        <w:t>基金的管理费每日计算，逐日累计至每月月末，按月支付</w:t>
      </w:r>
      <w:r>
        <w:rPr>
          <w:rFonts w:ascii="宋体" w:hAnsi="宋体" w:hint="eastAsia"/>
          <w:sz w:val="24"/>
        </w:rPr>
        <w:t>。由基金托管人根据基金管理人的授权委托书，于次月前5个工作日内从基金财产中一次性支付给基金管理人。</w:t>
      </w:r>
      <w:r>
        <w:rPr>
          <w:bCs/>
          <w:sz w:val="24"/>
          <w:szCs w:val="24"/>
        </w:rPr>
        <w:t>若遇法定节假日、公休假等</w:t>
      </w:r>
      <w:r>
        <w:rPr>
          <w:bCs/>
          <w:sz w:val="24"/>
          <w:szCs w:val="24"/>
        </w:rPr>
        <w:t>,</w:t>
      </w:r>
      <w:r>
        <w:rPr>
          <w:bCs/>
          <w:sz w:val="24"/>
          <w:szCs w:val="24"/>
        </w:rPr>
        <w:t>支付日期顺延。</w:t>
      </w:r>
    </w:p>
    <w:p w14:paraId="2795033F"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、基金的托管费</w:t>
      </w:r>
    </w:p>
    <w:p w14:paraId="1AAA4D93"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本基金的托管费按前一日基金资产净值的</w:t>
      </w:r>
      <w:r>
        <w:rPr>
          <w:bCs/>
          <w:sz w:val="24"/>
          <w:szCs w:val="24"/>
        </w:rPr>
        <w:t>0.</w:t>
      </w:r>
      <w:r>
        <w:rPr>
          <w:rFonts w:hint="eastAsia"/>
          <w:bCs/>
          <w:sz w:val="24"/>
          <w:szCs w:val="24"/>
        </w:rPr>
        <w:t>26</w:t>
      </w:r>
      <w:r>
        <w:rPr>
          <w:bCs/>
          <w:sz w:val="24"/>
          <w:szCs w:val="24"/>
        </w:rPr>
        <w:t>%</w:t>
      </w:r>
      <w:r>
        <w:rPr>
          <w:bCs/>
          <w:sz w:val="24"/>
          <w:szCs w:val="24"/>
        </w:rPr>
        <w:t>的年费率计提。计算方法如下：</w:t>
      </w:r>
    </w:p>
    <w:p w14:paraId="126EB109" w14:textId="77777777" w:rsidR="0037652E" w:rsidRDefault="00BF49B0">
      <w:pPr>
        <w:tabs>
          <w:tab w:val="left" w:pos="961"/>
        </w:tabs>
        <w:snapToGrid w:val="0"/>
        <w:spacing w:line="360" w:lineRule="auto"/>
        <w:ind w:firstLineChars="200" w:firstLine="480"/>
        <w:rPr>
          <w:bCs/>
          <w:sz w:val="24"/>
          <w:szCs w:val="24"/>
        </w:rPr>
      </w:pPr>
      <w:r>
        <w:rPr>
          <w:bCs/>
          <w:sz w:val="24"/>
          <w:szCs w:val="24"/>
        </w:rPr>
        <w:t>H</w:t>
      </w:r>
      <w:r>
        <w:rPr>
          <w:rFonts w:hint="eastAsia"/>
          <w:bCs/>
          <w:sz w:val="24"/>
          <w:szCs w:val="24"/>
        </w:rPr>
        <w:t xml:space="preserve"> </w:t>
      </w:r>
      <w:r>
        <w:rPr>
          <w:bCs/>
          <w:sz w:val="24"/>
          <w:szCs w:val="24"/>
        </w:rPr>
        <w:t>＝</w:t>
      </w:r>
      <w:r>
        <w:rPr>
          <w:rFonts w:hint="eastAsia"/>
          <w:bCs/>
          <w:sz w:val="24"/>
          <w:szCs w:val="24"/>
        </w:rPr>
        <w:t xml:space="preserve"> </w:t>
      </w:r>
      <w:r>
        <w:rPr>
          <w:bCs/>
          <w:sz w:val="24"/>
          <w:szCs w:val="24"/>
        </w:rPr>
        <w:t>E</w:t>
      </w:r>
      <w:r>
        <w:rPr>
          <w:rFonts w:hint="eastAsia"/>
          <w:bCs/>
          <w:sz w:val="24"/>
          <w:szCs w:val="24"/>
        </w:rPr>
        <w:t xml:space="preserve"> </w:t>
      </w:r>
      <w:r>
        <w:rPr>
          <w:bCs/>
          <w:sz w:val="24"/>
          <w:szCs w:val="24"/>
        </w:rPr>
        <w:t>×</w:t>
      </w:r>
      <w:r>
        <w:rPr>
          <w:rFonts w:hint="eastAsia"/>
          <w:bCs/>
          <w:sz w:val="24"/>
          <w:szCs w:val="24"/>
        </w:rPr>
        <w:t xml:space="preserve"> </w:t>
      </w:r>
      <w:r>
        <w:rPr>
          <w:bCs/>
          <w:sz w:val="24"/>
          <w:szCs w:val="24"/>
        </w:rPr>
        <w:t>0.</w:t>
      </w:r>
      <w:r>
        <w:rPr>
          <w:rFonts w:hint="eastAsia"/>
          <w:bCs/>
          <w:sz w:val="24"/>
          <w:szCs w:val="24"/>
        </w:rPr>
        <w:t>26</w:t>
      </w:r>
      <w:r>
        <w:rPr>
          <w:bCs/>
          <w:sz w:val="24"/>
          <w:szCs w:val="24"/>
        </w:rPr>
        <w:t>%</w:t>
      </w:r>
      <w:r>
        <w:rPr>
          <w:rFonts w:hint="eastAsia"/>
          <w:bCs/>
          <w:sz w:val="24"/>
          <w:szCs w:val="24"/>
        </w:rPr>
        <w:t xml:space="preserve"> </w:t>
      </w:r>
      <w:r>
        <w:rPr>
          <w:bCs/>
          <w:sz w:val="24"/>
          <w:szCs w:val="24"/>
        </w:rPr>
        <w:t>÷</w:t>
      </w:r>
      <w:r>
        <w:rPr>
          <w:rFonts w:hint="eastAsia"/>
          <w:bCs/>
          <w:sz w:val="24"/>
          <w:szCs w:val="24"/>
        </w:rPr>
        <w:t xml:space="preserve"> </w:t>
      </w:r>
      <w:r>
        <w:rPr>
          <w:bCs/>
          <w:sz w:val="24"/>
          <w:szCs w:val="24"/>
        </w:rPr>
        <w:t>当年天数</w:t>
      </w:r>
    </w:p>
    <w:p w14:paraId="3B8A5553" w14:textId="77777777" w:rsidR="0037652E" w:rsidRDefault="00BF49B0">
      <w:pPr>
        <w:tabs>
          <w:tab w:val="left" w:pos="961"/>
        </w:tabs>
        <w:snapToGrid w:val="0"/>
        <w:spacing w:line="360" w:lineRule="auto"/>
        <w:ind w:firstLineChars="200" w:firstLine="480"/>
        <w:rPr>
          <w:bCs/>
          <w:sz w:val="24"/>
          <w:szCs w:val="24"/>
        </w:rPr>
      </w:pPr>
      <w:r>
        <w:rPr>
          <w:bCs/>
          <w:sz w:val="24"/>
          <w:szCs w:val="24"/>
        </w:rPr>
        <w:t>H</w:t>
      </w:r>
      <w:r>
        <w:rPr>
          <w:bCs/>
          <w:sz w:val="24"/>
          <w:szCs w:val="24"/>
        </w:rPr>
        <w:t>为每日应计提的基金托管费</w:t>
      </w:r>
    </w:p>
    <w:p w14:paraId="44F82DB0" w14:textId="77777777" w:rsidR="0037652E" w:rsidRDefault="00BF49B0">
      <w:pPr>
        <w:tabs>
          <w:tab w:val="left" w:pos="961"/>
        </w:tabs>
        <w:snapToGrid w:val="0"/>
        <w:spacing w:line="360" w:lineRule="auto"/>
        <w:ind w:firstLineChars="200" w:firstLine="480"/>
        <w:rPr>
          <w:bCs/>
          <w:sz w:val="24"/>
          <w:szCs w:val="24"/>
        </w:rPr>
      </w:pPr>
      <w:r>
        <w:rPr>
          <w:bCs/>
          <w:sz w:val="24"/>
          <w:szCs w:val="24"/>
        </w:rPr>
        <w:t>E</w:t>
      </w:r>
      <w:r>
        <w:rPr>
          <w:bCs/>
          <w:sz w:val="24"/>
          <w:szCs w:val="24"/>
        </w:rPr>
        <w:t>为前一日的基金资产净值</w:t>
      </w:r>
    </w:p>
    <w:p w14:paraId="7FFD9F49" w14:textId="77777777" w:rsidR="0037652E" w:rsidRDefault="00BF49B0">
      <w:pPr>
        <w:tabs>
          <w:tab w:val="left" w:pos="961"/>
        </w:tabs>
        <w:snapToGrid w:val="0"/>
        <w:spacing w:line="360" w:lineRule="auto"/>
        <w:ind w:firstLineChars="200" w:firstLine="480"/>
        <w:rPr>
          <w:bCs/>
          <w:sz w:val="24"/>
          <w:szCs w:val="24"/>
        </w:rPr>
      </w:pPr>
      <w:r>
        <w:rPr>
          <w:bCs/>
          <w:sz w:val="24"/>
          <w:szCs w:val="24"/>
        </w:rPr>
        <w:t>基金</w:t>
      </w:r>
      <w:r>
        <w:rPr>
          <w:rFonts w:hint="eastAsia"/>
          <w:bCs/>
          <w:sz w:val="24"/>
          <w:szCs w:val="24"/>
        </w:rPr>
        <w:t>的</w:t>
      </w:r>
      <w:r>
        <w:rPr>
          <w:bCs/>
          <w:sz w:val="24"/>
          <w:szCs w:val="24"/>
        </w:rPr>
        <w:t>托管费每日计算，逐日累计至每月月末，按月支付</w:t>
      </w:r>
      <w:r>
        <w:rPr>
          <w:rFonts w:ascii="宋体" w:hAnsi="宋体" w:hint="eastAsia"/>
          <w:sz w:val="24"/>
        </w:rPr>
        <w:t>。由基金托管人根据基金管理人的授权委托书，于次月前5个工作日内从基金财产中一次性支付给基金托管人。</w:t>
      </w:r>
      <w:r>
        <w:rPr>
          <w:bCs/>
          <w:sz w:val="24"/>
          <w:szCs w:val="24"/>
        </w:rPr>
        <w:t>若遇法定节假日、公休日等</w:t>
      </w:r>
      <w:r>
        <w:rPr>
          <w:bCs/>
          <w:sz w:val="24"/>
          <w:szCs w:val="24"/>
        </w:rPr>
        <w:t>,</w:t>
      </w:r>
      <w:r>
        <w:rPr>
          <w:bCs/>
          <w:sz w:val="24"/>
          <w:szCs w:val="24"/>
        </w:rPr>
        <w:t>支付日期顺延。</w:t>
      </w:r>
    </w:p>
    <w:p w14:paraId="66684A5E" w14:textId="77777777" w:rsidR="00027CE6" w:rsidRPr="00027CE6" w:rsidRDefault="00027CE6" w:rsidP="00027CE6">
      <w:pPr>
        <w:tabs>
          <w:tab w:val="left" w:pos="961"/>
        </w:tabs>
        <w:snapToGrid w:val="0"/>
        <w:spacing w:line="360" w:lineRule="auto"/>
        <w:ind w:firstLineChars="200" w:firstLine="480"/>
        <w:rPr>
          <w:bCs/>
          <w:sz w:val="24"/>
          <w:szCs w:val="24"/>
        </w:rPr>
      </w:pPr>
      <w:r w:rsidRPr="00027CE6">
        <w:rPr>
          <w:rFonts w:hint="eastAsia"/>
          <w:bCs/>
          <w:sz w:val="24"/>
          <w:szCs w:val="24"/>
        </w:rPr>
        <w:t>3</w:t>
      </w:r>
      <w:r w:rsidRPr="00027CE6">
        <w:rPr>
          <w:rFonts w:hint="eastAsia"/>
          <w:bCs/>
          <w:sz w:val="24"/>
          <w:szCs w:val="24"/>
        </w:rPr>
        <w:t>、基金销售服务费</w:t>
      </w:r>
    </w:p>
    <w:p w14:paraId="49F9E4B8" w14:textId="77777777" w:rsidR="00027CE6" w:rsidRPr="00027CE6" w:rsidRDefault="00027CE6" w:rsidP="00027CE6">
      <w:pPr>
        <w:tabs>
          <w:tab w:val="left" w:pos="961"/>
        </w:tabs>
        <w:snapToGrid w:val="0"/>
        <w:spacing w:line="360" w:lineRule="auto"/>
        <w:ind w:firstLineChars="200" w:firstLine="480"/>
        <w:rPr>
          <w:bCs/>
          <w:sz w:val="24"/>
          <w:szCs w:val="24"/>
        </w:rPr>
      </w:pPr>
      <w:r w:rsidRPr="00027CE6">
        <w:rPr>
          <w:rFonts w:hint="eastAsia"/>
          <w:bCs/>
          <w:sz w:val="24"/>
          <w:szCs w:val="24"/>
        </w:rPr>
        <w:t>本基金</w:t>
      </w:r>
      <w:r w:rsidRPr="00027CE6">
        <w:rPr>
          <w:rFonts w:hint="eastAsia"/>
          <w:bCs/>
          <w:sz w:val="24"/>
          <w:szCs w:val="24"/>
        </w:rPr>
        <w:t>A</w:t>
      </w:r>
      <w:r w:rsidRPr="00027CE6">
        <w:rPr>
          <w:rFonts w:hint="eastAsia"/>
          <w:bCs/>
          <w:sz w:val="24"/>
          <w:szCs w:val="24"/>
        </w:rPr>
        <w:t>类基金份额不收取基金销售服务费，</w:t>
      </w:r>
      <w:r w:rsidRPr="00027CE6">
        <w:rPr>
          <w:rFonts w:hint="eastAsia"/>
          <w:bCs/>
          <w:sz w:val="24"/>
          <w:szCs w:val="24"/>
        </w:rPr>
        <w:t>C</w:t>
      </w:r>
      <w:r w:rsidRPr="00027CE6">
        <w:rPr>
          <w:rFonts w:hint="eastAsia"/>
          <w:bCs/>
          <w:sz w:val="24"/>
          <w:szCs w:val="24"/>
        </w:rPr>
        <w:t>类基金份额的基金销售服务费年费率为</w:t>
      </w:r>
      <w:r w:rsidRPr="00027CE6">
        <w:rPr>
          <w:rFonts w:hint="eastAsia"/>
          <w:bCs/>
          <w:sz w:val="24"/>
          <w:szCs w:val="24"/>
        </w:rPr>
        <w:t>0.40%</w:t>
      </w:r>
      <w:r w:rsidRPr="00027CE6">
        <w:rPr>
          <w:rFonts w:hint="eastAsia"/>
          <w:bCs/>
          <w:sz w:val="24"/>
          <w:szCs w:val="24"/>
        </w:rPr>
        <w:t>。本基金</w:t>
      </w:r>
      <w:r w:rsidRPr="00027CE6">
        <w:rPr>
          <w:rFonts w:hint="eastAsia"/>
          <w:bCs/>
          <w:sz w:val="24"/>
          <w:szCs w:val="24"/>
        </w:rPr>
        <w:t>C</w:t>
      </w:r>
      <w:r w:rsidRPr="00027CE6">
        <w:rPr>
          <w:rFonts w:hint="eastAsia"/>
          <w:bCs/>
          <w:sz w:val="24"/>
          <w:szCs w:val="24"/>
        </w:rPr>
        <w:t>类基金份额的基金销售服务费按前一日</w:t>
      </w:r>
      <w:r w:rsidRPr="00027CE6">
        <w:rPr>
          <w:rFonts w:hint="eastAsia"/>
          <w:bCs/>
          <w:sz w:val="24"/>
          <w:szCs w:val="24"/>
        </w:rPr>
        <w:t>C</w:t>
      </w:r>
      <w:r w:rsidRPr="00027CE6">
        <w:rPr>
          <w:rFonts w:hint="eastAsia"/>
          <w:bCs/>
          <w:sz w:val="24"/>
          <w:szCs w:val="24"/>
        </w:rPr>
        <w:t>类基金资产净值的</w:t>
      </w:r>
      <w:r w:rsidRPr="00027CE6">
        <w:rPr>
          <w:rFonts w:hint="eastAsia"/>
          <w:bCs/>
          <w:sz w:val="24"/>
          <w:szCs w:val="24"/>
        </w:rPr>
        <w:t>0.40%</w:t>
      </w:r>
      <w:r w:rsidRPr="00027CE6">
        <w:rPr>
          <w:rFonts w:hint="eastAsia"/>
          <w:bCs/>
          <w:sz w:val="24"/>
          <w:szCs w:val="24"/>
        </w:rPr>
        <w:t>年费率计提。</w:t>
      </w:r>
    </w:p>
    <w:p w14:paraId="12C84841" w14:textId="77777777" w:rsidR="00027CE6" w:rsidRPr="00027CE6" w:rsidRDefault="00027CE6" w:rsidP="00027CE6">
      <w:pPr>
        <w:tabs>
          <w:tab w:val="left" w:pos="961"/>
        </w:tabs>
        <w:snapToGrid w:val="0"/>
        <w:spacing w:line="360" w:lineRule="auto"/>
        <w:ind w:firstLineChars="200" w:firstLine="480"/>
        <w:rPr>
          <w:bCs/>
          <w:sz w:val="24"/>
          <w:szCs w:val="24"/>
        </w:rPr>
      </w:pPr>
      <w:r w:rsidRPr="00027CE6">
        <w:rPr>
          <w:rFonts w:hint="eastAsia"/>
          <w:bCs/>
          <w:sz w:val="24"/>
          <w:szCs w:val="24"/>
        </w:rPr>
        <w:t>计算方法如下：</w:t>
      </w:r>
    </w:p>
    <w:p w14:paraId="28889E30" w14:textId="15BFB723" w:rsidR="00027CE6" w:rsidRPr="00027CE6" w:rsidRDefault="00027CE6" w:rsidP="00027CE6">
      <w:pPr>
        <w:tabs>
          <w:tab w:val="left" w:pos="961"/>
        </w:tabs>
        <w:snapToGrid w:val="0"/>
        <w:spacing w:line="360" w:lineRule="auto"/>
        <w:ind w:firstLineChars="200" w:firstLine="480"/>
        <w:rPr>
          <w:bCs/>
          <w:sz w:val="24"/>
          <w:szCs w:val="24"/>
        </w:rPr>
      </w:pPr>
      <w:r w:rsidRPr="00027CE6">
        <w:rPr>
          <w:rFonts w:hint="eastAsia"/>
          <w:bCs/>
          <w:sz w:val="24"/>
          <w:szCs w:val="24"/>
        </w:rPr>
        <w:t>H</w:t>
      </w:r>
      <w:r w:rsidRPr="00027CE6">
        <w:rPr>
          <w:rFonts w:hint="eastAsia"/>
          <w:bCs/>
          <w:sz w:val="24"/>
          <w:szCs w:val="24"/>
        </w:rPr>
        <w:t>＝</w:t>
      </w:r>
      <w:r w:rsidRPr="00027CE6">
        <w:rPr>
          <w:rFonts w:hint="eastAsia"/>
          <w:bCs/>
          <w:sz w:val="24"/>
          <w:szCs w:val="24"/>
        </w:rPr>
        <w:t>E</w:t>
      </w:r>
      <w:r w:rsidRPr="00027CE6">
        <w:rPr>
          <w:rFonts w:hint="eastAsia"/>
          <w:bCs/>
          <w:sz w:val="24"/>
          <w:szCs w:val="24"/>
        </w:rPr>
        <w:t>×</w:t>
      </w:r>
      <w:r w:rsidR="002609BC" w:rsidRPr="00027CE6">
        <w:rPr>
          <w:rFonts w:hint="eastAsia"/>
          <w:bCs/>
          <w:sz w:val="24"/>
          <w:szCs w:val="24"/>
        </w:rPr>
        <w:t>0.40%</w:t>
      </w:r>
      <w:r w:rsidRPr="00027CE6">
        <w:rPr>
          <w:rFonts w:hint="eastAsia"/>
          <w:bCs/>
          <w:sz w:val="24"/>
          <w:szCs w:val="24"/>
        </w:rPr>
        <w:t>÷当年天数</w:t>
      </w:r>
      <w:r w:rsidRPr="00027CE6">
        <w:rPr>
          <w:rFonts w:hint="eastAsia"/>
          <w:bCs/>
          <w:sz w:val="24"/>
          <w:szCs w:val="24"/>
        </w:rPr>
        <w:t xml:space="preserve"> </w:t>
      </w:r>
    </w:p>
    <w:p w14:paraId="1C29503C" w14:textId="76E18517" w:rsidR="00027CE6" w:rsidRPr="00027CE6" w:rsidRDefault="00027CE6" w:rsidP="00027CE6">
      <w:pPr>
        <w:tabs>
          <w:tab w:val="left" w:pos="961"/>
        </w:tabs>
        <w:snapToGrid w:val="0"/>
        <w:spacing w:line="360" w:lineRule="auto"/>
        <w:ind w:firstLineChars="200" w:firstLine="480"/>
        <w:rPr>
          <w:bCs/>
          <w:sz w:val="24"/>
          <w:szCs w:val="24"/>
        </w:rPr>
      </w:pPr>
      <w:r w:rsidRPr="00027CE6">
        <w:rPr>
          <w:rFonts w:hint="eastAsia"/>
          <w:bCs/>
          <w:sz w:val="24"/>
          <w:szCs w:val="24"/>
        </w:rPr>
        <w:t>H</w:t>
      </w:r>
      <w:r w:rsidRPr="00027CE6">
        <w:rPr>
          <w:rFonts w:hint="eastAsia"/>
          <w:bCs/>
          <w:sz w:val="24"/>
          <w:szCs w:val="24"/>
        </w:rPr>
        <w:t>为</w:t>
      </w:r>
      <w:r w:rsidR="002609BC" w:rsidRPr="00027CE6">
        <w:rPr>
          <w:rFonts w:hint="eastAsia"/>
          <w:bCs/>
          <w:sz w:val="24"/>
          <w:szCs w:val="24"/>
        </w:rPr>
        <w:t>C</w:t>
      </w:r>
      <w:r w:rsidRPr="00027CE6">
        <w:rPr>
          <w:rFonts w:hint="eastAsia"/>
          <w:bCs/>
          <w:sz w:val="24"/>
          <w:szCs w:val="24"/>
        </w:rPr>
        <w:t>类基金份额每日应计提的销售服务费</w:t>
      </w:r>
    </w:p>
    <w:p w14:paraId="77F7DB7F" w14:textId="44BBB938" w:rsidR="00027CE6" w:rsidRPr="00027CE6" w:rsidRDefault="00027CE6" w:rsidP="00027CE6">
      <w:pPr>
        <w:tabs>
          <w:tab w:val="left" w:pos="961"/>
        </w:tabs>
        <w:snapToGrid w:val="0"/>
        <w:spacing w:line="360" w:lineRule="auto"/>
        <w:ind w:firstLineChars="200" w:firstLine="480"/>
        <w:rPr>
          <w:bCs/>
          <w:sz w:val="24"/>
          <w:szCs w:val="24"/>
        </w:rPr>
      </w:pPr>
      <w:r w:rsidRPr="00027CE6">
        <w:rPr>
          <w:rFonts w:hint="eastAsia"/>
          <w:bCs/>
          <w:sz w:val="24"/>
          <w:szCs w:val="24"/>
        </w:rPr>
        <w:t>E</w:t>
      </w:r>
      <w:r w:rsidRPr="00027CE6">
        <w:rPr>
          <w:rFonts w:hint="eastAsia"/>
          <w:bCs/>
          <w:sz w:val="24"/>
          <w:szCs w:val="24"/>
        </w:rPr>
        <w:t>为</w:t>
      </w:r>
      <w:r w:rsidR="002609BC" w:rsidRPr="00027CE6">
        <w:rPr>
          <w:rFonts w:hint="eastAsia"/>
          <w:bCs/>
          <w:sz w:val="24"/>
          <w:szCs w:val="24"/>
        </w:rPr>
        <w:t>C</w:t>
      </w:r>
      <w:r w:rsidRPr="00027CE6">
        <w:rPr>
          <w:rFonts w:hint="eastAsia"/>
          <w:bCs/>
          <w:sz w:val="24"/>
          <w:szCs w:val="24"/>
        </w:rPr>
        <w:t>类基金份额前一日基金资产净值</w:t>
      </w:r>
    </w:p>
    <w:p w14:paraId="7AAC7ED6" w14:textId="70BD688A" w:rsidR="00027CE6" w:rsidRPr="00027CE6" w:rsidRDefault="00027CE6" w:rsidP="00027CE6">
      <w:pPr>
        <w:tabs>
          <w:tab w:val="left" w:pos="961"/>
        </w:tabs>
        <w:snapToGrid w:val="0"/>
        <w:spacing w:line="360" w:lineRule="auto"/>
        <w:ind w:firstLineChars="200" w:firstLine="480"/>
        <w:rPr>
          <w:bCs/>
          <w:sz w:val="24"/>
          <w:szCs w:val="24"/>
        </w:rPr>
      </w:pPr>
      <w:r w:rsidRPr="00027CE6">
        <w:rPr>
          <w:rFonts w:hint="eastAsia"/>
          <w:bCs/>
          <w:sz w:val="24"/>
          <w:szCs w:val="24"/>
        </w:rPr>
        <w:t>基金销售服务费每日计提，逐日累计至每月月末，按月支付。由基金管理人向基金托管人发送基金销售服务费划款指令，基金托管人复核后于次月前</w:t>
      </w:r>
      <w:r w:rsidRPr="00027CE6">
        <w:rPr>
          <w:rFonts w:hint="eastAsia"/>
          <w:bCs/>
          <w:sz w:val="24"/>
          <w:szCs w:val="24"/>
        </w:rPr>
        <w:t>5</w:t>
      </w:r>
      <w:r w:rsidRPr="00027CE6">
        <w:rPr>
          <w:rFonts w:hint="eastAsia"/>
          <w:bCs/>
          <w:sz w:val="24"/>
          <w:szCs w:val="24"/>
        </w:rPr>
        <w:t>个工作日内从基金财产中一次性支付。若遇法定节假日、公休</w:t>
      </w:r>
      <w:r w:rsidR="00386C93">
        <w:rPr>
          <w:rFonts w:hint="eastAsia"/>
          <w:bCs/>
          <w:sz w:val="24"/>
          <w:szCs w:val="24"/>
        </w:rPr>
        <w:t>日</w:t>
      </w:r>
      <w:r w:rsidRPr="00027CE6">
        <w:rPr>
          <w:rFonts w:hint="eastAsia"/>
          <w:bCs/>
          <w:sz w:val="24"/>
          <w:szCs w:val="24"/>
        </w:rPr>
        <w:t>等，支付日期顺延。</w:t>
      </w:r>
      <w:r w:rsidRPr="00027CE6">
        <w:rPr>
          <w:rFonts w:hint="eastAsia"/>
          <w:bCs/>
          <w:sz w:val="24"/>
          <w:szCs w:val="24"/>
        </w:rPr>
        <w:t xml:space="preserve"> </w:t>
      </w:r>
    </w:p>
    <w:p w14:paraId="468AC091" w14:textId="77777777" w:rsidR="00027CE6" w:rsidRPr="00027CE6" w:rsidRDefault="00027CE6" w:rsidP="00027CE6">
      <w:pPr>
        <w:tabs>
          <w:tab w:val="left" w:pos="961"/>
        </w:tabs>
        <w:snapToGrid w:val="0"/>
        <w:spacing w:line="360" w:lineRule="auto"/>
        <w:ind w:firstLineChars="200" w:firstLine="480"/>
        <w:rPr>
          <w:bCs/>
          <w:sz w:val="24"/>
          <w:szCs w:val="24"/>
        </w:rPr>
      </w:pPr>
      <w:r w:rsidRPr="00027CE6">
        <w:rPr>
          <w:rFonts w:hint="eastAsia"/>
          <w:bCs/>
          <w:sz w:val="24"/>
          <w:szCs w:val="24"/>
        </w:rPr>
        <w:t>基金销售服务费主要用于本基金持续销售以及基金份额持有人服务等各项费用。</w:t>
      </w:r>
    </w:p>
    <w:p w14:paraId="3FD4B85E" w14:textId="1C7FCAAD" w:rsidR="0037652E" w:rsidRDefault="00BF49B0">
      <w:pPr>
        <w:tabs>
          <w:tab w:val="left" w:pos="961"/>
        </w:tabs>
        <w:snapToGrid w:val="0"/>
        <w:spacing w:line="360" w:lineRule="auto"/>
        <w:ind w:firstLineChars="200" w:firstLine="480"/>
        <w:rPr>
          <w:bCs/>
          <w:sz w:val="24"/>
          <w:szCs w:val="24"/>
        </w:rPr>
      </w:pPr>
      <w:r>
        <w:rPr>
          <w:bCs/>
          <w:sz w:val="24"/>
          <w:szCs w:val="24"/>
        </w:rPr>
        <w:t>上述</w:t>
      </w:r>
      <w:r>
        <w:rPr>
          <w:bCs/>
          <w:sz w:val="24"/>
          <w:szCs w:val="24"/>
        </w:rPr>
        <w:t>“</w:t>
      </w:r>
      <w:r>
        <w:rPr>
          <w:bCs/>
          <w:sz w:val="24"/>
          <w:szCs w:val="24"/>
        </w:rPr>
        <w:t>一、基金费用的种类</w:t>
      </w:r>
      <w:r>
        <w:rPr>
          <w:bCs/>
          <w:sz w:val="24"/>
          <w:szCs w:val="24"/>
        </w:rPr>
        <w:t>”</w:t>
      </w:r>
      <w:r>
        <w:rPr>
          <w:bCs/>
          <w:sz w:val="24"/>
          <w:szCs w:val="24"/>
        </w:rPr>
        <w:t>中</w:t>
      </w:r>
      <w:r w:rsidR="00027CE6">
        <w:rPr>
          <w:bCs/>
          <w:sz w:val="24"/>
          <w:szCs w:val="24"/>
        </w:rPr>
        <w:t>第</w:t>
      </w:r>
      <w:r w:rsidR="00027CE6">
        <w:rPr>
          <w:bCs/>
          <w:sz w:val="24"/>
          <w:szCs w:val="24"/>
        </w:rPr>
        <w:t>4</w:t>
      </w:r>
      <w:r>
        <w:rPr>
          <w:rFonts w:hAnsi="宋体"/>
          <w:bCs/>
          <w:sz w:val="24"/>
          <w:szCs w:val="24"/>
        </w:rPr>
        <w:t>－</w:t>
      </w:r>
      <w:r w:rsidR="00B1799D">
        <w:rPr>
          <w:bCs/>
          <w:sz w:val="24"/>
          <w:szCs w:val="24"/>
        </w:rPr>
        <w:t>14</w:t>
      </w:r>
      <w:r>
        <w:rPr>
          <w:bCs/>
          <w:sz w:val="24"/>
          <w:szCs w:val="24"/>
        </w:rPr>
        <w:t>项费用，根据有关法规及相应协议规定，按费用实际支出金额列入或摊入当期费用，由基金托管人从基金财产中支付。</w:t>
      </w:r>
    </w:p>
    <w:p w14:paraId="5EB1C9EF" w14:textId="77777777" w:rsidR="0037652E" w:rsidRDefault="00BF49B0">
      <w:pPr>
        <w:tabs>
          <w:tab w:val="left" w:pos="961"/>
        </w:tabs>
        <w:snapToGrid w:val="0"/>
        <w:spacing w:line="360" w:lineRule="auto"/>
        <w:ind w:firstLineChars="200" w:firstLine="482"/>
        <w:rPr>
          <w:b/>
          <w:bCs/>
          <w:sz w:val="24"/>
          <w:szCs w:val="24"/>
        </w:rPr>
      </w:pPr>
      <w:r>
        <w:rPr>
          <w:b/>
          <w:bCs/>
          <w:sz w:val="24"/>
          <w:szCs w:val="24"/>
        </w:rPr>
        <w:lastRenderedPageBreak/>
        <w:t>三、不列入基金费用的项目</w:t>
      </w:r>
    </w:p>
    <w:p w14:paraId="659CC338" w14:textId="77777777" w:rsidR="0037652E" w:rsidRDefault="00BF49B0">
      <w:pPr>
        <w:tabs>
          <w:tab w:val="left" w:pos="961"/>
        </w:tabs>
        <w:snapToGrid w:val="0"/>
        <w:spacing w:line="360" w:lineRule="auto"/>
        <w:ind w:firstLineChars="200" w:firstLine="480"/>
        <w:rPr>
          <w:bCs/>
          <w:sz w:val="24"/>
          <w:szCs w:val="24"/>
        </w:rPr>
      </w:pPr>
      <w:r>
        <w:rPr>
          <w:bCs/>
          <w:sz w:val="24"/>
          <w:szCs w:val="24"/>
        </w:rPr>
        <w:t>下列费用不列入基金费用：</w:t>
      </w:r>
    </w:p>
    <w:p w14:paraId="49FA1CAD"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、基金管理人和基金托管人因未履行或未完全履行义务导致的费用支出或基金财产的损失；</w:t>
      </w:r>
    </w:p>
    <w:p w14:paraId="1B2AF0D1"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、基金管理人和基金托管人处理与基金运作无关的事项发生的费用；</w:t>
      </w:r>
    </w:p>
    <w:p w14:paraId="59653ED7"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、《基金合同》生效前的相关费用，包括但不限于验资费、会计师和律师费、信息披露费用等费用；</w:t>
      </w:r>
    </w:p>
    <w:p w14:paraId="1C28B1CC"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、其他根据相关法律法规及中国证监会的有关规定不得列入基金费用的项目。</w:t>
      </w:r>
    </w:p>
    <w:p w14:paraId="6039A3F8" w14:textId="77777777" w:rsidR="0037652E" w:rsidRDefault="00BF49B0">
      <w:pPr>
        <w:tabs>
          <w:tab w:val="left" w:pos="961"/>
        </w:tabs>
        <w:snapToGrid w:val="0"/>
        <w:spacing w:line="360" w:lineRule="auto"/>
        <w:ind w:firstLineChars="200" w:firstLine="482"/>
        <w:rPr>
          <w:b/>
          <w:bCs/>
          <w:sz w:val="24"/>
          <w:szCs w:val="24"/>
        </w:rPr>
      </w:pPr>
      <w:r>
        <w:rPr>
          <w:b/>
          <w:bCs/>
          <w:sz w:val="24"/>
          <w:szCs w:val="24"/>
        </w:rPr>
        <w:t>四、费用调整</w:t>
      </w:r>
    </w:p>
    <w:p w14:paraId="1E54382A" w14:textId="0C040FD3" w:rsidR="0037652E" w:rsidRDefault="00BF49B0">
      <w:pPr>
        <w:tabs>
          <w:tab w:val="left" w:pos="961"/>
        </w:tabs>
        <w:snapToGrid w:val="0"/>
        <w:spacing w:line="360" w:lineRule="auto"/>
        <w:ind w:firstLineChars="200" w:firstLine="480"/>
        <w:rPr>
          <w:bCs/>
          <w:sz w:val="24"/>
          <w:szCs w:val="24"/>
        </w:rPr>
      </w:pPr>
      <w:r>
        <w:rPr>
          <w:bCs/>
          <w:sz w:val="24"/>
          <w:szCs w:val="24"/>
        </w:rPr>
        <w:t>基金管理人和基金托管人协商一致后，可根据基金发展情况调整基金管理费率、基金托管费率</w:t>
      </w:r>
      <w:r w:rsidR="00386C93" w:rsidRPr="00386C93">
        <w:rPr>
          <w:rFonts w:hint="eastAsia"/>
          <w:bCs/>
          <w:sz w:val="24"/>
          <w:szCs w:val="24"/>
        </w:rPr>
        <w:t>和销售服务费率</w:t>
      </w:r>
      <w:r>
        <w:rPr>
          <w:bCs/>
          <w:sz w:val="24"/>
          <w:szCs w:val="24"/>
        </w:rPr>
        <w:t>等相关费率。</w:t>
      </w:r>
    </w:p>
    <w:p w14:paraId="1FFB5949" w14:textId="21D1E1E8" w:rsidR="0037652E" w:rsidRDefault="00BF49B0">
      <w:pPr>
        <w:tabs>
          <w:tab w:val="left" w:pos="961"/>
        </w:tabs>
        <w:snapToGrid w:val="0"/>
        <w:spacing w:line="360" w:lineRule="auto"/>
        <w:ind w:firstLineChars="200" w:firstLine="480"/>
        <w:rPr>
          <w:bCs/>
          <w:sz w:val="24"/>
          <w:szCs w:val="24"/>
        </w:rPr>
      </w:pPr>
      <w:r>
        <w:rPr>
          <w:bCs/>
          <w:sz w:val="24"/>
          <w:szCs w:val="24"/>
        </w:rPr>
        <w:t>调高基金管理费率</w:t>
      </w:r>
      <w:r w:rsidR="000976B0">
        <w:rPr>
          <w:rFonts w:hint="eastAsia"/>
          <w:bCs/>
          <w:sz w:val="24"/>
          <w:szCs w:val="24"/>
        </w:rPr>
        <w:t>、</w:t>
      </w:r>
      <w:r>
        <w:rPr>
          <w:bCs/>
          <w:sz w:val="24"/>
          <w:szCs w:val="24"/>
        </w:rPr>
        <w:t>基金托管费率</w:t>
      </w:r>
      <w:r w:rsidR="000976B0" w:rsidRPr="000976B0">
        <w:rPr>
          <w:rFonts w:hint="eastAsia"/>
          <w:bCs/>
          <w:sz w:val="24"/>
          <w:szCs w:val="24"/>
        </w:rPr>
        <w:t>和销售服务费率</w:t>
      </w:r>
      <w:r>
        <w:rPr>
          <w:bCs/>
          <w:sz w:val="24"/>
          <w:szCs w:val="24"/>
        </w:rPr>
        <w:t>，须召开基金份额持有人大会审议，除非基金合同、相关法律法规或监管机构另有规定；调低基金管理费率</w:t>
      </w:r>
      <w:r w:rsidR="00386C93">
        <w:rPr>
          <w:rFonts w:hint="eastAsia"/>
          <w:bCs/>
          <w:sz w:val="24"/>
          <w:szCs w:val="24"/>
        </w:rPr>
        <w:t>、</w:t>
      </w:r>
      <w:r>
        <w:rPr>
          <w:bCs/>
          <w:sz w:val="24"/>
          <w:szCs w:val="24"/>
        </w:rPr>
        <w:t>基金托管费率</w:t>
      </w:r>
      <w:r w:rsidR="00386C93" w:rsidRPr="00386C93">
        <w:rPr>
          <w:rFonts w:hint="eastAsia"/>
          <w:bCs/>
          <w:sz w:val="24"/>
          <w:szCs w:val="24"/>
        </w:rPr>
        <w:t>和销售服务费率</w:t>
      </w:r>
      <w:r>
        <w:rPr>
          <w:bCs/>
          <w:sz w:val="24"/>
          <w:szCs w:val="24"/>
        </w:rPr>
        <w:t>，无须召开基金份额持有人大会。</w:t>
      </w:r>
    </w:p>
    <w:p w14:paraId="089CF793"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基金管理人必须最迟于新的费率实施日前</w:t>
      </w:r>
      <w:r>
        <w:rPr>
          <w:bCs/>
          <w:sz w:val="24"/>
          <w:szCs w:val="24"/>
        </w:rPr>
        <w:t>2</w:t>
      </w:r>
      <w:r>
        <w:rPr>
          <w:bCs/>
          <w:sz w:val="24"/>
          <w:szCs w:val="24"/>
        </w:rPr>
        <w:t>个工作日在指定媒介上公告，并在公告日分别报中国证监会和基金管理人主要办公场所所在地中国证监会派出机构备案。</w:t>
      </w:r>
    </w:p>
    <w:p w14:paraId="08D282C5" w14:textId="77777777" w:rsidR="0037652E" w:rsidRDefault="00BF49B0">
      <w:pPr>
        <w:tabs>
          <w:tab w:val="left" w:pos="961"/>
        </w:tabs>
        <w:snapToGrid w:val="0"/>
        <w:spacing w:line="360" w:lineRule="auto"/>
        <w:ind w:firstLineChars="200" w:firstLine="482"/>
        <w:rPr>
          <w:b/>
          <w:bCs/>
          <w:sz w:val="24"/>
          <w:szCs w:val="24"/>
        </w:rPr>
      </w:pPr>
      <w:r>
        <w:rPr>
          <w:b/>
          <w:bCs/>
          <w:sz w:val="24"/>
          <w:szCs w:val="24"/>
        </w:rPr>
        <w:t>五、基金税收</w:t>
      </w:r>
    </w:p>
    <w:p w14:paraId="0EEF742B"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本基金运作过程中涉及的各纳税主体，其纳税义务按各个国家税收法律、法规执行。</w:t>
      </w:r>
    </w:p>
    <w:p w14:paraId="13485CBB" w14:textId="77777777" w:rsidR="0037652E" w:rsidRDefault="0037652E">
      <w:pPr>
        <w:tabs>
          <w:tab w:val="left" w:pos="961"/>
        </w:tabs>
        <w:snapToGrid w:val="0"/>
        <w:spacing w:line="360" w:lineRule="auto"/>
        <w:ind w:firstLineChars="200" w:firstLine="420"/>
        <w:rPr>
          <w:bCs/>
          <w:szCs w:val="21"/>
        </w:rPr>
      </w:pPr>
    </w:p>
    <w:p w14:paraId="5A1A33DF" w14:textId="77777777" w:rsidR="0037652E" w:rsidRDefault="00BF49B0">
      <w:pPr>
        <w:spacing w:line="360" w:lineRule="auto"/>
        <w:ind w:firstLineChars="50" w:firstLine="105"/>
        <w:jc w:val="center"/>
        <w:outlineLvl w:val="0"/>
        <w:rPr>
          <w:rFonts w:ascii="宋体" w:hAnsi="宋体"/>
          <w:b/>
          <w:sz w:val="24"/>
          <w:szCs w:val="24"/>
        </w:rPr>
      </w:pPr>
      <w:r>
        <w:rPr>
          <w:bCs/>
          <w:szCs w:val="21"/>
        </w:rPr>
        <w:br w:type="page"/>
      </w:r>
      <w:bookmarkStart w:id="72" w:name="_Toc12526"/>
      <w:bookmarkStart w:id="73" w:name="_Toc65325119"/>
      <w:bookmarkStart w:id="74" w:name="_Toc280368794"/>
      <w:bookmarkStart w:id="75" w:name="_Toc16503"/>
      <w:bookmarkStart w:id="76" w:name="_Toc110606853"/>
      <w:r>
        <w:rPr>
          <w:rFonts w:ascii="宋体" w:hAnsi="宋体" w:hint="eastAsia"/>
          <w:b/>
          <w:sz w:val="24"/>
          <w:szCs w:val="24"/>
        </w:rPr>
        <w:lastRenderedPageBreak/>
        <w:t xml:space="preserve">第十二部分 </w:t>
      </w:r>
      <w:r>
        <w:rPr>
          <w:rFonts w:ascii="宋体" w:hAnsi="宋体"/>
          <w:b/>
          <w:sz w:val="24"/>
          <w:szCs w:val="24"/>
        </w:rPr>
        <w:t>基金的</w:t>
      </w:r>
      <w:r>
        <w:rPr>
          <w:rFonts w:ascii="宋体" w:hAnsi="宋体" w:hint="eastAsia"/>
          <w:b/>
          <w:sz w:val="24"/>
          <w:szCs w:val="24"/>
        </w:rPr>
        <w:t>财产</w:t>
      </w:r>
      <w:bookmarkEnd w:id="72"/>
      <w:bookmarkEnd w:id="73"/>
      <w:bookmarkEnd w:id="74"/>
      <w:bookmarkEnd w:id="75"/>
      <w:bookmarkEnd w:id="76"/>
    </w:p>
    <w:p w14:paraId="3A44C5DB" w14:textId="77777777" w:rsidR="0037652E" w:rsidRDefault="0037652E">
      <w:pPr>
        <w:tabs>
          <w:tab w:val="left" w:pos="961"/>
        </w:tabs>
        <w:snapToGrid w:val="0"/>
        <w:spacing w:line="360" w:lineRule="auto"/>
        <w:ind w:firstLineChars="200" w:firstLine="420"/>
        <w:rPr>
          <w:rFonts w:hAnsi="宋体"/>
          <w:bCs/>
          <w:szCs w:val="21"/>
        </w:rPr>
      </w:pPr>
    </w:p>
    <w:p w14:paraId="7B674636"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b/>
          <w:bCs/>
          <w:sz w:val="24"/>
          <w:szCs w:val="24"/>
        </w:rPr>
        <w:t>一、基金资产总值</w:t>
      </w:r>
    </w:p>
    <w:p w14:paraId="43FD75C9" w14:textId="77777777" w:rsidR="0037652E" w:rsidRDefault="00BF49B0">
      <w:pPr>
        <w:tabs>
          <w:tab w:val="left" w:pos="961"/>
        </w:tabs>
        <w:snapToGrid w:val="0"/>
        <w:spacing w:line="360" w:lineRule="auto"/>
        <w:ind w:firstLineChars="200" w:firstLine="480"/>
        <w:rPr>
          <w:bCs/>
          <w:sz w:val="24"/>
          <w:szCs w:val="24"/>
        </w:rPr>
      </w:pPr>
      <w:r>
        <w:rPr>
          <w:rFonts w:hAnsi="宋体"/>
          <w:bCs/>
          <w:sz w:val="24"/>
          <w:szCs w:val="24"/>
        </w:rPr>
        <w:t>基金资产总值是指购买的各类证券及票据价值、银行存款本息和基金应收的申购基金款以及其他投资所形成的价值总和</w:t>
      </w:r>
      <w:r>
        <w:rPr>
          <w:bCs/>
          <w:sz w:val="24"/>
          <w:szCs w:val="24"/>
        </w:rPr>
        <w:t>。</w:t>
      </w:r>
    </w:p>
    <w:p w14:paraId="6D9C76B6" w14:textId="77777777" w:rsidR="0037652E" w:rsidRDefault="00BF49B0">
      <w:pPr>
        <w:tabs>
          <w:tab w:val="left" w:pos="961"/>
        </w:tabs>
        <w:snapToGrid w:val="0"/>
        <w:spacing w:line="360" w:lineRule="auto"/>
        <w:ind w:firstLineChars="200" w:firstLine="480"/>
        <w:rPr>
          <w:bCs/>
          <w:sz w:val="24"/>
          <w:szCs w:val="24"/>
        </w:rPr>
      </w:pPr>
      <w:r>
        <w:rPr>
          <w:bCs/>
          <w:sz w:val="24"/>
          <w:szCs w:val="24"/>
        </w:rPr>
        <w:t>其构成主要有：</w:t>
      </w:r>
    </w:p>
    <w:p w14:paraId="26830407"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、银行存款及其应计利息；</w:t>
      </w:r>
    </w:p>
    <w:p w14:paraId="0B3E4734"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、清算备付金及其应计利息；</w:t>
      </w:r>
    </w:p>
    <w:p w14:paraId="6F3E5461"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、根据有关规定缴纳的保证金及其应收利息；</w:t>
      </w:r>
    </w:p>
    <w:p w14:paraId="4537F9CF"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、应收证券交易清算款；</w:t>
      </w:r>
    </w:p>
    <w:p w14:paraId="0F775BAF"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bCs/>
          <w:sz w:val="24"/>
          <w:szCs w:val="24"/>
        </w:rPr>
        <w:t>、应收申购款；</w:t>
      </w:r>
    </w:p>
    <w:p w14:paraId="7105081C" w14:textId="77777777" w:rsidR="0037652E" w:rsidRDefault="00BF49B0">
      <w:pPr>
        <w:tabs>
          <w:tab w:val="left" w:pos="961"/>
        </w:tabs>
        <w:snapToGrid w:val="0"/>
        <w:spacing w:line="360" w:lineRule="auto"/>
        <w:ind w:firstLineChars="200" w:firstLine="480"/>
        <w:rPr>
          <w:bCs/>
          <w:sz w:val="24"/>
          <w:szCs w:val="24"/>
        </w:rPr>
      </w:pPr>
      <w:r>
        <w:rPr>
          <w:bCs/>
          <w:sz w:val="24"/>
          <w:szCs w:val="24"/>
        </w:rPr>
        <w:t>6</w:t>
      </w:r>
      <w:r>
        <w:rPr>
          <w:bCs/>
          <w:sz w:val="24"/>
          <w:szCs w:val="24"/>
        </w:rPr>
        <w:t>、基金投资及收益以及估值调整；</w:t>
      </w:r>
    </w:p>
    <w:p w14:paraId="69151B92" w14:textId="77777777" w:rsidR="0037652E" w:rsidRDefault="00BF49B0">
      <w:pPr>
        <w:tabs>
          <w:tab w:val="left" w:pos="961"/>
        </w:tabs>
        <w:snapToGrid w:val="0"/>
        <w:spacing w:line="360" w:lineRule="auto"/>
        <w:ind w:firstLineChars="200" w:firstLine="480"/>
        <w:rPr>
          <w:bCs/>
          <w:sz w:val="24"/>
          <w:szCs w:val="24"/>
        </w:rPr>
      </w:pPr>
      <w:r>
        <w:rPr>
          <w:bCs/>
          <w:sz w:val="24"/>
          <w:szCs w:val="24"/>
        </w:rPr>
        <w:t>7</w:t>
      </w:r>
      <w:r>
        <w:rPr>
          <w:bCs/>
          <w:sz w:val="24"/>
          <w:szCs w:val="24"/>
        </w:rPr>
        <w:t>、股票投资及其估值调整；</w:t>
      </w:r>
    </w:p>
    <w:p w14:paraId="69CFA48D" w14:textId="77777777" w:rsidR="0037652E" w:rsidRDefault="00BF49B0">
      <w:pPr>
        <w:tabs>
          <w:tab w:val="left" w:pos="961"/>
        </w:tabs>
        <w:snapToGrid w:val="0"/>
        <w:spacing w:line="360" w:lineRule="auto"/>
        <w:ind w:firstLineChars="200" w:firstLine="480"/>
        <w:rPr>
          <w:bCs/>
          <w:sz w:val="24"/>
          <w:szCs w:val="24"/>
        </w:rPr>
      </w:pPr>
      <w:r>
        <w:rPr>
          <w:bCs/>
          <w:sz w:val="24"/>
          <w:szCs w:val="24"/>
        </w:rPr>
        <w:t>8</w:t>
      </w:r>
      <w:r>
        <w:rPr>
          <w:bCs/>
          <w:sz w:val="24"/>
          <w:szCs w:val="24"/>
        </w:rPr>
        <w:t>、债券投资及其估值调整和应计利息；</w:t>
      </w:r>
    </w:p>
    <w:p w14:paraId="5DE8A05E" w14:textId="77777777" w:rsidR="0037652E" w:rsidRDefault="00BF49B0">
      <w:pPr>
        <w:tabs>
          <w:tab w:val="left" w:pos="961"/>
        </w:tabs>
        <w:snapToGrid w:val="0"/>
        <w:spacing w:line="360" w:lineRule="auto"/>
        <w:ind w:firstLineChars="200" w:firstLine="480"/>
        <w:rPr>
          <w:bCs/>
          <w:sz w:val="24"/>
          <w:szCs w:val="24"/>
        </w:rPr>
      </w:pPr>
      <w:r>
        <w:rPr>
          <w:bCs/>
          <w:sz w:val="24"/>
          <w:szCs w:val="24"/>
        </w:rPr>
        <w:t>9</w:t>
      </w:r>
      <w:r>
        <w:rPr>
          <w:bCs/>
          <w:sz w:val="24"/>
          <w:szCs w:val="24"/>
        </w:rPr>
        <w:t>、其他投资及其估值调整；</w:t>
      </w:r>
    </w:p>
    <w:p w14:paraId="405D2C9C" w14:textId="77777777" w:rsidR="0037652E" w:rsidRDefault="00BF49B0">
      <w:pPr>
        <w:tabs>
          <w:tab w:val="left" w:pos="961"/>
        </w:tabs>
        <w:snapToGrid w:val="0"/>
        <w:spacing w:line="360" w:lineRule="auto"/>
        <w:ind w:firstLineChars="200" w:firstLine="480"/>
        <w:rPr>
          <w:bCs/>
          <w:sz w:val="24"/>
          <w:szCs w:val="24"/>
        </w:rPr>
      </w:pPr>
      <w:r>
        <w:rPr>
          <w:bCs/>
          <w:sz w:val="24"/>
          <w:szCs w:val="24"/>
        </w:rPr>
        <w:t>10</w:t>
      </w:r>
      <w:r>
        <w:rPr>
          <w:bCs/>
          <w:sz w:val="24"/>
          <w:szCs w:val="24"/>
        </w:rPr>
        <w:t>、其他资产等。</w:t>
      </w:r>
    </w:p>
    <w:p w14:paraId="51853D2E" w14:textId="77777777" w:rsidR="0037652E" w:rsidRDefault="00BF49B0">
      <w:pPr>
        <w:tabs>
          <w:tab w:val="left" w:pos="961"/>
        </w:tabs>
        <w:snapToGrid w:val="0"/>
        <w:spacing w:line="360" w:lineRule="auto"/>
        <w:ind w:firstLineChars="200" w:firstLine="482"/>
        <w:rPr>
          <w:b/>
          <w:bCs/>
          <w:sz w:val="24"/>
          <w:szCs w:val="24"/>
        </w:rPr>
      </w:pPr>
      <w:r>
        <w:rPr>
          <w:b/>
          <w:bCs/>
          <w:sz w:val="24"/>
          <w:szCs w:val="24"/>
        </w:rPr>
        <w:t>二、基金资产净值</w:t>
      </w:r>
    </w:p>
    <w:p w14:paraId="7F88E5C0" w14:textId="77777777" w:rsidR="0037652E" w:rsidRDefault="00BF49B0">
      <w:pPr>
        <w:tabs>
          <w:tab w:val="left" w:pos="961"/>
        </w:tabs>
        <w:snapToGrid w:val="0"/>
        <w:spacing w:line="360" w:lineRule="auto"/>
        <w:ind w:firstLineChars="200" w:firstLine="480"/>
        <w:rPr>
          <w:bCs/>
          <w:sz w:val="24"/>
          <w:szCs w:val="24"/>
        </w:rPr>
      </w:pPr>
      <w:r>
        <w:rPr>
          <w:bCs/>
          <w:sz w:val="24"/>
          <w:szCs w:val="24"/>
        </w:rPr>
        <w:t>基金资产净值是指基金资产总值减去基金负债后的价值。</w:t>
      </w:r>
    </w:p>
    <w:p w14:paraId="41E2E100" w14:textId="77777777" w:rsidR="0037652E" w:rsidRDefault="00BF49B0">
      <w:pPr>
        <w:tabs>
          <w:tab w:val="left" w:pos="961"/>
        </w:tabs>
        <w:snapToGrid w:val="0"/>
        <w:spacing w:line="360" w:lineRule="auto"/>
        <w:ind w:firstLineChars="200" w:firstLine="482"/>
        <w:rPr>
          <w:b/>
          <w:bCs/>
          <w:sz w:val="24"/>
          <w:szCs w:val="24"/>
        </w:rPr>
      </w:pPr>
      <w:r>
        <w:rPr>
          <w:b/>
          <w:bCs/>
          <w:sz w:val="24"/>
          <w:szCs w:val="24"/>
        </w:rPr>
        <w:t>三、基金财产的账户</w:t>
      </w:r>
    </w:p>
    <w:p w14:paraId="37DE865B"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根据相关法律法规开立基金资金账户以及证券账户。开立的基金专用账户与基金管理人、基金托管人、境外托管人、境外投资顾问、基金代销机构和基金注册登记机构自有的财产账户以及其他基金财产账户相独立。</w:t>
      </w:r>
    </w:p>
    <w:p w14:paraId="6ED5243A" w14:textId="77777777" w:rsidR="0037652E" w:rsidRDefault="00BF49B0">
      <w:pPr>
        <w:tabs>
          <w:tab w:val="left" w:pos="961"/>
        </w:tabs>
        <w:snapToGrid w:val="0"/>
        <w:spacing w:line="360" w:lineRule="auto"/>
        <w:ind w:firstLineChars="200" w:firstLine="482"/>
        <w:rPr>
          <w:b/>
          <w:bCs/>
          <w:sz w:val="24"/>
          <w:szCs w:val="24"/>
        </w:rPr>
      </w:pPr>
      <w:r>
        <w:rPr>
          <w:b/>
          <w:bCs/>
          <w:sz w:val="24"/>
          <w:szCs w:val="24"/>
        </w:rPr>
        <w:t>四、基金财产的保管和处分</w:t>
      </w:r>
    </w:p>
    <w:p w14:paraId="01DBB6BE"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财产独立于基金管理人、基金托管人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依法解散、被依法撤销或者被依法宣告破产等原因进行清算的，基金财产不属于其清算财产。除依法律法规和《基金合同》的规</w:t>
      </w:r>
      <w:r>
        <w:rPr>
          <w:bCs/>
          <w:sz w:val="24"/>
          <w:szCs w:val="24"/>
        </w:rPr>
        <w:lastRenderedPageBreak/>
        <w:t>定处分外，基金财产不得被处分。</w:t>
      </w:r>
    </w:p>
    <w:p w14:paraId="64FE3944"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基金管理人管理运作基金财产所产生的债权，不得与其固有资产产生的债务相互抵消；基金管理人管理运作不同基金的基金财产所产生的债权债务不得相互抵消。</w:t>
      </w:r>
    </w:p>
    <w:p w14:paraId="07E7BFEC" w14:textId="77777777" w:rsidR="0037652E" w:rsidRDefault="00BF49B0">
      <w:pPr>
        <w:tabs>
          <w:tab w:val="left" w:pos="961"/>
        </w:tabs>
        <w:snapToGrid w:val="0"/>
        <w:spacing w:line="360" w:lineRule="auto"/>
        <w:ind w:firstLineChars="200" w:firstLine="480"/>
        <w:rPr>
          <w:bCs/>
          <w:sz w:val="24"/>
          <w:szCs w:val="24"/>
        </w:rPr>
      </w:pPr>
      <w:r>
        <w:rPr>
          <w:bCs/>
          <w:sz w:val="24"/>
          <w:szCs w:val="24"/>
        </w:rPr>
        <w:t>在符合本合同和托管协议有关资产保管的要求下，对境外托管人的破产而产生的损失，基金托管人应采取措施进行追偿，基金管理人配合基金托管人进行追偿。基金托管人存在故意或过失行为的，应承担赔偿责任。</w:t>
      </w:r>
    </w:p>
    <w:p w14:paraId="60BA7F86"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基金管理人和基金托管人可将其义务委托第三方，并对第三方处理有关本基金事务的行为承担责任。</w:t>
      </w:r>
    </w:p>
    <w:p w14:paraId="6DBB19C2" w14:textId="77777777" w:rsidR="0037652E" w:rsidRDefault="00BF49B0">
      <w:pPr>
        <w:spacing w:line="360" w:lineRule="auto"/>
        <w:ind w:firstLineChars="200" w:firstLine="480"/>
        <w:rPr>
          <w:bCs/>
          <w:sz w:val="24"/>
        </w:rPr>
      </w:pPr>
      <w:r>
        <w:rPr>
          <w:rFonts w:hint="eastAsia"/>
          <w:bCs/>
          <w:sz w:val="24"/>
          <w:szCs w:val="24"/>
        </w:rPr>
        <w:t>基金托管人及其委托的境外托管人应妥善保存基金管理人基金财产汇入、汇出、兑换、收汇、现金往来及证券交易的记录、凭证等相关资料，并按规定的期限保管，在符合法律法规以及基金合同规定的前提下，基金托管人委托的境外托管人持有的与境外托管人账户相关的资料的保管可按照境外托管人的业务惯例保管。</w:t>
      </w:r>
    </w:p>
    <w:p w14:paraId="3DD81EC3"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五、实施侧袋机制期间的基金费用</w:t>
      </w:r>
    </w:p>
    <w:p w14:paraId="2720FF46" w14:textId="77777777" w:rsidR="0037652E" w:rsidRDefault="00BF49B0">
      <w:pPr>
        <w:tabs>
          <w:tab w:val="left" w:pos="961"/>
        </w:tabs>
        <w:snapToGrid w:val="0"/>
        <w:spacing w:line="360" w:lineRule="auto"/>
        <w:ind w:firstLineChars="200" w:firstLine="480"/>
        <w:rPr>
          <w:bCs/>
          <w:szCs w:val="21"/>
        </w:rPr>
      </w:pPr>
      <w:r>
        <w:rPr>
          <w:rFonts w:hint="eastAsia"/>
          <w:sz w:val="24"/>
        </w:rPr>
        <w:t>本基金实施侧袋机制的，与侧袋账户有关的费用可以从侧袋账户中列支，但应待侧袋账户资产变现后方可列支，有关费用可酌情收取或减免，但不得收取管理费，详见本招募说明书“侧袋机制”章节的规定。</w:t>
      </w:r>
    </w:p>
    <w:p w14:paraId="37EDF181" w14:textId="77777777" w:rsidR="0037652E" w:rsidRDefault="0037652E">
      <w:pPr>
        <w:tabs>
          <w:tab w:val="left" w:pos="961"/>
        </w:tabs>
        <w:snapToGrid w:val="0"/>
        <w:spacing w:line="360" w:lineRule="auto"/>
        <w:ind w:firstLineChars="200" w:firstLine="420"/>
        <w:rPr>
          <w:bCs/>
          <w:szCs w:val="21"/>
        </w:rPr>
      </w:pPr>
    </w:p>
    <w:p w14:paraId="3E56A9DF" w14:textId="77777777" w:rsidR="0037652E" w:rsidRDefault="0037652E">
      <w:pPr>
        <w:tabs>
          <w:tab w:val="left" w:pos="961"/>
        </w:tabs>
        <w:snapToGrid w:val="0"/>
        <w:spacing w:line="360" w:lineRule="auto"/>
        <w:ind w:firstLineChars="200" w:firstLine="420"/>
        <w:rPr>
          <w:bCs/>
          <w:szCs w:val="21"/>
        </w:rPr>
      </w:pPr>
    </w:p>
    <w:p w14:paraId="1DBF98D8" w14:textId="77777777" w:rsidR="0037652E" w:rsidRDefault="00BF49B0">
      <w:pPr>
        <w:spacing w:line="360" w:lineRule="auto"/>
        <w:ind w:firstLineChars="50" w:firstLine="105"/>
        <w:jc w:val="center"/>
        <w:outlineLvl w:val="0"/>
        <w:rPr>
          <w:rFonts w:ascii="宋体" w:hAnsi="宋体"/>
          <w:b/>
          <w:sz w:val="24"/>
          <w:szCs w:val="24"/>
        </w:rPr>
      </w:pPr>
      <w:r>
        <w:rPr>
          <w:bCs/>
          <w:szCs w:val="21"/>
        </w:rPr>
        <w:br w:type="page"/>
      </w:r>
      <w:bookmarkStart w:id="77" w:name="_Toc17800"/>
      <w:bookmarkStart w:id="78" w:name="_Toc65325120"/>
      <w:bookmarkStart w:id="79" w:name="_Toc8715"/>
      <w:bookmarkStart w:id="80" w:name="_Toc280368795"/>
      <w:bookmarkStart w:id="81" w:name="_Toc110606854"/>
      <w:r>
        <w:rPr>
          <w:rFonts w:ascii="宋体" w:hAnsi="宋体" w:hint="eastAsia"/>
          <w:b/>
          <w:sz w:val="24"/>
          <w:szCs w:val="24"/>
        </w:rPr>
        <w:lastRenderedPageBreak/>
        <w:t xml:space="preserve">第十三部分 </w:t>
      </w:r>
      <w:r>
        <w:rPr>
          <w:rFonts w:ascii="宋体" w:hAnsi="宋体"/>
          <w:b/>
          <w:sz w:val="24"/>
          <w:szCs w:val="24"/>
        </w:rPr>
        <w:t>基金</w:t>
      </w:r>
      <w:r>
        <w:rPr>
          <w:rFonts w:ascii="宋体" w:hAnsi="宋体" w:hint="eastAsia"/>
          <w:b/>
          <w:sz w:val="24"/>
          <w:szCs w:val="24"/>
        </w:rPr>
        <w:t>资产估值</w:t>
      </w:r>
      <w:bookmarkEnd w:id="77"/>
      <w:bookmarkEnd w:id="78"/>
      <w:bookmarkEnd w:id="79"/>
      <w:bookmarkEnd w:id="80"/>
      <w:bookmarkEnd w:id="81"/>
    </w:p>
    <w:p w14:paraId="5A575F39" w14:textId="77777777" w:rsidR="0037652E" w:rsidRDefault="0037652E">
      <w:pPr>
        <w:tabs>
          <w:tab w:val="left" w:pos="961"/>
        </w:tabs>
        <w:snapToGrid w:val="0"/>
        <w:spacing w:line="360" w:lineRule="auto"/>
        <w:ind w:firstLineChars="200" w:firstLine="420"/>
        <w:rPr>
          <w:bCs/>
          <w:szCs w:val="21"/>
        </w:rPr>
      </w:pPr>
    </w:p>
    <w:p w14:paraId="64ECF5DB" w14:textId="77777777" w:rsidR="0037652E" w:rsidRDefault="00BF49B0">
      <w:pPr>
        <w:tabs>
          <w:tab w:val="left" w:pos="961"/>
        </w:tabs>
        <w:snapToGrid w:val="0"/>
        <w:spacing w:line="360" w:lineRule="auto"/>
        <w:ind w:firstLineChars="200" w:firstLine="482"/>
        <w:rPr>
          <w:b/>
          <w:bCs/>
          <w:sz w:val="24"/>
          <w:szCs w:val="24"/>
        </w:rPr>
      </w:pPr>
      <w:r>
        <w:rPr>
          <w:b/>
          <w:bCs/>
          <w:sz w:val="24"/>
          <w:szCs w:val="24"/>
        </w:rPr>
        <w:t>一、估值目的</w:t>
      </w:r>
    </w:p>
    <w:p w14:paraId="71A0BED4" w14:textId="77777777" w:rsidR="0037652E" w:rsidRDefault="00BF49B0">
      <w:pPr>
        <w:tabs>
          <w:tab w:val="left" w:pos="961"/>
        </w:tabs>
        <w:snapToGrid w:val="0"/>
        <w:spacing w:line="360" w:lineRule="auto"/>
        <w:ind w:firstLineChars="200" w:firstLine="480"/>
        <w:rPr>
          <w:bCs/>
          <w:sz w:val="24"/>
          <w:szCs w:val="24"/>
        </w:rPr>
      </w:pPr>
      <w:r>
        <w:rPr>
          <w:bCs/>
          <w:sz w:val="24"/>
          <w:szCs w:val="24"/>
        </w:rPr>
        <w:t>基金资产估值的目的是客观、准确地反映基金资产是否保值、增值，依据经基金资产估值后确定的基金资产净值而计算出的基金份额净值，是计算基金申购与赎回价格的基础。</w:t>
      </w:r>
    </w:p>
    <w:p w14:paraId="3EC5B6EA" w14:textId="77777777" w:rsidR="0037652E" w:rsidRDefault="00BF49B0">
      <w:pPr>
        <w:tabs>
          <w:tab w:val="left" w:pos="961"/>
        </w:tabs>
        <w:snapToGrid w:val="0"/>
        <w:spacing w:line="360" w:lineRule="auto"/>
        <w:ind w:firstLineChars="200" w:firstLine="482"/>
        <w:rPr>
          <w:b/>
          <w:bCs/>
          <w:sz w:val="24"/>
          <w:szCs w:val="24"/>
        </w:rPr>
      </w:pPr>
      <w:r>
        <w:rPr>
          <w:b/>
          <w:bCs/>
          <w:sz w:val="24"/>
          <w:szCs w:val="24"/>
        </w:rPr>
        <w:t>二、估值日</w:t>
      </w:r>
    </w:p>
    <w:p w14:paraId="4206F810"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本基金的估值日为本基金的开放日以及国家法律法规规定需要对外披露基金净值的非开放日。</w:t>
      </w:r>
    </w:p>
    <w:p w14:paraId="20675B7A" w14:textId="77777777" w:rsidR="0037652E" w:rsidRDefault="00BF49B0">
      <w:pPr>
        <w:tabs>
          <w:tab w:val="left" w:pos="961"/>
        </w:tabs>
        <w:snapToGrid w:val="0"/>
        <w:spacing w:line="360" w:lineRule="auto"/>
        <w:ind w:firstLineChars="200" w:firstLine="482"/>
        <w:rPr>
          <w:b/>
          <w:bCs/>
          <w:sz w:val="24"/>
          <w:szCs w:val="24"/>
        </w:rPr>
      </w:pPr>
      <w:r>
        <w:rPr>
          <w:b/>
          <w:bCs/>
          <w:sz w:val="24"/>
          <w:szCs w:val="24"/>
        </w:rPr>
        <w:t>三、估值方法</w:t>
      </w:r>
    </w:p>
    <w:p w14:paraId="382D0CBF"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、证券交易所上市的有价证券的估值</w:t>
      </w:r>
    </w:p>
    <w:p w14:paraId="334EC26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）交易所上市的有价证券（包括股票、权证、存托凭证、</w:t>
      </w:r>
      <w:r>
        <w:rPr>
          <w:bCs/>
          <w:sz w:val="24"/>
          <w:szCs w:val="24"/>
        </w:rPr>
        <w:t>ETF</w:t>
      </w:r>
      <w:r>
        <w:rPr>
          <w:bCs/>
          <w:sz w:val="24"/>
          <w:szCs w:val="24"/>
        </w:rPr>
        <w:t>基金等），以其估值日在证券交易所挂牌的市价（收盘价）估值；估值日无交易的，以最近交易日的市价（收盘价）估值。</w:t>
      </w:r>
    </w:p>
    <w:p w14:paraId="6F85643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交易所上市实行净价交易的债券按估值日收盘价估值，估值日没有交易的，按最近交易日的收盘价估值。交易所上市未实行净价交易的债券按估值日收盘价减去债券收盘价中所含的债券应收利息得到的净价进行估值；估值日没有交易的，按最近交易日债券收盘价减去债券收盘价中所含的债券应收利息得到的净价进行估值。</w:t>
      </w:r>
    </w:p>
    <w:p w14:paraId="6B61F6DB"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、处于未上市期间的有价证券应区分如下情况处理</w:t>
      </w:r>
    </w:p>
    <w:p w14:paraId="284812FD"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）送股、转增股、配股和公开增发的新股，按估值日在证券交易所挂牌的同一股票的市价（收盘价）估值；该日无交易的，以最近一日的市价（收盘价）估值；</w:t>
      </w:r>
    </w:p>
    <w:p w14:paraId="700D4F3F"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）首次公开发行未上市的股票、债券和权证等按成本估值。</w:t>
      </w:r>
    </w:p>
    <w:p w14:paraId="49A60DD6"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、因持有股票而享有的配股权证，从配股除权日起到配股确认日止，若配股权证可以在交易所交易，则按照</w:t>
      </w:r>
      <w:r>
        <w:rPr>
          <w:bCs/>
          <w:sz w:val="24"/>
          <w:szCs w:val="24"/>
        </w:rPr>
        <w:t>1</w:t>
      </w:r>
      <w:r>
        <w:rPr>
          <w:bCs/>
          <w:sz w:val="24"/>
          <w:szCs w:val="24"/>
        </w:rPr>
        <w:t>中确定的方法进行估值；不能在交易所交易的配股权证，如果收盘价高于配股价，则按收盘价和配股价的差额进行估值，如果收盘价低于或等于配股价，则估值为零。</w:t>
      </w:r>
    </w:p>
    <w:p w14:paraId="026D9E97"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、对于非上市证券，采用公允价值进行估值，具体可采用行业通用权威的报价系统提供的报价进行估值。</w:t>
      </w:r>
    </w:p>
    <w:p w14:paraId="4269C426"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5</w:t>
      </w:r>
      <w:r>
        <w:rPr>
          <w:bCs/>
          <w:sz w:val="24"/>
          <w:szCs w:val="24"/>
        </w:rPr>
        <w:t>、开放式基金的估值以其在估值日公布的净值进行估值，开放式基金未公布估值日的净值的，以估值日前最新的净值进行估值。</w:t>
      </w:r>
    </w:p>
    <w:p w14:paraId="6E96AF9C" w14:textId="77777777" w:rsidR="0037652E" w:rsidRDefault="00BF49B0">
      <w:pPr>
        <w:tabs>
          <w:tab w:val="left" w:pos="961"/>
        </w:tabs>
        <w:snapToGrid w:val="0"/>
        <w:spacing w:line="360" w:lineRule="auto"/>
        <w:ind w:firstLineChars="200" w:firstLine="480"/>
        <w:rPr>
          <w:bCs/>
          <w:sz w:val="24"/>
          <w:szCs w:val="24"/>
        </w:rPr>
      </w:pPr>
      <w:r>
        <w:rPr>
          <w:bCs/>
          <w:sz w:val="24"/>
          <w:szCs w:val="24"/>
        </w:rPr>
        <w:t>6</w:t>
      </w:r>
      <w:r>
        <w:rPr>
          <w:bCs/>
          <w:sz w:val="24"/>
          <w:szCs w:val="24"/>
        </w:rPr>
        <w:t>、外汇汇率</w:t>
      </w:r>
    </w:p>
    <w:p w14:paraId="25DBE14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）估值计算中涉及美元、港币、日元、欧元、英镑等五种主要货币对人民币汇率的，将依据下列信息提供机构所提供的汇率为基准：当日中国人民银行公布的人民币与主要货币的中间价。</w:t>
      </w:r>
    </w:p>
    <w:p w14:paraId="7F5ECA3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）其他货币采用美元作为中间货币进行换算，与美元的汇率则以估值日彭博伦敦时间</w:t>
      </w:r>
      <w:r>
        <w:rPr>
          <w:bCs/>
          <w:sz w:val="24"/>
          <w:szCs w:val="24"/>
        </w:rPr>
        <w:t>16</w:t>
      </w:r>
      <w:r>
        <w:rPr>
          <w:bCs/>
          <w:sz w:val="24"/>
          <w:szCs w:val="24"/>
        </w:rPr>
        <w:t>：</w:t>
      </w:r>
      <w:r>
        <w:rPr>
          <w:bCs/>
          <w:sz w:val="24"/>
          <w:szCs w:val="24"/>
        </w:rPr>
        <w:t>00</w:t>
      </w:r>
      <w:r>
        <w:rPr>
          <w:bCs/>
          <w:sz w:val="24"/>
          <w:szCs w:val="24"/>
        </w:rPr>
        <w:t>报价数据为准。</w:t>
      </w:r>
    </w:p>
    <w:p w14:paraId="727FB2BB" w14:textId="77777777" w:rsidR="0037652E" w:rsidRDefault="00BF49B0">
      <w:pPr>
        <w:tabs>
          <w:tab w:val="left" w:pos="961"/>
        </w:tabs>
        <w:snapToGrid w:val="0"/>
        <w:spacing w:line="360" w:lineRule="auto"/>
        <w:ind w:firstLineChars="200" w:firstLine="480"/>
        <w:rPr>
          <w:bCs/>
          <w:sz w:val="24"/>
          <w:szCs w:val="24"/>
        </w:rPr>
      </w:pPr>
      <w:r>
        <w:rPr>
          <w:bCs/>
          <w:sz w:val="24"/>
          <w:szCs w:val="24"/>
        </w:rPr>
        <w:t>若无法取得上述汇率价格信息时，以</w:t>
      </w:r>
      <w:r>
        <w:rPr>
          <w:rFonts w:hint="eastAsia"/>
          <w:bCs/>
          <w:sz w:val="24"/>
          <w:szCs w:val="24"/>
        </w:rPr>
        <w:t>基金托管人</w:t>
      </w:r>
      <w:r>
        <w:rPr>
          <w:bCs/>
          <w:sz w:val="24"/>
          <w:szCs w:val="24"/>
        </w:rPr>
        <w:t>或境外托管人所提供的合理公开外汇市场交易价格为准。</w:t>
      </w:r>
    </w:p>
    <w:p w14:paraId="27F8B6BB" w14:textId="77777777" w:rsidR="0037652E" w:rsidRDefault="00BF49B0">
      <w:pPr>
        <w:tabs>
          <w:tab w:val="left" w:pos="961"/>
        </w:tabs>
        <w:snapToGrid w:val="0"/>
        <w:spacing w:line="360" w:lineRule="auto"/>
        <w:ind w:firstLineChars="200" w:firstLine="480"/>
        <w:rPr>
          <w:bCs/>
          <w:sz w:val="24"/>
          <w:szCs w:val="24"/>
        </w:rPr>
      </w:pPr>
      <w:r>
        <w:rPr>
          <w:bCs/>
          <w:sz w:val="24"/>
          <w:szCs w:val="24"/>
        </w:rPr>
        <w:t>7</w:t>
      </w:r>
      <w:r>
        <w:rPr>
          <w:bCs/>
          <w:sz w:val="24"/>
          <w:szCs w:val="24"/>
        </w:rPr>
        <w:t>、在任何情况下，基金管理人如果采用本项</w:t>
      </w:r>
      <w:r>
        <w:rPr>
          <w:bCs/>
          <w:sz w:val="24"/>
          <w:szCs w:val="24"/>
        </w:rPr>
        <w:t>1-6</w:t>
      </w:r>
      <w:r>
        <w:rPr>
          <w:bCs/>
          <w:sz w:val="24"/>
          <w:szCs w:val="24"/>
        </w:rPr>
        <w:t>中规定的方法对基金资产进行估值，均应被认为采用了适当的估值方法。但是，如有确凿证据表明按上述方法进行估值不能客观反映其公允价值的，基金管理人可根据具体情况与基金托管人商定后，按最能反映公允价值的价格估值。</w:t>
      </w:r>
    </w:p>
    <w:p w14:paraId="0B86F516" w14:textId="77777777" w:rsidR="0037652E" w:rsidRDefault="00BF49B0">
      <w:pPr>
        <w:tabs>
          <w:tab w:val="left" w:pos="961"/>
        </w:tabs>
        <w:snapToGrid w:val="0"/>
        <w:spacing w:line="360" w:lineRule="auto"/>
        <w:ind w:firstLineChars="200" w:firstLine="480"/>
        <w:rPr>
          <w:bCs/>
          <w:sz w:val="24"/>
          <w:szCs w:val="24"/>
        </w:rPr>
      </w:pPr>
      <w:r>
        <w:rPr>
          <w:bCs/>
          <w:sz w:val="24"/>
          <w:szCs w:val="24"/>
        </w:rPr>
        <w:t>8</w:t>
      </w:r>
      <w:r>
        <w:rPr>
          <w:bCs/>
          <w:sz w:val="24"/>
          <w:szCs w:val="24"/>
        </w:rPr>
        <w:t>、相关法律法规以及监管部门有强制规定的，从其规定。如有新增事项，按国家最新规定估值。</w:t>
      </w:r>
    </w:p>
    <w:p w14:paraId="5374F59A" w14:textId="77777777" w:rsidR="0037652E" w:rsidRDefault="00BF49B0">
      <w:pPr>
        <w:tabs>
          <w:tab w:val="left" w:pos="961"/>
        </w:tabs>
        <w:snapToGrid w:val="0"/>
        <w:spacing w:line="360" w:lineRule="auto"/>
        <w:ind w:firstLineChars="200" w:firstLine="480"/>
        <w:rPr>
          <w:bCs/>
          <w:sz w:val="24"/>
          <w:szCs w:val="24"/>
        </w:rPr>
      </w:pPr>
      <w:r>
        <w:rPr>
          <w:bCs/>
          <w:sz w:val="24"/>
          <w:szCs w:val="24"/>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14:paraId="48FF0005" w14:textId="77777777" w:rsidR="0037652E" w:rsidRDefault="00BF49B0">
      <w:pPr>
        <w:tabs>
          <w:tab w:val="left" w:pos="961"/>
        </w:tabs>
        <w:snapToGrid w:val="0"/>
        <w:spacing w:line="360" w:lineRule="auto"/>
        <w:ind w:firstLineChars="200" w:firstLine="482"/>
        <w:rPr>
          <w:b/>
          <w:bCs/>
          <w:sz w:val="24"/>
          <w:szCs w:val="24"/>
        </w:rPr>
      </w:pPr>
      <w:r>
        <w:rPr>
          <w:b/>
          <w:bCs/>
          <w:sz w:val="24"/>
          <w:szCs w:val="24"/>
        </w:rPr>
        <w:t>四、估值对象</w:t>
      </w:r>
    </w:p>
    <w:p w14:paraId="79B088F1"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本基金所拥有的各类有价证券。</w:t>
      </w:r>
    </w:p>
    <w:p w14:paraId="0482908C" w14:textId="77777777" w:rsidR="0037652E" w:rsidRDefault="00BF49B0">
      <w:pPr>
        <w:tabs>
          <w:tab w:val="left" w:pos="961"/>
        </w:tabs>
        <w:snapToGrid w:val="0"/>
        <w:spacing w:line="360" w:lineRule="auto"/>
        <w:ind w:firstLineChars="200" w:firstLine="482"/>
        <w:rPr>
          <w:b/>
          <w:bCs/>
          <w:sz w:val="24"/>
          <w:szCs w:val="24"/>
        </w:rPr>
      </w:pPr>
      <w:r>
        <w:rPr>
          <w:b/>
          <w:bCs/>
          <w:sz w:val="24"/>
          <w:szCs w:val="24"/>
        </w:rPr>
        <w:t>五、估值程序</w:t>
      </w:r>
    </w:p>
    <w:p w14:paraId="1FEFFC3D" w14:textId="77777777" w:rsidR="0037652E" w:rsidRDefault="00BF49B0">
      <w:pPr>
        <w:tabs>
          <w:tab w:val="left" w:pos="961"/>
        </w:tabs>
        <w:snapToGrid w:val="0"/>
        <w:spacing w:line="360" w:lineRule="auto"/>
        <w:ind w:firstLineChars="200" w:firstLine="480"/>
        <w:rPr>
          <w:bCs/>
          <w:sz w:val="24"/>
          <w:szCs w:val="24"/>
        </w:rPr>
      </w:pPr>
      <w:r>
        <w:rPr>
          <w:bCs/>
          <w:sz w:val="24"/>
          <w:szCs w:val="24"/>
        </w:rPr>
        <w:t>基金日常估值由基金管理人进行。基金管理人完成估值后，将估值结果</w:t>
      </w:r>
      <w:r>
        <w:rPr>
          <w:rFonts w:hint="eastAsia"/>
          <w:bCs/>
          <w:sz w:val="24"/>
          <w:szCs w:val="24"/>
        </w:rPr>
        <w:t>以双方认可的方式发送给</w:t>
      </w:r>
      <w:r>
        <w:rPr>
          <w:bCs/>
          <w:sz w:val="24"/>
          <w:szCs w:val="24"/>
        </w:rPr>
        <w:t>基金托管人，基金托管人按法律法规、《基金合同》规定的估值方法、时间、程序进行复核，复核无误后</w:t>
      </w:r>
      <w:r>
        <w:rPr>
          <w:rFonts w:hint="eastAsia"/>
          <w:bCs/>
          <w:sz w:val="24"/>
          <w:szCs w:val="24"/>
        </w:rPr>
        <w:t>，以双方认可的方式发送给</w:t>
      </w:r>
      <w:r>
        <w:rPr>
          <w:bCs/>
          <w:sz w:val="24"/>
          <w:szCs w:val="24"/>
        </w:rPr>
        <w:t>基金管理人；月末、年中和年末估值复核与基金会计账目的核对同时进行。</w:t>
      </w:r>
    </w:p>
    <w:p w14:paraId="54AC7E89" w14:textId="77777777" w:rsidR="0037652E" w:rsidRDefault="00BF49B0">
      <w:pPr>
        <w:tabs>
          <w:tab w:val="left" w:pos="961"/>
        </w:tabs>
        <w:snapToGrid w:val="0"/>
        <w:spacing w:line="360" w:lineRule="auto"/>
        <w:ind w:firstLineChars="200" w:firstLine="480"/>
        <w:rPr>
          <w:bCs/>
          <w:sz w:val="24"/>
          <w:szCs w:val="24"/>
        </w:rPr>
      </w:pPr>
      <w:r>
        <w:rPr>
          <w:bCs/>
          <w:sz w:val="24"/>
          <w:szCs w:val="24"/>
        </w:rPr>
        <w:t>在法律法规和中国证监会允许的情况下，基金管理人与基金托管人可以各自委托第三方机构进行基金资产估值，但不改变基金管理人与基金托管人对基金资产估值各自承担的责任。</w:t>
      </w:r>
    </w:p>
    <w:p w14:paraId="787F2775" w14:textId="77777777" w:rsidR="0037652E" w:rsidRDefault="00BF49B0">
      <w:pPr>
        <w:tabs>
          <w:tab w:val="left" w:pos="961"/>
        </w:tabs>
        <w:snapToGrid w:val="0"/>
        <w:spacing w:line="360" w:lineRule="auto"/>
        <w:ind w:firstLineChars="200" w:firstLine="482"/>
        <w:rPr>
          <w:b/>
          <w:bCs/>
          <w:sz w:val="24"/>
          <w:szCs w:val="24"/>
        </w:rPr>
      </w:pPr>
      <w:r>
        <w:rPr>
          <w:b/>
          <w:bCs/>
          <w:sz w:val="24"/>
          <w:szCs w:val="24"/>
        </w:rPr>
        <w:lastRenderedPageBreak/>
        <w:t>六、基金份额净值的确认和估值错误的处理</w:t>
      </w:r>
    </w:p>
    <w:p w14:paraId="41199D9A" w14:textId="2D7D89F9" w:rsidR="0037652E" w:rsidRDefault="00E02C76">
      <w:pPr>
        <w:tabs>
          <w:tab w:val="left" w:pos="961"/>
        </w:tabs>
        <w:snapToGrid w:val="0"/>
        <w:spacing w:line="360" w:lineRule="auto"/>
        <w:ind w:firstLineChars="200" w:firstLine="480"/>
        <w:rPr>
          <w:bCs/>
          <w:sz w:val="24"/>
          <w:szCs w:val="24"/>
        </w:rPr>
      </w:pPr>
      <w:r w:rsidRPr="00E02C76">
        <w:rPr>
          <w:rFonts w:hint="eastAsia"/>
          <w:bCs/>
          <w:sz w:val="24"/>
          <w:szCs w:val="24"/>
        </w:rPr>
        <w:t>各类</w:t>
      </w:r>
      <w:r w:rsidR="00BF49B0">
        <w:rPr>
          <w:bCs/>
          <w:sz w:val="24"/>
          <w:szCs w:val="24"/>
        </w:rPr>
        <w:t>基金份额净值的计算</w:t>
      </w:r>
      <w:r>
        <w:rPr>
          <w:rFonts w:hint="eastAsia"/>
          <w:bCs/>
          <w:sz w:val="24"/>
          <w:szCs w:val="24"/>
        </w:rPr>
        <w:t>均</w:t>
      </w:r>
      <w:r w:rsidR="00BF49B0">
        <w:rPr>
          <w:bCs/>
          <w:sz w:val="24"/>
          <w:szCs w:val="24"/>
        </w:rPr>
        <w:t>保留到小数点后</w:t>
      </w:r>
      <w:r w:rsidR="00BF49B0">
        <w:rPr>
          <w:bCs/>
          <w:sz w:val="24"/>
          <w:szCs w:val="24"/>
        </w:rPr>
        <w:t>3</w:t>
      </w:r>
      <w:r w:rsidR="00BF49B0">
        <w:rPr>
          <w:bCs/>
          <w:sz w:val="24"/>
          <w:szCs w:val="24"/>
        </w:rPr>
        <w:t>位，小数点后第</w:t>
      </w:r>
      <w:r w:rsidR="00BF49B0">
        <w:rPr>
          <w:bCs/>
          <w:sz w:val="24"/>
          <w:szCs w:val="24"/>
        </w:rPr>
        <w:t>4</w:t>
      </w:r>
      <w:r w:rsidR="00BF49B0">
        <w:rPr>
          <w:bCs/>
          <w:sz w:val="24"/>
          <w:szCs w:val="24"/>
        </w:rPr>
        <w:t>位四舍五入。当基金估值出现影响</w:t>
      </w:r>
      <w:r w:rsidRPr="00E02C76">
        <w:rPr>
          <w:rFonts w:hint="eastAsia"/>
          <w:bCs/>
          <w:sz w:val="24"/>
          <w:szCs w:val="24"/>
        </w:rPr>
        <w:t>任一类</w:t>
      </w:r>
      <w:r w:rsidR="00BF49B0">
        <w:rPr>
          <w:bCs/>
          <w:sz w:val="24"/>
          <w:szCs w:val="24"/>
        </w:rPr>
        <w:t>基金份额净值的错误时，基金管理人应当立即纠正，并采取合理的措施防止损失进一步扩大；估值错误偏差达到</w:t>
      </w:r>
      <w:r w:rsidR="00B1799D">
        <w:rPr>
          <w:rFonts w:hint="eastAsia"/>
          <w:bCs/>
          <w:sz w:val="24"/>
          <w:szCs w:val="24"/>
        </w:rPr>
        <w:t>该类</w:t>
      </w:r>
      <w:r w:rsidR="00BF49B0">
        <w:rPr>
          <w:bCs/>
          <w:sz w:val="24"/>
          <w:szCs w:val="24"/>
        </w:rPr>
        <w:t>基金份额净值的</w:t>
      </w:r>
      <w:r w:rsidR="00BF49B0">
        <w:rPr>
          <w:bCs/>
          <w:sz w:val="24"/>
          <w:szCs w:val="24"/>
        </w:rPr>
        <w:t>0.5%</w:t>
      </w:r>
      <w:r w:rsidR="00BF49B0">
        <w:rPr>
          <w:bCs/>
          <w:sz w:val="24"/>
          <w:szCs w:val="24"/>
        </w:rPr>
        <w:t>时，基金管理人应当公告，并报中国证监会备案。因基金估值错误给投资者造成损失的，应先由基金管理人承担，基金管理人对不应由其承担的责任，有权向过错人追偿。</w:t>
      </w:r>
    </w:p>
    <w:p w14:paraId="0EBFFE95" w14:textId="77777777" w:rsidR="0037652E" w:rsidRDefault="00BF49B0">
      <w:pPr>
        <w:tabs>
          <w:tab w:val="left" w:pos="961"/>
        </w:tabs>
        <w:snapToGrid w:val="0"/>
        <w:spacing w:line="360" w:lineRule="auto"/>
        <w:ind w:firstLineChars="200" w:firstLine="480"/>
        <w:rPr>
          <w:bCs/>
          <w:sz w:val="24"/>
          <w:szCs w:val="24"/>
        </w:rPr>
      </w:pPr>
      <w:r>
        <w:rPr>
          <w:bCs/>
          <w:sz w:val="24"/>
          <w:szCs w:val="24"/>
        </w:rPr>
        <w:t>关于差错处理，本合同的当事人按照以下约定处理：</w:t>
      </w:r>
    </w:p>
    <w:p w14:paraId="7696413D"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、差错类型</w:t>
      </w:r>
    </w:p>
    <w:p w14:paraId="7D51BA51" w14:textId="77777777" w:rsidR="0037652E" w:rsidRDefault="00BF49B0">
      <w:pPr>
        <w:tabs>
          <w:tab w:val="left" w:pos="961"/>
        </w:tabs>
        <w:snapToGrid w:val="0"/>
        <w:spacing w:line="360" w:lineRule="auto"/>
        <w:ind w:firstLineChars="200" w:firstLine="480"/>
        <w:rPr>
          <w:rFonts w:ascii="宋体" w:hAnsi="宋体"/>
          <w:bCs/>
          <w:sz w:val="24"/>
          <w:szCs w:val="24"/>
        </w:rPr>
      </w:pPr>
      <w:r>
        <w:rPr>
          <w:bCs/>
          <w:sz w:val="24"/>
          <w:szCs w:val="24"/>
        </w:rPr>
        <w:t>本基金运作过程中，如果由于基金管理人或基金托管人、或注册登记机构、或代理销售机构、或投资者自身的过错造成差错，导致其他当事人遭受损失的，过错的责任人应当对由于该差错遭受损失的当事人</w:t>
      </w:r>
      <w:r>
        <w:rPr>
          <w:rFonts w:ascii="宋体" w:hAnsi="宋体"/>
          <w:bCs/>
          <w:sz w:val="24"/>
          <w:szCs w:val="24"/>
        </w:rPr>
        <w:t>（“受损方”）按下述“差错处理原则”给予赔偿承担赔偿责任。</w:t>
      </w:r>
    </w:p>
    <w:p w14:paraId="4365AAB0" w14:textId="77777777" w:rsidR="0037652E" w:rsidRDefault="00BF49B0">
      <w:pPr>
        <w:tabs>
          <w:tab w:val="left" w:pos="961"/>
        </w:tabs>
        <w:snapToGrid w:val="0"/>
        <w:spacing w:line="360" w:lineRule="auto"/>
        <w:ind w:firstLineChars="200" w:firstLine="480"/>
        <w:rPr>
          <w:bCs/>
          <w:sz w:val="24"/>
          <w:szCs w:val="24"/>
        </w:rPr>
      </w:pPr>
      <w:r>
        <w:rPr>
          <w:bCs/>
          <w:sz w:val="24"/>
          <w:szCs w:val="24"/>
        </w:rPr>
        <w:t>上述差错的主要类型包括但不限于：资料申报差错、数据传输差错、数据计算差错、系统故障差错、下达指令差错等；对于因技术原因引起的差错，若系同行业现有技术水平不能预见、不能避免、并不能克服的客观情况，按下列有关不可抗力的约定处理。</w:t>
      </w:r>
    </w:p>
    <w:p w14:paraId="2E52061E" w14:textId="77777777" w:rsidR="0037652E" w:rsidRDefault="00BF49B0">
      <w:pPr>
        <w:tabs>
          <w:tab w:val="left" w:pos="961"/>
        </w:tabs>
        <w:snapToGrid w:val="0"/>
        <w:spacing w:line="360" w:lineRule="auto"/>
        <w:ind w:firstLineChars="200" w:firstLine="480"/>
        <w:rPr>
          <w:bCs/>
          <w:sz w:val="24"/>
          <w:szCs w:val="24"/>
        </w:rPr>
      </w:pPr>
      <w:r>
        <w:rPr>
          <w:bCs/>
          <w:sz w:val="24"/>
          <w:szCs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1BC1811F"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、差错处理原则</w:t>
      </w:r>
    </w:p>
    <w:p w14:paraId="69833C07" w14:textId="77777777" w:rsidR="0037652E" w:rsidRDefault="00BF49B0">
      <w:pPr>
        <w:tabs>
          <w:tab w:val="left" w:pos="961"/>
        </w:tabs>
        <w:snapToGrid w:val="0"/>
        <w:spacing w:line="360" w:lineRule="auto"/>
        <w:ind w:firstLineChars="200" w:firstLine="480"/>
        <w:rPr>
          <w:bCs/>
          <w:sz w:val="24"/>
          <w:szCs w:val="24"/>
        </w:rPr>
      </w:pPr>
      <w:r>
        <w:rPr>
          <w:bCs/>
          <w:sz w:val="24"/>
          <w:szCs w:val="24"/>
        </w:rPr>
        <w:t>因基金估值错误给投资者造成损失，在基金管理人可承担的范围内应先由基金管理人承担，基金管理人对不应由其承担的责任，有权根据过错原则，向过错人追偿，本协议的当事人应将按照以下约定处理。</w:t>
      </w:r>
    </w:p>
    <w:p w14:paraId="6AA2DA7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1</w:t>
      </w:r>
      <w:r>
        <w:rPr>
          <w:rFonts w:hAnsi="宋体" w:hint="eastAsia"/>
          <w:bCs/>
          <w:sz w:val="24"/>
          <w:szCs w:val="24"/>
        </w:rPr>
        <w:t>）如采用规定的估值方法进行处理，若基金管理人净值计算出错，基金托管人在复核过程中没有发现，且造成投资人损失的，由双方根据过错程度按比例承担相应的责任；如基金管理人采用规定估值方法外的方法确定一个价格进行估值的情形并已告知基金托管人的情形下，若基金管理人净值计算出错，基金托管人在复核过程中没有发现或未提出异议，且造成投资人损失的，双方按照管理费率和托管费率的比例各自承担相应的责任。</w:t>
      </w:r>
    </w:p>
    <w:p w14:paraId="04A4061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lastRenderedPageBreak/>
        <w:t>（</w:t>
      </w:r>
      <w:r>
        <w:rPr>
          <w:rFonts w:hAnsi="宋体"/>
          <w:bCs/>
          <w:sz w:val="24"/>
          <w:szCs w:val="24"/>
        </w:rPr>
        <w:t>2</w:t>
      </w:r>
      <w:r>
        <w:rPr>
          <w:rFonts w:hAnsi="宋体" w:hint="eastAsia"/>
          <w:bCs/>
          <w:sz w:val="24"/>
          <w:szCs w:val="24"/>
        </w:rPr>
        <w:t>）如基金管理人和基金托管人对基金份额净值的计算结果不能达成一致时，基金托管人应有义务协助基金管理人寻找基金份额净值计算结果不一致的原因。为避免不能按时公布基金份额净值的情形，以基金管理人的计算结果对外公布，基金管理人应在单方面对外公告基金资产净值计算结果时注明未经基金托管人复核，基金托管人有权将有关情况向监管机构报告，由此给投资者和基金造成的损失，由基金管理人承担赔偿责任；</w:t>
      </w:r>
    </w:p>
    <w:p w14:paraId="238A415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3</w:t>
      </w:r>
      <w:r>
        <w:rPr>
          <w:rFonts w:hAnsi="宋体" w:hint="eastAsia"/>
          <w:bCs/>
          <w:sz w:val="24"/>
          <w:szCs w:val="24"/>
        </w:rPr>
        <w:t>）如基金管理人未经基金托管人复核，单方面对外公告基金净值计算结果应该在公告上标明未经基金托管人复核。因基金管理人未经基金托管人复核而单方面对外公布的基金资产净值计算结果或公告的计算结果与基金托管人（最终）复核结果不一致而造成的损失，由基金管理人承担，基金托管人不承担任何责任。</w:t>
      </w:r>
    </w:p>
    <w:p w14:paraId="09F8E3F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4</w:t>
      </w:r>
      <w:r>
        <w:rPr>
          <w:rFonts w:hAnsi="宋体" w:hint="eastAsia"/>
          <w:bCs/>
          <w:sz w:val="24"/>
          <w:szCs w:val="24"/>
        </w:rPr>
        <w:t>）由于证券交易所，交易市场及登记结算公司及数据供应商或其他第三方发送的数据错误，券商或交易对家的成交回报错误或延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14:paraId="2C4F751F"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5</w:t>
      </w:r>
      <w:r>
        <w:rPr>
          <w:rFonts w:hAnsi="宋体" w:hint="eastAsia"/>
          <w:bCs/>
          <w:sz w:val="24"/>
          <w:szCs w:val="24"/>
        </w:rPr>
        <w:t>）法律法规或者监管部门另有规定的，从其规定。如果行业有通行做法，基金管理人和基金托管人双方应本着平等和保护基金持有人利益的原则进行协商。</w:t>
      </w:r>
    </w:p>
    <w:p w14:paraId="7F4CE4A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43EDA67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）差错的责任方对可能导致有关当事人的直接损失负责，不对间接损失负责，并且仅对差错的有关直接当事人负责，不对第三方负责。</w:t>
      </w:r>
    </w:p>
    <w:p w14:paraId="0F176F4F"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）因差错而获得不当得利的当事人负有及时返还不当得利的义务。但差错责任方仍应对差错负责，如果由于获得不当得利的当事人不返还或不全部返还不当得利造成其他当事人的利益损失（</w:t>
      </w:r>
      <w:r>
        <w:rPr>
          <w:bCs/>
          <w:sz w:val="24"/>
          <w:szCs w:val="24"/>
        </w:rPr>
        <w:t>“</w:t>
      </w:r>
      <w:r>
        <w:rPr>
          <w:bCs/>
          <w:sz w:val="24"/>
          <w:szCs w:val="24"/>
        </w:rPr>
        <w:t>受损方</w:t>
      </w:r>
      <w:r>
        <w:rPr>
          <w:bCs/>
          <w:sz w:val="24"/>
          <w:szCs w:val="24"/>
        </w:rPr>
        <w:t>”</w:t>
      </w:r>
      <w:r>
        <w:rPr>
          <w:bCs/>
          <w:sz w:val="24"/>
          <w:szCs w:val="24"/>
        </w:rPr>
        <w:t>），则差错责任方应赔偿受损方</w:t>
      </w:r>
      <w:r>
        <w:rPr>
          <w:bCs/>
          <w:sz w:val="24"/>
          <w:szCs w:val="24"/>
        </w:rPr>
        <w:lastRenderedPageBreak/>
        <w:t>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1115E1E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rFonts w:hint="eastAsia"/>
          <w:bCs/>
          <w:sz w:val="24"/>
          <w:szCs w:val="24"/>
        </w:rPr>
        <w:t>9</w:t>
      </w:r>
      <w:r>
        <w:rPr>
          <w:bCs/>
          <w:sz w:val="24"/>
          <w:szCs w:val="24"/>
        </w:rPr>
        <w:t>）差错调整采用尽量恢复至假设未发生差错的正确情形的方式。</w:t>
      </w:r>
    </w:p>
    <w:p w14:paraId="0F87F0E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rFonts w:hint="eastAsia"/>
          <w:bCs/>
          <w:sz w:val="24"/>
          <w:szCs w:val="24"/>
        </w:rPr>
        <w:t>10</w:t>
      </w:r>
      <w:r>
        <w:rPr>
          <w:bCs/>
          <w:sz w:val="24"/>
          <w:szCs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6D307D5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rFonts w:hint="eastAsia"/>
          <w:bCs/>
          <w:sz w:val="24"/>
          <w:szCs w:val="24"/>
        </w:rPr>
        <w:t>11</w:t>
      </w:r>
      <w:r>
        <w:rPr>
          <w:bCs/>
          <w:sz w:val="24"/>
          <w:szCs w:val="24"/>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7844724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rFonts w:hint="eastAsia"/>
          <w:bCs/>
          <w:sz w:val="24"/>
          <w:szCs w:val="24"/>
        </w:rPr>
        <w:t>12</w:t>
      </w:r>
      <w:r>
        <w:rPr>
          <w:bCs/>
          <w:sz w:val="24"/>
          <w:szCs w:val="24"/>
        </w:rPr>
        <w:t>）由于证券交易所、交易市场及登记结算公司及数据供应商发送的数据错误，券商或交易对家的成交回报错误或延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14:paraId="74DFFBC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rFonts w:hint="eastAsia"/>
          <w:bCs/>
          <w:sz w:val="24"/>
          <w:szCs w:val="24"/>
        </w:rPr>
        <w:t>13</w:t>
      </w:r>
      <w:r>
        <w:rPr>
          <w:bCs/>
          <w:sz w:val="24"/>
          <w:szCs w:val="24"/>
        </w:rPr>
        <w:t>）按法律法规规定的其他原则处理差错。</w:t>
      </w:r>
    </w:p>
    <w:p w14:paraId="4FCA1AB7"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、差错处理程序</w:t>
      </w:r>
    </w:p>
    <w:p w14:paraId="176FC536" w14:textId="77777777" w:rsidR="0037652E" w:rsidRDefault="00BF49B0">
      <w:pPr>
        <w:tabs>
          <w:tab w:val="left" w:pos="961"/>
        </w:tabs>
        <w:snapToGrid w:val="0"/>
        <w:spacing w:line="360" w:lineRule="auto"/>
        <w:ind w:firstLineChars="200" w:firstLine="480"/>
        <w:rPr>
          <w:bCs/>
          <w:sz w:val="24"/>
          <w:szCs w:val="24"/>
        </w:rPr>
      </w:pPr>
      <w:r>
        <w:rPr>
          <w:bCs/>
          <w:sz w:val="24"/>
          <w:szCs w:val="24"/>
        </w:rPr>
        <w:t>差错被发现后，有关的当事人应当及时进行处理，处理的程序如下：</w:t>
      </w:r>
    </w:p>
    <w:p w14:paraId="35ED5D3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）查明差错发生的原因，列明所有的当事人，并根据差错发生的原因确定差错的责任方；</w:t>
      </w:r>
    </w:p>
    <w:p w14:paraId="6E1DF47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）根据差错处理原则或当事人协商的方法对因差错造成的损失进行评估；</w:t>
      </w:r>
    </w:p>
    <w:p w14:paraId="0E37C815"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）根据差错处理原则或当事人协商的方法由差错的责任方进行更正和赔偿损失；</w:t>
      </w:r>
    </w:p>
    <w:p w14:paraId="0D037B1D"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）根据差错处理的方法，需要修改基金注册登记机构的交易数据的，由基金注册登记机构进行更正，并就差错的更正向有关当事人进行确认；</w:t>
      </w:r>
    </w:p>
    <w:p w14:paraId="5996C4D3" w14:textId="1C0B9B98" w:rsidR="0037652E" w:rsidRDefault="00BF49B0">
      <w:pPr>
        <w:tabs>
          <w:tab w:val="left" w:pos="961"/>
        </w:tabs>
        <w:snapToGrid w:val="0"/>
        <w:spacing w:line="360" w:lineRule="auto"/>
        <w:ind w:firstLineChars="200" w:firstLine="480"/>
        <w:rPr>
          <w:bCs/>
          <w:sz w:val="24"/>
          <w:szCs w:val="24"/>
        </w:rPr>
      </w:pPr>
      <w:r>
        <w:rPr>
          <w:bCs/>
          <w:sz w:val="24"/>
          <w:szCs w:val="24"/>
        </w:rPr>
        <w:lastRenderedPageBreak/>
        <w:t>（</w:t>
      </w:r>
      <w:r>
        <w:rPr>
          <w:bCs/>
          <w:sz w:val="24"/>
          <w:szCs w:val="24"/>
        </w:rPr>
        <w:t>5</w:t>
      </w:r>
      <w:r>
        <w:rPr>
          <w:bCs/>
          <w:sz w:val="24"/>
          <w:szCs w:val="24"/>
        </w:rPr>
        <w:t>）基金管理人及基金托管人</w:t>
      </w:r>
      <w:r w:rsidR="005416D2" w:rsidRPr="005416D2">
        <w:rPr>
          <w:rFonts w:hint="eastAsia"/>
          <w:bCs/>
          <w:sz w:val="24"/>
          <w:szCs w:val="24"/>
        </w:rPr>
        <w:t>任一类</w:t>
      </w:r>
      <w:r>
        <w:rPr>
          <w:bCs/>
          <w:sz w:val="24"/>
          <w:szCs w:val="24"/>
        </w:rPr>
        <w:t>基金份额净值计算错误偏差达到</w:t>
      </w:r>
      <w:r w:rsidR="00B1799D">
        <w:rPr>
          <w:rFonts w:hint="eastAsia"/>
          <w:bCs/>
          <w:sz w:val="24"/>
          <w:szCs w:val="24"/>
        </w:rPr>
        <w:t>该类</w:t>
      </w:r>
      <w:r>
        <w:rPr>
          <w:bCs/>
          <w:sz w:val="24"/>
          <w:szCs w:val="24"/>
        </w:rPr>
        <w:t>基金份额净值的</w:t>
      </w:r>
      <w:r>
        <w:rPr>
          <w:bCs/>
          <w:sz w:val="24"/>
          <w:szCs w:val="24"/>
        </w:rPr>
        <w:t>0.5%</w:t>
      </w:r>
      <w:r>
        <w:rPr>
          <w:bCs/>
          <w:sz w:val="24"/>
          <w:szCs w:val="24"/>
        </w:rPr>
        <w:t>时，基金管理人应当公告并报中国证监会备案。</w:t>
      </w:r>
    </w:p>
    <w:p w14:paraId="0809C2D3" w14:textId="77777777" w:rsidR="0037652E" w:rsidRDefault="00BF49B0">
      <w:pPr>
        <w:tabs>
          <w:tab w:val="left" w:pos="961"/>
        </w:tabs>
        <w:snapToGrid w:val="0"/>
        <w:spacing w:line="360" w:lineRule="auto"/>
        <w:ind w:firstLineChars="200" w:firstLine="482"/>
        <w:rPr>
          <w:b/>
          <w:bCs/>
          <w:sz w:val="24"/>
          <w:szCs w:val="24"/>
        </w:rPr>
      </w:pPr>
      <w:r>
        <w:rPr>
          <w:b/>
          <w:bCs/>
          <w:sz w:val="24"/>
          <w:szCs w:val="24"/>
        </w:rPr>
        <w:t>七、暂停估值的情形</w:t>
      </w:r>
    </w:p>
    <w:p w14:paraId="7983C8E7"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、基金投资所涉及的主要证券交易所、市场或外汇市场遇法定节假日或因其他原因暂停交易时；</w:t>
      </w:r>
      <w:r>
        <w:rPr>
          <w:bCs/>
          <w:sz w:val="24"/>
          <w:szCs w:val="24"/>
        </w:rPr>
        <w:t xml:space="preserve"> </w:t>
      </w:r>
    </w:p>
    <w:p w14:paraId="4FBF4538"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、因不可抗力或其他情形致使基金管理人、基金托管人无法准确评估基金资产价值时；</w:t>
      </w:r>
    </w:p>
    <w:p w14:paraId="77CF668F"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、占基金相当比例的投资品种的估值出现重大转变，而基金管理人为保障投资者的利益，已决定延迟估值；</w:t>
      </w:r>
    </w:p>
    <w:p w14:paraId="6A9E6765"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、出现基金管理人认为属于紧急事故的任何情况，会导致基金管理人不能出售或无法评估基金资产的情形；</w:t>
      </w:r>
    </w:p>
    <w:p w14:paraId="59F179D0"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bCs/>
          <w:sz w:val="24"/>
          <w:szCs w:val="24"/>
        </w:rPr>
        <w:t>、</w:t>
      </w:r>
      <w:r>
        <w:rPr>
          <w:rFonts w:ascii="宋体" w:hAnsi="宋体" w:cs="微软雅黑" w:hint="eastAsia"/>
          <w:snapToGrid w:val="0"/>
          <w:kern w:val="0"/>
          <w:sz w:val="24"/>
          <w:szCs w:val="24"/>
        </w:rPr>
        <w:t>当特定资产占前一估值日基金资产净值</w:t>
      </w:r>
      <w:r>
        <w:rPr>
          <w:rFonts w:ascii="宋体" w:hAnsi="宋体" w:cs="Arial" w:hint="eastAsia"/>
          <w:snapToGrid w:val="0"/>
          <w:kern w:val="0"/>
          <w:sz w:val="24"/>
          <w:szCs w:val="24"/>
        </w:rPr>
        <w:t>50%</w:t>
      </w:r>
      <w:r>
        <w:rPr>
          <w:rFonts w:ascii="宋体" w:hAnsi="宋体" w:cs="微软雅黑" w:hint="eastAsia"/>
          <w:snapToGrid w:val="0"/>
          <w:kern w:val="0"/>
          <w:sz w:val="24"/>
          <w:szCs w:val="24"/>
        </w:rPr>
        <w:t>以上的</w:t>
      </w:r>
      <w:r>
        <w:rPr>
          <w:rFonts w:ascii="宋体" w:hAnsi="宋体" w:cs="Malgun Gothic Semilight" w:hint="eastAsia"/>
          <w:snapToGrid w:val="0"/>
          <w:kern w:val="0"/>
          <w:sz w:val="24"/>
          <w:szCs w:val="24"/>
        </w:rPr>
        <w:t>，</w:t>
      </w:r>
      <w:r>
        <w:rPr>
          <w:rFonts w:ascii="宋体" w:hAnsi="宋体" w:cs="微软雅黑" w:hint="eastAsia"/>
          <w:snapToGrid w:val="0"/>
          <w:kern w:val="0"/>
          <w:sz w:val="24"/>
          <w:szCs w:val="24"/>
        </w:rPr>
        <w:t>经与基金托管人协商确认后</w:t>
      </w:r>
      <w:r>
        <w:rPr>
          <w:rFonts w:ascii="宋体" w:hAnsi="宋体" w:cs="Malgun Gothic Semilight" w:hint="eastAsia"/>
          <w:snapToGrid w:val="0"/>
          <w:kern w:val="0"/>
          <w:sz w:val="24"/>
          <w:szCs w:val="24"/>
        </w:rPr>
        <w:t>，</w:t>
      </w:r>
      <w:r>
        <w:rPr>
          <w:rFonts w:ascii="宋体" w:hAnsi="宋体" w:cs="微软雅黑" w:hint="eastAsia"/>
          <w:snapToGrid w:val="0"/>
          <w:kern w:val="0"/>
          <w:sz w:val="24"/>
          <w:szCs w:val="24"/>
        </w:rPr>
        <w:t>基金管理人应当暂停估值</w:t>
      </w:r>
      <w:r>
        <w:rPr>
          <w:rFonts w:hint="eastAsia"/>
          <w:bCs/>
          <w:sz w:val="24"/>
          <w:szCs w:val="24"/>
        </w:rPr>
        <w:t>；</w:t>
      </w:r>
    </w:p>
    <w:p w14:paraId="1FDAFE86"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6</w:t>
      </w:r>
      <w:r>
        <w:rPr>
          <w:rFonts w:hint="eastAsia"/>
          <w:bCs/>
          <w:sz w:val="24"/>
          <w:szCs w:val="24"/>
        </w:rPr>
        <w:t>、</w:t>
      </w:r>
      <w:r>
        <w:rPr>
          <w:bCs/>
          <w:sz w:val="24"/>
          <w:szCs w:val="24"/>
        </w:rPr>
        <w:t>中国证监会认定的其他情形。</w:t>
      </w:r>
    </w:p>
    <w:p w14:paraId="2F632BFA" w14:textId="77777777" w:rsidR="0037652E" w:rsidRDefault="00BF49B0">
      <w:pPr>
        <w:tabs>
          <w:tab w:val="left" w:pos="961"/>
        </w:tabs>
        <w:snapToGrid w:val="0"/>
        <w:spacing w:line="360" w:lineRule="auto"/>
        <w:ind w:firstLineChars="200" w:firstLine="482"/>
        <w:rPr>
          <w:b/>
          <w:bCs/>
          <w:sz w:val="24"/>
          <w:szCs w:val="24"/>
        </w:rPr>
      </w:pPr>
      <w:r>
        <w:rPr>
          <w:b/>
          <w:bCs/>
          <w:sz w:val="24"/>
          <w:szCs w:val="24"/>
        </w:rPr>
        <w:t>八、特殊情形的处理</w:t>
      </w:r>
    </w:p>
    <w:p w14:paraId="0A9AF2BC"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、基金管理人按估值方法的第</w:t>
      </w:r>
      <w:r>
        <w:rPr>
          <w:bCs/>
          <w:sz w:val="24"/>
          <w:szCs w:val="24"/>
        </w:rPr>
        <w:t>7</w:t>
      </w:r>
      <w:r>
        <w:rPr>
          <w:bCs/>
          <w:sz w:val="24"/>
          <w:szCs w:val="24"/>
        </w:rPr>
        <w:t>项进行估值时，所造成的误差不作为基金资产估值错误处理；</w:t>
      </w:r>
    </w:p>
    <w:p w14:paraId="755ED2C3" w14:textId="77777777" w:rsidR="0037652E" w:rsidRDefault="00BF49B0">
      <w:pPr>
        <w:spacing w:line="360" w:lineRule="auto"/>
        <w:ind w:firstLineChars="200" w:firstLine="480"/>
        <w:rPr>
          <w:bCs/>
          <w:sz w:val="24"/>
        </w:rPr>
      </w:pPr>
      <w:r>
        <w:rPr>
          <w:bCs/>
          <w:sz w:val="24"/>
          <w:szCs w:val="24"/>
        </w:rPr>
        <w:t>2</w:t>
      </w:r>
      <w:r>
        <w:rPr>
          <w:bCs/>
          <w:sz w:val="24"/>
          <w:szCs w:val="24"/>
        </w:rPr>
        <w:t>、由于证券交易所或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51C87315"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九、实施侧袋机制期间的基金资产估值</w:t>
      </w:r>
    </w:p>
    <w:p w14:paraId="11F3CA5E" w14:textId="77777777" w:rsidR="0037652E" w:rsidRDefault="00BF49B0">
      <w:pPr>
        <w:tabs>
          <w:tab w:val="left" w:pos="961"/>
        </w:tabs>
        <w:snapToGrid w:val="0"/>
        <w:spacing w:line="360" w:lineRule="auto"/>
        <w:ind w:firstLineChars="200" w:firstLine="480"/>
        <w:rPr>
          <w:bCs/>
          <w:sz w:val="24"/>
          <w:szCs w:val="24"/>
        </w:rPr>
      </w:pPr>
      <w:r>
        <w:rPr>
          <w:rFonts w:hint="eastAsia"/>
          <w:sz w:val="24"/>
        </w:rPr>
        <w:t>本基金实施侧袋机制的，应根据本部分的约定对主袋账户资产进行估值并披露主袋账户的基金净值</w:t>
      </w:r>
      <w:r>
        <w:rPr>
          <w:rFonts w:hint="eastAsia"/>
          <w:bCs/>
          <w:sz w:val="24"/>
        </w:rPr>
        <w:t>信息</w:t>
      </w:r>
      <w:r>
        <w:rPr>
          <w:rFonts w:hint="eastAsia"/>
          <w:sz w:val="24"/>
        </w:rPr>
        <w:t>，暂停披露侧袋账户份额净值。</w:t>
      </w:r>
    </w:p>
    <w:p w14:paraId="50A7348A" w14:textId="77777777" w:rsidR="0037652E" w:rsidRDefault="0037652E">
      <w:pPr>
        <w:tabs>
          <w:tab w:val="left" w:pos="961"/>
        </w:tabs>
        <w:snapToGrid w:val="0"/>
        <w:spacing w:line="360" w:lineRule="auto"/>
        <w:ind w:firstLineChars="200" w:firstLine="420"/>
        <w:rPr>
          <w:bCs/>
          <w:szCs w:val="21"/>
        </w:rPr>
      </w:pPr>
    </w:p>
    <w:p w14:paraId="39977B68" w14:textId="77777777" w:rsidR="0037652E" w:rsidRDefault="0037652E">
      <w:pPr>
        <w:tabs>
          <w:tab w:val="left" w:pos="961"/>
        </w:tabs>
        <w:snapToGrid w:val="0"/>
        <w:spacing w:line="360" w:lineRule="auto"/>
        <w:ind w:firstLineChars="200" w:firstLine="420"/>
        <w:rPr>
          <w:bCs/>
          <w:szCs w:val="21"/>
        </w:rPr>
      </w:pPr>
    </w:p>
    <w:p w14:paraId="0366267E" w14:textId="77777777" w:rsidR="0037652E" w:rsidRDefault="00BF49B0">
      <w:pPr>
        <w:spacing w:line="360" w:lineRule="auto"/>
        <w:ind w:firstLineChars="50" w:firstLine="105"/>
        <w:jc w:val="center"/>
        <w:outlineLvl w:val="0"/>
        <w:rPr>
          <w:rFonts w:ascii="宋体" w:hAnsi="宋体"/>
          <w:b/>
          <w:sz w:val="24"/>
          <w:szCs w:val="24"/>
        </w:rPr>
      </w:pPr>
      <w:r>
        <w:rPr>
          <w:bCs/>
          <w:szCs w:val="21"/>
        </w:rPr>
        <w:br w:type="page"/>
      </w:r>
      <w:bookmarkStart w:id="82" w:name="_Toc10014"/>
      <w:bookmarkStart w:id="83" w:name="_Toc280368797"/>
      <w:bookmarkStart w:id="84" w:name="_Toc65325121"/>
      <w:bookmarkStart w:id="85" w:name="_Toc9333"/>
      <w:bookmarkStart w:id="86" w:name="_Toc110606855"/>
      <w:r>
        <w:rPr>
          <w:rFonts w:ascii="宋体" w:hAnsi="宋体" w:hint="eastAsia"/>
          <w:b/>
          <w:sz w:val="24"/>
          <w:szCs w:val="24"/>
        </w:rPr>
        <w:lastRenderedPageBreak/>
        <w:t xml:space="preserve">第十四部分 </w:t>
      </w:r>
      <w:r>
        <w:rPr>
          <w:rFonts w:ascii="宋体" w:hAnsi="宋体"/>
          <w:b/>
          <w:sz w:val="24"/>
          <w:szCs w:val="24"/>
        </w:rPr>
        <w:t>基金</w:t>
      </w:r>
      <w:r>
        <w:rPr>
          <w:rFonts w:ascii="宋体" w:hAnsi="宋体" w:hint="eastAsia"/>
          <w:b/>
          <w:sz w:val="24"/>
          <w:szCs w:val="24"/>
        </w:rPr>
        <w:t>的收益与分配</w:t>
      </w:r>
      <w:bookmarkEnd w:id="82"/>
      <w:bookmarkEnd w:id="83"/>
      <w:bookmarkEnd w:id="84"/>
      <w:bookmarkEnd w:id="85"/>
      <w:bookmarkEnd w:id="86"/>
    </w:p>
    <w:p w14:paraId="00DF5DDC" w14:textId="77777777" w:rsidR="0037652E" w:rsidRDefault="0037652E">
      <w:pPr>
        <w:tabs>
          <w:tab w:val="left" w:pos="961"/>
        </w:tabs>
        <w:snapToGrid w:val="0"/>
        <w:spacing w:line="360" w:lineRule="auto"/>
        <w:ind w:firstLineChars="200" w:firstLine="420"/>
        <w:rPr>
          <w:bCs/>
          <w:szCs w:val="21"/>
        </w:rPr>
      </w:pPr>
    </w:p>
    <w:p w14:paraId="1420693C" w14:textId="77777777" w:rsidR="0037652E" w:rsidRDefault="00BF49B0">
      <w:pPr>
        <w:tabs>
          <w:tab w:val="left" w:pos="961"/>
        </w:tabs>
        <w:snapToGrid w:val="0"/>
        <w:spacing w:line="360" w:lineRule="auto"/>
        <w:ind w:firstLineChars="200" w:firstLine="482"/>
        <w:rPr>
          <w:b/>
          <w:bCs/>
          <w:sz w:val="24"/>
          <w:szCs w:val="24"/>
        </w:rPr>
      </w:pPr>
      <w:r>
        <w:rPr>
          <w:b/>
          <w:bCs/>
          <w:sz w:val="24"/>
          <w:szCs w:val="24"/>
        </w:rPr>
        <w:t>一、基金利润的构成</w:t>
      </w:r>
    </w:p>
    <w:p w14:paraId="3A71F1FF" w14:textId="77777777" w:rsidR="0037652E" w:rsidRDefault="00BF49B0">
      <w:pPr>
        <w:tabs>
          <w:tab w:val="left" w:pos="961"/>
        </w:tabs>
        <w:snapToGrid w:val="0"/>
        <w:spacing w:line="360" w:lineRule="auto"/>
        <w:ind w:firstLineChars="200" w:firstLine="480"/>
        <w:rPr>
          <w:bCs/>
          <w:sz w:val="24"/>
          <w:szCs w:val="24"/>
        </w:rPr>
      </w:pPr>
      <w:r>
        <w:rPr>
          <w:bCs/>
          <w:sz w:val="24"/>
          <w:szCs w:val="24"/>
        </w:rPr>
        <w:t>基金利润指基金利息收入、投资收益、公允价值变动收益和其他收入扣除相关费用后的余额，基金已实现收益指基金利润减去公允价值变动收益后的余额。</w:t>
      </w:r>
    </w:p>
    <w:p w14:paraId="405DA8C1" w14:textId="77777777" w:rsidR="0037652E" w:rsidRDefault="00BF49B0">
      <w:pPr>
        <w:tabs>
          <w:tab w:val="left" w:pos="961"/>
        </w:tabs>
        <w:snapToGrid w:val="0"/>
        <w:spacing w:line="360" w:lineRule="auto"/>
        <w:ind w:firstLineChars="200" w:firstLine="482"/>
        <w:rPr>
          <w:b/>
          <w:bCs/>
          <w:sz w:val="24"/>
          <w:szCs w:val="24"/>
        </w:rPr>
      </w:pPr>
      <w:r>
        <w:rPr>
          <w:b/>
          <w:bCs/>
          <w:sz w:val="24"/>
          <w:szCs w:val="24"/>
        </w:rPr>
        <w:t>二、基金可供分配利润</w:t>
      </w:r>
    </w:p>
    <w:p w14:paraId="641FBF7D" w14:textId="77777777" w:rsidR="0037652E" w:rsidRDefault="00BF49B0">
      <w:pPr>
        <w:tabs>
          <w:tab w:val="left" w:pos="961"/>
        </w:tabs>
        <w:snapToGrid w:val="0"/>
        <w:spacing w:line="360" w:lineRule="auto"/>
        <w:ind w:firstLineChars="200" w:firstLine="480"/>
        <w:rPr>
          <w:bCs/>
          <w:sz w:val="24"/>
          <w:szCs w:val="24"/>
        </w:rPr>
      </w:pPr>
      <w:r>
        <w:rPr>
          <w:bCs/>
          <w:sz w:val="24"/>
          <w:szCs w:val="24"/>
        </w:rPr>
        <w:t>基金可供分配利润指截至收益分配基准日基金未分配利润与未分配利润中已实现收益的孰低数。</w:t>
      </w:r>
    </w:p>
    <w:p w14:paraId="31021446" w14:textId="77777777" w:rsidR="0037652E" w:rsidRDefault="00BF49B0">
      <w:pPr>
        <w:tabs>
          <w:tab w:val="left" w:pos="961"/>
        </w:tabs>
        <w:snapToGrid w:val="0"/>
        <w:spacing w:line="360" w:lineRule="auto"/>
        <w:ind w:firstLineChars="200" w:firstLine="482"/>
        <w:rPr>
          <w:b/>
          <w:bCs/>
          <w:sz w:val="24"/>
          <w:szCs w:val="24"/>
        </w:rPr>
      </w:pPr>
      <w:r>
        <w:rPr>
          <w:b/>
          <w:bCs/>
          <w:sz w:val="24"/>
          <w:szCs w:val="24"/>
        </w:rPr>
        <w:t>三、基金收益分配原则</w:t>
      </w:r>
    </w:p>
    <w:p w14:paraId="37D0908E"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、在符合有关基金分红条件的前提下，本基金每年收益分配次数最多为</w:t>
      </w:r>
      <w:r>
        <w:rPr>
          <w:rFonts w:hint="eastAsia"/>
          <w:bCs/>
          <w:sz w:val="24"/>
          <w:szCs w:val="24"/>
        </w:rPr>
        <w:t>6</w:t>
      </w:r>
      <w:r>
        <w:rPr>
          <w:bCs/>
          <w:sz w:val="24"/>
          <w:szCs w:val="24"/>
        </w:rPr>
        <w:t>次，每次收益分配比例不得低于该次</w:t>
      </w:r>
      <w:r>
        <w:rPr>
          <w:rFonts w:hint="eastAsia"/>
          <w:bCs/>
          <w:sz w:val="24"/>
          <w:szCs w:val="24"/>
        </w:rPr>
        <w:t>收益分配基准日（即可供分配利润计算截止日）</w:t>
      </w:r>
      <w:r>
        <w:rPr>
          <w:bCs/>
          <w:sz w:val="24"/>
          <w:szCs w:val="24"/>
        </w:rPr>
        <w:t>可供分配利润的</w:t>
      </w:r>
      <w:r>
        <w:rPr>
          <w:rFonts w:hint="eastAsia"/>
          <w:bCs/>
          <w:sz w:val="24"/>
          <w:szCs w:val="24"/>
        </w:rPr>
        <w:t>10</w:t>
      </w:r>
      <w:r>
        <w:rPr>
          <w:bCs/>
          <w:sz w:val="24"/>
          <w:szCs w:val="24"/>
        </w:rPr>
        <w:t>%</w:t>
      </w:r>
      <w:r>
        <w:rPr>
          <w:bCs/>
          <w:sz w:val="24"/>
          <w:szCs w:val="24"/>
        </w:rPr>
        <w:t>，若《基金合同》生效不满</w:t>
      </w:r>
      <w:r>
        <w:rPr>
          <w:bCs/>
          <w:sz w:val="24"/>
          <w:szCs w:val="24"/>
        </w:rPr>
        <w:t>3</w:t>
      </w:r>
      <w:r>
        <w:rPr>
          <w:bCs/>
          <w:sz w:val="24"/>
          <w:szCs w:val="24"/>
        </w:rPr>
        <w:t>个月可不进行收益分配；</w:t>
      </w:r>
    </w:p>
    <w:p w14:paraId="57466A3B" w14:textId="0BD43642"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、本基金收益分配方式分两种：现金分红与红利再投资，投资者可选择现金红利或将现金红利自动转为</w:t>
      </w:r>
      <w:r w:rsidR="00043D4C">
        <w:rPr>
          <w:rFonts w:hint="eastAsia"/>
          <w:bCs/>
          <w:sz w:val="24"/>
          <w:szCs w:val="24"/>
        </w:rPr>
        <w:t>对</w:t>
      </w:r>
      <w:r w:rsidR="00B1799D">
        <w:rPr>
          <w:rFonts w:hint="eastAsia"/>
          <w:bCs/>
          <w:sz w:val="24"/>
          <w:szCs w:val="24"/>
        </w:rPr>
        <w:t>应类别的</w:t>
      </w:r>
      <w:r>
        <w:rPr>
          <w:bCs/>
          <w:sz w:val="24"/>
          <w:szCs w:val="24"/>
        </w:rPr>
        <w:t>基金份额进行再投资；若投资者不选择，本基金默认的收益分配方式是现金分红；</w:t>
      </w:r>
      <w:r>
        <w:rPr>
          <w:rFonts w:hAnsi="宋体" w:hint="eastAsia"/>
          <w:bCs/>
          <w:sz w:val="24"/>
          <w:szCs w:val="24"/>
        </w:rPr>
        <w:t>登记在证券登记结算系统基金份额持有人深圳证券账户下的基金份额，只能选择现金分红的方式，具体权益分配程序等有关事项遵循深圳证券交易所及中国证券登记结算有限责任公司的相关规定；</w:t>
      </w:r>
    </w:p>
    <w:p w14:paraId="436640AF" w14:textId="3E4BF893"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、基金收益分配后</w:t>
      </w:r>
      <w:r w:rsidR="00043D4C" w:rsidRPr="00043D4C">
        <w:rPr>
          <w:rFonts w:hint="eastAsia"/>
          <w:bCs/>
          <w:sz w:val="24"/>
          <w:szCs w:val="24"/>
        </w:rPr>
        <w:t>各类</w:t>
      </w:r>
      <w:r>
        <w:rPr>
          <w:bCs/>
          <w:sz w:val="24"/>
          <w:szCs w:val="24"/>
        </w:rPr>
        <w:t>基金份额净值不能低于面值；即基金收益分配基准日的</w:t>
      </w:r>
      <w:r w:rsidR="00043D4C" w:rsidRPr="00043D4C">
        <w:rPr>
          <w:rFonts w:hint="eastAsia"/>
          <w:bCs/>
          <w:sz w:val="24"/>
          <w:szCs w:val="24"/>
        </w:rPr>
        <w:t>各类</w:t>
      </w:r>
      <w:r>
        <w:rPr>
          <w:bCs/>
          <w:sz w:val="24"/>
          <w:szCs w:val="24"/>
        </w:rPr>
        <w:t>基金份额净值减去每单位</w:t>
      </w:r>
      <w:r w:rsidR="00043D4C">
        <w:rPr>
          <w:rFonts w:hint="eastAsia"/>
          <w:bCs/>
          <w:sz w:val="24"/>
          <w:szCs w:val="24"/>
        </w:rPr>
        <w:t>该类</w:t>
      </w:r>
      <w:r>
        <w:rPr>
          <w:bCs/>
          <w:sz w:val="24"/>
          <w:szCs w:val="24"/>
        </w:rPr>
        <w:t>基金份额收益分配金额后不能低于面值</w:t>
      </w:r>
      <w:r>
        <w:rPr>
          <w:rFonts w:hint="eastAsia"/>
          <w:bCs/>
          <w:sz w:val="24"/>
          <w:szCs w:val="24"/>
        </w:rPr>
        <w:t>；</w:t>
      </w:r>
    </w:p>
    <w:p w14:paraId="44CC5EF4" w14:textId="4C1A19D9"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w:t>
      </w:r>
      <w:r w:rsidR="00B1799D">
        <w:rPr>
          <w:rFonts w:hint="eastAsia"/>
          <w:bCs/>
          <w:sz w:val="24"/>
          <w:szCs w:val="24"/>
        </w:rPr>
        <w:t>同一类别内</w:t>
      </w:r>
      <w:r>
        <w:rPr>
          <w:bCs/>
          <w:sz w:val="24"/>
          <w:szCs w:val="24"/>
        </w:rPr>
        <w:t>每一基金份额享有同等分配权；</w:t>
      </w:r>
    </w:p>
    <w:p w14:paraId="6F638743"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bCs/>
          <w:sz w:val="24"/>
          <w:szCs w:val="24"/>
        </w:rPr>
        <w:t>、法律法规或监管机关另有规定的，从其规定。</w:t>
      </w:r>
    </w:p>
    <w:p w14:paraId="58490043" w14:textId="77777777" w:rsidR="0037652E" w:rsidRDefault="00BF49B0">
      <w:pPr>
        <w:tabs>
          <w:tab w:val="left" w:pos="961"/>
        </w:tabs>
        <w:snapToGrid w:val="0"/>
        <w:spacing w:line="360" w:lineRule="auto"/>
        <w:ind w:firstLineChars="200" w:firstLine="482"/>
        <w:rPr>
          <w:b/>
          <w:bCs/>
          <w:sz w:val="24"/>
          <w:szCs w:val="24"/>
        </w:rPr>
      </w:pPr>
      <w:r>
        <w:rPr>
          <w:b/>
          <w:bCs/>
          <w:sz w:val="24"/>
          <w:szCs w:val="24"/>
        </w:rPr>
        <w:t>四、收益分配方案</w:t>
      </w:r>
    </w:p>
    <w:p w14:paraId="039BEBFA" w14:textId="77777777" w:rsidR="0037652E" w:rsidRDefault="00BF49B0">
      <w:pPr>
        <w:tabs>
          <w:tab w:val="left" w:pos="961"/>
        </w:tabs>
        <w:snapToGrid w:val="0"/>
        <w:spacing w:line="360" w:lineRule="auto"/>
        <w:ind w:firstLineChars="200" w:firstLine="480"/>
        <w:rPr>
          <w:bCs/>
          <w:sz w:val="24"/>
          <w:szCs w:val="24"/>
        </w:rPr>
      </w:pPr>
      <w:r>
        <w:rPr>
          <w:bCs/>
          <w:sz w:val="24"/>
          <w:szCs w:val="24"/>
        </w:rPr>
        <w:t>基金收益分配方案中应载明截止收益分配基准日的可供分配利润、基金收益分配对象、分配时间、分配数额及比例、分配方式等内容。</w:t>
      </w:r>
    </w:p>
    <w:p w14:paraId="0FB87CF0" w14:textId="77777777" w:rsidR="0037652E" w:rsidRDefault="00BF49B0">
      <w:pPr>
        <w:tabs>
          <w:tab w:val="left" w:pos="961"/>
        </w:tabs>
        <w:snapToGrid w:val="0"/>
        <w:spacing w:line="360" w:lineRule="auto"/>
        <w:ind w:firstLineChars="200" w:firstLine="482"/>
        <w:rPr>
          <w:b/>
          <w:bCs/>
          <w:sz w:val="24"/>
          <w:szCs w:val="24"/>
        </w:rPr>
      </w:pPr>
      <w:r>
        <w:rPr>
          <w:b/>
          <w:bCs/>
          <w:sz w:val="24"/>
          <w:szCs w:val="24"/>
        </w:rPr>
        <w:t>五、收益分配方案的确定、公告与实施</w:t>
      </w:r>
    </w:p>
    <w:p w14:paraId="339DAF9F" w14:textId="77777777" w:rsidR="0037652E" w:rsidRDefault="00BF49B0">
      <w:pPr>
        <w:tabs>
          <w:tab w:val="left" w:pos="961"/>
        </w:tabs>
        <w:snapToGrid w:val="0"/>
        <w:spacing w:line="360" w:lineRule="auto"/>
        <w:ind w:firstLineChars="200" w:firstLine="480"/>
        <w:rPr>
          <w:bCs/>
          <w:sz w:val="24"/>
          <w:szCs w:val="24"/>
        </w:rPr>
      </w:pPr>
      <w:r>
        <w:rPr>
          <w:bCs/>
          <w:sz w:val="24"/>
          <w:szCs w:val="24"/>
        </w:rPr>
        <w:t>基金收益分配方案由基金管理人拟定，并由基金托管人复核</w:t>
      </w:r>
      <w:r>
        <w:rPr>
          <w:rFonts w:hint="eastAsia"/>
          <w:bCs/>
          <w:sz w:val="24"/>
          <w:szCs w:val="24"/>
        </w:rPr>
        <w:t>。</w:t>
      </w:r>
    </w:p>
    <w:p w14:paraId="43673596"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基金收益分配方案确定后，基金管理人</w:t>
      </w:r>
      <w:r>
        <w:rPr>
          <w:bCs/>
          <w:sz w:val="24"/>
          <w:szCs w:val="24"/>
        </w:rPr>
        <w:t>在</w:t>
      </w:r>
      <w:r>
        <w:rPr>
          <w:bCs/>
          <w:sz w:val="24"/>
          <w:szCs w:val="24"/>
        </w:rPr>
        <w:t>2</w:t>
      </w:r>
      <w:r>
        <w:rPr>
          <w:bCs/>
          <w:sz w:val="24"/>
          <w:szCs w:val="24"/>
        </w:rPr>
        <w:t>日内在指定媒介公告。</w:t>
      </w:r>
    </w:p>
    <w:p w14:paraId="697F98A0" w14:textId="77777777" w:rsidR="0037652E" w:rsidRDefault="00BF49B0">
      <w:pPr>
        <w:tabs>
          <w:tab w:val="left" w:pos="961"/>
        </w:tabs>
        <w:snapToGrid w:val="0"/>
        <w:spacing w:line="360" w:lineRule="auto"/>
        <w:ind w:firstLineChars="200" w:firstLine="480"/>
        <w:rPr>
          <w:bCs/>
          <w:sz w:val="24"/>
          <w:szCs w:val="24"/>
        </w:rPr>
      </w:pPr>
      <w:r>
        <w:rPr>
          <w:bCs/>
          <w:sz w:val="24"/>
          <w:szCs w:val="24"/>
        </w:rPr>
        <w:t>基金红利发放日距离收益分配基准日（即可供分配利润计算截止日）的时间不得超过</w:t>
      </w:r>
      <w:r>
        <w:rPr>
          <w:bCs/>
          <w:sz w:val="24"/>
          <w:szCs w:val="24"/>
        </w:rPr>
        <w:t>15</w:t>
      </w:r>
      <w:r>
        <w:rPr>
          <w:bCs/>
          <w:sz w:val="24"/>
          <w:szCs w:val="24"/>
        </w:rPr>
        <w:t>个工作日。</w:t>
      </w:r>
      <w:r>
        <w:rPr>
          <w:rFonts w:hint="eastAsia"/>
          <w:bCs/>
          <w:sz w:val="24"/>
          <w:szCs w:val="24"/>
        </w:rPr>
        <w:t>基金管理人向基金托管人下达收益分配的付款指令，基金托管人按指令将收益分配的全部资金划入基金管理人的指定账户。</w:t>
      </w:r>
    </w:p>
    <w:p w14:paraId="5F0F29DC" w14:textId="77777777" w:rsidR="0037652E" w:rsidRDefault="00BF49B0">
      <w:pPr>
        <w:tabs>
          <w:tab w:val="left" w:pos="961"/>
        </w:tabs>
        <w:snapToGrid w:val="0"/>
        <w:spacing w:line="360" w:lineRule="auto"/>
        <w:ind w:firstLineChars="200" w:firstLine="482"/>
        <w:rPr>
          <w:b/>
          <w:bCs/>
          <w:sz w:val="24"/>
          <w:szCs w:val="24"/>
        </w:rPr>
      </w:pPr>
      <w:r>
        <w:rPr>
          <w:b/>
          <w:bCs/>
          <w:sz w:val="24"/>
          <w:szCs w:val="24"/>
        </w:rPr>
        <w:lastRenderedPageBreak/>
        <w:t>六、基金收益分配中发生的费用</w:t>
      </w:r>
    </w:p>
    <w:p w14:paraId="63C5C0CD" w14:textId="5F01E2C5" w:rsidR="0037652E" w:rsidRDefault="00BF49B0">
      <w:pPr>
        <w:spacing w:line="360" w:lineRule="auto"/>
        <w:ind w:firstLineChars="225" w:firstLine="540"/>
        <w:rPr>
          <w:bCs/>
          <w:sz w:val="24"/>
        </w:rPr>
      </w:pPr>
      <w:r>
        <w:rPr>
          <w:bCs/>
          <w:sz w:val="24"/>
          <w:szCs w:val="24"/>
        </w:rPr>
        <w:t>基金收益分配时所发生的银行转账或其他手续费用由投资者自行承担。当投资者的现金红利小于一定金额，不足于支付银行转账或其他手续费用时，基金注册登记机构可将基金份额持有人的现金红利自动转为</w:t>
      </w:r>
      <w:r w:rsidR="00B1799D">
        <w:rPr>
          <w:rFonts w:hint="eastAsia"/>
          <w:bCs/>
          <w:sz w:val="24"/>
          <w:szCs w:val="24"/>
        </w:rPr>
        <w:t>对应类别的</w:t>
      </w:r>
      <w:r>
        <w:rPr>
          <w:bCs/>
          <w:sz w:val="24"/>
          <w:szCs w:val="24"/>
        </w:rPr>
        <w:t>基金份额。红利再投资的计算方法，依照业务规则执行。</w:t>
      </w:r>
    </w:p>
    <w:p w14:paraId="3482572F"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七、实施侧袋机制期间的收益分配</w:t>
      </w:r>
    </w:p>
    <w:p w14:paraId="07577055" w14:textId="77777777" w:rsidR="0037652E" w:rsidRDefault="00BF49B0">
      <w:pPr>
        <w:tabs>
          <w:tab w:val="left" w:pos="961"/>
        </w:tabs>
        <w:snapToGrid w:val="0"/>
        <w:spacing w:line="360" w:lineRule="auto"/>
        <w:ind w:firstLineChars="200" w:firstLine="480"/>
        <w:rPr>
          <w:bCs/>
          <w:sz w:val="24"/>
          <w:szCs w:val="24"/>
        </w:rPr>
      </w:pPr>
      <w:r>
        <w:rPr>
          <w:rFonts w:hint="eastAsia"/>
          <w:sz w:val="24"/>
        </w:rPr>
        <w:t>本基金实施侧袋机制的，侧袋账户不进行收益分配，详见本招募说明书“侧袋机制”章节的规定。</w:t>
      </w:r>
    </w:p>
    <w:p w14:paraId="407D2094" w14:textId="77777777" w:rsidR="0037652E" w:rsidRDefault="0037652E">
      <w:pPr>
        <w:tabs>
          <w:tab w:val="left" w:pos="961"/>
        </w:tabs>
        <w:snapToGrid w:val="0"/>
        <w:spacing w:line="360" w:lineRule="auto"/>
        <w:ind w:firstLineChars="200" w:firstLine="420"/>
        <w:rPr>
          <w:bCs/>
          <w:szCs w:val="21"/>
        </w:rPr>
      </w:pPr>
    </w:p>
    <w:p w14:paraId="1B57B458" w14:textId="77777777" w:rsidR="0037652E" w:rsidRDefault="0037652E">
      <w:pPr>
        <w:tabs>
          <w:tab w:val="left" w:pos="961"/>
        </w:tabs>
        <w:snapToGrid w:val="0"/>
        <w:spacing w:line="360" w:lineRule="auto"/>
        <w:ind w:firstLineChars="200" w:firstLine="420"/>
        <w:rPr>
          <w:bCs/>
          <w:szCs w:val="21"/>
        </w:rPr>
      </w:pPr>
    </w:p>
    <w:p w14:paraId="0EAE6100" w14:textId="77777777" w:rsidR="0037652E" w:rsidRDefault="00BF49B0">
      <w:pPr>
        <w:spacing w:line="360" w:lineRule="auto"/>
        <w:ind w:firstLineChars="50" w:firstLine="105"/>
        <w:jc w:val="center"/>
        <w:outlineLvl w:val="0"/>
        <w:rPr>
          <w:rFonts w:ascii="宋体" w:hAnsi="宋体"/>
          <w:b/>
          <w:sz w:val="24"/>
          <w:szCs w:val="24"/>
        </w:rPr>
      </w:pPr>
      <w:r>
        <w:rPr>
          <w:bCs/>
          <w:szCs w:val="21"/>
        </w:rPr>
        <w:br w:type="page"/>
      </w:r>
      <w:bookmarkStart w:id="87" w:name="_Toc280368798"/>
      <w:bookmarkStart w:id="88" w:name="_Toc2012"/>
      <w:bookmarkStart w:id="89" w:name="_Toc65325122"/>
      <w:bookmarkStart w:id="90" w:name="_Toc14969"/>
      <w:bookmarkStart w:id="91" w:name="_Toc295738135"/>
      <w:bookmarkStart w:id="92" w:name="_Toc110606856"/>
      <w:r>
        <w:rPr>
          <w:rFonts w:ascii="宋体" w:hAnsi="宋体" w:hint="eastAsia"/>
          <w:b/>
          <w:sz w:val="24"/>
          <w:szCs w:val="24"/>
        </w:rPr>
        <w:lastRenderedPageBreak/>
        <w:t xml:space="preserve">第十五部分 </w:t>
      </w:r>
      <w:r>
        <w:rPr>
          <w:rFonts w:ascii="宋体" w:hAnsi="宋体"/>
          <w:b/>
          <w:sz w:val="24"/>
          <w:szCs w:val="24"/>
        </w:rPr>
        <w:t>基金</w:t>
      </w:r>
      <w:r>
        <w:rPr>
          <w:rFonts w:ascii="宋体" w:hAnsi="宋体" w:hint="eastAsia"/>
          <w:b/>
          <w:sz w:val="24"/>
          <w:szCs w:val="24"/>
        </w:rPr>
        <w:t>的会计与审计</w:t>
      </w:r>
      <w:bookmarkEnd w:id="87"/>
      <w:bookmarkEnd w:id="88"/>
      <w:bookmarkEnd w:id="89"/>
      <w:bookmarkEnd w:id="90"/>
      <w:bookmarkEnd w:id="91"/>
      <w:bookmarkEnd w:id="92"/>
    </w:p>
    <w:p w14:paraId="52CBE5FC" w14:textId="77777777" w:rsidR="0037652E" w:rsidRDefault="0037652E">
      <w:pPr>
        <w:tabs>
          <w:tab w:val="left" w:pos="961"/>
        </w:tabs>
        <w:snapToGrid w:val="0"/>
        <w:spacing w:line="360" w:lineRule="auto"/>
        <w:ind w:firstLineChars="200" w:firstLine="420"/>
        <w:rPr>
          <w:bCs/>
          <w:szCs w:val="21"/>
        </w:rPr>
      </w:pPr>
    </w:p>
    <w:p w14:paraId="7342DC18" w14:textId="77777777" w:rsidR="0037652E" w:rsidRDefault="00BF49B0">
      <w:pPr>
        <w:tabs>
          <w:tab w:val="left" w:pos="961"/>
        </w:tabs>
        <w:snapToGrid w:val="0"/>
        <w:spacing w:line="360" w:lineRule="auto"/>
        <w:ind w:firstLineChars="200" w:firstLine="482"/>
        <w:rPr>
          <w:b/>
          <w:bCs/>
          <w:sz w:val="24"/>
          <w:szCs w:val="24"/>
        </w:rPr>
      </w:pPr>
      <w:r>
        <w:rPr>
          <w:b/>
          <w:bCs/>
          <w:sz w:val="24"/>
          <w:szCs w:val="24"/>
        </w:rPr>
        <w:t>一、基金会计政策</w:t>
      </w:r>
    </w:p>
    <w:p w14:paraId="670285F8"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、基金管理人为本基金的基金会计责任方；</w:t>
      </w:r>
    </w:p>
    <w:p w14:paraId="66DA61AB"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、基金的会计年度为公历年度的</w:t>
      </w:r>
      <w:r>
        <w:rPr>
          <w:bCs/>
          <w:sz w:val="24"/>
          <w:szCs w:val="24"/>
        </w:rPr>
        <w:t>1</w:t>
      </w:r>
      <w:r>
        <w:rPr>
          <w:bCs/>
          <w:sz w:val="24"/>
          <w:szCs w:val="24"/>
        </w:rPr>
        <w:t>月</w:t>
      </w:r>
      <w:r>
        <w:rPr>
          <w:bCs/>
          <w:sz w:val="24"/>
          <w:szCs w:val="24"/>
        </w:rPr>
        <w:t>1</w:t>
      </w:r>
      <w:r>
        <w:rPr>
          <w:bCs/>
          <w:sz w:val="24"/>
          <w:szCs w:val="24"/>
        </w:rPr>
        <w:t>日至</w:t>
      </w:r>
      <w:r>
        <w:rPr>
          <w:bCs/>
          <w:sz w:val="24"/>
          <w:szCs w:val="24"/>
        </w:rPr>
        <w:t>12</w:t>
      </w:r>
      <w:r>
        <w:rPr>
          <w:bCs/>
          <w:sz w:val="24"/>
          <w:szCs w:val="24"/>
        </w:rPr>
        <w:t>月</w:t>
      </w:r>
      <w:r>
        <w:rPr>
          <w:bCs/>
          <w:sz w:val="24"/>
          <w:szCs w:val="24"/>
        </w:rPr>
        <w:t>31</w:t>
      </w:r>
      <w:r>
        <w:rPr>
          <w:bCs/>
          <w:sz w:val="24"/>
          <w:szCs w:val="24"/>
        </w:rPr>
        <w:t>日；</w:t>
      </w:r>
    </w:p>
    <w:p w14:paraId="62E1D082"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、基金核算以人民币为记账本位币，以人民币元为记账单位；</w:t>
      </w:r>
    </w:p>
    <w:p w14:paraId="0C0900F1"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、会计制度执行国家有关会计制度；</w:t>
      </w:r>
    </w:p>
    <w:p w14:paraId="5075DEBD"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bCs/>
          <w:sz w:val="24"/>
          <w:szCs w:val="24"/>
        </w:rPr>
        <w:t>、本基金独立建账、独立核算；</w:t>
      </w:r>
    </w:p>
    <w:p w14:paraId="54EED38C" w14:textId="77777777" w:rsidR="0037652E" w:rsidRDefault="00BF49B0">
      <w:pPr>
        <w:tabs>
          <w:tab w:val="left" w:pos="961"/>
        </w:tabs>
        <w:snapToGrid w:val="0"/>
        <w:spacing w:line="360" w:lineRule="auto"/>
        <w:ind w:firstLineChars="200" w:firstLine="480"/>
        <w:rPr>
          <w:bCs/>
          <w:sz w:val="24"/>
          <w:szCs w:val="24"/>
        </w:rPr>
      </w:pPr>
      <w:r>
        <w:rPr>
          <w:bCs/>
          <w:sz w:val="24"/>
          <w:szCs w:val="24"/>
        </w:rPr>
        <w:t>6</w:t>
      </w:r>
      <w:r>
        <w:rPr>
          <w:bCs/>
          <w:sz w:val="24"/>
          <w:szCs w:val="24"/>
        </w:rPr>
        <w:t>、基金管理人及基金托管人各自保留完整的会计账目、凭证并进行日常的会计核算，基金管理人按照有关规定编制基金会计报表；</w:t>
      </w:r>
    </w:p>
    <w:p w14:paraId="6936885C" w14:textId="77777777" w:rsidR="0037652E" w:rsidRDefault="00BF49B0">
      <w:pPr>
        <w:tabs>
          <w:tab w:val="left" w:pos="961"/>
        </w:tabs>
        <w:snapToGrid w:val="0"/>
        <w:spacing w:line="360" w:lineRule="auto"/>
        <w:ind w:firstLineChars="200" w:firstLine="480"/>
        <w:rPr>
          <w:bCs/>
          <w:sz w:val="24"/>
          <w:szCs w:val="24"/>
        </w:rPr>
      </w:pPr>
      <w:r>
        <w:rPr>
          <w:bCs/>
          <w:sz w:val="24"/>
          <w:szCs w:val="24"/>
        </w:rPr>
        <w:t>7</w:t>
      </w:r>
      <w:r>
        <w:rPr>
          <w:bCs/>
          <w:sz w:val="24"/>
          <w:szCs w:val="24"/>
        </w:rPr>
        <w:t>、基金托管人每月与基金管理人就基金的会计核算、报表编制等进行核对并以书面方式确认。</w:t>
      </w:r>
    </w:p>
    <w:p w14:paraId="6C1A1DD7" w14:textId="77777777" w:rsidR="0037652E" w:rsidRDefault="00BF49B0">
      <w:pPr>
        <w:tabs>
          <w:tab w:val="left" w:pos="961"/>
        </w:tabs>
        <w:snapToGrid w:val="0"/>
        <w:spacing w:line="360" w:lineRule="auto"/>
        <w:ind w:firstLineChars="200" w:firstLine="480"/>
        <w:rPr>
          <w:bCs/>
          <w:sz w:val="24"/>
          <w:szCs w:val="24"/>
        </w:rPr>
      </w:pPr>
      <w:r>
        <w:rPr>
          <w:bCs/>
          <w:sz w:val="24"/>
          <w:szCs w:val="24"/>
        </w:rPr>
        <w:t>8</w:t>
      </w:r>
      <w:r>
        <w:rPr>
          <w:bCs/>
          <w:sz w:val="24"/>
          <w:szCs w:val="24"/>
        </w:rPr>
        <w:t>、基金管理人在会计年度结束后</w:t>
      </w:r>
      <w:r>
        <w:rPr>
          <w:bCs/>
          <w:sz w:val="24"/>
          <w:szCs w:val="24"/>
        </w:rPr>
        <w:t>60</w:t>
      </w:r>
      <w:r>
        <w:rPr>
          <w:bCs/>
          <w:sz w:val="24"/>
          <w:szCs w:val="24"/>
        </w:rPr>
        <w:t>个工作日内向证监会提交包括衍生品头寸及风险分析年度报告。</w:t>
      </w:r>
    </w:p>
    <w:p w14:paraId="40F7BAF0" w14:textId="77777777" w:rsidR="0037652E" w:rsidRDefault="00BF49B0">
      <w:pPr>
        <w:tabs>
          <w:tab w:val="left" w:pos="961"/>
        </w:tabs>
        <w:snapToGrid w:val="0"/>
        <w:spacing w:line="360" w:lineRule="auto"/>
        <w:ind w:firstLineChars="200" w:firstLine="482"/>
        <w:rPr>
          <w:b/>
          <w:bCs/>
          <w:sz w:val="24"/>
          <w:szCs w:val="24"/>
        </w:rPr>
      </w:pPr>
      <w:r>
        <w:rPr>
          <w:b/>
          <w:bCs/>
          <w:sz w:val="24"/>
          <w:szCs w:val="24"/>
        </w:rPr>
        <w:t>二、基金的年度审计</w:t>
      </w:r>
    </w:p>
    <w:p w14:paraId="7ACB7083"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、基金管理人聘请与基金管理人、基金托管人相互独立的具有证券、</w:t>
      </w:r>
      <w:r>
        <w:rPr>
          <w:rFonts w:hint="eastAsia"/>
          <w:bCs/>
          <w:sz w:val="24"/>
          <w:szCs w:val="24"/>
        </w:rPr>
        <w:t>期货相关业务</w:t>
      </w:r>
      <w:r>
        <w:rPr>
          <w:bCs/>
          <w:sz w:val="24"/>
          <w:szCs w:val="24"/>
        </w:rPr>
        <w:t>资格的会计师事务所及其注册会计师对本基金的年度财务报表进行审计；</w:t>
      </w:r>
    </w:p>
    <w:p w14:paraId="69A83DEF"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、会计师事务所更换经办注册会计师，应事先征得基金管理人和基金托管人同意；</w:t>
      </w:r>
    </w:p>
    <w:p w14:paraId="765CECD6"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、基金管理人认为有充足理由更换会计师事务所，须通报基金托管人。更换会计师事务所需在</w:t>
      </w:r>
      <w:r>
        <w:rPr>
          <w:bCs/>
          <w:sz w:val="24"/>
          <w:szCs w:val="24"/>
        </w:rPr>
        <w:t>2</w:t>
      </w:r>
      <w:r>
        <w:rPr>
          <w:bCs/>
          <w:sz w:val="24"/>
          <w:szCs w:val="24"/>
        </w:rPr>
        <w:t>日内在在指定媒介上公告。</w:t>
      </w:r>
    </w:p>
    <w:p w14:paraId="65F6C6F9" w14:textId="77777777" w:rsidR="0037652E" w:rsidRDefault="0037652E">
      <w:pPr>
        <w:tabs>
          <w:tab w:val="left" w:pos="961"/>
        </w:tabs>
        <w:snapToGrid w:val="0"/>
        <w:spacing w:line="360" w:lineRule="auto"/>
        <w:ind w:firstLineChars="200" w:firstLine="420"/>
        <w:rPr>
          <w:bCs/>
          <w:szCs w:val="21"/>
        </w:rPr>
      </w:pPr>
    </w:p>
    <w:p w14:paraId="473C3AC3" w14:textId="77777777" w:rsidR="0037652E" w:rsidRDefault="0037652E">
      <w:pPr>
        <w:tabs>
          <w:tab w:val="left" w:pos="961"/>
        </w:tabs>
        <w:snapToGrid w:val="0"/>
        <w:spacing w:line="360" w:lineRule="auto"/>
        <w:ind w:firstLineChars="200" w:firstLine="420"/>
        <w:rPr>
          <w:bCs/>
          <w:szCs w:val="21"/>
        </w:rPr>
      </w:pPr>
    </w:p>
    <w:p w14:paraId="6CA731CA" w14:textId="77777777" w:rsidR="0037652E" w:rsidRDefault="00BF49B0">
      <w:pPr>
        <w:spacing w:line="360" w:lineRule="auto"/>
        <w:ind w:firstLineChars="50" w:firstLine="105"/>
        <w:jc w:val="center"/>
        <w:outlineLvl w:val="0"/>
        <w:rPr>
          <w:rFonts w:ascii="宋体" w:hAnsi="宋体"/>
          <w:b/>
          <w:sz w:val="24"/>
          <w:szCs w:val="24"/>
        </w:rPr>
      </w:pPr>
      <w:r>
        <w:rPr>
          <w:bCs/>
          <w:szCs w:val="21"/>
        </w:rPr>
        <w:br w:type="page"/>
      </w:r>
      <w:bookmarkStart w:id="93" w:name="_Toc65325123"/>
      <w:bookmarkStart w:id="94" w:name="_Toc280368799"/>
      <w:bookmarkStart w:id="95" w:name="_Toc10392"/>
      <w:bookmarkStart w:id="96" w:name="_Toc27152"/>
      <w:bookmarkStart w:id="97" w:name="_Toc110606857"/>
      <w:r>
        <w:rPr>
          <w:rFonts w:ascii="宋体" w:hAnsi="宋体" w:hint="eastAsia"/>
          <w:b/>
          <w:sz w:val="24"/>
          <w:szCs w:val="24"/>
        </w:rPr>
        <w:lastRenderedPageBreak/>
        <w:t xml:space="preserve">第十六部分 </w:t>
      </w:r>
      <w:r>
        <w:rPr>
          <w:rFonts w:ascii="宋体" w:hAnsi="宋体"/>
          <w:b/>
          <w:sz w:val="24"/>
          <w:szCs w:val="24"/>
        </w:rPr>
        <w:t>基金</w:t>
      </w:r>
      <w:r>
        <w:rPr>
          <w:rFonts w:ascii="宋体" w:hAnsi="宋体" w:hint="eastAsia"/>
          <w:b/>
          <w:sz w:val="24"/>
          <w:szCs w:val="24"/>
        </w:rPr>
        <w:t>的信息披露</w:t>
      </w:r>
      <w:bookmarkEnd w:id="93"/>
      <w:bookmarkEnd w:id="94"/>
      <w:bookmarkEnd w:id="95"/>
      <w:bookmarkEnd w:id="96"/>
      <w:bookmarkEnd w:id="97"/>
    </w:p>
    <w:p w14:paraId="652E0240" w14:textId="77777777" w:rsidR="0037652E" w:rsidRDefault="0037652E">
      <w:pPr>
        <w:tabs>
          <w:tab w:val="left" w:pos="961"/>
        </w:tabs>
        <w:snapToGrid w:val="0"/>
        <w:spacing w:line="360" w:lineRule="auto"/>
        <w:ind w:firstLineChars="200" w:firstLine="420"/>
        <w:rPr>
          <w:bCs/>
          <w:szCs w:val="21"/>
        </w:rPr>
      </w:pPr>
    </w:p>
    <w:p w14:paraId="3119326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一、本基金的信息披露应符合《基金法》、《运作办法》、《信息披露办法》、《试行办法》、《通知》、《基金合同》及其他有关规定。</w:t>
      </w:r>
    </w:p>
    <w:p w14:paraId="2EB0965B"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二、信息披露义务人</w:t>
      </w:r>
    </w:p>
    <w:p w14:paraId="4784E638"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本基金信息披露义务人包括基金管理人、基金托管人、召集基金份额持有人大会的基金份额持有人等法律法规和中国证监会规定的自然人、法人和非法人组织。</w:t>
      </w:r>
    </w:p>
    <w:p w14:paraId="5080BEEB"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本基金信息披露义务人以保护基金份额持有人利益为根本出发点，按照法律法规和中国证监会的规定披露基金信息，并保证所披露信息的真实性、准确性、完整性、及时性、简明性和易得性。</w:t>
      </w:r>
    </w:p>
    <w:p w14:paraId="76292FA2"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信息披露义务人应当在中国证监会规定时间内，将应予披露的基金信息通过中国证监会指定的全国性报刊（以下简称“指定报刊”）和指定互联网网站（以下简称“指定网站”，包括基金管理人网站、基金托管人网站、中国证监会基金电子披露网站）等媒介披露，并保证基金投资者能够按照《基金合同》约定的时间和方式查阅或者复制公开披露的信息资料。</w:t>
      </w:r>
    </w:p>
    <w:p w14:paraId="25155A21"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三、本基金信息披露义务人承诺公开披露的基金信息，不得有下列行为：</w:t>
      </w:r>
    </w:p>
    <w:p w14:paraId="3F2F7CA1"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w:t>
      </w:r>
      <w:r>
        <w:rPr>
          <w:rFonts w:hint="eastAsia"/>
          <w:bCs/>
          <w:sz w:val="24"/>
          <w:szCs w:val="24"/>
        </w:rPr>
        <w:t>、虚假记载、误导性陈述或者重大遗漏；</w:t>
      </w:r>
    </w:p>
    <w:p w14:paraId="1BCD01C2"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2</w:t>
      </w:r>
      <w:r>
        <w:rPr>
          <w:rFonts w:hint="eastAsia"/>
          <w:bCs/>
          <w:sz w:val="24"/>
          <w:szCs w:val="24"/>
        </w:rPr>
        <w:t>、对证券投资业绩进行预测；</w:t>
      </w:r>
    </w:p>
    <w:p w14:paraId="22C93E1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3</w:t>
      </w:r>
      <w:r>
        <w:rPr>
          <w:rFonts w:hint="eastAsia"/>
          <w:bCs/>
          <w:sz w:val="24"/>
          <w:szCs w:val="24"/>
        </w:rPr>
        <w:t>、违规承诺收益或者承担损失；</w:t>
      </w:r>
    </w:p>
    <w:p w14:paraId="1D5F4D8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4</w:t>
      </w:r>
      <w:r>
        <w:rPr>
          <w:rFonts w:hint="eastAsia"/>
          <w:bCs/>
          <w:sz w:val="24"/>
          <w:szCs w:val="24"/>
        </w:rPr>
        <w:t>、诋毁其他基金管理人、基金托管人或者基金销售机构；</w:t>
      </w:r>
    </w:p>
    <w:p w14:paraId="6C2CDED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5</w:t>
      </w:r>
      <w:r>
        <w:rPr>
          <w:rFonts w:hint="eastAsia"/>
          <w:bCs/>
          <w:sz w:val="24"/>
          <w:szCs w:val="24"/>
        </w:rPr>
        <w:t>、登载任何自然人、法人和非法人组织的祝贺性、恭维性或推荐性的文字；</w:t>
      </w:r>
    </w:p>
    <w:p w14:paraId="106EF3C5"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6</w:t>
      </w:r>
      <w:r>
        <w:rPr>
          <w:rFonts w:hint="eastAsia"/>
          <w:bCs/>
          <w:sz w:val="24"/>
          <w:szCs w:val="24"/>
        </w:rPr>
        <w:t>、中国证监会禁止的其他行为。</w:t>
      </w:r>
    </w:p>
    <w:p w14:paraId="0B8A8FA1"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四、本基金公开披露的信息应采用中文文本。如同时采用外文文本的，基金信息披露义务人应保证不同文本的内容一致。不同文本之间发生歧义的，以中文文本为准。</w:t>
      </w:r>
    </w:p>
    <w:p w14:paraId="5DB4DCC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本基金公开披露的信息采用阿拉伯数字；除特别说明外，货币单位为人民币元。</w:t>
      </w:r>
    </w:p>
    <w:p w14:paraId="7E863DC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五、公开披露的基金信息</w:t>
      </w:r>
    </w:p>
    <w:p w14:paraId="7EFC7DF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公开披露的基金信息包括：</w:t>
      </w:r>
    </w:p>
    <w:p w14:paraId="377A416E"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lastRenderedPageBreak/>
        <w:t>（一）《招募说明书》、《基金合同》、《托管协议》、基金产品资料概要</w:t>
      </w:r>
    </w:p>
    <w:p w14:paraId="682CEFC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基金募集申请经中国证监会核准后，基金管理人在基金份额发售的</w:t>
      </w:r>
      <w:r>
        <w:rPr>
          <w:rFonts w:hint="eastAsia"/>
          <w:bCs/>
          <w:sz w:val="24"/>
          <w:szCs w:val="24"/>
        </w:rPr>
        <w:t>3</w:t>
      </w:r>
      <w:r>
        <w:rPr>
          <w:rFonts w:hint="eastAsia"/>
          <w:bCs/>
          <w:sz w:val="24"/>
          <w:szCs w:val="24"/>
        </w:rPr>
        <w:t>日前，将《招募说明书》、《基金合同》摘要登载在指定媒介；基金管理人、基金托管人应当将《基金合同》、《托管协议》登载在网站上。</w:t>
      </w:r>
    </w:p>
    <w:p w14:paraId="1EF87952"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w:t>
      </w:r>
      <w:r>
        <w:rPr>
          <w:rFonts w:hint="eastAsia"/>
          <w:bCs/>
          <w:sz w:val="24"/>
          <w:szCs w:val="24"/>
        </w:rPr>
        <w:t>、《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D52FD3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2</w:t>
      </w:r>
      <w:r>
        <w:rPr>
          <w:rFonts w:hint="eastAsia"/>
          <w:bCs/>
          <w:sz w:val="24"/>
          <w:szCs w:val="24"/>
        </w:rPr>
        <w:t>、《基金合同》是界定《基金合同》当事人的各项权利、义务关系，明确基金份额持有人大会召开的规则及具体程序，说明基金产品的特性等涉及基金投资者重大利益的事项的法律文件。</w:t>
      </w:r>
    </w:p>
    <w:p w14:paraId="33C8997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3</w:t>
      </w:r>
      <w:r>
        <w:rPr>
          <w:rFonts w:hint="eastAsia"/>
          <w:bCs/>
          <w:sz w:val="24"/>
          <w:szCs w:val="24"/>
        </w:rPr>
        <w:t>、《托管协议》是界定基金托管人和基金管理人在基金财产保管及基金运作监督等活动中的权利、义务关系的法律文件。</w:t>
      </w:r>
    </w:p>
    <w:p w14:paraId="31B55C4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4</w:t>
      </w:r>
      <w:r>
        <w:rPr>
          <w:rFonts w:hint="eastAsia"/>
          <w:bCs/>
          <w:sz w:val="24"/>
          <w:szCs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5A2D489"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（二）基金份额发售公告</w:t>
      </w:r>
    </w:p>
    <w:p w14:paraId="22C04817"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基金管理人应当就基金份额发售的具体事宜编制《发售公告》，并在披露《招募说明书》的当日登载于指定媒介。</w:t>
      </w:r>
    </w:p>
    <w:p w14:paraId="459A564C"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（三）《基金合同》生效公告</w:t>
      </w:r>
    </w:p>
    <w:p w14:paraId="4CED877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基金管理人应当在《基金合同》生效的次日在指定媒介登载《基金合同》生效公告。</w:t>
      </w:r>
    </w:p>
    <w:p w14:paraId="4F71A7C2"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（四）基金份额上市交易公告书</w:t>
      </w:r>
    </w:p>
    <w:p w14:paraId="563D8FAC"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基金份额获准在证券交易所上市交易的，基金管理人应当在基金份额上市交易的三个工作日前，将基金份额上市交易公告书登载在指定报刊和网站上。</w:t>
      </w:r>
    </w:p>
    <w:p w14:paraId="12BD9D4B"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lastRenderedPageBreak/>
        <w:t>（五）基金净值信息</w:t>
      </w:r>
    </w:p>
    <w:p w14:paraId="0F47F7A1" w14:textId="34D48635"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《基金合同》生效后，在开始办理基金份额申购或者赎回前，基金管理人应当至少每周公告一次基金资产净值和</w:t>
      </w:r>
      <w:r w:rsidR="00B1799D">
        <w:rPr>
          <w:rFonts w:hint="eastAsia"/>
          <w:bCs/>
          <w:sz w:val="24"/>
          <w:szCs w:val="24"/>
        </w:rPr>
        <w:t>各类</w:t>
      </w:r>
      <w:r>
        <w:rPr>
          <w:rFonts w:hint="eastAsia"/>
          <w:bCs/>
          <w:sz w:val="24"/>
          <w:szCs w:val="24"/>
        </w:rPr>
        <w:t>基金份额净值。</w:t>
      </w:r>
    </w:p>
    <w:p w14:paraId="56F38380" w14:textId="5CEBB2D7" w:rsidR="0037652E" w:rsidRDefault="00BF49B0">
      <w:pPr>
        <w:tabs>
          <w:tab w:val="left" w:pos="961"/>
        </w:tabs>
        <w:snapToGrid w:val="0"/>
        <w:spacing w:line="360" w:lineRule="auto"/>
        <w:ind w:firstLineChars="200" w:firstLine="480"/>
        <w:rPr>
          <w:bCs/>
          <w:sz w:val="24"/>
          <w:szCs w:val="24"/>
        </w:rPr>
      </w:pPr>
      <w:r>
        <w:rPr>
          <w:rFonts w:hint="eastAsia"/>
          <w:bCs/>
          <w:sz w:val="24"/>
          <w:szCs w:val="24"/>
        </w:rPr>
        <w:t>在开始办理基金份额申购或者赎回后，基金管理人应当不晚于每个估值日后</w:t>
      </w:r>
      <w:r>
        <w:rPr>
          <w:rFonts w:hint="eastAsia"/>
          <w:bCs/>
          <w:sz w:val="24"/>
          <w:szCs w:val="24"/>
        </w:rPr>
        <w:t>2</w:t>
      </w:r>
      <w:r>
        <w:rPr>
          <w:rFonts w:hint="eastAsia"/>
          <w:bCs/>
          <w:sz w:val="24"/>
          <w:szCs w:val="24"/>
        </w:rPr>
        <w:t>个工作日，通过指定网站、基金销售机构网站或者营业网点披露开放日的</w:t>
      </w:r>
      <w:r w:rsidR="00B1799D">
        <w:rPr>
          <w:rFonts w:hint="eastAsia"/>
          <w:bCs/>
          <w:sz w:val="24"/>
          <w:szCs w:val="24"/>
        </w:rPr>
        <w:t>各类</w:t>
      </w:r>
      <w:r>
        <w:rPr>
          <w:rFonts w:hint="eastAsia"/>
          <w:bCs/>
          <w:sz w:val="24"/>
          <w:szCs w:val="24"/>
        </w:rPr>
        <w:t>基金份额净值和基金份额累计净值。</w:t>
      </w:r>
    </w:p>
    <w:p w14:paraId="57089F30" w14:textId="06088764"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基金管理人应当在不晚于半年度和年度最后一日后一个工作日的次日，在指定网站披露半年度和年度最后一日的</w:t>
      </w:r>
      <w:r w:rsidR="00B1799D">
        <w:rPr>
          <w:rFonts w:hint="eastAsia"/>
          <w:bCs/>
          <w:sz w:val="24"/>
          <w:szCs w:val="24"/>
        </w:rPr>
        <w:t>各类</w:t>
      </w:r>
      <w:r>
        <w:rPr>
          <w:rFonts w:hint="eastAsia"/>
          <w:bCs/>
          <w:sz w:val="24"/>
          <w:szCs w:val="24"/>
        </w:rPr>
        <w:t>基金份额净值和基金份额累计净值。</w:t>
      </w:r>
    </w:p>
    <w:p w14:paraId="00CFDE8A"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（六）基金份额申购、赎回价格</w:t>
      </w:r>
    </w:p>
    <w:p w14:paraId="41990F67"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27F0AFE6"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（七）基金定期报告，包括基金年度报告、基金中期报告和基金季度报告</w:t>
      </w:r>
    </w:p>
    <w:p w14:paraId="5798C273"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1A68A2F3"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基金管理人应当在会计年度结束后</w:t>
      </w:r>
      <w:r>
        <w:rPr>
          <w:rFonts w:hint="eastAsia"/>
          <w:bCs/>
          <w:sz w:val="24"/>
          <w:szCs w:val="24"/>
        </w:rPr>
        <w:t>60</w:t>
      </w:r>
      <w:r>
        <w:rPr>
          <w:rFonts w:hint="eastAsia"/>
          <w:bCs/>
          <w:sz w:val="24"/>
          <w:szCs w:val="24"/>
        </w:rPr>
        <w:t>个工作日内向证监会提交包括衍生品头寸及风险分析年度报告。</w:t>
      </w:r>
    </w:p>
    <w:p w14:paraId="3B4010B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基金管理人应当在上半年结束之日起两个月内，编制完成基金中期报告，将中期报告登载在指定网站上，并将中期报告提示性公告登载在指定报刊上。</w:t>
      </w:r>
    </w:p>
    <w:p w14:paraId="23CDADB9"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基金管理人应当在季度结束之日起</w:t>
      </w:r>
      <w:r>
        <w:rPr>
          <w:rFonts w:hint="eastAsia"/>
          <w:bCs/>
          <w:sz w:val="24"/>
          <w:szCs w:val="24"/>
        </w:rPr>
        <w:t>15</w:t>
      </w:r>
      <w:r>
        <w:rPr>
          <w:rFonts w:hint="eastAsia"/>
          <w:bCs/>
          <w:sz w:val="24"/>
          <w:szCs w:val="24"/>
        </w:rPr>
        <w:t>个工作日内，编制完成基金季度报告，将季度报告登载在指定网站上，并将季度报告提示性公告登载在指定报刊上。</w:t>
      </w:r>
    </w:p>
    <w:p w14:paraId="248E4E0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《基金合同》生效不足</w:t>
      </w:r>
      <w:r>
        <w:rPr>
          <w:rFonts w:hint="eastAsia"/>
          <w:bCs/>
          <w:sz w:val="24"/>
          <w:szCs w:val="24"/>
        </w:rPr>
        <w:t>2</w:t>
      </w:r>
      <w:r>
        <w:rPr>
          <w:rFonts w:hint="eastAsia"/>
          <w:bCs/>
          <w:sz w:val="24"/>
          <w:szCs w:val="24"/>
        </w:rPr>
        <w:t>个月的，基金管理人可以不编制当期季度报告、中期报告或者年度报告。</w:t>
      </w:r>
    </w:p>
    <w:p w14:paraId="02532DE5"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基金管理人应在中期报告、年度报告等文件中披露基金组合资产情况及其流动性风险分析等。</w:t>
      </w:r>
    </w:p>
    <w:p w14:paraId="4C14602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如报告期内出现单一投资者持有基金份额达到或超过基金总份额</w:t>
      </w:r>
      <w:r>
        <w:rPr>
          <w:rFonts w:hint="eastAsia"/>
          <w:bCs/>
          <w:sz w:val="24"/>
          <w:szCs w:val="24"/>
        </w:rPr>
        <w:t>20%</w:t>
      </w:r>
      <w:r>
        <w:rPr>
          <w:rFonts w:hint="eastAsia"/>
          <w:bCs/>
          <w:sz w:val="24"/>
          <w:szCs w:val="24"/>
        </w:rPr>
        <w:t>的情形，为保障其他投资者利益，基金管理人至少应当在定期报告“影响投资者决策的其他重要信息”项下披露该投资者的类别、报告期末持有份额及占比、报告期</w:t>
      </w:r>
      <w:r>
        <w:rPr>
          <w:rFonts w:hint="eastAsia"/>
          <w:bCs/>
          <w:sz w:val="24"/>
          <w:szCs w:val="24"/>
        </w:rPr>
        <w:lastRenderedPageBreak/>
        <w:t>内持有份额变化情况及本基金的特有风险，中国证监会认定的特殊情形除外。</w:t>
      </w:r>
    </w:p>
    <w:p w14:paraId="44B91687"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（八）临时报告</w:t>
      </w:r>
    </w:p>
    <w:p w14:paraId="0BA21489"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本基金发生重大事件，有关信息披露义务人应当在</w:t>
      </w:r>
      <w:r>
        <w:rPr>
          <w:rFonts w:hint="eastAsia"/>
          <w:bCs/>
          <w:sz w:val="24"/>
          <w:szCs w:val="24"/>
        </w:rPr>
        <w:t>2</w:t>
      </w:r>
      <w:r>
        <w:rPr>
          <w:rFonts w:hint="eastAsia"/>
          <w:bCs/>
          <w:sz w:val="24"/>
          <w:szCs w:val="24"/>
        </w:rPr>
        <w:t>日内编制临时报告书，并登载在指定报刊和指定网站上。</w:t>
      </w:r>
    </w:p>
    <w:p w14:paraId="63FA76E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前款所称重大事件，是指可能对基金份额持有人权益或者基金份额的价格产生重大影响的下列事件：</w:t>
      </w:r>
    </w:p>
    <w:p w14:paraId="1AB153EB"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w:t>
      </w:r>
      <w:r>
        <w:rPr>
          <w:rFonts w:hint="eastAsia"/>
          <w:bCs/>
          <w:sz w:val="24"/>
          <w:szCs w:val="24"/>
        </w:rPr>
        <w:t>、基金份额持有人大会的召开及决定的事项；</w:t>
      </w:r>
    </w:p>
    <w:p w14:paraId="1FED0E7A"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2</w:t>
      </w:r>
      <w:r>
        <w:rPr>
          <w:rFonts w:hint="eastAsia"/>
          <w:bCs/>
          <w:sz w:val="24"/>
          <w:szCs w:val="24"/>
        </w:rPr>
        <w:t>、《基金合同》终止、基金清算；</w:t>
      </w:r>
    </w:p>
    <w:p w14:paraId="64512952"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3</w:t>
      </w:r>
      <w:r>
        <w:rPr>
          <w:rFonts w:hint="eastAsia"/>
          <w:bCs/>
          <w:sz w:val="24"/>
          <w:szCs w:val="24"/>
        </w:rPr>
        <w:t>、转换基金运作方式、基金合并；</w:t>
      </w:r>
    </w:p>
    <w:p w14:paraId="18AB282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4</w:t>
      </w:r>
      <w:r>
        <w:rPr>
          <w:rFonts w:hint="eastAsia"/>
          <w:bCs/>
          <w:sz w:val="24"/>
          <w:szCs w:val="24"/>
        </w:rPr>
        <w:t>、更换基金管理人、基金托管人、境外托管人、更换或撤销境外投资顾问、基金份额登记机构，基金改聘会计师事务所；</w:t>
      </w:r>
    </w:p>
    <w:p w14:paraId="793103B6"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5</w:t>
      </w:r>
      <w:r>
        <w:rPr>
          <w:rFonts w:hint="eastAsia"/>
          <w:bCs/>
          <w:sz w:val="24"/>
          <w:szCs w:val="24"/>
        </w:rPr>
        <w:t>、对基金投资可能产生重大影响的境外投资顾问主要负责人员发生变更；</w:t>
      </w:r>
    </w:p>
    <w:p w14:paraId="6868544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6</w:t>
      </w:r>
      <w:r>
        <w:rPr>
          <w:rFonts w:hint="eastAsia"/>
          <w:bCs/>
          <w:sz w:val="24"/>
          <w:szCs w:val="24"/>
        </w:rPr>
        <w:t>、基金管理人委托基金服务机构代为办理基金的份额登记、核算、估值等事项，基金托管人委托基金服务机构代为办理基金的核算、估值、复核等事项；</w:t>
      </w:r>
    </w:p>
    <w:p w14:paraId="05751443"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7</w:t>
      </w:r>
      <w:r>
        <w:rPr>
          <w:rFonts w:hint="eastAsia"/>
          <w:bCs/>
          <w:sz w:val="24"/>
          <w:szCs w:val="24"/>
        </w:rPr>
        <w:t>、基金管理人、基金托管人、境外托管人或境外投资顾问的法定名称、住所发生变更；</w:t>
      </w:r>
    </w:p>
    <w:p w14:paraId="77970F3A"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8</w:t>
      </w:r>
      <w:r>
        <w:rPr>
          <w:rFonts w:hint="eastAsia"/>
          <w:bCs/>
          <w:sz w:val="24"/>
          <w:szCs w:val="24"/>
        </w:rPr>
        <w:t>、基金管理人变更持有百分之五以上股权的股东、基金管理人的实际控制人变更；</w:t>
      </w:r>
    </w:p>
    <w:p w14:paraId="79300972"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9</w:t>
      </w:r>
      <w:r>
        <w:rPr>
          <w:rFonts w:hint="eastAsia"/>
          <w:bCs/>
          <w:sz w:val="24"/>
          <w:szCs w:val="24"/>
        </w:rPr>
        <w:t>、基金募集期延长；</w:t>
      </w:r>
    </w:p>
    <w:p w14:paraId="42E7517A"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10</w:t>
      </w:r>
      <w:r>
        <w:rPr>
          <w:rFonts w:hint="eastAsia"/>
          <w:bCs/>
          <w:sz w:val="24"/>
          <w:szCs w:val="24"/>
        </w:rPr>
        <w:t>、基金管理人的高级管理人员、基金经理和基金托管人专门基金托管部门负责人发生变动；</w:t>
      </w:r>
    </w:p>
    <w:p w14:paraId="3F2D80EC"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11</w:t>
      </w:r>
      <w:r>
        <w:rPr>
          <w:rFonts w:hint="eastAsia"/>
          <w:bCs/>
          <w:sz w:val="24"/>
          <w:szCs w:val="24"/>
        </w:rPr>
        <w:t>、基金管理人的董事在最近</w:t>
      </w:r>
      <w:r>
        <w:rPr>
          <w:rFonts w:hint="eastAsia"/>
          <w:bCs/>
          <w:sz w:val="24"/>
          <w:szCs w:val="24"/>
        </w:rPr>
        <w:t>12</w:t>
      </w:r>
      <w:r>
        <w:rPr>
          <w:rFonts w:hint="eastAsia"/>
          <w:bCs/>
          <w:sz w:val="24"/>
          <w:szCs w:val="24"/>
        </w:rPr>
        <w:t>个月内变更超过百分之五十，基金管理人、基金托管人专门基金托管部门的主要业务人员在最近</w:t>
      </w:r>
      <w:r>
        <w:rPr>
          <w:rFonts w:hint="eastAsia"/>
          <w:bCs/>
          <w:sz w:val="24"/>
          <w:szCs w:val="24"/>
        </w:rPr>
        <w:t>12</w:t>
      </w:r>
      <w:r>
        <w:rPr>
          <w:rFonts w:hint="eastAsia"/>
          <w:bCs/>
          <w:sz w:val="24"/>
          <w:szCs w:val="24"/>
        </w:rPr>
        <w:t>个月内变动超过百分之三十；</w:t>
      </w:r>
    </w:p>
    <w:p w14:paraId="4FB7C223"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12</w:t>
      </w:r>
      <w:r>
        <w:rPr>
          <w:rFonts w:hint="eastAsia"/>
          <w:bCs/>
          <w:sz w:val="24"/>
          <w:szCs w:val="24"/>
        </w:rPr>
        <w:t>、涉及基金管理业务、基金财产、基金托管业务的诉讼或仲裁；</w:t>
      </w:r>
    </w:p>
    <w:p w14:paraId="579FA1D7"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13</w:t>
      </w:r>
      <w:r>
        <w:rPr>
          <w:rFonts w:hint="eastAsia"/>
          <w:bCs/>
          <w:sz w:val="24"/>
          <w:szCs w:val="24"/>
        </w:rPr>
        <w:t>、境外托管人或境外投资顾问受到监管部门的调查；</w:t>
      </w:r>
    </w:p>
    <w:p w14:paraId="221088E1"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14</w:t>
      </w:r>
      <w:r>
        <w:rPr>
          <w:rFonts w:hint="eastAsia"/>
          <w:bCs/>
          <w:sz w:val="24"/>
          <w:szCs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F5FD60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15</w:t>
      </w:r>
      <w:r>
        <w:rPr>
          <w:rFonts w:hint="eastAsia"/>
          <w:bCs/>
          <w:sz w:val="24"/>
          <w:szCs w:val="24"/>
        </w:rPr>
        <w:t>、基金管理人运用基金财产买卖基金管理人、基金托管人及其控股股东、</w:t>
      </w:r>
      <w:r>
        <w:rPr>
          <w:rFonts w:hint="eastAsia"/>
          <w:bCs/>
          <w:sz w:val="24"/>
          <w:szCs w:val="24"/>
        </w:rPr>
        <w:lastRenderedPageBreak/>
        <w:t>实际控制人或者与其有重大利害关系的公司发行的证券或者承销期内承销的证券，或者从事其他重大关联交易事项，但中国证监会另有规定的除外；</w:t>
      </w:r>
    </w:p>
    <w:p w14:paraId="4AA3F1B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16</w:t>
      </w:r>
      <w:r>
        <w:rPr>
          <w:rFonts w:hint="eastAsia"/>
          <w:bCs/>
          <w:sz w:val="24"/>
          <w:szCs w:val="24"/>
        </w:rPr>
        <w:t>、基金收益分配事项；</w:t>
      </w:r>
    </w:p>
    <w:p w14:paraId="0E7DB5E8" w14:textId="279CE3AF" w:rsidR="0037652E" w:rsidRDefault="00BF49B0">
      <w:pPr>
        <w:tabs>
          <w:tab w:val="left" w:pos="961"/>
        </w:tabs>
        <w:snapToGrid w:val="0"/>
        <w:spacing w:line="360" w:lineRule="auto"/>
        <w:ind w:firstLineChars="200" w:firstLine="480"/>
        <w:rPr>
          <w:bCs/>
          <w:sz w:val="24"/>
          <w:szCs w:val="24"/>
        </w:rPr>
      </w:pPr>
      <w:r>
        <w:rPr>
          <w:rFonts w:hint="eastAsia"/>
          <w:bCs/>
          <w:sz w:val="24"/>
          <w:szCs w:val="24"/>
        </w:rPr>
        <w:t>17</w:t>
      </w:r>
      <w:r>
        <w:rPr>
          <w:rFonts w:hint="eastAsia"/>
          <w:bCs/>
          <w:sz w:val="24"/>
          <w:szCs w:val="24"/>
        </w:rPr>
        <w:t>、管理费、托管费、</w:t>
      </w:r>
      <w:r w:rsidR="00B1799D">
        <w:rPr>
          <w:rFonts w:hint="eastAsia"/>
          <w:bCs/>
          <w:sz w:val="24"/>
          <w:szCs w:val="24"/>
        </w:rPr>
        <w:t>销售服务费、</w:t>
      </w:r>
      <w:r>
        <w:rPr>
          <w:rFonts w:hint="eastAsia"/>
          <w:bCs/>
          <w:sz w:val="24"/>
          <w:szCs w:val="24"/>
        </w:rPr>
        <w:t>申购费、赎回费等费用计提标准、计提方式和费率发生变更；</w:t>
      </w:r>
    </w:p>
    <w:p w14:paraId="07B83B62" w14:textId="687E4A83" w:rsidR="0037652E" w:rsidRDefault="00BF49B0">
      <w:pPr>
        <w:tabs>
          <w:tab w:val="left" w:pos="961"/>
        </w:tabs>
        <w:snapToGrid w:val="0"/>
        <w:spacing w:line="360" w:lineRule="auto"/>
        <w:ind w:firstLineChars="200" w:firstLine="480"/>
        <w:rPr>
          <w:bCs/>
          <w:sz w:val="24"/>
          <w:szCs w:val="24"/>
        </w:rPr>
      </w:pPr>
      <w:r>
        <w:rPr>
          <w:rFonts w:hint="eastAsia"/>
          <w:bCs/>
          <w:sz w:val="24"/>
          <w:szCs w:val="24"/>
        </w:rPr>
        <w:t>18</w:t>
      </w:r>
      <w:r>
        <w:rPr>
          <w:rFonts w:hint="eastAsia"/>
          <w:bCs/>
          <w:sz w:val="24"/>
          <w:szCs w:val="24"/>
        </w:rPr>
        <w:t>、</w:t>
      </w:r>
      <w:r w:rsidR="00B1799D">
        <w:rPr>
          <w:rFonts w:hint="eastAsia"/>
          <w:bCs/>
          <w:sz w:val="24"/>
          <w:szCs w:val="24"/>
        </w:rPr>
        <w:t>任一类</w:t>
      </w:r>
      <w:r>
        <w:rPr>
          <w:rFonts w:hint="eastAsia"/>
          <w:bCs/>
          <w:sz w:val="24"/>
          <w:szCs w:val="24"/>
        </w:rPr>
        <w:t>基金份额净值计价错误达</w:t>
      </w:r>
      <w:r w:rsidR="00B1799D">
        <w:rPr>
          <w:rFonts w:hint="eastAsia"/>
          <w:bCs/>
          <w:sz w:val="24"/>
          <w:szCs w:val="24"/>
        </w:rPr>
        <w:t>该类</w:t>
      </w:r>
      <w:r>
        <w:rPr>
          <w:rFonts w:hint="eastAsia"/>
          <w:bCs/>
          <w:sz w:val="24"/>
          <w:szCs w:val="24"/>
        </w:rPr>
        <w:t>基金份额净值百分之零点五；</w:t>
      </w:r>
    </w:p>
    <w:p w14:paraId="41CAD79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19</w:t>
      </w:r>
      <w:r>
        <w:rPr>
          <w:rFonts w:hint="eastAsia"/>
          <w:bCs/>
          <w:sz w:val="24"/>
          <w:szCs w:val="24"/>
        </w:rPr>
        <w:t>、本基金开始办理申购、赎回；</w:t>
      </w:r>
    </w:p>
    <w:p w14:paraId="1DBED15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本基金发生巨额赎回并延期办理；</w:t>
      </w:r>
    </w:p>
    <w:p w14:paraId="3C72DE7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20</w:t>
      </w:r>
      <w:r>
        <w:rPr>
          <w:rFonts w:hint="eastAsia"/>
          <w:bCs/>
          <w:sz w:val="24"/>
          <w:szCs w:val="24"/>
        </w:rPr>
        <w:t>、本基金连续发生巨额赎回并暂停接受赎回申请或延缓支付赎回款项；</w:t>
      </w:r>
    </w:p>
    <w:p w14:paraId="1DCE24F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21</w:t>
      </w:r>
      <w:r>
        <w:rPr>
          <w:rFonts w:hint="eastAsia"/>
          <w:bCs/>
          <w:sz w:val="24"/>
          <w:szCs w:val="24"/>
        </w:rPr>
        <w:t>、本基金暂停接受申购、赎回申请或重新接受申购、赎回申请；</w:t>
      </w:r>
    </w:p>
    <w:p w14:paraId="086E1E56"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22</w:t>
      </w:r>
      <w:r>
        <w:rPr>
          <w:rFonts w:hint="eastAsia"/>
          <w:bCs/>
          <w:sz w:val="24"/>
          <w:szCs w:val="24"/>
        </w:rPr>
        <w:t>、基金份额暂停上市、恢复上市或终止上市；</w:t>
      </w:r>
    </w:p>
    <w:p w14:paraId="038E789A"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23</w:t>
      </w:r>
      <w:r>
        <w:rPr>
          <w:rFonts w:hint="eastAsia"/>
          <w:bCs/>
          <w:sz w:val="24"/>
          <w:szCs w:val="24"/>
        </w:rPr>
        <w:t>、发生涉及基金申购、赎回事项调整或潜在影响投资者赎回等重大事项时；</w:t>
      </w:r>
    </w:p>
    <w:p w14:paraId="0BB557A2"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24</w:t>
      </w:r>
      <w:r>
        <w:rPr>
          <w:rFonts w:hint="eastAsia"/>
          <w:bCs/>
          <w:sz w:val="24"/>
          <w:szCs w:val="24"/>
        </w:rPr>
        <w:t>、基金信息披露义务人认为可能对基金份额持有人权益或者基金份额的价格产生重大影响的其他事项或中国证监会规定的其他事项。</w:t>
      </w:r>
    </w:p>
    <w:p w14:paraId="46EF915B"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（九）澄清公告</w:t>
      </w:r>
    </w:p>
    <w:p w14:paraId="6FA8300A"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2247E3A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（十）基金份额持有人大会决议</w:t>
      </w:r>
    </w:p>
    <w:p w14:paraId="3AF42B7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基金份额持有人大会决定的事项，应当依法报国务院证券监督管理机构备案，并予以公告。召开基金份额持有人大会的，召集人应当至少提前</w:t>
      </w:r>
      <w:r>
        <w:rPr>
          <w:rFonts w:hint="eastAsia"/>
          <w:bCs/>
          <w:sz w:val="24"/>
          <w:szCs w:val="24"/>
        </w:rPr>
        <w:t>40</w:t>
      </w:r>
      <w:r>
        <w:rPr>
          <w:rFonts w:hint="eastAsia"/>
          <w:bCs/>
          <w:sz w:val="24"/>
          <w:szCs w:val="24"/>
        </w:rPr>
        <w:t>日公告基金份额持有人大会的召开时间、会议形式、审议事项、议事程序和表决方式等事项。</w:t>
      </w:r>
    </w:p>
    <w:p w14:paraId="44356DB8"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基金份额持有人依法自行召集基金份额持有人大会，基金管理人、基金托管人对基金份额持有人大会决定的事项不依法履行信息披露义务的，召集人应当履行相关信息披露义务。</w:t>
      </w:r>
    </w:p>
    <w:p w14:paraId="50BF09BA"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（十一）清算报告</w:t>
      </w:r>
    </w:p>
    <w:p w14:paraId="4BE51543"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2E6D8C60" w14:textId="77777777" w:rsidR="0037652E" w:rsidRDefault="00BF49B0">
      <w:pPr>
        <w:spacing w:line="360" w:lineRule="auto"/>
        <w:ind w:firstLineChars="200" w:firstLine="480"/>
        <w:rPr>
          <w:sz w:val="24"/>
        </w:rPr>
      </w:pPr>
      <w:r>
        <w:rPr>
          <w:rFonts w:hint="eastAsia"/>
          <w:bCs/>
          <w:sz w:val="24"/>
          <w:szCs w:val="24"/>
        </w:rPr>
        <w:lastRenderedPageBreak/>
        <w:t>（十二）</w:t>
      </w:r>
      <w:r>
        <w:rPr>
          <w:rFonts w:hint="eastAsia"/>
          <w:sz w:val="24"/>
        </w:rPr>
        <w:t>实施侧袋机制期间的信息披露</w:t>
      </w:r>
    </w:p>
    <w:p w14:paraId="3BAEFAF8" w14:textId="77777777" w:rsidR="0037652E" w:rsidRDefault="00BF49B0">
      <w:pPr>
        <w:spacing w:line="360" w:lineRule="auto"/>
        <w:ind w:firstLineChars="200" w:firstLine="480"/>
        <w:rPr>
          <w:bCs/>
          <w:sz w:val="24"/>
        </w:rPr>
      </w:pPr>
      <w:r>
        <w:rPr>
          <w:rFonts w:hint="eastAsia"/>
          <w:sz w:val="24"/>
        </w:rPr>
        <w:t>本基金实施侧袋机制的，相关信息披露义务人应当根据法律法规、基金合同和招募说明书的规定进行信息披露，详见本招募说明书“侧袋机制”章节的规定。</w:t>
      </w:r>
    </w:p>
    <w:p w14:paraId="42DEC97F" w14:textId="77777777" w:rsidR="0037652E" w:rsidRDefault="00BF49B0">
      <w:pPr>
        <w:tabs>
          <w:tab w:val="left" w:pos="961"/>
        </w:tabs>
        <w:snapToGrid w:val="0"/>
        <w:spacing w:line="360" w:lineRule="auto"/>
        <w:ind w:firstLineChars="200" w:firstLine="480"/>
        <w:rPr>
          <w:bCs/>
          <w:sz w:val="24"/>
          <w:szCs w:val="24"/>
        </w:rPr>
      </w:pPr>
      <w:r>
        <w:rPr>
          <w:rFonts w:hint="eastAsia"/>
          <w:bCs/>
          <w:sz w:val="24"/>
        </w:rPr>
        <w:t>（十三）</w:t>
      </w:r>
      <w:r>
        <w:rPr>
          <w:rFonts w:hint="eastAsia"/>
          <w:bCs/>
          <w:sz w:val="24"/>
          <w:szCs w:val="24"/>
        </w:rPr>
        <w:t>中国证监会规定的其他信息。</w:t>
      </w:r>
    </w:p>
    <w:p w14:paraId="77E4D8F6"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六、信息披露事务管理</w:t>
      </w:r>
    </w:p>
    <w:p w14:paraId="21644EAE"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基金管理人、基金托管人应当建立健全信息披露管理制度，指定专门部门及高级管理人员负责管理信息披露事务。</w:t>
      </w:r>
    </w:p>
    <w:p w14:paraId="202B1FB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基金信息披露义务人公开披露基金信息，应当符合中国证监会相关基金信息披露内容与格式准则等法规的规定。</w:t>
      </w:r>
    </w:p>
    <w:p w14:paraId="316B5870" w14:textId="385E4FEA"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基金托管人应当按照相关法律法规、中国证监会的规定和《基金合同》的约定，对基金管理人编制的基金资产净值、</w:t>
      </w:r>
      <w:r w:rsidR="004279F6">
        <w:rPr>
          <w:rFonts w:hint="eastAsia"/>
          <w:bCs/>
          <w:sz w:val="24"/>
          <w:szCs w:val="24"/>
        </w:rPr>
        <w:t>各类</w:t>
      </w:r>
      <w:r>
        <w:rPr>
          <w:rFonts w:hint="eastAsia"/>
          <w:bCs/>
          <w:sz w:val="24"/>
          <w:szCs w:val="24"/>
        </w:rPr>
        <w:t>基金份额净值、基金份额申购赎回价格、基金定期报告、更新的招募说明书、基金产品资料概要、基金清算报告等公开披露的相关基金信息进行复核、审查，并向基金管理人进行书面或电子确认。</w:t>
      </w:r>
    </w:p>
    <w:p w14:paraId="7E2C8EA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0E6AD327"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基金托管人除依法在指定媒介上披露信息外，还可以根据需要在其他公共媒介披露信息，但是其他公共媒介不得早于指定媒介、基金上市交易的证券交易所网站披露信息，并且在不同媒介上披露同一信息的内容应当一致。</w:t>
      </w:r>
    </w:p>
    <w:p w14:paraId="33333125"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DF13833"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为基金信息披露义务人公开披露的基金信息出具审计报告、法律意见书的专业机构，应当制作工作底稿，并将相关档案至少保存到《基金合同》终止后</w:t>
      </w:r>
      <w:r>
        <w:rPr>
          <w:rFonts w:hint="eastAsia"/>
          <w:bCs/>
          <w:sz w:val="24"/>
          <w:szCs w:val="24"/>
        </w:rPr>
        <w:t xml:space="preserve">10     </w:t>
      </w:r>
      <w:r>
        <w:rPr>
          <w:rFonts w:hint="eastAsia"/>
          <w:bCs/>
          <w:sz w:val="24"/>
          <w:szCs w:val="24"/>
        </w:rPr>
        <w:t>年。</w:t>
      </w:r>
    </w:p>
    <w:p w14:paraId="3A05DB9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七、信息披露文件的存放与查阅</w:t>
      </w:r>
    </w:p>
    <w:p w14:paraId="0DC6DCC5"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依法必须披露的信息发布后，基金管理人、基金托管人应当按照相关法律法规规定将信息置备于各自住所、基金上市交易的证券交易所，供社会公众查阅、</w:t>
      </w:r>
      <w:r>
        <w:rPr>
          <w:rFonts w:hint="eastAsia"/>
          <w:bCs/>
          <w:sz w:val="24"/>
          <w:szCs w:val="24"/>
        </w:rPr>
        <w:lastRenderedPageBreak/>
        <w:t>复制。</w:t>
      </w:r>
    </w:p>
    <w:p w14:paraId="21103707"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八、本基金信息披露事项以法律法规规定及本章节约定的内容为准。</w:t>
      </w:r>
    </w:p>
    <w:p w14:paraId="061BC9A2" w14:textId="77777777" w:rsidR="0037652E" w:rsidRDefault="0037652E">
      <w:pPr>
        <w:tabs>
          <w:tab w:val="left" w:pos="961"/>
        </w:tabs>
        <w:snapToGrid w:val="0"/>
        <w:spacing w:line="360" w:lineRule="auto"/>
        <w:ind w:firstLineChars="200" w:firstLine="480"/>
        <w:jc w:val="center"/>
        <w:rPr>
          <w:bCs/>
          <w:sz w:val="24"/>
          <w:szCs w:val="24"/>
        </w:rPr>
      </w:pPr>
    </w:p>
    <w:p w14:paraId="73130744" w14:textId="77777777" w:rsidR="0037652E" w:rsidRDefault="0037652E">
      <w:pPr>
        <w:spacing w:line="360" w:lineRule="auto"/>
        <w:ind w:firstLineChars="50" w:firstLine="120"/>
        <w:jc w:val="center"/>
        <w:outlineLvl w:val="0"/>
        <w:rPr>
          <w:rFonts w:ascii="宋体" w:hAnsi="宋体"/>
          <w:b/>
          <w:sz w:val="24"/>
          <w:szCs w:val="24"/>
        </w:rPr>
        <w:sectPr w:rsidR="0037652E">
          <w:footerReference w:type="default" r:id="rId16"/>
          <w:pgSz w:w="11906" w:h="16838"/>
          <w:pgMar w:top="1440" w:right="1797" w:bottom="1440" w:left="1797" w:header="851" w:footer="992" w:gutter="0"/>
          <w:cols w:space="720"/>
          <w:docGrid w:type="lines" w:linePitch="312"/>
        </w:sectPr>
      </w:pPr>
      <w:bookmarkStart w:id="98" w:name="_Toc280368800"/>
    </w:p>
    <w:p w14:paraId="3C0ABD7B" w14:textId="77777777" w:rsidR="0037652E" w:rsidRDefault="00BF49B0">
      <w:pPr>
        <w:spacing w:line="360" w:lineRule="auto"/>
        <w:ind w:firstLineChars="50" w:firstLine="120"/>
        <w:jc w:val="center"/>
        <w:outlineLvl w:val="0"/>
        <w:rPr>
          <w:rFonts w:ascii="宋体" w:hAnsi="宋体"/>
          <w:sz w:val="24"/>
          <w:szCs w:val="24"/>
        </w:rPr>
      </w:pPr>
      <w:bookmarkStart w:id="99" w:name="_Toc64884695"/>
      <w:bookmarkStart w:id="100" w:name="_Toc14169"/>
      <w:bookmarkStart w:id="101" w:name="_Toc48822536"/>
      <w:bookmarkStart w:id="102" w:name="_Toc30184"/>
      <w:bookmarkStart w:id="103" w:name="_Toc48207678"/>
      <w:bookmarkStart w:id="104" w:name="_Toc65325124"/>
      <w:bookmarkStart w:id="105" w:name="_Toc110606858"/>
      <w:r>
        <w:rPr>
          <w:rFonts w:ascii="宋体" w:hAnsi="宋体" w:hint="eastAsia"/>
          <w:b/>
          <w:sz w:val="24"/>
          <w:szCs w:val="24"/>
        </w:rPr>
        <w:lastRenderedPageBreak/>
        <w:t>第十七部分</w:t>
      </w:r>
      <w:r>
        <w:rPr>
          <w:rFonts w:ascii="宋体" w:hAnsi="宋体"/>
          <w:b/>
          <w:sz w:val="24"/>
          <w:szCs w:val="24"/>
        </w:rPr>
        <w:t xml:space="preserve"> </w:t>
      </w:r>
      <w:r>
        <w:rPr>
          <w:rFonts w:ascii="宋体" w:hAnsi="宋体" w:hint="eastAsia"/>
          <w:b/>
          <w:sz w:val="24"/>
          <w:szCs w:val="24"/>
        </w:rPr>
        <w:t>侧袋机制</w:t>
      </w:r>
      <w:bookmarkEnd w:id="99"/>
      <w:bookmarkEnd w:id="100"/>
      <w:bookmarkEnd w:id="101"/>
      <w:bookmarkEnd w:id="102"/>
      <w:bookmarkEnd w:id="103"/>
      <w:bookmarkEnd w:id="104"/>
      <w:bookmarkEnd w:id="105"/>
    </w:p>
    <w:p w14:paraId="0313E23E" w14:textId="77777777" w:rsidR="0037652E" w:rsidRDefault="0037652E">
      <w:pPr>
        <w:spacing w:line="360" w:lineRule="auto"/>
        <w:ind w:firstLineChars="200" w:firstLine="480"/>
        <w:rPr>
          <w:bCs/>
          <w:sz w:val="24"/>
        </w:rPr>
      </w:pPr>
    </w:p>
    <w:p w14:paraId="2CDB0DBC" w14:textId="77777777" w:rsidR="0037652E" w:rsidRDefault="00BF49B0">
      <w:pPr>
        <w:spacing w:line="360" w:lineRule="auto"/>
        <w:ind w:firstLineChars="200" w:firstLine="480"/>
        <w:rPr>
          <w:bCs/>
          <w:sz w:val="24"/>
        </w:rPr>
      </w:pPr>
      <w:r>
        <w:rPr>
          <w:rFonts w:hint="eastAsia"/>
          <w:bCs/>
          <w:sz w:val="24"/>
        </w:rPr>
        <w:t>一、侧袋机制的实施条件、实施程序</w:t>
      </w:r>
    </w:p>
    <w:p w14:paraId="6AAABB64" w14:textId="77777777" w:rsidR="0037652E" w:rsidRDefault="00BF49B0">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14:paraId="32E3D0DB" w14:textId="77777777" w:rsidR="0037652E" w:rsidRDefault="00BF49B0">
      <w:pPr>
        <w:spacing w:line="360" w:lineRule="auto"/>
        <w:ind w:firstLineChars="200" w:firstLine="480"/>
        <w:rPr>
          <w:bCs/>
          <w:sz w:val="24"/>
        </w:rPr>
      </w:pPr>
      <w:r>
        <w:rPr>
          <w:rFonts w:hint="eastAsia"/>
          <w:bCs/>
          <w:sz w:val="24"/>
        </w:rPr>
        <w:t>启用侧袋机制当日，基金管理人应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68D0401E" w14:textId="77777777" w:rsidR="0037652E" w:rsidRDefault="00BF49B0">
      <w:pPr>
        <w:spacing w:line="360" w:lineRule="auto"/>
        <w:ind w:firstLineChars="200" w:firstLine="480"/>
        <w:rPr>
          <w:bCs/>
          <w:sz w:val="24"/>
        </w:rPr>
      </w:pPr>
      <w:r>
        <w:rPr>
          <w:bCs/>
          <w:sz w:val="24"/>
        </w:rPr>
        <w:t>二</w:t>
      </w:r>
      <w:r>
        <w:rPr>
          <w:rFonts w:hint="eastAsia"/>
          <w:bCs/>
          <w:sz w:val="24"/>
        </w:rPr>
        <w:t>、侧袋机制实施期间的基金运作安排</w:t>
      </w:r>
    </w:p>
    <w:p w14:paraId="1838A195" w14:textId="77777777" w:rsidR="0037652E" w:rsidRDefault="00BF49B0">
      <w:pPr>
        <w:spacing w:line="360" w:lineRule="auto"/>
        <w:ind w:firstLineChars="200" w:firstLine="480"/>
        <w:rPr>
          <w:bCs/>
          <w:sz w:val="24"/>
        </w:rPr>
      </w:pPr>
      <w:r>
        <w:rPr>
          <w:rFonts w:hint="eastAsia"/>
          <w:bCs/>
          <w:sz w:val="24"/>
        </w:rPr>
        <w:t>（一）基金份额的申购与赎回</w:t>
      </w:r>
    </w:p>
    <w:p w14:paraId="4F9B8D12" w14:textId="77777777" w:rsidR="0037652E" w:rsidRDefault="00BF49B0">
      <w:pPr>
        <w:spacing w:line="360" w:lineRule="auto"/>
        <w:ind w:firstLineChars="200" w:firstLine="480"/>
        <w:rPr>
          <w:bCs/>
          <w:sz w:val="24"/>
        </w:rPr>
      </w:pPr>
      <w:r>
        <w:rPr>
          <w:bCs/>
          <w:sz w:val="24"/>
        </w:rPr>
        <w:t>1</w:t>
      </w:r>
      <w:r>
        <w:rPr>
          <w:rFonts w:hint="eastAsia"/>
          <w:bCs/>
          <w:sz w:val="24"/>
        </w:rPr>
        <w:t>、侧袋账户</w:t>
      </w:r>
    </w:p>
    <w:p w14:paraId="1D7FD15E" w14:textId="77777777" w:rsidR="0037652E" w:rsidRDefault="00BF49B0">
      <w:pPr>
        <w:spacing w:line="360" w:lineRule="auto"/>
        <w:ind w:firstLineChars="200" w:firstLine="480"/>
        <w:rPr>
          <w:bCs/>
          <w:sz w:val="24"/>
        </w:rPr>
      </w:pPr>
      <w:r>
        <w:rPr>
          <w:rFonts w:hint="eastAsia"/>
          <w:bCs/>
          <w:sz w:val="24"/>
        </w:rPr>
        <w:t>侧袋机制实施期间，基金管理人不办理侧袋账户的申购、赎回和转换。基金份额持有人申请申购、赎回或转换侧袋账户基金份额的，该申购、赎回或转换申请将被拒绝。</w:t>
      </w:r>
    </w:p>
    <w:p w14:paraId="4B8FD738" w14:textId="77777777" w:rsidR="0037652E" w:rsidRDefault="00BF49B0">
      <w:pPr>
        <w:spacing w:line="360" w:lineRule="auto"/>
        <w:ind w:firstLineChars="200" w:firstLine="480"/>
        <w:rPr>
          <w:bCs/>
          <w:sz w:val="24"/>
        </w:rPr>
      </w:pPr>
      <w:r>
        <w:rPr>
          <w:bCs/>
          <w:sz w:val="24"/>
        </w:rPr>
        <w:t>2</w:t>
      </w:r>
      <w:r>
        <w:rPr>
          <w:rFonts w:hint="eastAsia"/>
          <w:bCs/>
          <w:sz w:val="24"/>
        </w:rPr>
        <w:t>、主袋账户</w:t>
      </w:r>
    </w:p>
    <w:p w14:paraId="6840518A" w14:textId="77777777" w:rsidR="0037652E" w:rsidRDefault="00BF49B0">
      <w:pPr>
        <w:spacing w:line="360" w:lineRule="auto"/>
        <w:ind w:firstLineChars="200" w:firstLine="480"/>
        <w:rPr>
          <w:bCs/>
          <w:sz w:val="24"/>
        </w:rPr>
      </w:pPr>
      <w:r>
        <w:rPr>
          <w:rFonts w:hint="eastAsia"/>
          <w:bCs/>
          <w:sz w:val="24"/>
        </w:rPr>
        <w:t>基金管理人将依法保障主袋账户份额持有人享有基金合同约定的赎回权利，并根据主袋账户运作情况合理确定申购事项，具体事项届时将由基金管理人在相关公告中规定。</w:t>
      </w:r>
    </w:p>
    <w:p w14:paraId="0684FEF1" w14:textId="77777777" w:rsidR="0037652E" w:rsidRDefault="00BF49B0">
      <w:pPr>
        <w:spacing w:line="360" w:lineRule="auto"/>
        <w:ind w:firstLineChars="200" w:firstLine="480"/>
        <w:rPr>
          <w:bCs/>
          <w:sz w:val="24"/>
        </w:rPr>
      </w:pPr>
      <w:r>
        <w:rPr>
          <w:rFonts w:hint="eastAsia"/>
          <w:bCs/>
          <w:sz w:val="24"/>
        </w:rPr>
        <w:t>本招募说明书“基金份额的申购与赎回”部分的申购、赎回规定适用于主袋账户份额。巨额赎回按照单个开放日内主袋账户份额净赎回申请超过前一开放日主袋账户总份额的</w:t>
      </w:r>
      <w:r>
        <w:rPr>
          <w:rFonts w:hint="eastAsia"/>
          <w:bCs/>
          <w:sz w:val="24"/>
        </w:rPr>
        <w:t>10%</w:t>
      </w:r>
      <w:r>
        <w:rPr>
          <w:rFonts w:hint="eastAsia"/>
          <w:bCs/>
          <w:sz w:val="24"/>
        </w:rPr>
        <w:t>认定。</w:t>
      </w:r>
    </w:p>
    <w:p w14:paraId="373514EE" w14:textId="77777777" w:rsidR="0037652E" w:rsidRDefault="00BF49B0">
      <w:pPr>
        <w:spacing w:line="360" w:lineRule="auto"/>
        <w:ind w:firstLineChars="200" w:firstLine="480"/>
        <w:rPr>
          <w:bCs/>
          <w:sz w:val="24"/>
        </w:rPr>
      </w:pPr>
      <w:r>
        <w:rPr>
          <w:rFonts w:hint="eastAsia"/>
          <w:bCs/>
          <w:sz w:val="24"/>
        </w:rPr>
        <w:t>（二）基金的投资</w:t>
      </w:r>
    </w:p>
    <w:p w14:paraId="0A70BCD7" w14:textId="77777777" w:rsidR="0037652E" w:rsidRDefault="00BF49B0">
      <w:pPr>
        <w:spacing w:line="360" w:lineRule="auto"/>
        <w:ind w:firstLineChars="200" w:firstLine="480"/>
        <w:rPr>
          <w:bCs/>
          <w:sz w:val="24"/>
        </w:rPr>
      </w:pPr>
      <w:r>
        <w:rPr>
          <w:rFonts w:hint="eastAsia"/>
          <w:bCs/>
          <w:sz w:val="24"/>
        </w:rPr>
        <w:t>侧袋机制实施期间，招募说明书“基金的投资”部分约定的投资组合比例、投资策略、组合限制、业绩比较基准、风险收益特征等约定仅适用于主袋账户；且本基金的各项投资运作指标和基金业绩指标应当以主袋账户资产为基准。</w:t>
      </w:r>
    </w:p>
    <w:p w14:paraId="2209376F" w14:textId="77777777" w:rsidR="0037652E" w:rsidRDefault="00BF49B0">
      <w:pPr>
        <w:spacing w:line="360" w:lineRule="auto"/>
        <w:ind w:firstLineChars="200" w:firstLine="480"/>
        <w:rPr>
          <w:bCs/>
          <w:sz w:val="24"/>
        </w:rPr>
      </w:pPr>
      <w:r>
        <w:rPr>
          <w:rFonts w:hint="eastAsia"/>
          <w:bCs/>
          <w:sz w:val="24"/>
        </w:rPr>
        <w:lastRenderedPageBreak/>
        <w:t>基金管理人原则上应当在侧袋机制启用后</w:t>
      </w:r>
      <w:r>
        <w:rPr>
          <w:bCs/>
          <w:sz w:val="24"/>
        </w:rPr>
        <w:t>20</w:t>
      </w:r>
      <w:r>
        <w:rPr>
          <w:rFonts w:hint="eastAsia"/>
          <w:bCs/>
          <w:sz w:val="24"/>
        </w:rPr>
        <w:t>个交易日内完成对主袋账户投资组合的调整，但因资产流动性受限等中国证监会规定的情形除外。</w:t>
      </w:r>
    </w:p>
    <w:p w14:paraId="56A0610F" w14:textId="77777777" w:rsidR="0037652E" w:rsidRDefault="00BF49B0">
      <w:pPr>
        <w:spacing w:line="360" w:lineRule="auto"/>
        <w:ind w:firstLineChars="200" w:firstLine="480"/>
        <w:rPr>
          <w:bCs/>
          <w:sz w:val="24"/>
        </w:rPr>
      </w:pPr>
      <w:r>
        <w:rPr>
          <w:rFonts w:hint="eastAsia"/>
          <w:bCs/>
          <w:sz w:val="24"/>
        </w:rPr>
        <w:t>基金管理人不得在侧袋账户中进行除特定资产处置变现以外的其他投资操作。</w:t>
      </w:r>
    </w:p>
    <w:p w14:paraId="61B85E14" w14:textId="77777777" w:rsidR="0037652E" w:rsidRDefault="00BF49B0">
      <w:pPr>
        <w:spacing w:line="360" w:lineRule="auto"/>
        <w:ind w:firstLineChars="200" w:firstLine="480"/>
        <w:rPr>
          <w:bCs/>
          <w:sz w:val="24"/>
        </w:rPr>
      </w:pPr>
      <w:r>
        <w:rPr>
          <w:rFonts w:hint="eastAsia"/>
          <w:bCs/>
          <w:sz w:val="24"/>
        </w:rPr>
        <w:t>（三）基金的费用</w:t>
      </w:r>
    </w:p>
    <w:p w14:paraId="78FE191A" w14:textId="77777777" w:rsidR="0037652E" w:rsidRDefault="00BF49B0">
      <w:pPr>
        <w:spacing w:line="360" w:lineRule="auto"/>
        <w:ind w:firstLineChars="200" w:firstLine="480"/>
        <w:rPr>
          <w:bCs/>
          <w:sz w:val="24"/>
        </w:rPr>
      </w:pPr>
      <w:r>
        <w:rPr>
          <w:rFonts w:hint="eastAsia"/>
          <w:bCs/>
          <w:sz w:val="24"/>
        </w:rPr>
        <w:t>侧袋机制实施期间，侧袋账户资产不收取管理费。</w:t>
      </w:r>
    </w:p>
    <w:p w14:paraId="4715F39B" w14:textId="77777777" w:rsidR="0037652E" w:rsidRDefault="00BF49B0">
      <w:pPr>
        <w:spacing w:line="360" w:lineRule="auto"/>
        <w:ind w:firstLineChars="200" w:firstLine="480"/>
        <w:rPr>
          <w:bCs/>
          <w:sz w:val="24"/>
        </w:rPr>
      </w:pPr>
      <w:r>
        <w:rPr>
          <w:rFonts w:hint="eastAsia"/>
          <w:bCs/>
          <w:sz w:val="24"/>
        </w:rPr>
        <w:t>基金管理人可以将与侧袋账户有关的费用从侧袋账户资产中列支，但应待特定资产变现后方可列支。</w:t>
      </w:r>
    </w:p>
    <w:p w14:paraId="302F5036" w14:textId="77777777" w:rsidR="0037652E" w:rsidRDefault="00BF49B0">
      <w:pPr>
        <w:spacing w:line="360" w:lineRule="auto"/>
        <w:ind w:firstLineChars="200" w:firstLine="480"/>
        <w:rPr>
          <w:bCs/>
          <w:sz w:val="24"/>
        </w:rPr>
      </w:pPr>
      <w:r>
        <w:rPr>
          <w:rFonts w:hint="eastAsia"/>
          <w:bCs/>
          <w:sz w:val="24"/>
        </w:rPr>
        <w:t>主袋账户的管理费和托管费等费用仍按主袋账户基金资产净值作为基数计提。</w:t>
      </w:r>
    </w:p>
    <w:p w14:paraId="2224E55C" w14:textId="77777777" w:rsidR="0037652E" w:rsidRDefault="00BF49B0">
      <w:pPr>
        <w:spacing w:line="360" w:lineRule="auto"/>
        <w:ind w:firstLineChars="200" w:firstLine="480"/>
        <w:rPr>
          <w:bCs/>
          <w:sz w:val="24"/>
        </w:rPr>
      </w:pPr>
      <w:r>
        <w:rPr>
          <w:rFonts w:hint="eastAsia"/>
          <w:bCs/>
          <w:sz w:val="24"/>
        </w:rPr>
        <w:t>（四）基金的收益分配</w:t>
      </w:r>
    </w:p>
    <w:p w14:paraId="7C7FC7AB" w14:textId="77777777" w:rsidR="0037652E" w:rsidRDefault="00BF49B0">
      <w:pPr>
        <w:spacing w:line="360" w:lineRule="auto"/>
        <w:ind w:firstLineChars="200" w:firstLine="480"/>
        <w:rPr>
          <w:bCs/>
          <w:sz w:val="24"/>
        </w:rPr>
      </w:pPr>
      <w:r>
        <w:rPr>
          <w:rFonts w:hint="eastAsia"/>
          <w:bCs/>
          <w:sz w:val="24"/>
        </w:rPr>
        <w:t>侧袋机制实施期间，在主袋账户份额满足基金合同收益分配条件的情形下，基金管理人可对主袋账户份额进行收益分配。侧袋账户不进行收益分配。</w:t>
      </w:r>
    </w:p>
    <w:p w14:paraId="4D1BF5BD" w14:textId="77777777" w:rsidR="0037652E" w:rsidRDefault="00BF49B0">
      <w:pPr>
        <w:spacing w:line="360" w:lineRule="auto"/>
        <w:ind w:firstLineChars="200" w:firstLine="480"/>
        <w:rPr>
          <w:bCs/>
          <w:sz w:val="24"/>
        </w:rPr>
      </w:pPr>
      <w:r>
        <w:rPr>
          <w:rFonts w:hint="eastAsia"/>
          <w:bCs/>
          <w:sz w:val="24"/>
        </w:rPr>
        <w:t>（五）基金的信息披露</w:t>
      </w:r>
    </w:p>
    <w:p w14:paraId="44AF2EFF" w14:textId="77777777" w:rsidR="0037652E" w:rsidRDefault="00BF49B0">
      <w:pPr>
        <w:spacing w:line="360" w:lineRule="auto"/>
        <w:ind w:firstLineChars="200" w:firstLine="480"/>
        <w:rPr>
          <w:bCs/>
          <w:sz w:val="24"/>
        </w:rPr>
      </w:pPr>
      <w:r>
        <w:rPr>
          <w:bCs/>
          <w:sz w:val="24"/>
        </w:rPr>
        <w:t>1</w:t>
      </w:r>
      <w:r>
        <w:rPr>
          <w:rFonts w:hint="eastAsia"/>
          <w:bCs/>
          <w:sz w:val="24"/>
        </w:rPr>
        <w:t>、基金净值信息</w:t>
      </w:r>
    </w:p>
    <w:p w14:paraId="0FAAD697" w14:textId="77777777" w:rsidR="0037652E" w:rsidRDefault="00BF49B0">
      <w:pPr>
        <w:spacing w:line="360" w:lineRule="auto"/>
        <w:ind w:firstLineChars="200" w:firstLine="480"/>
        <w:rPr>
          <w:bCs/>
          <w:sz w:val="24"/>
        </w:rPr>
      </w:pPr>
      <w:r>
        <w:rPr>
          <w:rFonts w:hint="eastAsia"/>
          <w:bCs/>
          <w:sz w:val="24"/>
        </w:rPr>
        <w:t>基金管理人应按照招募说明书“基金的信息披露”部分规定的基金净值信息披露方式和频率披露主袋账户份额的基金净值信息。侧袋机制实施期间，基金管理人应当暂停披露侧袋账户的基金份额净值和基金份额累计净值。</w:t>
      </w:r>
    </w:p>
    <w:p w14:paraId="27F70C30" w14:textId="77777777" w:rsidR="0037652E" w:rsidRDefault="00BF49B0">
      <w:pPr>
        <w:spacing w:line="360" w:lineRule="auto"/>
        <w:ind w:firstLineChars="200" w:firstLine="480"/>
        <w:rPr>
          <w:bCs/>
          <w:sz w:val="24"/>
        </w:rPr>
      </w:pPr>
      <w:r>
        <w:rPr>
          <w:bCs/>
          <w:sz w:val="24"/>
        </w:rPr>
        <w:t>2</w:t>
      </w:r>
      <w:r>
        <w:rPr>
          <w:rFonts w:hint="eastAsia"/>
          <w:bCs/>
          <w:sz w:val="24"/>
        </w:rPr>
        <w:t>、定期报告</w:t>
      </w:r>
    </w:p>
    <w:p w14:paraId="4B9B6328" w14:textId="77777777" w:rsidR="0037652E" w:rsidRDefault="00BF49B0">
      <w:pPr>
        <w:spacing w:line="360" w:lineRule="auto"/>
        <w:ind w:firstLineChars="200" w:firstLine="480"/>
        <w:rPr>
          <w:bCs/>
          <w:sz w:val="24"/>
        </w:rPr>
      </w:pPr>
      <w:r>
        <w:rPr>
          <w:rFonts w:hint="eastAsia"/>
          <w:bCs/>
          <w:sz w:val="24"/>
        </w:rPr>
        <w:t>基金管理人应当在基金定期报告中披露报告期内特定资产处置进展情况，披露报告期末特定资产可变现净值或净值区间的，该净值或净值区间并不代表特定资产最终的变现价格，不作为基金管理人对特定资产最终变现价格的承诺。</w:t>
      </w:r>
    </w:p>
    <w:p w14:paraId="2337C794" w14:textId="77777777" w:rsidR="0037652E" w:rsidRDefault="00BF49B0">
      <w:pPr>
        <w:spacing w:line="360" w:lineRule="auto"/>
        <w:ind w:firstLineChars="200" w:firstLine="480"/>
        <w:rPr>
          <w:bCs/>
          <w:sz w:val="24"/>
        </w:rPr>
      </w:pPr>
      <w:r>
        <w:rPr>
          <w:rFonts w:hint="eastAsia"/>
          <w:bCs/>
          <w:sz w:val="24"/>
        </w:rPr>
        <w:t>侧袋机制实施期间，基金定期报告中的基金会计报表仅需针对主袋账户进行编制。会计师事务所对基金年度报告进行审计时，应对报告期内基金侧袋机制运行相关的会计核算和年度报告披露等发表审计意见。</w:t>
      </w:r>
    </w:p>
    <w:p w14:paraId="2DF04EA3" w14:textId="77777777" w:rsidR="0037652E" w:rsidRDefault="00BF49B0">
      <w:pPr>
        <w:spacing w:line="360" w:lineRule="auto"/>
        <w:ind w:firstLineChars="200" w:firstLine="480"/>
        <w:rPr>
          <w:bCs/>
          <w:sz w:val="24"/>
        </w:rPr>
      </w:pPr>
      <w:r>
        <w:rPr>
          <w:bCs/>
          <w:sz w:val="24"/>
        </w:rPr>
        <w:t>3</w:t>
      </w:r>
      <w:r>
        <w:rPr>
          <w:rFonts w:hint="eastAsia"/>
          <w:bCs/>
          <w:sz w:val="24"/>
        </w:rPr>
        <w:t>、临时报告</w:t>
      </w:r>
    </w:p>
    <w:p w14:paraId="77057CD5" w14:textId="77777777" w:rsidR="0037652E" w:rsidRDefault="00BF49B0">
      <w:pPr>
        <w:spacing w:line="360" w:lineRule="auto"/>
        <w:ind w:firstLineChars="200" w:firstLine="480"/>
        <w:rPr>
          <w:bCs/>
          <w:sz w:val="24"/>
        </w:rPr>
      </w:pPr>
      <w:r>
        <w:rPr>
          <w:rFonts w:hint="eastAsia"/>
          <w:bCs/>
          <w:sz w:val="24"/>
        </w:rPr>
        <w:t>基金管理人在启用侧袋机制、处置特定资产、终止侧袋机制以及发生其他可能对投资者利益产生重大影响的事项后应及时发布临时公告。</w:t>
      </w:r>
    </w:p>
    <w:p w14:paraId="2892EB5F" w14:textId="77777777" w:rsidR="0037652E" w:rsidRDefault="00BF49B0">
      <w:pPr>
        <w:spacing w:line="360" w:lineRule="auto"/>
        <w:ind w:firstLineChars="200" w:firstLine="480"/>
        <w:rPr>
          <w:bCs/>
          <w:sz w:val="24"/>
        </w:rPr>
      </w:pPr>
      <w:r>
        <w:rPr>
          <w:rFonts w:hint="eastAsia"/>
          <w:bCs/>
          <w:sz w:val="24"/>
        </w:rPr>
        <w:t>启用侧袋机制的临时公告内容应当包括启用原因及程序、特定资产流动性和</w:t>
      </w:r>
      <w:r>
        <w:rPr>
          <w:rFonts w:hint="eastAsia"/>
          <w:bCs/>
          <w:sz w:val="24"/>
        </w:rPr>
        <w:lastRenderedPageBreak/>
        <w:t>估值情况、对投资者申购赎回的影响、风险提示等重要信息。</w:t>
      </w:r>
    </w:p>
    <w:p w14:paraId="275C55E2" w14:textId="77777777" w:rsidR="0037652E" w:rsidRDefault="00BF49B0">
      <w:pPr>
        <w:spacing w:line="360" w:lineRule="auto"/>
        <w:ind w:firstLineChars="200" w:firstLine="480"/>
        <w:rPr>
          <w:bCs/>
          <w:sz w:val="24"/>
        </w:rPr>
      </w:pPr>
      <w:r>
        <w:rPr>
          <w:rFonts w:hint="eastAsia"/>
          <w:bCs/>
          <w:sz w:val="24"/>
        </w:rPr>
        <w:t>处置特定资产的临时公告内容应当包括特定资产处置价格和时间、向侧袋账户份额持有人支付的款项、相关费用发生情况等重要信息。</w:t>
      </w:r>
    </w:p>
    <w:p w14:paraId="1C5785B0" w14:textId="77777777" w:rsidR="0037652E" w:rsidRDefault="00BF49B0">
      <w:pPr>
        <w:spacing w:line="360" w:lineRule="auto"/>
        <w:ind w:firstLineChars="200" w:firstLine="480"/>
        <w:rPr>
          <w:bCs/>
          <w:sz w:val="24"/>
        </w:rPr>
      </w:pPr>
      <w:r>
        <w:rPr>
          <w:rFonts w:hint="eastAsia"/>
          <w:bCs/>
          <w:sz w:val="24"/>
        </w:rPr>
        <w:t>（六）特定资产处置清算</w:t>
      </w:r>
    </w:p>
    <w:p w14:paraId="64B06875" w14:textId="77777777" w:rsidR="0037652E" w:rsidRDefault="00BF49B0">
      <w:pPr>
        <w:spacing w:line="360" w:lineRule="auto"/>
        <w:ind w:firstLineChars="200" w:firstLine="480"/>
        <w:rPr>
          <w:bCs/>
          <w:sz w:val="24"/>
        </w:rPr>
      </w:pPr>
      <w:r>
        <w:rPr>
          <w:rFonts w:hint="eastAsia"/>
          <w:bCs/>
          <w:sz w:val="24"/>
        </w:rPr>
        <w:t>特定资产以可出售、可转让、恢复交易等方式恢复流动性后，基金管理人将按照基金份额持有人利益最大化原则，采取将特定资产予以处置变现等方式，及时向侧袋账户份额持有人支付的款项。</w:t>
      </w:r>
    </w:p>
    <w:p w14:paraId="5EA44132" w14:textId="77777777" w:rsidR="0037652E" w:rsidRDefault="00BF49B0">
      <w:pPr>
        <w:spacing w:line="360" w:lineRule="auto"/>
        <w:ind w:firstLineChars="200" w:firstLine="480"/>
        <w:rPr>
          <w:bCs/>
          <w:sz w:val="24"/>
        </w:rPr>
      </w:pPr>
      <w:r>
        <w:rPr>
          <w:rFonts w:hint="eastAsia"/>
          <w:bCs/>
          <w:sz w:val="24"/>
        </w:rPr>
        <w:t>（七）侧袋的审计</w:t>
      </w:r>
    </w:p>
    <w:p w14:paraId="5E65FC32" w14:textId="77777777" w:rsidR="0037652E" w:rsidRDefault="00BF49B0">
      <w:pPr>
        <w:spacing w:line="360" w:lineRule="auto"/>
        <w:ind w:firstLineChars="200" w:firstLine="480"/>
        <w:rPr>
          <w:bCs/>
          <w:sz w:val="24"/>
        </w:rPr>
      </w:pPr>
      <w:r>
        <w:rPr>
          <w:rFonts w:hint="eastAsia"/>
          <w:bCs/>
          <w:sz w:val="24"/>
        </w:rPr>
        <w:t>基金管理人应当在启用侧袋机制和终止侧袋机制后，及时聘请符合《中华人民共和国证券法》规定的会计师事务所进行审计并披露专项审计意见。</w:t>
      </w:r>
    </w:p>
    <w:p w14:paraId="0988ECA0" w14:textId="77777777" w:rsidR="0037652E" w:rsidRDefault="00BF49B0">
      <w:pPr>
        <w:spacing w:line="360" w:lineRule="auto"/>
        <w:ind w:firstLineChars="200" w:firstLine="480"/>
        <w:rPr>
          <w:bCs/>
          <w:sz w:val="24"/>
        </w:rPr>
      </w:pPr>
      <w:r>
        <w:rPr>
          <w:rFonts w:hint="eastAsia"/>
          <w:bCs/>
          <w:sz w:val="24"/>
        </w:rPr>
        <w:t>三、本部分关于侧袋机制的相关规定，凡是直接引用法律法规或监管规则的部分，如将来法律法规或监管规则修改导致相关内容被取消或变更的，基金管理人经与基金托管人协商一致并履行适当程序后，可直接对本部分内容进行修改和调整，无需召开基金份额持有人大会审议。</w:t>
      </w:r>
    </w:p>
    <w:p w14:paraId="64EA5D29" w14:textId="77777777" w:rsidR="0037652E" w:rsidRDefault="0037652E">
      <w:pPr>
        <w:spacing w:line="360" w:lineRule="auto"/>
        <w:ind w:firstLineChars="200" w:firstLine="480"/>
        <w:rPr>
          <w:bCs/>
          <w:sz w:val="24"/>
        </w:rPr>
      </w:pPr>
    </w:p>
    <w:p w14:paraId="0E04E017" w14:textId="77777777" w:rsidR="0037652E" w:rsidRDefault="00BF49B0">
      <w:pPr>
        <w:spacing w:line="360" w:lineRule="auto"/>
        <w:ind w:firstLineChars="50" w:firstLine="105"/>
        <w:jc w:val="center"/>
        <w:outlineLvl w:val="0"/>
        <w:rPr>
          <w:rFonts w:ascii="宋体" w:hAnsi="宋体"/>
          <w:b/>
          <w:sz w:val="24"/>
          <w:szCs w:val="24"/>
        </w:rPr>
      </w:pPr>
      <w:r>
        <w:rPr>
          <w:bCs/>
        </w:rPr>
        <w:br w:type="page"/>
      </w:r>
      <w:bookmarkStart w:id="106" w:name="_Toc12352"/>
      <w:bookmarkStart w:id="107" w:name="_Toc65325125"/>
      <w:bookmarkStart w:id="108" w:name="_Toc3686"/>
      <w:bookmarkStart w:id="109" w:name="_Toc110606859"/>
      <w:r>
        <w:rPr>
          <w:rFonts w:ascii="宋体" w:hAnsi="宋体" w:hint="eastAsia"/>
          <w:b/>
          <w:sz w:val="24"/>
          <w:szCs w:val="24"/>
        </w:rPr>
        <w:lastRenderedPageBreak/>
        <w:t xml:space="preserve">第十八部分 </w:t>
      </w:r>
      <w:r>
        <w:rPr>
          <w:rFonts w:ascii="宋体" w:hAnsi="宋体"/>
          <w:b/>
          <w:sz w:val="24"/>
          <w:szCs w:val="24"/>
        </w:rPr>
        <w:t>基金</w:t>
      </w:r>
      <w:r>
        <w:rPr>
          <w:rFonts w:ascii="宋体" w:hAnsi="宋体" w:hint="eastAsia"/>
          <w:b/>
          <w:sz w:val="24"/>
          <w:szCs w:val="24"/>
        </w:rPr>
        <w:t>合同的变更、终止与基金财产的清算</w:t>
      </w:r>
      <w:bookmarkEnd w:id="98"/>
      <w:bookmarkEnd w:id="106"/>
      <w:bookmarkEnd w:id="107"/>
      <w:bookmarkEnd w:id="108"/>
      <w:bookmarkEnd w:id="109"/>
    </w:p>
    <w:p w14:paraId="6C157EEF" w14:textId="77777777" w:rsidR="0037652E" w:rsidRDefault="0037652E">
      <w:pPr>
        <w:tabs>
          <w:tab w:val="left" w:pos="961"/>
        </w:tabs>
        <w:snapToGrid w:val="0"/>
        <w:spacing w:line="360" w:lineRule="auto"/>
        <w:ind w:firstLineChars="200" w:firstLine="420"/>
        <w:rPr>
          <w:bCs/>
          <w:szCs w:val="21"/>
        </w:rPr>
      </w:pPr>
    </w:p>
    <w:p w14:paraId="0FB399F4" w14:textId="77777777" w:rsidR="0037652E" w:rsidRDefault="00BF49B0">
      <w:pPr>
        <w:tabs>
          <w:tab w:val="left" w:pos="961"/>
        </w:tabs>
        <w:snapToGrid w:val="0"/>
        <w:spacing w:line="360" w:lineRule="auto"/>
        <w:ind w:firstLineChars="200" w:firstLine="482"/>
        <w:rPr>
          <w:b/>
          <w:bCs/>
          <w:sz w:val="24"/>
          <w:szCs w:val="24"/>
        </w:rPr>
      </w:pPr>
      <w:r>
        <w:rPr>
          <w:b/>
          <w:bCs/>
          <w:sz w:val="24"/>
          <w:szCs w:val="24"/>
        </w:rPr>
        <w:t>一、《基金合同》的变更</w:t>
      </w:r>
    </w:p>
    <w:p w14:paraId="7825D451"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、以下变更《基金合同》的事项应经基金份额持有人大会决议通过：</w:t>
      </w:r>
    </w:p>
    <w:p w14:paraId="5E4F2DD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）终止《基金合同》；</w:t>
      </w:r>
    </w:p>
    <w:p w14:paraId="1E9EB29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）更换基金管理人；</w:t>
      </w:r>
      <w:r>
        <w:rPr>
          <w:bCs/>
          <w:sz w:val="24"/>
          <w:szCs w:val="24"/>
        </w:rPr>
        <w:t xml:space="preserve"> </w:t>
      </w:r>
    </w:p>
    <w:p w14:paraId="49359BF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）更换基金托管人；</w:t>
      </w:r>
    </w:p>
    <w:p w14:paraId="28AC9E5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）转换基金运作方式；</w:t>
      </w:r>
    </w:p>
    <w:p w14:paraId="0143E42D" w14:textId="5D62F31F"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）提高基金管理人、基金托管人的报酬标准</w:t>
      </w:r>
      <w:r w:rsidR="00820C35" w:rsidRPr="00820C35">
        <w:rPr>
          <w:rFonts w:hint="eastAsia"/>
          <w:bCs/>
          <w:sz w:val="24"/>
          <w:szCs w:val="24"/>
        </w:rPr>
        <w:t>或提高销售服务费率</w:t>
      </w:r>
      <w:r>
        <w:rPr>
          <w:bCs/>
          <w:sz w:val="24"/>
          <w:szCs w:val="24"/>
        </w:rPr>
        <w:t>。但根据法律法规的要求提高该等报酬标准</w:t>
      </w:r>
      <w:r w:rsidR="00820C35" w:rsidRPr="00820C35">
        <w:rPr>
          <w:rFonts w:hint="eastAsia"/>
          <w:bCs/>
          <w:sz w:val="24"/>
          <w:szCs w:val="24"/>
        </w:rPr>
        <w:t>或提高销售服务费率</w:t>
      </w:r>
      <w:r>
        <w:rPr>
          <w:bCs/>
          <w:sz w:val="24"/>
          <w:szCs w:val="24"/>
        </w:rPr>
        <w:t>的除外；</w:t>
      </w:r>
    </w:p>
    <w:p w14:paraId="2495410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）变更基金类别；</w:t>
      </w:r>
    </w:p>
    <w:p w14:paraId="0CEC899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）本基金与其他基金的合并；</w:t>
      </w:r>
    </w:p>
    <w:p w14:paraId="6967B90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8</w:t>
      </w:r>
      <w:r>
        <w:rPr>
          <w:bCs/>
          <w:sz w:val="24"/>
          <w:szCs w:val="24"/>
        </w:rPr>
        <w:t>）变更基金投资目标、范围或策略；</w:t>
      </w:r>
    </w:p>
    <w:p w14:paraId="4B329FE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9</w:t>
      </w:r>
      <w:r>
        <w:rPr>
          <w:bCs/>
          <w:sz w:val="24"/>
          <w:szCs w:val="24"/>
        </w:rPr>
        <w:t>）变更基金份额持有人大会程序；</w:t>
      </w:r>
      <w:r>
        <w:rPr>
          <w:bCs/>
          <w:sz w:val="24"/>
          <w:szCs w:val="24"/>
        </w:rPr>
        <w:t xml:space="preserve"> </w:t>
      </w:r>
    </w:p>
    <w:p w14:paraId="702CDB85"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10</w:t>
      </w:r>
      <w:r>
        <w:rPr>
          <w:bCs/>
          <w:sz w:val="24"/>
          <w:szCs w:val="24"/>
        </w:rPr>
        <w:t>）对基金当事人权利和义务产生重大影响的其他事项。</w:t>
      </w:r>
    </w:p>
    <w:p w14:paraId="03EE7A87" w14:textId="77777777" w:rsidR="0037652E" w:rsidRDefault="00BF49B0">
      <w:pPr>
        <w:tabs>
          <w:tab w:val="left" w:pos="961"/>
        </w:tabs>
        <w:snapToGrid w:val="0"/>
        <w:spacing w:line="360" w:lineRule="auto"/>
        <w:ind w:firstLineChars="200" w:firstLine="480"/>
        <w:rPr>
          <w:bCs/>
          <w:sz w:val="24"/>
          <w:szCs w:val="24"/>
        </w:rPr>
      </w:pPr>
      <w:r>
        <w:rPr>
          <w:bCs/>
          <w:sz w:val="24"/>
          <w:szCs w:val="24"/>
        </w:rPr>
        <w:t>但出现下列情况时，可不经基金份额持有人大会决议，由基金管理人和基金托管人同意后变更并公告，并报中国证监会备案：</w:t>
      </w:r>
    </w:p>
    <w:p w14:paraId="6EDF2E3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）调低基金管理费、基金托管费；</w:t>
      </w:r>
    </w:p>
    <w:p w14:paraId="02FD9F8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14:paraId="56DE7920" w14:textId="143D8014"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）在《基金合同》规定的范围内变更本基金的申购费率、降低赎回费率</w:t>
      </w:r>
      <w:r w:rsidR="00820C35" w:rsidRPr="00820C35">
        <w:rPr>
          <w:rFonts w:hint="eastAsia"/>
          <w:bCs/>
          <w:sz w:val="24"/>
          <w:szCs w:val="24"/>
        </w:rPr>
        <w:t>、调低销售服务费率或调整基金份额类别设置</w:t>
      </w:r>
      <w:r>
        <w:rPr>
          <w:bCs/>
          <w:sz w:val="24"/>
          <w:szCs w:val="24"/>
        </w:rPr>
        <w:t>；</w:t>
      </w:r>
    </w:p>
    <w:p w14:paraId="2FD9B47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）因相应的法律法规发生变动而应当对《基金合同》进行修改；</w:t>
      </w:r>
    </w:p>
    <w:p w14:paraId="4DED2307"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）《基金合同》的修改对基金份额持有人利益无实质性不利影响或修改不涉及《基金合同》当事人权利义务关系发生变化；</w:t>
      </w:r>
    </w:p>
    <w:p w14:paraId="1D65AFA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）除按照法律法规和《基金合同》规定应当召开基金份额持有人大会的以外的其他情形。</w:t>
      </w:r>
    </w:p>
    <w:p w14:paraId="6110EAB7"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、关于《基金合同》变更的基金份额持有人大会决议经中国证监会核准生效后方可执行，自《基金合同》变更生效之日起在指定媒介上公告。</w:t>
      </w:r>
    </w:p>
    <w:p w14:paraId="61096624" w14:textId="77777777" w:rsidR="0037652E" w:rsidRDefault="00BF49B0">
      <w:pPr>
        <w:tabs>
          <w:tab w:val="left" w:pos="961"/>
        </w:tabs>
        <w:snapToGrid w:val="0"/>
        <w:spacing w:line="360" w:lineRule="auto"/>
        <w:ind w:firstLineChars="200" w:firstLine="482"/>
        <w:rPr>
          <w:b/>
          <w:bCs/>
          <w:sz w:val="24"/>
          <w:szCs w:val="24"/>
        </w:rPr>
      </w:pPr>
      <w:r>
        <w:rPr>
          <w:b/>
          <w:bCs/>
          <w:sz w:val="24"/>
          <w:szCs w:val="24"/>
        </w:rPr>
        <w:t>二、《基金合同》的终止</w:t>
      </w:r>
    </w:p>
    <w:p w14:paraId="40A04FFD" w14:textId="77777777" w:rsidR="0037652E" w:rsidRDefault="00BF49B0">
      <w:pPr>
        <w:tabs>
          <w:tab w:val="left" w:pos="961"/>
        </w:tabs>
        <w:snapToGrid w:val="0"/>
        <w:spacing w:line="360" w:lineRule="auto"/>
        <w:ind w:firstLineChars="200" w:firstLine="480"/>
        <w:rPr>
          <w:bCs/>
          <w:sz w:val="24"/>
          <w:szCs w:val="24"/>
        </w:rPr>
      </w:pPr>
      <w:r>
        <w:rPr>
          <w:bCs/>
          <w:sz w:val="24"/>
          <w:szCs w:val="24"/>
        </w:rPr>
        <w:t>有下列情形之一的，《基金合同》应当终止：</w:t>
      </w:r>
    </w:p>
    <w:p w14:paraId="61297FBD"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1</w:t>
      </w:r>
      <w:r>
        <w:rPr>
          <w:bCs/>
          <w:sz w:val="24"/>
          <w:szCs w:val="24"/>
        </w:rPr>
        <w:t>、基金份额持有人大会决定终止的；</w:t>
      </w:r>
    </w:p>
    <w:p w14:paraId="101665E8"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、基金管理人、基金托管人职责终止，在</w:t>
      </w:r>
      <w:r>
        <w:rPr>
          <w:bCs/>
          <w:sz w:val="24"/>
          <w:szCs w:val="24"/>
        </w:rPr>
        <w:t>6</w:t>
      </w:r>
      <w:r>
        <w:rPr>
          <w:bCs/>
          <w:sz w:val="24"/>
          <w:szCs w:val="24"/>
        </w:rPr>
        <w:t>个月内没有新基金管理人、新基金托管人承接的；</w:t>
      </w:r>
    </w:p>
    <w:p w14:paraId="46502C81"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、《基金合同》约定的其他情形；</w:t>
      </w:r>
    </w:p>
    <w:p w14:paraId="0CC825B0"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、相关法律法规和中国证监会规定的其他情况。</w:t>
      </w:r>
    </w:p>
    <w:p w14:paraId="755A75B9" w14:textId="77777777" w:rsidR="0037652E" w:rsidRDefault="00BF49B0">
      <w:pPr>
        <w:tabs>
          <w:tab w:val="left" w:pos="961"/>
        </w:tabs>
        <w:snapToGrid w:val="0"/>
        <w:spacing w:line="360" w:lineRule="auto"/>
        <w:ind w:firstLineChars="200" w:firstLine="482"/>
        <w:rPr>
          <w:b/>
          <w:bCs/>
          <w:sz w:val="24"/>
          <w:szCs w:val="24"/>
        </w:rPr>
      </w:pPr>
      <w:r>
        <w:rPr>
          <w:b/>
          <w:bCs/>
          <w:sz w:val="24"/>
          <w:szCs w:val="24"/>
        </w:rPr>
        <w:t>三、基金财产的清算</w:t>
      </w:r>
    </w:p>
    <w:p w14:paraId="2A634187"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、基金财产清算小组：自出现《基金合同》终止事由之日起</w:t>
      </w:r>
      <w:r>
        <w:rPr>
          <w:bCs/>
          <w:sz w:val="24"/>
          <w:szCs w:val="24"/>
        </w:rPr>
        <w:t>30</w:t>
      </w:r>
      <w:r>
        <w:rPr>
          <w:bCs/>
          <w:sz w:val="24"/>
          <w:szCs w:val="24"/>
        </w:rPr>
        <w:t>个工作日内成立基金财产清算小组，基金管理人组织基金财产清算小组并在中国证监会的监督下进行基金清算。</w:t>
      </w:r>
    </w:p>
    <w:p w14:paraId="3CD5B3AE"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D5AF9AB"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、基金财产清算小组职责：基金财产清算小组负责基金财产的保管、清理、估价、变现和分配。基金财产清算小组可以依法进行必要的民事活动。</w:t>
      </w:r>
    </w:p>
    <w:p w14:paraId="5628FEB2"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、基金财产清算程序：</w:t>
      </w:r>
    </w:p>
    <w:p w14:paraId="7DBFC9F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）《基金合同》终止后，由基金财产清算小组统一接管基金财产；</w:t>
      </w:r>
    </w:p>
    <w:p w14:paraId="41B386EF"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）对基金财产和债权债务进行清理和确认；</w:t>
      </w:r>
    </w:p>
    <w:p w14:paraId="1F4C4AE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）对基金财产进行估值和变现；</w:t>
      </w:r>
    </w:p>
    <w:p w14:paraId="4CE15B3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）制作清算报告；</w:t>
      </w:r>
    </w:p>
    <w:p w14:paraId="7C759077"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）聘请会计师事务所对清算报告进行外部审计，聘请律师事务所对清算报告出具法律意见书；</w:t>
      </w:r>
    </w:p>
    <w:p w14:paraId="4534219D"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）将清算报告报中国证监会备案并公告。</w:t>
      </w:r>
    </w:p>
    <w:p w14:paraId="7BFA4B97"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）对基金剩余财产进行分配。</w:t>
      </w:r>
    </w:p>
    <w:p w14:paraId="4C32CB9A"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bCs/>
          <w:sz w:val="24"/>
          <w:szCs w:val="24"/>
        </w:rPr>
        <w:t>、基金财产清算的期限为</w:t>
      </w:r>
      <w:r>
        <w:rPr>
          <w:bCs/>
          <w:sz w:val="24"/>
          <w:szCs w:val="24"/>
        </w:rPr>
        <w:t>6</w:t>
      </w:r>
      <w:r>
        <w:rPr>
          <w:bCs/>
          <w:sz w:val="24"/>
          <w:szCs w:val="24"/>
        </w:rPr>
        <w:t>个月。</w:t>
      </w:r>
    </w:p>
    <w:p w14:paraId="53B9B493" w14:textId="77777777" w:rsidR="0037652E" w:rsidRDefault="00BF49B0">
      <w:pPr>
        <w:tabs>
          <w:tab w:val="left" w:pos="961"/>
        </w:tabs>
        <w:snapToGrid w:val="0"/>
        <w:spacing w:line="360" w:lineRule="auto"/>
        <w:ind w:firstLineChars="200" w:firstLine="482"/>
        <w:rPr>
          <w:b/>
          <w:bCs/>
          <w:sz w:val="24"/>
          <w:szCs w:val="24"/>
        </w:rPr>
      </w:pPr>
      <w:r>
        <w:rPr>
          <w:b/>
          <w:bCs/>
          <w:sz w:val="24"/>
          <w:szCs w:val="24"/>
        </w:rPr>
        <w:t>四、清算费用</w:t>
      </w:r>
    </w:p>
    <w:p w14:paraId="16515F3F" w14:textId="77777777" w:rsidR="0037652E" w:rsidRDefault="00BF49B0">
      <w:pPr>
        <w:tabs>
          <w:tab w:val="left" w:pos="961"/>
        </w:tabs>
        <w:snapToGrid w:val="0"/>
        <w:spacing w:line="360" w:lineRule="auto"/>
        <w:ind w:firstLineChars="200" w:firstLine="480"/>
        <w:rPr>
          <w:bCs/>
          <w:sz w:val="24"/>
          <w:szCs w:val="24"/>
        </w:rPr>
      </w:pPr>
      <w:r>
        <w:rPr>
          <w:bCs/>
          <w:sz w:val="24"/>
          <w:szCs w:val="24"/>
        </w:rPr>
        <w:t>清算费用是指基金财产清算小组在进行基金财产清算过程中发生的所有合理费用，清算费用由基金财产清算小组优先从基金财产中支付。</w:t>
      </w:r>
    </w:p>
    <w:p w14:paraId="4ABFA052" w14:textId="77777777" w:rsidR="0037652E" w:rsidRDefault="00BF49B0">
      <w:pPr>
        <w:tabs>
          <w:tab w:val="left" w:pos="961"/>
        </w:tabs>
        <w:snapToGrid w:val="0"/>
        <w:spacing w:line="360" w:lineRule="auto"/>
        <w:ind w:firstLineChars="200" w:firstLine="482"/>
        <w:rPr>
          <w:b/>
          <w:bCs/>
          <w:sz w:val="24"/>
          <w:szCs w:val="24"/>
        </w:rPr>
      </w:pPr>
      <w:r>
        <w:rPr>
          <w:b/>
          <w:bCs/>
          <w:sz w:val="24"/>
          <w:szCs w:val="24"/>
        </w:rPr>
        <w:t>五、基金财产清算剩余资产的分配</w:t>
      </w:r>
    </w:p>
    <w:p w14:paraId="3476389D" w14:textId="77777777" w:rsidR="0037652E" w:rsidRDefault="00BF49B0">
      <w:pPr>
        <w:tabs>
          <w:tab w:val="left" w:pos="961"/>
        </w:tabs>
        <w:snapToGrid w:val="0"/>
        <w:spacing w:line="360" w:lineRule="auto"/>
        <w:ind w:firstLineChars="200" w:firstLine="480"/>
        <w:rPr>
          <w:bCs/>
          <w:sz w:val="24"/>
          <w:szCs w:val="24"/>
        </w:rPr>
      </w:pPr>
      <w:r>
        <w:rPr>
          <w:bCs/>
          <w:sz w:val="24"/>
          <w:szCs w:val="24"/>
        </w:rPr>
        <w:t>依据基金财产清算的分配方案，将基金财产清算后的全部剩余资产扣除基金财产清算费用、交纳所欠税款并清偿基金债务后，按基金份额持有人持有的基金</w:t>
      </w:r>
      <w:r>
        <w:rPr>
          <w:bCs/>
          <w:sz w:val="24"/>
          <w:szCs w:val="24"/>
        </w:rPr>
        <w:lastRenderedPageBreak/>
        <w:t>份额比例进行分配。</w:t>
      </w:r>
    </w:p>
    <w:p w14:paraId="3666BC2C" w14:textId="77777777" w:rsidR="0037652E" w:rsidRDefault="00BF49B0">
      <w:pPr>
        <w:tabs>
          <w:tab w:val="left" w:pos="961"/>
        </w:tabs>
        <w:snapToGrid w:val="0"/>
        <w:spacing w:line="360" w:lineRule="auto"/>
        <w:ind w:firstLineChars="200" w:firstLine="482"/>
        <w:rPr>
          <w:b/>
          <w:bCs/>
          <w:sz w:val="24"/>
          <w:szCs w:val="24"/>
        </w:rPr>
      </w:pPr>
      <w:r>
        <w:rPr>
          <w:b/>
          <w:bCs/>
          <w:sz w:val="24"/>
          <w:szCs w:val="24"/>
        </w:rPr>
        <w:t>六、基金财产清算的公告</w:t>
      </w:r>
    </w:p>
    <w:p w14:paraId="1E4DB55C"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合同》终止并报中国证监会备案后</w:t>
      </w:r>
      <w:r>
        <w:rPr>
          <w:rFonts w:hint="eastAsia"/>
          <w:bCs/>
          <w:sz w:val="24"/>
          <w:szCs w:val="24"/>
        </w:rPr>
        <w:t>5</w:t>
      </w:r>
      <w:r>
        <w:rPr>
          <w:rFonts w:hint="eastAsia"/>
          <w:bCs/>
          <w:sz w:val="24"/>
          <w:szCs w:val="24"/>
        </w:rPr>
        <w:t>个工作日内由基金财产清算小组进行公告，基金财产清算小组应当将清算报告登载在指定网站上，并将清算报告提示性公告登载在指定报刊上。</w:t>
      </w:r>
    </w:p>
    <w:p w14:paraId="263347F1" w14:textId="77777777" w:rsidR="0037652E" w:rsidRDefault="00BF49B0">
      <w:pPr>
        <w:tabs>
          <w:tab w:val="left" w:pos="961"/>
        </w:tabs>
        <w:snapToGrid w:val="0"/>
        <w:spacing w:line="360" w:lineRule="auto"/>
        <w:ind w:firstLineChars="200" w:firstLine="482"/>
        <w:rPr>
          <w:b/>
          <w:bCs/>
          <w:sz w:val="24"/>
          <w:szCs w:val="24"/>
        </w:rPr>
      </w:pPr>
      <w:r>
        <w:rPr>
          <w:b/>
          <w:bCs/>
          <w:sz w:val="24"/>
          <w:szCs w:val="24"/>
        </w:rPr>
        <w:t>七、基金财产清算账册及文件的保存</w:t>
      </w:r>
    </w:p>
    <w:p w14:paraId="185BA0E6" w14:textId="77777777" w:rsidR="0037652E" w:rsidRDefault="00BF49B0">
      <w:pPr>
        <w:tabs>
          <w:tab w:val="left" w:pos="961"/>
        </w:tabs>
        <w:snapToGrid w:val="0"/>
        <w:spacing w:line="360" w:lineRule="auto"/>
        <w:ind w:firstLineChars="200" w:firstLine="480"/>
        <w:rPr>
          <w:bCs/>
          <w:sz w:val="24"/>
          <w:szCs w:val="24"/>
        </w:rPr>
      </w:pPr>
      <w:r>
        <w:rPr>
          <w:bCs/>
          <w:sz w:val="24"/>
          <w:szCs w:val="24"/>
        </w:rPr>
        <w:t>基金财产清算账册及有关文件由基金托管人保存</w:t>
      </w:r>
      <w:r>
        <w:rPr>
          <w:bCs/>
          <w:sz w:val="24"/>
          <w:szCs w:val="24"/>
        </w:rPr>
        <w:t>15</w:t>
      </w:r>
      <w:r>
        <w:rPr>
          <w:bCs/>
          <w:sz w:val="24"/>
          <w:szCs w:val="24"/>
        </w:rPr>
        <w:t>年以上。</w:t>
      </w:r>
    </w:p>
    <w:p w14:paraId="0E3861D0" w14:textId="77777777" w:rsidR="0037652E" w:rsidRDefault="0037652E">
      <w:pPr>
        <w:tabs>
          <w:tab w:val="left" w:pos="961"/>
        </w:tabs>
        <w:snapToGrid w:val="0"/>
        <w:spacing w:line="360" w:lineRule="auto"/>
        <w:ind w:firstLineChars="200" w:firstLine="420"/>
        <w:rPr>
          <w:bCs/>
          <w:szCs w:val="21"/>
        </w:rPr>
      </w:pPr>
    </w:p>
    <w:p w14:paraId="240D1C44" w14:textId="77777777" w:rsidR="0037652E" w:rsidRDefault="0037652E">
      <w:pPr>
        <w:tabs>
          <w:tab w:val="left" w:pos="961"/>
        </w:tabs>
        <w:snapToGrid w:val="0"/>
        <w:spacing w:line="360" w:lineRule="auto"/>
        <w:ind w:firstLineChars="200" w:firstLine="420"/>
        <w:rPr>
          <w:bCs/>
          <w:szCs w:val="21"/>
        </w:rPr>
      </w:pPr>
    </w:p>
    <w:p w14:paraId="26021CEB" w14:textId="77777777" w:rsidR="0037652E" w:rsidRDefault="00BF49B0">
      <w:pPr>
        <w:spacing w:line="360" w:lineRule="auto"/>
        <w:ind w:firstLineChars="50" w:firstLine="105"/>
        <w:jc w:val="center"/>
        <w:outlineLvl w:val="0"/>
        <w:rPr>
          <w:rFonts w:ascii="宋体" w:hAnsi="宋体"/>
          <w:b/>
          <w:sz w:val="24"/>
          <w:szCs w:val="24"/>
        </w:rPr>
      </w:pPr>
      <w:r>
        <w:rPr>
          <w:bCs/>
          <w:szCs w:val="21"/>
        </w:rPr>
        <w:br w:type="page"/>
      </w:r>
      <w:bookmarkStart w:id="110" w:name="_Toc11599"/>
      <w:bookmarkStart w:id="111" w:name="_Toc65325126"/>
      <w:bookmarkStart w:id="112" w:name="_Toc11765"/>
      <w:bookmarkStart w:id="113" w:name="_Toc110606860"/>
      <w:r>
        <w:rPr>
          <w:rFonts w:ascii="宋体" w:hAnsi="宋体" w:hint="eastAsia"/>
          <w:b/>
          <w:sz w:val="24"/>
          <w:szCs w:val="24"/>
        </w:rPr>
        <w:lastRenderedPageBreak/>
        <w:t xml:space="preserve">第十九部分 </w:t>
      </w:r>
      <w:r>
        <w:rPr>
          <w:rFonts w:ascii="宋体" w:hAnsi="宋体"/>
          <w:b/>
          <w:sz w:val="24"/>
          <w:szCs w:val="24"/>
        </w:rPr>
        <w:t>基金</w:t>
      </w:r>
      <w:r>
        <w:rPr>
          <w:rFonts w:ascii="宋体" w:hAnsi="宋体" w:hint="eastAsia"/>
          <w:b/>
          <w:sz w:val="24"/>
          <w:szCs w:val="24"/>
        </w:rPr>
        <w:t>托管人</w:t>
      </w:r>
      <w:bookmarkEnd w:id="110"/>
      <w:bookmarkEnd w:id="111"/>
      <w:bookmarkEnd w:id="112"/>
      <w:bookmarkEnd w:id="113"/>
    </w:p>
    <w:p w14:paraId="3A1C3066" w14:textId="77777777" w:rsidR="0037652E" w:rsidRDefault="0037652E">
      <w:pPr>
        <w:tabs>
          <w:tab w:val="left" w:pos="961"/>
        </w:tabs>
        <w:snapToGrid w:val="0"/>
        <w:spacing w:line="360" w:lineRule="auto"/>
        <w:ind w:firstLineChars="200" w:firstLine="480"/>
        <w:rPr>
          <w:bCs/>
          <w:sz w:val="24"/>
          <w:szCs w:val="24"/>
        </w:rPr>
      </w:pPr>
    </w:p>
    <w:p w14:paraId="15D781B3"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（一）基金托管人基本情况</w:t>
      </w:r>
      <w:r w:rsidRPr="001D23C2">
        <w:rPr>
          <w:rFonts w:hint="eastAsia"/>
          <w:bCs/>
          <w:sz w:val="24"/>
          <w:szCs w:val="24"/>
        </w:rPr>
        <w:t xml:space="preserve"> </w:t>
      </w:r>
    </w:p>
    <w:p w14:paraId="0797695A"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名称：中国工商银行股份有限公司</w:t>
      </w:r>
    </w:p>
    <w:p w14:paraId="56B15372"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注册地址：北京市西城区复兴门内大街</w:t>
      </w:r>
      <w:r w:rsidRPr="001D23C2">
        <w:rPr>
          <w:rFonts w:hint="eastAsia"/>
          <w:bCs/>
          <w:sz w:val="24"/>
          <w:szCs w:val="24"/>
        </w:rPr>
        <w:t>55</w:t>
      </w:r>
      <w:r w:rsidRPr="001D23C2">
        <w:rPr>
          <w:rFonts w:hint="eastAsia"/>
          <w:bCs/>
          <w:sz w:val="24"/>
          <w:szCs w:val="24"/>
        </w:rPr>
        <w:t>号</w:t>
      </w:r>
    </w:p>
    <w:p w14:paraId="6BDB2DA1"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成立时间：</w:t>
      </w:r>
      <w:r w:rsidRPr="001D23C2">
        <w:rPr>
          <w:rFonts w:hint="eastAsia"/>
          <w:bCs/>
          <w:sz w:val="24"/>
          <w:szCs w:val="24"/>
        </w:rPr>
        <w:t>1984</w:t>
      </w:r>
      <w:r w:rsidRPr="001D23C2">
        <w:rPr>
          <w:rFonts w:hint="eastAsia"/>
          <w:bCs/>
          <w:sz w:val="24"/>
          <w:szCs w:val="24"/>
        </w:rPr>
        <w:t>年</w:t>
      </w:r>
      <w:r w:rsidRPr="001D23C2">
        <w:rPr>
          <w:rFonts w:hint="eastAsia"/>
          <w:bCs/>
          <w:sz w:val="24"/>
          <w:szCs w:val="24"/>
        </w:rPr>
        <w:t>1</w:t>
      </w:r>
      <w:r w:rsidRPr="001D23C2">
        <w:rPr>
          <w:rFonts w:hint="eastAsia"/>
          <w:bCs/>
          <w:sz w:val="24"/>
          <w:szCs w:val="24"/>
        </w:rPr>
        <w:t>月</w:t>
      </w:r>
      <w:r w:rsidRPr="001D23C2">
        <w:rPr>
          <w:rFonts w:hint="eastAsia"/>
          <w:bCs/>
          <w:sz w:val="24"/>
          <w:szCs w:val="24"/>
        </w:rPr>
        <w:t>1</w:t>
      </w:r>
      <w:r w:rsidRPr="001D23C2">
        <w:rPr>
          <w:rFonts w:hint="eastAsia"/>
          <w:bCs/>
          <w:sz w:val="24"/>
          <w:szCs w:val="24"/>
        </w:rPr>
        <w:t>日</w:t>
      </w:r>
    </w:p>
    <w:p w14:paraId="527264EF"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法定代表人：</w:t>
      </w:r>
      <w:r w:rsidRPr="001D23C2">
        <w:rPr>
          <w:rFonts w:hint="eastAsia"/>
          <w:bCs/>
          <w:sz w:val="24"/>
          <w:szCs w:val="24"/>
        </w:rPr>
        <w:t xml:space="preserve"> </w:t>
      </w:r>
      <w:r w:rsidRPr="001D23C2">
        <w:rPr>
          <w:rFonts w:hint="eastAsia"/>
          <w:bCs/>
          <w:sz w:val="24"/>
          <w:szCs w:val="24"/>
        </w:rPr>
        <w:t>陈四清</w:t>
      </w:r>
    </w:p>
    <w:p w14:paraId="099710F3"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注册资本：人民币</w:t>
      </w:r>
      <w:r w:rsidRPr="001D23C2">
        <w:rPr>
          <w:rFonts w:hint="eastAsia"/>
          <w:bCs/>
          <w:sz w:val="24"/>
          <w:szCs w:val="24"/>
        </w:rPr>
        <w:t>35,640,625.7089</w:t>
      </w:r>
      <w:r w:rsidRPr="001D23C2">
        <w:rPr>
          <w:rFonts w:hint="eastAsia"/>
          <w:bCs/>
          <w:sz w:val="24"/>
          <w:szCs w:val="24"/>
        </w:rPr>
        <w:t>万元</w:t>
      </w:r>
    </w:p>
    <w:p w14:paraId="0371F1E1"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联系电话：</w:t>
      </w:r>
      <w:r w:rsidRPr="001D23C2">
        <w:rPr>
          <w:rFonts w:hint="eastAsia"/>
          <w:bCs/>
          <w:sz w:val="24"/>
          <w:szCs w:val="24"/>
        </w:rPr>
        <w:t>010-66105799</w:t>
      </w:r>
    </w:p>
    <w:p w14:paraId="4558EFAC"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联系人：郭明</w:t>
      </w:r>
    </w:p>
    <w:p w14:paraId="7FEF7664"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（二）主要人员情况</w:t>
      </w:r>
    </w:p>
    <w:p w14:paraId="209DE386"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截至</w:t>
      </w:r>
      <w:r w:rsidRPr="001D23C2">
        <w:rPr>
          <w:rFonts w:hint="eastAsia"/>
          <w:bCs/>
          <w:sz w:val="24"/>
          <w:szCs w:val="24"/>
        </w:rPr>
        <w:t>2022</w:t>
      </w:r>
      <w:r w:rsidRPr="001D23C2">
        <w:rPr>
          <w:rFonts w:hint="eastAsia"/>
          <w:bCs/>
          <w:sz w:val="24"/>
          <w:szCs w:val="24"/>
        </w:rPr>
        <w:t>年</w:t>
      </w:r>
      <w:r w:rsidRPr="001D23C2">
        <w:rPr>
          <w:rFonts w:hint="eastAsia"/>
          <w:bCs/>
          <w:sz w:val="24"/>
          <w:szCs w:val="24"/>
        </w:rPr>
        <w:t>12</w:t>
      </w:r>
      <w:r w:rsidRPr="001D23C2">
        <w:rPr>
          <w:rFonts w:hint="eastAsia"/>
          <w:bCs/>
          <w:sz w:val="24"/>
          <w:szCs w:val="24"/>
        </w:rPr>
        <w:t>月，中国工商银行资产托管部共有员工</w:t>
      </w:r>
      <w:r w:rsidRPr="001D23C2">
        <w:rPr>
          <w:rFonts w:hint="eastAsia"/>
          <w:bCs/>
          <w:sz w:val="24"/>
          <w:szCs w:val="24"/>
        </w:rPr>
        <w:t>213</w:t>
      </w:r>
      <w:r w:rsidRPr="001D23C2">
        <w:rPr>
          <w:rFonts w:hint="eastAsia"/>
          <w:bCs/>
          <w:sz w:val="24"/>
          <w:szCs w:val="24"/>
        </w:rPr>
        <w:t>人，平均年龄</w:t>
      </w:r>
      <w:r w:rsidRPr="001D23C2">
        <w:rPr>
          <w:rFonts w:hint="eastAsia"/>
          <w:bCs/>
          <w:sz w:val="24"/>
          <w:szCs w:val="24"/>
        </w:rPr>
        <w:t>34</w:t>
      </w:r>
      <w:r w:rsidRPr="001D23C2">
        <w:rPr>
          <w:rFonts w:hint="eastAsia"/>
          <w:bCs/>
          <w:sz w:val="24"/>
          <w:szCs w:val="24"/>
        </w:rPr>
        <w:t>岁，</w:t>
      </w:r>
      <w:r w:rsidRPr="001D23C2">
        <w:rPr>
          <w:rFonts w:hint="eastAsia"/>
          <w:bCs/>
          <w:sz w:val="24"/>
          <w:szCs w:val="24"/>
        </w:rPr>
        <w:t>95%</w:t>
      </w:r>
      <w:r w:rsidRPr="001D23C2">
        <w:rPr>
          <w:rFonts w:hint="eastAsia"/>
          <w:bCs/>
          <w:sz w:val="24"/>
          <w:szCs w:val="24"/>
        </w:rPr>
        <w:t>以上员工拥有大学本科以上学历，高管人员均拥有研究生以上学历或高级技术职称。</w:t>
      </w:r>
    </w:p>
    <w:p w14:paraId="642E55A2"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（三）基金托管业务经营情况</w:t>
      </w:r>
    </w:p>
    <w:p w14:paraId="53DA04C5" w14:textId="5D04713F" w:rsidR="00100093" w:rsidRPr="00100093" w:rsidRDefault="001D23C2" w:rsidP="00100093">
      <w:pPr>
        <w:tabs>
          <w:tab w:val="left" w:pos="961"/>
        </w:tabs>
        <w:snapToGrid w:val="0"/>
        <w:spacing w:line="360" w:lineRule="auto"/>
        <w:ind w:firstLineChars="200" w:firstLine="480"/>
        <w:rPr>
          <w:bCs/>
          <w:sz w:val="24"/>
          <w:szCs w:val="24"/>
        </w:rPr>
      </w:pPr>
      <w:r w:rsidRPr="001D23C2">
        <w:rPr>
          <w:rFonts w:hint="eastAsia"/>
          <w:bCs/>
          <w:sz w:val="24"/>
          <w:szCs w:val="24"/>
        </w:rPr>
        <w:t>作为中国大陆托管服务的先行者，中国工商银行自</w:t>
      </w:r>
      <w:r w:rsidRPr="001D23C2">
        <w:rPr>
          <w:rFonts w:hint="eastAsia"/>
          <w:bCs/>
          <w:sz w:val="24"/>
          <w:szCs w:val="24"/>
        </w:rPr>
        <w:t>1998</w:t>
      </w:r>
      <w:r w:rsidRPr="001D23C2">
        <w:rPr>
          <w:rFonts w:hint="eastAsia"/>
          <w:bCs/>
          <w:sz w:val="24"/>
          <w:szCs w:val="24"/>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1D23C2">
        <w:rPr>
          <w:rFonts w:hint="eastAsia"/>
          <w:bCs/>
          <w:sz w:val="24"/>
          <w:szCs w:val="24"/>
        </w:rPr>
        <w:t>QFII</w:t>
      </w:r>
      <w:r w:rsidRPr="001D23C2">
        <w:rPr>
          <w:rFonts w:hint="eastAsia"/>
          <w:bCs/>
          <w:sz w:val="24"/>
          <w:szCs w:val="24"/>
        </w:rPr>
        <w:t>资产、</w:t>
      </w:r>
      <w:r w:rsidRPr="001D23C2">
        <w:rPr>
          <w:rFonts w:hint="eastAsia"/>
          <w:bCs/>
          <w:sz w:val="24"/>
          <w:szCs w:val="24"/>
        </w:rPr>
        <w:t>QDII</w:t>
      </w:r>
      <w:r w:rsidRPr="001D23C2">
        <w:rPr>
          <w:rFonts w:hint="eastAsia"/>
          <w:bCs/>
          <w:sz w:val="24"/>
          <w:szCs w:val="24"/>
        </w:rPr>
        <w:t>资产、股权投资基金、证券公司集合资产管理计划、证券公司定向资产管理计划、商业银行信贷资产证券化、基金公司特定客户资产管理、</w:t>
      </w:r>
      <w:r w:rsidRPr="001D23C2">
        <w:rPr>
          <w:rFonts w:hint="eastAsia"/>
          <w:bCs/>
          <w:sz w:val="24"/>
          <w:szCs w:val="24"/>
        </w:rPr>
        <w:t>QDII</w:t>
      </w:r>
      <w:r w:rsidRPr="001D23C2">
        <w:rPr>
          <w:rFonts w:hint="eastAsia"/>
          <w:bCs/>
          <w:sz w:val="24"/>
          <w:szCs w:val="24"/>
        </w:rPr>
        <w:t>专户资产、</w:t>
      </w:r>
      <w:r w:rsidRPr="001D23C2">
        <w:rPr>
          <w:rFonts w:hint="eastAsia"/>
          <w:bCs/>
          <w:sz w:val="24"/>
          <w:szCs w:val="24"/>
        </w:rPr>
        <w:t>ESCROW</w:t>
      </w:r>
      <w:r w:rsidRPr="001D23C2">
        <w:rPr>
          <w:rFonts w:hint="eastAsia"/>
          <w:bCs/>
          <w:sz w:val="24"/>
          <w:szCs w:val="24"/>
        </w:rPr>
        <w:t>等门类齐全的托管产品体系，同时在国内率先开展绩效评估、风险管理等增值服务，可以为各类客户提供个性化的托管服务。截至</w:t>
      </w:r>
      <w:r w:rsidRPr="001D23C2">
        <w:rPr>
          <w:rFonts w:hint="eastAsia"/>
          <w:bCs/>
          <w:sz w:val="24"/>
          <w:szCs w:val="24"/>
        </w:rPr>
        <w:t>2022</w:t>
      </w:r>
      <w:r w:rsidRPr="001D23C2">
        <w:rPr>
          <w:rFonts w:hint="eastAsia"/>
          <w:bCs/>
          <w:sz w:val="24"/>
          <w:szCs w:val="24"/>
        </w:rPr>
        <w:t>年</w:t>
      </w:r>
      <w:r w:rsidRPr="001D23C2">
        <w:rPr>
          <w:rFonts w:hint="eastAsia"/>
          <w:bCs/>
          <w:sz w:val="24"/>
          <w:szCs w:val="24"/>
        </w:rPr>
        <w:t>12</w:t>
      </w:r>
      <w:r w:rsidRPr="001D23C2">
        <w:rPr>
          <w:rFonts w:hint="eastAsia"/>
          <w:bCs/>
          <w:sz w:val="24"/>
          <w:szCs w:val="24"/>
        </w:rPr>
        <w:t>月，中国工商银行共托管证券投资基金</w:t>
      </w:r>
      <w:r w:rsidRPr="001D23C2">
        <w:rPr>
          <w:rFonts w:hint="eastAsia"/>
          <w:bCs/>
          <w:sz w:val="24"/>
          <w:szCs w:val="24"/>
        </w:rPr>
        <w:t>1337</w:t>
      </w:r>
      <w:r w:rsidRPr="001D23C2">
        <w:rPr>
          <w:rFonts w:hint="eastAsia"/>
          <w:bCs/>
          <w:sz w:val="24"/>
          <w:szCs w:val="24"/>
        </w:rPr>
        <w:t>只。自</w:t>
      </w:r>
      <w:r w:rsidRPr="001D23C2">
        <w:rPr>
          <w:rFonts w:hint="eastAsia"/>
          <w:bCs/>
          <w:sz w:val="24"/>
          <w:szCs w:val="24"/>
        </w:rPr>
        <w:t>2003</w:t>
      </w:r>
      <w:r w:rsidRPr="001D23C2">
        <w:rPr>
          <w:rFonts w:hint="eastAsia"/>
          <w:bCs/>
          <w:sz w:val="24"/>
          <w:szCs w:val="24"/>
        </w:rPr>
        <w:t>年以来，本行连续二十年获得香港《亚洲货币》、英国《全球托管人》、香港《财资》、美国《环球金融》、内地《证券时报》、《上海证券报》等境内外权威财经媒体评选的</w:t>
      </w:r>
      <w:r w:rsidRPr="001D23C2">
        <w:rPr>
          <w:rFonts w:hint="eastAsia"/>
          <w:bCs/>
          <w:sz w:val="24"/>
          <w:szCs w:val="24"/>
        </w:rPr>
        <w:t>86</w:t>
      </w:r>
      <w:r w:rsidRPr="001D23C2">
        <w:rPr>
          <w:rFonts w:hint="eastAsia"/>
          <w:bCs/>
          <w:sz w:val="24"/>
          <w:szCs w:val="24"/>
        </w:rPr>
        <w:t>项最佳托管银行大奖；是获得奖项最多的国内托管银行，优良的服务品质获得国内外金融领域的持续认可和广</w:t>
      </w:r>
      <w:r w:rsidRPr="001D23C2">
        <w:rPr>
          <w:rFonts w:hint="eastAsia"/>
          <w:bCs/>
          <w:sz w:val="24"/>
          <w:szCs w:val="24"/>
        </w:rPr>
        <w:lastRenderedPageBreak/>
        <w:t>泛好评。</w:t>
      </w:r>
    </w:p>
    <w:p w14:paraId="374005F4"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（四）基金托管人的内部控制制度</w:t>
      </w:r>
    </w:p>
    <w:p w14:paraId="2E312959"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sidRPr="001D23C2">
        <w:rPr>
          <w:rFonts w:hint="eastAsia"/>
          <w:bCs/>
          <w:sz w:val="24"/>
          <w:szCs w:val="24"/>
        </w:rPr>
        <w:t>2005</w:t>
      </w:r>
      <w:r w:rsidRPr="001D23C2">
        <w:rPr>
          <w:rFonts w:hint="eastAsia"/>
          <w:bCs/>
          <w:sz w:val="24"/>
          <w:szCs w:val="24"/>
        </w:rPr>
        <w:t>年至今共十六次顺利通过评估组织内部控制和安全措施最权威的</w:t>
      </w:r>
      <w:r w:rsidRPr="001D23C2">
        <w:rPr>
          <w:rFonts w:hint="eastAsia"/>
          <w:bCs/>
          <w:sz w:val="24"/>
          <w:szCs w:val="24"/>
        </w:rPr>
        <w:t>ISAE3402</w:t>
      </w:r>
      <w:r w:rsidRPr="001D23C2">
        <w:rPr>
          <w:rFonts w:hint="eastAsia"/>
          <w:bCs/>
          <w:sz w:val="24"/>
          <w:szCs w:val="24"/>
        </w:rPr>
        <w:t>审阅，全部获得无保留意见的控制及有效性报告。充分表明独立第三方对我行托管服务在风险管理、内部控制方面的健全性和有效性的全面认可</w:t>
      </w:r>
      <w:r w:rsidRPr="001D23C2">
        <w:rPr>
          <w:rFonts w:hint="eastAsia"/>
          <w:bCs/>
          <w:sz w:val="24"/>
          <w:szCs w:val="24"/>
        </w:rPr>
        <w:t>,</w:t>
      </w:r>
      <w:r w:rsidRPr="001D23C2">
        <w:rPr>
          <w:rFonts w:hint="eastAsia"/>
          <w:bCs/>
          <w:sz w:val="24"/>
          <w:szCs w:val="24"/>
        </w:rPr>
        <w:t>也证明中国工商银行托管服务的风险控制能力已经与国际大型托管银行接轨，达到国际先进水平。目前，</w:t>
      </w:r>
      <w:r w:rsidRPr="001D23C2">
        <w:rPr>
          <w:rFonts w:hint="eastAsia"/>
          <w:bCs/>
          <w:sz w:val="24"/>
          <w:szCs w:val="24"/>
        </w:rPr>
        <w:t>ISAE3402</w:t>
      </w:r>
      <w:r w:rsidRPr="001D23C2">
        <w:rPr>
          <w:rFonts w:hint="eastAsia"/>
          <w:bCs/>
          <w:sz w:val="24"/>
          <w:szCs w:val="24"/>
        </w:rPr>
        <w:t>审阅已经成为年度化、常规化的内控工作手段。”</w:t>
      </w:r>
    </w:p>
    <w:p w14:paraId="2F0C0EA7"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1</w:t>
      </w:r>
      <w:r w:rsidRPr="001D23C2">
        <w:rPr>
          <w:rFonts w:hint="eastAsia"/>
          <w:bCs/>
          <w:sz w:val="24"/>
          <w:szCs w:val="24"/>
        </w:rPr>
        <w:t>、内部风险控制目标</w:t>
      </w:r>
    </w:p>
    <w:p w14:paraId="7C9AF5E7"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5FD8ABEE"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2</w:t>
      </w:r>
      <w:r w:rsidRPr="001D23C2">
        <w:rPr>
          <w:rFonts w:hint="eastAsia"/>
          <w:bCs/>
          <w:sz w:val="24"/>
          <w:szCs w:val="24"/>
        </w:rPr>
        <w:t>、内部风险控制组织结构</w:t>
      </w:r>
    </w:p>
    <w:p w14:paraId="1648C3F9"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0092DA43"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3</w:t>
      </w:r>
      <w:r w:rsidRPr="001D23C2">
        <w:rPr>
          <w:rFonts w:hint="eastAsia"/>
          <w:bCs/>
          <w:sz w:val="24"/>
          <w:szCs w:val="24"/>
        </w:rPr>
        <w:t>、内部风险控制原则</w:t>
      </w:r>
    </w:p>
    <w:p w14:paraId="1CCBF5AA"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1</w:t>
      </w:r>
      <w:r w:rsidRPr="001D23C2">
        <w:rPr>
          <w:rFonts w:hint="eastAsia"/>
          <w:bCs/>
          <w:sz w:val="24"/>
          <w:szCs w:val="24"/>
        </w:rPr>
        <w:t>）合法性原则。内控制度应当符合国家法律法规及监管机构的监管要求，并贯穿于托管业务经营管理活动的始终。</w:t>
      </w:r>
    </w:p>
    <w:p w14:paraId="579C2C83"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2</w:t>
      </w:r>
      <w:r w:rsidRPr="001D23C2">
        <w:rPr>
          <w:rFonts w:hint="eastAsia"/>
          <w:bCs/>
          <w:sz w:val="24"/>
          <w:szCs w:val="24"/>
        </w:rPr>
        <w:t>）完整性原则。托管业务的各项经营管理活动都必须有相应的规范程序和监督制约；监督制约应渗透到托管业务的全过程和各个操作环节，覆盖所有的</w:t>
      </w:r>
      <w:r w:rsidRPr="001D23C2">
        <w:rPr>
          <w:rFonts w:hint="eastAsia"/>
          <w:bCs/>
          <w:sz w:val="24"/>
          <w:szCs w:val="24"/>
        </w:rPr>
        <w:lastRenderedPageBreak/>
        <w:t>部门、岗位和人员。</w:t>
      </w:r>
    </w:p>
    <w:p w14:paraId="1D6473F2"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3</w:t>
      </w:r>
      <w:r w:rsidRPr="001D23C2">
        <w:rPr>
          <w:rFonts w:hint="eastAsia"/>
          <w:bCs/>
          <w:sz w:val="24"/>
          <w:szCs w:val="24"/>
        </w:rPr>
        <w:t>）及时性原则。托管业务经营活动必须在发生时能准确及时地记录；按照“内控优先”的原则，新设机构或新增业务品种时，必须做到已建立相关的规章制度。</w:t>
      </w:r>
    </w:p>
    <w:p w14:paraId="31C0DEAF"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 xml:space="preserve">　（</w:t>
      </w:r>
      <w:r w:rsidRPr="001D23C2">
        <w:rPr>
          <w:rFonts w:hint="eastAsia"/>
          <w:bCs/>
          <w:sz w:val="24"/>
          <w:szCs w:val="24"/>
        </w:rPr>
        <w:t>4</w:t>
      </w:r>
      <w:r w:rsidRPr="001D23C2">
        <w:rPr>
          <w:rFonts w:hint="eastAsia"/>
          <w:bCs/>
          <w:sz w:val="24"/>
          <w:szCs w:val="24"/>
        </w:rPr>
        <w:t>）审慎性原则。各项业务经营活动必须防范风险，审慎经营，保证基金资产和其他委托资产的安全与完整。</w:t>
      </w:r>
    </w:p>
    <w:p w14:paraId="4F2BBC43"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5</w:t>
      </w:r>
      <w:r w:rsidRPr="001D23C2">
        <w:rPr>
          <w:rFonts w:hint="eastAsia"/>
          <w:bCs/>
          <w:sz w:val="24"/>
          <w:szCs w:val="24"/>
        </w:rPr>
        <w:t>）有效性原则。内控制度应根据国家政策、法律及经营管理的需要适时修改完善，并保证得到全面落实执行，不得有任何空间、时限及人员的例外。</w:t>
      </w:r>
    </w:p>
    <w:p w14:paraId="5BE22444"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6</w:t>
      </w:r>
      <w:r w:rsidRPr="001D23C2">
        <w:rPr>
          <w:rFonts w:hint="eastAsia"/>
          <w:bCs/>
          <w:sz w:val="24"/>
          <w:szCs w:val="24"/>
        </w:rPr>
        <w:t>）独立性原则。设立专门履行托管人职责的管理部门；直接操作人员和控制人员必须相对独立，适当分离；内控制度的检查、评价部门必须独立于内控制度的制定和执行部门。</w:t>
      </w:r>
    </w:p>
    <w:p w14:paraId="0D961AF3"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4</w:t>
      </w:r>
      <w:r w:rsidRPr="001D23C2">
        <w:rPr>
          <w:rFonts w:hint="eastAsia"/>
          <w:bCs/>
          <w:sz w:val="24"/>
          <w:szCs w:val="24"/>
        </w:rPr>
        <w:t>、内部风险控制措施实施</w:t>
      </w:r>
    </w:p>
    <w:p w14:paraId="52949260"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1</w:t>
      </w:r>
      <w:r w:rsidRPr="001D23C2">
        <w:rPr>
          <w:rFonts w:hint="eastAsia"/>
          <w:bCs/>
          <w:sz w:val="24"/>
          <w:szCs w:val="24"/>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28C04C43"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2</w:t>
      </w:r>
      <w:r w:rsidRPr="001D23C2">
        <w:rPr>
          <w:rFonts w:hint="eastAsia"/>
          <w:bCs/>
          <w:sz w:val="24"/>
          <w:szCs w:val="24"/>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743A6294"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3</w:t>
      </w:r>
      <w:r w:rsidRPr="001D23C2">
        <w:rPr>
          <w:rFonts w:hint="eastAsia"/>
          <w:bCs/>
          <w:sz w:val="24"/>
          <w:szCs w:val="24"/>
        </w:rPr>
        <w:t>）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7EE4C977"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4</w:t>
      </w:r>
      <w:r w:rsidRPr="001D23C2">
        <w:rPr>
          <w:rFonts w:hint="eastAsia"/>
          <w:bCs/>
          <w:sz w:val="24"/>
          <w:szCs w:val="24"/>
        </w:rPr>
        <w:t>）经营控制。资产托管部通过制定计划、编制预算等方法开展各种业务营销活动、处理各项事务，从而有效地控制和配置组织资源，达到资源利用和效益最大化目的。</w:t>
      </w:r>
    </w:p>
    <w:p w14:paraId="2A11C441"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5</w:t>
      </w:r>
      <w:r w:rsidRPr="001D23C2">
        <w:rPr>
          <w:rFonts w:hint="eastAsia"/>
          <w:bCs/>
          <w:sz w:val="24"/>
          <w:szCs w:val="24"/>
        </w:rPr>
        <w:t>）内部风险管理。资产托管部通过稽核监察、风险评估等方式加强内部风险管理，定期或不定期地对业务运作状况进行检查、监控，指导业务部门进行</w:t>
      </w:r>
      <w:r w:rsidRPr="001D23C2">
        <w:rPr>
          <w:rFonts w:hint="eastAsia"/>
          <w:bCs/>
          <w:sz w:val="24"/>
          <w:szCs w:val="24"/>
        </w:rPr>
        <w:lastRenderedPageBreak/>
        <w:t>风险识别、评估，制定并实施风险控制措施，排查风险隐患。</w:t>
      </w:r>
    </w:p>
    <w:p w14:paraId="06A2CC5B"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6</w:t>
      </w:r>
      <w:r w:rsidRPr="001D23C2">
        <w:rPr>
          <w:rFonts w:hint="eastAsia"/>
          <w:bCs/>
          <w:sz w:val="24"/>
          <w:szCs w:val="24"/>
        </w:rPr>
        <w:t>）数据安全控制。我们通过业务操作区相对独立、数据和传真加密、数据传输线路的冗余备份、监控设施的运用和保障等措施来保障数据安全。</w:t>
      </w:r>
    </w:p>
    <w:p w14:paraId="2E867143"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7</w:t>
      </w:r>
      <w:r w:rsidRPr="001D23C2">
        <w:rPr>
          <w:rFonts w:hint="eastAsia"/>
          <w:bCs/>
          <w:sz w:val="24"/>
          <w:szCs w:val="24"/>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76B3E5A3"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5</w:t>
      </w:r>
      <w:r w:rsidRPr="001D23C2">
        <w:rPr>
          <w:rFonts w:hint="eastAsia"/>
          <w:bCs/>
          <w:sz w:val="24"/>
          <w:szCs w:val="24"/>
        </w:rPr>
        <w:t>、资产托管部内部风险控制情况</w:t>
      </w:r>
    </w:p>
    <w:p w14:paraId="6E7D974C"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1</w:t>
      </w:r>
      <w:r w:rsidRPr="001D23C2">
        <w:rPr>
          <w:rFonts w:hint="eastAsia"/>
          <w:bCs/>
          <w:sz w:val="24"/>
          <w:szCs w:val="24"/>
        </w:rPr>
        <w:t>）资产托管部内部设置专职稽核监察部门，配备专职稽核监察人员，在总经理的直接领导下，依照有关法律规章，全面贯彻落实全程监控思想，确保资产托管业务健康、稳定地发展。</w:t>
      </w:r>
    </w:p>
    <w:p w14:paraId="63222CD4"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2</w:t>
      </w:r>
      <w:r w:rsidRPr="001D23C2">
        <w:rPr>
          <w:rFonts w:hint="eastAsia"/>
          <w:bCs/>
          <w:sz w:val="24"/>
          <w:szCs w:val="24"/>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311EA259" w14:textId="77777777" w:rsidR="001D23C2" w:rsidRPr="001D23C2" w:rsidRDefault="001D23C2" w:rsidP="001D23C2">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3</w:t>
      </w:r>
      <w:r w:rsidRPr="001D23C2">
        <w:rPr>
          <w:rFonts w:hint="eastAsia"/>
          <w:bCs/>
          <w:sz w:val="24"/>
          <w:szCs w:val="24"/>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328EDF66" w14:textId="11CE10DC" w:rsidR="00100093" w:rsidRPr="00100093" w:rsidRDefault="001D23C2" w:rsidP="00100093">
      <w:pPr>
        <w:tabs>
          <w:tab w:val="left" w:pos="961"/>
        </w:tabs>
        <w:snapToGrid w:val="0"/>
        <w:spacing w:line="360" w:lineRule="auto"/>
        <w:ind w:firstLineChars="200" w:firstLine="480"/>
        <w:rPr>
          <w:bCs/>
          <w:sz w:val="24"/>
          <w:szCs w:val="24"/>
        </w:rPr>
      </w:pPr>
      <w:r w:rsidRPr="001D23C2">
        <w:rPr>
          <w:rFonts w:hint="eastAsia"/>
          <w:bCs/>
          <w:sz w:val="24"/>
          <w:szCs w:val="24"/>
        </w:rPr>
        <w:t>（</w:t>
      </w:r>
      <w:r w:rsidRPr="001D23C2">
        <w:rPr>
          <w:rFonts w:hint="eastAsia"/>
          <w:bCs/>
          <w:sz w:val="24"/>
          <w:szCs w:val="24"/>
        </w:rPr>
        <w:t>4</w:t>
      </w:r>
      <w:r w:rsidRPr="001D23C2">
        <w:rPr>
          <w:rFonts w:hint="eastAsia"/>
          <w:bCs/>
          <w:sz w:val="24"/>
          <w:szCs w:val="24"/>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14:paraId="2E1D25AC" w14:textId="77777777" w:rsidR="00100093" w:rsidRPr="00100093" w:rsidRDefault="00100093" w:rsidP="00100093">
      <w:pPr>
        <w:tabs>
          <w:tab w:val="left" w:pos="961"/>
        </w:tabs>
        <w:snapToGrid w:val="0"/>
        <w:spacing w:line="360" w:lineRule="auto"/>
        <w:ind w:firstLineChars="200" w:firstLine="480"/>
        <w:rPr>
          <w:bCs/>
          <w:sz w:val="24"/>
          <w:szCs w:val="24"/>
        </w:rPr>
      </w:pPr>
      <w:r w:rsidRPr="00100093">
        <w:rPr>
          <w:rFonts w:hint="eastAsia"/>
          <w:bCs/>
          <w:sz w:val="24"/>
          <w:szCs w:val="24"/>
        </w:rPr>
        <w:t>（五）基金托管人对基金管理人运作基金进行监督的方法和程序</w:t>
      </w:r>
    </w:p>
    <w:p w14:paraId="2F3AF441" w14:textId="77777777" w:rsidR="00100093" w:rsidRPr="00100093" w:rsidRDefault="00100093" w:rsidP="00100093">
      <w:pPr>
        <w:tabs>
          <w:tab w:val="left" w:pos="961"/>
        </w:tabs>
        <w:snapToGrid w:val="0"/>
        <w:spacing w:line="360" w:lineRule="auto"/>
        <w:ind w:firstLineChars="200" w:firstLine="480"/>
        <w:rPr>
          <w:bCs/>
          <w:sz w:val="24"/>
          <w:szCs w:val="24"/>
        </w:rPr>
      </w:pPr>
      <w:r w:rsidRPr="00100093">
        <w:rPr>
          <w:rFonts w:hint="eastAsia"/>
          <w:bCs/>
          <w:sz w:val="24"/>
          <w:szCs w:val="24"/>
        </w:rPr>
        <w:t>根据《基金法》、基金合同、托管协议和有关基金法规的规定，基金托管人</w:t>
      </w:r>
      <w:r w:rsidRPr="00100093">
        <w:rPr>
          <w:rFonts w:hint="eastAsia"/>
          <w:bCs/>
          <w:sz w:val="24"/>
          <w:szCs w:val="24"/>
        </w:rPr>
        <w:lastRenderedPageBreak/>
        <w:t>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14:paraId="03B92102" w14:textId="77777777" w:rsidR="00100093" w:rsidRPr="00100093" w:rsidRDefault="00100093" w:rsidP="00100093">
      <w:pPr>
        <w:tabs>
          <w:tab w:val="left" w:pos="961"/>
        </w:tabs>
        <w:snapToGrid w:val="0"/>
        <w:spacing w:line="360" w:lineRule="auto"/>
        <w:ind w:firstLineChars="200" w:firstLine="480"/>
        <w:rPr>
          <w:bCs/>
          <w:sz w:val="24"/>
          <w:szCs w:val="24"/>
        </w:rPr>
      </w:pPr>
      <w:r w:rsidRPr="00100093">
        <w:rPr>
          <w:rFonts w:hint="eastAsia"/>
          <w:bCs/>
          <w:sz w:val="24"/>
          <w:szCs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7033F076" w14:textId="77777777" w:rsidR="00584EAA" w:rsidRDefault="00100093" w:rsidP="00584EAA">
      <w:pPr>
        <w:tabs>
          <w:tab w:val="left" w:pos="961"/>
        </w:tabs>
        <w:snapToGrid w:val="0"/>
        <w:spacing w:line="360" w:lineRule="auto"/>
        <w:ind w:firstLineChars="200" w:firstLine="480"/>
        <w:rPr>
          <w:bCs/>
          <w:sz w:val="24"/>
          <w:szCs w:val="24"/>
        </w:rPr>
      </w:pPr>
      <w:r w:rsidRPr="00100093">
        <w:rPr>
          <w:rFonts w:hint="eastAsia"/>
          <w:bCs/>
          <w:sz w:val="24"/>
          <w:szCs w:val="24"/>
        </w:rPr>
        <w:t>基金托管人发现基金管理人有重大违规行为，应立即报告中国证监会，同时通知基金管理人限期纠正。</w:t>
      </w:r>
    </w:p>
    <w:p w14:paraId="139CDB8D" w14:textId="77777777" w:rsidR="0037652E" w:rsidRDefault="0037652E">
      <w:pPr>
        <w:tabs>
          <w:tab w:val="left" w:pos="961"/>
        </w:tabs>
        <w:snapToGrid w:val="0"/>
        <w:spacing w:line="360" w:lineRule="auto"/>
        <w:ind w:firstLineChars="200" w:firstLine="480"/>
        <w:rPr>
          <w:bCs/>
          <w:sz w:val="24"/>
          <w:szCs w:val="24"/>
        </w:rPr>
      </w:pPr>
    </w:p>
    <w:p w14:paraId="039F6D4B" w14:textId="77777777" w:rsidR="0037652E" w:rsidRDefault="00BF49B0">
      <w:pPr>
        <w:spacing w:line="360" w:lineRule="auto"/>
        <w:ind w:firstLineChars="50" w:firstLine="105"/>
        <w:jc w:val="center"/>
        <w:outlineLvl w:val="0"/>
        <w:rPr>
          <w:rFonts w:ascii="宋体" w:hAnsi="宋体"/>
          <w:b/>
          <w:sz w:val="24"/>
          <w:szCs w:val="24"/>
        </w:rPr>
      </w:pPr>
      <w:r>
        <w:rPr>
          <w:bCs/>
          <w:szCs w:val="21"/>
        </w:rPr>
        <w:br w:type="page"/>
      </w:r>
      <w:bookmarkStart w:id="114" w:name="_Toc65325127"/>
      <w:bookmarkStart w:id="115" w:name="_Toc7056"/>
      <w:bookmarkStart w:id="116" w:name="_Toc6745"/>
      <w:bookmarkStart w:id="117" w:name="_Toc110606861"/>
      <w:bookmarkStart w:id="118" w:name="_Toc182072608"/>
      <w:bookmarkStart w:id="119" w:name="_Toc225957063"/>
      <w:bookmarkStart w:id="120" w:name="_Toc174790143"/>
      <w:bookmarkStart w:id="121" w:name="_Toc274593349"/>
      <w:bookmarkStart w:id="122" w:name="_Toc249100248"/>
      <w:r>
        <w:rPr>
          <w:rFonts w:ascii="宋体" w:hAnsi="宋体" w:hint="eastAsia"/>
          <w:b/>
          <w:sz w:val="24"/>
          <w:szCs w:val="24"/>
        </w:rPr>
        <w:lastRenderedPageBreak/>
        <w:t>第二十部分 境外托管人</w:t>
      </w:r>
      <w:bookmarkEnd w:id="114"/>
      <w:bookmarkEnd w:id="115"/>
      <w:bookmarkEnd w:id="116"/>
      <w:bookmarkEnd w:id="117"/>
    </w:p>
    <w:bookmarkEnd w:id="118"/>
    <w:bookmarkEnd w:id="119"/>
    <w:bookmarkEnd w:id="120"/>
    <w:bookmarkEnd w:id="121"/>
    <w:bookmarkEnd w:id="122"/>
    <w:p w14:paraId="16308B26" w14:textId="77777777" w:rsidR="00100093" w:rsidRPr="00100093" w:rsidRDefault="00100093" w:rsidP="00100093">
      <w:pPr>
        <w:widowControl/>
        <w:autoSpaceDE w:val="0"/>
        <w:autoSpaceDN w:val="0"/>
        <w:adjustRightInd w:val="0"/>
        <w:spacing w:line="360" w:lineRule="auto"/>
        <w:contextualSpacing/>
        <w:jc w:val="left"/>
        <w:rPr>
          <w:rFonts w:ascii="Calibri" w:hAnsi="Calibri"/>
          <w:color w:val="000000"/>
          <w:kern w:val="0"/>
          <w:sz w:val="24"/>
          <w:szCs w:val="24"/>
        </w:rPr>
      </w:pPr>
      <w:r w:rsidRPr="00100093">
        <w:rPr>
          <w:rFonts w:ascii="Calibri" w:hAnsi="Calibri"/>
          <w:b/>
          <w:color w:val="000000"/>
          <w:kern w:val="0"/>
          <w:sz w:val="24"/>
          <w:szCs w:val="24"/>
        </w:rPr>
        <w:t>一、基本情况</w:t>
      </w:r>
      <w:r w:rsidRPr="00100093">
        <w:rPr>
          <w:rFonts w:ascii="Calibri" w:hAnsi="Calibri"/>
          <w:color w:val="000000"/>
          <w:kern w:val="0"/>
          <w:sz w:val="24"/>
          <w:szCs w:val="24"/>
        </w:rPr>
        <w:br/>
      </w:r>
      <w:r w:rsidRPr="00100093">
        <w:rPr>
          <w:rFonts w:ascii="Calibri" w:hAnsi="Calibri"/>
          <w:color w:val="000000"/>
          <w:kern w:val="0"/>
          <w:sz w:val="24"/>
          <w:szCs w:val="24"/>
        </w:rPr>
        <w:br/>
        <w:t xml:space="preserve">     </w:t>
      </w:r>
      <w:r w:rsidRPr="00100093">
        <w:rPr>
          <w:rFonts w:ascii="Calibri" w:hAnsi="Calibri"/>
          <w:color w:val="000000"/>
          <w:kern w:val="0"/>
          <w:sz w:val="24"/>
          <w:szCs w:val="24"/>
        </w:rPr>
        <w:t>名称：</w:t>
      </w:r>
      <w:r w:rsidRPr="00100093">
        <w:rPr>
          <w:rFonts w:ascii="Calibri" w:hAnsi="Calibri"/>
          <w:color w:val="000000"/>
          <w:kern w:val="0"/>
          <w:sz w:val="24"/>
          <w:szCs w:val="24"/>
        </w:rPr>
        <w:tab/>
      </w:r>
      <w:r w:rsidRPr="00100093">
        <w:rPr>
          <w:rFonts w:ascii="Calibri" w:hAnsi="Calibri"/>
          <w:color w:val="000000"/>
          <w:kern w:val="0"/>
          <w:sz w:val="24"/>
          <w:szCs w:val="24"/>
        </w:rPr>
        <w:tab/>
      </w:r>
      <w:r w:rsidRPr="00100093">
        <w:rPr>
          <w:rFonts w:ascii="Calibri" w:hAnsi="Calibri"/>
          <w:color w:val="000000"/>
          <w:kern w:val="0"/>
          <w:sz w:val="24"/>
          <w:szCs w:val="24"/>
        </w:rPr>
        <w:t>布朗兄弟哈里曼银行（</w:t>
      </w:r>
      <w:r w:rsidRPr="00100093">
        <w:rPr>
          <w:rFonts w:ascii="Calibri" w:hAnsi="Calibri"/>
          <w:color w:val="000000"/>
          <w:kern w:val="0"/>
          <w:sz w:val="24"/>
          <w:szCs w:val="24"/>
        </w:rPr>
        <w:t>Brown Brothers Harriman &amp; Co.</w:t>
      </w:r>
      <w:r w:rsidRPr="00100093">
        <w:rPr>
          <w:rFonts w:ascii="Calibri" w:hAnsi="Calibri"/>
          <w:color w:val="000000"/>
          <w:kern w:val="0"/>
          <w:sz w:val="24"/>
          <w:szCs w:val="24"/>
        </w:rPr>
        <w:t>）</w:t>
      </w:r>
      <w:r w:rsidRPr="00100093">
        <w:rPr>
          <w:rFonts w:ascii="Calibri" w:hAnsi="Calibri"/>
          <w:color w:val="000000"/>
          <w:kern w:val="0"/>
          <w:sz w:val="24"/>
          <w:szCs w:val="24"/>
        </w:rPr>
        <w:br/>
        <w:t xml:space="preserve">     </w:t>
      </w:r>
      <w:r w:rsidRPr="00100093">
        <w:rPr>
          <w:rFonts w:ascii="Calibri" w:hAnsi="Calibri"/>
          <w:color w:val="000000"/>
          <w:kern w:val="0"/>
          <w:sz w:val="24"/>
          <w:szCs w:val="24"/>
        </w:rPr>
        <w:t>地址：</w:t>
      </w:r>
      <w:r w:rsidRPr="00100093">
        <w:rPr>
          <w:rFonts w:ascii="Calibri" w:hAnsi="Calibri"/>
          <w:color w:val="000000"/>
          <w:kern w:val="0"/>
          <w:sz w:val="24"/>
          <w:szCs w:val="24"/>
        </w:rPr>
        <w:tab/>
      </w:r>
      <w:r w:rsidRPr="00100093">
        <w:rPr>
          <w:rFonts w:ascii="Calibri" w:hAnsi="Calibri"/>
          <w:color w:val="000000"/>
          <w:kern w:val="0"/>
          <w:sz w:val="24"/>
          <w:szCs w:val="24"/>
        </w:rPr>
        <w:tab/>
        <w:t>140 Broadway New York, NY 10005</w:t>
      </w:r>
      <w:r w:rsidRPr="00100093">
        <w:rPr>
          <w:rFonts w:ascii="Calibri" w:hAnsi="Calibri"/>
          <w:color w:val="000000"/>
          <w:kern w:val="0"/>
          <w:sz w:val="24"/>
          <w:szCs w:val="24"/>
        </w:rPr>
        <w:br/>
        <w:t xml:space="preserve">     </w:t>
      </w:r>
      <w:r w:rsidRPr="00100093">
        <w:rPr>
          <w:rFonts w:ascii="Calibri" w:hAnsi="Calibri"/>
          <w:color w:val="000000"/>
          <w:kern w:val="0"/>
          <w:sz w:val="24"/>
          <w:szCs w:val="24"/>
        </w:rPr>
        <w:t>法定代表人：</w:t>
      </w:r>
      <w:r w:rsidRPr="00100093" w:rsidDel="00123935">
        <w:rPr>
          <w:rFonts w:ascii="Calibri" w:hAnsi="Calibri"/>
          <w:color w:val="000000"/>
          <w:kern w:val="0"/>
          <w:sz w:val="24"/>
          <w:szCs w:val="24"/>
        </w:rPr>
        <w:t xml:space="preserve"> </w:t>
      </w:r>
      <w:r w:rsidRPr="00100093">
        <w:rPr>
          <w:rFonts w:ascii="Calibri" w:hAnsi="Calibri"/>
          <w:color w:val="000000"/>
          <w:kern w:val="0"/>
          <w:sz w:val="24"/>
          <w:szCs w:val="24"/>
        </w:rPr>
        <w:t xml:space="preserve"> </w:t>
      </w:r>
      <w:r w:rsidRPr="00100093">
        <w:rPr>
          <w:rFonts w:ascii="Calibri" w:hAnsi="Calibri"/>
          <w:color w:val="000000"/>
          <w:kern w:val="0"/>
          <w:sz w:val="24"/>
          <w:szCs w:val="24"/>
        </w:rPr>
        <w:tab/>
        <w:t>William B. Tyree (Managing Partner)</w:t>
      </w:r>
      <w:r w:rsidRPr="00100093">
        <w:rPr>
          <w:rFonts w:ascii="Calibri" w:hAnsi="Calibri"/>
          <w:color w:val="000000"/>
          <w:kern w:val="0"/>
          <w:sz w:val="24"/>
          <w:szCs w:val="24"/>
        </w:rPr>
        <w:br/>
        <w:t xml:space="preserve">     </w:t>
      </w:r>
      <w:r w:rsidRPr="00100093">
        <w:rPr>
          <w:rFonts w:ascii="Calibri" w:hAnsi="Calibri"/>
          <w:color w:val="000000"/>
          <w:kern w:val="0"/>
          <w:sz w:val="24"/>
          <w:szCs w:val="24"/>
        </w:rPr>
        <w:t>组织形式：</w:t>
      </w:r>
      <w:r w:rsidRPr="00100093">
        <w:rPr>
          <w:rFonts w:ascii="Calibri" w:hAnsi="Calibri"/>
          <w:color w:val="000000"/>
          <w:kern w:val="0"/>
          <w:sz w:val="24"/>
          <w:szCs w:val="24"/>
        </w:rPr>
        <w:tab/>
      </w:r>
      <w:r w:rsidRPr="00100093">
        <w:rPr>
          <w:rFonts w:ascii="Calibri" w:hAnsi="Calibri"/>
          <w:color w:val="000000"/>
          <w:kern w:val="0"/>
          <w:sz w:val="24"/>
          <w:szCs w:val="24"/>
        </w:rPr>
        <w:t>合伙制</w:t>
      </w:r>
      <w:r w:rsidRPr="00100093">
        <w:rPr>
          <w:rFonts w:ascii="Calibri" w:hAnsi="Calibri" w:hint="eastAsia"/>
          <w:color w:val="000000"/>
          <w:kern w:val="0"/>
          <w:sz w:val="24"/>
          <w:szCs w:val="24"/>
        </w:rPr>
        <w:t xml:space="preserve"> </w:t>
      </w:r>
      <w:r w:rsidRPr="00100093">
        <w:rPr>
          <w:rFonts w:ascii="Calibri" w:hAnsi="Calibri" w:hint="eastAsia"/>
          <w:color w:val="000000"/>
          <w:kern w:val="0"/>
          <w:sz w:val="24"/>
          <w:szCs w:val="24"/>
        </w:rPr>
        <w:t>（</w:t>
      </w:r>
      <w:r w:rsidRPr="00100093">
        <w:rPr>
          <w:rFonts w:ascii="Calibri" w:hAnsi="Calibri" w:hint="eastAsia"/>
          <w:color w:val="000000"/>
          <w:kern w:val="0"/>
          <w:sz w:val="24"/>
          <w:szCs w:val="24"/>
        </w:rPr>
        <w:t>Partnership</w:t>
      </w:r>
      <w:r w:rsidRPr="00100093">
        <w:rPr>
          <w:rFonts w:ascii="Calibri" w:hAnsi="Calibri" w:hint="eastAsia"/>
          <w:color w:val="000000"/>
          <w:kern w:val="0"/>
          <w:sz w:val="24"/>
          <w:szCs w:val="24"/>
        </w:rPr>
        <w:t>）</w:t>
      </w:r>
    </w:p>
    <w:p w14:paraId="5F56ED6C" w14:textId="77777777" w:rsidR="00100093" w:rsidRPr="00100093" w:rsidRDefault="00100093" w:rsidP="00100093">
      <w:pPr>
        <w:widowControl/>
        <w:autoSpaceDE w:val="0"/>
        <w:autoSpaceDN w:val="0"/>
        <w:adjustRightInd w:val="0"/>
        <w:spacing w:line="360" w:lineRule="auto"/>
        <w:contextualSpacing/>
        <w:jc w:val="left"/>
        <w:rPr>
          <w:rFonts w:ascii="Calibri" w:hAnsi="Calibri"/>
          <w:color w:val="000000"/>
          <w:kern w:val="0"/>
          <w:sz w:val="24"/>
          <w:szCs w:val="24"/>
        </w:rPr>
      </w:pPr>
      <w:r w:rsidRPr="00100093">
        <w:rPr>
          <w:rFonts w:ascii="Calibri" w:hAnsi="Calibri"/>
          <w:color w:val="000000"/>
          <w:kern w:val="0"/>
          <w:sz w:val="24"/>
          <w:szCs w:val="24"/>
        </w:rPr>
        <w:t xml:space="preserve">     </w:t>
      </w:r>
      <w:r w:rsidRPr="00100093">
        <w:rPr>
          <w:rFonts w:ascii="Calibri" w:hAnsi="Calibri" w:hint="eastAsia"/>
          <w:color w:val="000000"/>
          <w:kern w:val="0"/>
          <w:sz w:val="24"/>
          <w:szCs w:val="24"/>
        </w:rPr>
        <w:t>存续期间：</w:t>
      </w:r>
      <w:r w:rsidRPr="00100093">
        <w:rPr>
          <w:rFonts w:ascii="Calibri" w:hAnsi="Calibri"/>
          <w:color w:val="000000"/>
          <w:kern w:val="0"/>
          <w:sz w:val="24"/>
          <w:szCs w:val="24"/>
        </w:rPr>
        <w:tab/>
      </w:r>
      <w:r w:rsidRPr="00100093">
        <w:rPr>
          <w:rFonts w:ascii="Calibri" w:hAnsi="Calibri" w:hint="eastAsia"/>
          <w:color w:val="000000"/>
          <w:kern w:val="0"/>
          <w:sz w:val="24"/>
          <w:szCs w:val="24"/>
        </w:rPr>
        <w:t>持续经营</w:t>
      </w:r>
      <w:r w:rsidRPr="00100093">
        <w:rPr>
          <w:rFonts w:ascii="Calibri" w:hAnsi="Calibri"/>
          <w:color w:val="000000"/>
          <w:kern w:val="0"/>
          <w:sz w:val="24"/>
          <w:szCs w:val="24"/>
        </w:rPr>
        <w:br/>
        <w:t xml:space="preserve">      </w:t>
      </w:r>
      <w:r w:rsidRPr="00100093">
        <w:rPr>
          <w:rFonts w:ascii="Calibri" w:hAnsi="Calibri"/>
          <w:color w:val="000000"/>
          <w:kern w:val="0"/>
          <w:sz w:val="24"/>
          <w:szCs w:val="24"/>
        </w:rPr>
        <w:br/>
      </w:r>
      <w:r w:rsidRPr="00100093">
        <w:rPr>
          <w:rFonts w:ascii="Calibri" w:hAnsi="Calibri"/>
          <w:color w:val="000000"/>
          <w:kern w:val="0"/>
          <w:sz w:val="24"/>
          <w:szCs w:val="24"/>
        </w:rPr>
        <w:t>成立于</w:t>
      </w:r>
      <w:r w:rsidRPr="00100093">
        <w:rPr>
          <w:rFonts w:ascii="Calibri" w:hAnsi="Calibri"/>
          <w:color w:val="000000"/>
          <w:kern w:val="0"/>
          <w:sz w:val="24"/>
          <w:szCs w:val="24"/>
        </w:rPr>
        <w:t>1818</w:t>
      </w:r>
      <w:r w:rsidRPr="00100093">
        <w:rPr>
          <w:rFonts w:ascii="Calibri" w:hAnsi="Calibri"/>
          <w:color w:val="000000"/>
          <w:kern w:val="0"/>
          <w:sz w:val="24"/>
          <w:szCs w:val="24"/>
        </w:rPr>
        <w:t>年的布朗兄弟哈里曼银行（</w:t>
      </w:r>
      <w:r w:rsidRPr="00100093">
        <w:rPr>
          <w:rFonts w:ascii="Calibri" w:hAnsi="Calibri"/>
          <w:color w:val="000000"/>
          <w:kern w:val="0"/>
          <w:sz w:val="24"/>
          <w:szCs w:val="24"/>
        </w:rPr>
        <w:t>“BBH”</w:t>
      </w:r>
      <w:r w:rsidRPr="00100093">
        <w:rPr>
          <w:rFonts w:ascii="Calibri" w:hAnsi="Calibri"/>
          <w:color w:val="000000"/>
          <w:kern w:val="0"/>
          <w:sz w:val="24"/>
          <w:szCs w:val="24"/>
        </w:rPr>
        <w:t>）是全球领先的托管银行之一。</w:t>
      </w:r>
      <w:r w:rsidRPr="00100093">
        <w:rPr>
          <w:rFonts w:ascii="Calibri" w:hAnsi="Calibri"/>
          <w:color w:val="000000"/>
          <w:kern w:val="0"/>
          <w:sz w:val="24"/>
          <w:szCs w:val="24"/>
        </w:rPr>
        <w:t>BBH</w:t>
      </w:r>
      <w:r w:rsidRPr="00100093">
        <w:rPr>
          <w:rFonts w:ascii="Calibri" w:hAnsi="Calibri"/>
          <w:color w:val="000000"/>
          <w:kern w:val="0"/>
          <w:sz w:val="24"/>
          <w:szCs w:val="24"/>
        </w:rPr>
        <w:t>自</w:t>
      </w:r>
      <w:r w:rsidRPr="00100093">
        <w:rPr>
          <w:rFonts w:ascii="Calibri" w:hAnsi="Calibri"/>
          <w:color w:val="000000"/>
          <w:kern w:val="0"/>
          <w:sz w:val="24"/>
          <w:szCs w:val="24"/>
        </w:rPr>
        <w:t>1928</w:t>
      </w:r>
      <w:r w:rsidRPr="00100093">
        <w:rPr>
          <w:rFonts w:ascii="Calibri" w:hAnsi="Calibri"/>
          <w:color w:val="000000"/>
          <w:kern w:val="0"/>
          <w:sz w:val="24"/>
          <w:szCs w:val="24"/>
        </w:rPr>
        <w:t>年起已经开始在美国提供托管服务</w:t>
      </w:r>
      <w:r w:rsidRPr="00100093">
        <w:rPr>
          <w:rFonts w:ascii="Calibri" w:hAnsi="Calibri" w:hint="eastAsia"/>
          <w:color w:val="000000"/>
          <w:kern w:val="0"/>
          <w:sz w:val="24"/>
          <w:szCs w:val="24"/>
        </w:rPr>
        <w:t>；</w:t>
      </w:r>
      <w:r w:rsidRPr="00100093">
        <w:rPr>
          <w:rFonts w:ascii="Calibri" w:hAnsi="Calibri"/>
          <w:color w:val="000000"/>
          <w:kern w:val="0"/>
          <w:sz w:val="24"/>
          <w:szCs w:val="24"/>
        </w:rPr>
        <w:t xml:space="preserve"> 1963</w:t>
      </w:r>
      <w:r w:rsidRPr="00100093">
        <w:rPr>
          <w:rFonts w:ascii="Calibri" w:hAnsi="Calibri"/>
          <w:color w:val="000000"/>
          <w:kern w:val="0"/>
          <w:sz w:val="24"/>
          <w:szCs w:val="24"/>
        </w:rPr>
        <w:t>年，</w:t>
      </w:r>
      <w:r w:rsidRPr="00100093">
        <w:rPr>
          <w:rFonts w:ascii="Calibri" w:hAnsi="Calibri"/>
          <w:color w:val="000000"/>
          <w:kern w:val="0"/>
          <w:sz w:val="24"/>
          <w:szCs w:val="24"/>
        </w:rPr>
        <w:t>BBH</w:t>
      </w:r>
      <w:r w:rsidRPr="00100093">
        <w:rPr>
          <w:rFonts w:ascii="Calibri" w:hAnsi="Calibri"/>
          <w:color w:val="000000"/>
          <w:kern w:val="0"/>
          <w:sz w:val="24"/>
          <w:szCs w:val="24"/>
        </w:rPr>
        <w:t>开始为客户提供全球托管服务，是首批开展全球托管业务的美国银行之一。</w:t>
      </w:r>
    </w:p>
    <w:p w14:paraId="24DF200D" w14:textId="77777777" w:rsidR="00100093" w:rsidRPr="00100093" w:rsidRDefault="00100093" w:rsidP="00100093">
      <w:pPr>
        <w:widowControl/>
        <w:autoSpaceDE w:val="0"/>
        <w:autoSpaceDN w:val="0"/>
        <w:adjustRightInd w:val="0"/>
        <w:spacing w:line="360" w:lineRule="auto"/>
        <w:contextualSpacing/>
        <w:jc w:val="left"/>
        <w:rPr>
          <w:rFonts w:ascii="Calibri" w:hAnsi="Calibri"/>
          <w:color w:val="000000"/>
          <w:kern w:val="0"/>
          <w:sz w:val="24"/>
          <w:szCs w:val="24"/>
        </w:rPr>
      </w:pPr>
      <w:r w:rsidRPr="00100093">
        <w:rPr>
          <w:rFonts w:ascii="Calibri" w:hAnsi="Calibri"/>
          <w:color w:val="000000"/>
          <w:kern w:val="0"/>
          <w:sz w:val="24"/>
          <w:szCs w:val="24"/>
        </w:rPr>
        <w:t>BBH</w:t>
      </w:r>
      <w:r w:rsidRPr="00100093">
        <w:rPr>
          <w:rFonts w:ascii="Calibri" w:hAnsi="Calibri"/>
          <w:color w:val="000000"/>
          <w:kern w:val="0"/>
          <w:sz w:val="24"/>
          <w:szCs w:val="24"/>
        </w:rPr>
        <w:t>的惠誉长期评级为</w:t>
      </w:r>
      <w:r w:rsidRPr="00100093">
        <w:rPr>
          <w:rFonts w:ascii="Calibri" w:hAnsi="Calibri"/>
          <w:color w:val="000000"/>
          <w:kern w:val="0"/>
          <w:sz w:val="24"/>
          <w:szCs w:val="24"/>
        </w:rPr>
        <w:t>A+</w:t>
      </w:r>
      <w:r w:rsidRPr="00100093">
        <w:rPr>
          <w:rFonts w:ascii="Calibri" w:hAnsi="Calibri"/>
          <w:color w:val="000000"/>
          <w:kern w:val="0"/>
          <w:sz w:val="24"/>
          <w:szCs w:val="24"/>
        </w:rPr>
        <w:t>，短期评级为</w:t>
      </w:r>
      <w:r w:rsidRPr="00100093">
        <w:rPr>
          <w:rFonts w:ascii="Calibri" w:hAnsi="Calibri"/>
          <w:color w:val="000000"/>
          <w:kern w:val="0"/>
          <w:sz w:val="24"/>
          <w:szCs w:val="24"/>
        </w:rPr>
        <w:t>F1</w:t>
      </w:r>
      <w:r w:rsidRPr="00100093">
        <w:rPr>
          <w:rFonts w:ascii="Calibri" w:hAnsi="Calibri" w:hint="eastAsia"/>
          <w:color w:val="000000"/>
          <w:kern w:val="0"/>
          <w:sz w:val="24"/>
          <w:szCs w:val="24"/>
        </w:rPr>
        <w:t>。</w:t>
      </w:r>
    </w:p>
    <w:p w14:paraId="1EDD6811" w14:textId="77777777" w:rsidR="00100093" w:rsidRPr="00100093" w:rsidRDefault="00100093" w:rsidP="00100093">
      <w:pPr>
        <w:widowControl/>
        <w:adjustRightInd w:val="0"/>
        <w:spacing w:after="200" w:line="360" w:lineRule="auto"/>
        <w:contextualSpacing/>
        <w:jc w:val="left"/>
        <w:rPr>
          <w:rFonts w:ascii="Calibri" w:hAnsi="Calibri"/>
          <w:b/>
          <w:color w:val="000000"/>
          <w:kern w:val="0"/>
          <w:sz w:val="24"/>
          <w:szCs w:val="24"/>
        </w:rPr>
      </w:pPr>
    </w:p>
    <w:p w14:paraId="2EEE29BF" w14:textId="77777777" w:rsidR="00100093" w:rsidRPr="00100093" w:rsidRDefault="00100093" w:rsidP="00100093">
      <w:pPr>
        <w:widowControl/>
        <w:autoSpaceDE w:val="0"/>
        <w:autoSpaceDN w:val="0"/>
        <w:adjustRightInd w:val="0"/>
        <w:spacing w:line="360" w:lineRule="auto"/>
        <w:contextualSpacing/>
        <w:jc w:val="left"/>
        <w:rPr>
          <w:rFonts w:ascii="Calibri" w:hAnsi="Calibri"/>
          <w:color w:val="000000"/>
          <w:kern w:val="0"/>
          <w:sz w:val="24"/>
          <w:szCs w:val="24"/>
        </w:rPr>
      </w:pPr>
      <w:r w:rsidRPr="00100093">
        <w:rPr>
          <w:rFonts w:ascii="Calibri" w:hAnsi="Calibri" w:hint="eastAsia"/>
          <w:b/>
          <w:color w:val="000000"/>
          <w:kern w:val="0"/>
          <w:sz w:val="24"/>
          <w:szCs w:val="24"/>
        </w:rPr>
        <w:t>二</w:t>
      </w:r>
      <w:r w:rsidRPr="00100093">
        <w:rPr>
          <w:rFonts w:ascii="Calibri" w:hAnsi="Calibri"/>
          <w:b/>
          <w:color w:val="000000"/>
          <w:kern w:val="0"/>
          <w:sz w:val="24"/>
          <w:szCs w:val="24"/>
        </w:rPr>
        <w:t>、</w:t>
      </w:r>
      <w:r w:rsidRPr="00100093">
        <w:rPr>
          <w:rFonts w:ascii="Calibri" w:hAnsi="Calibri" w:hint="eastAsia"/>
          <w:b/>
          <w:color w:val="000000"/>
          <w:kern w:val="0"/>
          <w:sz w:val="24"/>
          <w:szCs w:val="24"/>
        </w:rPr>
        <w:t>全球托管业务及主要人员情况</w:t>
      </w:r>
      <w:r w:rsidRPr="00100093">
        <w:rPr>
          <w:rFonts w:ascii="Calibri" w:hAnsi="Calibri"/>
          <w:color w:val="000000"/>
          <w:kern w:val="0"/>
          <w:sz w:val="24"/>
          <w:szCs w:val="24"/>
        </w:rPr>
        <w:br/>
      </w:r>
      <w:r w:rsidRPr="00100093">
        <w:rPr>
          <w:rFonts w:ascii="Calibri" w:hAnsi="Calibri"/>
          <w:color w:val="000000"/>
          <w:kern w:val="0"/>
          <w:sz w:val="24"/>
          <w:szCs w:val="24"/>
        </w:rPr>
        <w:br/>
      </w:r>
      <w:r w:rsidRPr="00100093">
        <w:rPr>
          <w:rFonts w:ascii="Calibri" w:hAnsi="Calibri"/>
          <w:color w:val="000000"/>
          <w:kern w:val="0"/>
          <w:sz w:val="24"/>
          <w:szCs w:val="24"/>
        </w:rPr>
        <w:t>布朗兄弟哈里曼银行的全球托管业务隶属于本行的投资者服务部</w:t>
      </w:r>
      <w:r w:rsidRPr="00100093">
        <w:rPr>
          <w:rFonts w:ascii="Calibri" w:hAnsi="Calibri"/>
          <w:color w:val="000000"/>
          <w:kern w:val="0"/>
          <w:sz w:val="24"/>
          <w:szCs w:val="24"/>
        </w:rPr>
        <w:t xml:space="preserve"> (Investor Services)</w:t>
      </w:r>
      <w:r w:rsidRPr="00100093">
        <w:rPr>
          <w:rFonts w:ascii="Calibri" w:hAnsi="Calibri"/>
          <w:color w:val="000000"/>
          <w:kern w:val="0"/>
          <w:sz w:val="24"/>
          <w:szCs w:val="24"/>
        </w:rPr>
        <w:t>。在全球范围内，该部门由本行合伙人</w:t>
      </w:r>
      <w:r w:rsidRPr="00100093">
        <w:rPr>
          <w:rFonts w:ascii="Calibri" w:hAnsi="Calibri"/>
          <w:color w:val="000000"/>
          <w:kern w:val="0"/>
          <w:sz w:val="24"/>
          <w:szCs w:val="24"/>
        </w:rPr>
        <w:t xml:space="preserve">Seán Páircéir </w:t>
      </w:r>
      <w:r w:rsidRPr="00100093">
        <w:rPr>
          <w:rFonts w:ascii="Calibri" w:hAnsi="Calibri"/>
          <w:color w:val="000000"/>
          <w:kern w:val="0"/>
          <w:sz w:val="24"/>
          <w:szCs w:val="24"/>
        </w:rPr>
        <w:t>先生领导。在亚洲，该部门由本行合伙人</w:t>
      </w:r>
      <w:r w:rsidRPr="00100093">
        <w:rPr>
          <w:rFonts w:ascii="Calibri" w:hAnsi="Calibri"/>
          <w:color w:val="000000"/>
          <w:kern w:val="0"/>
          <w:sz w:val="24"/>
          <w:szCs w:val="24"/>
        </w:rPr>
        <w:t>Taylor Bodman</w:t>
      </w:r>
      <w:r w:rsidRPr="00100093">
        <w:rPr>
          <w:rFonts w:ascii="Calibri" w:hAnsi="Calibri"/>
          <w:color w:val="000000"/>
          <w:kern w:val="0"/>
          <w:sz w:val="24"/>
          <w:szCs w:val="24"/>
        </w:rPr>
        <w:t>先生领导。</w:t>
      </w:r>
      <w:r w:rsidRPr="00100093">
        <w:rPr>
          <w:rFonts w:ascii="Calibri" w:hAnsi="Calibri"/>
          <w:color w:val="000000"/>
          <w:kern w:val="0"/>
          <w:sz w:val="24"/>
          <w:szCs w:val="24"/>
        </w:rPr>
        <w:br/>
      </w:r>
      <w:r w:rsidRPr="00100093">
        <w:rPr>
          <w:rFonts w:ascii="Calibri" w:hAnsi="Calibri"/>
          <w:color w:val="000000"/>
          <w:kern w:val="0"/>
          <w:sz w:val="24"/>
          <w:szCs w:val="24"/>
        </w:rPr>
        <w:br/>
      </w:r>
      <w:r w:rsidRPr="00100093">
        <w:rPr>
          <w:rFonts w:ascii="Calibri" w:hAnsi="Calibri"/>
          <w:color w:val="000000"/>
          <w:kern w:val="0"/>
          <w:sz w:val="24"/>
          <w:szCs w:val="24"/>
        </w:rPr>
        <w:t>作为一家全球化公司，</w:t>
      </w:r>
      <w:r w:rsidRPr="00100093">
        <w:rPr>
          <w:rFonts w:ascii="Calibri" w:hAnsi="Calibri"/>
          <w:color w:val="000000"/>
          <w:kern w:val="0"/>
          <w:sz w:val="24"/>
          <w:szCs w:val="24"/>
        </w:rPr>
        <w:t>BBH</w:t>
      </w:r>
      <w:r w:rsidRPr="00100093">
        <w:rPr>
          <w:rFonts w:ascii="Calibri" w:hAnsi="Calibri"/>
          <w:color w:val="000000"/>
          <w:kern w:val="0"/>
          <w:sz w:val="24"/>
          <w:szCs w:val="24"/>
        </w:rPr>
        <w:t>拥有服务全球跨境投资的专长，其全球托管网络覆盖近一百个市场。截至</w:t>
      </w:r>
      <w:r w:rsidRPr="00100093">
        <w:rPr>
          <w:rFonts w:ascii="Calibri" w:hAnsi="Calibri"/>
          <w:color w:val="000000"/>
          <w:kern w:val="0"/>
          <w:sz w:val="24"/>
          <w:szCs w:val="24"/>
        </w:rPr>
        <w:t>2020</w:t>
      </w:r>
      <w:r w:rsidRPr="00100093">
        <w:rPr>
          <w:rFonts w:ascii="Calibri" w:hAnsi="Calibri"/>
          <w:color w:val="000000"/>
          <w:kern w:val="0"/>
          <w:sz w:val="24"/>
          <w:szCs w:val="24"/>
        </w:rPr>
        <w:t>年</w:t>
      </w:r>
      <w:r w:rsidRPr="00100093">
        <w:rPr>
          <w:rFonts w:ascii="Calibri" w:hAnsi="Calibri" w:hint="eastAsia"/>
          <w:color w:val="000000"/>
          <w:kern w:val="0"/>
          <w:sz w:val="24"/>
          <w:szCs w:val="24"/>
        </w:rPr>
        <w:t>12</w:t>
      </w:r>
      <w:r w:rsidRPr="00100093">
        <w:rPr>
          <w:rFonts w:ascii="Calibri" w:hAnsi="Calibri"/>
          <w:color w:val="000000"/>
          <w:kern w:val="0"/>
          <w:sz w:val="24"/>
          <w:szCs w:val="24"/>
        </w:rPr>
        <w:t>月</w:t>
      </w:r>
      <w:r w:rsidRPr="00100093">
        <w:rPr>
          <w:rFonts w:ascii="Calibri" w:hAnsi="Calibri"/>
          <w:color w:val="000000"/>
          <w:kern w:val="0"/>
          <w:sz w:val="24"/>
          <w:szCs w:val="24"/>
        </w:rPr>
        <w:t>3</w:t>
      </w:r>
      <w:r w:rsidRPr="00100093">
        <w:rPr>
          <w:rFonts w:ascii="Calibri" w:hAnsi="Calibri" w:hint="eastAsia"/>
          <w:color w:val="000000"/>
          <w:kern w:val="0"/>
          <w:sz w:val="24"/>
          <w:szCs w:val="24"/>
        </w:rPr>
        <w:t>1</w:t>
      </w:r>
      <w:r w:rsidRPr="00100093">
        <w:rPr>
          <w:rFonts w:ascii="Calibri" w:hAnsi="Calibri"/>
          <w:color w:val="000000"/>
          <w:kern w:val="0"/>
          <w:sz w:val="24"/>
          <w:szCs w:val="24"/>
        </w:rPr>
        <w:t>日，全球托管资产规模达到了</w:t>
      </w:r>
      <w:r w:rsidRPr="00100093">
        <w:rPr>
          <w:rFonts w:ascii="Calibri" w:hAnsi="Calibri"/>
          <w:color w:val="000000"/>
          <w:kern w:val="0"/>
          <w:sz w:val="24"/>
          <w:szCs w:val="24"/>
        </w:rPr>
        <w:t>5.2</w:t>
      </w:r>
      <w:r w:rsidRPr="00100093">
        <w:rPr>
          <w:rFonts w:ascii="Calibri" w:hAnsi="Calibri"/>
          <w:color w:val="000000"/>
          <w:kern w:val="0"/>
          <w:sz w:val="24"/>
          <w:szCs w:val="24"/>
        </w:rPr>
        <w:t>万亿美元，其中超过</w:t>
      </w:r>
      <w:r w:rsidRPr="00100093">
        <w:rPr>
          <w:rFonts w:ascii="Calibri" w:hAnsi="Calibri"/>
          <w:color w:val="000000"/>
          <w:kern w:val="0"/>
          <w:sz w:val="24"/>
          <w:szCs w:val="24"/>
        </w:rPr>
        <w:t>70%</w:t>
      </w:r>
      <w:r w:rsidRPr="00100093">
        <w:rPr>
          <w:rFonts w:ascii="Calibri" w:hAnsi="Calibri"/>
          <w:color w:val="000000"/>
          <w:kern w:val="0"/>
          <w:sz w:val="24"/>
          <w:szCs w:val="24"/>
        </w:rPr>
        <w:t>是跨境投资资产。亚洲是</w:t>
      </w:r>
      <w:r w:rsidRPr="00100093">
        <w:rPr>
          <w:rFonts w:ascii="Calibri" w:hAnsi="Calibri"/>
          <w:color w:val="000000"/>
          <w:kern w:val="0"/>
          <w:sz w:val="24"/>
          <w:szCs w:val="24"/>
        </w:rPr>
        <w:t>BBH</w:t>
      </w:r>
      <w:r w:rsidRPr="00100093">
        <w:rPr>
          <w:rFonts w:ascii="Calibri" w:hAnsi="Calibri"/>
          <w:color w:val="000000"/>
          <w:kern w:val="0"/>
          <w:sz w:val="24"/>
          <w:szCs w:val="24"/>
        </w:rPr>
        <w:t>业务增长最快的地区之一，我们投身于亚洲市场迄今已逾</w:t>
      </w:r>
      <w:r w:rsidRPr="00100093">
        <w:rPr>
          <w:rFonts w:ascii="Calibri" w:hAnsi="Calibri"/>
          <w:color w:val="000000"/>
          <w:kern w:val="0"/>
          <w:sz w:val="24"/>
          <w:szCs w:val="24"/>
        </w:rPr>
        <w:t>30</w:t>
      </w:r>
      <w:r w:rsidRPr="00100093">
        <w:rPr>
          <w:rFonts w:ascii="Calibri" w:hAnsi="Calibri"/>
          <w:color w:val="000000"/>
          <w:kern w:val="0"/>
          <w:sz w:val="24"/>
          <w:szCs w:val="24"/>
        </w:rPr>
        <w:t>年，亚洲区服务的资产超</w:t>
      </w:r>
      <w:r w:rsidRPr="00100093">
        <w:rPr>
          <w:rFonts w:ascii="Calibri" w:hAnsi="Calibri"/>
          <w:color w:val="000000"/>
          <w:kern w:val="0"/>
          <w:sz w:val="24"/>
          <w:szCs w:val="24"/>
        </w:rPr>
        <w:t>8,000</w:t>
      </w:r>
      <w:r w:rsidRPr="00100093">
        <w:rPr>
          <w:rFonts w:ascii="Calibri" w:hAnsi="Calibri"/>
          <w:color w:val="000000"/>
          <w:kern w:val="0"/>
          <w:sz w:val="24"/>
          <w:szCs w:val="24"/>
        </w:rPr>
        <w:t>亿美元。</w:t>
      </w:r>
      <w:r w:rsidRPr="00100093">
        <w:rPr>
          <w:rFonts w:ascii="Calibri" w:hAnsi="Calibri"/>
          <w:color w:val="000000"/>
          <w:kern w:val="0"/>
          <w:sz w:val="24"/>
          <w:szCs w:val="24"/>
        </w:rPr>
        <w:t xml:space="preserve"> </w:t>
      </w:r>
    </w:p>
    <w:p w14:paraId="01C44880" w14:textId="77777777" w:rsidR="00100093" w:rsidRPr="00100093" w:rsidRDefault="00100093" w:rsidP="00100093">
      <w:pPr>
        <w:widowControl/>
        <w:autoSpaceDE w:val="0"/>
        <w:autoSpaceDN w:val="0"/>
        <w:adjustRightInd w:val="0"/>
        <w:spacing w:line="360" w:lineRule="auto"/>
        <w:contextualSpacing/>
        <w:jc w:val="left"/>
        <w:rPr>
          <w:rFonts w:ascii="Calibri" w:hAnsi="Calibri"/>
          <w:color w:val="000000"/>
          <w:kern w:val="0"/>
          <w:sz w:val="24"/>
          <w:szCs w:val="24"/>
        </w:rPr>
      </w:pPr>
    </w:p>
    <w:p w14:paraId="621E0E3F" w14:textId="77777777" w:rsidR="00100093" w:rsidRPr="00100093" w:rsidRDefault="00100093" w:rsidP="00100093">
      <w:pPr>
        <w:widowControl/>
        <w:autoSpaceDE w:val="0"/>
        <w:autoSpaceDN w:val="0"/>
        <w:adjustRightInd w:val="0"/>
        <w:spacing w:line="360" w:lineRule="auto"/>
        <w:contextualSpacing/>
        <w:jc w:val="left"/>
        <w:rPr>
          <w:rFonts w:ascii="Calibri" w:hAnsi="Calibri"/>
          <w:color w:val="000000"/>
          <w:kern w:val="0"/>
          <w:sz w:val="24"/>
          <w:szCs w:val="24"/>
        </w:rPr>
      </w:pPr>
      <w:r w:rsidRPr="00100093">
        <w:rPr>
          <w:rFonts w:ascii="Calibri" w:hAnsi="Calibri"/>
          <w:color w:val="000000"/>
          <w:kern w:val="0"/>
          <w:sz w:val="24"/>
          <w:szCs w:val="24"/>
        </w:rPr>
        <w:t>投资者服务部是公司最大的业务部门，拥有近</w:t>
      </w:r>
      <w:r w:rsidRPr="00100093">
        <w:rPr>
          <w:rFonts w:ascii="Calibri" w:hAnsi="Calibri"/>
          <w:color w:val="000000"/>
          <w:kern w:val="0"/>
          <w:sz w:val="24"/>
          <w:szCs w:val="24"/>
        </w:rPr>
        <w:t>4</w:t>
      </w:r>
      <w:r w:rsidRPr="00100093">
        <w:rPr>
          <w:rFonts w:ascii="Calibri" w:hAnsi="Calibri" w:hint="eastAsia"/>
          <w:color w:val="000000"/>
          <w:kern w:val="0"/>
          <w:sz w:val="24"/>
          <w:szCs w:val="24"/>
        </w:rPr>
        <w:t>,</w:t>
      </w:r>
      <w:r w:rsidRPr="00100093">
        <w:rPr>
          <w:rFonts w:ascii="Calibri" w:hAnsi="Calibri"/>
          <w:color w:val="000000"/>
          <w:kern w:val="0"/>
          <w:sz w:val="24"/>
          <w:szCs w:val="24"/>
        </w:rPr>
        <w:t>8</w:t>
      </w:r>
      <w:r w:rsidRPr="00100093">
        <w:rPr>
          <w:rFonts w:ascii="Calibri" w:hAnsi="Calibri" w:hint="eastAsia"/>
          <w:color w:val="000000"/>
          <w:kern w:val="0"/>
          <w:sz w:val="24"/>
          <w:szCs w:val="24"/>
        </w:rPr>
        <w:t>00</w:t>
      </w:r>
      <w:r w:rsidRPr="00100093">
        <w:rPr>
          <w:rFonts w:ascii="Calibri" w:hAnsi="Calibri"/>
          <w:color w:val="000000"/>
          <w:kern w:val="0"/>
          <w:sz w:val="24"/>
          <w:szCs w:val="24"/>
        </w:rPr>
        <w:t>名员工。我们致力为客户提供稳定优质的服务，并根据客户具体需求提供定制化的全面解决方案，真正做到</w:t>
      </w:r>
      <w:r w:rsidRPr="00100093">
        <w:rPr>
          <w:rFonts w:ascii="Calibri" w:hAnsi="Calibri"/>
          <w:color w:val="000000"/>
          <w:kern w:val="0"/>
          <w:sz w:val="24"/>
          <w:szCs w:val="24"/>
        </w:rPr>
        <w:t>“</w:t>
      </w:r>
      <w:r w:rsidRPr="00100093">
        <w:rPr>
          <w:rFonts w:ascii="Calibri" w:hAnsi="Calibri"/>
          <w:color w:val="000000"/>
          <w:kern w:val="0"/>
          <w:sz w:val="24"/>
          <w:szCs w:val="24"/>
        </w:rPr>
        <w:t>以客户为中心</w:t>
      </w:r>
      <w:r w:rsidRPr="00100093">
        <w:rPr>
          <w:rFonts w:ascii="Calibri" w:hAnsi="Calibri"/>
          <w:color w:val="000000"/>
          <w:kern w:val="0"/>
          <w:sz w:val="24"/>
          <w:szCs w:val="24"/>
        </w:rPr>
        <w:t>”</w:t>
      </w:r>
      <w:r w:rsidRPr="00100093">
        <w:rPr>
          <w:rFonts w:ascii="Calibri" w:hAnsi="Calibri"/>
          <w:color w:val="000000"/>
          <w:kern w:val="0"/>
          <w:sz w:val="24"/>
          <w:szCs w:val="24"/>
        </w:rPr>
        <w:t>。</w:t>
      </w:r>
      <w:r w:rsidRPr="00100093">
        <w:rPr>
          <w:rFonts w:ascii="Calibri" w:hAnsi="Calibri"/>
          <w:color w:val="000000"/>
          <w:kern w:val="0"/>
          <w:sz w:val="24"/>
          <w:szCs w:val="24"/>
        </w:rPr>
        <w:t xml:space="preserve"> </w:t>
      </w:r>
    </w:p>
    <w:p w14:paraId="36156620" w14:textId="77777777" w:rsidR="00100093" w:rsidRPr="00100093" w:rsidRDefault="00100093" w:rsidP="00100093">
      <w:pPr>
        <w:widowControl/>
        <w:adjustRightInd w:val="0"/>
        <w:spacing w:after="200" w:line="360" w:lineRule="auto"/>
        <w:contextualSpacing/>
        <w:jc w:val="left"/>
        <w:rPr>
          <w:rFonts w:ascii="Cambria Math" w:hAnsi="Cambria Math" w:cs="Cambria Math" w:hint="eastAsia"/>
          <w:color w:val="000000"/>
          <w:kern w:val="0"/>
          <w:sz w:val="24"/>
          <w:szCs w:val="24"/>
        </w:rPr>
      </w:pPr>
      <w:r w:rsidRPr="00100093">
        <w:rPr>
          <w:rFonts w:ascii="Calibri" w:hAnsi="Calibri"/>
          <w:color w:val="000000"/>
          <w:kern w:val="0"/>
          <w:sz w:val="24"/>
          <w:szCs w:val="24"/>
        </w:rPr>
        <w:lastRenderedPageBreak/>
        <w:t>由于坚持长期提供优质稳定的客户服务，</w:t>
      </w:r>
      <w:r w:rsidRPr="00100093">
        <w:rPr>
          <w:rFonts w:ascii="Calibri" w:hAnsi="Calibri"/>
          <w:color w:val="000000"/>
          <w:kern w:val="0"/>
          <w:sz w:val="24"/>
          <w:szCs w:val="24"/>
        </w:rPr>
        <w:t>BBH</w:t>
      </w:r>
      <w:r w:rsidRPr="00100093">
        <w:rPr>
          <w:rFonts w:ascii="Calibri" w:hAnsi="Calibri"/>
          <w:color w:val="000000"/>
          <w:kern w:val="0"/>
          <w:sz w:val="24"/>
          <w:szCs w:val="24"/>
        </w:rPr>
        <w:t>多年来在行业评比中屡获殊荣，包括</w:t>
      </w:r>
      <w:r w:rsidRPr="00100093">
        <w:rPr>
          <w:rFonts w:ascii="Cambria Math" w:hAnsi="Cambria Math" w:cs="Cambria Math"/>
          <w:color w:val="000000"/>
          <w:kern w:val="0"/>
          <w:sz w:val="24"/>
          <w:szCs w:val="24"/>
        </w:rPr>
        <w:t>∶</w:t>
      </w:r>
    </w:p>
    <w:p w14:paraId="6DFB9EEE" w14:textId="77777777" w:rsidR="00100093" w:rsidRPr="00100093" w:rsidRDefault="00100093" w:rsidP="00100093">
      <w:pPr>
        <w:widowControl/>
        <w:adjustRightInd w:val="0"/>
        <w:spacing w:after="200" w:line="360" w:lineRule="auto"/>
        <w:contextualSpacing/>
        <w:jc w:val="left"/>
        <w:rPr>
          <w:rFonts w:ascii="Calibri" w:hAnsi="Calibri"/>
          <w:b/>
          <w:color w:val="000000"/>
          <w:kern w:val="0"/>
          <w:sz w:val="24"/>
          <w:szCs w:val="24"/>
        </w:rPr>
      </w:pPr>
      <w:r w:rsidRPr="002F3E80">
        <w:rPr>
          <w:rFonts w:ascii="Calibri" w:hAnsi="Calibri"/>
          <w:noProof/>
          <w:color w:val="000000"/>
          <w:kern w:val="0"/>
          <w:sz w:val="24"/>
          <w:szCs w:val="24"/>
        </w:rPr>
        <w:drawing>
          <wp:inline distT="0" distB="0" distL="0" distR="0" wp14:anchorId="6E5175AD" wp14:editId="461C5EEA">
            <wp:extent cx="2469018" cy="542925"/>
            <wp:effectExtent l="0" t="0" r="7620" b="0"/>
            <wp:docPr id="9" name="Picture 5" descr="W:\ADMINISTRATION-PTNRS-HR-CONTRLRS\PARTNERS\Partners - Boston\_Partners - BO - Presentations\Tyree PPT 7-2010\Images and Source Files\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ISTRATION-PTNRS-HR-CONTRLRS\PARTNERS\Partners - Boston\_Partners - BO - Presentations\Tyree PPT 7-2010\Images and Source Files\GC.jpg"/>
                    <pic:cNvPicPr>
                      <a:picLocks noChangeAspect="1" noChangeArrowheads="1"/>
                    </pic:cNvPicPr>
                  </pic:nvPicPr>
                  <pic:blipFill>
                    <a:blip r:embed="rId17" cstate="print"/>
                    <a:srcRect/>
                    <a:stretch>
                      <a:fillRect/>
                    </a:stretch>
                  </pic:blipFill>
                  <pic:spPr bwMode="auto">
                    <a:xfrm>
                      <a:off x="0" y="0"/>
                      <a:ext cx="2500722" cy="549896"/>
                    </a:xfrm>
                    <a:prstGeom prst="rect">
                      <a:avLst/>
                    </a:prstGeom>
                    <a:noFill/>
                    <a:ln w="9525">
                      <a:noFill/>
                      <a:miter lim="800000"/>
                      <a:headEnd/>
                      <a:tailEnd/>
                    </a:ln>
                  </pic:spPr>
                </pic:pic>
              </a:graphicData>
            </a:graphic>
          </wp:inline>
        </w:drawing>
      </w:r>
      <w:r w:rsidRPr="00100093">
        <w:rPr>
          <w:rFonts w:ascii="Calibri" w:hAnsi="Calibri"/>
          <w:color w:val="000000"/>
          <w:kern w:val="0"/>
          <w:sz w:val="24"/>
          <w:szCs w:val="24"/>
        </w:rPr>
        <w:t xml:space="preserve"> </w:t>
      </w:r>
      <w:r w:rsidRPr="00100093">
        <w:rPr>
          <w:rFonts w:ascii="Calibri" w:hAnsi="Calibri"/>
          <w:b/>
          <w:color w:val="000000"/>
          <w:kern w:val="0"/>
          <w:sz w:val="24"/>
          <w:szCs w:val="24"/>
        </w:rPr>
        <w:t>《全球托管人》</w:t>
      </w:r>
    </w:p>
    <w:p w14:paraId="690D1156" w14:textId="77777777" w:rsidR="00100093" w:rsidRPr="00100093" w:rsidRDefault="00100093" w:rsidP="00100093">
      <w:pPr>
        <w:widowControl/>
        <w:adjustRightInd w:val="0"/>
        <w:spacing w:after="200" w:line="360" w:lineRule="auto"/>
        <w:contextualSpacing/>
        <w:jc w:val="left"/>
        <w:rPr>
          <w:rFonts w:ascii="Calibri" w:hAnsi="Calibri"/>
          <w:b/>
          <w:color w:val="000000"/>
          <w:kern w:val="0"/>
          <w:sz w:val="24"/>
          <w:szCs w:val="24"/>
        </w:rPr>
      </w:pPr>
      <w:r w:rsidRPr="00100093">
        <w:rPr>
          <w:rFonts w:ascii="Calibri" w:hAnsi="Calibri"/>
          <w:noProof/>
          <w:kern w:val="0"/>
          <w:sz w:val="22"/>
          <w:szCs w:val="22"/>
        </w:rPr>
        <w:t xml:space="preserve">  </w:t>
      </w:r>
      <w:r w:rsidRPr="002F3E80">
        <w:rPr>
          <w:rFonts w:ascii="Calibri" w:hAnsi="Calibri"/>
          <w:noProof/>
          <w:kern w:val="0"/>
          <w:sz w:val="22"/>
          <w:szCs w:val="22"/>
        </w:rPr>
        <w:drawing>
          <wp:inline distT="0" distB="0" distL="0" distR="0" wp14:anchorId="49721498" wp14:editId="388CE00A">
            <wp:extent cx="2371725" cy="2630335"/>
            <wp:effectExtent l="0" t="0" r="0" b="0"/>
            <wp:docPr id="10" name="table">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85D8022-D949-412C-BD18-6CA286931D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85D8022-D949-412C-BD18-6CA286931D90}"/>
                        </a:ext>
                      </a:extLst>
                    </pic:cNvPr>
                    <pic:cNvPicPr>
                      <a:picLocks noChangeAspect="1"/>
                    </pic:cNvPicPr>
                  </pic:nvPicPr>
                  <pic:blipFill>
                    <a:blip r:embed="rId18"/>
                    <a:stretch>
                      <a:fillRect/>
                    </a:stretch>
                  </pic:blipFill>
                  <pic:spPr>
                    <a:xfrm>
                      <a:off x="0" y="0"/>
                      <a:ext cx="2398552" cy="2660087"/>
                    </a:xfrm>
                    <a:prstGeom prst="rect">
                      <a:avLst/>
                    </a:prstGeom>
                  </pic:spPr>
                </pic:pic>
              </a:graphicData>
            </a:graphic>
          </wp:inline>
        </w:drawing>
      </w:r>
      <w:r w:rsidRPr="00100093">
        <w:rPr>
          <w:rFonts w:ascii="Calibri" w:hAnsi="Calibri"/>
          <w:noProof/>
          <w:kern w:val="0"/>
          <w:sz w:val="22"/>
          <w:szCs w:val="22"/>
        </w:rPr>
        <w:t xml:space="preserve">                  </w:t>
      </w:r>
      <w:r w:rsidRPr="002F3E80">
        <w:rPr>
          <w:rFonts w:ascii="Calibri" w:hAnsi="Calibri"/>
          <w:noProof/>
          <w:kern w:val="0"/>
          <w:sz w:val="22"/>
          <w:szCs w:val="22"/>
        </w:rPr>
        <w:drawing>
          <wp:inline distT="0" distB="0" distL="0" distR="0" wp14:anchorId="0F7BAACA" wp14:editId="1653C1FB">
            <wp:extent cx="2238375" cy="2756693"/>
            <wp:effectExtent l="0" t="0" r="0" b="0"/>
            <wp:docPr id="11" name="table">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F3AD006-0C3D-421D-A878-4992BC1293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F3AD006-0C3D-421D-A878-4992BC12936F}"/>
                        </a:ext>
                      </a:extLst>
                    </pic:cNvPr>
                    <pic:cNvPicPr>
                      <a:picLocks noChangeAspect="1"/>
                    </pic:cNvPicPr>
                  </pic:nvPicPr>
                  <pic:blipFill>
                    <a:blip r:embed="rId19"/>
                    <a:stretch>
                      <a:fillRect/>
                    </a:stretch>
                  </pic:blipFill>
                  <pic:spPr>
                    <a:xfrm>
                      <a:off x="0" y="0"/>
                      <a:ext cx="2247133" cy="2767479"/>
                    </a:xfrm>
                    <a:prstGeom prst="rect">
                      <a:avLst/>
                    </a:prstGeom>
                  </pic:spPr>
                </pic:pic>
              </a:graphicData>
            </a:graphic>
          </wp:inline>
        </w:drawing>
      </w:r>
    </w:p>
    <w:p w14:paraId="355EFA44" w14:textId="77777777" w:rsidR="00100093" w:rsidRPr="00100093" w:rsidRDefault="00100093" w:rsidP="00100093">
      <w:pPr>
        <w:widowControl/>
        <w:adjustRightInd w:val="0"/>
        <w:spacing w:after="200" w:line="360" w:lineRule="auto"/>
        <w:contextualSpacing/>
        <w:jc w:val="left"/>
        <w:rPr>
          <w:rFonts w:ascii="Calibri" w:hAnsi="Calibri"/>
          <w:b/>
          <w:color w:val="000000"/>
          <w:kern w:val="0"/>
          <w:sz w:val="24"/>
          <w:szCs w:val="24"/>
        </w:rPr>
      </w:pPr>
      <w:r w:rsidRPr="002F3E80">
        <w:rPr>
          <w:rFonts w:ascii="Calibri" w:hAnsi="Calibri"/>
          <w:noProof/>
          <w:color w:val="000000"/>
          <w:kern w:val="0"/>
          <w:sz w:val="24"/>
          <w:szCs w:val="24"/>
        </w:rPr>
        <w:drawing>
          <wp:inline distT="0" distB="0" distL="0" distR="0" wp14:anchorId="26456F4F" wp14:editId="50CBFB38">
            <wp:extent cx="1800225" cy="501222"/>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34299" cy="510709"/>
                    </a:xfrm>
                    <a:prstGeom prst="rect">
                      <a:avLst/>
                    </a:prstGeom>
                  </pic:spPr>
                </pic:pic>
              </a:graphicData>
            </a:graphic>
          </wp:inline>
        </w:drawing>
      </w:r>
      <w:r w:rsidRPr="00100093">
        <w:rPr>
          <w:rFonts w:ascii="Calibri" w:hAnsi="Calibri"/>
          <w:color w:val="000000"/>
          <w:kern w:val="0"/>
          <w:sz w:val="24"/>
          <w:szCs w:val="24"/>
        </w:rPr>
        <w:t xml:space="preserve"> </w:t>
      </w:r>
      <w:r w:rsidRPr="00100093">
        <w:rPr>
          <w:rFonts w:ascii="Calibri" w:hAnsi="Calibri"/>
          <w:b/>
          <w:color w:val="000000"/>
          <w:kern w:val="0"/>
          <w:sz w:val="24"/>
          <w:szCs w:val="24"/>
        </w:rPr>
        <w:t>《全球投资人》</w:t>
      </w:r>
    </w:p>
    <w:tbl>
      <w:tblPr>
        <w:tblW w:w="9744" w:type="dxa"/>
        <w:tblCellMar>
          <w:left w:w="0" w:type="dxa"/>
          <w:right w:w="0" w:type="dxa"/>
        </w:tblCellMar>
        <w:tblLook w:val="0420" w:firstRow="1" w:lastRow="0" w:firstColumn="0" w:lastColumn="0" w:noHBand="0" w:noVBand="1"/>
      </w:tblPr>
      <w:tblGrid>
        <w:gridCol w:w="9744"/>
      </w:tblGrid>
      <w:tr w:rsidR="00100093" w:rsidRPr="00100093" w14:paraId="6A4030BE" w14:textId="77777777" w:rsidTr="005D7D3C">
        <w:trPr>
          <w:trHeight w:val="923"/>
        </w:trPr>
        <w:tc>
          <w:tcPr>
            <w:tcW w:w="9744" w:type="dxa"/>
            <w:tcBorders>
              <w:top w:val="nil"/>
              <w:left w:val="nil"/>
              <w:bottom w:val="nil"/>
              <w:right w:val="nil"/>
            </w:tcBorders>
            <w:shd w:val="clear" w:color="auto" w:fill="auto"/>
            <w:tcMar>
              <w:top w:w="144" w:type="dxa"/>
              <w:left w:w="144" w:type="dxa"/>
              <w:bottom w:w="0" w:type="dxa"/>
              <w:right w:w="144" w:type="dxa"/>
            </w:tcMar>
          </w:tcPr>
          <w:p w14:paraId="17B3DD5F" w14:textId="77777777" w:rsidR="00100093" w:rsidRPr="00100093" w:rsidRDefault="00100093" w:rsidP="00100093">
            <w:pPr>
              <w:widowControl/>
              <w:adjustRightInd w:val="0"/>
              <w:spacing w:after="200" w:line="360" w:lineRule="auto"/>
              <w:contextualSpacing/>
              <w:jc w:val="left"/>
              <w:rPr>
                <w:rFonts w:ascii="Calibri" w:hAnsi="Calibri"/>
                <w:color w:val="000000"/>
                <w:kern w:val="0"/>
                <w:sz w:val="24"/>
                <w:szCs w:val="24"/>
              </w:rPr>
            </w:pPr>
            <w:r w:rsidRPr="002F3E80">
              <w:rPr>
                <w:rFonts w:ascii="Calibri" w:hAnsi="Calibri"/>
                <w:noProof/>
                <w:kern w:val="0"/>
                <w:sz w:val="22"/>
                <w:szCs w:val="22"/>
              </w:rPr>
              <w:lastRenderedPageBreak/>
              <w:drawing>
                <wp:inline distT="0" distB="0" distL="0" distR="0" wp14:anchorId="3C718529" wp14:editId="6A0E4C5C">
                  <wp:extent cx="2771775" cy="2247511"/>
                  <wp:effectExtent l="0" t="0" r="0" b="0"/>
                  <wp:docPr id="13" name="table">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611E2D2-E49D-458E-9C7B-43C2B705DD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611E2D2-E49D-458E-9C7B-43C2B705DD7B}"/>
                              </a:ext>
                            </a:extLst>
                          </pic:cNvPr>
                          <pic:cNvPicPr>
                            <a:picLocks noChangeAspect="1"/>
                          </pic:cNvPicPr>
                        </pic:nvPicPr>
                        <pic:blipFill>
                          <a:blip r:embed="rId21"/>
                          <a:stretch>
                            <a:fillRect/>
                          </a:stretch>
                        </pic:blipFill>
                        <pic:spPr>
                          <a:xfrm>
                            <a:off x="0" y="0"/>
                            <a:ext cx="2807278" cy="2276299"/>
                          </a:xfrm>
                          <a:prstGeom prst="rect">
                            <a:avLst/>
                          </a:prstGeom>
                        </pic:spPr>
                      </pic:pic>
                    </a:graphicData>
                  </a:graphic>
                </wp:inline>
              </w:drawing>
            </w:r>
            <w:r w:rsidRPr="002F3E80">
              <w:rPr>
                <w:rFonts w:ascii="Calibri" w:hAnsi="Calibri"/>
                <w:noProof/>
                <w:kern w:val="0"/>
                <w:sz w:val="22"/>
                <w:szCs w:val="22"/>
              </w:rPr>
              <w:drawing>
                <wp:inline distT="0" distB="0" distL="0" distR="0" wp14:anchorId="419456CA" wp14:editId="72D25667">
                  <wp:extent cx="2295263" cy="2247900"/>
                  <wp:effectExtent l="0" t="0" r="0" b="0"/>
                  <wp:docPr id="14" name="table">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9906131-D2C3-4861-ABE2-6EE3D18CD5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9906131-D2C3-4861-ABE2-6EE3D18CD59F}"/>
                              </a:ext>
                            </a:extLst>
                          </pic:cNvPr>
                          <pic:cNvPicPr>
                            <a:picLocks noChangeAspect="1"/>
                          </pic:cNvPicPr>
                        </pic:nvPicPr>
                        <pic:blipFill>
                          <a:blip r:embed="rId22"/>
                          <a:stretch>
                            <a:fillRect/>
                          </a:stretch>
                        </pic:blipFill>
                        <pic:spPr>
                          <a:xfrm>
                            <a:off x="0" y="0"/>
                            <a:ext cx="2336272" cy="2288062"/>
                          </a:xfrm>
                          <a:prstGeom prst="rect">
                            <a:avLst/>
                          </a:prstGeom>
                        </pic:spPr>
                      </pic:pic>
                    </a:graphicData>
                  </a:graphic>
                </wp:inline>
              </w:drawing>
            </w:r>
          </w:p>
        </w:tc>
      </w:tr>
    </w:tbl>
    <w:p w14:paraId="3B9AE1CF" w14:textId="77777777" w:rsidR="00100093" w:rsidRPr="00100093" w:rsidRDefault="00100093" w:rsidP="00100093">
      <w:pPr>
        <w:widowControl/>
        <w:adjustRightInd w:val="0"/>
        <w:spacing w:after="200" w:line="360" w:lineRule="auto"/>
        <w:contextualSpacing/>
        <w:jc w:val="left"/>
        <w:rPr>
          <w:rFonts w:ascii="Calibri" w:hAnsi="Calibri"/>
          <w:color w:val="000000"/>
          <w:kern w:val="0"/>
          <w:sz w:val="20"/>
        </w:rPr>
      </w:pPr>
    </w:p>
    <w:p w14:paraId="3FD5948C" w14:textId="77777777" w:rsidR="00100093" w:rsidRPr="00100093" w:rsidRDefault="00100093" w:rsidP="00100093">
      <w:pPr>
        <w:widowControl/>
        <w:adjustRightInd w:val="0"/>
        <w:spacing w:after="200" w:line="360" w:lineRule="auto"/>
        <w:contextualSpacing/>
        <w:jc w:val="left"/>
        <w:rPr>
          <w:rFonts w:ascii="Calibri" w:hAnsi="Calibri"/>
          <w:b/>
          <w:color w:val="000000"/>
          <w:kern w:val="0"/>
          <w:sz w:val="24"/>
          <w:szCs w:val="24"/>
        </w:rPr>
      </w:pPr>
      <w:r w:rsidRPr="002F3E80">
        <w:rPr>
          <w:rFonts w:ascii="Calibri" w:hAnsi="Calibri"/>
          <w:noProof/>
          <w:color w:val="000000"/>
          <w:kern w:val="0"/>
          <w:sz w:val="24"/>
          <w:szCs w:val="24"/>
        </w:rPr>
        <w:drawing>
          <wp:inline distT="0" distB="0" distL="0" distR="0" wp14:anchorId="0A499127" wp14:editId="43522FA7">
            <wp:extent cx="2133600" cy="323850"/>
            <wp:effectExtent l="0" t="0" r="0" b="0"/>
            <wp:docPr id="1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745" cy="323872"/>
                    </a:xfrm>
                    <a:prstGeom prst="rect">
                      <a:avLst/>
                    </a:prstGeom>
                  </pic:spPr>
                </pic:pic>
              </a:graphicData>
            </a:graphic>
          </wp:inline>
        </w:drawing>
      </w:r>
      <w:r w:rsidRPr="00100093">
        <w:rPr>
          <w:rFonts w:ascii="Calibri" w:hAnsi="Calibri"/>
          <w:color w:val="000000"/>
          <w:kern w:val="0"/>
          <w:sz w:val="24"/>
          <w:szCs w:val="24"/>
        </w:rPr>
        <w:t xml:space="preserve">    </w:t>
      </w:r>
      <w:r w:rsidRPr="00100093">
        <w:rPr>
          <w:rFonts w:ascii="Calibri" w:hAnsi="Calibri"/>
          <w:b/>
          <w:color w:val="000000"/>
          <w:kern w:val="0"/>
          <w:sz w:val="24"/>
          <w:szCs w:val="24"/>
        </w:rPr>
        <w:t>《</w:t>
      </w:r>
      <w:r w:rsidRPr="00100093">
        <w:rPr>
          <w:rFonts w:ascii="Calibri" w:hAnsi="Calibri"/>
          <w:b/>
          <w:color w:val="000000"/>
          <w:kern w:val="0"/>
          <w:sz w:val="24"/>
          <w:szCs w:val="24"/>
        </w:rPr>
        <w:t>ETF Express</w:t>
      </w:r>
      <w:r w:rsidRPr="00100093">
        <w:rPr>
          <w:rFonts w:ascii="Calibri" w:hAnsi="Calibri"/>
          <w:b/>
          <w:color w:val="000000"/>
          <w:kern w:val="0"/>
          <w:sz w:val="24"/>
          <w:szCs w:val="24"/>
        </w:rPr>
        <w:t>》</w:t>
      </w:r>
    </w:p>
    <w:p w14:paraId="7FB08A3C" w14:textId="77777777" w:rsidR="00100093" w:rsidRPr="00100093" w:rsidRDefault="00100093" w:rsidP="00100093">
      <w:pPr>
        <w:widowControl/>
        <w:adjustRightInd w:val="0"/>
        <w:spacing w:after="200" w:line="360" w:lineRule="auto"/>
        <w:ind w:left="720"/>
        <w:contextualSpacing/>
        <w:jc w:val="left"/>
        <w:rPr>
          <w:rFonts w:ascii="Calibri" w:hAnsi="Calibri"/>
          <w:noProof/>
          <w:kern w:val="0"/>
          <w:sz w:val="22"/>
          <w:szCs w:val="22"/>
        </w:rPr>
      </w:pPr>
      <w:r w:rsidRPr="002F3E80">
        <w:rPr>
          <w:rFonts w:ascii="Calibri" w:hAnsi="Calibri"/>
          <w:noProof/>
          <w:kern w:val="0"/>
          <w:sz w:val="22"/>
          <w:szCs w:val="22"/>
        </w:rPr>
        <w:drawing>
          <wp:inline distT="0" distB="0" distL="0" distR="0" wp14:anchorId="42FAF322" wp14:editId="304E348C">
            <wp:extent cx="1743175" cy="2076450"/>
            <wp:effectExtent l="0" t="0" r="952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87818" cy="2129628"/>
                    </a:xfrm>
                    <a:prstGeom prst="rect">
                      <a:avLst/>
                    </a:prstGeom>
                  </pic:spPr>
                </pic:pic>
              </a:graphicData>
            </a:graphic>
          </wp:inline>
        </w:drawing>
      </w:r>
      <w:r w:rsidRPr="00100093">
        <w:rPr>
          <w:rFonts w:ascii="Calibri" w:hAnsi="Calibri"/>
          <w:noProof/>
          <w:kern w:val="0"/>
          <w:sz w:val="22"/>
          <w:szCs w:val="22"/>
        </w:rPr>
        <w:t xml:space="preserve">                          </w:t>
      </w:r>
      <w:r w:rsidRPr="002F3E80">
        <w:rPr>
          <w:rFonts w:ascii="Calibri" w:hAnsi="Calibri"/>
          <w:noProof/>
          <w:kern w:val="0"/>
          <w:sz w:val="22"/>
          <w:szCs w:val="22"/>
        </w:rPr>
        <w:drawing>
          <wp:inline distT="0" distB="0" distL="0" distR="0" wp14:anchorId="4342A67E" wp14:editId="6EF9FC1F">
            <wp:extent cx="2040940" cy="2135223"/>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63753" cy="2159090"/>
                    </a:xfrm>
                    <a:prstGeom prst="rect">
                      <a:avLst/>
                    </a:prstGeom>
                  </pic:spPr>
                </pic:pic>
              </a:graphicData>
            </a:graphic>
          </wp:inline>
        </w:drawing>
      </w:r>
      <w:r w:rsidRPr="00100093">
        <w:rPr>
          <w:rFonts w:ascii="Calibri" w:hAnsi="Calibri"/>
          <w:noProof/>
          <w:kern w:val="0"/>
          <w:sz w:val="22"/>
          <w:szCs w:val="22"/>
        </w:rPr>
        <w:t xml:space="preserve">          </w:t>
      </w:r>
    </w:p>
    <w:p w14:paraId="32B415A9" w14:textId="77777777" w:rsidR="00100093" w:rsidRPr="00100093" w:rsidRDefault="00100093" w:rsidP="00100093">
      <w:pPr>
        <w:widowControl/>
        <w:adjustRightInd w:val="0"/>
        <w:spacing w:after="200" w:line="360" w:lineRule="auto"/>
        <w:contextualSpacing/>
        <w:jc w:val="left"/>
        <w:rPr>
          <w:rFonts w:ascii="Calibri" w:hAnsi="Calibri"/>
          <w:b/>
          <w:color w:val="000000"/>
          <w:kern w:val="0"/>
          <w:sz w:val="24"/>
          <w:szCs w:val="24"/>
        </w:rPr>
      </w:pPr>
      <w:r w:rsidRPr="00100093">
        <w:rPr>
          <w:rFonts w:ascii="Calibri" w:hAnsi="Calibri"/>
          <w:color w:val="000000"/>
          <w:kern w:val="0"/>
          <w:sz w:val="22"/>
          <w:szCs w:val="22"/>
        </w:rPr>
        <w:t xml:space="preserve"> </w:t>
      </w:r>
      <w:r w:rsidRPr="002F3E80">
        <w:rPr>
          <w:rFonts w:ascii="Calibri" w:hAnsi="Calibri"/>
          <w:noProof/>
          <w:color w:val="000000"/>
          <w:kern w:val="0"/>
          <w:sz w:val="22"/>
          <w:szCs w:val="22"/>
        </w:rPr>
        <w:drawing>
          <wp:inline distT="0" distB="0" distL="0" distR="0" wp14:anchorId="074A34FD" wp14:editId="44DF8DF9">
            <wp:extent cx="1981742" cy="384810"/>
            <wp:effectExtent l="0" t="0" r="0" b="0"/>
            <wp:docPr id="2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86810" cy="385794"/>
                    </a:xfrm>
                    <a:prstGeom prst="rect">
                      <a:avLst/>
                    </a:prstGeom>
                  </pic:spPr>
                </pic:pic>
              </a:graphicData>
            </a:graphic>
          </wp:inline>
        </w:drawing>
      </w:r>
      <w:r w:rsidRPr="00100093">
        <w:rPr>
          <w:rFonts w:ascii="Calibri" w:hAnsi="Calibri"/>
          <w:color w:val="000000"/>
          <w:kern w:val="0"/>
          <w:sz w:val="24"/>
          <w:szCs w:val="24"/>
        </w:rPr>
        <w:t xml:space="preserve">   </w:t>
      </w:r>
      <w:r w:rsidRPr="00100093">
        <w:rPr>
          <w:rFonts w:ascii="Calibri" w:hAnsi="Calibri"/>
          <w:b/>
          <w:color w:val="000000"/>
          <w:kern w:val="0"/>
          <w:sz w:val="24"/>
          <w:szCs w:val="24"/>
        </w:rPr>
        <w:t>《</w:t>
      </w:r>
      <w:r w:rsidRPr="00100093">
        <w:rPr>
          <w:rFonts w:ascii="Calibri" w:hAnsi="Calibri"/>
          <w:b/>
          <w:color w:val="000000"/>
          <w:kern w:val="0"/>
          <w:sz w:val="24"/>
          <w:szCs w:val="24"/>
        </w:rPr>
        <w:t xml:space="preserve">R&amp;M </w:t>
      </w:r>
      <w:r w:rsidRPr="00100093">
        <w:rPr>
          <w:rFonts w:ascii="Calibri" w:hAnsi="Calibri"/>
          <w:b/>
          <w:color w:val="000000"/>
          <w:kern w:val="0"/>
          <w:sz w:val="24"/>
          <w:szCs w:val="24"/>
        </w:rPr>
        <w:t>调查》</w:t>
      </w:r>
    </w:p>
    <w:tbl>
      <w:tblPr>
        <w:tblW w:w="9400" w:type="dxa"/>
        <w:tblCellMar>
          <w:left w:w="0" w:type="dxa"/>
          <w:right w:w="0" w:type="dxa"/>
        </w:tblCellMar>
        <w:tblLook w:val="0420" w:firstRow="1" w:lastRow="0" w:firstColumn="0" w:lastColumn="0" w:noHBand="0" w:noVBand="1"/>
      </w:tblPr>
      <w:tblGrid>
        <w:gridCol w:w="9400"/>
      </w:tblGrid>
      <w:tr w:rsidR="00100093" w:rsidRPr="00100093" w14:paraId="0EEF77D6" w14:textId="77777777" w:rsidTr="005D7D3C">
        <w:trPr>
          <w:trHeight w:val="489"/>
        </w:trPr>
        <w:tc>
          <w:tcPr>
            <w:tcW w:w="9400" w:type="dxa"/>
            <w:tcBorders>
              <w:top w:val="nil"/>
              <w:left w:val="nil"/>
              <w:bottom w:val="nil"/>
              <w:right w:val="nil"/>
            </w:tcBorders>
            <w:shd w:val="clear" w:color="auto" w:fill="auto"/>
            <w:tcMar>
              <w:top w:w="15" w:type="dxa"/>
              <w:left w:w="133" w:type="dxa"/>
              <w:bottom w:w="0" w:type="dxa"/>
              <w:right w:w="15" w:type="dxa"/>
            </w:tcMar>
            <w:vAlign w:val="bottom"/>
          </w:tcPr>
          <w:p w14:paraId="41AFC398" w14:textId="77777777" w:rsidR="00100093" w:rsidRPr="00100093" w:rsidRDefault="00100093" w:rsidP="00100093">
            <w:pPr>
              <w:widowControl/>
              <w:adjustRightInd w:val="0"/>
              <w:spacing w:after="200" w:line="360" w:lineRule="auto"/>
              <w:contextualSpacing/>
              <w:jc w:val="left"/>
              <w:rPr>
                <w:rFonts w:ascii="Calibri" w:hAnsi="Calibri"/>
                <w:color w:val="000000"/>
                <w:kern w:val="0"/>
                <w:sz w:val="24"/>
                <w:szCs w:val="24"/>
              </w:rPr>
            </w:pPr>
            <w:r w:rsidRPr="00100093">
              <w:rPr>
                <w:rFonts w:ascii="Calibri" w:hAnsi="Calibri"/>
                <w:noProof/>
                <w:kern w:val="0"/>
                <w:sz w:val="22"/>
                <w:szCs w:val="22"/>
              </w:rPr>
              <w:lastRenderedPageBreak/>
              <w:t xml:space="preserve">    </w:t>
            </w:r>
            <w:r w:rsidRPr="002F3E80">
              <w:rPr>
                <w:rFonts w:ascii="Calibri" w:hAnsi="Calibri"/>
                <w:noProof/>
                <w:kern w:val="0"/>
                <w:sz w:val="22"/>
                <w:szCs w:val="22"/>
              </w:rPr>
              <w:drawing>
                <wp:inline distT="0" distB="0" distL="0" distR="0" wp14:anchorId="4F566EE9" wp14:editId="41E9B83C">
                  <wp:extent cx="2371725" cy="731721"/>
                  <wp:effectExtent l="0" t="0" r="0" b="0"/>
                  <wp:docPr id="22" name="table">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9A4B546-2E04-43C9-A976-9EA924215D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9A4B546-2E04-43C9-A976-9EA924215DA2}"/>
                              </a:ext>
                            </a:extLst>
                          </pic:cNvPr>
                          <pic:cNvPicPr>
                            <a:picLocks noChangeAspect="1"/>
                          </pic:cNvPicPr>
                        </pic:nvPicPr>
                        <pic:blipFill>
                          <a:blip r:embed="rId27"/>
                          <a:stretch>
                            <a:fillRect/>
                          </a:stretch>
                        </pic:blipFill>
                        <pic:spPr>
                          <a:xfrm>
                            <a:off x="0" y="0"/>
                            <a:ext cx="2400363" cy="740556"/>
                          </a:xfrm>
                          <a:prstGeom prst="rect">
                            <a:avLst/>
                          </a:prstGeom>
                        </pic:spPr>
                      </pic:pic>
                    </a:graphicData>
                  </a:graphic>
                </wp:inline>
              </w:drawing>
            </w:r>
            <w:r w:rsidRPr="00100093">
              <w:rPr>
                <w:rFonts w:ascii="Calibri" w:hAnsi="Calibri"/>
                <w:noProof/>
                <w:kern w:val="0"/>
                <w:sz w:val="22"/>
                <w:szCs w:val="22"/>
              </w:rPr>
              <w:t xml:space="preserve">             </w:t>
            </w:r>
            <w:r w:rsidRPr="002F3E80">
              <w:rPr>
                <w:rFonts w:ascii="Calibri" w:hAnsi="Calibri"/>
                <w:noProof/>
                <w:kern w:val="0"/>
                <w:sz w:val="22"/>
                <w:szCs w:val="22"/>
              </w:rPr>
              <w:drawing>
                <wp:inline distT="0" distB="0" distL="0" distR="0" wp14:anchorId="3E4DBC99" wp14:editId="47491B83">
                  <wp:extent cx="2329242" cy="752475"/>
                  <wp:effectExtent l="0" t="0" r="0" b="0"/>
                  <wp:docPr id="23" name="table">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0F65668-6125-4918-A5A6-2A83280B97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0F65668-6125-4918-A5A6-2A83280B9799}"/>
                              </a:ext>
                            </a:extLst>
                          </pic:cNvPr>
                          <pic:cNvPicPr>
                            <a:picLocks noChangeAspect="1"/>
                          </pic:cNvPicPr>
                        </pic:nvPicPr>
                        <pic:blipFill>
                          <a:blip r:embed="rId28"/>
                          <a:stretch>
                            <a:fillRect/>
                          </a:stretch>
                        </pic:blipFill>
                        <pic:spPr>
                          <a:xfrm>
                            <a:off x="0" y="0"/>
                            <a:ext cx="2398449" cy="774833"/>
                          </a:xfrm>
                          <a:prstGeom prst="rect">
                            <a:avLst/>
                          </a:prstGeom>
                        </pic:spPr>
                      </pic:pic>
                    </a:graphicData>
                  </a:graphic>
                </wp:inline>
              </w:drawing>
            </w:r>
          </w:p>
        </w:tc>
      </w:tr>
    </w:tbl>
    <w:p w14:paraId="13D50983" w14:textId="77777777" w:rsidR="00100093" w:rsidRPr="00100093" w:rsidRDefault="00100093" w:rsidP="00100093">
      <w:pPr>
        <w:widowControl/>
        <w:spacing w:after="200" w:line="360" w:lineRule="auto"/>
        <w:jc w:val="left"/>
        <w:rPr>
          <w:rFonts w:ascii="Calibri" w:hAnsi="Calibri"/>
          <w:b/>
          <w:color w:val="000000"/>
          <w:kern w:val="0"/>
          <w:sz w:val="24"/>
          <w:szCs w:val="24"/>
        </w:rPr>
      </w:pPr>
    </w:p>
    <w:p w14:paraId="6EDAA5FA" w14:textId="77777777" w:rsidR="00100093" w:rsidRPr="00100093" w:rsidRDefault="00100093" w:rsidP="00100093">
      <w:pPr>
        <w:widowControl/>
        <w:spacing w:after="200" w:line="360" w:lineRule="auto"/>
        <w:jc w:val="left"/>
        <w:rPr>
          <w:rFonts w:ascii="Calibri" w:hAnsi="Calibri"/>
          <w:b/>
          <w:color w:val="000000"/>
          <w:kern w:val="0"/>
          <w:sz w:val="24"/>
          <w:szCs w:val="24"/>
        </w:rPr>
      </w:pPr>
      <w:r w:rsidRPr="00100093">
        <w:rPr>
          <w:rFonts w:ascii="Calibri" w:hAnsi="Calibri"/>
          <w:b/>
          <w:color w:val="000000"/>
          <w:kern w:val="0"/>
          <w:sz w:val="24"/>
          <w:szCs w:val="24"/>
        </w:rPr>
        <w:t>三、境外托管人的职责</w:t>
      </w:r>
    </w:p>
    <w:p w14:paraId="551E5B49" w14:textId="77777777" w:rsidR="00100093" w:rsidRPr="00100093" w:rsidRDefault="00100093" w:rsidP="00100093">
      <w:pPr>
        <w:widowControl/>
        <w:numPr>
          <w:ilvl w:val="0"/>
          <w:numId w:val="6"/>
        </w:numPr>
        <w:spacing w:after="200" w:line="360" w:lineRule="auto"/>
        <w:contextualSpacing/>
        <w:jc w:val="left"/>
        <w:rPr>
          <w:rFonts w:ascii="Calibri" w:hAnsi="Calibri"/>
          <w:kern w:val="0"/>
          <w:sz w:val="22"/>
          <w:szCs w:val="21"/>
        </w:rPr>
      </w:pPr>
      <w:r w:rsidRPr="00100093">
        <w:rPr>
          <w:rFonts w:ascii="Calibri" w:hAnsi="Calibri"/>
          <w:kern w:val="0"/>
          <w:sz w:val="22"/>
          <w:szCs w:val="21"/>
        </w:rPr>
        <w:t>安全保管受托财产；</w:t>
      </w:r>
    </w:p>
    <w:p w14:paraId="08A0D5EA" w14:textId="77777777" w:rsidR="00100093" w:rsidRPr="00100093" w:rsidRDefault="00100093" w:rsidP="00100093">
      <w:pPr>
        <w:widowControl/>
        <w:numPr>
          <w:ilvl w:val="0"/>
          <w:numId w:val="6"/>
        </w:numPr>
        <w:spacing w:after="200" w:line="360" w:lineRule="auto"/>
        <w:contextualSpacing/>
        <w:jc w:val="left"/>
        <w:rPr>
          <w:rFonts w:ascii="Calibri" w:hAnsi="Calibri"/>
          <w:kern w:val="0"/>
          <w:sz w:val="22"/>
          <w:szCs w:val="21"/>
        </w:rPr>
      </w:pPr>
      <w:r w:rsidRPr="00100093">
        <w:rPr>
          <w:rFonts w:ascii="Calibri" w:hAnsi="Calibri"/>
          <w:kern w:val="0"/>
          <w:sz w:val="22"/>
          <w:szCs w:val="21"/>
        </w:rPr>
        <w:t>计算境外受托资产的资产净值；</w:t>
      </w:r>
    </w:p>
    <w:p w14:paraId="1D3B360C" w14:textId="77777777" w:rsidR="00100093" w:rsidRPr="00100093" w:rsidRDefault="00100093" w:rsidP="00100093">
      <w:pPr>
        <w:widowControl/>
        <w:numPr>
          <w:ilvl w:val="0"/>
          <w:numId w:val="6"/>
        </w:numPr>
        <w:spacing w:after="200" w:line="360" w:lineRule="auto"/>
        <w:contextualSpacing/>
        <w:jc w:val="left"/>
        <w:rPr>
          <w:rFonts w:ascii="Calibri" w:hAnsi="Calibri"/>
          <w:kern w:val="0"/>
          <w:sz w:val="22"/>
          <w:szCs w:val="21"/>
        </w:rPr>
      </w:pPr>
      <w:r w:rsidRPr="00100093">
        <w:rPr>
          <w:rFonts w:ascii="Calibri" w:hAnsi="Calibri"/>
          <w:kern w:val="0"/>
          <w:sz w:val="22"/>
          <w:szCs w:val="21"/>
        </w:rPr>
        <w:t>按照相关合同的约定，及时办理受托资产的清算、交割事宜；</w:t>
      </w:r>
    </w:p>
    <w:p w14:paraId="03951B24" w14:textId="77777777" w:rsidR="00100093" w:rsidRPr="00100093" w:rsidRDefault="00100093" w:rsidP="00100093">
      <w:pPr>
        <w:widowControl/>
        <w:numPr>
          <w:ilvl w:val="0"/>
          <w:numId w:val="6"/>
        </w:numPr>
        <w:spacing w:after="200" w:line="360" w:lineRule="auto"/>
        <w:contextualSpacing/>
        <w:jc w:val="left"/>
        <w:rPr>
          <w:rFonts w:ascii="Calibri" w:hAnsi="Calibri"/>
          <w:kern w:val="0"/>
          <w:sz w:val="22"/>
          <w:szCs w:val="21"/>
        </w:rPr>
      </w:pPr>
      <w:r w:rsidRPr="00100093">
        <w:rPr>
          <w:rFonts w:ascii="Calibri" w:hAnsi="Calibri"/>
          <w:kern w:val="0"/>
          <w:sz w:val="22"/>
          <w:szCs w:val="21"/>
        </w:rPr>
        <w:t>按照相关合同的约定和所适用国家、地区法律法规的规定，开设受托资产的资金账户以及证券账户；</w:t>
      </w:r>
    </w:p>
    <w:p w14:paraId="0A3EF113" w14:textId="77777777" w:rsidR="00100093" w:rsidRPr="00100093" w:rsidRDefault="00100093" w:rsidP="00100093">
      <w:pPr>
        <w:widowControl/>
        <w:numPr>
          <w:ilvl w:val="0"/>
          <w:numId w:val="6"/>
        </w:numPr>
        <w:spacing w:after="200" w:line="360" w:lineRule="auto"/>
        <w:contextualSpacing/>
        <w:jc w:val="left"/>
        <w:rPr>
          <w:rFonts w:ascii="Calibri" w:hAnsi="Calibri"/>
          <w:kern w:val="0"/>
          <w:sz w:val="22"/>
          <w:szCs w:val="21"/>
        </w:rPr>
      </w:pPr>
      <w:r w:rsidRPr="00100093">
        <w:rPr>
          <w:rFonts w:ascii="Calibri" w:hAnsi="Calibri"/>
          <w:kern w:val="0"/>
          <w:sz w:val="22"/>
          <w:szCs w:val="21"/>
        </w:rPr>
        <w:t>按照相关合同的约定，提供与受托资产业务活动有关的会计记录、交易信息；</w:t>
      </w:r>
    </w:p>
    <w:p w14:paraId="2BB313D6" w14:textId="77777777" w:rsidR="00100093" w:rsidRPr="00100093" w:rsidRDefault="00100093" w:rsidP="00100093">
      <w:pPr>
        <w:widowControl/>
        <w:numPr>
          <w:ilvl w:val="0"/>
          <w:numId w:val="6"/>
        </w:numPr>
        <w:spacing w:after="200" w:line="360" w:lineRule="auto"/>
        <w:contextualSpacing/>
        <w:jc w:val="left"/>
        <w:rPr>
          <w:rFonts w:ascii="Calibri" w:hAnsi="Calibri"/>
          <w:kern w:val="0"/>
          <w:sz w:val="22"/>
          <w:szCs w:val="21"/>
        </w:rPr>
      </w:pPr>
      <w:r w:rsidRPr="00100093">
        <w:rPr>
          <w:rFonts w:ascii="Calibri" w:hAnsi="Calibri"/>
          <w:kern w:val="0"/>
          <w:sz w:val="22"/>
          <w:szCs w:val="21"/>
        </w:rPr>
        <w:t>保存受托资产托管业务活动的记录、账册以及其他相关资料；</w:t>
      </w:r>
    </w:p>
    <w:p w14:paraId="100CB97C" w14:textId="77777777" w:rsidR="00100093" w:rsidRPr="00100093" w:rsidRDefault="00100093" w:rsidP="00100093">
      <w:pPr>
        <w:widowControl/>
        <w:numPr>
          <w:ilvl w:val="0"/>
          <w:numId w:val="6"/>
        </w:numPr>
        <w:spacing w:after="200" w:line="360" w:lineRule="auto"/>
        <w:contextualSpacing/>
        <w:jc w:val="left"/>
        <w:rPr>
          <w:rFonts w:ascii="Calibri" w:hAnsi="Calibri"/>
          <w:kern w:val="0"/>
          <w:sz w:val="22"/>
          <w:szCs w:val="21"/>
        </w:rPr>
      </w:pPr>
      <w:r w:rsidRPr="00100093">
        <w:rPr>
          <w:rFonts w:ascii="Calibri" w:hAnsi="Calibri"/>
          <w:kern w:val="0"/>
          <w:sz w:val="22"/>
          <w:szCs w:val="21"/>
        </w:rPr>
        <w:t>其他由基金托管人委托其履行的职责。</w:t>
      </w:r>
    </w:p>
    <w:p w14:paraId="53347B20" w14:textId="77777777" w:rsidR="0037652E" w:rsidRDefault="0037652E">
      <w:pPr>
        <w:tabs>
          <w:tab w:val="left" w:pos="961"/>
        </w:tabs>
        <w:snapToGrid w:val="0"/>
        <w:spacing w:line="360" w:lineRule="auto"/>
        <w:ind w:firstLineChars="400" w:firstLine="840"/>
        <w:rPr>
          <w:bCs/>
          <w:szCs w:val="21"/>
        </w:rPr>
      </w:pPr>
    </w:p>
    <w:p w14:paraId="1F64537E" w14:textId="77777777" w:rsidR="0037652E" w:rsidRDefault="00BF49B0">
      <w:pPr>
        <w:spacing w:line="360" w:lineRule="auto"/>
        <w:ind w:firstLineChars="50" w:firstLine="105"/>
        <w:jc w:val="center"/>
        <w:outlineLvl w:val="0"/>
        <w:rPr>
          <w:rFonts w:ascii="宋体" w:hAnsi="宋体"/>
          <w:b/>
          <w:sz w:val="24"/>
          <w:szCs w:val="24"/>
        </w:rPr>
      </w:pPr>
      <w:r>
        <w:rPr>
          <w:bCs/>
          <w:szCs w:val="21"/>
        </w:rPr>
        <w:br w:type="page"/>
      </w:r>
      <w:bookmarkStart w:id="123" w:name="_Toc65325128"/>
      <w:bookmarkStart w:id="124" w:name="_Toc11550"/>
      <w:bookmarkStart w:id="125" w:name="_Toc32447"/>
      <w:bookmarkStart w:id="126" w:name="_Toc110606862"/>
      <w:r>
        <w:rPr>
          <w:rFonts w:ascii="宋体" w:hAnsi="宋体" w:hint="eastAsia"/>
          <w:b/>
          <w:sz w:val="24"/>
          <w:szCs w:val="24"/>
        </w:rPr>
        <w:lastRenderedPageBreak/>
        <w:t>第二十一部分 相关服务机构</w:t>
      </w:r>
      <w:bookmarkEnd w:id="123"/>
      <w:bookmarkEnd w:id="124"/>
      <w:bookmarkEnd w:id="125"/>
      <w:bookmarkEnd w:id="126"/>
    </w:p>
    <w:p w14:paraId="66E3CC95" w14:textId="77777777" w:rsidR="0037652E" w:rsidRDefault="0037652E">
      <w:pPr>
        <w:tabs>
          <w:tab w:val="left" w:pos="961"/>
        </w:tabs>
        <w:snapToGrid w:val="0"/>
        <w:spacing w:line="360" w:lineRule="auto"/>
        <w:ind w:firstLineChars="200" w:firstLine="420"/>
        <w:rPr>
          <w:bCs/>
          <w:szCs w:val="21"/>
        </w:rPr>
      </w:pPr>
    </w:p>
    <w:p w14:paraId="4C2C58BA" w14:textId="77777777" w:rsidR="0037652E" w:rsidRDefault="00BF49B0">
      <w:pPr>
        <w:spacing w:line="360" w:lineRule="auto"/>
        <w:ind w:firstLineChars="200" w:firstLine="480"/>
        <w:rPr>
          <w:sz w:val="24"/>
          <w:szCs w:val="24"/>
        </w:rPr>
      </w:pPr>
      <w:r>
        <w:rPr>
          <w:rFonts w:hint="eastAsia"/>
          <w:sz w:val="24"/>
          <w:szCs w:val="24"/>
        </w:rPr>
        <w:t>一、基金份额销售机构</w:t>
      </w:r>
      <w:r>
        <w:rPr>
          <w:rFonts w:hint="eastAsia"/>
          <w:sz w:val="24"/>
          <w:szCs w:val="24"/>
        </w:rPr>
        <w:t xml:space="preserve"> </w:t>
      </w:r>
    </w:p>
    <w:p w14:paraId="5C54C749" w14:textId="77777777" w:rsidR="0037652E" w:rsidRDefault="00BF49B0">
      <w:pPr>
        <w:spacing w:line="360" w:lineRule="auto"/>
        <w:ind w:firstLineChars="200" w:firstLine="480"/>
        <w:rPr>
          <w:sz w:val="24"/>
          <w:szCs w:val="24"/>
        </w:rPr>
      </w:pPr>
      <w:r>
        <w:rPr>
          <w:rFonts w:hint="eastAsia"/>
          <w:sz w:val="24"/>
          <w:szCs w:val="24"/>
        </w:rPr>
        <w:t>1</w:t>
      </w:r>
      <w:r>
        <w:rPr>
          <w:rFonts w:hint="eastAsia"/>
          <w:sz w:val="24"/>
          <w:szCs w:val="24"/>
        </w:rPr>
        <w:t>、直销机构</w:t>
      </w:r>
    </w:p>
    <w:p w14:paraId="3B6E350E" w14:textId="77777777" w:rsidR="0037652E" w:rsidRDefault="00BF49B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w:t>
      </w:r>
      <w:r>
        <w:rPr>
          <w:rFonts w:hint="eastAsia"/>
          <w:color w:val="000000"/>
          <w:kern w:val="0"/>
          <w:sz w:val="24"/>
          <w:szCs w:val="24"/>
        </w:rPr>
        <w:t>1</w:t>
      </w:r>
      <w:r>
        <w:rPr>
          <w:rFonts w:hint="eastAsia"/>
          <w:color w:val="000000"/>
          <w:kern w:val="0"/>
          <w:sz w:val="24"/>
          <w:szCs w:val="24"/>
        </w:rPr>
        <w:t>）汇添富基金管理股份有限公司直销中心</w:t>
      </w:r>
      <w:r>
        <w:rPr>
          <w:rFonts w:hint="eastAsia"/>
          <w:color w:val="000000"/>
          <w:kern w:val="0"/>
          <w:sz w:val="24"/>
          <w:szCs w:val="24"/>
        </w:rPr>
        <w:t xml:space="preserve"> </w:t>
      </w:r>
    </w:p>
    <w:p w14:paraId="0DF62564" w14:textId="77777777" w:rsidR="0037652E" w:rsidRDefault="00BF49B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住所：上海市黄浦区北京东路</w:t>
      </w:r>
      <w:r>
        <w:rPr>
          <w:rFonts w:hint="eastAsia"/>
          <w:color w:val="000000"/>
          <w:kern w:val="0"/>
          <w:sz w:val="24"/>
          <w:szCs w:val="24"/>
        </w:rPr>
        <w:t>666</w:t>
      </w:r>
      <w:r>
        <w:rPr>
          <w:rFonts w:hint="eastAsia"/>
          <w:color w:val="000000"/>
          <w:kern w:val="0"/>
          <w:sz w:val="24"/>
          <w:szCs w:val="24"/>
        </w:rPr>
        <w:t>号</w:t>
      </w:r>
      <w:r>
        <w:rPr>
          <w:rFonts w:hint="eastAsia"/>
          <w:color w:val="000000"/>
          <w:kern w:val="0"/>
          <w:sz w:val="24"/>
          <w:szCs w:val="24"/>
        </w:rPr>
        <w:t>H</w:t>
      </w:r>
      <w:r>
        <w:rPr>
          <w:rFonts w:hint="eastAsia"/>
          <w:color w:val="000000"/>
          <w:kern w:val="0"/>
          <w:sz w:val="24"/>
          <w:szCs w:val="24"/>
        </w:rPr>
        <w:t>区（东座）</w:t>
      </w:r>
      <w:r>
        <w:rPr>
          <w:rFonts w:hint="eastAsia"/>
          <w:color w:val="000000"/>
          <w:kern w:val="0"/>
          <w:sz w:val="24"/>
          <w:szCs w:val="24"/>
        </w:rPr>
        <w:t>6</w:t>
      </w:r>
      <w:r>
        <w:rPr>
          <w:rFonts w:hint="eastAsia"/>
          <w:color w:val="000000"/>
          <w:kern w:val="0"/>
          <w:sz w:val="24"/>
          <w:szCs w:val="24"/>
        </w:rPr>
        <w:t>楼</w:t>
      </w:r>
      <w:r>
        <w:rPr>
          <w:rFonts w:hint="eastAsia"/>
          <w:color w:val="000000"/>
          <w:kern w:val="0"/>
          <w:sz w:val="24"/>
          <w:szCs w:val="24"/>
        </w:rPr>
        <w:t>H686</w:t>
      </w:r>
      <w:r>
        <w:rPr>
          <w:rFonts w:hint="eastAsia"/>
          <w:color w:val="000000"/>
          <w:kern w:val="0"/>
          <w:sz w:val="24"/>
          <w:szCs w:val="24"/>
        </w:rPr>
        <w:t>室</w:t>
      </w:r>
      <w:r>
        <w:rPr>
          <w:rFonts w:hint="eastAsia"/>
          <w:color w:val="000000"/>
          <w:kern w:val="0"/>
          <w:sz w:val="24"/>
          <w:szCs w:val="24"/>
        </w:rPr>
        <w:t xml:space="preserve"> </w:t>
      </w:r>
    </w:p>
    <w:p w14:paraId="370535DC" w14:textId="77777777" w:rsidR="0037652E" w:rsidRDefault="00BF49B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办公地址：上海市浦东新区樱花路</w:t>
      </w:r>
      <w:r>
        <w:rPr>
          <w:rFonts w:hint="eastAsia"/>
          <w:color w:val="000000"/>
          <w:kern w:val="0"/>
          <w:sz w:val="24"/>
          <w:szCs w:val="24"/>
        </w:rPr>
        <w:t>868</w:t>
      </w:r>
      <w:r>
        <w:rPr>
          <w:rFonts w:hint="eastAsia"/>
          <w:color w:val="000000"/>
          <w:kern w:val="0"/>
          <w:sz w:val="24"/>
          <w:szCs w:val="24"/>
        </w:rPr>
        <w:t>号建工大唐国际广场</w:t>
      </w:r>
      <w:r>
        <w:rPr>
          <w:rFonts w:hint="eastAsia"/>
          <w:color w:val="000000"/>
          <w:kern w:val="0"/>
          <w:sz w:val="24"/>
          <w:szCs w:val="24"/>
        </w:rPr>
        <w:t>A</w:t>
      </w:r>
      <w:r>
        <w:rPr>
          <w:rFonts w:hint="eastAsia"/>
          <w:color w:val="000000"/>
          <w:kern w:val="0"/>
          <w:sz w:val="24"/>
          <w:szCs w:val="24"/>
        </w:rPr>
        <w:t>座</w:t>
      </w:r>
      <w:r>
        <w:rPr>
          <w:rFonts w:hint="eastAsia"/>
          <w:color w:val="000000"/>
          <w:kern w:val="0"/>
          <w:sz w:val="24"/>
          <w:szCs w:val="24"/>
        </w:rPr>
        <w:t>7</w:t>
      </w:r>
      <w:r>
        <w:rPr>
          <w:rFonts w:hint="eastAsia"/>
          <w:color w:val="000000"/>
          <w:kern w:val="0"/>
          <w:sz w:val="24"/>
          <w:szCs w:val="24"/>
        </w:rPr>
        <w:t>楼</w:t>
      </w:r>
    </w:p>
    <w:p w14:paraId="5DF00C2A" w14:textId="77777777" w:rsidR="0037652E" w:rsidRDefault="00BF49B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法定代表人：李文</w:t>
      </w:r>
      <w:r>
        <w:rPr>
          <w:rFonts w:hint="eastAsia"/>
          <w:color w:val="000000"/>
          <w:kern w:val="0"/>
          <w:sz w:val="24"/>
          <w:szCs w:val="24"/>
        </w:rPr>
        <w:t xml:space="preserve"> </w:t>
      </w:r>
    </w:p>
    <w:p w14:paraId="5D0F9FE4" w14:textId="77777777" w:rsidR="0037652E" w:rsidRDefault="00BF49B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电话：（</w:t>
      </w:r>
      <w:r>
        <w:rPr>
          <w:rFonts w:hint="eastAsia"/>
          <w:color w:val="000000"/>
          <w:kern w:val="0"/>
          <w:sz w:val="24"/>
          <w:szCs w:val="24"/>
        </w:rPr>
        <w:t>021</w:t>
      </w:r>
      <w:r>
        <w:rPr>
          <w:rFonts w:hint="eastAsia"/>
          <w:color w:val="000000"/>
          <w:kern w:val="0"/>
          <w:sz w:val="24"/>
          <w:szCs w:val="24"/>
        </w:rPr>
        <w:t>）</w:t>
      </w:r>
      <w:r>
        <w:rPr>
          <w:color w:val="000000"/>
          <w:kern w:val="0"/>
          <w:sz w:val="24"/>
          <w:szCs w:val="24"/>
        </w:rPr>
        <w:t>28932893</w:t>
      </w:r>
    </w:p>
    <w:p w14:paraId="3B75D89A" w14:textId="77777777" w:rsidR="0037652E" w:rsidRDefault="00BF49B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传真：（</w:t>
      </w:r>
      <w:r>
        <w:rPr>
          <w:rFonts w:hint="eastAsia"/>
          <w:color w:val="000000"/>
          <w:kern w:val="0"/>
          <w:sz w:val="24"/>
          <w:szCs w:val="24"/>
        </w:rPr>
        <w:t>021</w:t>
      </w:r>
      <w:r>
        <w:rPr>
          <w:rFonts w:hint="eastAsia"/>
          <w:color w:val="000000"/>
          <w:kern w:val="0"/>
          <w:sz w:val="24"/>
          <w:szCs w:val="24"/>
        </w:rPr>
        <w:t>）</w:t>
      </w:r>
      <w:r>
        <w:rPr>
          <w:rFonts w:hint="eastAsia"/>
          <w:color w:val="000000"/>
          <w:kern w:val="0"/>
          <w:sz w:val="24"/>
          <w:szCs w:val="24"/>
        </w:rPr>
        <w:t>50199035</w:t>
      </w:r>
      <w:r>
        <w:rPr>
          <w:rFonts w:hint="eastAsia"/>
          <w:color w:val="000000"/>
          <w:kern w:val="0"/>
          <w:sz w:val="24"/>
          <w:szCs w:val="24"/>
        </w:rPr>
        <w:t>或（</w:t>
      </w:r>
      <w:r>
        <w:rPr>
          <w:rFonts w:hint="eastAsia"/>
          <w:color w:val="000000"/>
          <w:kern w:val="0"/>
          <w:sz w:val="24"/>
          <w:szCs w:val="24"/>
        </w:rPr>
        <w:t>021</w:t>
      </w:r>
      <w:r>
        <w:rPr>
          <w:rFonts w:hint="eastAsia"/>
          <w:color w:val="000000"/>
          <w:kern w:val="0"/>
          <w:sz w:val="24"/>
          <w:szCs w:val="24"/>
        </w:rPr>
        <w:t>）</w:t>
      </w:r>
      <w:r>
        <w:rPr>
          <w:rFonts w:hint="eastAsia"/>
          <w:color w:val="000000"/>
          <w:kern w:val="0"/>
          <w:sz w:val="24"/>
          <w:szCs w:val="24"/>
        </w:rPr>
        <w:t>50199036</w:t>
      </w:r>
    </w:p>
    <w:p w14:paraId="33035F91" w14:textId="77777777" w:rsidR="0037652E" w:rsidRDefault="00BF49B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联系人：陈卓膺</w:t>
      </w:r>
      <w:r>
        <w:rPr>
          <w:rFonts w:hint="eastAsia"/>
          <w:color w:val="000000"/>
          <w:kern w:val="0"/>
          <w:sz w:val="24"/>
          <w:szCs w:val="24"/>
        </w:rPr>
        <w:t xml:space="preserve"> </w:t>
      </w:r>
    </w:p>
    <w:p w14:paraId="23760C6D" w14:textId="77777777" w:rsidR="0037652E" w:rsidRDefault="00BF49B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客户服务电话：</w:t>
      </w:r>
      <w:r>
        <w:rPr>
          <w:rFonts w:hint="eastAsia"/>
          <w:color w:val="000000"/>
          <w:kern w:val="0"/>
          <w:sz w:val="24"/>
          <w:szCs w:val="24"/>
        </w:rPr>
        <w:t>400-888-9918</w:t>
      </w:r>
      <w:r>
        <w:rPr>
          <w:rFonts w:hint="eastAsia"/>
          <w:color w:val="000000"/>
          <w:kern w:val="0"/>
          <w:sz w:val="24"/>
          <w:szCs w:val="24"/>
        </w:rPr>
        <w:t>（免长途话费）</w:t>
      </w:r>
    </w:p>
    <w:p w14:paraId="02C787C5" w14:textId="77777777" w:rsidR="0037652E" w:rsidRDefault="00BF49B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邮箱：</w:t>
      </w:r>
      <w:r>
        <w:rPr>
          <w:rFonts w:hint="eastAsia"/>
          <w:color w:val="000000"/>
          <w:kern w:val="0"/>
          <w:sz w:val="24"/>
          <w:szCs w:val="24"/>
        </w:rPr>
        <w:t>guitai@htffund.com</w:t>
      </w:r>
    </w:p>
    <w:p w14:paraId="3BB03FB2" w14:textId="77777777" w:rsidR="0037652E" w:rsidRDefault="00BF49B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网址：</w:t>
      </w:r>
      <w:r>
        <w:rPr>
          <w:rFonts w:hint="eastAsia"/>
          <w:color w:val="000000"/>
          <w:kern w:val="0"/>
          <w:sz w:val="24"/>
          <w:szCs w:val="24"/>
        </w:rPr>
        <w:t>www.99fund.com</w:t>
      </w:r>
    </w:p>
    <w:p w14:paraId="7388732B" w14:textId="77777777" w:rsidR="0037652E" w:rsidRDefault="00BF49B0">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Pr>
          <w:sz w:val="24"/>
          <w:szCs w:val="24"/>
        </w:rPr>
        <w:t>汇添富基金管理股份有限公司</w:t>
      </w:r>
      <w:r>
        <w:rPr>
          <w:rFonts w:hint="eastAsia"/>
          <w:sz w:val="24"/>
          <w:szCs w:val="24"/>
        </w:rPr>
        <w:t>线</w:t>
      </w:r>
      <w:r>
        <w:rPr>
          <w:sz w:val="24"/>
          <w:szCs w:val="24"/>
        </w:rPr>
        <w:t>上直销系统</w:t>
      </w:r>
    </w:p>
    <w:p w14:paraId="54B731DB" w14:textId="77777777" w:rsidR="0037652E" w:rsidRDefault="00BF49B0">
      <w:pPr>
        <w:spacing w:line="360" w:lineRule="auto"/>
        <w:ind w:firstLineChars="200" w:firstLine="480"/>
        <w:rPr>
          <w:sz w:val="24"/>
          <w:szCs w:val="24"/>
        </w:rPr>
      </w:pPr>
      <w:r>
        <w:rPr>
          <w:rFonts w:hint="eastAsia"/>
          <w:sz w:val="24"/>
          <w:szCs w:val="24"/>
        </w:rPr>
        <w:t>2</w:t>
      </w:r>
      <w:r>
        <w:rPr>
          <w:rFonts w:hint="eastAsia"/>
          <w:sz w:val="24"/>
          <w:szCs w:val="24"/>
        </w:rPr>
        <w:t>、场外代销机构</w:t>
      </w:r>
    </w:p>
    <w:p w14:paraId="13007481" w14:textId="77777777" w:rsidR="0037652E" w:rsidRDefault="00BF49B0">
      <w:pPr>
        <w:spacing w:line="360" w:lineRule="auto"/>
        <w:ind w:firstLineChars="200" w:firstLine="480"/>
        <w:rPr>
          <w:sz w:val="24"/>
          <w:szCs w:val="24"/>
        </w:rPr>
      </w:pPr>
      <w:r>
        <w:rPr>
          <w:rFonts w:hint="eastAsia"/>
          <w:sz w:val="24"/>
          <w:szCs w:val="24"/>
        </w:rPr>
        <w:t>本基金的其他场外销售机构请详见基金管理人官网公示的销售机构信息表。基金管理人可根据有关法律法规的要求，选择其他符合要求的机构代理销售基金，并在基金管理人网站公示。</w:t>
      </w:r>
    </w:p>
    <w:p w14:paraId="13823974" w14:textId="77777777" w:rsidR="0037652E" w:rsidRDefault="00BF49B0">
      <w:pPr>
        <w:spacing w:line="360" w:lineRule="auto"/>
        <w:ind w:firstLineChars="200" w:firstLine="480"/>
        <w:rPr>
          <w:sz w:val="24"/>
          <w:szCs w:val="24"/>
        </w:rPr>
      </w:pPr>
      <w:r>
        <w:rPr>
          <w:rFonts w:hint="eastAsia"/>
          <w:sz w:val="24"/>
          <w:szCs w:val="24"/>
        </w:rPr>
        <w:t>3</w:t>
      </w:r>
      <w:r>
        <w:rPr>
          <w:rFonts w:hint="eastAsia"/>
          <w:sz w:val="24"/>
          <w:szCs w:val="24"/>
        </w:rPr>
        <w:t>、场内代销机构</w:t>
      </w:r>
    </w:p>
    <w:p w14:paraId="05E2E0A6" w14:textId="1169C040" w:rsidR="0037652E" w:rsidRDefault="00BF49B0">
      <w:pPr>
        <w:tabs>
          <w:tab w:val="left" w:pos="961"/>
        </w:tabs>
        <w:snapToGrid w:val="0"/>
        <w:spacing w:line="360" w:lineRule="auto"/>
        <w:ind w:firstLineChars="200" w:firstLine="480"/>
        <w:rPr>
          <w:bCs/>
          <w:sz w:val="24"/>
          <w:szCs w:val="24"/>
        </w:rPr>
      </w:pPr>
      <w:r>
        <w:rPr>
          <w:rFonts w:hint="eastAsia"/>
          <w:sz w:val="24"/>
          <w:szCs w:val="24"/>
        </w:rPr>
        <w:t>本基金办理场内认购、申购、赎回、交易业务的销售机构为具有基金销售业务资格、经深圳证券交易所和中国证券登记结算有限责任公司认可的深圳证券交易所会员单位。具体会员单位名单可在深圳证券交易所网站查询。</w:t>
      </w:r>
    </w:p>
    <w:p w14:paraId="6BD0FB0C"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二、注册登记机构</w:t>
      </w:r>
      <w:r>
        <w:rPr>
          <w:rFonts w:hint="eastAsia"/>
          <w:b/>
          <w:bCs/>
          <w:sz w:val="24"/>
          <w:szCs w:val="24"/>
        </w:rPr>
        <w:t xml:space="preserve"> </w:t>
      </w:r>
    </w:p>
    <w:p w14:paraId="2D89549D" w14:textId="77777777" w:rsidR="00CC7D8C" w:rsidRDefault="00CC7D8C">
      <w:pPr>
        <w:tabs>
          <w:tab w:val="left" w:pos="961"/>
        </w:tabs>
        <w:snapToGrid w:val="0"/>
        <w:spacing w:line="360" w:lineRule="auto"/>
        <w:ind w:firstLineChars="200" w:firstLine="480"/>
        <w:rPr>
          <w:bCs/>
          <w:sz w:val="24"/>
          <w:szCs w:val="24"/>
        </w:rPr>
      </w:pPr>
      <w:r>
        <w:rPr>
          <w:rFonts w:hint="eastAsia"/>
          <w:bCs/>
          <w:sz w:val="24"/>
          <w:szCs w:val="24"/>
        </w:rPr>
        <w:t>1</w:t>
      </w:r>
      <w:r>
        <w:rPr>
          <w:rFonts w:hint="eastAsia"/>
          <w:bCs/>
          <w:sz w:val="24"/>
          <w:szCs w:val="24"/>
        </w:rPr>
        <w:t>、</w:t>
      </w:r>
      <w:r>
        <w:rPr>
          <w:rFonts w:hint="eastAsia"/>
          <w:bCs/>
          <w:sz w:val="24"/>
          <w:szCs w:val="24"/>
        </w:rPr>
        <w:t>A</w:t>
      </w:r>
      <w:r>
        <w:rPr>
          <w:rFonts w:hint="eastAsia"/>
          <w:bCs/>
          <w:sz w:val="24"/>
          <w:szCs w:val="24"/>
        </w:rPr>
        <w:t>类基金份额的注册登记机构</w:t>
      </w:r>
    </w:p>
    <w:p w14:paraId="4B3BE4C8" w14:textId="454CC75F" w:rsidR="0037652E" w:rsidRDefault="00BF49B0">
      <w:pPr>
        <w:tabs>
          <w:tab w:val="left" w:pos="961"/>
        </w:tabs>
        <w:snapToGrid w:val="0"/>
        <w:spacing w:line="360" w:lineRule="auto"/>
        <w:ind w:firstLineChars="200" w:firstLine="480"/>
        <w:rPr>
          <w:bCs/>
          <w:sz w:val="24"/>
          <w:szCs w:val="24"/>
        </w:rPr>
      </w:pPr>
      <w:r>
        <w:rPr>
          <w:rFonts w:hint="eastAsia"/>
          <w:bCs/>
          <w:sz w:val="24"/>
          <w:szCs w:val="24"/>
        </w:rPr>
        <w:t>名称：中国证券登记结算有限责任公司</w:t>
      </w:r>
    </w:p>
    <w:p w14:paraId="53C4BC6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住所：北京市西城区太平桥大街</w:t>
      </w:r>
      <w:r>
        <w:rPr>
          <w:rFonts w:hint="eastAsia"/>
          <w:bCs/>
          <w:sz w:val="24"/>
          <w:szCs w:val="24"/>
        </w:rPr>
        <w:t>17</w:t>
      </w:r>
      <w:r>
        <w:rPr>
          <w:rFonts w:hint="eastAsia"/>
          <w:bCs/>
          <w:sz w:val="24"/>
          <w:szCs w:val="24"/>
        </w:rPr>
        <w:t>号</w:t>
      </w:r>
    </w:p>
    <w:p w14:paraId="3D7B820C"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办公地址：北京市西城区太平桥大街</w:t>
      </w:r>
      <w:r>
        <w:rPr>
          <w:rFonts w:hint="eastAsia"/>
          <w:bCs/>
          <w:sz w:val="24"/>
          <w:szCs w:val="24"/>
        </w:rPr>
        <w:t>17</w:t>
      </w:r>
      <w:r>
        <w:rPr>
          <w:rFonts w:hint="eastAsia"/>
          <w:bCs/>
          <w:sz w:val="24"/>
          <w:szCs w:val="24"/>
        </w:rPr>
        <w:t>号</w:t>
      </w:r>
    </w:p>
    <w:p w14:paraId="4638D1AA" w14:textId="77777777" w:rsidR="0037652E" w:rsidRDefault="00BF49B0">
      <w:pPr>
        <w:tabs>
          <w:tab w:val="left" w:pos="961"/>
        </w:tabs>
        <w:snapToGrid w:val="0"/>
        <w:spacing w:line="360" w:lineRule="auto"/>
        <w:ind w:firstLineChars="200" w:firstLine="480"/>
        <w:rPr>
          <w:bCs/>
          <w:color w:val="000000"/>
          <w:sz w:val="24"/>
          <w:szCs w:val="24"/>
        </w:rPr>
      </w:pPr>
      <w:r>
        <w:rPr>
          <w:rFonts w:hint="eastAsia"/>
          <w:bCs/>
          <w:color w:val="000000"/>
          <w:sz w:val="24"/>
          <w:szCs w:val="24"/>
        </w:rPr>
        <w:t>法定代表人：</w:t>
      </w:r>
      <w:r w:rsidR="00584EAA" w:rsidRPr="00584EAA">
        <w:rPr>
          <w:rFonts w:hint="eastAsia"/>
          <w:bCs/>
          <w:color w:val="000000"/>
          <w:sz w:val="24"/>
          <w:szCs w:val="24"/>
        </w:rPr>
        <w:t>于文强</w:t>
      </w:r>
    </w:p>
    <w:p w14:paraId="0CD02F4B" w14:textId="77777777" w:rsidR="0037652E" w:rsidRDefault="00BF49B0">
      <w:pPr>
        <w:tabs>
          <w:tab w:val="left" w:pos="961"/>
        </w:tabs>
        <w:snapToGrid w:val="0"/>
        <w:spacing w:line="360" w:lineRule="auto"/>
        <w:ind w:firstLineChars="200" w:firstLine="480"/>
        <w:rPr>
          <w:bCs/>
          <w:color w:val="000000"/>
          <w:sz w:val="24"/>
          <w:szCs w:val="24"/>
        </w:rPr>
      </w:pPr>
      <w:r>
        <w:rPr>
          <w:rFonts w:hint="eastAsia"/>
          <w:bCs/>
          <w:color w:val="000000"/>
          <w:sz w:val="24"/>
          <w:szCs w:val="24"/>
        </w:rPr>
        <w:t>联系电话：</w:t>
      </w:r>
      <w:r>
        <w:rPr>
          <w:bCs/>
          <w:color w:val="000000"/>
          <w:sz w:val="24"/>
          <w:szCs w:val="24"/>
        </w:rPr>
        <w:t>010-50938782</w:t>
      </w:r>
    </w:p>
    <w:p w14:paraId="29B2FD21" w14:textId="77777777" w:rsidR="0037652E" w:rsidRDefault="00BF49B0">
      <w:pPr>
        <w:tabs>
          <w:tab w:val="left" w:pos="961"/>
        </w:tabs>
        <w:snapToGrid w:val="0"/>
        <w:spacing w:line="360" w:lineRule="auto"/>
        <w:ind w:firstLineChars="200" w:firstLine="480"/>
        <w:rPr>
          <w:bCs/>
          <w:color w:val="000000"/>
          <w:sz w:val="24"/>
          <w:szCs w:val="24"/>
        </w:rPr>
      </w:pPr>
      <w:r>
        <w:rPr>
          <w:rFonts w:hint="eastAsia"/>
          <w:bCs/>
          <w:color w:val="000000"/>
          <w:sz w:val="24"/>
          <w:szCs w:val="24"/>
        </w:rPr>
        <w:lastRenderedPageBreak/>
        <w:t>传真：</w:t>
      </w:r>
      <w:r>
        <w:rPr>
          <w:bCs/>
          <w:color w:val="000000"/>
          <w:sz w:val="24"/>
          <w:szCs w:val="24"/>
        </w:rPr>
        <w:t>010-50938991</w:t>
      </w:r>
    </w:p>
    <w:p w14:paraId="52A5AD42" w14:textId="6167DE3A" w:rsidR="0037652E" w:rsidRDefault="00BF49B0">
      <w:pPr>
        <w:tabs>
          <w:tab w:val="left" w:pos="961"/>
        </w:tabs>
        <w:snapToGrid w:val="0"/>
        <w:spacing w:line="360" w:lineRule="auto"/>
        <w:ind w:firstLineChars="200" w:firstLine="480"/>
        <w:rPr>
          <w:rFonts w:ascii="宋体" w:hAnsi="宋体"/>
          <w:bCs/>
          <w:color w:val="000000"/>
          <w:sz w:val="24"/>
          <w:szCs w:val="24"/>
        </w:rPr>
      </w:pPr>
      <w:r>
        <w:rPr>
          <w:rFonts w:ascii="宋体" w:hAnsi="宋体" w:hint="eastAsia"/>
          <w:bCs/>
          <w:color w:val="000000"/>
          <w:sz w:val="24"/>
          <w:szCs w:val="24"/>
        </w:rPr>
        <w:t>联系人：赵亦清</w:t>
      </w:r>
    </w:p>
    <w:p w14:paraId="68C55459" w14:textId="6C2D10AA" w:rsidR="008D5E7C" w:rsidRDefault="008D5E7C">
      <w:pPr>
        <w:tabs>
          <w:tab w:val="left" w:pos="961"/>
        </w:tabs>
        <w:snapToGrid w:val="0"/>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C</w:t>
      </w:r>
      <w:r>
        <w:rPr>
          <w:rFonts w:hint="eastAsia"/>
          <w:bCs/>
          <w:sz w:val="24"/>
          <w:szCs w:val="24"/>
        </w:rPr>
        <w:t>类基金份额的注册登记机构</w:t>
      </w:r>
    </w:p>
    <w:p w14:paraId="1126DBA2" w14:textId="21FD3614" w:rsidR="00004400" w:rsidRDefault="00004400" w:rsidP="0000440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名称：汇添富基金管理股份有限公司</w:t>
      </w:r>
      <w:r>
        <w:rPr>
          <w:rFonts w:hint="eastAsia"/>
          <w:color w:val="000000"/>
          <w:kern w:val="0"/>
          <w:sz w:val="24"/>
          <w:szCs w:val="24"/>
        </w:rPr>
        <w:t xml:space="preserve"> </w:t>
      </w:r>
    </w:p>
    <w:p w14:paraId="1AC49518" w14:textId="77777777" w:rsidR="00004400" w:rsidRDefault="00004400" w:rsidP="0000440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住所：上海市黄浦区北京东路</w:t>
      </w:r>
      <w:r>
        <w:rPr>
          <w:rFonts w:hint="eastAsia"/>
          <w:color w:val="000000"/>
          <w:kern w:val="0"/>
          <w:sz w:val="24"/>
          <w:szCs w:val="24"/>
        </w:rPr>
        <w:t>666</w:t>
      </w:r>
      <w:r>
        <w:rPr>
          <w:rFonts w:hint="eastAsia"/>
          <w:color w:val="000000"/>
          <w:kern w:val="0"/>
          <w:sz w:val="24"/>
          <w:szCs w:val="24"/>
        </w:rPr>
        <w:t>号</w:t>
      </w:r>
      <w:r>
        <w:rPr>
          <w:rFonts w:hint="eastAsia"/>
          <w:color w:val="000000"/>
          <w:kern w:val="0"/>
          <w:sz w:val="24"/>
          <w:szCs w:val="24"/>
        </w:rPr>
        <w:t>H</w:t>
      </w:r>
      <w:r>
        <w:rPr>
          <w:rFonts w:hint="eastAsia"/>
          <w:color w:val="000000"/>
          <w:kern w:val="0"/>
          <w:sz w:val="24"/>
          <w:szCs w:val="24"/>
        </w:rPr>
        <w:t>区（东座）</w:t>
      </w:r>
      <w:r>
        <w:rPr>
          <w:rFonts w:hint="eastAsia"/>
          <w:color w:val="000000"/>
          <w:kern w:val="0"/>
          <w:sz w:val="24"/>
          <w:szCs w:val="24"/>
        </w:rPr>
        <w:t>6</w:t>
      </w:r>
      <w:r>
        <w:rPr>
          <w:rFonts w:hint="eastAsia"/>
          <w:color w:val="000000"/>
          <w:kern w:val="0"/>
          <w:sz w:val="24"/>
          <w:szCs w:val="24"/>
        </w:rPr>
        <w:t>楼</w:t>
      </w:r>
      <w:r>
        <w:rPr>
          <w:rFonts w:hint="eastAsia"/>
          <w:color w:val="000000"/>
          <w:kern w:val="0"/>
          <w:sz w:val="24"/>
          <w:szCs w:val="24"/>
        </w:rPr>
        <w:t>H686</w:t>
      </w:r>
      <w:r>
        <w:rPr>
          <w:rFonts w:hint="eastAsia"/>
          <w:color w:val="000000"/>
          <w:kern w:val="0"/>
          <w:sz w:val="24"/>
          <w:szCs w:val="24"/>
        </w:rPr>
        <w:t>室</w:t>
      </w:r>
      <w:r>
        <w:rPr>
          <w:rFonts w:hint="eastAsia"/>
          <w:color w:val="000000"/>
          <w:kern w:val="0"/>
          <w:sz w:val="24"/>
          <w:szCs w:val="24"/>
        </w:rPr>
        <w:t xml:space="preserve"> </w:t>
      </w:r>
    </w:p>
    <w:p w14:paraId="029878E3" w14:textId="77777777" w:rsidR="00004400" w:rsidRDefault="00004400" w:rsidP="0000440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办公地址：上海市浦东新区樱花路</w:t>
      </w:r>
      <w:r>
        <w:rPr>
          <w:rFonts w:hint="eastAsia"/>
          <w:color w:val="000000"/>
          <w:kern w:val="0"/>
          <w:sz w:val="24"/>
          <w:szCs w:val="24"/>
        </w:rPr>
        <w:t>868</w:t>
      </w:r>
      <w:r>
        <w:rPr>
          <w:rFonts w:hint="eastAsia"/>
          <w:color w:val="000000"/>
          <w:kern w:val="0"/>
          <w:sz w:val="24"/>
          <w:szCs w:val="24"/>
        </w:rPr>
        <w:t>号建工大唐国际广场</w:t>
      </w:r>
      <w:r>
        <w:rPr>
          <w:rFonts w:hint="eastAsia"/>
          <w:color w:val="000000"/>
          <w:kern w:val="0"/>
          <w:sz w:val="24"/>
          <w:szCs w:val="24"/>
        </w:rPr>
        <w:t>A</w:t>
      </w:r>
      <w:r>
        <w:rPr>
          <w:rFonts w:hint="eastAsia"/>
          <w:color w:val="000000"/>
          <w:kern w:val="0"/>
          <w:sz w:val="24"/>
          <w:szCs w:val="24"/>
        </w:rPr>
        <w:t>座</w:t>
      </w:r>
      <w:r>
        <w:rPr>
          <w:rFonts w:hint="eastAsia"/>
          <w:color w:val="000000"/>
          <w:kern w:val="0"/>
          <w:sz w:val="24"/>
          <w:szCs w:val="24"/>
        </w:rPr>
        <w:t>7</w:t>
      </w:r>
      <w:r>
        <w:rPr>
          <w:rFonts w:hint="eastAsia"/>
          <w:color w:val="000000"/>
          <w:kern w:val="0"/>
          <w:sz w:val="24"/>
          <w:szCs w:val="24"/>
        </w:rPr>
        <w:t>楼</w:t>
      </w:r>
    </w:p>
    <w:p w14:paraId="2E6254AA" w14:textId="77777777" w:rsidR="00004400" w:rsidRDefault="00004400" w:rsidP="00004400">
      <w:pPr>
        <w:widowControl/>
        <w:adjustRightInd w:val="0"/>
        <w:snapToGrid w:val="0"/>
        <w:spacing w:line="360" w:lineRule="auto"/>
        <w:ind w:firstLineChars="200" w:firstLine="480"/>
        <w:rPr>
          <w:color w:val="000000"/>
          <w:kern w:val="0"/>
          <w:sz w:val="24"/>
          <w:szCs w:val="24"/>
        </w:rPr>
      </w:pPr>
      <w:r>
        <w:rPr>
          <w:rFonts w:hint="eastAsia"/>
          <w:color w:val="000000"/>
          <w:kern w:val="0"/>
          <w:sz w:val="24"/>
          <w:szCs w:val="24"/>
        </w:rPr>
        <w:t>法定代表人：李文</w:t>
      </w:r>
      <w:r>
        <w:rPr>
          <w:rFonts w:hint="eastAsia"/>
          <w:color w:val="000000"/>
          <w:kern w:val="0"/>
          <w:sz w:val="24"/>
          <w:szCs w:val="24"/>
        </w:rPr>
        <w:t xml:space="preserve"> </w:t>
      </w:r>
    </w:p>
    <w:p w14:paraId="52F8E597" w14:textId="77777777" w:rsidR="00AA7783" w:rsidRPr="00AA7783" w:rsidRDefault="00AA7783" w:rsidP="00AA7783">
      <w:pPr>
        <w:widowControl/>
        <w:adjustRightInd w:val="0"/>
        <w:snapToGrid w:val="0"/>
        <w:spacing w:line="360" w:lineRule="auto"/>
        <w:ind w:firstLineChars="200" w:firstLine="480"/>
        <w:rPr>
          <w:color w:val="000000"/>
          <w:kern w:val="0"/>
          <w:sz w:val="24"/>
          <w:szCs w:val="24"/>
        </w:rPr>
      </w:pPr>
      <w:r w:rsidRPr="00AA7783">
        <w:rPr>
          <w:rFonts w:hint="eastAsia"/>
          <w:color w:val="000000"/>
          <w:kern w:val="0"/>
          <w:sz w:val="24"/>
          <w:szCs w:val="24"/>
        </w:rPr>
        <w:t>电话：（</w:t>
      </w:r>
      <w:r w:rsidRPr="00AA7783">
        <w:rPr>
          <w:rFonts w:hint="eastAsia"/>
          <w:color w:val="000000"/>
          <w:kern w:val="0"/>
          <w:sz w:val="24"/>
          <w:szCs w:val="24"/>
        </w:rPr>
        <w:t>021</w:t>
      </w:r>
      <w:r w:rsidRPr="00AA7783">
        <w:rPr>
          <w:rFonts w:hint="eastAsia"/>
          <w:color w:val="000000"/>
          <w:kern w:val="0"/>
          <w:sz w:val="24"/>
          <w:szCs w:val="24"/>
        </w:rPr>
        <w:t>）</w:t>
      </w:r>
      <w:r w:rsidRPr="00AA7783">
        <w:rPr>
          <w:rFonts w:hint="eastAsia"/>
          <w:color w:val="000000"/>
          <w:kern w:val="0"/>
          <w:sz w:val="24"/>
          <w:szCs w:val="24"/>
        </w:rPr>
        <w:t>28932888</w:t>
      </w:r>
    </w:p>
    <w:p w14:paraId="318CAA6D" w14:textId="77777777" w:rsidR="00AA7783" w:rsidRPr="00AA7783" w:rsidRDefault="00AA7783" w:rsidP="00AA7783">
      <w:pPr>
        <w:widowControl/>
        <w:adjustRightInd w:val="0"/>
        <w:snapToGrid w:val="0"/>
        <w:spacing w:line="360" w:lineRule="auto"/>
        <w:ind w:firstLineChars="200" w:firstLine="480"/>
        <w:rPr>
          <w:color w:val="000000"/>
          <w:kern w:val="0"/>
          <w:sz w:val="24"/>
          <w:szCs w:val="24"/>
        </w:rPr>
      </w:pPr>
      <w:r w:rsidRPr="00AA7783">
        <w:rPr>
          <w:rFonts w:hint="eastAsia"/>
          <w:color w:val="000000"/>
          <w:kern w:val="0"/>
          <w:sz w:val="24"/>
          <w:szCs w:val="24"/>
        </w:rPr>
        <w:t>传真：（</w:t>
      </w:r>
      <w:r w:rsidRPr="00AA7783">
        <w:rPr>
          <w:rFonts w:hint="eastAsia"/>
          <w:color w:val="000000"/>
          <w:kern w:val="0"/>
          <w:sz w:val="24"/>
          <w:szCs w:val="24"/>
        </w:rPr>
        <w:t>021</w:t>
      </w:r>
      <w:r w:rsidRPr="00AA7783">
        <w:rPr>
          <w:rFonts w:hint="eastAsia"/>
          <w:color w:val="000000"/>
          <w:kern w:val="0"/>
          <w:sz w:val="24"/>
          <w:szCs w:val="24"/>
        </w:rPr>
        <w:t>）</w:t>
      </w:r>
      <w:r w:rsidRPr="00AA7783">
        <w:rPr>
          <w:rFonts w:hint="eastAsia"/>
          <w:color w:val="000000"/>
          <w:kern w:val="0"/>
          <w:sz w:val="24"/>
          <w:szCs w:val="24"/>
        </w:rPr>
        <w:t>28932876</w:t>
      </w:r>
    </w:p>
    <w:p w14:paraId="0F6A4862" w14:textId="0E71186B" w:rsidR="00004400" w:rsidRDefault="00AA7783" w:rsidP="00004400">
      <w:pPr>
        <w:widowControl/>
        <w:adjustRightInd w:val="0"/>
        <w:snapToGrid w:val="0"/>
        <w:spacing w:line="360" w:lineRule="auto"/>
        <w:ind w:firstLineChars="200" w:firstLine="480"/>
        <w:rPr>
          <w:color w:val="000000"/>
          <w:kern w:val="0"/>
          <w:sz w:val="24"/>
          <w:szCs w:val="24"/>
        </w:rPr>
      </w:pPr>
      <w:r w:rsidRPr="00AA7783">
        <w:rPr>
          <w:rFonts w:hint="eastAsia"/>
          <w:color w:val="000000"/>
          <w:kern w:val="0"/>
          <w:sz w:val="24"/>
          <w:szCs w:val="24"/>
        </w:rPr>
        <w:t>联系人：韩从慧</w:t>
      </w:r>
    </w:p>
    <w:p w14:paraId="38F4A7C0"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三、律师事务所和经办律师</w:t>
      </w:r>
    </w:p>
    <w:p w14:paraId="1CD4445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名称：上海市通力律师事务所</w:t>
      </w:r>
    </w:p>
    <w:p w14:paraId="164FBF4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住所：上海市银城中路</w:t>
      </w:r>
      <w:r>
        <w:rPr>
          <w:rFonts w:hint="eastAsia"/>
          <w:bCs/>
          <w:sz w:val="24"/>
          <w:szCs w:val="24"/>
        </w:rPr>
        <w:t>68</w:t>
      </w:r>
      <w:r>
        <w:rPr>
          <w:rFonts w:hint="eastAsia"/>
          <w:bCs/>
          <w:sz w:val="24"/>
          <w:szCs w:val="24"/>
        </w:rPr>
        <w:t>号时代金融中心</w:t>
      </w:r>
      <w:r>
        <w:rPr>
          <w:rFonts w:hint="eastAsia"/>
          <w:bCs/>
          <w:sz w:val="24"/>
          <w:szCs w:val="24"/>
        </w:rPr>
        <w:t>19</w:t>
      </w:r>
      <w:r>
        <w:rPr>
          <w:rFonts w:hint="eastAsia"/>
          <w:bCs/>
          <w:sz w:val="24"/>
          <w:szCs w:val="24"/>
        </w:rPr>
        <w:t>楼</w:t>
      </w:r>
    </w:p>
    <w:p w14:paraId="0C694383"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办公地址：上海市银城中路</w:t>
      </w:r>
      <w:r>
        <w:rPr>
          <w:rFonts w:hint="eastAsia"/>
          <w:bCs/>
          <w:sz w:val="24"/>
          <w:szCs w:val="24"/>
        </w:rPr>
        <w:t>68</w:t>
      </w:r>
      <w:r>
        <w:rPr>
          <w:rFonts w:hint="eastAsia"/>
          <w:bCs/>
          <w:sz w:val="24"/>
          <w:szCs w:val="24"/>
        </w:rPr>
        <w:t>号时代金融中心</w:t>
      </w:r>
      <w:r>
        <w:rPr>
          <w:rFonts w:hint="eastAsia"/>
          <w:bCs/>
          <w:sz w:val="24"/>
          <w:szCs w:val="24"/>
        </w:rPr>
        <w:t>19</w:t>
      </w:r>
      <w:r>
        <w:rPr>
          <w:rFonts w:hint="eastAsia"/>
          <w:bCs/>
          <w:sz w:val="24"/>
          <w:szCs w:val="24"/>
        </w:rPr>
        <w:t>楼</w:t>
      </w:r>
    </w:p>
    <w:p w14:paraId="3D4FA7B8" w14:textId="77777777" w:rsidR="0037652E" w:rsidRDefault="00BF49B0">
      <w:pPr>
        <w:widowControl/>
        <w:adjustRightInd w:val="0"/>
        <w:snapToGrid w:val="0"/>
        <w:spacing w:line="360" w:lineRule="auto"/>
        <w:ind w:firstLineChars="200" w:firstLine="480"/>
        <w:rPr>
          <w:rFonts w:hAnsi="宋体"/>
          <w:kern w:val="0"/>
          <w:sz w:val="24"/>
          <w:szCs w:val="24"/>
        </w:rPr>
      </w:pPr>
      <w:r>
        <w:rPr>
          <w:rFonts w:hAnsi="宋体"/>
          <w:kern w:val="0"/>
          <w:sz w:val="24"/>
          <w:szCs w:val="24"/>
        </w:rPr>
        <w:t>负责人：韩炯</w:t>
      </w:r>
    </w:p>
    <w:p w14:paraId="33E22159" w14:textId="77777777" w:rsidR="0037652E" w:rsidRDefault="00BF49B0">
      <w:pPr>
        <w:widowControl/>
        <w:adjustRightInd w:val="0"/>
        <w:snapToGrid w:val="0"/>
        <w:spacing w:line="360" w:lineRule="auto"/>
        <w:ind w:firstLineChars="200" w:firstLine="480"/>
        <w:rPr>
          <w:rFonts w:hAnsi="宋体"/>
          <w:kern w:val="0"/>
          <w:sz w:val="24"/>
          <w:szCs w:val="24"/>
        </w:rPr>
      </w:pPr>
      <w:r>
        <w:rPr>
          <w:rFonts w:hAnsi="宋体"/>
          <w:kern w:val="0"/>
          <w:sz w:val="24"/>
          <w:szCs w:val="24"/>
        </w:rPr>
        <w:t>电话：（</w:t>
      </w:r>
      <w:r>
        <w:rPr>
          <w:rFonts w:hAnsi="宋体"/>
          <w:kern w:val="0"/>
          <w:sz w:val="24"/>
          <w:szCs w:val="24"/>
        </w:rPr>
        <w:t>021</w:t>
      </w:r>
      <w:r>
        <w:rPr>
          <w:rFonts w:hAnsi="宋体"/>
          <w:kern w:val="0"/>
          <w:sz w:val="24"/>
          <w:szCs w:val="24"/>
        </w:rPr>
        <w:t>）</w:t>
      </w:r>
      <w:r>
        <w:rPr>
          <w:rFonts w:hAnsi="宋体"/>
          <w:kern w:val="0"/>
          <w:sz w:val="24"/>
          <w:szCs w:val="24"/>
        </w:rPr>
        <w:t>31358666</w:t>
      </w:r>
    </w:p>
    <w:p w14:paraId="05263591" w14:textId="77777777" w:rsidR="0037652E" w:rsidRDefault="00BF49B0">
      <w:pPr>
        <w:widowControl/>
        <w:adjustRightInd w:val="0"/>
        <w:snapToGrid w:val="0"/>
        <w:spacing w:line="360" w:lineRule="auto"/>
        <w:ind w:firstLineChars="200" w:firstLine="480"/>
        <w:rPr>
          <w:rFonts w:hAnsi="宋体"/>
          <w:kern w:val="0"/>
          <w:sz w:val="24"/>
          <w:szCs w:val="24"/>
        </w:rPr>
      </w:pPr>
      <w:r>
        <w:rPr>
          <w:rFonts w:hAnsi="宋体"/>
          <w:kern w:val="0"/>
          <w:sz w:val="24"/>
          <w:szCs w:val="24"/>
        </w:rPr>
        <w:t>传真：（</w:t>
      </w:r>
      <w:r>
        <w:rPr>
          <w:rFonts w:hAnsi="宋体"/>
          <w:kern w:val="0"/>
          <w:sz w:val="24"/>
          <w:szCs w:val="24"/>
        </w:rPr>
        <w:t>021</w:t>
      </w:r>
      <w:r>
        <w:rPr>
          <w:rFonts w:hAnsi="宋体"/>
          <w:kern w:val="0"/>
          <w:sz w:val="24"/>
          <w:szCs w:val="24"/>
        </w:rPr>
        <w:t>）</w:t>
      </w:r>
      <w:r>
        <w:rPr>
          <w:rFonts w:hAnsi="宋体"/>
          <w:kern w:val="0"/>
          <w:sz w:val="24"/>
          <w:szCs w:val="24"/>
        </w:rPr>
        <w:t>31358600</w:t>
      </w:r>
    </w:p>
    <w:p w14:paraId="25E1B42C" w14:textId="77777777" w:rsidR="0037652E" w:rsidRDefault="00BF49B0">
      <w:pPr>
        <w:widowControl/>
        <w:adjustRightInd w:val="0"/>
        <w:snapToGrid w:val="0"/>
        <w:spacing w:line="360" w:lineRule="auto"/>
        <w:ind w:firstLineChars="200" w:firstLine="480"/>
        <w:rPr>
          <w:rFonts w:hAnsi="宋体"/>
          <w:kern w:val="0"/>
          <w:sz w:val="24"/>
          <w:szCs w:val="24"/>
        </w:rPr>
      </w:pPr>
      <w:r>
        <w:rPr>
          <w:rFonts w:hAnsi="宋体"/>
          <w:kern w:val="0"/>
          <w:sz w:val="24"/>
          <w:szCs w:val="24"/>
        </w:rPr>
        <w:t>经办律师：黎明、陈颖华</w:t>
      </w:r>
    </w:p>
    <w:p w14:paraId="5EC9D42C" w14:textId="77777777" w:rsidR="0037652E" w:rsidRDefault="00BF49B0">
      <w:pPr>
        <w:widowControl/>
        <w:adjustRightInd w:val="0"/>
        <w:snapToGrid w:val="0"/>
        <w:spacing w:line="360" w:lineRule="auto"/>
        <w:ind w:firstLineChars="200" w:firstLine="480"/>
        <w:rPr>
          <w:rFonts w:hAnsi="宋体"/>
          <w:kern w:val="0"/>
          <w:sz w:val="24"/>
          <w:szCs w:val="24"/>
        </w:rPr>
      </w:pPr>
      <w:r>
        <w:rPr>
          <w:rFonts w:hAnsi="宋体"/>
          <w:kern w:val="0"/>
          <w:sz w:val="24"/>
          <w:szCs w:val="24"/>
        </w:rPr>
        <w:t>联系人：陈颖华</w:t>
      </w:r>
    </w:p>
    <w:p w14:paraId="7FDD942A"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四、会计师事务所和经办注册会计师</w:t>
      </w:r>
    </w:p>
    <w:p w14:paraId="728A1CF2" w14:textId="77777777" w:rsidR="00584EAA" w:rsidRPr="00584EAA" w:rsidRDefault="00584EAA" w:rsidP="00584EAA">
      <w:pPr>
        <w:tabs>
          <w:tab w:val="left" w:pos="961"/>
        </w:tabs>
        <w:snapToGrid w:val="0"/>
        <w:spacing w:line="360" w:lineRule="auto"/>
        <w:ind w:firstLineChars="200" w:firstLine="480"/>
        <w:rPr>
          <w:bCs/>
          <w:sz w:val="24"/>
          <w:szCs w:val="24"/>
        </w:rPr>
      </w:pPr>
      <w:r w:rsidRPr="00584EAA">
        <w:rPr>
          <w:rFonts w:hint="eastAsia"/>
          <w:bCs/>
          <w:sz w:val="24"/>
          <w:szCs w:val="24"/>
        </w:rPr>
        <w:t>名称：安永华明会计师事务所（特殊普通合伙）</w:t>
      </w:r>
    </w:p>
    <w:p w14:paraId="37855C56" w14:textId="77777777" w:rsidR="00584EAA" w:rsidRPr="00584EAA" w:rsidRDefault="00584EAA" w:rsidP="00584EAA">
      <w:pPr>
        <w:tabs>
          <w:tab w:val="left" w:pos="961"/>
        </w:tabs>
        <w:snapToGrid w:val="0"/>
        <w:spacing w:line="360" w:lineRule="auto"/>
        <w:ind w:firstLineChars="200" w:firstLine="480"/>
        <w:rPr>
          <w:bCs/>
          <w:sz w:val="24"/>
          <w:szCs w:val="24"/>
        </w:rPr>
      </w:pPr>
      <w:r w:rsidRPr="00584EAA">
        <w:rPr>
          <w:rFonts w:hint="eastAsia"/>
          <w:bCs/>
          <w:sz w:val="24"/>
          <w:szCs w:val="24"/>
        </w:rPr>
        <w:t>住所：北京市东城区东长安街</w:t>
      </w:r>
      <w:r w:rsidRPr="00584EAA">
        <w:rPr>
          <w:rFonts w:hint="eastAsia"/>
          <w:bCs/>
          <w:sz w:val="24"/>
          <w:szCs w:val="24"/>
        </w:rPr>
        <w:t>1</w:t>
      </w:r>
      <w:r w:rsidRPr="00584EAA">
        <w:rPr>
          <w:rFonts w:hint="eastAsia"/>
          <w:bCs/>
          <w:sz w:val="24"/>
          <w:szCs w:val="24"/>
        </w:rPr>
        <w:t>号东方广场安永大楼</w:t>
      </w:r>
      <w:r w:rsidRPr="00584EAA">
        <w:rPr>
          <w:rFonts w:hint="eastAsia"/>
          <w:bCs/>
          <w:sz w:val="24"/>
          <w:szCs w:val="24"/>
        </w:rPr>
        <w:t>17</w:t>
      </w:r>
      <w:r w:rsidRPr="00584EAA">
        <w:rPr>
          <w:rFonts w:hint="eastAsia"/>
          <w:bCs/>
          <w:sz w:val="24"/>
          <w:szCs w:val="24"/>
        </w:rPr>
        <w:t>层</w:t>
      </w:r>
    </w:p>
    <w:p w14:paraId="123422CA" w14:textId="77777777" w:rsidR="00584EAA" w:rsidRPr="00584EAA" w:rsidRDefault="00584EAA" w:rsidP="00584EAA">
      <w:pPr>
        <w:tabs>
          <w:tab w:val="left" w:pos="961"/>
        </w:tabs>
        <w:snapToGrid w:val="0"/>
        <w:spacing w:line="360" w:lineRule="auto"/>
        <w:ind w:firstLineChars="200" w:firstLine="480"/>
        <w:rPr>
          <w:bCs/>
          <w:sz w:val="24"/>
          <w:szCs w:val="24"/>
        </w:rPr>
      </w:pPr>
      <w:r w:rsidRPr="00584EAA">
        <w:rPr>
          <w:rFonts w:hint="eastAsia"/>
          <w:bCs/>
          <w:sz w:val="24"/>
          <w:szCs w:val="24"/>
        </w:rPr>
        <w:t>办公地址：北京市东城区东长安街</w:t>
      </w:r>
      <w:r w:rsidRPr="00584EAA">
        <w:rPr>
          <w:rFonts w:hint="eastAsia"/>
          <w:bCs/>
          <w:sz w:val="24"/>
          <w:szCs w:val="24"/>
        </w:rPr>
        <w:t>1</w:t>
      </w:r>
      <w:r w:rsidRPr="00584EAA">
        <w:rPr>
          <w:rFonts w:hint="eastAsia"/>
          <w:bCs/>
          <w:sz w:val="24"/>
          <w:szCs w:val="24"/>
        </w:rPr>
        <w:t>号东方广场安永大楼</w:t>
      </w:r>
      <w:r w:rsidRPr="00584EAA">
        <w:rPr>
          <w:rFonts w:hint="eastAsia"/>
          <w:bCs/>
          <w:sz w:val="24"/>
          <w:szCs w:val="24"/>
        </w:rPr>
        <w:t>17</w:t>
      </w:r>
      <w:r w:rsidRPr="00584EAA">
        <w:rPr>
          <w:rFonts w:hint="eastAsia"/>
          <w:bCs/>
          <w:sz w:val="24"/>
          <w:szCs w:val="24"/>
        </w:rPr>
        <w:t>层</w:t>
      </w:r>
    </w:p>
    <w:p w14:paraId="75276729" w14:textId="77777777" w:rsidR="00584EAA" w:rsidRPr="00584EAA" w:rsidRDefault="00584EAA" w:rsidP="00584EAA">
      <w:pPr>
        <w:tabs>
          <w:tab w:val="left" w:pos="961"/>
        </w:tabs>
        <w:snapToGrid w:val="0"/>
        <w:spacing w:line="360" w:lineRule="auto"/>
        <w:ind w:firstLineChars="200" w:firstLine="480"/>
        <w:rPr>
          <w:bCs/>
          <w:sz w:val="24"/>
          <w:szCs w:val="24"/>
        </w:rPr>
      </w:pPr>
      <w:r w:rsidRPr="00584EAA">
        <w:rPr>
          <w:rFonts w:hint="eastAsia"/>
          <w:bCs/>
          <w:sz w:val="24"/>
          <w:szCs w:val="24"/>
        </w:rPr>
        <w:t>执行事务合伙人：毛鞍宁</w:t>
      </w:r>
    </w:p>
    <w:p w14:paraId="03AD908D" w14:textId="77777777" w:rsidR="00584EAA" w:rsidRPr="00584EAA" w:rsidRDefault="00584EAA" w:rsidP="00584EAA">
      <w:pPr>
        <w:tabs>
          <w:tab w:val="left" w:pos="961"/>
        </w:tabs>
        <w:snapToGrid w:val="0"/>
        <w:spacing w:line="360" w:lineRule="auto"/>
        <w:ind w:firstLineChars="200" w:firstLine="480"/>
        <w:rPr>
          <w:bCs/>
          <w:sz w:val="24"/>
          <w:szCs w:val="24"/>
        </w:rPr>
      </w:pPr>
      <w:r w:rsidRPr="00584EAA">
        <w:rPr>
          <w:rFonts w:hint="eastAsia"/>
          <w:bCs/>
          <w:sz w:val="24"/>
          <w:szCs w:val="24"/>
        </w:rPr>
        <w:t>电话：</w:t>
      </w:r>
      <w:r w:rsidRPr="00584EAA">
        <w:rPr>
          <w:rFonts w:hint="eastAsia"/>
          <w:bCs/>
          <w:sz w:val="24"/>
          <w:szCs w:val="24"/>
        </w:rPr>
        <w:t>010-58153000</w:t>
      </w:r>
    </w:p>
    <w:p w14:paraId="348F200E" w14:textId="77777777" w:rsidR="00584EAA" w:rsidRPr="00584EAA" w:rsidRDefault="00584EAA" w:rsidP="00584EAA">
      <w:pPr>
        <w:tabs>
          <w:tab w:val="left" w:pos="961"/>
        </w:tabs>
        <w:snapToGrid w:val="0"/>
        <w:spacing w:line="360" w:lineRule="auto"/>
        <w:ind w:firstLineChars="200" w:firstLine="480"/>
        <w:rPr>
          <w:bCs/>
          <w:sz w:val="24"/>
          <w:szCs w:val="24"/>
        </w:rPr>
      </w:pPr>
      <w:r w:rsidRPr="00584EAA">
        <w:rPr>
          <w:rFonts w:hint="eastAsia"/>
          <w:bCs/>
          <w:sz w:val="24"/>
          <w:szCs w:val="24"/>
        </w:rPr>
        <w:t>传真：</w:t>
      </w:r>
      <w:r w:rsidRPr="00584EAA">
        <w:rPr>
          <w:rFonts w:hint="eastAsia"/>
          <w:bCs/>
          <w:sz w:val="24"/>
          <w:szCs w:val="24"/>
        </w:rPr>
        <w:t>010-85188298</w:t>
      </w:r>
    </w:p>
    <w:p w14:paraId="71CD80B7" w14:textId="77777777" w:rsidR="00584EAA" w:rsidRPr="00584EAA" w:rsidRDefault="00584EAA" w:rsidP="00584EAA">
      <w:pPr>
        <w:tabs>
          <w:tab w:val="left" w:pos="961"/>
        </w:tabs>
        <w:snapToGrid w:val="0"/>
        <w:spacing w:line="360" w:lineRule="auto"/>
        <w:ind w:firstLineChars="200" w:firstLine="480"/>
        <w:rPr>
          <w:bCs/>
          <w:sz w:val="24"/>
          <w:szCs w:val="24"/>
        </w:rPr>
      </w:pPr>
      <w:r w:rsidRPr="00584EAA">
        <w:rPr>
          <w:rFonts w:hint="eastAsia"/>
          <w:bCs/>
          <w:sz w:val="24"/>
          <w:szCs w:val="24"/>
        </w:rPr>
        <w:t>业务联系人：许培菁</w:t>
      </w:r>
    </w:p>
    <w:p w14:paraId="73CFDF31" w14:textId="77777777" w:rsidR="0037652E" w:rsidRDefault="00584EAA">
      <w:pPr>
        <w:widowControl/>
        <w:adjustRightInd w:val="0"/>
        <w:snapToGrid w:val="0"/>
        <w:spacing w:line="360" w:lineRule="auto"/>
        <w:ind w:firstLineChars="200" w:firstLine="480"/>
        <w:rPr>
          <w:rFonts w:ascii="宋体" w:eastAsia="Times New Roman" w:hAnsi="宋体"/>
          <w:kern w:val="0"/>
          <w:sz w:val="24"/>
        </w:rPr>
      </w:pPr>
      <w:r w:rsidRPr="00584EAA">
        <w:rPr>
          <w:rFonts w:hint="eastAsia"/>
          <w:bCs/>
          <w:sz w:val="24"/>
          <w:szCs w:val="24"/>
        </w:rPr>
        <w:t>经办会计师：许培菁、韩云</w:t>
      </w:r>
    </w:p>
    <w:p w14:paraId="08B25E9A" w14:textId="77777777" w:rsidR="0037652E" w:rsidRDefault="0037652E">
      <w:pPr>
        <w:tabs>
          <w:tab w:val="left" w:pos="961"/>
        </w:tabs>
        <w:snapToGrid w:val="0"/>
        <w:spacing w:line="360" w:lineRule="auto"/>
        <w:ind w:firstLineChars="200" w:firstLine="420"/>
        <w:rPr>
          <w:bCs/>
          <w:szCs w:val="21"/>
        </w:rPr>
      </w:pPr>
    </w:p>
    <w:p w14:paraId="3DE400E7" w14:textId="77777777" w:rsidR="0037652E" w:rsidRDefault="00BF49B0">
      <w:pPr>
        <w:spacing w:line="360" w:lineRule="auto"/>
        <w:ind w:firstLineChars="50" w:firstLine="105"/>
        <w:jc w:val="center"/>
        <w:outlineLvl w:val="0"/>
        <w:rPr>
          <w:rFonts w:ascii="宋体" w:hAnsi="宋体"/>
          <w:b/>
          <w:sz w:val="24"/>
          <w:szCs w:val="24"/>
        </w:rPr>
      </w:pPr>
      <w:r>
        <w:rPr>
          <w:bCs/>
          <w:szCs w:val="21"/>
        </w:rPr>
        <w:br w:type="page"/>
      </w:r>
      <w:bookmarkStart w:id="127" w:name="_Toc28831"/>
      <w:bookmarkStart w:id="128" w:name="_Toc65325129"/>
      <w:bookmarkStart w:id="129" w:name="_Toc402"/>
      <w:bookmarkStart w:id="130" w:name="_Toc110606863"/>
      <w:r>
        <w:rPr>
          <w:rFonts w:ascii="宋体" w:hAnsi="宋体" w:hint="eastAsia"/>
          <w:b/>
          <w:sz w:val="24"/>
          <w:szCs w:val="24"/>
        </w:rPr>
        <w:lastRenderedPageBreak/>
        <w:t>第二十二部分 基金合同的内容摘要</w:t>
      </w:r>
      <w:bookmarkEnd w:id="127"/>
      <w:bookmarkEnd w:id="128"/>
      <w:bookmarkEnd w:id="129"/>
      <w:bookmarkEnd w:id="130"/>
    </w:p>
    <w:p w14:paraId="6F037847" w14:textId="77777777" w:rsidR="0037652E" w:rsidRDefault="0037652E">
      <w:pPr>
        <w:tabs>
          <w:tab w:val="left" w:pos="961"/>
        </w:tabs>
        <w:snapToGrid w:val="0"/>
        <w:spacing w:line="360" w:lineRule="auto"/>
        <w:ind w:firstLineChars="200" w:firstLine="420"/>
        <w:rPr>
          <w:bCs/>
          <w:szCs w:val="21"/>
        </w:rPr>
      </w:pPr>
    </w:p>
    <w:p w14:paraId="732A3E3E" w14:textId="77777777" w:rsidR="0037652E" w:rsidRDefault="00BF49B0">
      <w:pPr>
        <w:tabs>
          <w:tab w:val="left" w:pos="961"/>
        </w:tabs>
        <w:snapToGrid w:val="0"/>
        <w:spacing w:line="360" w:lineRule="auto"/>
        <w:ind w:firstLineChars="200" w:firstLine="482"/>
        <w:rPr>
          <w:b/>
          <w:bCs/>
          <w:sz w:val="24"/>
          <w:szCs w:val="24"/>
        </w:rPr>
      </w:pPr>
      <w:r>
        <w:rPr>
          <w:b/>
          <w:bCs/>
          <w:sz w:val="24"/>
          <w:szCs w:val="24"/>
        </w:rPr>
        <w:t>一、基金合同当事人的的权利、义务</w:t>
      </w:r>
    </w:p>
    <w:p w14:paraId="36A2B381" w14:textId="77777777" w:rsidR="0037652E" w:rsidRDefault="00BF49B0">
      <w:pPr>
        <w:tabs>
          <w:tab w:val="left" w:pos="961"/>
        </w:tabs>
        <w:snapToGrid w:val="0"/>
        <w:spacing w:line="360" w:lineRule="auto"/>
        <w:ind w:firstLineChars="200" w:firstLine="480"/>
        <w:rPr>
          <w:bCs/>
          <w:sz w:val="24"/>
          <w:szCs w:val="24"/>
        </w:rPr>
      </w:pPr>
      <w:r>
        <w:rPr>
          <w:bCs/>
          <w:sz w:val="24"/>
          <w:szCs w:val="24"/>
        </w:rPr>
        <w:t>（一）基金份额持有人的权利与义务</w:t>
      </w:r>
    </w:p>
    <w:p w14:paraId="1ACD33C2" w14:textId="39732621" w:rsidR="0037652E" w:rsidRDefault="00B1799D">
      <w:pPr>
        <w:tabs>
          <w:tab w:val="left" w:pos="961"/>
        </w:tabs>
        <w:snapToGrid w:val="0"/>
        <w:spacing w:line="360" w:lineRule="auto"/>
        <w:ind w:firstLineChars="200" w:firstLine="480"/>
        <w:rPr>
          <w:bCs/>
          <w:sz w:val="24"/>
          <w:szCs w:val="24"/>
        </w:rPr>
      </w:pPr>
      <w:r>
        <w:rPr>
          <w:rFonts w:hint="eastAsia"/>
          <w:bCs/>
          <w:sz w:val="24"/>
          <w:szCs w:val="24"/>
        </w:rPr>
        <w:t>同一类别内</w:t>
      </w:r>
      <w:r w:rsidR="00BF49B0">
        <w:rPr>
          <w:bCs/>
          <w:sz w:val="24"/>
          <w:szCs w:val="24"/>
        </w:rPr>
        <w:t>每份基金份额具有同等的合法权益。</w:t>
      </w:r>
    </w:p>
    <w:p w14:paraId="4D474F6D"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、根据《基金法》、《运作办法》及其他有关规定，基金份额持有人的权利包括但不限于：</w:t>
      </w:r>
    </w:p>
    <w:p w14:paraId="43BEDA0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w:t>
      </w:r>
      <w:r>
        <w:rPr>
          <w:bCs/>
          <w:sz w:val="24"/>
          <w:szCs w:val="24"/>
        </w:rPr>
        <w:tab/>
      </w:r>
      <w:r>
        <w:rPr>
          <w:bCs/>
          <w:sz w:val="24"/>
          <w:szCs w:val="24"/>
        </w:rPr>
        <w:t>分享基金财产收益；</w:t>
      </w:r>
    </w:p>
    <w:p w14:paraId="0BBFC2D9"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w:t>
      </w:r>
      <w:r>
        <w:rPr>
          <w:bCs/>
          <w:sz w:val="24"/>
          <w:szCs w:val="24"/>
        </w:rPr>
        <w:tab/>
      </w:r>
      <w:r>
        <w:rPr>
          <w:bCs/>
          <w:sz w:val="24"/>
          <w:szCs w:val="24"/>
        </w:rPr>
        <w:t>参与分配清算后的剩余基金财产；</w:t>
      </w:r>
    </w:p>
    <w:p w14:paraId="56A2B30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w:t>
      </w:r>
      <w:r>
        <w:rPr>
          <w:bCs/>
          <w:sz w:val="24"/>
          <w:szCs w:val="24"/>
        </w:rPr>
        <w:tab/>
      </w:r>
      <w:r>
        <w:rPr>
          <w:bCs/>
          <w:sz w:val="24"/>
          <w:szCs w:val="24"/>
        </w:rPr>
        <w:t>依法申请赎回其持有的基金份额；</w:t>
      </w:r>
    </w:p>
    <w:p w14:paraId="3ABC111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w:t>
      </w:r>
      <w:r>
        <w:rPr>
          <w:bCs/>
          <w:sz w:val="24"/>
          <w:szCs w:val="24"/>
        </w:rPr>
        <w:tab/>
      </w:r>
      <w:r>
        <w:rPr>
          <w:bCs/>
          <w:sz w:val="24"/>
          <w:szCs w:val="24"/>
        </w:rPr>
        <w:t>按照规定要求召开基金份额持有人大会；</w:t>
      </w:r>
    </w:p>
    <w:p w14:paraId="5BE802C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w:t>
      </w:r>
      <w:r>
        <w:rPr>
          <w:bCs/>
          <w:sz w:val="24"/>
          <w:szCs w:val="24"/>
        </w:rPr>
        <w:tab/>
      </w:r>
      <w:r>
        <w:rPr>
          <w:bCs/>
          <w:sz w:val="24"/>
          <w:szCs w:val="24"/>
        </w:rPr>
        <w:t>出席或者委派代表出席基金份额持有人大会，对基金份额持有人大会审议事项行使表决权；</w:t>
      </w:r>
    </w:p>
    <w:p w14:paraId="6EC0912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w:t>
      </w:r>
      <w:r>
        <w:rPr>
          <w:bCs/>
          <w:sz w:val="24"/>
          <w:szCs w:val="24"/>
        </w:rPr>
        <w:tab/>
      </w:r>
      <w:r>
        <w:rPr>
          <w:bCs/>
          <w:sz w:val="24"/>
          <w:szCs w:val="24"/>
        </w:rPr>
        <w:t>查阅或者复制公开披露的基金信息资料；</w:t>
      </w:r>
    </w:p>
    <w:p w14:paraId="6C8E13E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w:t>
      </w:r>
      <w:r>
        <w:rPr>
          <w:bCs/>
          <w:sz w:val="24"/>
          <w:szCs w:val="24"/>
        </w:rPr>
        <w:tab/>
      </w:r>
      <w:r>
        <w:rPr>
          <w:bCs/>
          <w:sz w:val="24"/>
          <w:szCs w:val="24"/>
        </w:rPr>
        <w:t>监督基金管理人的投资运作；</w:t>
      </w:r>
    </w:p>
    <w:p w14:paraId="219DA94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8</w:t>
      </w:r>
      <w:r>
        <w:rPr>
          <w:bCs/>
          <w:sz w:val="24"/>
          <w:szCs w:val="24"/>
        </w:rPr>
        <w:t>）</w:t>
      </w:r>
      <w:r>
        <w:rPr>
          <w:bCs/>
          <w:sz w:val="24"/>
          <w:szCs w:val="24"/>
        </w:rPr>
        <w:tab/>
      </w:r>
      <w:r>
        <w:rPr>
          <w:bCs/>
          <w:sz w:val="24"/>
          <w:szCs w:val="24"/>
        </w:rPr>
        <w:t>对基金管理人、基金托管人、基金销售机构损害其合法权益的行为依法提起诉讼；</w:t>
      </w:r>
    </w:p>
    <w:p w14:paraId="3874037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9</w:t>
      </w:r>
      <w:r>
        <w:rPr>
          <w:bCs/>
          <w:sz w:val="24"/>
          <w:szCs w:val="24"/>
        </w:rPr>
        <w:t>）</w:t>
      </w:r>
      <w:r>
        <w:rPr>
          <w:bCs/>
          <w:sz w:val="24"/>
          <w:szCs w:val="24"/>
        </w:rPr>
        <w:tab/>
      </w:r>
      <w:r>
        <w:rPr>
          <w:bCs/>
          <w:sz w:val="24"/>
          <w:szCs w:val="24"/>
        </w:rPr>
        <w:t>法律法规和《基金合同》规定的其他权利。</w:t>
      </w:r>
    </w:p>
    <w:p w14:paraId="55B539E1"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、根据《基金法》、《运作办法》及其他有关规定，基金份额持有人的义务包括但不限于：</w:t>
      </w:r>
    </w:p>
    <w:p w14:paraId="247A442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w:t>
      </w:r>
      <w:r>
        <w:rPr>
          <w:bCs/>
          <w:sz w:val="24"/>
          <w:szCs w:val="24"/>
        </w:rPr>
        <w:tab/>
      </w:r>
      <w:r>
        <w:rPr>
          <w:bCs/>
          <w:sz w:val="24"/>
          <w:szCs w:val="24"/>
        </w:rPr>
        <w:t>遵守《基金合同》；</w:t>
      </w:r>
    </w:p>
    <w:p w14:paraId="0196719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w:t>
      </w:r>
      <w:r>
        <w:rPr>
          <w:bCs/>
          <w:sz w:val="24"/>
          <w:szCs w:val="24"/>
        </w:rPr>
        <w:tab/>
      </w:r>
      <w:r>
        <w:rPr>
          <w:bCs/>
          <w:sz w:val="24"/>
          <w:szCs w:val="24"/>
        </w:rPr>
        <w:t>交纳基金认购、申购款项及法律法规和《基金合同》所规定的费用；</w:t>
      </w:r>
    </w:p>
    <w:p w14:paraId="038FFE9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w:t>
      </w:r>
      <w:r>
        <w:rPr>
          <w:bCs/>
          <w:sz w:val="24"/>
          <w:szCs w:val="24"/>
        </w:rPr>
        <w:tab/>
      </w:r>
      <w:r>
        <w:rPr>
          <w:bCs/>
          <w:sz w:val="24"/>
          <w:szCs w:val="24"/>
        </w:rPr>
        <w:t>在其持有的基金份额范围内，承担基金亏损或者《基金合同》终止的有限责任；</w:t>
      </w:r>
    </w:p>
    <w:p w14:paraId="4626360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w:t>
      </w:r>
      <w:r>
        <w:rPr>
          <w:bCs/>
          <w:sz w:val="24"/>
          <w:szCs w:val="24"/>
        </w:rPr>
        <w:tab/>
      </w:r>
      <w:r>
        <w:rPr>
          <w:bCs/>
          <w:sz w:val="24"/>
          <w:szCs w:val="24"/>
        </w:rPr>
        <w:t>不从事任何有损基金及其他《基金合同》当事人合法权益的活动；</w:t>
      </w:r>
    </w:p>
    <w:p w14:paraId="42F29937"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w:t>
      </w:r>
      <w:r>
        <w:rPr>
          <w:bCs/>
          <w:sz w:val="24"/>
          <w:szCs w:val="24"/>
        </w:rPr>
        <w:tab/>
      </w:r>
      <w:r>
        <w:rPr>
          <w:bCs/>
          <w:sz w:val="24"/>
          <w:szCs w:val="24"/>
        </w:rPr>
        <w:t>返还在基金交易过程中因任何原因，自基金管理人、基金托管人及基金代销机构处获得的不当得利；</w:t>
      </w:r>
    </w:p>
    <w:p w14:paraId="6FECAD3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）执行生效的基金份额持有人大会的决定；</w:t>
      </w:r>
    </w:p>
    <w:p w14:paraId="65BD255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w:t>
      </w:r>
      <w:r>
        <w:rPr>
          <w:bCs/>
          <w:sz w:val="24"/>
          <w:szCs w:val="24"/>
        </w:rPr>
        <w:tab/>
      </w:r>
      <w:r>
        <w:rPr>
          <w:bCs/>
          <w:sz w:val="24"/>
          <w:szCs w:val="24"/>
        </w:rPr>
        <w:t>法律法规及中国证监会规定的和《基金合同》约定的其他义务。</w:t>
      </w:r>
    </w:p>
    <w:p w14:paraId="244D5949" w14:textId="77777777" w:rsidR="0037652E" w:rsidRDefault="00BF49B0">
      <w:pPr>
        <w:tabs>
          <w:tab w:val="left" w:pos="961"/>
        </w:tabs>
        <w:snapToGrid w:val="0"/>
        <w:spacing w:line="360" w:lineRule="auto"/>
        <w:ind w:firstLineChars="200" w:firstLine="480"/>
        <w:rPr>
          <w:bCs/>
          <w:sz w:val="24"/>
          <w:szCs w:val="24"/>
        </w:rPr>
      </w:pPr>
      <w:r>
        <w:rPr>
          <w:bCs/>
          <w:sz w:val="24"/>
          <w:szCs w:val="24"/>
        </w:rPr>
        <w:t>（二）基金管理人的权利与义务</w:t>
      </w:r>
    </w:p>
    <w:p w14:paraId="46671C96"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1</w:t>
      </w:r>
      <w:r>
        <w:rPr>
          <w:bCs/>
          <w:sz w:val="24"/>
          <w:szCs w:val="24"/>
        </w:rPr>
        <w:t>、根据《基金法》、《运作办法》及其他有关规定，基金管理人的权利包括但不限于：</w:t>
      </w:r>
    </w:p>
    <w:p w14:paraId="7CC082E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w:t>
      </w:r>
      <w:r>
        <w:rPr>
          <w:bCs/>
          <w:sz w:val="24"/>
          <w:szCs w:val="24"/>
        </w:rPr>
        <w:tab/>
      </w:r>
      <w:r>
        <w:rPr>
          <w:bCs/>
          <w:sz w:val="24"/>
          <w:szCs w:val="24"/>
        </w:rPr>
        <w:t>依法募集基金；</w:t>
      </w:r>
    </w:p>
    <w:p w14:paraId="0069CA2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w:t>
      </w:r>
      <w:r>
        <w:rPr>
          <w:bCs/>
          <w:sz w:val="24"/>
          <w:szCs w:val="24"/>
        </w:rPr>
        <w:tab/>
      </w:r>
      <w:r>
        <w:rPr>
          <w:bCs/>
          <w:sz w:val="24"/>
          <w:szCs w:val="24"/>
        </w:rPr>
        <w:t>自《基金合同》生效之日起，根据法律法规和《基金合同》独立运用并管理基金财产；</w:t>
      </w:r>
    </w:p>
    <w:p w14:paraId="757D20E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w:t>
      </w:r>
      <w:r>
        <w:rPr>
          <w:bCs/>
          <w:sz w:val="24"/>
          <w:szCs w:val="24"/>
        </w:rPr>
        <w:tab/>
      </w:r>
      <w:r>
        <w:rPr>
          <w:bCs/>
          <w:sz w:val="24"/>
          <w:szCs w:val="24"/>
        </w:rPr>
        <w:t>依照《基金合同》收取基金管理费以及法律法规规定或中国证监会批准的其他费用；</w:t>
      </w:r>
    </w:p>
    <w:p w14:paraId="5C63CC2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w:t>
      </w:r>
      <w:r>
        <w:rPr>
          <w:bCs/>
          <w:sz w:val="24"/>
          <w:szCs w:val="24"/>
        </w:rPr>
        <w:tab/>
      </w:r>
      <w:r>
        <w:rPr>
          <w:bCs/>
          <w:sz w:val="24"/>
          <w:szCs w:val="24"/>
        </w:rPr>
        <w:t>销售基金份额；</w:t>
      </w:r>
    </w:p>
    <w:p w14:paraId="7B9BF005"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w:t>
      </w:r>
      <w:r>
        <w:rPr>
          <w:bCs/>
          <w:sz w:val="24"/>
          <w:szCs w:val="24"/>
        </w:rPr>
        <w:tab/>
      </w:r>
      <w:r>
        <w:rPr>
          <w:bCs/>
          <w:sz w:val="24"/>
          <w:szCs w:val="24"/>
        </w:rPr>
        <w:t>召集基金份额持有人大会；</w:t>
      </w:r>
    </w:p>
    <w:p w14:paraId="2853F9B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w:t>
      </w:r>
      <w:r>
        <w:rPr>
          <w:bCs/>
          <w:sz w:val="24"/>
          <w:szCs w:val="24"/>
        </w:rPr>
        <w:tab/>
      </w:r>
      <w:r>
        <w:rPr>
          <w:bCs/>
          <w:sz w:val="24"/>
          <w:szCs w:val="24"/>
        </w:rPr>
        <w:t>依据《基金合同》及有关法律法规规定监督基金托管人，如认为基金托管人违反了《基金合同》及国家有关法律法规规定，应呈报中国证监会和其他监管部门，并采取必要措施保护基金投资者的利益；</w:t>
      </w:r>
    </w:p>
    <w:p w14:paraId="389E90C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w:t>
      </w:r>
      <w:r>
        <w:rPr>
          <w:bCs/>
          <w:sz w:val="24"/>
          <w:szCs w:val="24"/>
        </w:rPr>
        <w:tab/>
      </w:r>
      <w:r>
        <w:rPr>
          <w:bCs/>
          <w:sz w:val="24"/>
          <w:szCs w:val="24"/>
        </w:rPr>
        <w:t>在基金托管人更换时，提名新的基金托管人；</w:t>
      </w:r>
    </w:p>
    <w:p w14:paraId="36260DB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8</w:t>
      </w:r>
      <w:r>
        <w:rPr>
          <w:bCs/>
          <w:sz w:val="24"/>
          <w:szCs w:val="24"/>
        </w:rPr>
        <w:t>）</w:t>
      </w:r>
      <w:r>
        <w:rPr>
          <w:bCs/>
          <w:sz w:val="24"/>
          <w:szCs w:val="24"/>
        </w:rPr>
        <w:tab/>
      </w:r>
      <w:r>
        <w:rPr>
          <w:bCs/>
          <w:sz w:val="24"/>
          <w:szCs w:val="24"/>
        </w:rPr>
        <w:t>选择、委托、更换基金代销机构，对基金代销机构的相关行为进行监督和处理；</w:t>
      </w:r>
      <w:r>
        <w:rPr>
          <w:bCs/>
          <w:sz w:val="24"/>
          <w:szCs w:val="24"/>
        </w:rPr>
        <w:t xml:space="preserve"> </w:t>
      </w:r>
    </w:p>
    <w:p w14:paraId="6CE83DD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9</w:t>
      </w:r>
      <w:r>
        <w:rPr>
          <w:bCs/>
          <w:sz w:val="24"/>
          <w:szCs w:val="24"/>
        </w:rPr>
        <w:t>）</w:t>
      </w:r>
      <w:r>
        <w:rPr>
          <w:bCs/>
          <w:sz w:val="24"/>
          <w:szCs w:val="24"/>
        </w:rPr>
        <w:tab/>
      </w:r>
      <w:r>
        <w:rPr>
          <w:bCs/>
          <w:sz w:val="24"/>
          <w:szCs w:val="24"/>
        </w:rPr>
        <w:t>担任或委托其他符合条件的机构担任基金注册登记机构办理基金注册登记业务并获得《基金合同》规定的费用；</w:t>
      </w:r>
      <w:r>
        <w:rPr>
          <w:bCs/>
          <w:sz w:val="24"/>
          <w:szCs w:val="24"/>
        </w:rPr>
        <w:t xml:space="preserve"> </w:t>
      </w:r>
    </w:p>
    <w:p w14:paraId="2499CC6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10</w:t>
      </w:r>
      <w:r>
        <w:rPr>
          <w:bCs/>
          <w:sz w:val="24"/>
          <w:szCs w:val="24"/>
        </w:rPr>
        <w:t>）依据《基金合同》及有关法律法规规定决定基金收益的分配方案；</w:t>
      </w:r>
    </w:p>
    <w:p w14:paraId="3B428C9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11</w:t>
      </w:r>
      <w:r>
        <w:rPr>
          <w:bCs/>
          <w:sz w:val="24"/>
          <w:szCs w:val="24"/>
        </w:rPr>
        <w:t>）在《基金合同》约定的范围内，拒绝或暂停受理申购与赎回申请；</w:t>
      </w:r>
      <w:r>
        <w:rPr>
          <w:bCs/>
          <w:sz w:val="24"/>
          <w:szCs w:val="24"/>
        </w:rPr>
        <w:t xml:space="preserve"> </w:t>
      </w:r>
    </w:p>
    <w:p w14:paraId="03175CA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12</w:t>
      </w:r>
      <w:r>
        <w:rPr>
          <w:bCs/>
          <w:sz w:val="24"/>
          <w:szCs w:val="24"/>
        </w:rPr>
        <w:t>）在符合有关法律法规和《基金合同》的前提下，制订和调整业务规则，决定和调整除调高管理费率和托管费率之外的基金相关费率结构和收费方式；</w:t>
      </w:r>
    </w:p>
    <w:p w14:paraId="324A8BE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13</w:t>
      </w:r>
      <w:r>
        <w:rPr>
          <w:bCs/>
          <w:sz w:val="24"/>
          <w:szCs w:val="24"/>
        </w:rPr>
        <w:t>）依照法律法规为基金的利益对被投资公司行使股东权利，为基金的利益行使因基金财产投资于证券所产生的权利；</w:t>
      </w:r>
      <w:r>
        <w:rPr>
          <w:bCs/>
          <w:sz w:val="24"/>
          <w:szCs w:val="24"/>
        </w:rPr>
        <w:tab/>
      </w:r>
    </w:p>
    <w:p w14:paraId="70E5BB7D"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14</w:t>
      </w:r>
      <w:r>
        <w:rPr>
          <w:bCs/>
          <w:sz w:val="24"/>
          <w:szCs w:val="24"/>
        </w:rPr>
        <w:t>）在法律法规允许的前提下，为基金的利益依法为基金进行融资；</w:t>
      </w:r>
      <w:r>
        <w:rPr>
          <w:bCs/>
          <w:sz w:val="24"/>
          <w:szCs w:val="24"/>
        </w:rPr>
        <w:t xml:space="preserve"> </w:t>
      </w:r>
    </w:p>
    <w:p w14:paraId="38569F7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15</w:t>
      </w:r>
      <w:r>
        <w:rPr>
          <w:bCs/>
          <w:sz w:val="24"/>
          <w:szCs w:val="24"/>
        </w:rPr>
        <w:t>）以基金管理人的名义，代表基金份额持有人的利益行使诉讼权利或者实施其他法律行为；</w:t>
      </w:r>
      <w:r>
        <w:rPr>
          <w:bCs/>
          <w:sz w:val="24"/>
          <w:szCs w:val="24"/>
        </w:rPr>
        <w:tab/>
      </w:r>
    </w:p>
    <w:p w14:paraId="6E2FCE2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16</w:t>
      </w:r>
      <w:r>
        <w:rPr>
          <w:bCs/>
          <w:sz w:val="24"/>
          <w:szCs w:val="24"/>
        </w:rPr>
        <w:t>）选择、更换律师事务所、会计师事务所、证券经纪商或其他为基金提供服务的外部机构；</w:t>
      </w:r>
    </w:p>
    <w:p w14:paraId="3B03892D"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17</w:t>
      </w:r>
      <w:r>
        <w:rPr>
          <w:bCs/>
          <w:sz w:val="24"/>
          <w:szCs w:val="24"/>
        </w:rPr>
        <w:t>）选择、更换或撤销境外投资顾问；</w:t>
      </w:r>
    </w:p>
    <w:p w14:paraId="11B25E6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18</w:t>
      </w:r>
      <w:r>
        <w:rPr>
          <w:bCs/>
          <w:sz w:val="24"/>
          <w:szCs w:val="24"/>
        </w:rPr>
        <w:t>）法律法规和《基金合同》规定的其他权利。</w:t>
      </w:r>
    </w:p>
    <w:p w14:paraId="02DBCA0B"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2</w:t>
      </w:r>
      <w:r>
        <w:rPr>
          <w:bCs/>
          <w:sz w:val="24"/>
          <w:szCs w:val="24"/>
        </w:rPr>
        <w:t>、根据《基金法》、《运作办法》及其他有关规定，基金管理人的义务包括但不限于：</w:t>
      </w:r>
    </w:p>
    <w:p w14:paraId="44E2C5D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w:t>
      </w:r>
      <w:r>
        <w:rPr>
          <w:bCs/>
          <w:sz w:val="24"/>
          <w:szCs w:val="24"/>
        </w:rPr>
        <w:tab/>
      </w:r>
      <w:r>
        <w:rPr>
          <w:bCs/>
          <w:sz w:val="24"/>
          <w:szCs w:val="24"/>
        </w:rPr>
        <w:t>依法募集基金，办理或者委托经中国证监会认定的其他机构代为办理基金份额的发售、申购、赎回和登记事宜；如认为基金代销机构违反《基金合同》、基金销售与服务代理协议及国家有关法律法规规定，应呈报中国证监会和其他监管部门，并采取必要措施保护基金投资者的利益；</w:t>
      </w:r>
    </w:p>
    <w:p w14:paraId="4ACB90C9"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）办理基金备案手续；</w:t>
      </w:r>
    </w:p>
    <w:p w14:paraId="7E7E3FC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）自《基金合同》生效之日起</w:t>
      </w:r>
      <w:r>
        <w:rPr>
          <w:bCs/>
          <w:sz w:val="24"/>
          <w:szCs w:val="24"/>
        </w:rPr>
        <w:t>,</w:t>
      </w:r>
      <w:r>
        <w:rPr>
          <w:bCs/>
          <w:sz w:val="24"/>
          <w:szCs w:val="24"/>
        </w:rPr>
        <w:t>以诚实信用、勤勉尽责的原则管理和运用基金财产；</w:t>
      </w:r>
    </w:p>
    <w:p w14:paraId="4C62213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w:t>
      </w:r>
      <w:r>
        <w:rPr>
          <w:bCs/>
          <w:sz w:val="24"/>
          <w:szCs w:val="24"/>
        </w:rPr>
        <w:tab/>
      </w:r>
      <w:r>
        <w:rPr>
          <w:bCs/>
          <w:sz w:val="24"/>
          <w:szCs w:val="24"/>
        </w:rPr>
        <w:t>配备足够的具有专业资格的人员进行基金投资分析、决策，以专业化的经营方式管理和运作基金财产；</w:t>
      </w:r>
    </w:p>
    <w:p w14:paraId="6BA220E9"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w:t>
      </w:r>
      <w:r>
        <w:rPr>
          <w:bCs/>
          <w:sz w:val="24"/>
          <w:szCs w:val="24"/>
        </w:rPr>
        <w:tab/>
      </w:r>
      <w:r>
        <w:rPr>
          <w:bCs/>
          <w:sz w:val="24"/>
          <w:szCs w:val="24"/>
        </w:rPr>
        <w:t>建立健全内部风险控制、监察与稽核、财务管理及人事管理等制度，保证所管理的基金财产和基金管理人的财产相互独立</w:t>
      </w:r>
      <w:r>
        <w:rPr>
          <w:bCs/>
          <w:sz w:val="24"/>
          <w:szCs w:val="24"/>
        </w:rPr>
        <w:t>,</w:t>
      </w:r>
      <w:r>
        <w:rPr>
          <w:bCs/>
          <w:sz w:val="24"/>
          <w:szCs w:val="24"/>
        </w:rPr>
        <w:t>对所管理的不同基金分别管理，分别记账，进行证券投资；</w:t>
      </w:r>
    </w:p>
    <w:p w14:paraId="45D57F3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w:t>
      </w:r>
      <w:r>
        <w:rPr>
          <w:bCs/>
          <w:sz w:val="24"/>
          <w:szCs w:val="24"/>
        </w:rPr>
        <w:tab/>
      </w:r>
      <w:r>
        <w:rPr>
          <w:bCs/>
          <w:sz w:val="24"/>
          <w:szCs w:val="24"/>
        </w:rPr>
        <w:t>除依据《基金法》、《基金合同》及其他有关规定外</w:t>
      </w:r>
      <w:r>
        <w:rPr>
          <w:bCs/>
          <w:sz w:val="24"/>
          <w:szCs w:val="24"/>
        </w:rPr>
        <w:t>,</w:t>
      </w:r>
      <w:r>
        <w:rPr>
          <w:bCs/>
          <w:sz w:val="24"/>
          <w:szCs w:val="24"/>
        </w:rPr>
        <w:t>不得利用基金财产为自己及任何第三人谋取利益，不得委托第三人运作基金财产；</w:t>
      </w:r>
    </w:p>
    <w:p w14:paraId="2A7EEC8D"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w:t>
      </w:r>
      <w:r>
        <w:rPr>
          <w:bCs/>
          <w:sz w:val="24"/>
          <w:szCs w:val="24"/>
        </w:rPr>
        <w:tab/>
      </w:r>
      <w:r>
        <w:rPr>
          <w:bCs/>
          <w:sz w:val="24"/>
          <w:szCs w:val="24"/>
        </w:rPr>
        <w:t>依法接受基金托管人的监督；</w:t>
      </w:r>
    </w:p>
    <w:p w14:paraId="6245A93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8</w:t>
      </w:r>
      <w:r>
        <w:rPr>
          <w:bCs/>
          <w:sz w:val="24"/>
          <w:szCs w:val="24"/>
        </w:rPr>
        <w:t>）</w:t>
      </w:r>
      <w:r>
        <w:rPr>
          <w:bCs/>
          <w:sz w:val="24"/>
          <w:szCs w:val="24"/>
        </w:rPr>
        <w:tab/>
      </w:r>
      <w:r>
        <w:rPr>
          <w:bCs/>
          <w:sz w:val="24"/>
          <w:szCs w:val="24"/>
        </w:rPr>
        <w:t>采取适当合理的措施使计算基金份额认购、申购和赎回价格的方法符合《基金合同》等法律文件的规定，按有关规定计算并公告基金净值</w:t>
      </w:r>
      <w:r>
        <w:rPr>
          <w:rFonts w:hint="eastAsia"/>
          <w:bCs/>
          <w:sz w:val="24"/>
          <w:szCs w:val="24"/>
        </w:rPr>
        <w:t>信息</w:t>
      </w:r>
      <w:r>
        <w:rPr>
          <w:bCs/>
          <w:sz w:val="24"/>
          <w:szCs w:val="24"/>
        </w:rPr>
        <w:t>，确定基金份额申购、赎回的价格；</w:t>
      </w:r>
    </w:p>
    <w:p w14:paraId="2578EA69"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9</w:t>
      </w:r>
      <w:r>
        <w:rPr>
          <w:bCs/>
          <w:sz w:val="24"/>
          <w:szCs w:val="24"/>
        </w:rPr>
        <w:t>）</w:t>
      </w:r>
      <w:r>
        <w:rPr>
          <w:bCs/>
          <w:sz w:val="24"/>
          <w:szCs w:val="24"/>
        </w:rPr>
        <w:tab/>
      </w:r>
      <w:r>
        <w:rPr>
          <w:bCs/>
          <w:sz w:val="24"/>
          <w:szCs w:val="24"/>
        </w:rPr>
        <w:t>进行基金会计核算并编制基金财务会计报告；</w:t>
      </w:r>
    </w:p>
    <w:p w14:paraId="2AC592A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10</w:t>
      </w:r>
      <w:r>
        <w:rPr>
          <w:bCs/>
          <w:sz w:val="24"/>
          <w:szCs w:val="24"/>
        </w:rPr>
        <w:t>）编制季度</w:t>
      </w:r>
      <w:r>
        <w:rPr>
          <w:rFonts w:hint="eastAsia"/>
          <w:bCs/>
          <w:sz w:val="24"/>
          <w:szCs w:val="24"/>
        </w:rPr>
        <w:t>报告</w:t>
      </w:r>
      <w:r>
        <w:rPr>
          <w:bCs/>
          <w:sz w:val="24"/>
          <w:szCs w:val="24"/>
        </w:rPr>
        <w:t>、</w:t>
      </w:r>
      <w:r>
        <w:rPr>
          <w:rFonts w:hint="eastAsia"/>
          <w:bCs/>
          <w:sz w:val="24"/>
          <w:szCs w:val="24"/>
        </w:rPr>
        <w:t>中期报告</w:t>
      </w:r>
      <w:r>
        <w:rPr>
          <w:bCs/>
          <w:sz w:val="24"/>
          <w:szCs w:val="24"/>
        </w:rPr>
        <w:t>和年度报告；</w:t>
      </w:r>
    </w:p>
    <w:p w14:paraId="7898596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11</w:t>
      </w:r>
      <w:r>
        <w:rPr>
          <w:bCs/>
          <w:sz w:val="24"/>
          <w:szCs w:val="24"/>
        </w:rPr>
        <w:t>）严格按照《基金法》、《基金合同》及其他有关规定，履行信息披露及报告义务；</w:t>
      </w:r>
    </w:p>
    <w:p w14:paraId="07AA8F8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12</w:t>
      </w:r>
      <w:r>
        <w:rPr>
          <w:bCs/>
          <w:sz w:val="24"/>
          <w:szCs w:val="24"/>
        </w:rPr>
        <w:t>）保守基金商业秘密，不泄露基金投资计划、投资意向等。除《基金法》、《基金合同》及其他有关规定另有规定外，在基金信息公开披露前应予保密，不向他人泄露；</w:t>
      </w:r>
    </w:p>
    <w:p w14:paraId="354FD547"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13</w:t>
      </w:r>
      <w:r>
        <w:rPr>
          <w:bCs/>
          <w:sz w:val="24"/>
          <w:szCs w:val="24"/>
        </w:rPr>
        <w:t>）按《基金合同》的约定确定基金收益分配方案，及时</w:t>
      </w:r>
      <w:r>
        <w:rPr>
          <w:rFonts w:hint="eastAsia"/>
          <w:bCs/>
          <w:sz w:val="24"/>
          <w:szCs w:val="24"/>
        </w:rPr>
        <w:t>足额</w:t>
      </w:r>
      <w:r>
        <w:rPr>
          <w:bCs/>
          <w:sz w:val="24"/>
          <w:szCs w:val="24"/>
        </w:rPr>
        <w:t>向基金份额持有人分配基金收益；</w:t>
      </w:r>
    </w:p>
    <w:p w14:paraId="52B5CBF9"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14</w:t>
      </w:r>
      <w:r>
        <w:rPr>
          <w:bCs/>
          <w:sz w:val="24"/>
          <w:szCs w:val="24"/>
        </w:rPr>
        <w:t>）按规定受理申购与赎回申请，及时、足额支付赎回款项；</w:t>
      </w:r>
    </w:p>
    <w:p w14:paraId="235EFEBA"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w:t>
      </w:r>
      <w:r>
        <w:rPr>
          <w:bCs/>
          <w:sz w:val="24"/>
          <w:szCs w:val="24"/>
        </w:rPr>
        <w:t>15</w:t>
      </w:r>
      <w:r>
        <w:rPr>
          <w:bCs/>
          <w:sz w:val="24"/>
          <w:szCs w:val="24"/>
        </w:rPr>
        <w:t>）依据《基金法》、《基金合同》及其他有关规定召集基金份额持有人大会或配合基金托管人、基金份额持有人依法召集基金份额持有人大会；</w:t>
      </w:r>
    </w:p>
    <w:p w14:paraId="0E5EF54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16</w:t>
      </w:r>
      <w:r>
        <w:rPr>
          <w:bCs/>
          <w:sz w:val="24"/>
          <w:szCs w:val="24"/>
        </w:rPr>
        <w:t>）按规定保存基金财产管理业务活动的会计账册、报表、记录和其他相关资料</w:t>
      </w:r>
      <w:r>
        <w:rPr>
          <w:bCs/>
          <w:sz w:val="24"/>
          <w:szCs w:val="24"/>
        </w:rPr>
        <w:t>15</w:t>
      </w:r>
      <w:r>
        <w:rPr>
          <w:bCs/>
          <w:sz w:val="24"/>
          <w:szCs w:val="24"/>
        </w:rPr>
        <w:t>年以上；</w:t>
      </w:r>
    </w:p>
    <w:p w14:paraId="6BF5224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17</w:t>
      </w:r>
      <w:r>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630C41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18</w:t>
      </w:r>
      <w:r>
        <w:rPr>
          <w:bCs/>
          <w:sz w:val="24"/>
          <w:szCs w:val="24"/>
        </w:rPr>
        <w:t>）组织并参加基金财产清算小组</w:t>
      </w:r>
      <w:r>
        <w:rPr>
          <w:bCs/>
          <w:sz w:val="24"/>
          <w:szCs w:val="24"/>
        </w:rPr>
        <w:t>,</w:t>
      </w:r>
      <w:r>
        <w:rPr>
          <w:bCs/>
          <w:sz w:val="24"/>
          <w:szCs w:val="24"/>
        </w:rPr>
        <w:t>参与基金财产的保管、清理、估价、变现和分配；</w:t>
      </w:r>
    </w:p>
    <w:p w14:paraId="07DEF56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19</w:t>
      </w:r>
      <w:r>
        <w:rPr>
          <w:bCs/>
          <w:sz w:val="24"/>
          <w:szCs w:val="24"/>
        </w:rPr>
        <w:t>）面临解散、依法被撤销或者被依法宣告破产时，及时报告中国证监会并通知基金托管人；</w:t>
      </w:r>
    </w:p>
    <w:p w14:paraId="0F7A3F5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20</w:t>
      </w:r>
      <w:r>
        <w:rPr>
          <w:bCs/>
          <w:sz w:val="24"/>
          <w:szCs w:val="24"/>
        </w:rPr>
        <w:t>）因违反《基金合同》导致基金财产的损失或损害基金份额持有人合法权益时，应当承担赔偿责任，其赔偿责任不因其退任而免除；</w:t>
      </w:r>
    </w:p>
    <w:p w14:paraId="5FDD109F"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21</w:t>
      </w:r>
      <w:r>
        <w:rPr>
          <w:bCs/>
          <w:sz w:val="24"/>
          <w:szCs w:val="24"/>
        </w:rPr>
        <w:t>）监督基金托管人按法律法规和《基金合同》规定履行自己的义务，基金托管人违反《基金合同》造成基金财产损失时，基金管理人应为基金份额持有人利益向基金托管人追偿；</w:t>
      </w:r>
    </w:p>
    <w:p w14:paraId="3ED3950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22</w:t>
      </w:r>
      <w:r>
        <w:rPr>
          <w:bCs/>
          <w:sz w:val="24"/>
          <w:szCs w:val="24"/>
        </w:rPr>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560A062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23</w:t>
      </w:r>
      <w:r>
        <w:rPr>
          <w:bCs/>
          <w:sz w:val="24"/>
          <w:szCs w:val="24"/>
        </w:rPr>
        <w:t>）以基金管理人名义，代表基金份额持有人利益行使诉讼权利或实施其他法律行为；</w:t>
      </w:r>
    </w:p>
    <w:p w14:paraId="599A549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24</w:t>
      </w:r>
      <w:r>
        <w:rPr>
          <w:bCs/>
          <w:sz w:val="24"/>
          <w:szCs w:val="24"/>
        </w:rPr>
        <w:t>）基金管理人在募集期间未能达到基金的备案条件，《基金合同》不能生效，基金管理人承担因募集行为而产生的债务和费用，将已募集资金并加计银行同期存款利息在基金募集期结束后</w:t>
      </w:r>
      <w:r>
        <w:rPr>
          <w:bCs/>
          <w:sz w:val="24"/>
          <w:szCs w:val="24"/>
        </w:rPr>
        <w:t>30</w:t>
      </w:r>
      <w:r>
        <w:rPr>
          <w:bCs/>
          <w:sz w:val="24"/>
          <w:szCs w:val="24"/>
        </w:rPr>
        <w:t>日内退还基金认购人；</w:t>
      </w:r>
    </w:p>
    <w:p w14:paraId="10AB0F1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25</w:t>
      </w:r>
      <w:r>
        <w:rPr>
          <w:bCs/>
          <w:sz w:val="24"/>
          <w:szCs w:val="24"/>
        </w:rPr>
        <w:t>）执行生效的基金份额持有人大会的决定；</w:t>
      </w:r>
    </w:p>
    <w:p w14:paraId="0D6E21E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26</w:t>
      </w:r>
      <w:r>
        <w:rPr>
          <w:bCs/>
          <w:sz w:val="24"/>
          <w:szCs w:val="24"/>
        </w:rPr>
        <w:t>）建立并保存基金份额持有人名册，定期或不定期向基金托管人提供基金份额持有人名册；</w:t>
      </w:r>
    </w:p>
    <w:p w14:paraId="5518224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27</w:t>
      </w:r>
      <w:r>
        <w:rPr>
          <w:bCs/>
          <w:sz w:val="24"/>
          <w:szCs w:val="24"/>
        </w:rPr>
        <w:t>）法律法规及中国证监会规定的和《基金合同》约定的其他义务。</w:t>
      </w:r>
    </w:p>
    <w:p w14:paraId="19E85CA2" w14:textId="77777777" w:rsidR="0037652E" w:rsidRDefault="00BF49B0">
      <w:pPr>
        <w:tabs>
          <w:tab w:val="left" w:pos="961"/>
        </w:tabs>
        <w:snapToGrid w:val="0"/>
        <w:spacing w:line="360" w:lineRule="auto"/>
        <w:ind w:firstLineChars="200" w:firstLine="480"/>
        <w:rPr>
          <w:bCs/>
          <w:sz w:val="24"/>
          <w:szCs w:val="24"/>
        </w:rPr>
      </w:pPr>
      <w:r>
        <w:rPr>
          <w:bCs/>
          <w:sz w:val="24"/>
          <w:szCs w:val="24"/>
        </w:rPr>
        <w:t>（三）基金托管人的权利与义务</w:t>
      </w:r>
    </w:p>
    <w:p w14:paraId="02366DF9"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、根据《基金法》、《运作办法》及其他有关规定，基金托管人的权利包括</w:t>
      </w:r>
      <w:r>
        <w:rPr>
          <w:bCs/>
          <w:sz w:val="24"/>
          <w:szCs w:val="24"/>
        </w:rPr>
        <w:lastRenderedPageBreak/>
        <w:t>但不限于：</w:t>
      </w:r>
    </w:p>
    <w:p w14:paraId="7D25A8F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）自《基金合同》生效之日起，依法律法规和《基金合同》的规定安全保管基金财产；</w:t>
      </w:r>
    </w:p>
    <w:p w14:paraId="28D119A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）依《基金合同》约定获得基金托管费以及法律法规规定或监管部门批准的其他收入；</w:t>
      </w:r>
    </w:p>
    <w:p w14:paraId="78D2E6E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w:t>
      </w:r>
      <w:r>
        <w:rPr>
          <w:bCs/>
          <w:sz w:val="24"/>
          <w:szCs w:val="24"/>
        </w:rPr>
        <w:tab/>
      </w:r>
      <w:r>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DF1ED3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w:t>
      </w:r>
      <w:r>
        <w:rPr>
          <w:bCs/>
          <w:sz w:val="24"/>
          <w:szCs w:val="24"/>
        </w:rPr>
        <w:tab/>
      </w:r>
      <w:r>
        <w:rPr>
          <w:bCs/>
          <w:sz w:val="24"/>
          <w:szCs w:val="24"/>
        </w:rPr>
        <w:t>选择、更换或撤销境外托管人；</w:t>
      </w:r>
    </w:p>
    <w:p w14:paraId="552605A9"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w:t>
      </w:r>
      <w:r>
        <w:rPr>
          <w:bCs/>
          <w:sz w:val="24"/>
          <w:szCs w:val="24"/>
        </w:rPr>
        <w:tab/>
      </w:r>
      <w:r>
        <w:rPr>
          <w:bCs/>
          <w:sz w:val="24"/>
          <w:szCs w:val="24"/>
        </w:rPr>
        <w:t>按规定开设基金财产的资金账户和证券账户；</w:t>
      </w:r>
    </w:p>
    <w:p w14:paraId="2EB4047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w:t>
      </w:r>
      <w:r>
        <w:rPr>
          <w:bCs/>
          <w:sz w:val="24"/>
          <w:szCs w:val="24"/>
        </w:rPr>
        <w:tab/>
      </w:r>
      <w:r>
        <w:rPr>
          <w:bCs/>
          <w:sz w:val="24"/>
          <w:szCs w:val="24"/>
        </w:rPr>
        <w:t>提议召开或召集基金份额持有人大会；</w:t>
      </w:r>
    </w:p>
    <w:p w14:paraId="4B1BAAB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w:t>
      </w:r>
      <w:r>
        <w:rPr>
          <w:bCs/>
          <w:sz w:val="24"/>
          <w:szCs w:val="24"/>
        </w:rPr>
        <w:tab/>
      </w:r>
      <w:r>
        <w:rPr>
          <w:bCs/>
          <w:sz w:val="24"/>
          <w:szCs w:val="24"/>
        </w:rPr>
        <w:t>在基金管理人更换时，提名新的基金管理人；</w:t>
      </w:r>
    </w:p>
    <w:p w14:paraId="7F71CAE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8</w:t>
      </w:r>
      <w:r>
        <w:rPr>
          <w:bCs/>
          <w:sz w:val="24"/>
          <w:szCs w:val="24"/>
        </w:rPr>
        <w:t>）</w:t>
      </w:r>
      <w:r>
        <w:rPr>
          <w:bCs/>
          <w:sz w:val="24"/>
          <w:szCs w:val="24"/>
        </w:rPr>
        <w:tab/>
      </w:r>
      <w:r>
        <w:rPr>
          <w:bCs/>
          <w:sz w:val="24"/>
          <w:szCs w:val="24"/>
        </w:rPr>
        <w:t>法律法规和《基金合同》规定的其他权利。</w:t>
      </w:r>
    </w:p>
    <w:p w14:paraId="4B82139A"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、根据《基金法》、《运作办法》及其他有关规定，基金托管人的义务包括但不限于：</w:t>
      </w:r>
    </w:p>
    <w:p w14:paraId="5836D56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）以诚实信用、勤勉尽责的原则持有并安全保管基金财产；</w:t>
      </w:r>
    </w:p>
    <w:p w14:paraId="4AA4F3A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）设立专门的基金托管部门，具有符合要求的营业场所，配备足够的、合格的熟悉基金托管业务的专职人员，负责基金财产托管事宜；</w:t>
      </w:r>
    </w:p>
    <w:p w14:paraId="352452D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w:t>
      </w:r>
      <w:r>
        <w:rPr>
          <w:bCs/>
          <w:sz w:val="24"/>
          <w:szCs w:val="24"/>
        </w:rPr>
        <w:tab/>
      </w:r>
      <w:r>
        <w:rPr>
          <w:bCs/>
          <w:sz w:val="24"/>
          <w:szCs w:val="24"/>
        </w:rPr>
        <w:t>建立健全内部风险控制、监察与稽核、财务管理及人事管理等制度，确保基金财产的安全，保证其托管的基金财产与基金托管人固有财产以及不同的基金财产相互独立；对所托管的不同的基金分别设置账户，独立核算，分账管理，保证不同基金之间在名册登记、账户设置、资金划拨、账册记录等方面相互独立；</w:t>
      </w:r>
    </w:p>
    <w:p w14:paraId="4D89ED2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w:t>
      </w:r>
      <w:r>
        <w:rPr>
          <w:bCs/>
          <w:sz w:val="24"/>
          <w:szCs w:val="24"/>
        </w:rPr>
        <w:tab/>
      </w:r>
      <w:r>
        <w:rPr>
          <w:bCs/>
          <w:sz w:val="24"/>
          <w:szCs w:val="24"/>
        </w:rPr>
        <w:t>除依据《基金法》、《基金合同》及其他有关规定外，不得利用基金财产为自己及任何第三人谋取利益；</w:t>
      </w:r>
    </w:p>
    <w:p w14:paraId="3F5BA0BF"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w:t>
      </w:r>
      <w:r>
        <w:rPr>
          <w:bCs/>
          <w:sz w:val="24"/>
          <w:szCs w:val="24"/>
        </w:rPr>
        <w:tab/>
      </w:r>
      <w:r>
        <w:rPr>
          <w:bCs/>
          <w:sz w:val="24"/>
          <w:szCs w:val="24"/>
        </w:rPr>
        <w:t>保管由基金管理人代表基金签订的与基金有关的重大合同及有关凭证；</w:t>
      </w:r>
    </w:p>
    <w:p w14:paraId="3932A657"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w:t>
      </w:r>
      <w:r>
        <w:rPr>
          <w:bCs/>
          <w:sz w:val="24"/>
          <w:szCs w:val="24"/>
        </w:rPr>
        <w:tab/>
      </w:r>
      <w:r>
        <w:rPr>
          <w:bCs/>
          <w:sz w:val="24"/>
          <w:szCs w:val="24"/>
        </w:rPr>
        <w:t>按规定开设基金财产的资金账户和证券账户</w:t>
      </w:r>
      <w:r>
        <w:rPr>
          <w:bCs/>
          <w:sz w:val="24"/>
          <w:szCs w:val="24"/>
        </w:rPr>
        <w:t>,</w:t>
      </w:r>
      <w:r>
        <w:rPr>
          <w:bCs/>
          <w:sz w:val="24"/>
          <w:szCs w:val="24"/>
        </w:rPr>
        <w:t>按照有关法律法规和《基金合同》的约定，根据基金管理人的投资指令，及时办理清算、交割事宜；</w:t>
      </w:r>
    </w:p>
    <w:p w14:paraId="6724211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w:t>
      </w:r>
      <w:r>
        <w:rPr>
          <w:bCs/>
          <w:sz w:val="24"/>
          <w:szCs w:val="24"/>
        </w:rPr>
        <w:tab/>
      </w:r>
      <w:r>
        <w:rPr>
          <w:bCs/>
          <w:sz w:val="24"/>
          <w:szCs w:val="24"/>
        </w:rPr>
        <w:t>保守基金商业秘密，除《基金法》、《基金合同》及其他有关规定另有规定外，在基金信息公开披露前予以保密，不得向他人泄露；</w:t>
      </w:r>
    </w:p>
    <w:p w14:paraId="70171047"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w:t>
      </w:r>
      <w:r>
        <w:rPr>
          <w:bCs/>
          <w:sz w:val="24"/>
          <w:szCs w:val="24"/>
        </w:rPr>
        <w:t>8</w:t>
      </w:r>
      <w:r>
        <w:rPr>
          <w:bCs/>
          <w:sz w:val="24"/>
          <w:szCs w:val="24"/>
        </w:rPr>
        <w:t>）</w:t>
      </w:r>
      <w:r>
        <w:rPr>
          <w:bCs/>
          <w:sz w:val="24"/>
          <w:szCs w:val="24"/>
        </w:rPr>
        <w:tab/>
      </w:r>
      <w:r>
        <w:rPr>
          <w:bCs/>
          <w:sz w:val="24"/>
          <w:szCs w:val="24"/>
        </w:rPr>
        <w:t>确保基金份额净值按照有关法律法规、基金合同规定的方法进行计算，复核、审查基金管理人计算的基金资产净值、</w:t>
      </w:r>
      <w:r>
        <w:rPr>
          <w:rFonts w:hint="eastAsia"/>
          <w:bCs/>
          <w:sz w:val="24"/>
          <w:szCs w:val="24"/>
        </w:rPr>
        <w:t>基金份额净值、</w:t>
      </w:r>
      <w:r>
        <w:rPr>
          <w:bCs/>
          <w:sz w:val="24"/>
          <w:szCs w:val="24"/>
        </w:rPr>
        <w:t>基金份额申购、赎回价格；</w:t>
      </w:r>
    </w:p>
    <w:p w14:paraId="3FD85D3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9</w:t>
      </w:r>
      <w:r>
        <w:rPr>
          <w:bCs/>
          <w:sz w:val="24"/>
          <w:szCs w:val="24"/>
        </w:rPr>
        <w:t>）</w:t>
      </w:r>
      <w:r>
        <w:rPr>
          <w:bCs/>
          <w:sz w:val="24"/>
          <w:szCs w:val="24"/>
        </w:rPr>
        <w:tab/>
      </w:r>
      <w:r>
        <w:rPr>
          <w:bCs/>
          <w:sz w:val="24"/>
          <w:szCs w:val="24"/>
        </w:rPr>
        <w:t>办理与基金托管业务活动有关的信息披露事项；</w:t>
      </w:r>
    </w:p>
    <w:p w14:paraId="6A7CF6B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10</w:t>
      </w:r>
      <w:r>
        <w:rPr>
          <w:bCs/>
          <w:sz w:val="24"/>
          <w:szCs w:val="24"/>
        </w:rPr>
        <w:t>）对基金财务会计报告、季度</w:t>
      </w:r>
      <w:r>
        <w:rPr>
          <w:rFonts w:hint="eastAsia"/>
          <w:bCs/>
          <w:sz w:val="24"/>
          <w:szCs w:val="24"/>
        </w:rPr>
        <w:t>报告</w:t>
      </w:r>
      <w:r>
        <w:rPr>
          <w:bCs/>
          <w:sz w:val="24"/>
          <w:szCs w:val="24"/>
        </w:rPr>
        <w:t>、</w:t>
      </w:r>
      <w:r>
        <w:rPr>
          <w:rFonts w:hint="eastAsia"/>
          <w:bCs/>
          <w:sz w:val="24"/>
          <w:szCs w:val="24"/>
        </w:rPr>
        <w:t>中期报告</w:t>
      </w:r>
      <w:r>
        <w:rPr>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5711043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11</w:t>
      </w:r>
      <w:r>
        <w:rPr>
          <w:bCs/>
          <w:sz w:val="24"/>
          <w:szCs w:val="24"/>
        </w:rPr>
        <w:t>）基金管理人就管理本基金的资金汇出、汇入、兑换、收汇、付汇、资金往来、委托及成交记录等相关资料，其保存的时间应当不少于</w:t>
      </w:r>
      <w:r>
        <w:rPr>
          <w:bCs/>
          <w:sz w:val="24"/>
          <w:szCs w:val="24"/>
        </w:rPr>
        <w:t>20</w:t>
      </w:r>
      <w:r>
        <w:rPr>
          <w:bCs/>
          <w:sz w:val="24"/>
          <w:szCs w:val="24"/>
        </w:rPr>
        <w:t>年；其它基金托管业务活动的相关资料的保存时间应不少于</w:t>
      </w:r>
      <w:r>
        <w:rPr>
          <w:bCs/>
          <w:sz w:val="24"/>
          <w:szCs w:val="24"/>
        </w:rPr>
        <w:t>15</w:t>
      </w:r>
      <w:r>
        <w:rPr>
          <w:bCs/>
          <w:sz w:val="24"/>
          <w:szCs w:val="24"/>
        </w:rPr>
        <w:t>年；</w:t>
      </w:r>
    </w:p>
    <w:p w14:paraId="42DAE3D5"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12</w:t>
      </w:r>
      <w:r>
        <w:rPr>
          <w:bCs/>
          <w:sz w:val="24"/>
          <w:szCs w:val="24"/>
        </w:rPr>
        <w:t>）保存基金份额持有人名册；</w:t>
      </w:r>
    </w:p>
    <w:p w14:paraId="62632AE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13</w:t>
      </w:r>
      <w:r>
        <w:rPr>
          <w:bCs/>
          <w:sz w:val="24"/>
          <w:szCs w:val="24"/>
        </w:rPr>
        <w:t>）按规定制作相关账册并与基金管理人核对；</w:t>
      </w:r>
    </w:p>
    <w:p w14:paraId="1171FFE5"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14</w:t>
      </w:r>
      <w:r>
        <w:rPr>
          <w:bCs/>
          <w:sz w:val="24"/>
          <w:szCs w:val="24"/>
        </w:rPr>
        <w:t>）依据基金管理人的指令或有关规定向基金份额持有人支付基金收益和赎回款项；</w:t>
      </w:r>
    </w:p>
    <w:p w14:paraId="5D72A019"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15</w:t>
      </w:r>
      <w:r>
        <w:rPr>
          <w:bCs/>
          <w:sz w:val="24"/>
          <w:szCs w:val="24"/>
        </w:rPr>
        <w:t>）按照规定召集基金份额持有人大会或配合基金份额持有人依法自行召集基金份额持有人大会；</w:t>
      </w:r>
    </w:p>
    <w:p w14:paraId="1174C9D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16</w:t>
      </w:r>
      <w:r>
        <w:rPr>
          <w:bCs/>
          <w:sz w:val="24"/>
          <w:szCs w:val="24"/>
        </w:rPr>
        <w:t>）按照法律法规和《基金合同》的规定监督基金管理人的投资运作；</w:t>
      </w:r>
    </w:p>
    <w:p w14:paraId="4870AA2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17</w:t>
      </w:r>
      <w:r>
        <w:rPr>
          <w:bCs/>
          <w:sz w:val="24"/>
          <w:szCs w:val="24"/>
        </w:rPr>
        <w:t>）参加基金财产清算小组，参与基金财产的保管、清理、估价、变现和分配；</w:t>
      </w:r>
    </w:p>
    <w:p w14:paraId="253D757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18</w:t>
      </w:r>
      <w:r>
        <w:rPr>
          <w:bCs/>
          <w:sz w:val="24"/>
          <w:szCs w:val="24"/>
        </w:rPr>
        <w:t>）面临解散、依法被撤销或者被依法宣告破产时，及时报告中国证监会和银行监管机构，并通知基金管理人；</w:t>
      </w:r>
    </w:p>
    <w:p w14:paraId="41D00609"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19</w:t>
      </w:r>
      <w:r>
        <w:rPr>
          <w:bCs/>
          <w:sz w:val="24"/>
          <w:szCs w:val="24"/>
        </w:rPr>
        <w:t>）因违反《基金合同》导致基金财产损失时，应承担赔偿责任，其赔偿责任不因其退任而免除；</w:t>
      </w:r>
    </w:p>
    <w:p w14:paraId="64845CC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20</w:t>
      </w:r>
      <w:r>
        <w:rPr>
          <w:bCs/>
          <w:sz w:val="24"/>
          <w:szCs w:val="24"/>
        </w:rPr>
        <w:t>）按规定监督基金管理人按法律法规和《基金合同》规定履行自己的义务，基金管理人因违反《基金合同》造成基金财产损失时，应为基金利益向基金管理人追偿；</w:t>
      </w:r>
    </w:p>
    <w:p w14:paraId="44E7885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21</w:t>
      </w:r>
      <w:r>
        <w:rPr>
          <w:bCs/>
          <w:sz w:val="24"/>
          <w:szCs w:val="24"/>
        </w:rPr>
        <w:t>）执行生效的基金份额持有人大会的决定；</w:t>
      </w:r>
    </w:p>
    <w:p w14:paraId="01667A3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22</w:t>
      </w:r>
      <w:r>
        <w:rPr>
          <w:bCs/>
          <w:sz w:val="24"/>
          <w:szCs w:val="24"/>
        </w:rPr>
        <w:t>）对基金的境外财产，基金托管人可授权境外托管人代为履行其承担的职责。境外托管人在履行职责过程中，因本身过错、疏忽原因而导致的基金财产</w:t>
      </w:r>
      <w:r>
        <w:rPr>
          <w:bCs/>
          <w:sz w:val="24"/>
          <w:szCs w:val="24"/>
        </w:rPr>
        <w:lastRenderedPageBreak/>
        <w:t>受损的，基金托管人承担相应责任。在决定境外托管人是否有过错、疏忽等不当行为，应根据基金托管人与境外托管人之间的协议的适用法律及当地的证券市场惯例决定。本条不受本协议终止的影响；</w:t>
      </w:r>
    </w:p>
    <w:p w14:paraId="536AD56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23</w:t>
      </w:r>
      <w:r>
        <w:rPr>
          <w:bCs/>
          <w:sz w:val="24"/>
          <w:szCs w:val="24"/>
        </w:rPr>
        <w:t>）保护基金份额持有人利益，按照规定对基金日常投资行为和资金汇出入情况实施监督，如发现投资指令或资金汇出入违法、违规，应当及时向中国证监会、外管局报告；</w:t>
      </w:r>
    </w:p>
    <w:p w14:paraId="44890F2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24</w:t>
      </w:r>
      <w:r>
        <w:rPr>
          <w:bCs/>
          <w:sz w:val="24"/>
          <w:szCs w:val="24"/>
        </w:rPr>
        <w:t>）安全保护基金财产，准时将公司行为信息通知基金管理人，确保基金及时收取所有应得收入；</w:t>
      </w:r>
    </w:p>
    <w:p w14:paraId="59174ED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25</w:t>
      </w:r>
      <w:r>
        <w:rPr>
          <w:bCs/>
          <w:sz w:val="24"/>
          <w:szCs w:val="24"/>
        </w:rPr>
        <w:t>）每月结束后</w:t>
      </w:r>
      <w:r>
        <w:rPr>
          <w:bCs/>
          <w:sz w:val="24"/>
          <w:szCs w:val="24"/>
        </w:rPr>
        <w:t>7</w:t>
      </w:r>
      <w:r>
        <w:rPr>
          <w:bCs/>
          <w:sz w:val="24"/>
          <w:szCs w:val="24"/>
        </w:rPr>
        <w:t>个工作日内，向中国证监会和外管局报告基金管理人境外投资情况，并按相关规定进行国际收支申报；</w:t>
      </w:r>
    </w:p>
    <w:p w14:paraId="6E37873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26</w:t>
      </w:r>
      <w:r>
        <w:rPr>
          <w:bCs/>
          <w:sz w:val="24"/>
          <w:szCs w:val="24"/>
        </w:rPr>
        <w:t>）办理基金管理人就管理本基金的有关结汇、售汇、收汇、付汇和人民币资金结算业务。</w:t>
      </w:r>
    </w:p>
    <w:p w14:paraId="634BE46F"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27</w:t>
      </w:r>
      <w:r>
        <w:rPr>
          <w:bCs/>
          <w:sz w:val="24"/>
          <w:szCs w:val="24"/>
        </w:rPr>
        <w:t>）法律法规、《基金合同》规定的其他义务以及中国证监会和外管局根据审慎监管原则规定的基金托管人的其他职责。</w:t>
      </w:r>
    </w:p>
    <w:p w14:paraId="718755DB"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b/>
          <w:bCs/>
          <w:sz w:val="24"/>
          <w:szCs w:val="24"/>
        </w:rPr>
        <w:t>二、基金份额持有人大会召集、议事及表决的程序和规则</w:t>
      </w:r>
    </w:p>
    <w:p w14:paraId="6FF5A31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基金份额持有人大会由基金份额持有人组成。基金份额持有人持有的每一基金份额拥有平等的投票权。</w:t>
      </w:r>
    </w:p>
    <w:p w14:paraId="3D7EEFB1"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一</w:t>
      </w:r>
      <w:r>
        <w:rPr>
          <w:rFonts w:hAnsi="宋体" w:hint="eastAsia"/>
          <w:bCs/>
          <w:sz w:val="24"/>
          <w:szCs w:val="24"/>
        </w:rPr>
        <w:t>）</w:t>
      </w:r>
      <w:r>
        <w:rPr>
          <w:rFonts w:hAnsi="宋体"/>
          <w:bCs/>
          <w:sz w:val="24"/>
          <w:szCs w:val="24"/>
        </w:rPr>
        <w:t>召开事由</w:t>
      </w:r>
    </w:p>
    <w:p w14:paraId="49BE2BA6"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、当出现或需要决定下列事由之一的，应当召开基金份额持有人大会：</w:t>
      </w:r>
    </w:p>
    <w:p w14:paraId="1F9D4AAF"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bCs/>
          <w:sz w:val="24"/>
          <w:szCs w:val="24"/>
        </w:rPr>
        <w:t>）终止《基金合同》；</w:t>
      </w:r>
    </w:p>
    <w:p w14:paraId="7046EB12"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w:t>
      </w:r>
      <w:r>
        <w:rPr>
          <w:rFonts w:hAnsi="宋体"/>
          <w:bCs/>
          <w:sz w:val="24"/>
          <w:szCs w:val="24"/>
        </w:rPr>
        <w:t>）更换基金管理人；</w:t>
      </w:r>
    </w:p>
    <w:p w14:paraId="6BB50706"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3</w:t>
      </w:r>
      <w:r>
        <w:rPr>
          <w:rFonts w:hAnsi="宋体"/>
          <w:bCs/>
          <w:sz w:val="24"/>
          <w:szCs w:val="24"/>
        </w:rPr>
        <w:t>）更换基金托管人；</w:t>
      </w:r>
    </w:p>
    <w:p w14:paraId="1ADB6A3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4</w:t>
      </w:r>
      <w:r>
        <w:rPr>
          <w:rFonts w:hAnsi="宋体"/>
          <w:bCs/>
          <w:sz w:val="24"/>
          <w:szCs w:val="24"/>
        </w:rPr>
        <w:t>）转换基金运作方式；</w:t>
      </w:r>
    </w:p>
    <w:p w14:paraId="6E859AC3" w14:textId="314E470F"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5</w:t>
      </w:r>
      <w:r>
        <w:rPr>
          <w:rFonts w:hAnsi="宋体"/>
          <w:bCs/>
          <w:sz w:val="24"/>
          <w:szCs w:val="24"/>
        </w:rPr>
        <w:t>）提高基金管理人和基金托管人的报酬标准</w:t>
      </w:r>
      <w:r w:rsidR="00B1799D" w:rsidRPr="00B1799D">
        <w:rPr>
          <w:rFonts w:hAnsi="宋体" w:hint="eastAsia"/>
          <w:bCs/>
          <w:sz w:val="24"/>
          <w:szCs w:val="24"/>
        </w:rPr>
        <w:t>或提高销售服务费率</w:t>
      </w:r>
      <w:r>
        <w:rPr>
          <w:rFonts w:hAnsi="宋体"/>
          <w:bCs/>
          <w:sz w:val="24"/>
          <w:szCs w:val="24"/>
        </w:rPr>
        <w:t>。但根据法律法规的要求提高该等报酬标准</w:t>
      </w:r>
      <w:r w:rsidR="00B1799D" w:rsidRPr="00B1799D">
        <w:rPr>
          <w:rFonts w:hAnsi="宋体" w:hint="eastAsia"/>
          <w:bCs/>
          <w:sz w:val="24"/>
          <w:szCs w:val="24"/>
        </w:rPr>
        <w:t>或提高销售服务费率</w:t>
      </w:r>
      <w:r>
        <w:rPr>
          <w:rFonts w:hAnsi="宋体"/>
          <w:bCs/>
          <w:sz w:val="24"/>
          <w:szCs w:val="24"/>
        </w:rPr>
        <w:t>的除外；</w:t>
      </w:r>
    </w:p>
    <w:p w14:paraId="168F1730"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6</w:t>
      </w:r>
      <w:r>
        <w:rPr>
          <w:rFonts w:hAnsi="宋体"/>
          <w:bCs/>
          <w:sz w:val="24"/>
          <w:szCs w:val="24"/>
        </w:rPr>
        <w:t>）变更基金类别；</w:t>
      </w:r>
    </w:p>
    <w:p w14:paraId="0A79591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7</w:t>
      </w:r>
      <w:r>
        <w:rPr>
          <w:rFonts w:hAnsi="宋体"/>
          <w:bCs/>
          <w:sz w:val="24"/>
          <w:szCs w:val="24"/>
        </w:rPr>
        <w:t>）本基金与其他基金的合并；</w:t>
      </w:r>
    </w:p>
    <w:p w14:paraId="6C5B9A3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8</w:t>
      </w:r>
      <w:r>
        <w:rPr>
          <w:rFonts w:hAnsi="宋体"/>
          <w:bCs/>
          <w:sz w:val="24"/>
          <w:szCs w:val="24"/>
        </w:rPr>
        <w:t>）变更基金投资目标、范围或策略；</w:t>
      </w:r>
    </w:p>
    <w:p w14:paraId="113878DE"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9</w:t>
      </w:r>
      <w:r>
        <w:rPr>
          <w:rFonts w:hAnsi="宋体"/>
          <w:bCs/>
          <w:sz w:val="24"/>
          <w:szCs w:val="24"/>
        </w:rPr>
        <w:t>）变更基金份额持有人大会程序；</w:t>
      </w:r>
    </w:p>
    <w:p w14:paraId="3E818F60"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10</w:t>
      </w:r>
      <w:r>
        <w:rPr>
          <w:rFonts w:hAnsi="宋体"/>
          <w:bCs/>
          <w:sz w:val="24"/>
          <w:szCs w:val="24"/>
        </w:rPr>
        <w:t>）基金管理人或基金托管人要求召开基金份额持有人大会；</w:t>
      </w:r>
    </w:p>
    <w:p w14:paraId="0B662E9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lastRenderedPageBreak/>
        <w:t>（</w:t>
      </w:r>
      <w:r>
        <w:rPr>
          <w:rFonts w:hAnsi="宋体"/>
          <w:bCs/>
          <w:sz w:val="24"/>
          <w:szCs w:val="24"/>
        </w:rPr>
        <w:t>11</w:t>
      </w:r>
      <w:r>
        <w:rPr>
          <w:rFonts w:hAnsi="宋体"/>
          <w:bCs/>
          <w:sz w:val="24"/>
          <w:szCs w:val="24"/>
        </w:rPr>
        <w:t>）单独或合计持有本基金总份额</w:t>
      </w:r>
      <w:r>
        <w:rPr>
          <w:rFonts w:hAnsi="宋体"/>
          <w:bCs/>
          <w:sz w:val="24"/>
          <w:szCs w:val="24"/>
        </w:rPr>
        <w:t>10</w:t>
      </w:r>
      <w:r>
        <w:rPr>
          <w:rFonts w:hAnsi="宋体"/>
          <w:bCs/>
          <w:sz w:val="24"/>
          <w:szCs w:val="24"/>
        </w:rPr>
        <w:t>％以上（含</w:t>
      </w:r>
      <w:r>
        <w:rPr>
          <w:rFonts w:hAnsi="宋体"/>
          <w:bCs/>
          <w:sz w:val="24"/>
          <w:szCs w:val="24"/>
        </w:rPr>
        <w:t>10</w:t>
      </w:r>
      <w:r>
        <w:rPr>
          <w:rFonts w:hAnsi="宋体"/>
          <w:bCs/>
          <w:sz w:val="24"/>
          <w:szCs w:val="24"/>
        </w:rPr>
        <w:t>％）基金份额的基金份额持有人（以基金管理人收到提议当日的基金份额计算，下同）就同一事项书面要求召开基金份额持有人大会；</w:t>
      </w:r>
    </w:p>
    <w:p w14:paraId="6A16331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12</w:t>
      </w:r>
      <w:r>
        <w:rPr>
          <w:rFonts w:hAnsi="宋体"/>
          <w:bCs/>
          <w:sz w:val="24"/>
          <w:szCs w:val="24"/>
        </w:rPr>
        <w:t>）对基金当事人权利和义务产生重大影响的其他事项；</w:t>
      </w:r>
    </w:p>
    <w:p w14:paraId="70B2EA32"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13</w:t>
      </w:r>
      <w:r>
        <w:rPr>
          <w:rFonts w:hAnsi="宋体"/>
          <w:bCs/>
          <w:sz w:val="24"/>
          <w:szCs w:val="24"/>
        </w:rPr>
        <w:t>）法律法规、《基金合同》或中国证监会规定的其他应当召开基金份额持有人大会的事项。</w:t>
      </w:r>
    </w:p>
    <w:p w14:paraId="1ACF6F23"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2</w:t>
      </w:r>
      <w:r>
        <w:rPr>
          <w:rFonts w:hAnsi="宋体"/>
          <w:bCs/>
          <w:sz w:val="24"/>
          <w:szCs w:val="24"/>
        </w:rPr>
        <w:t>、以下情况可由基金管理人和基金托管人协商后修改，不需召开基金份额持有人大会：</w:t>
      </w:r>
    </w:p>
    <w:p w14:paraId="22E745A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bCs/>
          <w:sz w:val="24"/>
          <w:szCs w:val="24"/>
        </w:rPr>
        <w:t>）调低基金管理费和基金托管费；</w:t>
      </w:r>
    </w:p>
    <w:p w14:paraId="1D6779B3"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w:t>
      </w:r>
      <w:r>
        <w:rPr>
          <w:rFonts w:hAnsi="宋体"/>
          <w:bCs/>
          <w:sz w:val="24"/>
          <w:szCs w:val="24"/>
        </w:rPr>
        <w:t>）法律法规要求增加的基金费用的收取；</w:t>
      </w:r>
    </w:p>
    <w:p w14:paraId="25B488B1" w14:textId="6732458F"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3</w:t>
      </w:r>
      <w:r>
        <w:rPr>
          <w:rFonts w:hAnsi="宋体"/>
          <w:bCs/>
          <w:sz w:val="24"/>
          <w:szCs w:val="24"/>
        </w:rPr>
        <w:t>）在《基金合同》规定的范围内变更本基金的申购费率、降低赎回费率</w:t>
      </w:r>
      <w:r w:rsidR="00B1799D" w:rsidRPr="00B1799D">
        <w:rPr>
          <w:rFonts w:hAnsi="宋体" w:hint="eastAsia"/>
          <w:bCs/>
          <w:sz w:val="24"/>
          <w:szCs w:val="24"/>
        </w:rPr>
        <w:t>、调低销售服务费率或调整基金份额类别设置</w:t>
      </w:r>
      <w:r>
        <w:rPr>
          <w:rFonts w:hAnsi="宋体"/>
          <w:bCs/>
          <w:sz w:val="24"/>
          <w:szCs w:val="24"/>
        </w:rPr>
        <w:t>；</w:t>
      </w:r>
    </w:p>
    <w:p w14:paraId="19ECBEC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4</w:t>
      </w:r>
      <w:r>
        <w:rPr>
          <w:rFonts w:hAnsi="宋体"/>
          <w:bCs/>
          <w:sz w:val="24"/>
          <w:szCs w:val="24"/>
        </w:rPr>
        <w:t>）因相应的法律法规发生变动而应当对《基金合同》进行修改；</w:t>
      </w:r>
    </w:p>
    <w:p w14:paraId="2A5F8EEB"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5</w:t>
      </w:r>
      <w:r>
        <w:rPr>
          <w:rFonts w:hAnsi="宋体"/>
          <w:bCs/>
          <w:sz w:val="24"/>
          <w:szCs w:val="24"/>
        </w:rPr>
        <w:t>）《基金合同》的修改对基金份额持有人利益无实质性不利影响或修改不涉及《基金合同》当事人权利义务关系发生变化；</w:t>
      </w:r>
    </w:p>
    <w:p w14:paraId="2EFA90CF"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6</w:t>
      </w:r>
      <w:r>
        <w:rPr>
          <w:rFonts w:hAnsi="宋体"/>
          <w:bCs/>
          <w:sz w:val="24"/>
          <w:szCs w:val="24"/>
        </w:rPr>
        <w:t>）</w:t>
      </w:r>
      <w:r>
        <w:rPr>
          <w:rFonts w:hAnsi="宋体" w:hint="eastAsia"/>
          <w:bCs/>
          <w:sz w:val="24"/>
          <w:szCs w:val="24"/>
        </w:rPr>
        <w:t>经中国证监会允许，基金推出新业务或服务；</w:t>
      </w:r>
    </w:p>
    <w:p w14:paraId="5D921AF5"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7</w:t>
      </w:r>
      <w:r>
        <w:rPr>
          <w:rFonts w:hAnsi="宋体"/>
          <w:bCs/>
          <w:sz w:val="24"/>
          <w:szCs w:val="24"/>
        </w:rPr>
        <w:t>）</w:t>
      </w:r>
      <w:r>
        <w:rPr>
          <w:rFonts w:hAnsi="宋体" w:hint="eastAsia"/>
          <w:bCs/>
          <w:sz w:val="24"/>
          <w:szCs w:val="24"/>
        </w:rPr>
        <w:t>）经中国证监会允许</w:t>
      </w:r>
      <w:r>
        <w:rPr>
          <w:rFonts w:hAnsi="宋体"/>
          <w:bCs/>
          <w:sz w:val="24"/>
          <w:szCs w:val="24"/>
        </w:rPr>
        <w:t>,</w:t>
      </w:r>
      <w:r>
        <w:rPr>
          <w:rFonts w:hAnsi="宋体" w:hint="eastAsia"/>
          <w:bCs/>
          <w:sz w:val="24"/>
          <w:szCs w:val="24"/>
        </w:rPr>
        <w:t>基金管理人、基金注册登记机构、代销机构在法律法规规定的范围内调整有关基金交易、非交易过户、转托管等业务规则；</w:t>
      </w:r>
    </w:p>
    <w:p w14:paraId="492106F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hint="eastAsia"/>
          <w:bCs/>
          <w:sz w:val="24"/>
          <w:szCs w:val="24"/>
        </w:rPr>
        <w:t>8</w:t>
      </w:r>
      <w:r>
        <w:rPr>
          <w:rFonts w:hAnsi="宋体"/>
          <w:bCs/>
          <w:sz w:val="24"/>
          <w:szCs w:val="24"/>
        </w:rPr>
        <w:t>）除按照法律法规和《基金合同》规定应当召开基金份额持有人大会的以外的其他情形。</w:t>
      </w:r>
    </w:p>
    <w:p w14:paraId="1315030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二</w:t>
      </w:r>
      <w:r>
        <w:rPr>
          <w:rFonts w:hAnsi="宋体" w:hint="eastAsia"/>
          <w:bCs/>
          <w:sz w:val="24"/>
          <w:szCs w:val="24"/>
        </w:rPr>
        <w:t>）</w:t>
      </w:r>
      <w:r>
        <w:rPr>
          <w:rFonts w:hAnsi="宋体"/>
          <w:bCs/>
          <w:sz w:val="24"/>
          <w:szCs w:val="24"/>
        </w:rPr>
        <w:t>会议召集人及召集方式</w:t>
      </w:r>
    </w:p>
    <w:p w14:paraId="28220075"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、除法律法规规定或《基金合同》另有约定外，基金份额持有人大会由基金管理人召集。</w:t>
      </w:r>
    </w:p>
    <w:p w14:paraId="3B7844F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2</w:t>
      </w:r>
      <w:r>
        <w:rPr>
          <w:rFonts w:hAnsi="宋体"/>
          <w:bCs/>
          <w:sz w:val="24"/>
          <w:szCs w:val="24"/>
        </w:rPr>
        <w:t>、基金管理人未按规定召集或不能召集时，由基金托管人召集。</w:t>
      </w:r>
    </w:p>
    <w:p w14:paraId="0FFACE5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、基金托管人认为有必要召开基金份额持有人大会的，应当向基金管理人提出书面提议。基金管理人应当自收到书面提议之日起</w:t>
      </w:r>
      <w:r>
        <w:rPr>
          <w:rFonts w:hAnsi="宋体"/>
          <w:bCs/>
          <w:sz w:val="24"/>
          <w:szCs w:val="24"/>
        </w:rPr>
        <w:t>10</w:t>
      </w:r>
      <w:r>
        <w:rPr>
          <w:rFonts w:hAnsi="宋体"/>
          <w:bCs/>
          <w:sz w:val="24"/>
          <w:szCs w:val="24"/>
        </w:rPr>
        <w:t>日内决定是否召集，并书面告知基金托管人。基金管理人决定召集的，应当自出具书面决定之日起</w:t>
      </w:r>
      <w:r>
        <w:rPr>
          <w:rFonts w:hAnsi="宋体"/>
          <w:bCs/>
          <w:sz w:val="24"/>
          <w:szCs w:val="24"/>
        </w:rPr>
        <w:t>60</w:t>
      </w:r>
      <w:r>
        <w:rPr>
          <w:rFonts w:hAnsi="宋体"/>
          <w:bCs/>
          <w:sz w:val="24"/>
          <w:szCs w:val="24"/>
        </w:rPr>
        <w:t>日内召开；基金管理人决定不召集，基金托管人仍认为有必要召开的，应当由基金托管人自行召集。</w:t>
      </w:r>
    </w:p>
    <w:p w14:paraId="23CA96D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4</w:t>
      </w:r>
      <w:r>
        <w:rPr>
          <w:rFonts w:hAnsi="宋体"/>
          <w:bCs/>
          <w:sz w:val="24"/>
          <w:szCs w:val="24"/>
        </w:rPr>
        <w:t>、代表基金份额</w:t>
      </w:r>
      <w:r>
        <w:rPr>
          <w:rFonts w:hAnsi="宋体"/>
          <w:bCs/>
          <w:sz w:val="24"/>
          <w:szCs w:val="24"/>
        </w:rPr>
        <w:t>10%</w:t>
      </w:r>
      <w:r>
        <w:rPr>
          <w:rFonts w:hAnsi="宋体"/>
          <w:bCs/>
          <w:sz w:val="24"/>
          <w:szCs w:val="24"/>
        </w:rPr>
        <w:t>以上（含</w:t>
      </w:r>
      <w:r>
        <w:rPr>
          <w:rFonts w:hAnsi="宋体"/>
          <w:bCs/>
          <w:sz w:val="24"/>
          <w:szCs w:val="24"/>
        </w:rPr>
        <w:t>10%</w:t>
      </w:r>
      <w:r>
        <w:rPr>
          <w:rFonts w:hAnsi="宋体"/>
          <w:bCs/>
          <w:sz w:val="24"/>
          <w:szCs w:val="24"/>
        </w:rPr>
        <w:t>）的基金份额持有人就同一事项书面要</w:t>
      </w:r>
      <w:r>
        <w:rPr>
          <w:rFonts w:hAnsi="宋体"/>
          <w:bCs/>
          <w:sz w:val="24"/>
          <w:szCs w:val="24"/>
        </w:rPr>
        <w:lastRenderedPageBreak/>
        <w:t>求召开基金份额持有人大会，应当向基金管理人提出书面提议。基金管理人应当自收到书面提议之日起</w:t>
      </w:r>
      <w:r>
        <w:rPr>
          <w:rFonts w:hAnsi="宋体"/>
          <w:bCs/>
          <w:sz w:val="24"/>
          <w:szCs w:val="24"/>
        </w:rPr>
        <w:t>10</w:t>
      </w:r>
      <w:r>
        <w:rPr>
          <w:rFonts w:hAnsi="宋体"/>
          <w:bCs/>
          <w:sz w:val="24"/>
          <w:szCs w:val="24"/>
        </w:rPr>
        <w:t>日内决定是否召集，并书面告知提出提议的基金份额持有人代表和基金托管人。基金管理人决定召集的，应当自出具书面决定之日起</w:t>
      </w:r>
      <w:r>
        <w:rPr>
          <w:rFonts w:hAnsi="宋体"/>
          <w:bCs/>
          <w:sz w:val="24"/>
          <w:szCs w:val="24"/>
        </w:rPr>
        <w:t>60</w:t>
      </w:r>
      <w:r>
        <w:rPr>
          <w:rFonts w:hAnsi="宋体"/>
          <w:bCs/>
          <w:sz w:val="24"/>
          <w:szCs w:val="24"/>
        </w:rPr>
        <w:t>日内召开；基金管理人决定不召集，代表基金份额</w:t>
      </w:r>
      <w:r>
        <w:rPr>
          <w:rFonts w:hAnsi="宋体"/>
          <w:bCs/>
          <w:sz w:val="24"/>
          <w:szCs w:val="24"/>
        </w:rPr>
        <w:t>10%</w:t>
      </w:r>
      <w:r>
        <w:rPr>
          <w:rFonts w:hAnsi="宋体"/>
          <w:bCs/>
          <w:sz w:val="24"/>
          <w:szCs w:val="24"/>
        </w:rPr>
        <w:t>以上（含</w:t>
      </w:r>
      <w:r>
        <w:rPr>
          <w:rFonts w:hAnsi="宋体"/>
          <w:bCs/>
          <w:sz w:val="24"/>
          <w:szCs w:val="24"/>
        </w:rPr>
        <w:t>10%</w:t>
      </w:r>
      <w:r>
        <w:rPr>
          <w:rFonts w:hAnsi="宋体"/>
          <w:bCs/>
          <w:sz w:val="24"/>
          <w:szCs w:val="24"/>
        </w:rPr>
        <w:t>）的基金份额持有人仍认为有必要召开的，应当向基金托管人提出书面提议。基金托管人应当自收到书面提议之日起</w:t>
      </w:r>
      <w:r>
        <w:rPr>
          <w:rFonts w:hAnsi="宋体"/>
          <w:bCs/>
          <w:sz w:val="24"/>
          <w:szCs w:val="24"/>
        </w:rPr>
        <w:t>10</w:t>
      </w:r>
      <w:r>
        <w:rPr>
          <w:rFonts w:hAnsi="宋体"/>
          <w:bCs/>
          <w:sz w:val="24"/>
          <w:szCs w:val="24"/>
        </w:rPr>
        <w:t>日内决定是否召集，并书面告知提出提议的基金份额持有人代表和基金管理人；基金托管人决定召集的，应当自出具书面决定之日起</w:t>
      </w:r>
      <w:r>
        <w:rPr>
          <w:rFonts w:hAnsi="宋体"/>
          <w:bCs/>
          <w:sz w:val="24"/>
          <w:szCs w:val="24"/>
        </w:rPr>
        <w:t>60</w:t>
      </w:r>
      <w:r>
        <w:rPr>
          <w:rFonts w:hAnsi="宋体"/>
          <w:bCs/>
          <w:sz w:val="24"/>
          <w:szCs w:val="24"/>
        </w:rPr>
        <w:t>日内召开。</w:t>
      </w:r>
    </w:p>
    <w:p w14:paraId="2E0917D6"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5</w:t>
      </w:r>
      <w:r>
        <w:rPr>
          <w:rFonts w:hAnsi="宋体"/>
          <w:bCs/>
          <w:sz w:val="24"/>
          <w:szCs w:val="24"/>
        </w:rPr>
        <w:t>、代表基金份额</w:t>
      </w:r>
      <w:r>
        <w:rPr>
          <w:rFonts w:hAnsi="宋体"/>
          <w:bCs/>
          <w:sz w:val="24"/>
          <w:szCs w:val="24"/>
        </w:rPr>
        <w:t>10%</w:t>
      </w:r>
      <w:r>
        <w:rPr>
          <w:rFonts w:hAnsi="宋体"/>
          <w:bCs/>
          <w:sz w:val="24"/>
          <w:szCs w:val="24"/>
        </w:rPr>
        <w:t>以上（含</w:t>
      </w:r>
      <w:r>
        <w:rPr>
          <w:rFonts w:hAnsi="宋体"/>
          <w:bCs/>
          <w:sz w:val="24"/>
          <w:szCs w:val="24"/>
        </w:rPr>
        <w:t>10%</w:t>
      </w:r>
      <w:r>
        <w:rPr>
          <w:rFonts w:hAnsi="宋体"/>
          <w:bCs/>
          <w:sz w:val="24"/>
          <w:szCs w:val="24"/>
        </w:rPr>
        <w:t>）的基金份额持有人就同一事项要求召开基金份额持有人大会，而基金管理人、基金托管人都不召集的，单独或合计代表基金份额</w:t>
      </w:r>
      <w:r>
        <w:rPr>
          <w:rFonts w:hAnsi="宋体"/>
          <w:bCs/>
          <w:sz w:val="24"/>
          <w:szCs w:val="24"/>
        </w:rPr>
        <w:t>10%</w:t>
      </w:r>
      <w:r>
        <w:rPr>
          <w:rFonts w:hAnsi="宋体"/>
          <w:bCs/>
          <w:sz w:val="24"/>
          <w:szCs w:val="24"/>
        </w:rPr>
        <w:t>以上（含</w:t>
      </w:r>
      <w:r>
        <w:rPr>
          <w:rFonts w:hAnsi="宋体"/>
          <w:bCs/>
          <w:sz w:val="24"/>
          <w:szCs w:val="24"/>
        </w:rPr>
        <w:t>10%</w:t>
      </w:r>
      <w:r>
        <w:rPr>
          <w:rFonts w:hAnsi="宋体"/>
          <w:bCs/>
          <w:sz w:val="24"/>
          <w:szCs w:val="24"/>
        </w:rPr>
        <w:t>）的基金份额持有人有权自行召集，并至少提前</w:t>
      </w:r>
      <w:r>
        <w:rPr>
          <w:rFonts w:hAnsi="宋体"/>
          <w:bCs/>
          <w:sz w:val="24"/>
          <w:szCs w:val="24"/>
        </w:rPr>
        <w:t>30</w:t>
      </w:r>
      <w:r>
        <w:rPr>
          <w:rFonts w:hAnsi="宋体"/>
          <w:bCs/>
          <w:sz w:val="24"/>
          <w:szCs w:val="24"/>
        </w:rPr>
        <w:t>日报中国证监会备案。基金份额持有人依法自行召集基金份额持有人大会的，基金管理人、基金托管人应当配合，不得阻碍、干扰。</w:t>
      </w:r>
    </w:p>
    <w:p w14:paraId="2DE437E6"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6</w:t>
      </w:r>
      <w:r>
        <w:rPr>
          <w:rFonts w:hAnsi="宋体"/>
          <w:bCs/>
          <w:sz w:val="24"/>
          <w:szCs w:val="24"/>
        </w:rPr>
        <w:t>、基金份额持有人会议的召集人负责选择确定开会时间、地点、方式和权益登记日。</w:t>
      </w:r>
    </w:p>
    <w:p w14:paraId="27412D27"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三</w:t>
      </w:r>
      <w:r>
        <w:rPr>
          <w:rFonts w:hAnsi="宋体" w:hint="eastAsia"/>
          <w:bCs/>
          <w:sz w:val="24"/>
          <w:szCs w:val="24"/>
        </w:rPr>
        <w:t>）</w:t>
      </w:r>
      <w:r>
        <w:rPr>
          <w:rFonts w:hAnsi="宋体"/>
          <w:bCs/>
          <w:sz w:val="24"/>
          <w:szCs w:val="24"/>
        </w:rPr>
        <w:t>召开基金份额持有人大会的通知时间、通知内容、通知方式</w:t>
      </w:r>
    </w:p>
    <w:p w14:paraId="0A6DE64C"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、召开基金份额持有人大会，召集人应于会议召开前</w:t>
      </w:r>
      <w:r>
        <w:rPr>
          <w:rFonts w:hAnsi="宋体"/>
          <w:bCs/>
          <w:sz w:val="24"/>
          <w:szCs w:val="24"/>
        </w:rPr>
        <w:t>40</w:t>
      </w:r>
      <w:r>
        <w:rPr>
          <w:rFonts w:hAnsi="宋体"/>
          <w:bCs/>
          <w:sz w:val="24"/>
          <w:szCs w:val="24"/>
        </w:rPr>
        <w:t>天，在指定媒介公告。基金份额持有人大会通知应至少载明以下内容：</w:t>
      </w:r>
    </w:p>
    <w:p w14:paraId="35289CC5"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bCs/>
          <w:sz w:val="24"/>
          <w:szCs w:val="24"/>
        </w:rPr>
        <w:t>）会议召开的时间、地点、方式和会议形式；</w:t>
      </w:r>
    </w:p>
    <w:p w14:paraId="7212FD0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w:t>
      </w:r>
      <w:r>
        <w:rPr>
          <w:rFonts w:hAnsi="宋体"/>
          <w:bCs/>
          <w:sz w:val="24"/>
          <w:szCs w:val="24"/>
        </w:rPr>
        <w:t>）会议拟审议的事项、议事程序和表决形式；</w:t>
      </w:r>
    </w:p>
    <w:p w14:paraId="5D817F4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3</w:t>
      </w:r>
      <w:r>
        <w:rPr>
          <w:rFonts w:hAnsi="宋体"/>
          <w:bCs/>
          <w:sz w:val="24"/>
          <w:szCs w:val="24"/>
        </w:rPr>
        <w:t>）有权出席基金份额持有人大会的基金份额持有人的权益登记日；</w:t>
      </w:r>
    </w:p>
    <w:p w14:paraId="4BFCDEAC"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4</w:t>
      </w:r>
      <w:r>
        <w:rPr>
          <w:rFonts w:hAnsi="宋体"/>
          <w:bCs/>
          <w:sz w:val="24"/>
          <w:szCs w:val="24"/>
        </w:rPr>
        <w:t>）授权委托书的内容要求（包括但不限于代理人身份，代理权限和代理有效期限等）、送达时间和地点；</w:t>
      </w:r>
    </w:p>
    <w:p w14:paraId="3EF74D7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5</w:t>
      </w:r>
      <w:r>
        <w:rPr>
          <w:rFonts w:hAnsi="宋体"/>
          <w:bCs/>
          <w:sz w:val="24"/>
          <w:szCs w:val="24"/>
        </w:rPr>
        <w:t>）会务常设联系人姓名及联系电话。</w:t>
      </w:r>
    </w:p>
    <w:p w14:paraId="3062C38A"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2</w:t>
      </w:r>
      <w:r>
        <w:rPr>
          <w:rFonts w:hAnsi="宋体"/>
          <w:bCs/>
          <w:sz w:val="24"/>
          <w:szCs w:val="24"/>
        </w:rPr>
        <w:t>、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14:paraId="57F456A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、如召集人为基金管理人，还应另行书面通知基金托管人到指定地点对书面表决意见的计票进行监督；如召集人为基金托管人，则应另行书面通知基金管</w:t>
      </w:r>
      <w:r>
        <w:rPr>
          <w:rFonts w:hAnsi="宋体"/>
          <w:bCs/>
          <w:sz w:val="24"/>
          <w:szCs w:val="24"/>
        </w:rPr>
        <w:lastRenderedPageBreak/>
        <w:t>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结果。</w:t>
      </w:r>
    </w:p>
    <w:p w14:paraId="53AD367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四</w:t>
      </w:r>
      <w:r>
        <w:rPr>
          <w:rFonts w:hAnsi="宋体" w:hint="eastAsia"/>
          <w:bCs/>
          <w:sz w:val="24"/>
          <w:szCs w:val="24"/>
        </w:rPr>
        <w:t>）</w:t>
      </w:r>
      <w:r>
        <w:rPr>
          <w:rFonts w:hAnsi="宋体"/>
          <w:bCs/>
          <w:sz w:val="24"/>
          <w:szCs w:val="24"/>
        </w:rPr>
        <w:t>基金份额持有人出席会议的方式</w:t>
      </w:r>
    </w:p>
    <w:p w14:paraId="3710098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基金份额持有人大会可通过现场开会方式或通讯开会方式召开。</w:t>
      </w:r>
    </w:p>
    <w:p w14:paraId="7D49D7F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会议的召开方式由会议召集人确定，但更换基金管理人和基金托管人必须以现场开会方式召开。</w:t>
      </w:r>
    </w:p>
    <w:p w14:paraId="14EEA50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223DBAE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bCs/>
          <w:sz w:val="24"/>
          <w:szCs w:val="24"/>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35384D6B"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w:t>
      </w:r>
      <w:r>
        <w:rPr>
          <w:rFonts w:hAnsi="宋体"/>
          <w:bCs/>
          <w:sz w:val="24"/>
          <w:szCs w:val="24"/>
        </w:rPr>
        <w:t>）经核对，汇总到会者出示的在权利登记日持有基金份额的凭证显示，有效的基金份额不少于本基金在权益登记日基金总份额的</w:t>
      </w:r>
      <w:r>
        <w:rPr>
          <w:rFonts w:hAnsi="宋体"/>
          <w:bCs/>
          <w:sz w:val="24"/>
          <w:szCs w:val="24"/>
        </w:rPr>
        <w:t>50%</w:t>
      </w:r>
      <w:r>
        <w:rPr>
          <w:rFonts w:hAnsi="宋体"/>
          <w:bCs/>
          <w:sz w:val="24"/>
          <w:szCs w:val="24"/>
        </w:rPr>
        <w:t>（含</w:t>
      </w:r>
      <w:r>
        <w:rPr>
          <w:rFonts w:hAnsi="宋体"/>
          <w:bCs/>
          <w:sz w:val="24"/>
          <w:szCs w:val="24"/>
        </w:rPr>
        <w:t>50%</w:t>
      </w:r>
      <w:r>
        <w:rPr>
          <w:rFonts w:hAnsi="宋体"/>
          <w:bCs/>
          <w:sz w:val="24"/>
          <w:szCs w:val="24"/>
        </w:rPr>
        <w:t>）。</w:t>
      </w:r>
    </w:p>
    <w:p w14:paraId="4BFED45E"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2</w:t>
      </w:r>
      <w:r>
        <w:rPr>
          <w:rFonts w:hAnsi="宋体"/>
          <w:bCs/>
          <w:sz w:val="24"/>
          <w:szCs w:val="24"/>
        </w:rPr>
        <w:t>、通讯开会。通讯开会系指基金份额持有人将其对表决事项的投票以书面形式在表决截至日以前送达至召集人指定的地址。通讯开会应以书面方式进行表决。</w:t>
      </w:r>
    </w:p>
    <w:p w14:paraId="0A25F37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在同时符合以下条件时，通讯开会的方式视为有效：</w:t>
      </w:r>
    </w:p>
    <w:p w14:paraId="6CF9E37C"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bCs/>
          <w:sz w:val="24"/>
          <w:szCs w:val="24"/>
        </w:rPr>
        <w:t>）会议召集人按《基金合同》规定公布会议通知后，在</w:t>
      </w:r>
      <w:r>
        <w:rPr>
          <w:rFonts w:hAnsi="宋体"/>
          <w:bCs/>
          <w:sz w:val="24"/>
          <w:szCs w:val="24"/>
        </w:rPr>
        <w:t>2</w:t>
      </w:r>
      <w:r>
        <w:rPr>
          <w:rFonts w:hAnsi="宋体"/>
          <w:bCs/>
          <w:sz w:val="24"/>
          <w:szCs w:val="24"/>
        </w:rPr>
        <w:t>个工作日内连续公布相关提示性公告；</w:t>
      </w:r>
    </w:p>
    <w:p w14:paraId="4999024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w:t>
      </w:r>
      <w:r>
        <w:rPr>
          <w:rFonts w:hAnsi="宋体"/>
          <w:bCs/>
          <w:sz w:val="24"/>
          <w:szCs w:val="24"/>
        </w:rPr>
        <w:t>）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DF9764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3</w:t>
      </w:r>
      <w:r>
        <w:rPr>
          <w:rFonts w:hAnsi="宋体"/>
          <w:bCs/>
          <w:sz w:val="24"/>
          <w:szCs w:val="24"/>
        </w:rPr>
        <w:t>）本人直接出具书面意见或授权他人代表出具书面意见的，基金份额持有人所持有的基金份额不小于在权益登记日基金总份额的</w:t>
      </w:r>
      <w:r>
        <w:rPr>
          <w:rFonts w:hAnsi="宋体"/>
          <w:bCs/>
          <w:sz w:val="24"/>
          <w:szCs w:val="24"/>
        </w:rPr>
        <w:t>50%</w:t>
      </w:r>
      <w:r>
        <w:rPr>
          <w:rFonts w:hAnsi="宋体"/>
          <w:bCs/>
          <w:sz w:val="24"/>
          <w:szCs w:val="24"/>
        </w:rPr>
        <w:t>（含</w:t>
      </w:r>
      <w:r>
        <w:rPr>
          <w:rFonts w:hAnsi="宋体"/>
          <w:bCs/>
          <w:sz w:val="24"/>
          <w:szCs w:val="24"/>
        </w:rPr>
        <w:t>50%</w:t>
      </w:r>
      <w:r>
        <w:rPr>
          <w:rFonts w:hAnsi="宋体"/>
          <w:bCs/>
          <w:sz w:val="24"/>
          <w:szCs w:val="24"/>
        </w:rPr>
        <w:t>）；</w:t>
      </w:r>
    </w:p>
    <w:p w14:paraId="363B276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4</w:t>
      </w:r>
      <w:r>
        <w:rPr>
          <w:rFonts w:hAnsi="宋体"/>
          <w:bCs/>
          <w:sz w:val="24"/>
          <w:szCs w:val="24"/>
        </w:rPr>
        <w:t>）上述第（</w:t>
      </w:r>
      <w:r>
        <w:rPr>
          <w:rFonts w:hAnsi="宋体"/>
          <w:bCs/>
          <w:sz w:val="24"/>
          <w:szCs w:val="24"/>
        </w:rPr>
        <w:t>3</w:t>
      </w:r>
      <w:r>
        <w:rPr>
          <w:rFonts w:hAnsi="宋体"/>
          <w:bCs/>
          <w:sz w:val="24"/>
          <w:szCs w:val="24"/>
        </w:rPr>
        <w:t>）项中直接出具书面意见的基金份额持有人或受托代表他人</w:t>
      </w:r>
      <w:r>
        <w:rPr>
          <w:rFonts w:hAnsi="宋体"/>
          <w:bCs/>
          <w:sz w:val="24"/>
          <w:szCs w:val="24"/>
        </w:rPr>
        <w:lastRenderedPageBreak/>
        <w:t>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14:paraId="1663A1AB"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5</w:t>
      </w:r>
      <w:r>
        <w:rPr>
          <w:rFonts w:hAnsi="宋体"/>
          <w:bCs/>
          <w:sz w:val="24"/>
          <w:szCs w:val="24"/>
        </w:rPr>
        <w:t>）会议通知公布前报中国证监会备案。</w:t>
      </w:r>
    </w:p>
    <w:p w14:paraId="073DCB4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五</w:t>
      </w:r>
      <w:r>
        <w:rPr>
          <w:rFonts w:hAnsi="宋体" w:hint="eastAsia"/>
          <w:bCs/>
          <w:sz w:val="24"/>
          <w:szCs w:val="24"/>
        </w:rPr>
        <w:t>）</w:t>
      </w:r>
      <w:r>
        <w:rPr>
          <w:rFonts w:hAnsi="宋体"/>
          <w:bCs/>
          <w:sz w:val="24"/>
          <w:szCs w:val="24"/>
        </w:rPr>
        <w:t>议事内容与程序</w:t>
      </w:r>
    </w:p>
    <w:p w14:paraId="68AC386F"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、议事内容及提案权</w:t>
      </w:r>
    </w:p>
    <w:p w14:paraId="31FDEBC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54A9830"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基金管理人、基金托管人、单独或合并持有权益登记日基金总份额</w:t>
      </w:r>
      <w:r>
        <w:rPr>
          <w:rFonts w:hAnsi="宋体"/>
          <w:bCs/>
          <w:sz w:val="24"/>
          <w:szCs w:val="24"/>
        </w:rPr>
        <w:t>10%</w:t>
      </w:r>
      <w:r>
        <w:rPr>
          <w:rFonts w:hAnsi="宋体"/>
          <w:bCs/>
          <w:sz w:val="24"/>
          <w:szCs w:val="24"/>
        </w:rPr>
        <w:t>（含</w:t>
      </w:r>
      <w:r>
        <w:rPr>
          <w:rFonts w:hAnsi="宋体"/>
          <w:bCs/>
          <w:sz w:val="24"/>
          <w:szCs w:val="24"/>
        </w:rPr>
        <w:t>10%</w:t>
      </w:r>
      <w:r>
        <w:rPr>
          <w:rFonts w:hAnsi="宋体"/>
          <w:bCs/>
          <w:sz w:val="24"/>
          <w:szCs w:val="24"/>
        </w:rPr>
        <w:t>）以上的基金份额持有人可以在大会召集人发出会议通知前向大会召集人提交需由基金份额持有人大会审议表决的提案；也可以在会议通知发出后向大会召集人提交临时提案，临时提案应当在大会召开日至少</w:t>
      </w:r>
      <w:r>
        <w:rPr>
          <w:rFonts w:hAnsi="宋体"/>
          <w:bCs/>
          <w:sz w:val="24"/>
          <w:szCs w:val="24"/>
        </w:rPr>
        <w:t>35</w:t>
      </w:r>
      <w:r>
        <w:rPr>
          <w:rFonts w:hAnsi="宋体"/>
          <w:bCs/>
          <w:sz w:val="24"/>
          <w:szCs w:val="24"/>
        </w:rPr>
        <w:t>天前提交召集人并由召集人公告。</w:t>
      </w:r>
    </w:p>
    <w:p w14:paraId="49BD6F6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基金份额持有人大会的召集人发出召集会议的通知后，对原有提案的修改应当在基金份额持有人大会召开日</w:t>
      </w:r>
      <w:r>
        <w:rPr>
          <w:rFonts w:hAnsi="宋体"/>
          <w:bCs/>
          <w:sz w:val="24"/>
          <w:szCs w:val="24"/>
        </w:rPr>
        <w:t>30</w:t>
      </w:r>
      <w:r>
        <w:rPr>
          <w:rFonts w:hAnsi="宋体"/>
          <w:bCs/>
          <w:sz w:val="24"/>
          <w:szCs w:val="24"/>
        </w:rPr>
        <w:t>天前公告。</w:t>
      </w:r>
    </w:p>
    <w:p w14:paraId="0367E04C"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基金份额持有人大会不得对未事先公告的议事内容进行表决。</w:t>
      </w:r>
    </w:p>
    <w:p w14:paraId="43146C3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召集人对于基金管理人、基金托管人和基金份额持有人提交的临时提案进行审核，符合条件的应当在大会召开日</w:t>
      </w:r>
      <w:r>
        <w:rPr>
          <w:rFonts w:hAnsi="宋体"/>
          <w:bCs/>
          <w:sz w:val="24"/>
          <w:szCs w:val="24"/>
        </w:rPr>
        <w:t>30</w:t>
      </w:r>
      <w:r>
        <w:rPr>
          <w:rFonts w:hAnsi="宋体"/>
          <w:bCs/>
          <w:sz w:val="24"/>
          <w:szCs w:val="24"/>
        </w:rPr>
        <w:t>天前公告。大会召集人应当按照以下原则对提案进行审核：</w:t>
      </w:r>
    </w:p>
    <w:p w14:paraId="01888B6C"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bCs/>
          <w:sz w:val="24"/>
          <w:szCs w:val="24"/>
        </w:rPr>
        <w:t>）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6E595100"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w:t>
      </w:r>
      <w:r>
        <w:rPr>
          <w:rFonts w:hAnsi="宋体"/>
          <w:bCs/>
          <w:sz w:val="24"/>
          <w:szCs w:val="24"/>
        </w:rPr>
        <w:t>）程序性。大会召集人可以对提案涉及的程序性问题做出决定。如将提案进行分拆或合并表决，需征得原提案人同意；原提案人不同意变更的，大会主</w:t>
      </w:r>
      <w:r>
        <w:rPr>
          <w:rFonts w:hAnsi="宋体"/>
          <w:bCs/>
          <w:sz w:val="24"/>
          <w:szCs w:val="24"/>
        </w:rPr>
        <w:lastRenderedPageBreak/>
        <w:t>持人可以就程序性问题提请基金份额持有人大会做出决定，并按照基金份额持有人大会决定的程序进行审议。</w:t>
      </w:r>
    </w:p>
    <w:p w14:paraId="738551A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单独或合并持有权利登记日基金总份额</w:t>
      </w:r>
      <w:r>
        <w:rPr>
          <w:rFonts w:hAnsi="宋体"/>
          <w:bCs/>
          <w:sz w:val="24"/>
          <w:szCs w:val="24"/>
        </w:rPr>
        <w:t>10%</w:t>
      </w:r>
      <w:r>
        <w:rPr>
          <w:rFonts w:hAnsi="宋体"/>
          <w:bCs/>
          <w:sz w:val="24"/>
          <w:szCs w:val="24"/>
        </w:rPr>
        <w:t>（含</w:t>
      </w:r>
      <w:r>
        <w:rPr>
          <w:rFonts w:hAnsi="宋体"/>
          <w:bCs/>
          <w:sz w:val="24"/>
          <w:szCs w:val="24"/>
        </w:rPr>
        <w:t>10%</w:t>
      </w:r>
      <w:r>
        <w:rPr>
          <w:rFonts w:hAnsi="宋体"/>
          <w:bCs/>
          <w:sz w:val="24"/>
          <w:szCs w:val="24"/>
        </w:rPr>
        <w:t>）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w:t>
      </w:r>
      <w:r>
        <w:rPr>
          <w:rFonts w:hAnsi="宋体"/>
          <w:bCs/>
          <w:sz w:val="24"/>
          <w:szCs w:val="24"/>
        </w:rPr>
        <w:t>6</w:t>
      </w:r>
      <w:r>
        <w:rPr>
          <w:rFonts w:hAnsi="宋体"/>
          <w:bCs/>
          <w:sz w:val="24"/>
          <w:szCs w:val="24"/>
        </w:rPr>
        <w:t>个月。法律法规另有规定除外。</w:t>
      </w:r>
    </w:p>
    <w:p w14:paraId="5C9970C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基金份额持有人大会的召集人发出召开会议的通知后，如果需要对原有提案进行修改，应当最迟在基金份额持有人大会召开前</w:t>
      </w:r>
      <w:r>
        <w:rPr>
          <w:rFonts w:hAnsi="宋体"/>
          <w:bCs/>
          <w:sz w:val="24"/>
          <w:szCs w:val="24"/>
        </w:rPr>
        <w:t>30</w:t>
      </w:r>
      <w:r>
        <w:rPr>
          <w:rFonts w:hAnsi="宋体"/>
          <w:bCs/>
          <w:sz w:val="24"/>
          <w:szCs w:val="24"/>
        </w:rPr>
        <w:t>日公告。否则，会议的召开日期应当顺延并保证至少与公告日期有</w:t>
      </w:r>
      <w:r>
        <w:rPr>
          <w:rFonts w:hAnsi="宋体"/>
          <w:bCs/>
          <w:sz w:val="24"/>
          <w:szCs w:val="24"/>
        </w:rPr>
        <w:t>30</w:t>
      </w:r>
      <w:r>
        <w:rPr>
          <w:rFonts w:hAnsi="宋体"/>
          <w:bCs/>
          <w:sz w:val="24"/>
          <w:szCs w:val="24"/>
        </w:rPr>
        <w:t>日的间隔期。</w:t>
      </w:r>
    </w:p>
    <w:p w14:paraId="058802F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2</w:t>
      </w:r>
      <w:r>
        <w:rPr>
          <w:rFonts w:hAnsi="宋体"/>
          <w:bCs/>
          <w:sz w:val="24"/>
          <w:szCs w:val="24"/>
        </w:rPr>
        <w:t>、议事程序</w:t>
      </w:r>
    </w:p>
    <w:p w14:paraId="4DE6AFEC"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bCs/>
          <w:sz w:val="24"/>
          <w:szCs w:val="24"/>
        </w:rPr>
        <w:t>）现场开会</w:t>
      </w:r>
    </w:p>
    <w:p w14:paraId="25F7C3AF"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w:t>
      </w:r>
      <w:r>
        <w:rPr>
          <w:rFonts w:hAnsi="宋体"/>
          <w:bCs/>
          <w:sz w:val="24"/>
          <w:szCs w:val="24"/>
        </w:rPr>
        <w:t>50%</w:t>
      </w:r>
      <w:r>
        <w:rPr>
          <w:rFonts w:hAnsi="宋体"/>
          <w:bCs/>
          <w:sz w:val="24"/>
          <w:szCs w:val="24"/>
        </w:rPr>
        <w:t>以上（含</w:t>
      </w:r>
      <w:r>
        <w:rPr>
          <w:rFonts w:hAnsi="宋体"/>
          <w:bCs/>
          <w:sz w:val="24"/>
          <w:szCs w:val="24"/>
        </w:rPr>
        <w:t>50%</w:t>
      </w:r>
      <w:r>
        <w:rPr>
          <w:rFonts w:hAnsi="宋体"/>
          <w:bCs/>
          <w:sz w:val="24"/>
          <w:szCs w:val="24"/>
        </w:rPr>
        <w:t>）选举产生一名基金份额持有人作为该次基金份额持有人大会的主持人。基金管理人和基金托管人不出席或主持基金份额持有人大会，不影响基金份额持有人大会作出的决议的效力。</w:t>
      </w:r>
    </w:p>
    <w:p w14:paraId="2D1AC6F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会议召集人应当制作出席会议人员的签名册。签名册载明参加会议人员姓名（或单位名称）、身份证号码、住所地址、持有或代表有表决权的基金份额、委托人姓名（或单位名称）等事项。</w:t>
      </w:r>
    </w:p>
    <w:p w14:paraId="7750135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w:t>
      </w:r>
      <w:r>
        <w:rPr>
          <w:rFonts w:hAnsi="宋体"/>
          <w:bCs/>
          <w:sz w:val="24"/>
          <w:szCs w:val="24"/>
        </w:rPr>
        <w:t>）通讯开会</w:t>
      </w:r>
    </w:p>
    <w:p w14:paraId="560335D1"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在通讯开会的情况下，首先由召集人提前</w:t>
      </w:r>
      <w:r>
        <w:rPr>
          <w:rFonts w:hAnsi="宋体"/>
          <w:bCs/>
          <w:sz w:val="24"/>
          <w:szCs w:val="24"/>
        </w:rPr>
        <w:t>30</w:t>
      </w:r>
      <w:r>
        <w:rPr>
          <w:rFonts w:hAnsi="宋体"/>
          <w:bCs/>
          <w:sz w:val="24"/>
          <w:szCs w:val="24"/>
        </w:rPr>
        <w:t>日公布提案，在所通知的表决截止日期后</w:t>
      </w:r>
      <w:r>
        <w:rPr>
          <w:rFonts w:hAnsi="宋体"/>
          <w:bCs/>
          <w:sz w:val="24"/>
          <w:szCs w:val="24"/>
        </w:rPr>
        <w:t>2</w:t>
      </w:r>
      <w:r>
        <w:rPr>
          <w:rFonts w:hAnsi="宋体"/>
          <w:bCs/>
          <w:sz w:val="24"/>
          <w:szCs w:val="24"/>
        </w:rPr>
        <w:t>个工作日内在公证机关监督下由召集人统计全部有效表决，在公证机关监督下形成决议。</w:t>
      </w:r>
    </w:p>
    <w:p w14:paraId="54346FC3"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六</w:t>
      </w:r>
      <w:r>
        <w:rPr>
          <w:rFonts w:hAnsi="宋体" w:hint="eastAsia"/>
          <w:bCs/>
          <w:sz w:val="24"/>
          <w:szCs w:val="24"/>
        </w:rPr>
        <w:t>）</w:t>
      </w:r>
      <w:r>
        <w:rPr>
          <w:rFonts w:hAnsi="宋体"/>
          <w:bCs/>
          <w:sz w:val="24"/>
          <w:szCs w:val="24"/>
        </w:rPr>
        <w:t>表决</w:t>
      </w:r>
    </w:p>
    <w:p w14:paraId="7AB067B3"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基金份额持有人所持每份基金份额有一票表决权。</w:t>
      </w:r>
    </w:p>
    <w:p w14:paraId="5C87326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基金份额持有人大会决议分为一般决议和特别决议：</w:t>
      </w:r>
    </w:p>
    <w:p w14:paraId="49A5039D"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lastRenderedPageBreak/>
        <w:t>1</w:t>
      </w:r>
      <w:r>
        <w:rPr>
          <w:rFonts w:hAnsi="宋体"/>
          <w:bCs/>
          <w:sz w:val="24"/>
          <w:szCs w:val="24"/>
        </w:rPr>
        <w:t>、一般决议，一般决议须经参加大会的基金份额持有人或其代理人所持表决权的</w:t>
      </w:r>
      <w:r>
        <w:rPr>
          <w:rFonts w:hAnsi="宋体"/>
          <w:bCs/>
          <w:sz w:val="24"/>
          <w:szCs w:val="24"/>
        </w:rPr>
        <w:t>50%</w:t>
      </w:r>
      <w:r>
        <w:rPr>
          <w:rFonts w:hAnsi="宋体"/>
          <w:bCs/>
          <w:sz w:val="24"/>
          <w:szCs w:val="24"/>
        </w:rPr>
        <w:t>以上（含</w:t>
      </w:r>
      <w:r>
        <w:rPr>
          <w:rFonts w:hAnsi="宋体"/>
          <w:bCs/>
          <w:sz w:val="24"/>
          <w:szCs w:val="24"/>
        </w:rPr>
        <w:t>50%</w:t>
      </w:r>
      <w:r>
        <w:rPr>
          <w:rFonts w:hAnsi="宋体"/>
          <w:bCs/>
          <w:sz w:val="24"/>
          <w:szCs w:val="24"/>
        </w:rPr>
        <w:t>）通过方为有效；除下列第</w:t>
      </w:r>
      <w:r>
        <w:rPr>
          <w:rFonts w:hAnsi="宋体"/>
          <w:bCs/>
          <w:sz w:val="24"/>
          <w:szCs w:val="24"/>
        </w:rPr>
        <w:t>2</w:t>
      </w:r>
      <w:r>
        <w:rPr>
          <w:rFonts w:hAnsi="宋体"/>
          <w:bCs/>
          <w:sz w:val="24"/>
          <w:szCs w:val="24"/>
        </w:rPr>
        <w:t>项所规定的须以特别决议通过事项以外的其他事项均以一般决议的方式通过。</w:t>
      </w:r>
    </w:p>
    <w:p w14:paraId="5A887D5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2</w:t>
      </w:r>
      <w:r>
        <w:rPr>
          <w:rFonts w:hAnsi="宋体"/>
          <w:bCs/>
          <w:sz w:val="24"/>
          <w:szCs w:val="24"/>
        </w:rPr>
        <w:t>、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14:paraId="413D749B"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基金份额持有人大会采取记名方式进行投票表决。</w:t>
      </w:r>
    </w:p>
    <w:p w14:paraId="6DAF3DC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14:paraId="76E171C6"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基金份额持有人大会的各项提案或同一项提案内并列的各项议题应当分开审议、逐项表决。</w:t>
      </w:r>
    </w:p>
    <w:p w14:paraId="41D6B696"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七</w:t>
      </w:r>
      <w:r>
        <w:rPr>
          <w:rFonts w:hAnsi="宋体" w:hint="eastAsia"/>
          <w:bCs/>
          <w:sz w:val="24"/>
          <w:szCs w:val="24"/>
        </w:rPr>
        <w:t>）</w:t>
      </w:r>
      <w:r>
        <w:rPr>
          <w:rFonts w:hAnsi="宋体"/>
          <w:bCs/>
          <w:sz w:val="24"/>
          <w:szCs w:val="24"/>
        </w:rPr>
        <w:t>计票</w:t>
      </w:r>
    </w:p>
    <w:p w14:paraId="6527637E"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、现场开会</w:t>
      </w:r>
    </w:p>
    <w:p w14:paraId="3320D229"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bCs/>
          <w:sz w:val="24"/>
          <w:szCs w:val="24"/>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D2B2C44"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2</w:t>
      </w:r>
      <w:r>
        <w:rPr>
          <w:rFonts w:hAnsi="宋体"/>
          <w:bCs/>
          <w:sz w:val="24"/>
          <w:szCs w:val="24"/>
        </w:rPr>
        <w:t>）监票人应当在基金份额持有人表决后立即进行清点并由大会主持人当场公布计票结果。</w:t>
      </w:r>
    </w:p>
    <w:p w14:paraId="4C4DD71D"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3</w:t>
      </w:r>
      <w:r>
        <w:rPr>
          <w:rFonts w:hAnsi="宋体"/>
          <w:bCs/>
          <w:sz w:val="24"/>
          <w:szCs w:val="24"/>
        </w:rPr>
        <w:t>）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14:paraId="6142460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4</w:t>
      </w:r>
      <w:r>
        <w:rPr>
          <w:rFonts w:hAnsi="宋体"/>
          <w:bCs/>
          <w:sz w:val="24"/>
          <w:szCs w:val="24"/>
        </w:rPr>
        <w:t>）计票过程应由公证机关予以公证</w:t>
      </w:r>
      <w:r>
        <w:rPr>
          <w:rFonts w:hAnsi="宋体"/>
          <w:bCs/>
          <w:sz w:val="24"/>
          <w:szCs w:val="24"/>
        </w:rPr>
        <w:t>,</w:t>
      </w:r>
      <w:r>
        <w:rPr>
          <w:rFonts w:hAnsi="宋体"/>
          <w:bCs/>
          <w:sz w:val="24"/>
          <w:szCs w:val="24"/>
        </w:rPr>
        <w:t>基金管理人或基金托管人拒不出席大会的，不影响计票的效力。</w:t>
      </w:r>
    </w:p>
    <w:p w14:paraId="46857A3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2</w:t>
      </w:r>
      <w:r>
        <w:rPr>
          <w:rFonts w:hAnsi="宋体"/>
          <w:bCs/>
          <w:sz w:val="24"/>
          <w:szCs w:val="24"/>
        </w:rPr>
        <w:t>、通讯开会</w:t>
      </w:r>
    </w:p>
    <w:p w14:paraId="09AEA3F8"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0BD50A9C"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八</w:t>
      </w:r>
      <w:r>
        <w:rPr>
          <w:rFonts w:hAnsi="宋体" w:hint="eastAsia"/>
          <w:bCs/>
          <w:sz w:val="24"/>
          <w:szCs w:val="24"/>
        </w:rPr>
        <w:t>）</w:t>
      </w:r>
      <w:r>
        <w:rPr>
          <w:rFonts w:hAnsi="宋体"/>
          <w:bCs/>
          <w:sz w:val="24"/>
          <w:szCs w:val="24"/>
        </w:rPr>
        <w:t>生效与公告</w:t>
      </w:r>
    </w:p>
    <w:p w14:paraId="0704A7EA"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基金份额持有人大会的决议，召集人应当自通过之日起</w:t>
      </w:r>
      <w:r>
        <w:rPr>
          <w:rFonts w:hAnsi="宋体"/>
          <w:bCs/>
          <w:sz w:val="24"/>
          <w:szCs w:val="24"/>
        </w:rPr>
        <w:t>5</w:t>
      </w:r>
      <w:r>
        <w:rPr>
          <w:rFonts w:hAnsi="宋体"/>
          <w:bCs/>
          <w:sz w:val="24"/>
          <w:szCs w:val="24"/>
        </w:rPr>
        <w:t>日内报中国证监会核准或者备案。</w:t>
      </w:r>
    </w:p>
    <w:p w14:paraId="58AA7A0C"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基金份额持有人大会决定的事项自中国证监会依法核准或者出具无异议意见之日起生效。</w:t>
      </w:r>
    </w:p>
    <w:p w14:paraId="1F19077C"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基金份额持有人大会决议自生效之日起</w:t>
      </w:r>
      <w:r>
        <w:rPr>
          <w:rFonts w:hAnsi="宋体"/>
          <w:bCs/>
          <w:sz w:val="24"/>
          <w:szCs w:val="24"/>
        </w:rPr>
        <w:t>2</w:t>
      </w:r>
      <w:r>
        <w:rPr>
          <w:rFonts w:hAnsi="宋体"/>
          <w:bCs/>
          <w:sz w:val="24"/>
          <w:szCs w:val="24"/>
        </w:rPr>
        <w:t>日内在指定媒介公告。如果采用通讯方式进行表决，在公告基金份额持有人大会决议时，必须将公证书全文、公证机构、公证员姓名等一同公告。</w:t>
      </w:r>
    </w:p>
    <w:p w14:paraId="1E40F3D2"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基金管理人、基金托管人和基金份额持有人应当执行生效的基金份额持有人大会的决议。</w:t>
      </w:r>
    </w:p>
    <w:p w14:paraId="3CD6759D" w14:textId="77777777" w:rsidR="0037652E" w:rsidRDefault="00BF49B0">
      <w:pPr>
        <w:tabs>
          <w:tab w:val="left" w:pos="961"/>
        </w:tabs>
        <w:snapToGrid w:val="0"/>
        <w:spacing w:line="360" w:lineRule="auto"/>
        <w:ind w:firstLineChars="200" w:firstLine="480"/>
        <w:rPr>
          <w:bCs/>
          <w:sz w:val="24"/>
        </w:rPr>
      </w:pPr>
      <w:r>
        <w:rPr>
          <w:rFonts w:hAnsi="宋体"/>
          <w:bCs/>
          <w:sz w:val="24"/>
          <w:szCs w:val="24"/>
        </w:rPr>
        <w:t>基金份额持有人大会决议对全体基金份额持有人、基金管理人、基金托管人均有约束力。</w:t>
      </w:r>
    </w:p>
    <w:p w14:paraId="0A6AD5F7" w14:textId="77777777" w:rsidR="0037652E" w:rsidRDefault="00BF49B0">
      <w:pPr>
        <w:spacing w:line="360" w:lineRule="auto"/>
        <w:ind w:firstLineChars="200" w:firstLine="480"/>
        <w:rPr>
          <w:sz w:val="24"/>
        </w:rPr>
      </w:pPr>
      <w:r>
        <w:rPr>
          <w:rFonts w:hint="eastAsia"/>
          <w:bCs/>
          <w:sz w:val="24"/>
        </w:rPr>
        <w:t>（九）</w:t>
      </w:r>
      <w:r>
        <w:rPr>
          <w:rFonts w:hint="eastAsia"/>
          <w:sz w:val="24"/>
        </w:rPr>
        <w:t>实施侧袋机制期间基金份额持有人大会的特殊约定</w:t>
      </w:r>
    </w:p>
    <w:p w14:paraId="3F9F149C" w14:textId="77777777" w:rsidR="0037652E" w:rsidRDefault="00BF49B0">
      <w:pPr>
        <w:spacing w:line="360" w:lineRule="auto"/>
        <w:ind w:firstLineChars="200" w:firstLine="480"/>
        <w:rPr>
          <w:sz w:val="24"/>
        </w:rPr>
      </w:pPr>
      <w:r>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4E68122" w14:textId="77777777" w:rsidR="0037652E" w:rsidRDefault="00BF49B0">
      <w:pPr>
        <w:spacing w:line="360" w:lineRule="auto"/>
        <w:ind w:firstLineChars="200" w:firstLine="480"/>
        <w:rPr>
          <w:sz w:val="24"/>
        </w:rPr>
      </w:pPr>
      <w:r>
        <w:rPr>
          <w:sz w:val="24"/>
        </w:rPr>
        <w:t>1</w:t>
      </w:r>
      <w:r>
        <w:rPr>
          <w:rFonts w:hint="eastAsia"/>
          <w:sz w:val="24"/>
        </w:rPr>
        <w:t>、基金份额持有人行使提议权、召集权、提名权所需单独或合计代表相关基金份额</w:t>
      </w:r>
      <w:r>
        <w:rPr>
          <w:sz w:val="24"/>
        </w:rPr>
        <w:t>10%</w:t>
      </w:r>
      <w:r>
        <w:rPr>
          <w:rFonts w:hint="eastAsia"/>
          <w:sz w:val="24"/>
        </w:rPr>
        <w:t>以上（含</w:t>
      </w:r>
      <w:r>
        <w:rPr>
          <w:sz w:val="24"/>
        </w:rPr>
        <w:t>10%</w:t>
      </w:r>
      <w:r>
        <w:rPr>
          <w:rFonts w:hint="eastAsia"/>
          <w:sz w:val="24"/>
        </w:rPr>
        <w:t>）；</w:t>
      </w:r>
    </w:p>
    <w:p w14:paraId="29F4D4BD" w14:textId="77777777" w:rsidR="0037652E" w:rsidRDefault="00BF49B0">
      <w:pPr>
        <w:spacing w:line="360" w:lineRule="auto"/>
        <w:ind w:firstLineChars="200" w:firstLine="480"/>
        <w:rPr>
          <w:sz w:val="24"/>
        </w:rPr>
      </w:pPr>
      <w:r>
        <w:rPr>
          <w:sz w:val="24"/>
        </w:rPr>
        <w:t>2</w:t>
      </w:r>
      <w:r>
        <w:rPr>
          <w:rFonts w:hint="eastAsia"/>
          <w:sz w:val="24"/>
        </w:rPr>
        <w:t>、现场开会的到会者在权益登记日代表的基金份额不少于本基金在权益登记日相关基金份额的二分之一（含二分之一）；</w:t>
      </w:r>
    </w:p>
    <w:p w14:paraId="309212E7" w14:textId="77777777" w:rsidR="0037652E" w:rsidRDefault="00BF49B0">
      <w:pPr>
        <w:spacing w:line="360" w:lineRule="auto"/>
        <w:ind w:firstLineChars="200" w:firstLine="480"/>
        <w:rPr>
          <w:sz w:val="24"/>
        </w:rPr>
      </w:pPr>
      <w:r>
        <w:rPr>
          <w:sz w:val="24"/>
        </w:rPr>
        <w:t>3</w:t>
      </w:r>
      <w:r>
        <w:rPr>
          <w:rFonts w:hint="eastAsia"/>
          <w:sz w:val="24"/>
        </w:rPr>
        <w:t>、通讯开会的直接出具书面意见或授权他人代表出具书面意见的基金份额持有人所持有的基金份额不小于在权益登记日相关基金份额的二分之一（含二分之一）；</w:t>
      </w:r>
    </w:p>
    <w:p w14:paraId="6EEC0341" w14:textId="77777777" w:rsidR="0037652E" w:rsidRDefault="00BF49B0">
      <w:pPr>
        <w:spacing w:line="360" w:lineRule="auto"/>
        <w:ind w:firstLineChars="200" w:firstLine="480"/>
        <w:rPr>
          <w:sz w:val="24"/>
        </w:rPr>
      </w:pPr>
      <w:r>
        <w:rPr>
          <w:sz w:val="24"/>
        </w:rPr>
        <w:t>4</w:t>
      </w:r>
      <w:r>
        <w:rPr>
          <w:rFonts w:hint="eastAsia"/>
          <w:sz w:val="24"/>
        </w:rPr>
        <w:t>、在参与基金份额持有人大会投票的基金份额持有人所持有的基金份额小于在权益登记日相关基金份额的二分之一、召集人在原公告的基金份额持有人大</w:t>
      </w:r>
      <w:r>
        <w:rPr>
          <w:rFonts w:hint="eastAsia"/>
          <w:sz w:val="24"/>
        </w:rPr>
        <w:lastRenderedPageBreak/>
        <w:t>会召开时间的</w:t>
      </w:r>
      <w:r>
        <w:rPr>
          <w:sz w:val="24"/>
        </w:rPr>
        <w:t>3</w:t>
      </w:r>
      <w:r>
        <w:rPr>
          <w:rFonts w:hint="eastAsia"/>
          <w:sz w:val="24"/>
        </w:rPr>
        <w:t>个月以后、</w:t>
      </w:r>
      <w:r>
        <w:rPr>
          <w:sz w:val="24"/>
        </w:rPr>
        <w:t>6</w:t>
      </w:r>
      <w:r>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6F45BE8F" w14:textId="77777777" w:rsidR="0037652E" w:rsidRDefault="00BF49B0">
      <w:pPr>
        <w:spacing w:line="360" w:lineRule="auto"/>
        <w:ind w:firstLineChars="200" w:firstLine="480"/>
        <w:rPr>
          <w:sz w:val="24"/>
        </w:rPr>
      </w:pPr>
      <w:r>
        <w:rPr>
          <w:sz w:val="24"/>
        </w:rPr>
        <w:t>5</w:t>
      </w:r>
      <w:r>
        <w:rPr>
          <w:rFonts w:hint="eastAsia"/>
          <w:sz w:val="24"/>
        </w:rPr>
        <w:t>、现场开会由出席大会的基金份额持有人和代理人所持表决权的</w:t>
      </w:r>
      <w:r>
        <w:rPr>
          <w:sz w:val="24"/>
        </w:rPr>
        <w:t>50%</w:t>
      </w:r>
      <w:r>
        <w:rPr>
          <w:rFonts w:hint="eastAsia"/>
          <w:sz w:val="24"/>
        </w:rPr>
        <w:t>以上（含</w:t>
      </w:r>
      <w:r>
        <w:rPr>
          <w:sz w:val="24"/>
        </w:rPr>
        <w:t>50%</w:t>
      </w:r>
      <w:r>
        <w:rPr>
          <w:rFonts w:hint="eastAsia"/>
          <w:sz w:val="24"/>
        </w:rPr>
        <w:t>）选举产生一名基金份额持有人作为该次基金份额持有人大会的主持人；</w:t>
      </w:r>
    </w:p>
    <w:p w14:paraId="61AC6E28" w14:textId="77777777" w:rsidR="0037652E" w:rsidRDefault="00BF49B0">
      <w:pPr>
        <w:spacing w:line="360" w:lineRule="auto"/>
        <w:ind w:firstLineChars="200" w:firstLine="480"/>
        <w:rPr>
          <w:sz w:val="24"/>
        </w:rPr>
      </w:pPr>
      <w:r>
        <w:rPr>
          <w:sz w:val="24"/>
        </w:rPr>
        <w:t>6</w:t>
      </w:r>
      <w:r>
        <w:rPr>
          <w:rFonts w:hint="eastAsia"/>
          <w:sz w:val="24"/>
        </w:rPr>
        <w:t>、一般决议须经参加大会的基金份额持有人或其代理人所持表决权的二分之一以上（含二分之一）通过；</w:t>
      </w:r>
    </w:p>
    <w:p w14:paraId="2F0AD843" w14:textId="77777777" w:rsidR="0037652E" w:rsidRDefault="00BF49B0">
      <w:pPr>
        <w:spacing w:line="360" w:lineRule="auto"/>
        <w:ind w:firstLineChars="200" w:firstLine="480"/>
        <w:rPr>
          <w:sz w:val="24"/>
        </w:rPr>
      </w:pPr>
      <w:r>
        <w:rPr>
          <w:sz w:val="24"/>
        </w:rPr>
        <w:t>7</w:t>
      </w:r>
      <w:r>
        <w:rPr>
          <w:rFonts w:hint="eastAsia"/>
          <w:sz w:val="24"/>
        </w:rPr>
        <w:t>、特别决议应当经参加大会的基金份额持有人或其代理人所持表决权的三分之二以上（含三分之二）通过。</w:t>
      </w:r>
    </w:p>
    <w:p w14:paraId="4E17531D" w14:textId="77777777" w:rsidR="0037652E" w:rsidRDefault="00BF49B0">
      <w:pPr>
        <w:tabs>
          <w:tab w:val="left" w:pos="961"/>
        </w:tabs>
        <w:snapToGrid w:val="0"/>
        <w:spacing w:line="360" w:lineRule="auto"/>
        <w:ind w:firstLineChars="200" w:firstLine="480"/>
        <w:rPr>
          <w:sz w:val="24"/>
        </w:rPr>
      </w:pPr>
      <w:r>
        <w:rPr>
          <w:rFonts w:hint="eastAsia"/>
          <w:sz w:val="24"/>
        </w:rPr>
        <w:t>同一主侧袋账户内的每份基金份额具有平等的表决权。</w:t>
      </w:r>
    </w:p>
    <w:p w14:paraId="6FDC5207" w14:textId="77777777" w:rsidR="0037652E" w:rsidRDefault="00BF49B0">
      <w:pPr>
        <w:tabs>
          <w:tab w:val="left" w:pos="961"/>
        </w:tabs>
        <w:snapToGrid w:val="0"/>
        <w:spacing w:line="360" w:lineRule="auto"/>
        <w:ind w:firstLineChars="200" w:firstLine="482"/>
        <w:rPr>
          <w:rFonts w:hAnsi="宋体"/>
          <w:b/>
          <w:bCs/>
          <w:sz w:val="24"/>
          <w:szCs w:val="24"/>
        </w:rPr>
      </w:pPr>
      <w:r>
        <w:rPr>
          <w:rFonts w:hAnsi="宋体" w:hint="eastAsia"/>
          <w:b/>
          <w:bCs/>
          <w:sz w:val="24"/>
          <w:szCs w:val="24"/>
        </w:rPr>
        <w:t>三、基金合同的变更、终止与基金财产的清算</w:t>
      </w:r>
    </w:p>
    <w:p w14:paraId="7243D638" w14:textId="77777777" w:rsidR="0037652E" w:rsidRDefault="00BF49B0">
      <w:pPr>
        <w:tabs>
          <w:tab w:val="left" w:pos="961"/>
        </w:tabs>
        <w:snapToGrid w:val="0"/>
        <w:spacing w:line="360" w:lineRule="auto"/>
        <w:ind w:firstLineChars="200" w:firstLine="480"/>
        <w:rPr>
          <w:rFonts w:hAnsi="宋体"/>
          <w:bCs/>
          <w:sz w:val="24"/>
          <w:szCs w:val="24"/>
        </w:rPr>
      </w:pPr>
      <w:r>
        <w:rPr>
          <w:rFonts w:hAnsi="宋体" w:hint="eastAsia"/>
          <w:bCs/>
          <w:sz w:val="24"/>
          <w:szCs w:val="24"/>
        </w:rPr>
        <w:t>（</w:t>
      </w:r>
      <w:r>
        <w:rPr>
          <w:rFonts w:hAnsi="宋体"/>
          <w:bCs/>
          <w:sz w:val="24"/>
          <w:szCs w:val="24"/>
        </w:rPr>
        <w:t>一</w:t>
      </w:r>
      <w:r>
        <w:rPr>
          <w:rFonts w:hAnsi="宋体" w:hint="eastAsia"/>
          <w:bCs/>
          <w:sz w:val="24"/>
          <w:szCs w:val="24"/>
        </w:rPr>
        <w:t>）</w:t>
      </w:r>
      <w:r>
        <w:rPr>
          <w:rFonts w:hAnsi="宋体"/>
          <w:bCs/>
          <w:sz w:val="24"/>
          <w:szCs w:val="24"/>
        </w:rPr>
        <w:t>《基金合同》的变更</w:t>
      </w:r>
    </w:p>
    <w:p w14:paraId="2F7E0FF7"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、以下变更《基金合同》的事项应经基金份额持有人大会决议通过：</w:t>
      </w:r>
    </w:p>
    <w:p w14:paraId="123746AF" w14:textId="77777777" w:rsidR="0037652E" w:rsidRDefault="00BF49B0">
      <w:pPr>
        <w:tabs>
          <w:tab w:val="left" w:pos="961"/>
        </w:tabs>
        <w:snapToGrid w:val="0"/>
        <w:spacing w:line="360" w:lineRule="auto"/>
        <w:ind w:firstLineChars="200" w:firstLine="480"/>
        <w:rPr>
          <w:rFonts w:hAnsi="宋体"/>
          <w:bCs/>
          <w:sz w:val="24"/>
          <w:szCs w:val="24"/>
        </w:rPr>
      </w:pPr>
      <w:r>
        <w:rPr>
          <w:rFonts w:hAnsi="宋体"/>
          <w:bCs/>
          <w:sz w:val="24"/>
          <w:szCs w:val="24"/>
        </w:rPr>
        <w:t>（</w:t>
      </w:r>
      <w:r>
        <w:rPr>
          <w:rFonts w:hAnsi="宋体"/>
          <w:bCs/>
          <w:sz w:val="24"/>
          <w:szCs w:val="24"/>
        </w:rPr>
        <w:t>1</w:t>
      </w:r>
      <w:r>
        <w:rPr>
          <w:rFonts w:hAnsi="宋体"/>
          <w:bCs/>
          <w:sz w:val="24"/>
          <w:szCs w:val="24"/>
        </w:rPr>
        <w:t>）终止《基金合同》；</w:t>
      </w:r>
    </w:p>
    <w:p w14:paraId="6D9F53C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）更换基金管理人；</w:t>
      </w:r>
      <w:r>
        <w:rPr>
          <w:bCs/>
          <w:sz w:val="24"/>
          <w:szCs w:val="24"/>
        </w:rPr>
        <w:t xml:space="preserve"> </w:t>
      </w:r>
    </w:p>
    <w:p w14:paraId="145DFFF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）更换基金托管人；</w:t>
      </w:r>
    </w:p>
    <w:p w14:paraId="753083C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）转换基金运作方式；</w:t>
      </w:r>
    </w:p>
    <w:p w14:paraId="613BA70E" w14:textId="15B62EDC"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）提高基金管理人、基金托管人的报酬标准</w:t>
      </w:r>
      <w:r w:rsidR="0071386C" w:rsidRPr="0071386C">
        <w:rPr>
          <w:rFonts w:hint="eastAsia"/>
          <w:bCs/>
          <w:sz w:val="24"/>
          <w:szCs w:val="24"/>
        </w:rPr>
        <w:t>或提高销售服务费率</w:t>
      </w:r>
      <w:r>
        <w:rPr>
          <w:bCs/>
          <w:sz w:val="24"/>
          <w:szCs w:val="24"/>
        </w:rPr>
        <w:t>。但根据法律法规的要求提高该等报酬标准</w:t>
      </w:r>
      <w:r w:rsidR="0071386C" w:rsidRPr="0071386C">
        <w:rPr>
          <w:rFonts w:hint="eastAsia"/>
          <w:bCs/>
          <w:sz w:val="24"/>
          <w:szCs w:val="24"/>
        </w:rPr>
        <w:t>或提高销售服务费率</w:t>
      </w:r>
      <w:r>
        <w:rPr>
          <w:bCs/>
          <w:sz w:val="24"/>
          <w:szCs w:val="24"/>
        </w:rPr>
        <w:t>的除外；</w:t>
      </w:r>
    </w:p>
    <w:p w14:paraId="4884AE69"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）变更基金类别；</w:t>
      </w:r>
    </w:p>
    <w:p w14:paraId="2523C25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）本基金与其他基金的合并；</w:t>
      </w:r>
    </w:p>
    <w:p w14:paraId="67E284E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8</w:t>
      </w:r>
      <w:r>
        <w:rPr>
          <w:bCs/>
          <w:sz w:val="24"/>
          <w:szCs w:val="24"/>
        </w:rPr>
        <w:t>）变更基金投资目标、范围或策略；</w:t>
      </w:r>
    </w:p>
    <w:p w14:paraId="781165D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9</w:t>
      </w:r>
      <w:r>
        <w:rPr>
          <w:bCs/>
          <w:sz w:val="24"/>
          <w:szCs w:val="24"/>
        </w:rPr>
        <w:t>）变更基金份额持有人大会程序；</w:t>
      </w:r>
      <w:r>
        <w:rPr>
          <w:bCs/>
          <w:sz w:val="24"/>
          <w:szCs w:val="24"/>
        </w:rPr>
        <w:t xml:space="preserve"> </w:t>
      </w:r>
    </w:p>
    <w:p w14:paraId="4E7CAD5D"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10</w:t>
      </w:r>
      <w:r>
        <w:rPr>
          <w:bCs/>
          <w:sz w:val="24"/>
          <w:szCs w:val="24"/>
        </w:rPr>
        <w:t>）对基金当事人权利和义务产生重大影响的其他事项。</w:t>
      </w:r>
    </w:p>
    <w:p w14:paraId="2013B4E9" w14:textId="77777777" w:rsidR="0037652E" w:rsidRDefault="00BF49B0">
      <w:pPr>
        <w:tabs>
          <w:tab w:val="left" w:pos="961"/>
        </w:tabs>
        <w:snapToGrid w:val="0"/>
        <w:spacing w:line="360" w:lineRule="auto"/>
        <w:ind w:firstLineChars="200" w:firstLine="480"/>
        <w:rPr>
          <w:bCs/>
          <w:sz w:val="24"/>
          <w:szCs w:val="24"/>
        </w:rPr>
      </w:pPr>
      <w:r>
        <w:rPr>
          <w:bCs/>
          <w:sz w:val="24"/>
          <w:szCs w:val="24"/>
        </w:rPr>
        <w:t>但出现下列情况时，可不经基金份额持有人大会决议，由基金管理人和基金托管人同意后变更并公告，并报中国证监会备案：</w:t>
      </w:r>
    </w:p>
    <w:p w14:paraId="2F10063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）调低基金管理费、基金托管费；</w:t>
      </w:r>
    </w:p>
    <w:p w14:paraId="14CC49D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14:paraId="7C38DA32" w14:textId="7FF9EB64"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）在《基金合同》规定的范围内变更本基金的申购费率、降低赎回费率</w:t>
      </w:r>
      <w:r w:rsidR="00F27DB8" w:rsidRPr="00F27DB8">
        <w:rPr>
          <w:rFonts w:hint="eastAsia"/>
          <w:bCs/>
          <w:sz w:val="24"/>
          <w:szCs w:val="24"/>
        </w:rPr>
        <w:t>、</w:t>
      </w:r>
      <w:r w:rsidR="00F27DB8" w:rsidRPr="00F27DB8">
        <w:rPr>
          <w:rFonts w:hint="eastAsia"/>
          <w:bCs/>
          <w:sz w:val="24"/>
          <w:szCs w:val="24"/>
        </w:rPr>
        <w:lastRenderedPageBreak/>
        <w:t>调低销售服务费率或调整基金份额类别设置</w:t>
      </w:r>
      <w:r>
        <w:rPr>
          <w:bCs/>
          <w:sz w:val="24"/>
          <w:szCs w:val="24"/>
        </w:rPr>
        <w:t>；</w:t>
      </w:r>
    </w:p>
    <w:p w14:paraId="2C17B95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）因相应的法律法规发生变动而应当对《基金合同》进行修改；</w:t>
      </w:r>
    </w:p>
    <w:p w14:paraId="252EC86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）《基金合同》的修改对基金份额持有人利益无实质性不利影响或修改不涉及《基金合同》当事人权利义务关系发生变化；</w:t>
      </w:r>
    </w:p>
    <w:p w14:paraId="0EC9EF6F"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）除按照法律法规和《基金合同》规定应当召开基金份额持有人大会的以外的其他情形。</w:t>
      </w:r>
    </w:p>
    <w:p w14:paraId="73F31FA8"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、关于《基金合同》变更的基金份额持有人大会决议经中国证监会核准生效后方可执行，自《基金合同》变更生效之日起在指定媒介上公告。</w:t>
      </w:r>
    </w:p>
    <w:p w14:paraId="511261EC"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w:t>
      </w:r>
      <w:r>
        <w:rPr>
          <w:bCs/>
          <w:sz w:val="24"/>
          <w:szCs w:val="24"/>
        </w:rPr>
        <w:t>二</w:t>
      </w:r>
      <w:r>
        <w:rPr>
          <w:rFonts w:hint="eastAsia"/>
          <w:bCs/>
          <w:sz w:val="24"/>
          <w:szCs w:val="24"/>
        </w:rPr>
        <w:t>）</w:t>
      </w:r>
      <w:r>
        <w:rPr>
          <w:bCs/>
          <w:sz w:val="24"/>
          <w:szCs w:val="24"/>
        </w:rPr>
        <w:t>《基金合同》的终止</w:t>
      </w:r>
    </w:p>
    <w:p w14:paraId="4943782B" w14:textId="77777777" w:rsidR="0037652E" w:rsidRDefault="00BF49B0">
      <w:pPr>
        <w:tabs>
          <w:tab w:val="left" w:pos="961"/>
        </w:tabs>
        <w:snapToGrid w:val="0"/>
        <w:spacing w:line="360" w:lineRule="auto"/>
        <w:ind w:firstLineChars="200" w:firstLine="480"/>
        <w:rPr>
          <w:bCs/>
          <w:sz w:val="24"/>
          <w:szCs w:val="24"/>
        </w:rPr>
      </w:pPr>
      <w:r>
        <w:rPr>
          <w:bCs/>
          <w:sz w:val="24"/>
          <w:szCs w:val="24"/>
        </w:rPr>
        <w:t>有下列情形之一的，《基金合同》应当终止：</w:t>
      </w:r>
    </w:p>
    <w:p w14:paraId="3C65F6DE"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、基金份额持有人大会决定终止的；</w:t>
      </w:r>
    </w:p>
    <w:p w14:paraId="2EBC760C"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、基金管理人、基金托管人职责终止，在</w:t>
      </w:r>
      <w:r>
        <w:rPr>
          <w:bCs/>
          <w:sz w:val="24"/>
          <w:szCs w:val="24"/>
        </w:rPr>
        <w:t>6</w:t>
      </w:r>
      <w:r>
        <w:rPr>
          <w:bCs/>
          <w:sz w:val="24"/>
          <w:szCs w:val="24"/>
        </w:rPr>
        <w:t>个月内没有新基金管理人、新基金托管人承接的；</w:t>
      </w:r>
    </w:p>
    <w:p w14:paraId="0F096435"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、《基金合同》约定的其他情形；</w:t>
      </w:r>
    </w:p>
    <w:p w14:paraId="7656016B"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、相关法律法规和中国证监会规定的其他情况。</w:t>
      </w:r>
    </w:p>
    <w:p w14:paraId="5C81609A"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w:t>
      </w:r>
      <w:r>
        <w:rPr>
          <w:bCs/>
          <w:sz w:val="24"/>
          <w:szCs w:val="24"/>
        </w:rPr>
        <w:t>三</w:t>
      </w:r>
      <w:r>
        <w:rPr>
          <w:rFonts w:hint="eastAsia"/>
          <w:bCs/>
          <w:sz w:val="24"/>
          <w:szCs w:val="24"/>
        </w:rPr>
        <w:t>）</w:t>
      </w:r>
      <w:r>
        <w:rPr>
          <w:bCs/>
          <w:sz w:val="24"/>
          <w:szCs w:val="24"/>
        </w:rPr>
        <w:t>基金财产的清算</w:t>
      </w:r>
    </w:p>
    <w:p w14:paraId="6A63E22A"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、基金财产清算小组：自出现《基金合同》终止事由之日起</w:t>
      </w:r>
      <w:r>
        <w:rPr>
          <w:bCs/>
          <w:sz w:val="24"/>
          <w:szCs w:val="24"/>
        </w:rPr>
        <w:t>30</w:t>
      </w:r>
      <w:r>
        <w:rPr>
          <w:bCs/>
          <w:sz w:val="24"/>
          <w:szCs w:val="24"/>
        </w:rPr>
        <w:t>个工作日内成立基金财产清算小组，基金管理人组织基金财产清算小组并在中国证监会的监督下进行基金清算。</w:t>
      </w:r>
    </w:p>
    <w:p w14:paraId="14E84685"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DE606F4"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、基金财产清算小组职责：基金财产清算小组负责基金财产的保管、清理、估价、变现和分配。基金财产清算小组可以依法进行必要的民事活动。</w:t>
      </w:r>
    </w:p>
    <w:p w14:paraId="6CA57FAD"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、基金财产清算程序：</w:t>
      </w:r>
    </w:p>
    <w:p w14:paraId="2420032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）《基金合同》终止后，由基金财产清算小组统一接管基金财产；</w:t>
      </w:r>
    </w:p>
    <w:p w14:paraId="7B262AB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）对基金财产和债权债务进行清理和确认；</w:t>
      </w:r>
    </w:p>
    <w:p w14:paraId="02417AC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）对基金财产进行估值和变现；</w:t>
      </w:r>
    </w:p>
    <w:p w14:paraId="250F3B05"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）制作清算报告；</w:t>
      </w:r>
    </w:p>
    <w:p w14:paraId="545800C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）聘请会计师事务所对清算报告进行外部审计，聘请律师事务所对清算</w:t>
      </w:r>
      <w:r>
        <w:rPr>
          <w:bCs/>
          <w:sz w:val="24"/>
          <w:szCs w:val="24"/>
        </w:rPr>
        <w:lastRenderedPageBreak/>
        <w:t>报告出具法律意见书；</w:t>
      </w:r>
    </w:p>
    <w:p w14:paraId="4F232B49"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）将清算报告报中国证监会备案并公告。</w:t>
      </w:r>
    </w:p>
    <w:p w14:paraId="13406A8F"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）对基金剩余财产进行分配。</w:t>
      </w:r>
    </w:p>
    <w:p w14:paraId="2944BE07"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bCs/>
          <w:sz w:val="24"/>
          <w:szCs w:val="24"/>
        </w:rPr>
        <w:t>、基金财产清算的期限为</w:t>
      </w:r>
      <w:r>
        <w:rPr>
          <w:bCs/>
          <w:sz w:val="24"/>
          <w:szCs w:val="24"/>
        </w:rPr>
        <w:t>6</w:t>
      </w:r>
      <w:r>
        <w:rPr>
          <w:bCs/>
          <w:sz w:val="24"/>
          <w:szCs w:val="24"/>
        </w:rPr>
        <w:t>个月。</w:t>
      </w:r>
    </w:p>
    <w:p w14:paraId="4D3AD05C"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w:t>
      </w:r>
      <w:r>
        <w:rPr>
          <w:bCs/>
          <w:sz w:val="24"/>
          <w:szCs w:val="24"/>
        </w:rPr>
        <w:t>四</w:t>
      </w:r>
      <w:r>
        <w:rPr>
          <w:rFonts w:hint="eastAsia"/>
          <w:bCs/>
          <w:sz w:val="24"/>
          <w:szCs w:val="24"/>
        </w:rPr>
        <w:t>）</w:t>
      </w:r>
      <w:r>
        <w:rPr>
          <w:bCs/>
          <w:sz w:val="24"/>
          <w:szCs w:val="24"/>
        </w:rPr>
        <w:t>清算费用</w:t>
      </w:r>
    </w:p>
    <w:p w14:paraId="64582DA4" w14:textId="77777777" w:rsidR="0037652E" w:rsidRDefault="00BF49B0">
      <w:pPr>
        <w:tabs>
          <w:tab w:val="left" w:pos="961"/>
        </w:tabs>
        <w:snapToGrid w:val="0"/>
        <w:spacing w:line="360" w:lineRule="auto"/>
        <w:ind w:firstLineChars="200" w:firstLine="480"/>
        <w:rPr>
          <w:bCs/>
          <w:sz w:val="24"/>
          <w:szCs w:val="24"/>
        </w:rPr>
      </w:pPr>
      <w:r>
        <w:rPr>
          <w:bCs/>
          <w:sz w:val="24"/>
          <w:szCs w:val="24"/>
        </w:rPr>
        <w:t>清算费用是指基金财产清算小组在进行基金财产清算过程中发生的所有合理费用，清算费用由基金财产清算小组优先从基金财产中支付。</w:t>
      </w:r>
    </w:p>
    <w:p w14:paraId="25DBCCB7"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w:t>
      </w:r>
      <w:r>
        <w:rPr>
          <w:bCs/>
          <w:sz w:val="24"/>
          <w:szCs w:val="24"/>
        </w:rPr>
        <w:t>五</w:t>
      </w:r>
      <w:r>
        <w:rPr>
          <w:rFonts w:hint="eastAsia"/>
          <w:bCs/>
          <w:sz w:val="24"/>
          <w:szCs w:val="24"/>
        </w:rPr>
        <w:t>）</w:t>
      </w:r>
      <w:r>
        <w:rPr>
          <w:bCs/>
          <w:sz w:val="24"/>
          <w:szCs w:val="24"/>
        </w:rPr>
        <w:t>基金财产清算剩余资产的分配</w:t>
      </w:r>
    </w:p>
    <w:p w14:paraId="7C493DAD" w14:textId="77777777" w:rsidR="0037652E" w:rsidRDefault="00BF49B0">
      <w:pPr>
        <w:tabs>
          <w:tab w:val="left" w:pos="961"/>
        </w:tabs>
        <w:snapToGrid w:val="0"/>
        <w:spacing w:line="360" w:lineRule="auto"/>
        <w:ind w:firstLineChars="200" w:firstLine="480"/>
        <w:rPr>
          <w:bCs/>
          <w:sz w:val="24"/>
          <w:szCs w:val="24"/>
        </w:rPr>
      </w:pPr>
      <w:r>
        <w:rPr>
          <w:bCs/>
          <w:sz w:val="24"/>
          <w:szCs w:val="24"/>
        </w:rPr>
        <w:t>依据基金财产清算的分配方案，将基金财产清算后的全部剩余资产扣除基金财产清算费用、交纳所欠税款并清偿基金债务后，按基金份额持有人持有的基金份额比例进行分配。</w:t>
      </w:r>
    </w:p>
    <w:p w14:paraId="20D014B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w:t>
      </w:r>
      <w:r>
        <w:rPr>
          <w:bCs/>
          <w:sz w:val="24"/>
          <w:szCs w:val="24"/>
        </w:rPr>
        <w:t>六</w:t>
      </w:r>
      <w:r>
        <w:rPr>
          <w:rFonts w:hint="eastAsia"/>
          <w:bCs/>
          <w:sz w:val="24"/>
          <w:szCs w:val="24"/>
        </w:rPr>
        <w:t>）</w:t>
      </w:r>
      <w:r>
        <w:rPr>
          <w:bCs/>
          <w:sz w:val="24"/>
          <w:szCs w:val="24"/>
        </w:rPr>
        <w:t>基金财产清算的公告</w:t>
      </w:r>
    </w:p>
    <w:p w14:paraId="69B704CC"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合同》终止并报中国证监会备案后</w:t>
      </w:r>
      <w:r>
        <w:rPr>
          <w:rFonts w:hint="eastAsia"/>
          <w:bCs/>
          <w:sz w:val="24"/>
          <w:szCs w:val="24"/>
        </w:rPr>
        <w:t>5</w:t>
      </w:r>
      <w:r>
        <w:rPr>
          <w:rFonts w:hint="eastAsia"/>
          <w:bCs/>
          <w:sz w:val="24"/>
          <w:szCs w:val="24"/>
        </w:rPr>
        <w:t>个工作日内由基金财产清算小组进行公告，基金财产清算小组应当将清算报告登载在指定网站上，并将清算报告提示性公告登载在指定报刊上。</w:t>
      </w:r>
    </w:p>
    <w:p w14:paraId="2D3FE3EC"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w:t>
      </w:r>
      <w:r>
        <w:rPr>
          <w:bCs/>
          <w:sz w:val="24"/>
          <w:szCs w:val="24"/>
        </w:rPr>
        <w:t>七</w:t>
      </w:r>
      <w:r>
        <w:rPr>
          <w:rFonts w:hint="eastAsia"/>
          <w:bCs/>
          <w:sz w:val="24"/>
          <w:szCs w:val="24"/>
        </w:rPr>
        <w:t>）</w:t>
      </w:r>
      <w:r>
        <w:rPr>
          <w:bCs/>
          <w:sz w:val="24"/>
          <w:szCs w:val="24"/>
        </w:rPr>
        <w:t>基金财产清算账册及文件的保存</w:t>
      </w:r>
    </w:p>
    <w:p w14:paraId="07179819" w14:textId="77777777" w:rsidR="0037652E" w:rsidRDefault="00BF49B0">
      <w:pPr>
        <w:tabs>
          <w:tab w:val="left" w:pos="961"/>
        </w:tabs>
        <w:snapToGrid w:val="0"/>
        <w:spacing w:line="360" w:lineRule="auto"/>
        <w:ind w:firstLineChars="200" w:firstLine="480"/>
        <w:rPr>
          <w:bCs/>
          <w:sz w:val="24"/>
          <w:szCs w:val="24"/>
        </w:rPr>
      </w:pPr>
      <w:r>
        <w:rPr>
          <w:bCs/>
          <w:sz w:val="24"/>
          <w:szCs w:val="24"/>
        </w:rPr>
        <w:t>基金财产清算账册及有关文件由基金托管人保存</w:t>
      </w:r>
      <w:r>
        <w:rPr>
          <w:bCs/>
          <w:sz w:val="24"/>
          <w:szCs w:val="24"/>
        </w:rPr>
        <w:t>15</w:t>
      </w:r>
      <w:r>
        <w:rPr>
          <w:bCs/>
          <w:sz w:val="24"/>
          <w:szCs w:val="24"/>
        </w:rPr>
        <w:t>年以上。</w:t>
      </w:r>
    </w:p>
    <w:p w14:paraId="2F32B5E0"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四、</w:t>
      </w:r>
      <w:r>
        <w:rPr>
          <w:b/>
          <w:bCs/>
          <w:sz w:val="24"/>
          <w:szCs w:val="24"/>
        </w:rPr>
        <w:t>争议解决方式</w:t>
      </w:r>
    </w:p>
    <w:p w14:paraId="47780E18" w14:textId="77777777" w:rsidR="0037652E" w:rsidRDefault="00BF49B0">
      <w:pPr>
        <w:tabs>
          <w:tab w:val="left" w:pos="961"/>
        </w:tabs>
        <w:snapToGrid w:val="0"/>
        <w:spacing w:line="360" w:lineRule="auto"/>
        <w:ind w:firstLineChars="200" w:firstLine="480"/>
        <w:rPr>
          <w:bCs/>
          <w:sz w:val="24"/>
          <w:szCs w:val="24"/>
        </w:rPr>
      </w:pPr>
      <w:r>
        <w:rPr>
          <w:bCs/>
          <w:sz w:val="24"/>
          <w:szCs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63C17FA4" w14:textId="77777777" w:rsidR="0037652E" w:rsidRDefault="00BF49B0">
      <w:pPr>
        <w:tabs>
          <w:tab w:val="left" w:pos="961"/>
        </w:tabs>
        <w:snapToGrid w:val="0"/>
        <w:spacing w:line="360" w:lineRule="auto"/>
        <w:ind w:firstLineChars="200" w:firstLine="480"/>
        <w:rPr>
          <w:bCs/>
          <w:sz w:val="24"/>
          <w:szCs w:val="24"/>
        </w:rPr>
      </w:pPr>
      <w:r>
        <w:rPr>
          <w:bCs/>
          <w:sz w:val="24"/>
          <w:szCs w:val="24"/>
        </w:rPr>
        <w:t>《基金合同》受中国法律管辖。</w:t>
      </w:r>
    </w:p>
    <w:p w14:paraId="114A9704"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五、基金合同存放地和投资者取得基金合同的方式</w:t>
      </w:r>
    </w:p>
    <w:p w14:paraId="75901F29" w14:textId="77777777" w:rsidR="0037652E" w:rsidRDefault="00BF49B0">
      <w:pPr>
        <w:tabs>
          <w:tab w:val="left" w:pos="961"/>
        </w:tabs>
        <w:snapToGrid w:val="0"/>
        <w:spacing w:line="360" w:lineRule="auto"/>
        <w:ind w:firstLineChars="200" w:firstLine="480"/>
        <w:rPr>
          <w:bCs/>
          <w:sz w:val="24"/>
          <w:szCs w:val="24"/>
        </w:rPr>
      </w:pPr>
      <w:r>
        <w:rPr>
          <w:bCs/>
          <w:sz w:val="24"/>
          <w:szCs w:val="24"/>
        </w:rPr>
        <w:t>《基金合同》正本一式六份，除上报有关监管机构一式二份外，基金管理人、基金托管人各持有二份，每份具有同等的法律效力。</w:t>
      </w:r>
    </w:p>
    <w:p w14:paraId="35085644" w14:textId="77777777" w:rsidR="0037652E" w:rsidRDefault="00BF49B0">
      <w:pPr>
        <w:tabs>
          <w:tab w:val="left" w:pos="961"/>
        </w:tabs>
        <w:snapToGrid w:val="0"/>
        <w:spacing w:line="360" w:lineRule="auto"/>
        <w:ind w:firstLineChars="200" w:firstLine="480"/>
        <w:rPr>
          <w:bCs/>
          <w:sz w:val="24"/>
          <w:szCs w:val="24"/>
        </w:rPr>
      </w:pPr>
      <w:r>
        <w:rPr>
          <w:bCs/>
          <w:sz w:val="24"/>
          <w:szCs w:val="24"/>
        </w:rPr>
        <w:t>《基金合同》可印制成册，供投资者在基金管理人、基金托管人、基金代销机构的办公场所和营业场所查阅；投资者也可按工本费购买《基金合同》复制件</w:t>
      </w:r>
      <w:r>
        <w:rPr>
          <w:bCs/>
          <w:sz w:val="24"/>
          <w:szCs w:val="24"/>
        </w:rPr>
        <w:lastRenderedPageBreak/>
        <w:t>或复印件，但内容应以《基金合同》正本为准。</w:t>
      </w:r>
    </w:p>
    <w:p w14:paraId="1BE2379C" w14:textId="77777777" w:rsidR="0037652E" w:rsidRDefault="0037652E">
      <w:pPr>
        <w:tabs>
          <w:tab w:val="left" w:pos="961"/>
        </w:tabs>
        <w:snapToGrid w:val="0"/>
        <w:spacing w:line="360" w:lineRule="auto"/>
        <w:ind w:firstLineChars="200" w:firstLine="480"/>
        <w:rPr>
          <w:bCs/>
          <w:sz w:val="24"/>
          <w:szCs w:val="24"/>
        </w:rPr>
      </w:pPr>
    </w:p>
    <w:p w14:paraId="507C2B65" w14:textId="77777777" w:rsidR="0037652E" w:rsidRDefault="0037652E">
      <w:pPr>
        <w:tabs>
          <w:tab w:val="left" w:pos="961"/>
        </w:tabs>
        <w:snapToGrid w:val="0"/>
        <w:spacing w:line="360" w:lineRule="auto"/>
        <w:ind w:firstLineChars="200" w:firstLine="480"/>
        <w:rPr>
          <w:bCs/>
          <w:sz w:val="24"/>
          <w:szCs w:val="24"/>
        </w:rPr>
      </w:pPr>
    </w:p>
    <w:p w14:paraId="16254F24" w14:textId="77777777" w:rsidR="00AA7783" w:rsidRDefault="00AA7783">
      <w:pPr>
        <w:widowControl/>
        <w:jc w:val="left"/>
        <w:rPr>
          <w:rFonts w:ascii="宋体" w:hAnsi="宋体"/>
          <w:b/>
          <w:sz w:val="24"/>
          <w:szCs w:val="24"/>
        </w:rPr>
      </w:pPr>
      <w:bookmarkStart w:id="131" w:name="_Toc65325130"/>
      <w:bookmarkStart w:id="132" w:name="_Toc10856"/>
      <w:bookmarkStart w:id="133" w:name="_Toc20122"/>
      <w:bookmarkStart w:id="134" w:name="_Toc110606864"/>
      <w:r>
        <w:rPr>
          <w:rFonts w:ascii="宋体" w:hAnsi="宋体"/>
          <w:b/>
          <w:sz w:val="24"/>
          <w:szCs w:val="24"/>
        </w:rPr>
        <w:br w:type="page"/>
      </w:r>
    </w:p>
    <w:p w14:paraId="4699A5B8" w14:textId="5C9D35C9" w:rsidR="0037652E" w:rsidRDefault="00BF49B0">
      <w:pPr>
        <w:spacing w:line="360" w:lineRule="auto"/>
        <w:ind w:firstLineChars="50" w:firstLine="120"/>
        <w:jc w:val="center"/>
        <w:outlineLvl w:val="0"/>
        <w:rPr>
          <w:rFonts w:ascii="宋体" w:hAnsi="宋体"/>
          <w:b/>
          <w:sz w:val="24"/>
          <w:szCs w:val="24"/>
        </w:rPr>
      </w:pPr>
      <w:r>
        <w:rPr>
          <w:rFonts w:ascii="宋体" w:hAnsi="宋体" w:hint="eastAsia"/>
          <w:b/>
          <w:sz w:val="24"/>
          <w:szCs w:val="24"/>
        </w:rPr>
        <w:lastRenderedPageBreak/>
        <w:t>第二十三部分 基金托管协议的内容摘要</w:t>
      </w:r>
      <w:bookmarkEnd w:id="131"/>
      <w:bookmarkEnd w:id="132"/>
      <w:bookmarkEnd w:id="133"/>
      <w:bookmarkEnd w:id="134"/>
    </w:p>
    <w:p w14:paraId="0F77707E" w14:textId="77777777" w:rsidR="0037652E" w:rsidRDefault="0037652E">
      <w:pPr>
        <w:tabs>
          <w:tab w:val="left" w:pos="961"/>
        </w:tabs>
        <w:snapToGrid w:val="0"/>
        <w:spacing w:line="360" w:lineRule="auto"/>
        <w:ind w:firstLineChars="200" w:firstLine="420"/>
        <w:rPr>
          <w:bCs/>
          <w:szCs w:val="21"/>
        </w:rPr>
      </w:pPr>
    </w:p>
    <w:p w14:paraId="742353C8" w14:textId="77777777" w:rsidR="0037652E" w:rsidRDefault="00BF49B0">
      <w:pPr>
        <w:tabs>
          <w:tab w:val="left" w:pos="961"/>
        </w:tabs>
        <w:snapToGrid w:val="0"/>
        <w:spacing w:line="360" w:lineRule="auto"/>
        <w:ind w:firstLineChars="200" w:firstLine="482"/>
        <w:rPr>
          <w:b/>
          <w:bCs/>
          <w:sz w:val="24"/>
          <w:szCs w:val="24"/>
        </w:rPr>
      </w:pPr>
      <w:bookmarkStart w:id="135" w:name="_Toc174790099"/>
      <w:bookmarkStart w:id="136" w:name="_Toc280362568"/>
      <w:r>
        <w:rPr>
          <w:rFonts w:hint="eastAsia"/>
          <w:b/>
          <w:bCs/>
          <w:sz w:val="24"/>
          <w:szCs w:val="24"/>
        </w:rPr>
        <w:t>一、</w:t>
      </w:r>
      <w:r>
        <w:rPr>
          <w:b/>
          <w:bCs/>
          <w:sz w:val="24"/>
          <w:szCs w:val="24"/>
        </w:rPr>
        <w:t>基金托管协议当事人</w:t>
      </w:r>
      <w:bookmarkEnd w:id="135"/>
      <w:bookmarkEnd w:id="136"/>
    </w:p>
    <w:p w14:paraId="0A5220D6" w14:textId="77777777" w:rsidR="0037652E" w:rsidRDefault="00BF49B0">
      <w:pPr>
        <w:tabs>
          <w:tab w:val="left" w:pos="961"/>
        </w:tabs>
        <w:snapToGrid w:val="0"/>
        <w:spacing w:line="360" w:lineRule="auto"/>
        <w:ind w:firstLineChars="200" w:firstLine="480"/>
        <w:rPr>
          <w:bCs/>
          <w:sz w:val="24"/>
          <w:szCs w:val="24"/>
        </w:rPr>
      </w:pPr>
      <w:bookmarkStart w:id="137" w:name="_Toc48703885"/>
      <w:bookmarkStart w:id="138" w:name="_Toc174502373"/>
      <w:bookmarkStart w:id="139" w:name="_Toc174501001"/>
      <w:bookmarkStart w:id="140" w:name="_Toc174497167"/>
      <w:bookmarkStart w:id="141" w:name="_Toc22454433"/>
      <w:bookmarkStart w:id="142" w:name="_Toc174616272"/>
      <w:r>
        <w:rPr>
          <w:bCs/>
          <w:sz w:val="24"/>
          <w:szCs w:val="24"/>
        </w:rPr>
        <w:t>1</w:t>
      </w:r>
      <w:r>
        <w:rPr>
          <w:rFonts w:hint="eastAsia"/>
          <w:bCs/>
          <w:sz w:val="24"/>
          <w:szCs w:val="24"/>
        </w:rPr>
        <w:t>、</w:t>
      </w:r>
      <w:r>
        <w:rPr>
          <w:bCs/>
          <w:sz w:val="24"/>
          <w:szCs w:val="24"/>
        </w:rPr>
        <w:t>基金管理人</w:t>
      </w:r>
      <w:bookmarkEnd w:id="137"/>
      <w:bookmarkEnd w:id="138"/>
      <w:bookmarkEnd w:id="139"/>
      <w:bookmarkEnd w:id="140"/>
      <w:bookmarkEnd w:id="141"/>
      <w:bookmarkEnd w:id="142"/>
    </w:p>
    <w:p w14:paraId="0BC26AEA" w14:textId="77777777" w:rsidR="0037652E" w:rsidRDefault="00BF49B0">
      <w:pPr>
        <w:tabs>
          <w:tab w:val="left" w:pos="961"/>
        </w:tabs>
        <w:snapToGrid w:val="0"/>
        <w:spacing w:line="360" w:lineRule="auto"/>
        <w:ind w:firstLineChars="200" w:firstLine="480"/>
        <w:rPr>
          <w:bCs/>
          <w:sz w:val="24"/>
          <w:szCs w:val="24"/>
        </w:rPr>
      </w:pPr>
      <w:r>
        <w:rPr>
          <w:bCs/>
          <w:sz w:val="24"/>
          <w:szCs w:val="24"/>
        </w:rPr>
        <w:t>名称：汇添富基金管理股份有限公司</w:t>
      </w:r>
    </w:p>
    <w:p w14:paraId="3C8C5D3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住所：上海市黄浦区北京东路</w:t>
      </w:r>
      <w:r>
        <w:rPr>
          <w:rFonts w:hint="eastAsia"/>
          <w:bCs/>
          <w:sz w:val="24"/>
          <w:szCs w:val="24"/>
        </w:rPr>
        <w:t>666</w:t>
      </w:r>
      <w:r>
        <w:rPr>
          <w:rFonts w:hint="eastAsia"/>
          <w:bCs/>
          <w:sz w:val="24"/>
          <w:szCs w:val="24"/>
        </w:rPr>
        <w:t>号</w:t>
      </w:r>
      <w:r>
        <w:rPr>
          <w:rFonts w:hint="eastAsia"/>
          <w:bCs/>
          <w:sz w:val="24"/>
          <w:szCs w:val="24"/>
        </w:rPr>
        <w:t>H</w:t>
      </w:r>
      <w:r>
        <w:rPr>
          <w:rFonts w:hint="eastAsia"/>
          <w:bCs/>
          <w:sz w:val="24"/>
          <w:szCs w:val="24"/>
        </w:rPr>
        <w:t>区（东座）</w:t>
      </w:r>
      <w:r>
        <w:rPr>
          <w:rFonts w:hint="eastAsia"/>
          <w:bCs/>
          <w:sz w:val="24"/>
          <w:szCs w:val="24"/>
        </w:rPr>
        <w:t>6</w:t>
      </w:r>
      <w:r>
        <w:rPr>
          <w:rFonts w:hint="eastAsia"/>
          <w:bCs/>
          <w:sz w:val="24"/>
          <w:szCs w:val="24"/>
        </w:rPr>
        <w:t>楼</w:t>
      </w:r>
      <w:r>
        <w:rPr>
          <w:rFonts w:hint="eastAsia"/>
          <w:bCs/>
          <w:sz w:val="24"/>
          <w:szCs w:val="24"/>
        </w:rPr>
        <w:t>H686</w:t>
      </w:r>
      <w:r>
        <w:rPr>
          <w:rFonts w:hint="eastAsia"/>
          <w:bCs/>
          <w:sz w:val="24"/>
          <w:szCs w:val="24"/>
        </w:rPr>
        <w:t>室</w:t>
      </w:r>
      <w:r>
        <w:rPr>
          <w:rFonts w:hint="eastAsia"/>
          <w:bCs/>
          <w:sz w:val="24"/>
          <w:szCs w:val="24"/>
        </w:rPr>
        <w:t xml:space="preserve"> </w:t>
      </w:r>
    </w:p>
    <w:p w14:paraId="6FDFCD88" w14:textId="77777777" w:rsidR="0037652E" w:rsidRDefault="00BF49B0">
      <w:pPr>
        <w:snapToGrid w:val="0"/>
        <w:spacing w:line="360" w:lineRule="auto"/>
        <w:ind w:firstLineChars="200" w:firstLine="480"/>
        <w:rPr>
          <w:sz w:val="24"/>
        </w:rPr>
      </w:pPr>
      <w:r>
        <w:rPr>
          <w:rFonts w:hint="eastAsia"/>
          <w:bCs/>
          <w:sz w:val="24"/>
          <w:szCs w:val="24"/>
        </w:rPr>
        <w:t>办公地址：</w:t>
      </w:r>
      <w:r w:rsidR="00584EAA" w:rsidRPr="00584EAA">
        <w:rPr>
          <w:rFonts w:hint="eastAsia"/>
          <w:bCs/>
          <w:sz w:val="24"/>
          <w:szCs w:val="24"/>
        </w:rPr>
        <w:t>上海市黄浦区外马路</w:t>
      </w:r>
      <w:r w:rsidR="00584EAA" w:rsidRPr="00584EAA">
        <w:rPr>
          <w:rFonts w:hint="eastAsia"/>
          <w:bCs/>
          <w:sz w:val="24"/>
          <w:szCs w:val="24"/>
        </w:rPr>
        <w:t>728</w:t>
      </w:r>
      <w:r w:rsidR="00584EAA" w:rsidRPr="00584EAA">
        <w:rPr>
          <w:rFonts w:hint="eastAsia"/>
          <w:bCs/>
          <w:sz w:val="24"/>
          <w:szCs w:val="24"/>
        </w:rPr>
        <w:t>号</w:t>
      </w:r>
    </w:p>
    <w:p w14:paraId="77DCC51A" w14:textId="77777777" w:rsidR="0037652E" w:rsidRDefault="00BF49B0">
      <w:pPr>
        <w:tabs>
          <w:tab w:val="left" w:pos="961"/>
        </w:tabs>
        <w:snapToGrid w:val="0"/>
        <w:spacing w:line="360" w:lineRule="auto"/>
        <w:ind w:firstLineChars="200" w:firstLine="480"/>
        <w:rPr>
          <w:bCs/>
          <w:sz w:val="24"/>
          <w:szCs w:val="24"/>
        </w:rPr>
      </w:pPr>
      <w:r>
        <w:rPr>
          <w:bCs/>
          <w:sz w:val="24"/>
          <w:szCs w:val="24"/>
        </w:rPr>
        <w:t>法定代表人：李文</w:t>
      </w:r>
    </w:p>
    <w:p w14:paraId="6B826975" w14:textId="77777777" w:rsidR="0037652E" w:rsidRDefault="00BF49B0">
      <w:pPr>
        <w:tabs>
          <w:tab w:val="left" w:pos="961"/>
        </w:tabs>
        <w:snapToGrid w:val="0"/>
        <w:spacing w:line="360" w:lineRule="auto"/>
        <w:ind w:firstLineChars="200" w:firstLine="480"/>
        <w:rPr>
          <w:bCs/>
          <w:sz w:val="24"/>
          <w:szCs w:val="24"/>
        </w:rPr>
      </w:pPr>
      <w:r>
        <w:rPr>
          <w:bCs/>
          <w:sz w:val="24"/>
          <w:szCs w:val="24"/>
        </w:rPr>
        <w:t>成立时间：</w:t>
      </w:r>
      <w:r>
        <w:rPr>
          <w:bCs/>
          <w:sz w:val="24"/>
          <w:szCs w:val="24"/>
        </w:rPr>
        <w:t>2005</w:t>
      </w:r>
      <w:r>
        <w:rPr>
          <w:bCs/>
          <w:sz w:val="24"/>
          <w:szCs w:val="24"/>
        </w:rPr>
        <w:t>年</w:t>
      </w:r>
      <w:r>
        <w:rPr>
          <w:bCs/>
          <w:sz w:val="24"/>
          <w:szCs w:val="24"/>
        </w:rPr>
        <w:t>2</w:t>
      </w:r>
      <w:r>
        <w:rPr>
          <w:bCs/>
          <w:sz w:val="24"/>
          <w:szCs w:val="24"/>
        </w:rPr>
        <w:t>月</w:t>
      </w:r>
      <w:r>
        <w:rPr>
          <w:bCs/>
          <w:sz w:val="24"/>
          <w:szCs w:val="24"/>
        </w:rPr>
        <w:t>3</w:t>
      </w:r>
      <w:r>
        <w:rPr>
          <w:bCs/>
          <w:sz w:val="24"/>
          <w:szCs w:val="24"/>
        </w:rPr>
        <w:t>日</w:t>
      </w:r>
    </w:p>
    <w:p w14:paraId="0514A6D1" w14:textId="77777777" w:rsidR="0037652E" w:rsidRDefault="00BF49B0">
      <w:pPr>
        <w:tabs>
          <w:tab w:val="left" w:pos="961"/>
        </w:tabs>
        <w:snapToGrid w:val="0"/>
        <w:spacing w:line="360" w:lineRule="auto"/>
        <w:ind w:firstLineChars="200" w:firstLine="480"/>
        <w:rPr>
          <w:bCs/>
          <w:sz w:val="24"/>
          <w:szCs w:val="24"/>
        </w:rPr>
      </w:pPr>
      <w:r>
        <w:rPr>
          <w:bCs/>
          <w:sz w:val="24"/>
          <w:szCs w:val="24"/>
        </w:rPr>
        <w:t>批准设立机关及批准设立文号：中国证监会</w:t>
      </w:r>
      <w:r>
        <w:rPr>
          <w:bCs/>
          <w:sz w:val="24"/>
          <w:szCs w:val="24"/>
        </w:rPr>
        <w:t xml:space="preserve"> </w:t>
      </w:r>
      <w:r>
        <w:rPr>
          <w:bCs/>
          <w:sz w:val="24"/>
          <w:szCs w:val="24"/>
        </w:rPr>
        <w:t>证监基金字</w:t>
      </w:r>
      <w:r>
        <w:rPr>
          <w:bCs/>
          <w:sz w:val="24"/>
          <w:szCs w:val="24"/>
        </w:rPr>
        <w:t>[2005]5</w:t>
      </w:r>
      <w:r>
        <w:rPr>
          <w:bCs/>
          <w:sz w:val="24"/>
          <w:szCs w:val="24"/>
        </w:rPr>
        <w:t>号</w:t>
      </w:r>
    </w:p>
    <w:p w14:paraId="04505667" w14:textId="77777777" w:rsidR="0037652E" w:rsidRDefault="00BF49B0">
      <w:pPr>
        <w:tabs>
          <w:tab w:val="left" w:pos="961"/>
        </w:tabs>
        <w:snapToGrid w:val="0"/>
        <w:spacing w:line="360" w:lineRule="auto"/>
        <w:ind w:firstLineChars="200" w:firstLine="480"/>
        <w:rPr>
          <w:bCs/>
          <w:sz w:val="24"/>
          <w:szCs w:val="24"/>
        </w:rPr>
      </w:pPr>
      <w:r>
        <w:rPr>
          <w:bCs/>
          <w:sz w:val="24"/>
          <w:szCs w:val="24"/>
        </w:rPr>
        <w:t>注册资本：</w:t>
      </w:r>
      <w:r>
        <w:rPr>
          <w:rFonts w:hint="eastAsia"/>
          <w:bCs/>
          <w:sz w:val="24"/>
          <w:szCs w:val="24"/>
        </w:rPr>
        <w:t>人民币</w:t>
      </w:r>
      <w:r>
        <w:rPr>
          <w:rFonts w:hint="eastAsia"/>
          <w:bCs/>
          <w:sz w:val="24"/>
          <w:szCs w:val="24"/>
        </w:rPr>
        <w:t>132,724,224</w:t>
      </w:r>
      <w:r>
        <w:rPr>
          <w:rFonts w:hint="eastAsia"/>
          <w:bCs/>
          <w:sz w:val="24"/>
          <w:szCs w:val="24"/>
        </w:rPr>
        <w:t>元</w:t>
      </w:r>
    </w:p>
    <w:p w14:paraId="190F62EB" w14:textId="77777777" w:rsidR="0037652E" w:rsidRDefault="00BF49B0">
      <w:pPr>
        <w:tabs>
          <w:tab w:val="left" w:pos="961"/>
        </w:tabs>
        <w:snapToGrid w:val="0"/>
        <w:spacing w:line="360" w:lineRule="auto"/>
        <w:ind w:firstLineChars="200" w:firstLine="480"/>
        <w:rPr>
          <w:bCs/>
          <w:sz w:val="24"/>
          <w:szCs w:val="24"/>
        </w:rPr>
      </w:pPr>
      <w:r>
        <w:rPr>
          <w:bCs/>
          <w:sz w:val="24"/>
          <w:szCs w:val="24"/>
        </w:rPr>
        <w:t>组织形式：</w:t>
      </w:r>
      <w:r>
        <w:rPr>
          <w:rFonts w:hint="eastAsia"/>
          <w:bCs/>
          <w:sz w:val="24"/>
          <w:szCs w:val="24"/>
        </w:rPr>
        <w:t>股份</w:t>
      </w:r>
      <w:r>
        <w:rPr>
          <w:bCs/>
          <w:sz w:val="24"/>
          <w:szCs w:val="24"/>
        </w:rPr>
        <w:t>有限公司</w:t>
      </w:r>
    </w:p>
    <w:p w14:paraId="7E529F5E" w14:textId="77777777" w:rsidR="0037652E" w:rsidRDefault="00BF49B0">
      <w:pPr>
        <w:tabs>
          <w:tab w:val="left" w:pos="961"/>
        </w:tabs>
        <w:snapToGrid w:val="0"/>
        <w:spacing w:line="360" w:lineRule="auto"/>
        <w:ind w:firstLineChars="200" w:firstLine="480"/>
        <w:rPr>
          <w:bCs/>
          <w:sz w:val="24"/>
          <w:szCs w:val="24"/>
        </w:rPr>
      </w:pPr>
      <w:r>
        <w:rPr>
          <w:bCs/>
          <w:sz w:val="24"/>
          <w:szCs w:val="24"/>
        </w:rPr>
        <w:t>经营范围：</w:t>
      </w:r>
      <w:r>
        <w:rPr>
          <w:rFonts w:ascii="宋体" w:hAnsi="宋体" w:hint="eastAsia"/>
          <w:sz w:val="24"/>
          <w:szCs w:val="24"/>
        </w:rPr>
        <w:t>基金募集；基金销售；资产管理以及中国证监会许可的其它业务</w:t>
      </w:r>
    </w:p>
    <w:p w14:paraId="42B8DCB9" w14:textId="77777777" w:rsidR="0037652E" w:rsidRDefault="00BF49B0">
      <w:pPr>
        <w:tabs>
          <w:tab w:val="left" w:pos="961"/>
        </w:tabs>
        <w:snapToGrid w:val="0"/>
        <w:spacing w:line="360" w:lineRule="auto"/>
        <w:ind w:firstLineChars="200" w:firstLine="480"/>
        <w:rPr>
          <w:bCs/>
          <w:sz w:val="24"/>
          <w:szCs w:val="24"/>
        </w:rPr>
      </w:pPr>
      <w:r>
        <w:rPr>
          <w:bCs/>
          <w:sz w:val="24"/>
          <w:szCs w:val="24"/>
        </w:rPr>
        <w:t>存续期间：持续经营</w:t>
      </w:r>
    </w:p>
    <w:p w14:paraId="48F87D8C" w14:textId="77777777" w:rsidR="0037652E" w:rsidRDefault="00BF49B0">
      <w:pPr>
        <w:tabs>
          <w:tab w:val="left" w:pos="961"/>
        </w:tabs>
        <w:snapToGrid w:val="0"/>
        <w:spacing w:line="360" w:lineRule="auto"/>
        <w:ind w:firstLineChars="200" w:firstLine="480"/>
        <w:rPr>
          <w:bCs/>
          <w:sz w:val="24"/>
          <w:szCs w:val="24"/>
        </w:rPr>
      </w:pPr>
      <w:r>
        <w:rPr>
          <w:bCs/>
          <w:sz w:val="24"/>
          <w:szCs w:val="24"/>
        </w:rPr>
        <w:t>电话：（</w:t>
      </w:r>
      <w:r>
        <w:rPr>
          <w:bCs/>
          <w:sz w:val="24"/>
          <w:szCs w:val="24"/>
        </w:rPr>
        <w:t>021</w:t>
      </w:r>
      <w:r>
        <w:rPr>
          <w:bCs/>
          <w:sz w:val="24"/>
          <w:szCs w:val="24"/>
        </w:rPr>
        <w:t>）</w:t>
      </w:r>
      <w:r>
        <w:rPr>
          <w:bCs/>
          <w:sz w:val="24"/>
          <w:szCs w:val="24"/>
        </w:rPr>
        <w:t>28932888</w:t>
      </w:r>
    </w:p>
    <w:p w14:paraId="7FF5439D" w14:textId="77777777" w:rsidR="0037652E" w:rsidRDefault="00BF49B0">
      <w:pPr>
        <w:tabs>
          <w:tab w:val="left" w:pos="961"/>
        </w:tabs>
        <w:snapToGrid w:val="0"/>
        <w:spacing w:line="360" w:lineRule="auto"/>
        <w:ind w:firstLineChars="200" w:firstLine="480"/>
        <w:rPr>
          <w:bCs/>
          <w:sz w:val="24"/>
          <w:szCs w:val="24"/>
        </w:rPr>
      </w:pPr>
      <w:r>
        <w:rPr>
          <w:bCs/>
          <w:sz w:val="24"/>
          <w:szCs w:val="24"/>
        </w:rPr>
        <w:t>传真：（</w:t>
      </w:r>
      <w:r>
        <w:rPr>
          <w:bCs/>
          <w:sz w:val="24"/>
          <w:szCs w:val="24"/>
        </w:rPr>
        <w:t>021</w:t>
      </w:r>
      <w:r>
        <w:rPr>
          <w:bCs/>
          <w:sz w:val="24"/>
          <w:szCs w:val="24"/>
        </w:rPr>
        <w:t>）</w:t>
      </w:r>
      <w:r>
        <w:rPr>
          <w:bCs/>
          <w:sz w:val="24"/>
          <w:szCs w:val="24"/>
        </w:rPr>
        <w:t>28932998</w:t>
      </w:r>
    </w:p>
    <w:p w14:paraId="7F2FE37B" w14:textId="77777777" w:rsidR="0037652E" w:rsidRDefault="00BF49B0">
      <w:pPr>
        <w:tabs>
          <w:tab w:val="left" w:pos="961"/>
        </w:tabs>
        <w:snapToGrid w:val="0"/>
        <w:spacing w:line="360" w:lineRule="auto"/>
        <w:ind w:firstLineChars="200" w:firstLine="480"/>
        <w:rPr>
          <w:bCs/>
          <w:sz w:val="24"/>
          <w:szCs w:val="24"/>
        </w:rPr>
      </w:pPr>
      <w:bookmarkStart w:id="143" w:name="_Toc174616273"/>
      <w:bookmarkStart w:id="144" w:name="_Toc174502374"/>
      <w:bookmarkStart w:id="145" w:name="_Toc174497168"/>
      <w:bookmarkStart w:id="146" w:name="_Toc174501002"/>
      <w:r>
        <w:rPr>
          <w:rFonts w:hint="eastAsia"/>
          <w:bCs/>
          <w:sz w:val="24"/>
          <w:szCs w:val="24"/>
        </w:rPr>
        <w:t>2</w:t>
      </w:r>
      <w:r>
        <w:rPr>
          <w:rFonts w:hint="eastAsia"/>
          <w:bCs/>
          <w:sz w:val="24"/>
          <w:szCs w:val="24"/>
        </w:rPr>
        <w:t>、</w:t>
      </w:r>
      <w:r>
        <w:rPr>
          <w:bCs/>
          <w:sz w:val="24"/>
          <w:szCs w:val="24"/>
        </w:rPr>
        <w:t>基金托管人</w:t>
      </w:r>
      <w:bookmarkEnd w:id="143"/>
      <w:bookmarkEnd w:id="144"/>
      <w:bookmarkEnd w:id="145"/>
      <w:bookmarkEnd w:id="146"/>
      <w:r>
        <w:rPr>
          <w:bCs/>
          <w:sz w:val="24"/>
          <w:szCs w:val="24"/>
        </w:rPr>
        <w:tab/>
      </w:r>
    </w:p>
    <w:p w14:paraId="6B36D2DA" w14:textId="77777777" w:rsidR="0037652E" w:rsidRDefault="00BF49B0">
      <w:pPr>
        <w:tabs>
          <w:tab w:val="left" w:pos="961"/>
        </w:tabs>
        <w:snapToGrid w:val="0"/>
        <w:spacing w:line="360" w:lineRule="auto"/>
        <w:ind w:firstLineChars="200" w:firstLine="480"/>
        <w:rPr>
          <w:bCs/>
          <w:sz w:val="24"/>
          <w:szCs w:val="24"/>
        </w:rPr>
      </w:pPr>
      <w:r>
        <w:rPr>
          <w:bCs/>
          <w:sz w:val="24"/>
          <w:szCs w:val="24"/>
        </w:rPr>
        <w:t>名称：中国工商银行股份有限公司</w:t>
      </w:r>
    </w:p>
    <w:p w14:paraId="3143E810" w14:textId="77777777" w:rsidR="0037652E" w:rsidRDefault="00BF49B0">
      <w:pPr>
        <w:tabs>
          <w:tab w:val="left" w:pos="961"/>
        </w:tabs>
        <w:snapToGrid w:val="0"/>
        <w:spacing w:line="360" w:lineRule="auto"/>
        <w:ind w:firstLineChars="200" w:firstLine="480"/>
        <w:rPr>
          <w:bCs/>
          <w:sz w:val="24"/>
          <w:szCs w:val="24"/>
        </w:rPr>
      </w:pPr>
      <w:r>
        <w:rPr>
          <w:bCs/>
          <w:sz w:val="24"/>
          <w:szCs w:val="24"/>
        </w:rPr>
        <w:t>住所：北京市西城区复兴门内大街</w:t>
      </w:r>
      <w:r>
        <w:rPr>
          <w:bCs/>
          <w:sz w:val="24"/>
          <w:szCs w:val="24"/>
        </w:rPr>
        <w:t xml:space="preserve">55 </w:t>
      </w:r>
      <w:r>
        <w:rPr>
          <w:bCs/>
          <w:sz w:val="24"/>
          <w:szCs w:val="24"/>
        </w:rPr>
        <w:t>号（</w:t>
      </w:r>
      <w:r>
        <w:rPr>
          <w:bCs/>
          <w:sz w:val="24"/>
          <w:szCs w:val="24"/>
        </w:rPr>
        <w:t>100032</w:t>
      </w:r>
      <w:r>
        <w:rPr>
          <w:bCs/>
          <w:sz w:val="24"/>
          <w:szCs w:val="24"/>
        </w:rPr>
        <w:t>）</w:t>
      </w:r>
    </w:p>
    <w:p w14:paraId="152A72D3" w14:textId="77777777" w:rsidR="0037652E" w:rsidRDefault="00BF49B0">
      <w:pPr>
        <w:tabs>
          <w:tab w:val="left" w:pos="961"/>
        </w:tabs>
        <w:snapToGrid w:val="0"/>
        <w:spacing w:line="360" w:lineRule="auto"/>
        <w:ind w:firstLineChars="200" w:firstLine="480"/>
        <w:rPr>
          <w:bCs/>
          <w:sz w:val="24"/>
          <w:szCs w:val="24"/>
        </w:rPr>
      </w:pPr>
      <w:r>
        <w:rPr>
          <w:bCs/>
          <w:sz w:val="24"/>
          <w:szCs w:val="24"/>
        </w:rPr>
        <w:t>法定代表人：</w:t>
      </w:r>
      <w:r>
        <w:rPr>
          <w:rFonts w:hint="eastAsia"/>
          <w:bCs/>
          <w:sz w:val="24"/>
          <w:szCs w:val="24"/>
        </w:rPr>
        <w:t>陈四清</w:t>
      </w:r>
    </w:p>
    <w:p w14:paraId="1883C74C" w14:textId="77777777" w:rsidR="0037652E" w:rsidRDefault="00BF49B0">
      <w:pPr>
        <w:tabs>
          <w:tab w:val="left" w:pos="961"/>
        </w:tabs>
        <w:snapToGrid w:val="0"/>
        <w:spacing w:line="360" w:lineRule="auto"/>
        <w:ind w:firstLineChars="200" w:firstLine="480"/>
        <w:rPr>
          <w:bCs/>
          <w:sz w:val="24"/>
          <w:szCs w:val="24"/>
        </w:rPr>
      </w:pPr>
      <w:r>
        <w:rPr>
          <w:bCs/>
          <w:sz w:val="24"/>
          <w:szCs w:val="24"/>
        </w:rPr>
        <w:t>电话：（</w:t>
      </w:r>
      <w:r>
        <w:rPr>
          <w:bCs/>
          <w:sz w:val="24"/>
          <w:szCs w:val="24"/>
        </w:rPr>
        <w:t>010</w:t>
      </w:r>
      <w:r>
        <w:rPr>
          <w:bCs/>
          <w:sz w:val="24"/>
          <w:szCs w:val="24"/>
        </w:rPr>
        <w:t>）</w:t>
      </w:r>
      <w:r>
        <w:rPr>
          <w:bCs/>
          <w:sz w:val="24"/>
          <w:szCs w:val="24"/>
        </w:rPr>
        <w:t>66105799</w:t>
      </w:r>
    </w:p>
    <w:p w14:paraId="12815C65" w14:textId="77777777" w:rsidR="0037652E" w:rsidRDefault="00BF49B0">
      <w:pPr>
        <w:tabs>
          <w:tab w:val="left" w:pos="961"/>
        </w:tabs>
        <w:snapToGrid w:val="0"/>
        <w:spacing w:line="360" w:lineRule="auto"/>
        <w:ind w:firstLineChars="200" w:firstLine="480"/>
        <w:rPr>
          <w:bCs/>
          <w:sz w:val="24"/>
          <w:szCs w:val="24"/>
        </w:rPr>
      </w:pPr>
      <w:r>
        <w:rPr>
          <w:bCs/>
          <w:sz w:val="24"/>
          <w:szCs w:val="24"/>
        </w:rPr>
        <w:t>传真：（</w:t>
      </w:r>
      <w:r>
        <w:rPr>
          <w:bCs/>
          <w:sz w:val="24"/>
          <w:szCs w:val="24"/>
        </w:rPr>
        <w:t>010</w:t>
      </w:r>
      <w:r>
        <w:rPr>
          <w:bCs/>
          <w:sz w:val="24"/>
          <w:szCs w:val="24"/>
        </w:rPr>
        <w:t>）</w:t>
      </w:r>
      <w:r>
        <w:rPr>
          <w:bCs/>
          <w:sz w:val="24"/>
          <w:szCs w:val="24"/>
        </w:rPr>
        <w:t>66105798</w:t>
      </w:r>
    </w:p>
    <w:p w14:paraId="07C2417F" w14:textId="77777777" w:rsidR="0037652E" w:rsidRDefault="00BF49B0">
      <w:pPr>
        <w:tabs>
          <w:tab w:val="left" w:pos="961"/>
        </w:tabs>
        <w:snapToGrid w:val="0"/>
        <w:spacing w:line="360" w:lineRule="auto"/>
        <w:ind w:firstLineChars="200" w:firstLine="480"/>
        <w:rPr>
          <w:bCs/>
          <w:sz w:val="24"/>
          <w:szCs w:val="24"/>
        </w:rPr>
      </w:pPr>
      <w:r>
        <w:rPr>
          <w:bCs/>
          <w:sz w:val="24"/>
          <w:szCs w:val="24"/>
        </w:rPr>
        <w:t>联系人：</w:t>
      </w:r>
      <w:r>
        <w:rPr>
          <w:rFonts w:hint="eastAsia"/>
          <w:bCs/>
          <w:sz w:val="24"/>
          <w:szCs w:val="24"/>
        </w:rPr>
        <w:t>郭明</w:t>
      </w:r>
    </w:p>
    <w:p w14:paraId="42575E75" w14:textId="77777777" w:rsidR="0037652E" w:rsidRDefault="00BF49B0">
      <w:pPr>
        <w:tabs>
          <w:tab w:val="left" w:pos="961"/>
        </w:tabs>
        <w:snapToGrid w:val="0"/>
        <w:spacing w:line="360" w:lineRule="auto"/>
        <w:ind w:firstLineChars="200" w:firstLine="480"/>
        <w:rPr>
          <w:bCs/>
          <w:sz w:val="24"/>
          <w:szCs w:val="24"/>
        </w:rPr>
      </w:pPr>
      <w:r>
        <w:rPr>
          <w:bCs/>
          <w:sz w:val="24"/>
          <w:szCs w:val="24"/>
        </w:rPr>
        <w:t>成立时间：</w:t>
      </w:r>
      <w:r>
        <w:rPr>
          <w:bCs/>
          <w:sz w:val="24"/>
          <w:szCs w:val="24"/>
        </w:rPr>
        <w:t xml:space="preserve">1984 </w:t>
      </w:r>
      <w:r>
        <w:rPr>
          <w:bCs/>
          <w:sz w:val="24"/>
          <w:szCs w:val="24"/>
        </w:rPr>
        <w:t>年</w:t>
      </w:r>
      <w:r>
        <w:rPr>
          <w:bCs/>
          <w:sz w:val="24"/>
          <w:szCs w:val="24"/>
        </w:rPr>
        <w:t xml:space="preserve">1 </w:t>
      </w:r>
      <w:r>
        <w:rPr>
          <w:bCs/>
          <w:sz w:val="24"/>
          <w:szCs w:val="24"/>
        </w:rPr>
        <w:t>月</w:t>
      </w:r>
      <w:r>
        <w:rPr>
          <w:bCs/>
          <w:sz w:val="24"/>
          <w:szCs w:val="24"/>
        </w:rPr>
        <w:t xml:space="preserve">1 </w:t>
      </w:r>
      <w:r>
        <w:rPr>
          <w:bCs/>
          <w:sz w:val="24"/>
          <w:szCs w:val="24"/>
        </w:rPr>
        <w:t>日</w:t>
      </w:r>
    </w:p>
    <w:p w14:paraId="2CCF869F" w14:textId="77777777" w:rsidR="0037652E" w:rsidRDefault="00BF49B0">
      <w:pPr>
        <w:tabs>
          <w:tab w:val="left" w:pos="961"/>
        </w:tabs>
        <w:snapToGrid w:val="0"/>
        <w:spacing w:line="360" w:lineRule="auto"/>
        <w:ind w:firstLineChars="200" w:firstLine="480"/>
        <w:rPr>
          <w:bCs/>
          <w:sz w:val="24"/>
          <w:szCs w:val="24"/>
        </w:rPr>
      </w:pPr>
      <w:r>
        <w:rPr>
          <w:bCs/>
          <w:sz w:val="24"/>
          <w:szCs w:val="24"/>
        </w:rPr>
        <w:t>组织形式：股份有限公司</w:t>
      </w:r>
    </w:p>
    <w:p w14:paraId="306C4C9E" w14:textId="77777777" w:rsidR="0037652E" w:rsidRDefault="00BF49B0">
      <w:pPr>
        <w:tabs>
          <w:tab w:val="left" w:pos="961"/>
        </w:tabs>
        <w:snapToGrid w:val="0"/>
        <w:spacing w:line="360" w:lineRule="auto"/>
        <w:ind w:firstLineChars="200" w:firstLine="480"/>
        <w:rPr>
          <w:bCs/>
          <w:sz w:val="24"/>
          <w:szCs w:val="24"/>
        </w:rPr>
      </w:pPr>
      <w:r>
        <w:rPr>
          <w:bCs/>
          <w:sz w:val="24"/>
          <w:szCs w:val="24"/>
        </w:rPr>
        <w:t>批准设立机关及批准设立文号：国务院《关于中国人民银行专门行使中央银行职能的决定》（国发</w:t>
      </w:r>
      <w:r>
        <w:rPr>
          <w:bCs/>
          <w:sz w:val="24"/>
          <w:szCs w:val="24"/>
        </w:rPr>
        <w:t xml:space="preserve">[1983]146 </w:t>
      </w:r>
      <w:r>
        <w:rPr>
          <w:bCs/>
          <w:sz w:val="24"/>
          <w:szCs w:val="24"/>
        </w:rPr>
        <w:t>号）</w:t>
      </w:r>
    </w:p>
    <w:p w14:paraId="45C40E7B" w14:textId="77777777" w:rsidR="0037652E" w:rsidRDefault="00BF49B0">
      <w:pPr>
        <w:tabs>
          <w:tab w:val="left" w:pos="961"/>
        </w:tabs>
        <w:snapToGrid w:val="0"/>
        <w:spacing w:line="360" w:lineRule="auto"/>
        <w:ind w:firstLineChars="200" w:firstLine="480"/>
        <w:rPr>
          <w:bCs/>
          <w:sz w:val="24"/>
          <w:szCs w:val="24"/>
        </w:rPr>
      </w:pPr>
      <w:r>
        <w:rPr>
          <w:bCs/>
          <w:sz w:val="24"/>
          <w:szCs w:val="24"/>
        </w:rPr>
        <w:t>注册资本：</w:t>
      </w:r>
      <w:r>
        <w:rPr>
          <w:rFonts w:hint="eastAsia"/>
          <w:bCs/>
          <w:sz w:val="24"/>
          <w:szCs w:val="24"/>
        </w:rPr>
        <w:t>人民币</w:t>
      </w:r>
      <w:r>
        <w:rPr>
          <w:bCs/>
          <w:sz w:val="24"/>
          <w:szCs w:val="24"/>
        </w:rPr>
        <w:t>35,640,625.7089</w:t>
      </w:r>
      <w:r>
        <w:rPr>
          <w:rFonts w:hint="eastAsia"/>
          <w:bCs/>
          <w:sz w:val="24"/>
          <w:szCs w:val="24"/>
        </w:rPr>
        <w:t>万元</w:t>
      </w:r>
    </w:p>
    <w:p w14:paraId="0D6C70A9" w14:textId="77777777" w:rsidR="0037652E" w:rsidRDefault="00BF49B0">
      <w:pPr>
        <w:tabs>
          <w:tab w:val="left" w:pos="961"/>
        </w:tabs>
        <w:snapToGrid w:val="0"/>
        <w:spacing w:line="360" w:lineRule="auto"/>
        <w:ind w:firstLineChars="200" w:firstLine="480"/>
        <w:rPr>
          <w:bCs/>
          <w:sz w:val="24"/>
          <w:szCs w:val="24"/>
        </w:rPr>
      </w:pPr>
      <w:r>
        <w:rPr>
          <w:bCs/>
          <w:sz w:val="24"/>
          <w:szCs w:val="24"/>
        </w:rPr>
        <w:t>存续期间：持续经营</w:t>
      </w:r>
    </w:p>
    <w:p w14:paraId="142AAD0F" w14:textId="77777777" w:rsidR="0037652E" w:rsidRDefault="00BF49B0">
      <w:pPr>
        <w:tabs>
          <w:tab w:val="left" w:pos="961"/>
        </w:tabs>
        <w:snapToGrid w:val="0"/>
        <w:spacing w:line="360" w:lineRule="auto"/>
        <w:ind w:firstLineChars="200" w:firstLine="480"/>
        <w:rPr>
          <w:bCs/>
          <w:sz w:val="24"/>
          <w:szCs w:val="24"/>
        </w:rPr>
      </w:pPr>
      <w:r>
        <w:rPr>
          <w:bCs/>
          <w:sz w:val="24"/>
          <w:szCs w:val="24"/>
        </w:rPr>
        <w:t>基金托管资格批文及文号：中国证监会和中国人民银行证监基字【</w:t>
      </w:r>
      <w:r>
        <w:rPr>
          <w:bCs/>
          <w:sz w:val="24"/>
          <w:szCs w:val="24"/>
        </w:rPr>
        <w:t>1998</w:t>
      </w:r>
      <w:r>
        <w:rPr>
          <w:bCs/>
          <w:sz w:val="24"/>
          <w:szCs w:val="24"/>
        </w:rPr>
        <w:t>】</w:t>
      </w:r>
      <w:r>
        <w:rPr>
          <w:bCs/>
          <w:sz w:val="24"/>
          <w:szCs w:val="24"/>
        </w:rPr>
        <w:t>3</w:t>
      </w:r>
      <w:r>
        <w:rPr>
          <w:bCs/>
          <w:sz w:val="24"/>
          <w:szCs w:val="24"/>
        </w:rPr>
        <w:lastRenderedPageBreak/>
        <w:t>号</w:t>
      </w:r>
    </w:p>
    <w:p w14:paraId="443DCBA0" w14:textId="77777777" w:rsidR="0037652E" w:rsidRDefault="00BF49B0">
      <w:pPr>
        <w:tabs>
          <w:tab w:val="left" w:pos="961"/>
        </w:tabs>
        <w:snapToGrid w:val="0"/>
        <w:spacing w:line="360" w:lineRule="auto"/>
        <w:ind w:firstLineChars="200" w:firstLine="480"/>
        <w:rPr>
          <w:bCs/>
          <w:sz w:val="24"/>
          <w:szCs w:val="24"/>
        </w:rPr>
      </w:pPr>
      <w:r>
        <w:rPr>
          <w:bCs/>
          <w:sz w:val="24"/>
          <w:szCs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11B9954A"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二、基金托管人对基金管理人的业务监督和核查</w:t>
      </w:r>
    </w:p>
    <w:p w14:paraId="17A0FB65" w14:textId="77777777" w:rsidR="0037652E" w:rsidRDefault="00BF49B0">
      <w:pPr>
        <w:tabs>
          <w:tab w:val="left" w:pos="961"/>
        </w:tabs>
        <w:snapToGrid w:val="0"/>
        <w:spacing w:line="360" w:lineRule="auto"/>
        <w:ind w:firstLineChars="200" w:firstLine="480"/>
        <w:rPr>
          <w:bCs/>
          <w:sz w:val="24"/>
          <w:szCs w:val="24"/>
        </w:rPr>
      </w:pPr>
      <w:bookmarkStart w:id="147" w:name="_Toc174497178"/>
      <w:bookmarkStart w:id="148" w:name="_Toc174616279"/>
      <w:bookmarkStart w:id="149" w:name="_Toc174502380"/>
      <w:bookmarkStart w:id="150" w:name="_Toc174501008"/>
      <w:r>
        <w:rPr>
          <w:rFonts w:hint="eastAsia"/>
          <w:bCs/>
          <w:sz w:val="24"/>
          <w:szCs w:val="24"/>
        </w:rPr>
        <w:t>（一）</w:t>
      </w:r>
      <w:r>
        <w:rPr>
          <w:bCs/>
          <w:sz w:val="24"/>
          <w:szCs w:val="24"/>
        </w:rPr>
        <w:t>基金托管人对基金管理人的投资行为行使监督权</w:t>
      </w:r>
      <w:bookmarkEnd w:id="147"/>
      <w:bookmarkEnd w:id="148"/>
      <w:bookmarkEnd w:id="149"/>
      <w:bookmarkEnd w:id="150"/>
    </w:p>
    <w:p w14:paraId="15D91E6C"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、基金托管人根据有关法律法规的规定和《基金合同》的约定，对下述基金投资范围、投资对象进行监督。</w:t>
      </w:r>
    </w:p>
    <w:p w14:paraId="4570C8B6"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本基金的投资范围主要包括已与中国证监会签署双边监管合作谅解备忘录的国家或地区证券监管机构登记注册的公募基金中有实物黄金或其他实物贵金属支持的交易所交易基金（</w:t>
      </w:r>
      <w:r>
        <w:rPr>
          <w:bCs/>
          <w:sz w:val="24"/>
          <w:szCs w:val="24"/>
        </w:rPr>
        <w:t>ETF</w:t>
      </w:r>
      <w:r>
        <w:rPr>
          <w:bCs/>
          <w:sz w:val="24"/>
          <w:szCs w:val="24"/>
        </w:rPr>
        <w:t>）、货币市场工具以及中国证监会允许本基金投资的其他金融工具。此外，本基金为对冲本外币的汇率风险，可以投资于外汇远期合约、外汇互换协议、期权等金融工具。</w:t>
      </w:r>
    </w:p>
    <w:p w14:paraId="12D0BFCB" w14:textId="77777777" w:rsidR="0037652E" w:rsidRDefault="00BF49B0">
      <w:pPr>
        <w:tabs>
          <w:tab w:val="left" w:pos="961"/>
        </w:tabs>
        <w:snapToGrid w:val="0"/>
        <w:spacing w:line="360" w:lineRule="auto"/>
        <w:ind w:firstLineChars="200" w:firstLine="480"/>
        <w:rPr>
          <w:bCs/>
          <w:sz w:val="24"/>
          <w:szCs w:val="24"/>
        </w:rPr>
      </w:pPr>
      <w:r>
        <w:rPr>
          <w:bCs/>
          <w:sz w:val="24"/>
          <w:szCs w:val="24"/>
        </w:rPr>
        <w:t>实物黄金或其他实物贵金属支持的交易所交易基金（</w:t>
      </w:r>
      <w:r>
        <w:rPr>
          <w:bCs/>
          <w:sz w:val="24"/>
          <w:szCs w:val="24"/>
        </w:rPr>
        <w:t>ETF</w:t>
      </w:r>
      <w:r>
        <w:rPr>
          <w:bCs/>
          <w:sz w:val="24"/>
          <w:szCs w:val="24"/>
        </w:rPr>
        <w:t>）是指以标准化的实物黄金或其他实物贵金属为基础资产，并可以用实物黄金或其他实物贵金属申购赎回基金份额的</w:t>
      </w:r>
      <w:r>
        <w:rPr>
          <w:bCs/>
          <w:sz w:val="24"/>
          <w:szCs w:val="24"/>
        </w:rPr>
        <w:t>ETF</w:t>
      </w:r>
      <w:r>
        <w:rPr>
          <w:bCs/>
          <w:sz w:val="24"/>
          <w:szCs w:val="24"/>
        </w:rPr>
        <w:t>。</w:t>
      </w:r>
    </w:p>
    <w:p w14:paraId="6D5A81C5"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本基金不得投资于相关法律法规及《基金合同》禁止投资的投资工具。</w:t>
      </w:r>
    </w:p>
    <w:p w14:paraId="44315728" w14:textId="77777777" w:rsidR="0037652E" w:rsidRDefault="00BF49B0">
      <w:pPr>
        <w:tabs>
          <w:tab w:val="left" w:pos="961"/>
        </w:tabs>
        <w:snapToGrid w:val="0"/>
        <w:spacing w:line="360" w:lineRule="auto"/>
        <w:ind w:firstLineChars="200" w:firstLine="480"/>
        <w:rPr>
          <w:bCs/>
          <w:sz w:val="24"/>
          <w:szCs w:val="24"/>
        </w:rPr>
      </w:pPr>
      <w:r>
        <w:rPr>
          <w:bCs/>
          <w:sz w:val="24"/>
          <w:szCs w:val="24"/>
        </w:rPr>
        <w:t>如法律法规或监管机构以后允许本基金投资其他品种，基金管理人在履行适当程序后，可以将其纳入投资范围。如法律法规或中国证监会变更投资品种的比例限制的，基金管理人在与基金托管人协商一致并履行相关程序后，可相应调整本基金的投资比例上限规定，不需经基金份额持有人大会审议。</w:t>
      </w:r>
    </w:p>
    <w:p w14:paraId="33E96549"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2</w:t>
      </w:r>
      <w:r>
        <w:rPr>
          <w:bCs/>
          <w:sz w:val="24"/>
          <w:szCs w:val="24"/>
        </w:rPr>
        <w:t>、基金托管人根据有关法律法规的规定及《基金合同》的约定对下述基金投融资比例进行监督：</w:t>
      </w:r>
    </w:p>
    <w:p w14:paraId="1BDF6D8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）按法律法规的规定及《基金合同》的约定，本基金的投资资产配置比例为：</w:t>
      </w:r>
    </w:p>
    <w:p w14:paraId="65788204"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本基金投资于有实物黄金或其他实物贵金属支持的交易所交易基金（</w:t>
      </w:r>
      <w:r>
        <w:rPr>
          <w:bCs/>
          <w:sz w:val="24"/>
          <w:szCs w:val="24"/>
        </w:rPr>
        <w:t>ETF</w:t>
      </w:r>
      <w:r>
        <w:rPr>
          <w:bCs/>
          <w:sz w:val="24"/>
          <w:szCs w:val="24"/>
        </w:rPr>
        <w:t>）的比例不低于基金资产的</w:t>
      </w:r>
      <w:r>
        <w:rPr>
          <w:bCs/>
          <w:sz w:val="24"/>
          <w:szCs w:val="24"/>
        </w:rPr>
        <w:t>90%</w:t>
      </w:r>
      <w:r>
        <w:rPr>
          <w:bCs/>
          <w:sz w:val="24"/>
          <w:szCs w:val="24"/>
        </w:rPr>
        <w:t>；基金保留的现金或投资于到期日在一年以内的政府债券的比例合计不低于基金资产净值的</w:t>
      </w:r>
      <w:r>
        <w:rPr>
          <w:bCs/>
          <w:sz w:val="24"/>
          <w:szCs w:val="24"/>
        </w:rPr>
        <w:t>5%</w:t>
      </w:r>
      <w:r>
        <w:rPr>
          <w:rFonts w:hint="eastAsia"/>
          <w:bCs/>
          <w:sz w:val="24"/>
          <w:szCs w:val="24"/>
        </w:rPr>
        <w:t>；本基金所指的现金不包括结算备付金、存出保证金、应收申购款等</w:t>
      </w:r>
      <w:r>
        <w:rPr>
          <w:bCs/>
          <w:sz w:val="24"/>
          <w:szCs w:val="24"/>
        </w:rPr>
        <w:t>。</w:t>
      </w:r>
    </w:p>
    <w:p w14:paraId="5B20CE56" w14:textId="77777777" w:rsidR="0037652E" w:rsidRDefault="00BF49B0">
      <w:pPr>
        <w:tabs>
          <w:tab w:val="left" w:pos="961"/>
        </w:tabs>
        <w:snapToGrid w:val="0"/>
        <w:spacing w:line="360" w:lineRule="auto"/>
        <w:ind w:firstLineChars="200" w:firstLine="480"/>
        <w:rPr>
          <w:bCs/>
          <w:sz w:val="24"/>
          <w:szCs w:val="24"/>
        </w:rPr>
      </w:pPr>
      <w:r>
        <w:rPr>
          <w:bCs/>
          <w:sz w:val="24"/>
          <w:szCs w:val="24"/>
        </w:rPr>
        <w:t>在本基金所投资的有实物黄金或其他实物贵金属支持的交易所交易基金中，有实物黄金支持的交易所交易基金的资产占比不低于</w:t>
      </w:r>
      <w:r>
        <w:rPr>
          <w:bCs/>
          <w:sz w:val="24"/>
          <w:szCs w:val="24"/>
        </w:rPr>
        <w:t>70%</w:t>
      </w:r>
      <w:r>
        <w:rPr>
          <w:bCs/>
          <w:sz w:val="24"/>
          <w:szCs w:val="24"/>
        </w:rPr>
        <w:t>，而有其他实物贵金属支持的交易所交易基金的资产占比不超过</w:t>
      </w:r>
      <w:r>
        <w:rPr>
          <w:bCs/>
          <w:sz w:val="24"/>
          <w:szCs w:val="24"/>
        </w:rPr>
        <w:t>30%</w:t>
      </w:r>
      <w:r>
        <w:rPr>
          <w:bCs/>
          <w:sz w:val="24"/>
          <w:szCs w:val="24"/>
        </w:rPr>
        <w:t>。</w:t>
      </w:r>
    </w:p>
    <w:p w14:paraId="14988EE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）根据法律法规的规定及《基金合同》的约定，本基金投资组合遵循以下投资限制：</w:t>
      </w:r>
    </w:p>
    <w:p w14:paraId="3BAE658B"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）本基金持有同一家银行的存款不得超过基金净值的</w:t>
      </w:r>
      <w:r>
        <w:rPr>
          <w:bCs/>
          <w:sz w:val="24"/>
          <w:szCs w:val="24"/>
        </w:rPr>
        <w:t>20%</w:t>
      </w:r>
      <w:r>
        <w:rPr>
          <w:bCs/>
          <w:sz w:val="24"/>
          <w:szCs w:val="24"/>
        </w:rPr>
        <w:t>，其中银行应当是中资商业银行在境外设立的分行或在最近一个会计年度达到中国证监会认可的信用评级机构评级的境外银行，但存放于境内外托管行的存款可以不受上述限制。</w:t>
      </w:r>
    </w:p>
    <w:p w14:paraId="2C7A5F7D"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）本基金持有同一机构（政府、国际金融组织除外）发行的证券（不包括境外基金）市值不得超过基金资产净值的</w:t>
      </w:r>
      <w:r>
        <w:rPr>
          <w:bCs/>
          <w:sz w:val="24"/>
          <w:szCs w:val="24"/>
        </w:rPr>
        <w:t>10%</w:t>
      </w:r>
      <w:r>
        <w:rPr>
          <w:bCs/>
          <w:sz w:val="24"/>
          <w:szCs w:val="24"/>
        </w:rPr>
        <w:t>。</w:t>
      </w:r>
    </w:p>
    <w:p w14:paraId="6DADF7A7"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）本基金持有与中国证监会签署双边监管合作谅解备忘录国家或地区以外的其他国家或地区证券市场挂牌交易的证券资产不得超过基金资产净值的</w:t>
      </w:r>
      <w:r>
        <w:rPr>
          <w:bCs/>
          <w:sz w:val="24"/>
          <w:szCs w:val="24"/>
        </w:rPr>
        <w:t>10%</w:t>
      </w:r>
      <w:r>
        <w:rPr>
          <w:bCs/>
          <w:sz w:val="24"/>
          <w:szCs w:val="24"/>
        </w:rPr>
        <w:t>，其中持有任一国家或地区市场的证券资产不得超过基金资产净值的</w:t>
      </w:r>
      <w:r>
        <w:rPr>
          <w:bCs/>
          <w:sz w:val="24"/>
          <w:szCs w:val="24"/>
        </w:rPr>
        <w:t>3%</w:t>
      </w:r>
      <w:r>
        <w:rPr>
          <w:bCs/>
          <w:sz w:val="24"/>
          <w:szCs w:val="24"/>
        </w:rPr>
        <w:t>。</w:t>
      </w:r>
    </w:p>
    <w:p w14:paraId="4602B92E"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4</w:t>
      </w:r>
      <w:r>
        <w:rPr>
          <w:bCs/>
          <w:sz w:val="24"/>
          <w:szCs w:val="24"/>
        </w:rPr>
        <w:t>）为应付赎回、交易清算等临时用途借入现金的比例不得超过基金资产净值的</w:t>
      </w:r>
      <w:r>
        <w:rPr>
          <w:bCs/>
          <w:sz w:val="24"/>
          <w:szCs w:val="24"/>
        </w:rPr>
        <w:t>10%</w:t>
      </w:r>
      <w:r>
        <w:rPr>
          <w:bCs/>
          <w:sz w:val="24"/>
          <w:szCs w:val="24"/>
        </w:rPr>
        <w:t>。</w:t>
      </w:r>
    </w:p>
    <w:p w14:paraId="7186E8C2"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5</w:t>
      </w:r>
      <w:r>
        <w:rPr>
          <w:bCs/>
          <w:sz w:val="24"/>
          <w:szCs w:val="24"/>
        </w:rPr>
        <w:t>）每只境外基金投资比例不超过本基金基金资产净值的</w:t>
      </w:r>
      <w:r>
        <w:rPr>
          <w:bCs/>
          <w:sz w:val="24"/>
          <w:szCs w:val="24"/>
        </w:rPr>
        <w:t>20%</w:t>
      </w:r>
      <w:r>
        <w:rPr>
          <w:bCs/>
          <w:sz w:val="24"/>
          <w:szCs w:val="24"/>
        </w:rPr>
        <w:t>。本基金投资境外伞型基金的，该伞型基金应当视为一只基金。</w:t>
      </w:r>
    </w:p>
    <w:p w14:paraId="5F9C4C8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6</w:t>
      </w:r>
      <w:r>
        <w:rPr>
          <w:bCs/>
          <w:sz w:val="24"/>
          <w:szCs w:val="24"/>
        </w:rPr>
        <w:t>）本基金投资衍生品应当仅限于投资组合避险或有效管理，不得用于投机或放大交易，同时应当严格遵守下列规定：</w:t>
      </w:r>
    </w:p>
    <w:p w14:paraId="0A304F7B" w14:textId="77777777" w:rsidR="0037652E" w:rsidRDefault="00BF49B0">
      <w:pPr>
        <w:tabs>
          <w:tab w:val="left" w:pos="961"/>
        </w:tabs>
        <w:snapToGrid w:val="0"/>
        <w:spacing w:line="360" w:lineRule="auto"/>
        <w:ind w:firstLineChars="200" w:firstLine="480"/>
        <w:rPr>
          <w:bCs/>
          <w:sz w:val="24"/>
          <w:szCs w:val="24"/>
        </w:rPr>
      </w:pPr>
      <w:r>
        <w:rPr>
          <w:bCs/>
          <w:sz w:val="24"/>
          <w:szCs w:val="24"/>
        </w:rPr>
        <w:t>A</w:t>
      </w:r>
      <w:r>
        <w:rPr>
          <w:bCs/>
          <w:sz w:val="24"/>
          <w:szCs w:val="24"/>
        </w:rPr>
        <w:t>、本基金的金融衍生品全部敞口不得高于基金资产净值的</w:t>
      </w:r>
      <w:r>
        <w:rPr>
          <w:bCs/>
          <w:sz w:val="24"/>
          <w:szCs w:val="24"/>
        </w:rPr>
        <w:t>100%</w:t>
      </w:r>
      <w:r>
        <w:rPr>
          <w:bCs/>
          <w:sz w:val="24"/>
          <w:szCs w:val="24"/>
        </w:rPr>
        <w:t>。</w:t>
      </w:r>
    </w:p>
    <w:p w14:paraId="7A65C7E5" w14:textId="77777777" w:rsidR="0037652E" w:rsidRDefault="00BF49B0">
      <w:pPr>
        <w:tabs>
          <w:tab w:val="left" w:pos="961"/>
        </w:tabs>
        <w:snapToGrid w:val="0"/>
        <w:spacing w:line="360" w:lineRule="auto"/>
        <w:ind w:firstLineChars="200" w:firstLine="480"/>
        <w:rPr>
          <w:bCs/>
          <w:sz w:val="24"/>
          <w:szCs w:val="24"/>
        </w:rPr>
      </w:pPr>
      <w:r>
        <w:rPr>
          <w:bCs/>
          <w:sz w:val="24"/>
          <w:szCs w:val="24"/>
        </w:rPr>
        <w:t>B</w:t>
      </w:r>
      <w:r>
        <w:rPr>
          <w:bCs/>
          <w:sz w:val="24"/>
          <w:szCs w:val="24"/>
        </w:rPr>
        <w:t>、本基金投资期货支付的初始保证金、投资期权支付或收取的期权费、投</w:t>
      </w:r>
      <w:r>
        <w:rPr>
          <w:bCs/>
          <w:sz w:val="24"/>
          <w:szCs w:val="24"/>
        </w:rPr>
        <w:lastRenderedPageBreak/>
        <w:t>资柜台交易衍生品支付的初始费用的总额不得高于基金资产净值的</w:t>
      </w:r>
      <w:r>
        <w:rPr>
          <w:bCs/>
          <w:sz w:val="24"/>
          <w:szCs w:val="24"/>
        </w:rPr>
        <w:t>10%</w:t>
      </w:r>
      <w:r>
        <w:rPr>
          <w:bCs/>
          <w:sz w:val="24"/>
          <w:szCs w:val="24"/>
        </w:rPr>
        <w:t>。</w:t>
      </w:r>
    </w:p>
    <w:p w14:paraId="2DB28E75" w14:textId="77777777" w:rsidR="0037652E" w:rsidRDefault="00BF49B0">
      <w:pPr>
        <w:tabs>
          <w:tab w:val="left" w:pos="961"/>
        </w:tabs>
        <w:snapToGrid w:val="0"/>
        <w:spacing w:line="360" w:lineRule="auto"/>
        <w:ind w:firstLineChars="200" w:firstLine="480"/>
        <w:rPr>
          <w:bCs/>
          <w:sz w:val="24"/>
          <w:szCs w:val="24"/>
        </w:rPr>
      </w:pPr>
      <w:r>
        <w:rPr>
          <w:bCs/>
          <w:sz w:val="24"/>
          <w:szCs w:val="24"/>
        </w:rPr>
        <w:t>C</w:t>
      </w:r>
      <w:r>
        <w:rPr>
          <w:bCs/>
          <w:sz w:val="24"/>
          <w:szCs w:val="24"/>
        </w:rPr>
        <w:t>、本基金投资于远期合约、互换等柜台交易金融衍生品，应当符合以下要求：</w:t>
      </w:r>
    </w:p>
    <w:p w14:paraId="360FF87E" w14:textId="77777777" w:rsidR="0037652E" w:rsidRDefault="00BF49B0">
      <w:pPr>
        <w:tabs>
          <w:tab w:val="left" w:pos="961"/>
        </w:tabs>
        <w:snapToGrid w:val="0"/>
        <w:spacing w:line="360" w:lineRule="auto"/>
        <w:ind w:firstLineChars="200" w:firstLine="480"/>
        <w:rPr>
          <w:bCs/>
          <w:sz w:val="24"/>
          <w:szCs w:val="24"/>
        </w:rPr>
      </w:pPr>
      <w:r>
        <w:rPr>
          <w:bCs/>
          <w:sz w:val="24"/>
          <w:szCs w:val="24"/>
        </w:rPr>
        <w:t>a</w:t>
      </w:r>
      <w:r>
        <w:rPr>
          <w:bCs/>
          <w:sz w:val="24"/>
          <w:szCs w:val="24"/>
        </w:rPr>
        <w:t>、所有参与交易的对手方（中资商业银行除外）应当具有不低于中国证监会认可的信用评级机构评级；</w:t>
      </w:r>
    </w:p>
    <w:p w14:paraId="1DBCD962" w14:textId="77777777" w:rsidR="0037652E" w:rsidRDefault="00BF49B0">
      <w:pPr>
        <w:tabs>
          <w:tab w:val="left" w:pos="961"/>
        </w:tabs>
        <w:snapToGrid w:val="0"/>
        <w:spacing w:line="360" w:lineRule="auto"/>
        <w:ind w:firstLineChars="200" w:firstLine="480"/>
        <w:rPr>
          <w:bCs/>
          <w:sz w:val="24"/>
          <w:szCs w:val="24"/>
        </w:rPr>
      </w:pPr>
      <w:r>
        <w:rPr>
          <w:bCs/>
          <w:sz w:val="24"/>
          <w:szCs w:val="24"/>
        </w:rPr>
        <w:t>b</w:t>
      </w:r>
      <w:r>
        <w:rPr>
          <w:bCs/>
          <w:sz w:val="24"/>
          <w:szCs w:val="24"/>
        </w:rPr>
        <w:t>、交易对手方应当至少每个工作日对交易进行估值，并且基金可在任何时候以公允价值终止交易；</w:t>
      </w:r>
    </w:p>
    <w:p w14:paraId="70EC55BF" w14:textId="77777777" w:rsidR="0037652E" w:rsidRDefault="00BF49B0">
      <w:pPr>
        <w:tabs>
          <w:tab w:val="left" w:pos="961"/>
        </w:tabs>
        <w:snapToGrid w:val="0"/>
        <w:spacing w:line="360" w:lineRule="auto"/>
        <w:ind w:firstLineChars="200" w:firstLine="480"/>
        <w:rPr>
          <w:bCs/>
          <w:sz w:val="24"/>
          <w:szCs w:val="24"/>
        </w:rPr>
      </w:pPr>
      <w:r>
        <w:rPr>
          <w:bCs/>
          <w:sz w:val="24"/>
          <w:szCs w:val="24"/>
        </w:rPr>
        <w:t>c</w:t>
      </w:r>
      <w:r>
        <w:rPr>
          <w:bCs/>
          <w:sz w:val="24"/>
          <w:szCs w:val="24"/>
        </w:rPr>
        <w:t>、任一交易对手方的市值计价敞口不得超过基金资产净值的</w:t>
      </w:r>
      <w:r>
        <w:rPr>
          <w:bCs/>
          <w:sz w:val="24"/>
          <w:szCs w:val="24"/>
        </w:rPr>
        <w:t>20%</w:t>
      </w:r>
      <w:r>
        <w:rPr>
          <w:bCs/>
          <w:sz w:val="24"/>
          <w:szCs w:val="24"/>
        </w:rPr>
        <w:t>。</w:t>
      </w:r>
    </w:p>
    <w:p w14:paraId="35A275BA"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7</w:t>
      </w:r>
      <w:r>
        <w:rPr>
          <w:bCs/>
          <w:sz w:val="24"/>
          <w:szCs w:val="24"/>
        </w:rPr>
        <w:t>）本基金不得投资于以下基金：</w:t>
      </w:r>
    </w:p>
    <w:p w14:paraId="348B256E" w14:textId="77777777" w:rsidR="0037652E" w:rsidRDefault="00BF49B0">
      <w:pPr>
        <w:tabs>
          <w:tab w:val="left" w:pos="961"/>
        </w:tabs>
        <w:snapToGrid w:val="0"/>
        <w:spacing w:line="360" w:lineRule="auto"/>
        <w:ind w:firstLineChars="200" w:firstLine="480"/>
        <w:rPr>
          <w:bCs/>
          <w:sz w:val="24"/>
          <w:szCs w:val="24"/>
        </w:rPr>
      </w:pPr>
      <w:r>
        <w:rPr>
          <w:bCs/>
          <w:sz w:val="24"/>
          <w:szCs w:val="24"/>
        </w:rPr>
        <w:t>A</w:t>
      </w:r>
      <w:r>
        <w:rPr>
          <w:bCs/>
          <w:sz w:val="24"/>
          <w:szCs w:val="24"/>
        </w:rPr>
        <w:t>、其他基金中基金；</w:t>
      </w:r>
    </w:p>
    <w:p w14:paraId="5927C407" w14:textId="77777777" w:rsidR="0037652E" w:rsidRDefault="00BF49B0">
      <w:pPr>
        <w:tabs>
          <w:tab w:val="left" w:pos="961"/>
        </w:tabs>
        <w:snapToGrid w:val="0"/>
        <w:spacing w:line="360" w:lineRule="auto"/>
        <w:ind w:firstLineChars="200" w:firstLine="480"/>
        <w:rPr>
          <w:bCs/>
          <w:sz w:val="24"/>
          <w:szCs w:val="24"/>
        </w:rPr>
      </w:pPr>
      <w:r>
        <w:rPr>
          <w:bCs/>
          <w:sz w:val="24"/>
          <w:szCs w:val="24"/>
        </w:rPr>
        <w:t>B</w:t>
      </w:r>
      <w:r>
        <w:rPr>
          <w:bCs/>
          <w:sz w:val="24"/>
          <w:szCs w:val="24"/>
        </w:rPr>
        <w:t>、联接基金（</w:t>
      </w:r>
      <w:r>
        <w:rPr>
          <w:bCs/>
          <w:sz w:val="24"/>
          <w:szCs w:val="24"/>
        </w:rPr>
        <w:t>A Feeder Fund</w:t>
      </w:r>
      <w:r>
        <w:rPr>
          <w:bCs/>
          <w:sz w:val="24"/>
          <w:szCs w:val="24"/>
        </w:rPr>
        <w:t>）；</w:t>
      </w:r>
    </w:p>
    <w:p w14:paraId="65981CED" w14:textId="77777777" w:rsidR="0037652E" w:rsidRDefault="00BF49B0">
      <w:pPr>
        <w:tabs>
          <w:tab w:val="left" w:pos="961"/>
        </w:tabs>
        <w:snapToGrid w:val="0"/>
        <w:spacing w:line="360" w:lineRule="auto"/>
        <w:ind w:firstLineChars="200" w:firstLine="480"/>
        <w:rPr>
          <w:bCs/>
          <w:sz w:val="24"/>
          <w:szCs w:val="24"/>
        </w:rPr>
      </w:pPr>
      <w:r>
        <w:rPr>
          <w:bCs/>
          <w:sz w:val="24"/>
          <w:szCs w:val="24"/>
        </w:rPr>
        <w:t>C</w:t>
      </w:r>
      <w:r>
        <w:rPr>
          <w:bCs/>
          <w:sz w:val="24"/>
          <w:szCs w:val="24"/>
        </w:rPr>
        <w:t>、投资于前述两项基金的伞型基金子基金。</w:t>
      </w:r>
    </w:p>
    <w:p w14:paraId="179AAEE1"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8</w:t>
      </w:r>
      <w:r>
        <w:rPr>
          <w:bCs/>
          <w:sz w:val="24"/>
          <w:szCs w:val="24"/>
        </w:rPr>
        <w:t>）相关法律、法规或部门规章规定的其他比例限制。</w:t>
      </w:r>
    </w:p>
    <w:p w14:paraId="2433AE1B" w14:textId="77777777" w:rsidR="0037652E" w:rsidRDefault="00BF49B0">
      <w:pPr>
        <w:tabs>
          <w:tab w:val="left" w:pos="961"/>
        </w:tabs>
        <w:snapToGrid w:val="0"/>
        <w:spacing w:line="360" w:lineRule="auto"/>
        <w:ind w:firstLineChars="200" w:firstLine="480"/>
        <w:rPr>
          <w:bCs/>
          <w:sz w:val="24"/>
          <w:szCs w:val="24"/>
        </w:rPr>
      </w:pPr>
      <w:r>
        <w:rPr>
          <w:bCs/>
          <w:sz w:val="24"/>
          <w:szCs w:val="24"/>
        </w:rPr>
        <w:t>若基金超过上述</w:t>
      </w:r>
      <w:r>
        <w:rPr>
          <w:bCs/>
          <w:sz w:val="24"/>
          <w:szCs w:val="24"/>
        </w:rPr>
        <w:t>1</w:t>
      </w:r>
      <w:r>
        <w:rPr>
          <w:bCs/>
          <w:sz w:val="24"/>
          <w:szCs w:val="24"/>
        </w:rPr>
        <w:t>）</w:t>
      </w:r>
      <w:r>
        <w:rPr>
          <w:bCs/>
          <w:sz w:val="24"/>
          <w:szCs w:val="24"/>
        </w:rPr>
        <w:t xml:space="preserve">— </w:t>
      </w:r>
      <w:r>
        <w:rPr>
          <w:rFonts w:hint="eastAsia"/>
          <w:bCs/>
          <w:sz w:val="24"/>
          <w:szCs w:val="24"/>
        </w:rPr>
        <w:t>6</w:t>
      </w:r>
      <w:r>
        <w:rPr>
          <w:bCs/>
          <w:sz w:val="24"/>
          <w:szCs w:val="24"/>
        </w:rPr>
        <w:t>）项投资比例限制，应当在超过比例后</w:t>
      </w:r>
      <w:r>
        <w:rPr>
          <w:bCs/>
          <w:sz w:val="24"/>
          <w:szCs w:val="24"/>
        </w:rPr>
        <w:t>30</w:t>
      </w:r>
      <w:r>
        <w:rPr>
          <w:bCs/>
          <w:sz w:val="24"/>
          <w:szCs w:val="24"/>
        </w:rPr>
        <w:t>个工作日内采用合理的商业措施减仓以符合投资比例限制要求。</w:t>
      </w:r>
    </w:p>
    <w:p w14:paraId="6DAAF668" w14:textId="77777777" w:rsidR="0037652E" w:rsidRDefault="00BF49B0">
      <w:pPr>
        <w:tabs>
          <w:tab w:val="left" w:pos="961"/>
        </w:tabs>
        <w:snapToGrid w:val="0"/>
        <w:spacing w:line="360" w:lineRule="auto"/>
        <w:ind w:firstLineChars="200" w:firstLine="480"/>
        <w:rPr>
          <w:bCs/>
          <w:sz w:val="24"/>
          <w:szCs w:val="24"/>
        </w:rPr>
      </w:pPr>
      <w:r>
        <w:rPr>
          <w:bCs/>
          <w:sz w:val="24"/>
          <w:szCs w:val="24"/>
        </w:rPr>
        <w:t>对于因基金份额拆分、大比例分红等集中持续营销活动引起的基金净资产规模在</w:t>
      </w:r>
      <w:r>
        <w:rPr>
          <w:bCs/>
          <w:sz w:val="24"/>
          <w:szCs w:val="24"/>
        </w:rPr>
        <w:t>10</w:t>
      </w:r>
      <w:r>
        <w:rPr>
          <w:bCs/>
          <w:sz w:val="24"/>
          <w:szCs w:val="24"/>
        </w:rPr>
        <w:t>个工作日内增加</w:t>
      </w:r>
      <w:r>
        <w:rPr>
          <w:bCs/>
          <w:sz w:val="24"/>
          <w:szCs w:val="24"/>
        </w:rPr>
        <w:t>10</w:t>
      </w:r>
      <w:r>
        <w:rPr>
          <w:bCs/>
          <w:sz w:val="24"/>
          <w:szCs w:val="24"/>
        </w:rPr>
        <w:t>亿元以上的情形，而导致证券投资比例低于基金合同约定的，基金管理人同基金托管人协商一致并及时书面报告中国证监会后，可将调整时限从</w:t>
      </w:r>
      <w:r>
        <w:rPr>
          <w:bCs/>
          <w:sz w:val="24"/>
          <w:szCs w:val="24"/>
        </w:rPr>
        <w:t>30</w:t>
      </w:r>
      <w:r>
        <w:rPr>
          <w:bCs/>
          <w:sz w:val="24"/>
          <w:szCs w:val="24"/>
        </w:rPr>
        <w:t>个工作日延长到</w:t>
      </w:r>
      <w:r>
        <w:rPr>
          <w:bCs/>
          <w:sz w:val="24"/>
          <w:szCs w:val="24"/>
        </w:rPr>
        <w:t>3</w:t>
      </w:r>
      <w:r>
        <w:rPr>
          <w:bCs/>
          <w:sz w:val="24"/>
          <w:szCs w:val="24"/>
        </w:rPr>
        <w:t>个月。</w:t>
      </w:r>
    </w:p>
    <w:p w14:paraId="52BBE140" w14:textId="77777777" w:rsidR="0037652E" w:rsidRDefault="00BF49B0">
      <w:pPr>
        <w:tabs>
          <w:tab w:val="left" w:pos="961"/>
        </w:tabs>
        <w:snapToGrid w:val="0"/>
        <w:spacing w:line="360" w:lineRule="auto"/>
        <w:ind w:firstLineChars="200" w:firstLine="480"/>
        <w:rPr>
          <w:bCs/>
          <w:sz w:val="24"/>
          <w:szCs w:val="24"/>
        </w:rPr>
      </w:pPr>
      <w:r>
        <w:rPr>
          <w:bCs/>
          <w:sz w:val="24"/>
          <w:szCs w:val="24"/>
        </w:rPr>
        <w:t>《基金法》及其他有关法律法规或监管部门取消上述限制的，履行适当程序后，基金不受上述限制。如法律法规或中国证监会变更投资品种的比例限制的，基金管理人在与基金托管人协商一致并履行相关程序后，可相应调整本基金的投资比例上限规定，不需经基金份额持有人大会审议。</w:t>
      </w:r>
    </w:p>
    <w:p w14:paraId="0CBD3CA1" w14:textId="77777777" w:rsidR="0037652E" w:rsidRDefault="00BF49B0">
      <w:pPr>
        <w:tabs>
          <w:tab w:val="left" w:pos="961"/>
        </w:tabs>
        <w:snapToGrid w:val="0"/>
        <w:spacing w:line="360" w:lineRule="auto"/>
        <w:ind w:firstLineChars="200" w:firstLine="480"/>
        <w:rPr>
          <w:bCs/>
          <w:sz w:val="24"/>
          <w:szCs w:val="24"/>
        </w:rPr>
      </w:pPr>
      <w:r>
        <w:rPr>
          <w:bCs/>
          <w:sz w:val="24"/>
          <w:szCs w:val="24"/>
        </w:rPr>
        <w:t>除投资资产配置外，基金托管人对基金的投资的监督和检查自本《基金合同》生效之日起开始。</w:t>
      </w:r>
    </w:p>
    <w:p w14:paraId="52CBA0F0"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、基金托管人根据有关法律法规的规定及《基金合同》的约定对下述基金投资禁止行为进行监督：</w:t>
      </w:r>
    </w:p>
    <w:p w14:paraId="68E9F6B8" w14:textId="77777777" w:rsidR="0037652E" w:rsidRDefault="00BF49B0">
      <w:pPr>
        <w:tabs>
          <w:tab w:val="left" w:pos="961"/>
        </w:tabs>
        <w:snapToGrid w:val="0"/>
        <w:spacing w:line="360" w:lineRule="auto"/>
        <w:ind w:firstLineChars="200" w:firstLine="480"/>
        <w:rPr>
          <w:bCs/>
          <w:sz w:val="24"/>
          <w:szCs w:val="24"/>
        </w:rPr>
      </w:pPr>
      <w:r>
        <w:rPr>
          <w:bCs/>
          <w:sz w:val="24"/>
          <w:szCs w:val="24"/>
        </w:rPr>
        <w:t>根据法律法规的规定及《基金合同》的约定，本基金禁止从事下列行为：</w:t>
      </w:r>
    </w:p>
    <w:p w14:paraId="72AAE16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）承销证券；</w:t>
      </w:r>
    </w:p>
    <w:p w14:paraId="2095661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）向他人贷款或提供担保；</w:t>
      </w:r>
    </w:p>
    <w:p w14:paraId="1E793839"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w:t>
      </w:r>
      <w:r>
        <w:rPr>
          <w:bCs/>
          <w:sz w:val="24"/>
          <w:szCs w:val="24"/>
        </w:rPr>
        <w:t>3</w:t>
      </w:r>
      <w:r>
        <w:rPr>
          <w:bCs/>
          <w:sz w:val="24"/>
          <w:szCs w:val="24"/>
        </w:rPr>
        <w:t>）从事承担无限责任的投资；</w:t>
      </w:r>
    </w:p>
    <w:p w14:paraId="2B6EB65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）购买不动产；</w:t>
      </w:r>
    </w:p>
    <w:p w14:paraId="5155834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）购买房地产抵押按揭；</w:t>
      </w:r>
    </w:p>
    <w:p w14:paraId="58999DDF"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）购买贵重金属或代表贵重金属的凭证；</w:t>
      </w:r>
    </w:p>
    <w:p w14:paraId="184A498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）购买实物商品；</w:t>
      </w:r>
    </w:p>
    <w:p w14:paraId="74F2BD5D"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8</w:t>
      </w:r>
      <w:r>
        <w:rPr>
          <w:bCs/>
          <w:sz w:val="24"/>
          <w:szCs w:val="24"/>
        </w:rPr>
        <w:t>）除应付赎回、交易清算等临时用途以外，借入现金；该临时用途借入现金的比例不得超过基金资产净值的</w:t>
      </w:r>
      <w:r>
        <w:rPr>
          <w:bCs/>
          <w:sz w:val="24"/>
          <w:szCs w:val="24"/>
        </w:rPr>
        <w:t>10%</w:t>
      </w:r>
      <w:r>
        <w:rPr>
          <w:bCs/>
          <w:sz w:val="24"/>
          <w:szCs w:val="24"/>
        </w:rPr>
        <w:t>；</w:t>
      </w:r>
    </w:p>
    <w:p w14:paraId="1F57A16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9</w:t>
      </w:r>
      <w:r>
        <w:rPr>
          <w:bCs/>
          <w:sz w:val="24"/>
          <w:szCs w:val="24"/>
        </w:rPr>
        <w:t>）利用融资购买证券，但投资金融衍生品除外；</w:t>
      </w:r>
    </w:p>
    <w:p w14:paraId="7FD6E52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10</w:t>
      </w:r>
      <w:r>
        <w:rPr>
          <w:bCs/>
          <w:sz w:val="24"/>
          <w:szCs w:val="24"/>
        </w:rPr>
        <w:t>）参与未持有基础资产的卖空交易；</w:t>
      </w:r>
    </w:p>
    <w:p w14:paraId="7222A82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11</w:t>
      </w:r>
      <w:r>
        <w:rPr>
          <w:bCs/>
          <w:sz w:val="24"/>
          <w:szCs w:val="24"/>
        </w:rPr>
        <w:t>）购买证券用于控制或影响发行该证券的机构或其管理层；</w:t>
      </w:r>
    </w:p>
    <w:p w14:paraId="3699614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12</w:t>
      </w:r>
      <w:r>
        <w:rPr>
          <w:bCs/>
          <w:sz w:val="24"/>
          <w:szCs w:val="24"/>
        </w:rPr>
        <w:t>）直接投资与实物商品相关的衍生品；</w:t>
      </w:r>
    </w:p>
    <w:p w14:paraId="35364999"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13</w:t>
      </w:r>
      <w:r>
        <w:rPr>
          <w:bCs/>
          <w:sz w:val="24"/>
          <w:szCs w:val="24"/>
        </w:rPr>
        <w:t>）向基金管理人、基金托管人出资或者买卖其基金管理人、基金托管人发行的股票或债券；</w:t>
      </w:r>
    </w:p>
    <w:p w14:paraId="7EB233C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14</w:t>
      </w:r>
      <w:r>
        <w:rPr>
          <w:bCs/>
          <w:sz w:val="24"/>
          <w:szCs w:val="24"/>
        </w:rPr>
        <w:t>）买卖与基金管理人、基金托管人有控股关系的股东或者与基金管理人、基金托管人有其他重大利害关系的公司发行的证券或者承销期内承销的证券；</w:t>
      </w:r>
    </w:p>
    <w:p w14:paraId="1578E775"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15</w:t>
      </w:r>
      <w:r>
        <w:rPr>
          <w:bCs/>
          <w:sz w:val="24"/>
          <w:szCs w:val="24"/>
        </w:rPr>
        <w:t>）从事内幕交易、操纵证券价格及其他不正当的证券交易活动；</w:t>
      </w:r>
    </w:p>
    <w:p w14:paraId="5A5433B7"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16</w:t>
      </w:r>
      <w:r>
        <w:rPr>
          <w:bCs/>
          <w:sz w:val="24"/>
          <w:szCs w:val="24"/>
        </w:rPr>
        <w:t>）当时有效的法律法规、中国证监会及《基金合同》规定禁止从事的其他行为。</w:t>
      </w:r>
    </w:p>
    <w:p w14:paraId="6B50E6DE" w14:textId="77777777" w:rsidR="0037652E" w:rsidRDefault="00BF49B0">
      <w:pPr>
        <w:tabs>
          <w:tab w:val="left" w:pos="961"/>
        </w:tabs>
        <w:snapToGrid w:val="0"/>
        <w:spacing w:line="360" w:lineRule="auto"/>
        <w:ind w:firstLineChars="200" w:firstLine="480"/>
        <w:rPr>
          <w:bCs/>
          <w:sz w:val="24"/>
          <w:szCs w:val="24"/>
        </w:rPr>
      </w:pPr>
      <w:r>
        <w:rPr>
          <w:bCs/>
          <w:sz w:val="24"/>
          <w:szCs w:val="24"/>
        </w:rPr>
        <w:t>如法律法规或监管部门取消上述禁止性规定，本基金管理人在履行适当程序后可不受上述规定的限制。</w:t>
      </w:r>
    </w:p>
    <w:p w14:paraId="19B5C85D"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、基金托管人依据有关法律法规的规定和《基金合同》的约定对于基金关联投资限制进行监督。</w:t>
      </w:r>
    </w:p>
    <w:p w14:paraId="6DD4590C" w14:textId="77777777" w:rsidR="0037652E" w:rsidRDefault="00BF49B0">
      <w:pPr>
        <w:tabs>
          <w:tab w:val="left" w:pos="961"/>
        </w:tabs>
        <w:snapToGrid w:val="0"/>
        <w:spacing w:line="360" w:lineRule="auto"/>
        <w:ind w:firstLineChars="200" w:firstLine="480"/>
        <w:rPr>
          <w:bCs/>
          <w:sz w:val="24"/>
          <w:szCs w:val="24"/>
        </w:rPr>
      </w:pPr>
      <w:r>
        <w:rPr>
          <w:bCs/>
          <w:sz w:val="24"/>
          <w:szCs w:val="24"/>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w:t>
      </w:r>
      <w:r>
        <w:rPr>
          <w:bCs/>
          <w:sz w:val="24"/>
          <w:szCs w:val="24"/>
        </w:rPr>
        <w:t>2</w:t>
      </w:r>
      <w:r>
        <w:rPr>
          <w:bCs/>
          <w:sz w:val="24"/>
          <w:szCs w:val="24"/>
        </w:rPr>
        <w:t>个工作日内进行回函确认已知名单的变更。如果基金托管人在运作中严格遵循了前述监督流程，基金管理人仍违规进行关联交易，并造成基金资产损失的，由基金管理人承担责任。</w:t>
      </w:r>
    </w:p>
    <w:p w14:paraId="06690338"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14:paraId="05AD3784"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bCs/>
          <w:sz w:val="24"/>
          <w:szCs w:val="24"/>
        </w:rPr>
        <w:t>、基金托管人对基金管理人选择存款银行进行监督。</w:t>
      </w:r>
    </w:p>
    <w:p w14:paraId="613770F5"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投资银行存款的信用风险主要包括存款银行的信用等级、存款银行的支付能力等涉及到存款银行选择方面的风险。基金投资银行存款的，其基金管理人应根据法律法规的规定及基金合同的约定，确定符合条件的所有存款银行的名单，并及时提供给基金托管人，基金托管人应据以对基金投资银行存款的交易对手是否符合有关规定进行监督。本基金投资除提供的存款银行名单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存款银行名单进行调整。</w:t>
      </w:r>
    </w:p>
    <w:p w14:paraId="26F55513" w14:textId="0F35DFD0" w:rsidR="0037652E" w:rsidRDefault="00BF49B0">
      <w:pPr>
        <w:tabs>
          <w:tab w:val="left" w:pos="961"/>
        </w:tabs>
        <w:snapToGrid w:val="0"/>
        <w:spacing w:line="360" w:lineRule="auto"/>
        <w:ind w:firstLineChars="200" w:firstLine="480"/>
        <w:rPr>
          <w:bCs/>
          <w:sz w:val="24"/>
          <w:szCs w:val="24"/>
        </w:rPr>
      </w:pPr>
      <w:bookmarkStart w:id="151" w:name="_Toc174502381"/>
      <w:bookmarkStart w:id="152" w:name="_Toc174501009"/>
      <w:bookmarkStart w:id="153" w:name="_Toc174497179"/>
      <w:r>
        <w:rPr>
          <w:rFonts w:hint="eastAsia"/>
          <w:bCs/>
          <w:sz w:val="24"/>
          <w:szCs w:val="24"/>
        </w:rPr>
        <w:t>（二）</w:t>
      </w:r>
      <w:r>
        <w:rPr>
          <w:bCs/>
          <w:sz w:val="24"/>
          <w:szCs w:val="24"/>
        </w:rPr>
        <w:t>基金托管人应根据有关法律法规的规定及《基金合同》的约定，对基金资产净值计算、</w:t>
      </w:r>
      <w:r w:rsidR="001135EE">
        <w:rPr>
          <w:rFonts w:hint="eastAsia"/>
          <w:bCs/>
          <w:sz w:val="24"/>
          <w:szCs w:val="24"/>
        </w:rPr>
        <w:t>各类</w:t>
      </w:r>
      <w:r>
        <w:rPr>
          <w:bCs/>
          <w:sz w:val="24"/>
          <w:szCs w:val="24"/>
        </w:rPr>
        <w:t>基金份额净值计算、应收资金到账、基金费用开支及收入确定、基金收益分配、相关信息披露、基金宣传推介材料中登载基金业绩表现数据等进行监督和核查。</w:t>
      </w:r>
      <w:bookmarkEnd w:id="151"/>
      <w:bookmarkEnd w:id="152"/>
      <w:bookmarkEnd w:id="153"/>
    </w:p>
    <w:p w14:paraId="2CCD8D39"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（三）</w:t>
      </w:r>
      <w:r>
        <w:rPr>
          <w:bCs/>
          <w:sz w:val="24"/>
          <w:szCs w:val="24"/>
        </w:rPr>
        <w:t>基金托管人发现基金管理人或其授权投资机构的投资运作和投资指令违反法律法规或《基金合同》的规定，应及时以书面或电话或双方认可的其他方式通知基金管理人，由基金管理人限期纠正；基金管理人收到通知后应及时进行核对确认并回函；在限期内，基金托管人有权对通知事项进行复查，如基金管理人未予纠正，基金托管人应报告监管部门。</w:t>
      </w:r>
    </w:p>
    <w:p w14:paraId="64AF9CF2" w14:textId="77777777" w:rsidR="0037652E" w:rsidRDefault="00BF49B0">
      <w:pPr>
        <w:tabs>
          <w:tab w:val="left" w:pos="961"/>
        </w:tabs>
        <w:snapToGrid w:val="0"/>
        <w:spacing w:line="360" w:lineRule="auto"/>
        <w:ind w:firstLineChars="200" w:firstLine="480"/>
        <w:rPr>
          <w:bCs/>
          <w:sz w:val="24"/>
          <w:szCs w:val="24"/>
        </w:rPr>
      </w:pPr>
      <w:r>
        <w:rPr>
          <w:bCs/>
          <w:sz w:val="24"/>
          <w:szCs w:val="24"/>
        </w:rPr>
        <w:t>基金托管人发现基金管理人或其授权投资机构有重大违法违规行为，应立即报告有关监管机构，同时通知基金管理人；由基金管理人限期纠正，并将纠正结果报告有关机监管机构。</w:t>
      </w:r>
    </w:p>
    <w:p w14:paraId="4024D691"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基金管理人应积极配合和协助基金托管人的监督和核查，必须在规定时间内答复基金托管人并改正，就基金托管人的疑义进行解释或举证，对基金托管人按</w:t>
      </w:r>
      <w:r>
        <w:rPr>
          <w:bCs/>
          <w:sz w:val="24"/>
          <w:szCs w:val="24"/>
        </w:rPr>
        <w:lastRenderedPageBreak/>
        <w:t>照法规要求需向中国证监会报送基金监督报告的，基金管理人应积极配合提供相关数据资料和制度等。</w:t>
      </w:r>
    </w:p>
    <w:p w14:paraId="60484CAB"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50B22DB6"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（四）</w:t>
      </w:r>
      <w:r>
        <w:rPr>
          <w:bCs/>
          <w:sz w:val="24"/>
          <w:szCs w:val="24"/>
        </w:rPr>
        <w:t>基金管理人认可，合规投资责任方为基金管理人，基金托管人及其境外托管人的合规监管系统的准确性和完整性受限于基金管理人、经纪人及其他中介机构提供用于该系统的数据和信息。基金托管人及其境外托管人对这些机构的信息的准确性和完整性不作任何担保、暗示或表示，并对这些机构的信息的准确性和完整性所引起的损失不负任何责任。</w:t>
      </w:r>
    </w:p>
    <w:p w14:paraId="5E90870B"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（五）</w:t>
      </w:r>
      <w:r>
        <w:rPr>
          <w:bCs/>
          <w:sz w:val="24"/>
          <w:szCs w:val="24"/>
        </w:rPr>
        <w:t>无投资责任</w:t>
      </w:r>
    </w:p>
    <w:p w14:paraId="6999885C"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基金管理人应理解，托管人对于基金管理人的交易监督服务是一种加工应用信息的服务，而非投资服务。除下列第</w:t>
      </w:r>
      <w:r>
        <w:rPr>
          <w:rFonts w:hint="eastAsia"/>
          <w:bCs/>
          <w:sz w:val="24"/>
          <w:szCs w:val="24"/>
        </w:rPr>
        <w:t>（六）</w:t>
      </w:r>
      <w:r>
        <w:rPr>
          <w:bCs/>
          <w:sz w:val="24"/>
          <w:szCs w:val="24"/>
        </w:rPr>
        <w:t>项及法律法规明确另有规定外，基金托管人及其境外托管人将不会因为提供交易监督服务而承担任何因基金管理人违规投资所产生的有关责任，也没有义务去采取任何手段回应任何与合规分析服务有关的信息和报道，除非接到基金管理人或其授权机构要求基金托管人或其境外托管人针对某个信息和报道作回应的书面指示。</w:t>
      </w:r>
    </w:p>
    <w:p w14:paraId="421129A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（六）</w:t>
      </w:r>
      <w:r>
        <w:rPr>
          <w:bCs/>
          <w:sz w:val="24"/>
          <w:szCs w:val="24"/>
        </w:rPr>
        <w:t>基金托管人及其境外托管人应本着诚实尽责的原则，采取合理的手段、方法和实施工具，来提高交易监督服务的质量，除非基金托管人或其境外托管人因疏忽、过失或故意而未能尽职尽责，造成交易监督结果不准确，并进而给基金资产或基金管理人造成损失，否则基金托管人或其境外托管人不应就交易监督服务承担任何责任。</w:t>
      </w:r>
    </w:p>
    <w:p w14:paraId="2778E682"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三、基金管理人对基金托管人的业务核查</w:t>
      </w:r>
    </w:p>
    <w:p w14:paraId="642FCB16" w14:textId="74061AE1" w:rsidR="0037652E" w:rsidRDefault="00BF49B0">
      <w:pPr>
        <w:tabs>
          <w:tab w:val="left" w:pos="961"/>
        </w:tabs>
        <w:snapToGrid w:val="0"/>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在本协议有效期内，在不违反公平、合理原则，以及不导致基金托管人的接受基金管理人监督与检查与相关法律法规及其行业监管要求相冲突的基础上，基金管理人有权对基金托管人履行本协议的情况进行必要的监督与检查。基金管理人对基金托管人履行托管职责情况进行核查，核查事项包括但不限于基金托管人安全保管基金财产、开设基金财产的资金账户和证券账户、复核基金管理人计算的基金资产净值和</w:t>
      </w:r>
      <w:r w:rsidR="00DC39C4" w:rsidRPr="00DC39C4">
        <w:rPr>
          <w:rFonts w:hint="eastAsia"/>
          <w:bCs/>
          <w:sz w:val="24"/>
          <w:szCs w:val="24"/>
        </w:rPr>
        <w:t>各类</w:t>
      </w:r>
      <w:r>
        <w:rPr>
          <w:bCs/>
          <w:sz w:val="24"/>
          <w:szCs w:val="24"/>
        </w:rPr>
        <w:t>基金份额净值、根据管理人指令办理清算交收、相关信息披露和监督基金投资运作等行为。</w:t>
      </w:r>
    </w:p>
    <w:p w14:paraId="188EFE3C"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2</w:t>
      </w:r>
      <w:r>
        <w:rPr>
          <w:rFonts w:hint="eastAsia"/>
          <w:bCs/>
          <w:sz w:val="24"/>
          <w:szCs w:val="24"/>
        </w:rPr>
        <w:t>、</w:t>
      </w:r>
      <w:r>
        <w:rPr>
          <w:bCs/>
          <w:sz w:val="24"/>
          <w:szCs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须向基金托管人作出书面提示；基金托管人在接到提示后，应及时对提示内容予以确认，如无异议，应在基金管理人给定的合理期限内改进，如有异议，应作出书面解释。</w:t>
      </w:r>
    </w:p>
    <w:p w14:paraId="40BC0536"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基金托管人应积极配合基金管理人的核查行为，包括但不限于：提交相关资料以供基金管理人核查托管财产的完整性和真实性，在规定时间内答复基金管理人并改正。</w:t>
      </w:r>
    </w:p>
    <w:p w14:paraId="0820B20D"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rFonts w:hint="eastAsia"/>
          <w:bCs/>
          <w:sz w:val="24"/>
          <w:szCs w:val="24"/>
        </w:rPr>
        <w:t>、</w:t>
      </w:r>
      <w:r>
        <w:rPr>
          <w:bCs/>
          <w:sz w:val="24"/>
          <w:szCs w:val="24"/>
        </w:rPr>
        <w:t>基金管理人须尽其最大努力保证其对基金托管人的业务核查不影响基金托管人的正常营业活动。</w:t>
      </w:r>
    </w:p>
    <w:p w14:paraId="695B507F"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四、基金财产的保管</w:t>
      </w:r>
    </w:p>
    <w:p w14:paraId="6F2C05AE" w14:textId="77777777" w:rsidR="0037652E" w:rsidRDefault="00BF49B0">
      <w:pPr>
        <w:tabs>
          <w:tab w:val="left" w:pos="961"/>
        </w:tabs>
        <w:snapToGrid w:val="0"/>
        <w:spacing w:line="360" w:lineRule="auto"/>
        <w:ind w:firstLineChars="200" w:firstLine="480"/>
        <w:rPr>
          <w:bCs/>
          <w:sz w:val="24"/>
          <w:szCs w:val="24"/>
        </w:rPr>
      </w:pPr>
      <w:bookmarkStart w:id="154" w:name="_Toc174502384"/>
      <w:bookmarkStart w:id="155" w:name="_Toc174501012"/>
      <w:bookmarkStart w:id="156" w:name="_Toc37159173"/>
      <w:bookmarkStart w:id="157" w:name="_Toc174497183"/>
      <w:bookmarkStart w:id="158" w:name="_Toc174616283"/>
      <w:r>
        <w:rPr>
          <w:rFonts w:hint="eastAsia"/>
          <w:bCs/>
          <w:sz w:val="24"/>
          <w:szCs w:val="24"/>
        </w:rPr>
        <w:t>（一）</w:t>
      </w:r>
      <w:r>
        <w:rPr>
          <w:bCs/>
          <w:sz w:val="24"/>
          <w:szCs w:val="24"/>
        </w:rPr>
        <w:t>基金财产保管的原则</w:t>
      </w:r>
      <w:bookmarkEnd w:id="154"/>
      <w:bookmarkEnd w:id="155"/>
      <w:bookmarkEnd w:id="156"/>
      <w:bookmarkEnd w:id="157"/>
      <w:bookmarkEnd w:id="158"/>
    </w:p>
    <w:p w14:paraId="06E2D37C"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、基金财产应独立于基金管理人、基金托管人的固有财产；</w:t>
      </w:r>
    </w:p>
    <w:p w14:paraId="46D7E57B"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、基金托管人应安全保管基金财产；基金托管人按照规定开设基金财产的资金账户和证券账户；</w:t>
      </w:r>
    </w:p>
    <w:p w14:paraId="638B8AAE"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、基金托管人对所托管的不同基金财产分别设置账户，确保基金财产的完整与独立；</w:t>
      </w:r>
    </w:p>
    <w:p w14:paraId="7B541DBC"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除依据有关法律法规规定和本协议约定外，基金托管人及其境外托管人不得利用基金财产为自己或第三方谋取利益，违反此义务所得利益归于基金财产，由此造成的直接损失由基金托管人承担，该等责任包括但不限于恢复基金财产的原状、承担因此所引起的直接损失的赔偿责任；</w:t>
      </w:r>
    </w:p>
    <w:p w14:paraId="65059E0B"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bCs/>
          <w:sz w:val="24"/>
          <w:szCs w:val="24"/>
        </w:rPr>
        <w:t>、基金托管人自身，并尽商业上的合理努力确保境外托管人不得自行运用、处分、分配托管证券；</w:t>
      </w:r>
    </w:p>
    <w:p w14:paraId="238D09CE" w14:textId="77777777" w:rsidR="0037652E" w:rsidRDefault="00BF49B0">
      <w:pPr>
        <w:tabs>
          <w:tab w:val="left" w:pos="961"/>
        </w:tabs>
        <w:snapToGrid w:val="0"/>
        <w:spacing w:line="360" w:lineRule="auto"/>
        <w:ind w:firstLineChars="200" w:firstLine="480"/>
        <w:rPr>
          <w:bCs/>
          <w:sz w:val="24"/>
          <w:szCs w:val="24"/>
        </w:rPr>
      </w:pPr>
      <w:r>
        <w:rPr>
          <w:bCs/>
          <w:sz w:val="24"/>
          <w:szCs w:val="24"/>
        </w:rPr>
        <w:t>6</w:t>
      </w:r>
      <w:r>
        <w:rPr>
          <w:bCs/>
          <w:sz w:val="24"/>
          <w:szCs w:val="24"/>
        </w:rPr>
        <w:t>、除非根据基金管理人书面同意，基金托管人自身，并应尽商业上的合理努力确保境外托管人不得在任何基金资产上设立任何担保权利，包括但不限于抵押、质押、留置等，但根据有关适用法律的规定而产生的担保权利除外；</w:t>
      </w:r>
    </w:p>
    <w:p w14:paraId="74BDD656" w14:textId="77777777" w:rsidR="0037652E" w:rsidRDefault="00BF49B0">
      <w:pPr>
        <w:tabs>
          <w:tab w:val="left" w:pos="961"/>
        </w:tabs>
        <w:snapToGrid w:val="0"/>
        <w:spacing w:line="360" w:lineRule="auto"/>
        <w:ind w:firstLineChars="200" w:firstLine="480"/>
        <w:rPr>
          <w:bCs/>
          <w:sz w:val="24"/>
          <w:szCs w:val="24"/>
        </w:rPr>
      </w:pPr>
      <w:r>
        <w:rPr>
          <w:bCs/>
          <w:sz w:val="24"/>
          <w:szCs w:val="24"/>
        </w:rPr>
        <w:t>7</w:t>
      </w:r>
      <w:r>
        <w:rPr>
          <w:bCs/>
          <w:sz w:val="24"/>
          <w:szCs w:val="24"/>
        </w:rPr>
        <w:t>、对于因为基金管理人进行本协议项下基金投资产生的应收资产，应由基金管理人负责与有关当事人确定到账日期并通知基金托管人。如因基金持有的资产所产生的应收资产，并由基金托管人作为资产持有人，基金托管人应负责与有</w:t>
      </w:r>
      <w:r>
        <w:rPr>
          <w:bCs/>
          <w:sz w:val="24"/>
          <w:szCs w:val="24"/>
        </w:rPr>
        <w:lastRenderedPageBreak/>
        <w:t>关当事人确定到账日期并通知基金管理人。到账日没有到达托管账户的，基金托管人应及时通知并配合基金管理人采取措施进行催收，由此给基金造成损失的，基金管理人应负责向有关当事人追偿基金的损失。</w:t>
      </w:r>
    </w:p>
    <w:p w14:paraId="31D48B6B" w14:textId="77777777" w:rsidR="0037652E" w:rsidRDefault="00BF49B0">
      <w:pPr>
        <w:tabs>
          <w:tab w:val="left" w:pos="961"/>
        </w:tabs>
        <w:snapToGrid w:val="0"/>
        <w:spacing w:line="360" w:lineRule="auto"/>
        <w:ind w:firstLineChars="200" w:firstLine="480"/>
        <w:rPr>
          <w:bCs/>
          <w:sz w:val="24"/>
          <w:szCs w:val="24"/>
        </w:rPr>
      </w:pPr>
      <w:bookmarkStart w:id="159" w:name="_Toc37159174"/>
      <w:bookmarkStart w:id="160" w:name="_Toc174502385"/>
      <w:bookmarkStart w:id="161" w:name="_Toc174497184"/>
      <w:bookmarkStart w:id="162" w:name="_Toc174501013"/>
      <w:bookmarkStart w:id="163" w:name="_Toc174616284"/>
      <w:r>
        <w:rPr>
          <w:rFonts w:hint="eastAsia"/>
          <w:bCs/>
          <w:sz w:val="24"/>
          <w:szCs w:val="24"/>
        </w:rPr>
        <w:t>（二）</w:t>
      </w:r>
      <w:r>
        <w:rPr>
          <w:bCs/>
          <w:sz w:val="24"/>
          <w:szCs w:val="24"/>
        </w:rPr>
        <w:t>基金募集期间及募集资金的验资</w:t>
      </w:r>
      <w:bookmarkEnd w:id="159"/>
      <w:bookmarkEnd w:id="160"/>
      <w:bookmarkEnd w:id="161"/>
      <w:bookmarkEnd w:id="162"/>
      <w:bookmarkEnd w:id="163"/>
    </w:p>
    <w:p w14:paraId="41F54A2F"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Pr>
          <w:bCs/>
          <w:sz w:val="24"/>
          <w:szCs w:val="24"/>
        </w:rPr>
        <w:t>2</w:t>
      </w:r>
      <w:r>
        <w:rPr>
          <w:bCs/>
          <w:sz w:val="24"/>
          <w:szCs w:val="24"/>
        </w:rPr>
        <w:t>名以上（含</w:t>
      </w:r>
      <w:r>
        <w:rPr>
          <w:bCs/>
          <w:sz w:val="24"/>
          <w:szCs w:val="24"/>
        </w:rPr>
        <w:t>2</w:t>
      </w:r>
      <w:r>
        <w:rPr>
          <w:bCs/>
          <w:sz w:val="24"/>
          <w:szCs w:val="24"/>
        </w:rPr>
        <w:t>名）中国注册会计师签字有效。</w:t>
      </w:r>
    </w:p>
    <w:p w14:paraId="7A2BBD65"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、验资完成，基金管理人应将募集的属于本基金财产的全部资金划入基金托管人为基金开立的资产托管专户中，基金托管人在收到资金当日出具确认文件。</w:t>
      </w:r>
    </w:p>
    <w:p w14:paraId="7B0DC11A"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、若基金募集期限届满，未能达到《基金合同》生效的条件，由基金管理人按规定办理退款事宜。</w:t>
      </w:r>
    </w:p>
    <w:p w14:paraId="59B5F48F" w14:textId="77777777" w:rsidR="0037652E" w:rsidRDefault="00BF49B0">
      <w:pPr>
        <w:tabs>
          <w:tab w:val="left" w:pos="961"/>
        </w:tabs>
        <w:snapToGrid w:val="0"/>
        <w:spacing w:line="360" w:lineRule="auto"/>
        <w:ind w:firstLineChars="200" w:firstLine="480"/>
        <w:rPr>
          <w:bCs/>
          <w:sz w:val="24"/>
          <w:szCs w:val="24"/>
        </w:rPr>
      </w:pPr>
      <w:bookmarkStart w:id="164" w:name="_Toc174616285"/>
      <w:r>
        <w:rPr>
          <w:rFonts w:hint="eastAsia"/>
          <w:bCs/>
          <w:sz w:val="24"/>
          <w:szCs w:val="24"/>
        </w:rPr>
        <w:t>（三）</w:t>
      </w:r>
      <w:r>
        <w:rPr>
          <w:bCs/>
          <w:sz w:val="24"/>
          <w:szCs w:val="24"/>
        </w:rPr>
        <w:t>资产保管内容和约定事项</w:t>
      </w:r>
      <w:bookmarkEnd w:id="164"/>
    </w:p>
    <w:p w14:paraId="3474045E"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基金管理人同意，现金账户中的现金将由基金托管人或其境外托管人以基金托管人或其境外托管人的银行身份持有。</w:t>
      </w:r>
    </w:p>
    <w:p w14:paraId="61D84BA2" w14:textId="77777777" w:rsidR="0037652E" w:rsidRDefault="00BF49B0">
      <w:pPr>
        <w:tabs>
          <w:tab w:val="left" w:pos="961"/>
        </w:tabs>
        <w:snapToGrid w:val="0"/>
        <w:spacing w:line="360" w:lineRule="auto"/>
        <w:ind w:firstLineChars="200" w:firstLine="480"/>
        <w:rPr>
          <w:bCs/>
          <w:sz w:val="24"/>
          <w:szCs w:val="24"/>
        </w:rPr>
      </w:pPr>
      <w:r>
        <w:rPr>
          <w:bCs/>
          <w:sz w:val="24"/>
          <w:szCs w:val="24"/>
        </w:rPr>
        <w:t>除非被授权人按指令程序发送的指令另有规定，否则，基金托管人和其境外托管人应在收到被授权人的指令后，按下述方式收付现金、或收付证券：</w:t>
      </w:r>
      <w:r>
        <w:rPr>
          <w:bCs/>
          <w:sz w:val="24"/>
          <w:szCs w:val="24"/>
        </w:rPr>
        <w:t>(a)</w:t>
      </w:r>
      <w:r>
        <w:rPr>
          <w:bCs/>
          <w:sz w:val="24"/>
          <w:szCs w:val="24"/>
        </w:rPr>
        <w:t>按照交易发生的司法管辖区或市场的有关惯常和既定惯例和程序作出；或</w:t>
      </w:r>
      <w:r>
        <w:rPr>
          <w:bCs/>
          <w:sz w:val="24"/>
          <w:szCs w:val="24"/>
        </w:rPr>
        <w:t>(b)</w:t>
      </w:r>
      <w:r>
        <w:rPr>
          <w:bCs/>
          <w:sz w:val="24"/>
          <w:szCs w:val="24"/>
        </w:rPr>
        <w:t>就通过证券系统进行的买卖而言，按照管辖该系统运营的规则、条例和条件作出。基金托管人和其境外托管人应不时将该等有关惯例、程序、规则、条例和条件及时通知基金管理人。</w:t>
      </w:r>
    </w:p>
    <w:p w14:paraId="41DA7C9D" w14:textId="77777777" w:rsidR="0037652E" w:rsidRDefault="00BF49B0">
      <w:pPr>
        <w:tabs>
          <w:tab w:val="left" w:pos="961"/>
        </w:tabs>
        <w:snapToGrid w:val="0"/>
        <w:spacing w:line="360" w:lineRule="auto"/>
        <w:ind w:firstLineChars="200" w:firstLine="480"/>
        <w:rPr>
          <w:bCs/>
          <w:sz w:val="24"/>
          <w:szCs w:val="24"/>
        </w:rPr>
      </w:pPr>
      <w:r>
        <w:rPr>
          <w:bCs/>
          <w:sz w:val="24"/>
          <w:szCs w:val="24"/>
        </w:rPr>
        <w:t>基金托管人在因依法解散、被依法撤销或者被依法宣告清盘或破产等原因进行终止清算时，不得将基金财产归入其清算财产。基金托管人应自身，并尽商业上的合理努力确保其境外托管人建立安全的数据管理机制，安全完整地保存基金管理人与基金财产相关的业务数据和信息。</w:t>
      </w:r>
    </w:p>
    <w:p w14:paraId="75EB690D" w14:textId="77777777" w:rsidR="0037652E" w:rsidRDefault="00BF49B0">
      <w:pPr>
        <w:tabs>
          <w:tab w:val="left" w:pos="961"/>
        </w:tabs>
        <w:snapToGrid w:val="0"/>
        <w:spacing w:line="360" w:lineRule="auto"/>
        <w:ind w:firstLineChars="200" w:firstLine="480"/>
        <w:rPr>
          <w:bCs/>
          <w:sz w:val="24"/>
          <w:szCs w:val="24"/>
        </w:rPr>
      </w:pPr>
      <w:bookmarkStart w:id="165" w:name="_Toc174616286"/>
      <w:r>
        <w:rPr>
          <w:rFonts w:hint="eastAsia"/>
          <w:bCs/>
          <w:sz w:val="24"/>
          <w:szCs w:val="24"/>
        </w:rPr>
        <w:t>（四）</w:t>
      </w:r>
      <w:r>
        <w:rPr>
          <w:bCs/>
          <w:sz w:val="24"/>
          <w:szCs w:val="24"/>
        </w:rPr>
        <w:t>基金资金账户的开立和管理</w:t>
      </w:r>
      <w:bookmarkEnd w:id="165"/>
    </w:p>
    <w:p w14:paraId="632A05A4"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托管人可以基金或者托管人与基金联名的形式在其营业机构或其境外托管人处开立基金的资金帐户，并根据基金管理人合法合规的指令办理资金收付。基金资金账户的银行预留印鉴由基金托管人或其境外托管人的营业机构保管和使用。</w:t>
      </w:r>
    </w:p>
    <w:p w14:paraId="5E275066"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2</w:t>
      </w:r>
      <w:r>
        <w:rPr>
          <w:bCs/>
          <w:sz w:val="24"/>
          <w:szCs w:val="24"/>
        </w:rPr>
        <w:t>、基金资金账户的开立和使用，限于满足开展基金业务的需要。基金托管人、基金管理人不得假借基金的名义开立任何其他银行账户；亦不得使用基金的任何账户进行基金业务以外的活动。</w:t>
      </w:r>
    </w:p>
    <w:p w14:paraId="25444182"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、基金资金账户的开立和管理应符合账户所在国家或地区相关监管机构的有关规定。</w:t>
      </w:r>
    </w:p>
    <w:p w14:paraId="4691D3A5" w14:textId="77777777" w:rsidR="0037652E" w:rsidRDefault="00BF49B0">
      <w:pPr>
        <w:tabs>
          <w:tab w:val="left" w:pos="961"/>
        </w:tabs>
        <w:snapToGrid w:val="0"/>
        <w:spacing w:line="360" w:lineRule="auto"/>
        <w:ind w:firstLineChars="200" w:firstLine="480"/>
        <w:rPr>
          <w:bCs/>
          <w:sz w:val="24"/>
          <w:szCs w:val="24"/>
        </w:rPr>
      </w:pPr>
      <w:bookmarkStart w:id="166" w:name="_Toc136455381"/>
      <w:bookmarkStart w:id="167" w:name="_Toc174616287"/>
      <w:r>
        <w:rPr>
          <w:rFonts w:hint="eastAsia"/>
          <w:bCs/>
          <w:sz w:val="24"/>
          <w:szCs w:val="24"/>
        </w:rPr>
        <w:t>（五）</w:t>
      </w:r>
      <w:r>
        <w:rPr>
          <w:bCs/>
          <w:sz w:val="24"/>
          <w:szCs w:val="24"/>
        </w:rPr>
        <w:t>基金证券账户的开立和管理</w:t>
      </w:r>
      <w:bookmarkEnd w:id="166"/>
      <w:bookmarkEnd w:id="167"/>
    </w:p>
    <w:p w14:paraId="63713C5A"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托管人按照投资地法律法规要求或行业惯例需要，在基金所投资市场或证券交易所适用的登记结算机构为基金开立基金名义或基金托管人名义或境外托管人名义或境外托管人的代理人名义，或以上任何一方与基金联名名义的证券账户。由基金托管人或其境外托管人负责办理与开立证券账户有关的手续，基金管理人提供所有必要协助。</w:t>
      </w:r>
    </w:p>
    <w:p w14:paraId="0A25399E"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基金证券账户的开立和使用，仅限于满足开展基金业务的需要。基金托管人和基金管理人以及境外托管人均不得出借或未经基金托管人、基金管理人双方同意擅自转让基金的任何证券账户，亦不得使用基金的任何账户进行基金业务以外的活动。</w:t>
      </w:r>
    </w:p>
    <w:p w14:paraId="51200B9C"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、基金证券账户的开立和证券账户相关证明文件的保管由基金托管人负责，账户资产的管理和运用由基金管理人负责。</w:t>
      </w:r>
    </w:p>
    <w:p w14:paraId="556A35C3"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基金管理人投资于合法合规、符合基金合同的其他非交易所市场的投资品种时，在基金合同生效后，基金托管人或其境外托管人根据投资所在市场以及国家或地区的相关规定，开立进行基金的投资活动所需要的各类证券和结算账户，并协助办理与各类证券和结算账户相关的投资资格。</w:t>
      </w:r>
    </w:p>
    <w:p w14:paraId="669D6EBA"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bCs/>
          <w:sz w:val="24"/>
          <w:szCs w:val="24"/>
        </w:rPr>
        <w:t>、基金证券账户的开立和管理应符合账户所在国家或地区有关法律的规定。</w:t>
      </w:r>
    </w:p>
    <w:p w14:paraId="40ADBD32" w14:textId="77777777" w:rsidR="0037652E" w:rsidRDefault="00BF49B0">
      <w:pPr>
        <w:tabs>
          <w:tab w:val="left" w:pos="961"/>
        </w:tabs>
        <w:snapToGrid w:val="0"/>
        <w:spacing w:line="360" w:lineRule="auto"/>
        <w:ind w:firstLineChars="200" w:firstLine="480"/>
        <w:rPr>
          <w:bCs/>
          <w:sz w:val="24"/>
          <w:szCs w:val="24"/>
        </w:rPr>
      </w:pPr>
      <w:bookmarkStart w:id="168" w:name="_Toc174616288"/>
      <w:bookmarkStart w:id="169" w:name="_Toc136455382"/>
      <w:r>
        <w:rPr>
          <w:rFonts w:hint="eastAsia"/>
          <w:bCs/>
          <w:sz w:val="24"/>
          <w:szCs w:val="24"/>
        </w:rPr>
        <w:t>（六）</w:t>
      </w:r>
      <w:r>
        <w:rPr>
          <w:bCs/>
          <w:sz w:val="24"/>
          <w:szCs w:val="24"/>
        </w:rPr>
        <w:t>其他账户的开立和管理</w:t>
      </w:r>
      <w:bookmarkEnd w:id="168"/>
      <w:bookmarkEnd w:id="169"/>
    </w:p>
    <w:p w14:paraId="64400905"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、因业务发展需要而开立的其他账户，可以根据投资市场所在国家或地区法律法规和基金合同的规定，由基金托管人或其境外托管人负责开立，基金管理人应提供所有必要协助。</w:t>
      </w:r>
    </w:p>
    <w:p w14:paraId="07A6E733"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、投资市场所在国家或地区法律法规等有关规定对相关账户的开立和管理另有规定的，从其规定办理。</w:t>
      </w:r>
    </w:p>
    <w:p w14:paraId="290055F6" w14:textId="77777777" w:rsidR="0037652E" w:rsidRDefault="00BF49B0">
      <w:pPr>
        <w:tabs>
          <w:tab w:val="left" w:pos="961"/>
        </w:tabs>
        <w:snapToGrid w:val="0"/>
        <w:spacing w:line="360" w:lineRule="auto"/>
        <w:ind w:firstLineChars="200" w:firstLine="480"/>
        <w:rPr>
          <w:bCs/>
          <w:sz w:val="24"/>
          <w:szCs w:val="24"/>
        </w:rPr>
      </w:pPr>
      <w:bookmarkStart w:id="170" w:name="_Toc174616289"/>
      <w:r>
        <w:rPr>
          <w:rFonts w:hint="eastAsia"/>
          <w:bCs/>
          <w:sz w:val="24"/>
          <w:szCs w:val="24"/>
        </w:rPr>
        <w:t>（七）</w:t>
      </w:r>
      <w:r>
        <w:rPr>
          <w:bCs/>
          <w:sz w:val="24"/>
          <w:szCs w:val="24"/>
        </w:rPr>
        <w:t>证券登记</w:t>
      </w:r>
      <w:bookmarkEnd w:id="170"/>
    </w:p>
    <w:p w14:paraId="0CEE8E52"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、境外证券的注册登记方式应符合投资当地市场的有关法律、法规和市场</w:t>
      </w:r>
      <w:r>
        <w:rPr>
          <w:bCs/>
          <w:sz w:val="24"/>
          <w:szCs w:val="24"/>
        </w:rPr>
        <w:lastRenderedPageBreak/>
        <w:t>惯例。</w:t>
      </w:r>
    </w:p>
    <w:p w14:paraId="36D68BFF"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、基金托管人应确保基金管理人所管理的基金或基金份额持有人始终是以所有证券的实益所有人（</w:t>
      </w:r>
      <w:r>
        <w:rPr>
          <w:bCs/>
          <w:sz w:val="24"/>
          <w:szCs w:val="24"/>
        </w:rPr>
        <w:t>beneficial owner</w:t>
      </w:r>
      <w:r>
        <w:rPr>
          <w:bCs/>
          <w:sz w:val="24"/>
          <w:szCs w:val="24"/>
        </w:rPr>
        <w:t>）的方式持有基金财产中的所有证券。</w:t>
      </w:r>
    </w:p>
    <w:p w14:paraId="5FC595EB"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、基金托管人应该：（</w:t>
      </w:r>
      <w:r>
        <w:rPr>
          <w:bCs/>
          <w:sz w:val="24"/>
          <w:szCs w:val="24"/>
        </w:rPr>
        <w:t>1</w:t>
      </w:r>
      <w:r>
        <w:rPr>
          <w:bCs/>
          <w:sz w:val="24"/>
          <w:szCs w:val="24"/>
        </w:rPr>
        <w:t>）在其账目和记录中单独列记属于本基金的证券，并且（</w:t>
      </w:r>
      <w:r>
        <w:rPr>
          <w:bCs/>
          <w:sz w:val="24"/>
          <w:szCs w:val="24"/>
        </w:rPr>
        <w:t>2</w:t>
      </w:r>
      <w:r>
        <w:rPr>
          <w:bCs/>
          <w:sz w:val="24"/>
          <w:szCs w:val="24"/>
        </w:rPr>
        <w:t>）要求和尽商业上的合理努力确保其境外托管人在其账目和记录中单独清楚列记证券不属于境外托管人，不论证券以何人的名义登记。而且，若证券由基金托管人、境外托管人以无记名方式实际持有，要求和尽商业上的合理努力确保其境外托管人将这些证券和基金托管人、其境外托管人自有资产、任何其他人的资产分别独立存放。</w:t>
      </w:r>
    </w:p>
    <w:p w14:paraId="3A1541DF"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、除非基金托管人及其境外托管人存在过失、疏忽、欺诈或故意不当行为，基金托管人将不保证其或其境外托管人所接收基金财产中的证券的所有权、合法性或真实性（包括是否以良好形式转让）。</w:t>
      </w:r>
    </w:p>
    <w:p w14:paraId="5C8CD842"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bCs/>
          <w:sz w:val="24"/>
          <w:szCs w:val="24"/>
        </w:rPr>
        <w:t>、基金托管人及其境外托管人应指示存放在证券系统的证券为基金的实益所有人持有，但须遵守管辖该系统运营的规则、条例和条件。</w:t>
      </w:r>
    </w:p>
    <w:p w14:paraId="22514A6C" w14:textId="77777777" w:rsidR="0037652E" w:rsidRDefault="00BF49B0">
      <w:pPr>
        <w:tabs>
          <w:tab w:val="left" w:pos="961"/>
        </w:tabs>
        <w:snapToGrid w:val="0"/>
        <w:spacing w:line="360" w:lineRule="auto"/>
        <w:ind w:firstLineChars="200" w:firstLine="480"/>
        <w:rPr>
          <w:bCs/>
          <w:sz w:val="24"/>
          <w:szCs w:val="24"/>
        </w:rPr>
      </w:pPr>
      <w:r>
        <w:rPr>
          <w:bCs/>
          <w:sz w:val="24"/>
          <w:szCs w:val="24"/>
        </w:rPr>
        <w:t>6</w:t>
      </w:r>
      <w:r>
        <w:rPr>
          <w:bCs/>
          <w:sz w:val="24"/>
          <w:szCs w:val="24"/>
        </w:rPr>
        <w:t>、由基金托管人及其境外托管人为基金的利益而持有的证券（无记名证券和在证券系统持有的证券除外）应按本协议约定登记。</w:t>
      </w:r>
    </w:p>
    <w:p w14:paraId="23A0E109" w14:textId="77777777" w:rsidR="0037652E" w:rsidRDefault="00BF49B0">
      <w:pPr>
        <w:tabs>
          <w:tab w:val="left" w:pos="961"/>
        </w:tabs>
        <w:snapToGrid w:val="0"/>
        <w:spacing w:line="360" w:lineRule="auto"/>
        <w:ind w:firstLineChars="200" w:firstLine="480"/>
        <w:rPr>
          <w:bCs/>
          <w:sz w:val="24"/>
          <w:szCs w:val="24"/>
        </w:rPr>
      </w:pPr>
      <w:r>
        <w:rPr>
          <w:bCs/>
          <w:sz w:val="24"/>
          <w:szCs w:val="24"/>
        </w:rPr>
        <w:t>7</w:t>
      </w:r>
      <w:r>
        <w:rPr>
          <w:bCs/>
          <w:sz w:val="24"/>
          <w:szCs w:val="24"/>
        </w:rPr>
        <w:t>、基金托管人及其境外托管人应就其为基金利益而持有证券的市场有关证券登记方式的重大改变通知基金管理人。若基金管理人要求改变本协议约定的证券登记方式，基金托管人及其境外托管人应就此予以充分配合。</w:t>
      </w:r>
    </w:p>
    <w:p w14:paraId="6DE5DAE7" w14:textId="77777777" w:rsidR="0037652E" w:rsidRDefault="00BF49B0">
      <w:pPr>
        <w:tabs>
          <w:tab w:val="left" w:pos="961"/>
        </w:tabs>
        <w:snapToGrid w:val="0"/>
        <w:spacing w:line="360" w:lineRule="auto"/>
        <w:ind w:firstLineChars="200" w:firstLine="480"/>
        <w:rPr>
          <w:bCs/>
          <w:sz w:val="24"/>
          <w:szCs w:val="24"/>
        </w:rPr>
      </w:pPr>
      <w:bookmarkStart w:id="171" w:name="_Toc174497185"/>
      <w:bookmarkStart w:id="172" w:name="_Toc174501014"/>
      <w:bookmarkStart w:id="173" w:name="_Toc174616290"/>
      <w:bookmarkStart w:id="174" w:name="_Toc174502386"/>
      <w:r>
        <w:rPr>
          <w:rFonts w:hint="eastAsia"/>
          <w:bCs/>
          <w:sz w:val="24"/>
          <w:szCs w:val="24"/>
        </w:rPr>
        <w:t>（八）</w:t>
      </w:r>
      <w:r>
        <w:rPr>
          <w:bCs/>
          <w:sz w:val="24"/>
          <w:szCs w:val="24"/>
        </w:rPr>
        <w:t>基金财产投资的有关实物证券、银行定期存款存单等有价凭证的保管</w:t>
      </w:r>
      <w:bookmarkEnd w:id="171"/>
      <w:bookmarkEnd w:id="172"/>
      <w:bookmarkEnd w:id="173"/>
      <w:bookmarkEnd w:id="174"/>
    </w:p>
    <w:p w14:paraId="260BB872" w14:textId="77777777" w:rsidR="0037652E" w:rsidRDefault="00BF49B0">
      <w:pPr>
        <w:tabs>
          <w:tab w:val="left" w:pos="961"/>
        </w:tabs>
        <w:snapToGrid w:val="0"/>
        <w:spacing w:line="360" w:lineRule="auto"/>
        <w:ind w:firstLineChars="200" w:firstLine="480"/>
        <w:rPr>
          <w:bCs/>
          <w:sz w:val="24"/>
          <w:szCs w:val="24"/>
        </w:rPr>
      </w:pPr>
      <w:r>
        <w:rPr>
          <w:bCs/>
          <w:sz w:val="24"/>
          <w:szCs w:val="24"/>
        </w:rPr>
        <w:t>基金财产投资的有关实物证券由基金托管人存放于基金托管人或其境外托管人的保管库。实物证券的购买和转让，由基金托管人根据基金管理人（或其授权的境外投资顾问）的指令办理。属于基金托管人及其境外托管人实际有效控制下的实物证券在基金托管人保管期间的损坏、灭失，由此产生的责任应由基金托管人承担。基金托管人对基金托管人及其境外托管人以外机构实际有效控制的证券不承担保管责任。</w:t>
      </w:r>
    </w:p>
    <w:p w14:paraId="2AAFAFE1" w14:textId="77777777" w:rsidR="0037652E" w:rsidRDefault="00BF49B0">
      <w:pPr>
        <w:tabs>
          <w:tab w:val="left" w:pos="961"/>
        </w:tabs>
        <w:snapToGrid w:val="0"/>
        <w:spacing w:line="360" w:lineRule="auto"/>
        <w:ind w:firstLineChars="200" w:firstLine="480"/>
        <w:rPr>
          <w:bCs/>
          <w:sz w:val="24"/>
          <w:szCs w:val="24"/>
        </w:rPr>
      </w:pPr>
      <w:bookmarkStart w:id="175" w:name="_Toc174501015"/>
      <w:bookmarkStart w:id="176" w:name="_Toc37159180"/>
      <w:bookmarkStart w:id="177" w:name="_Toc174616291"/>
      <w:bookmarkStart w:id="178" w:name="_Toc174502387"/>
      <w:bookmarkStart w:id="179" w:name="_Toc174497186"/>
      <w:r>
        <w:rPr>
          <w:rFonts w:hint="eastAsia"/>
          <w:bCs/>
          <w:sz w:val="24"/>
          <w:szCs w:val="24"/>
        </w:rPr>
        <w:t>（九）</w:t>
      </w:r>
      <w:r>
        <w:rPr>
          <w:bCs/>
          <w:sz w:val="24"/>
          <w:szCs w:val="24"/>
        </w:rPr>
        <w:t>与基金财产有关的重大合同的保管</w:t>
      </w:r>
      <w:bookmarkEnd w:id="175"/>
      <w:bookmarkEnd w:id="176"/>
      <w:bookmarkEnd w:id="177"/>
      <w:bookmarkEnd w:id="178"/>
      <w:bookmarkEnd w:id="179"/>
    </w:p>
    <w:p w14:paraId="30FB02A3"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基金管理人应及时向基金托管人提供涉及基金财产投资运作的书面协议的副本或相关证明文件。</w:t>
      </w:r>
    </w:p>
    <w:p w14:paraId="28A0EE06" w14:textId="77777777" w:rsidR="0037652E" w:rsidRDefault="00BF49B0">
      <w:pPr>
        <w:tabs>
          <w:tab w:val="left" w:pos="961"/>
        </w:tabs>
        <w:snapToGrid w:val="0"/>
        <w:spacing w:line="360" w:lineRule="auto"/>
        <w:ind w:firstLineChars="200" w:firstLine="480"/>
        <w:rPr>
          <w:bCs/>
          <w:sz w:val="24"/>
          <w:szCs w:val="24"/>
        </w:rPr>
      </w:pPr>
      <w:r>
        <w:rPr>
          <w:bCs/>
          <w:sz w:val="24"/>
          <w:szCs w:val="24"/>
        </w:rPr>
        <w:t>由基金管理人代表基金签署的与基金有关的重大合同的原件分别应由基金</w:t>
      </w:r>
      <w:r>
        <w:rPr>
          <w:bCs/>
          <w:sz w:val="24"/>
          <w:szCs w:val="24"/>
        </w:rPr>
        <w:lastRenderedPageBreak/>
        <w:t>托管人、基金管理人保管。除本协议另有规定外，基金管理人在代表基金签署与基金有关的重大合同时应保证基金一方持有两份以上的正本，以便基金管理人和基金托管人至少各持有一份正本的原件。合同原件应存放于基金管理人和基金托管人各自文件保管部门，保存时间应符合相关法律、法规要求。</w:t>
      </w:r>
    </w:p>
    <w:p w14:paraId="40D8289B"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五、基金资产净值计算和会计核算</w:t>
      </w:r>
    </w:p>
    <w:p w14:paraId="3F9AA6A3" w14:textId="77777777" w:rsidR="0037652E" w:rsidRDefault="00BF49B0">
      <w:pPr>
        <w:tabs>
          <w:tab w:val="left" w:pos="961"/>
        </w:tabs>
        <w:snapToGrid w:val="0"/>
        <w:spacing w:line="360" w:lineRule="auto"/>
        <w:ind w:firstLineChars="200" w:firstLine="480"/>
        <w:rPr>
          <w:bCs/>
          <w:sz w:val="24"/>
          <w:szCs w:val="24"/>
        </w:rPr>
      </w:pPr>
      <w:bookmarkStart w:id="180" w:name="_Toc174616310"/>
      <w:r>
        <w:rPr>
          <w:rFonts w:hint="eastAsia"/>
          <w:bCs/>
          <w:sz w:val="24"/>
          <w:szCs w:val="24"/>
        </w:rPr>
        <w:t>（一）</w:t>
      </w:r>
      <w:r>
        <w:rPr>
          <w:bCs/>
          <w:sz w:val="24"/>
          <w:szCs w:val="24"/>
        </w:rPr>
        <w:t>基金资产估值方法和特殊情形的处理</w:t>
      </w:r>
      <w:bookmarkEnd w:id="180"/>
    </w:p>
    <w:p w14:paraId="2AF79D5F"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、会计核算和估值的处理原则</w:t>
      </w:r>
    </w:p>
    <w:p w14:paraId="785D1D6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托管资产的会计责任主体为基金管理人，基金托管人对本基金的资产净值计算进行复核。基金管理人应向基金托管人提供基金托管人进行本基金的净值计算复核和本基金进行信息披露所需要的相关信息。基金管理人应依据与基金托管人及其境外托管人协商确定的会计原则和会计准则进行会计处理。</w:t>
      </w:r>
    </w:p>
    <w:p w14:paraId="273DD4B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）基金托管人负责按照中国会计准则及双方认可的会计处理方法，为基金提供会计核算服务。</w:t>
      </w:r>
      <w:r>
        <w:rPr>
          <w:bCs/>
          <w:sz w:val="24"/>
          <w:szCs w:val="24"/>
        </w:rPr>
        <w:t xml:space="preserve"> </w:t>
      </w:r>
    </w:p>
    <w:p w14:paraId="0A16DB6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）基金托管人、境外托管人应按国家规定和基金管理人要求对托管资产中的证券账户和现金账户进行帐实核对。</w:t>
      </w:r>
      <w:r>
        <w:rPr>
          <w:bCs/>
          <w:sz w:val="24"/>
          <w:szCs w:val="24"/>
        </w:rPr>
        <w:t xml:space="preserve"> </w:t>
      </w:r>
    </w:p>
    <w:p w14:paraId="29EB031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）基金管理人有权委托第三方独立机构进行会计核算，并认可其委托的第三方独立机构所计算的基金资产净值，基金托管人对基金管理人认可的第三方独立机构所计算的资产净值进行复核。</w:t>
      </w:r>
    </w:p>
    <w:p w14:paraId="37E23D95"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、基金托管人的会计核算处理</w:t>
      </w:r>
    </w:p>
    <w:p w14:paraId="7D6147C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在遵守相关会计法律法规的前提下，基金托管人应按基金管理人和基金托管人协商确定的会计核算方法和处理原则进行会计核算，并对基金单独建账、独立核算，并应指定专门人员负责会计核算与会计资料保管。属于基金财产的收益应全额计入会计账簿，不得与其他托管资产的收益相混淆。</w:t>
      </w:r>
    </w:p>
    <w:p w14:paraId="180AB406"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托管资产核算的内容包括但不限于：证券买卖业务的核算、持有资产的付息、兑付、分红等业务的核算、证券发行认购业务的核算、货币市场产品买卖业务的核算、银行存款计息、存款账户间的资金划付业务的核算、支付费用的核算、汇兑损益的核算等。</w:t>
      </w:r>
    </w:p>
    <w:p w14:paraId="6DA8F5DC"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、净值计算</w:t>
      </w:r>
    </w:p>
    <w:p w14:paraId="05ECF528" w14:textId="3757AACD"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）资产净值是指基金资产总值减去负债后的金额。</w:t>
      </w:r>
      <w:r w:rsidR="003F15AD">
        <w:rPr>
          <w:rFonts w:hint="eastAsia"/>
          <w:bCs/>
          <w:sz w:val="24"/>
        </w:rPr>
        <w:t>各类基金</w:t>
      </w:r>
      <w:r>
        <w:rPr>
          <w:bCs/>
          <w:sz w:val="24"/>
          <w:szCs w:val="24"/>
        </w:rPr>
        <w:t>份额净值是指</w:t>
      </w:r>
      <w:r w:rsidR="007F5E7A">
        <w:rPr>
          <w:rFonts w:hint="eastAsia"/>
          <w:bCs/>
          <w:sz w:val="24"/>
          <w:szCs w:val="24"/>
        </w:rPr>
        <w:t>某一类基金</w:t>
      </w:r>
      <w:r>
        <w:rPr>
          <w:bCs/>
          <w:sz w:val="24"/>
          <w:szCs w:val="24"/>
        </w:rPr>
        <w:t>资产净值除以</w:t>
      </w:r>
      <w:r w:rsidR="00B1799D">
        <w:rPr>
          <w:rFonts w:hint="eastAsia"/>
          <w:bCs/>
          <w:sz w:val="24"/>
          <w:szCs w:val="24"/>
        </w:rPr>
        <w:t>该类基金</w:t>
      </w:r>
      <w:r>
        <w:rPr>
          <w:bCs/>
          <w:sz w:val="24"/>
          <w:szCs w:val="24"/>
        </w:rPr>
        <w:t>份额总数，</w:t>
      </w:r>
      <w:r w:rsidR="00B1799D">
        <w:rPr>
          <w:rFonts w:hint="eastAsia"/>
          <w:bCs/>
          <w:sz w:val="24"/>
          <w:szCs w:val="24"/>
        </w:rPr>
        <w:t>各类</w:t>
      </w:r>
      <w:r>
        <w:rPr>
          <w:bCs/>
          <w:sz w:val="24"/>
          <w:szCs w:val="24"/>
        </w:rPr>
        <w:t>基金份额净值的计算，</w:t>
      </w:r>
      <w:r w:rsidR="00B1799D">
        <w:rPr>
          <w:rFonts w:hint="eastAsia"/>
          <w:bCs/>
          <w:sz w:val="24"/>
          <w:szCs w:val="24"/>
        </w:rPr>
        <w:t>均</w:t>
      </w:r>
      <w:r>
        <w:rPr>
          <w:bCs/>
          <w:sz w:val="24"/>
          <w:szCs w:val="24"/>
        </w:rPr>
        <w:t>精</w:t>
      </w:r>
      <w:r>
        <w:rPr>
          <w:bCs/>
          <w:sz w:val="24"/>
          <w:szCs w:val="24"/>
        </w:rPr>
        <w:lastRenderedPageBreak/>
        <w:t>确到</w:t>
      </w:r>
      <w:r>
        <w:rPr>
          <w:bCs/>
          <w:sz w:val="24"/>
          <w:szCs w:val="24"/>
        </w:rPr>
        <w:t>0.001</w:t>
      </w:r>
      <w:r>
        <w:rPr>
          <w:bCs/>
          <w:sz w:val="24"/>
          <w:szCs w:val="24"/>
        </w:rPr>
        <w:t>人民币，小数点后第</w:t>
      </w:r>
      <w:r>
        <w:rPr>
          <w:bCs/>
          <w:sz w:val="24"/>
          <w:szCs w:val="24"/>
        </w:rPr>
        <w:t>4</w:t>
      </w:r>
      <w:r>
        <w:rPr>
          <w:bCs/>
          <w:sz w:val="24"/>
          <w:szCs w:val="24"/>
        </w:rPr>
        <w:t>位四舍五入，国家另有规定的，从其规定。</w:t>
      </w:r>
    </w:p>
    <w:p w14:paraId="6E85B94C" w14:textId="394058BC"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）基金资产净值的计算日为每一基金开放日</w:t>
      </w:r>
      <w:r>
        <w:rPr>
          <w:rFonts w:hint="eastAsia"/>
          <w:bCs/>
          <w:sz w:val="24"/>
          <w:szCs w:val="24"/>
        </w:rPr>
        <w:t>以及国家法律法规规定需要对外披露基金净值的非开放日</w:t>
      </w:r>
      <w:r>
        <w:rPr>
          <w:bCs/>
          <w:sz w:val="24"/>
          <w:szCs w:val="24"/>
        </w:rPr>
        <w:t>，基金管理人和基金托管人在收集净值计算日估值价格截止时点所估值证券的最近市场价格后，按基金管理人和基金托管人双方协商确定的估值方法和处理原则对各类估值资产进行估值，如监管有相关规定的，按相关规定进行估值，计算出基金资产净值及</w:t>
      </w:r>
      <w:r w:rsidR="00B1799D">
        <w:rPr>
          <w:rFonts w:hint="eastAsia"/>
          <w:bCs/>
          <w:sz w:val="24"/>
          <w:szCs w:val="24"/>
        </w:rPr>
        <w:t>各类</w:t>
      </w:r>
      <w:r>
        <w:rPr>
          <w:bCs/>
          <w:sz w:val="24"/>
          <w:szCs w:val="24"/>
        </w:rPr>
        <w:t>基金份额净值，并按规定公告。</w:t>
      </w:r>
    </w:p>
    <w:p w14:paraId="1B229A8A" w14:textId="77777777" w:rsidR="0037652E" w:rsidRDefault="00BF49B0">
      <w:pPr>
        <w:tabs>
          <w:tab w:val="left" w:pos="961"/>
        </w:tabs>
        <w:snapToGrid w:val="0"/>
        <w:spacing w:line="360" w:lineRule="auto"/>
        <w:ind w:firstLineChars="200" w:firstLine="480"/>
        <w:rPr>
          <w:bCs/>
          <w:sz w:val="24"/>
          <w:szCs w:val="24"/>
        </w:rPr>
      </w:pPr>
      <w:bookmarkStart w:id="181" w:name="_Toc136455403"/>
      <w:bookmarkStart w:id="182" w:name="_Toc174616311"/>
      <w:r>
        <w:rPr>
          <w:rFonts w:hint="eastAsia"/>
          <w:bCs/>
          <w:sz w:val="24"/>
          <w:szCs w:val="24"/>
        </w:rPr>
        <w:t>（二）</w:t>
      </w:r>
      <w:r>
        <w:rPr>
          <w:bCs/>
          <w:sz w:val="24"/>
          <w:szCs w:val="24"/>
        </w:rPr>
        <w:t>基金份额净值错误的处理方式</w:t>
      </w:r>
      <w:bookmarkEnd w:id="181"/>
      <w:bookmarkEnd w:id="182"/>
    </w:p>
    <w:p w14:paraId="198F526A" w14:textId="2762B3C5" w:rsidR="0037652E" w:rsidRDefault="00B1799D">
      <w:pPr>
        <w:tabs>
          <w:tab w:val="left" w:pos="961"/>
        </w:tabs>
        <w:snapToGrid w:val="0"/>
        <w:spacing w:line="360" w:lineRule="auto"/>
        <w:ind w:firstLineChars="200" w:firstLine="480"/>
        <w:rPr>
          <w:bCs/>
          <w:sz w:val="24"/>
          <w:szCs w:val="24"/>
        </w:rPr>
      </w:pPr>
      <w:r>
        <w:rPr>
          <w:rFonts w:hint="eastAsia"/>
          <w:bCs/>
          <w:sz w:val="24"/>
          <w:szCs w:val="24"/>
        </w:rPr>
        <w:t>各类</w:t>
      </w:r>
      <w:r w:rsidR="00BF49B0">
        <w:rPr>
          <w:bCs/>
          <w:sz w:val="24"/>
          <w:szCs w:val="24"/>
        </w:rPr>
        <w:t>基金份额净值的计算</w:t>
      </w:r>
      <w:r w:rsidR="003F15AD">
        <w:rPr>
          <w:rFonts w:hint="eastAsia"/>
          <w:bCs/>
          <w:sz w:val="24"/>
        </w:rPr>
        <w:t>均</w:t>
      </w:r>
      <w:r w:rsidR="00BF49B0">
        <w:rPr>
          <w:bCs/>
          <w:sz w:val="24"/>
          <w:szCs w:val="24"/>
        </w:rPr>
        <w:t>采用四舍五入的方法保留小数点后</w:t>
      </w:r>
      <w:r w:rsidR="00BF49B0">
        <w:rPr>
          <w:bCs/>
          <w:sz w:val="24"/>
          <w:szCs w:val="24"/>
        </w:rPr>
        <w:t>3</w:t>
      </w:r>
      <w:r w:rsidR="00BF49B0">
        <w:rPr>
          <w:bCs/>
          <w:sz w:val="24"/>
          <w:szCs w:val="24"/>
        </w:rPr>
        <w:t>位。当</w:t>
      </w:r>
      <w:r>
        <w:rPr>
          <w:rFonts w:hint="eastAsia"/>
          <w:bCs/>
          <w:sz w:val="24"/>
          <w:szCs w:val="24"/>
        </w:rPr>
        <w:t>任一类</w:t>
      </w:r>
      <w:r w:rsidR="00BF49B0">
        <w:rPr>
          <w:bCs/>
          <w:sz w:val="24"/>
          <w:szCs w:val="24"/>
        </w:rPr>
        <w:t>基金份额净值偏差达到</w:t>
      </w:r>
      <w:r w:rsidR="003F15AD">
        <w:rPr>
          <w:rFonts w:hint="eastAsia"/>
          <w:bCs/>
          <w:sz w:val="24"/>
        </w:rPr>
        <w:t>该类</w:t>
      </w:r>
      <w:r w:rsidR="00BF49B0">
        <w:rPr>
          <w:bCs/>
          <w:sz w:val="24"/>
          <w:szCs w:val="24"/>
        </w:rPr>
        <w:t>基金份额净值的</w:t>
      </w:r>
      <w:r w:rsidR="00BF49B0">
        <w:rPr>
          <w:bCs/>
          <w:sz w:val="24"/>
          <w:szCs w:val="24"/>
        </w:rPr>
        <w:t>0.5%</w:t>
      </w:r>
      <w:r w:rsidR="00BF49B0">
        <w:rPr>
          <w:bCs/>
          <w:sz w:val="24"/>
          <w:szCs w:val="24"/>
        </w:rPr>
        <w:t>，视为</w:t>
      </w:r>
      <w:r w:rsidR="003F15AD">
        <w:rPr>
          <w:rFonts w:hint="eastAsia"/>
          <w:bCs/>
          <w:sz w:val="24"/>
        </w:rPr>
        <w:t>该类</w:t>
      </w:r>
      <w:r w:rsidR="00BF49B0">
        <w:rPr>
          <w:bCs/>
          <w:sz w:val="24"/>
          <w:szCs w:val="24"/>
        </w:rPr>
        <w:t>基金份额净值错误。基金管理人应当立即纠正，并采取合理的措施防止损失进一步扩大。当</w:t>
      </w:r>
      <w:r>
        <w:rPr>
          <w:rFonts w:hint="eastAsia"/>
          <w:bCs/>
          <w:sz w:val="24"/>
          <w:szCs w:val="24"/>
        </w:rPr>
        <w:t>任一类</w:t>
      </w:r>
      <w:r w:rsidR="00BF49B0">
        <w:rPr>
          <w:bCs/>
          <w:sz w:val="24"/>
          <w:szCs w:val="24"/>
        </w:rPr>
        <w:t>基金份额净值计算差错小于</w:t>
      </w:r>
      <w:r>
        <w:rPr>
          <w:rFonts w:hint="eastAsia"/>
          <w:bCs/>
          <w:sz w:val="24"/>
          <w:szCs w:val="24"/>
        </w:rPr>
        <w:t>该类</w:t>
      </w:r>
      <w:r w:rsidR="00BF49B0">
        <w:rPr>
          <w:bCs/>
          <w:sz w:val="24"/>
          <w:szCs w:val="24"/>
        </w:rPr>
        <w:t>基金份额净值</w:t>
      </w:r>
      <w:r w:rsidR="00BF49B0">
        <w:rPr>
          <w:bCs/>
          <w:sz w:val="24"/>
          <w:szCs w:val="24"/>
        </w:rPr>
        <w:t>0.5%</w:t>
      </w:r>
      <w:r w:rsidR="00BF49B0">
        <w:rPr>
          <w:bCs/>
          <w:sz w:val="24"/>
          <w:szCs w:val="24"/>
        </w:rPr>
        <w:t>时，基金管理人与基金托管人应在发现日对账务进行更正调整，不做追溯处理；</w:t>
      </w:r>
    </w:p>
    <w:p w14:paraId="2A595B6A" w14:textId="77777777" w:rsidR="0037652E" w:rsidRDefault="00BF49B0">
      <w:pPr>
        <w:tabs>
          <w:tab w:val="left" w:pos="961"/>
        </w:tabs>
        <w:snapToGrid w:val="0"/>
        <w:spacing w:line="360" w:lineRule="auto"/>
        <w:ind w:firstLineChars="200" w:firstLine="480"/>
        <w:rPr>
          <w:bCs/>
          <w:sz w:val="24"/>
          <w:szCs w:val="24"/>
        </w:rPr>
      </w:pPr>
      <w:r>
        <w:rPr>
          <w:bCs/>
          <w:sz w:val="24"/>
          <w:szCs w:val="24"/>
        </w:rPr>
        <w:t>当基金管理人将其义务委托第三方处理时，应当对第三方处理有关基金事务的行为承担责任。</w:t>
      </w:r>
    </w:p>
    <w:p w14:paraId="4114C01C" w14:textId="77777777" w:rsidR="0037652E" w:rsidRDefault="00BF49B0">
      <w:pPr>
        <w:tabs>
          <w:tab w:val="left" w:pos="961"/>
        </w:tabs>
        <w:snapToGrid w:val="0"/>
        <w:spacing w:line="360" w:lineRule="auto"/>
        <w:ind w:firstLineChars="200" w:firstLine="480"/>
        <w:rPr>
          <w:bCs/>
          <w:sz w:val="24"/>
          <w:szCs w:val="24"/>
        </w:rPr>
      </w:pPr>
      <w:r>
        <w:rPr>
          <w:bCs/>
          <w:sz w:val="24"/>
          <w:szCs w:val="24"/>
        </w:rPr>
        <w:t>关于差错处理，本合同的当事人按照以下约定处理：</w:t>
      </w:r>
    </w:p>
    <w:p w14:paraId="541ABA67"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、差错类型</w:t>
      </w:r>
    </w:p>
    <w:p w14:paraId="206DDF28" w14:textId="77777777" w:rsidR="0037652E" w:rsidRDefault="00BF49B0">
      <w:pPr>
        <w:tabs>
          <w:tab w:val="left" w:pos="961"/>
        </w:tabs>
        <w:snapToGrid w:val="0"/>
        <w:spacing w:line="360" w:lineRule="auto"/>
        <w:ind w:firstLineChars="200" w:firstLine="480"/>
        <w:rPr>
          <w:bCs/>
          <w:sz w:val="24"/>
          <w:szCs w:val="24"/>
        </w:rPr>
      </w:pPr>
      <w:r>
        <w:rPr>
          <w:bCs/>
          <w:sz w:val="24"/>
          <w:szCs w:val="24"/>
        </w:rPr>
        <w:t>本基金运作过程中，如果由于基金管理人或基金托管人、或注册登记机构、或代理销售机构、或投资者自身的过错造成差错，导致其他当事人遭受损失的，过错的责任人应当对由于该差错遭受损失的当事人（</w:t>
      </w:r>
      <w:r>
        <w:rPr>
          <w:bCs/>
          <w:sz w:val="24"/>
          <w:szCs w:val="24"/>
        </w:rPr>
        <w:t>“</w:t>
      </w:r>
      <w:r>
        <w:rPr>
          <w:bCs/>
          <w:sz w:val="24"/>
          <w:szCs w:val="24"/>
        </w:rPr>
        <w:t>受损方</w:t>
      </w:r>
      <w:r>
        <w:rPr>
          <w:bCs/>
          <w:sz w:val="24"/>
          <w:szCs w:val="24"/>
        </w:rPr>
        <w:t>”</w:t>
      </w:r>
      <w:r>
        <w:rPr>
          <w:bCs/>
          <w:sz w:val="24"/>
          <w:szCs w:val="24"/>
        </w:rPr>
        <w:t>）按下述</w:t>
      </w:r>
      <w:r>
        <w:rPr>
          <w:bCs/>
          <w:sz w:val="24"/>
          <w:szCs w:val="24"/>
        </w:rPr>
        <w:t>“</w:t>
      </w:r>
      <w:r>
        <w:rPr>
          <w:bCs/>
          <w:sz w:val="24"/>
          <w:szCs w:val="24"/>
        </w:rPr>
        <w:t>差错处理原则</w:t>
      </w:r>
      <w:r>
        <w:rPr>
          <w:bCs/>
          <w:sz w:val="24"/>
          <w:szCs w:val="24"/>
        </w:rPr>
        <w:t>”</w:t>
      </w:r>
      <w:r>
        <w:rPr>
          <w:bCs/>
          <w:sz w:val="24"/>
          <w:szCs w:val="24"/>
        </w:rPr>
        <w:t>给予赔偿承担赔偿责任。</w:t>
      </w:r>
    </w:p>
    <w:p w14:paraId="3216BDED" w14:textId="77777777" w:rsidR="0037652E" w:rsidRDefault="00BF49B0">
      <w:pPr>
        <w:tabs>
          <w:tab w:val="left" w:pos="961"/>
        </w:tabs>
        <w:snapToGrid w:val="0"/>
        <w:spacing w:line="360" w:lineRule="auto"/>
        <w:ind w:firstLineChars="200" w:firstLine="480"/>
        <w:rPr>
          <w:bCs/>
          <w:sz w:val="24"/>
          <w:szCs w:val="24"/>
        </w:rPr>
      </w:pPr>
      <w:r>
        <w:rPr>
          <w:bCs/>
          <w:sz w:val="24"/>
          <w:szCs w:val="24"/>
        </w:rPr>
        <w:t>上述差错的主要类型包括但不限于：资料申报差错、数据传输差错、数据计算差错、系统故障差错、下达指令差错等；对于因技术原因引起的差错，若系同行业现有技术水平不能预见、不能避免、并不能克服的客观情况，按下列有关不可抗力的约定处理。</w:t>
      </w:r>
    </w:p>
    <w:p w14:paraId="2D80F003" w14:textId="77777777" w:rsidR="0037652E" w:rsidRDefault="00BF49B0">
      <w:pPr>
        <w:tabs>
          <w:tab w:val="left" w:pos="961"/>
        </w:tabs>
        <w:snapToGrid w:val="0"/>
        <w:spacing w:line="360" w:lineRule="auto"/>
        <w:ind w:firstLineChars="200" w:firstLine="480"/>
        <w:rPr>
          <w:bCs/>
          <w:sz w:val="24"/>
          <w:szCs w:val="24"/>
        </w:rPr>
      </w:pPr>
      <w:r>
        <w:rPr>
          <w:bCs/>
          <w:sz w:val="24"/>
          <w:szCs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46845E6F"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、差错处理原则</w:t>
      </w:r>
    </w:p>
    <w:p w14:paraId="5F279CC4" w14:textId="77777777" w:rsidR="0037652E" w:rsidRDefault="00BF49B0">
      <w:pPr>
        <w:tabs>
          <w:tab w:val="left" w:pos="961"/>
        </w:tabs>
        <w:snapToGrid w:val="0"/>
        <w:spacing w:line="360" w:lineRule="auto"/>
        <w:ind w:firstLineChars="200" w:firstLine="480"/>
        <w:rPr>
          <w:bCs/>
          <w:sz w:val="24"/>
          <w:szCs w:val="24"/>
        </w:rPr>
      </w:pPr>
      <w:r>
        <w:rPr>
          <w:bCs/>
          <w:sz w:val="24"/>
          <w:szCs w:val="24"/>
        </w:rPr>
        <w:t>因基金估值错误给投资者造成损失，在基金管理人可承担的范围内应先由基金管理人承担，基金管理人对不应由其承担的责任，有权根据过错原则，向过错</w:t>
      </w:r>
      <w:r>
        <w:rPr>
          <w:bCs/>
          <w:sz w:val="24"/>
          <w:szCs w:val="24"/>
        </w:rPr>
        <w:lastRenderedPageBreak/>
        <w:t>人追偿，本协议的当事人应将按照以下约定处理。</w:t>
      </w:r>
    </w:p>
    <w:p w14:paraId="0DB6003F"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如采用规定的估值方法进行处理，若基金管理人净值计算出错，基金托管人在复核过程中没有发现，且造成投资人损失的，由双方根据过错程度按比例承担相应的责任；如基金管理人采用规定估值方法外的方法确定一个价格进行估值的情形并已告知基金托管人的情形下，若基金管理人净值计算出错，基金托管人在复核过程中没有发现或未提出异议，且造成投资人损失的，双方按照管理费率和托管费率的比例各自承担相应的责任。</w:t>
      </w:r>
    </w:p>
    <w:p w14:paraId="1A3419B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如基金管理人和基金托管人对基金份额净值的计算结果不能达成一致时，基金托管人应有义务协助基金管理人寻找基金份额净值计算结果不一致的原因。为避免不能按时公布基金份额净值的情形，以基金管理人的计算结果对外公布，基金管理人应在单方面对外公告基金资产净值计算结果时注明未经基金托管人复核，基金托管人有权将有关情况向监管机构报告，由此给投资者和基金造成的损失，由基金管理人承担赔偿责任；</w:t>
      </w:r>
    </w:p>
    <w:p w14:paraId="5BCBA7D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如基金管理人未经基金托管人复核，单方面对外公告基金净值计算结果应该在公告上标明未经基金托管人复核。因基金管理人未经基金托管人复核而单方面对外公布的基金资产净值计算结果或公告的计算结果与基金托管人（最终）复核结果不一致而造成的损失，由基金管理人承担，基金托管人不承担任何责任。</w:t>
      </w:r>
    </w:p>
    <w:p w14:paraId="2EF2066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由于证券交易所，交易市场及登记结算公司及数据供应商或其他第三方发送的数据错误，券商或交易对家的成交回报错误或延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14:paraId="15ED1CA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）法律法规或者监管部门另有规定的，从其规定。如果行业有通行做法，基金管理人和基金托管人双方应本着平等和保护基金持有人利益的原则进行协商。</w:t>
      </w:r>
    </w:p>
    <w:p w14:paraId="446FF33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w:t>
      </w:r>
      <w:r>
        <w:rPr>
          <w:bCs/>
          <w:sz w:val="24"/>
          <w:szCs w:val="24"/>
        </w:rPr>
        <w:lastRenderedPageBreak/>
        <w:t>其应当承担相应赔偿责任。差错责任方应对更正的情况向有关当事人进行确认，确保差错已得到更正。</w:t>
      </w:r>
    </w:p>
    <w:p w14:paraId="15D2CE6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）差错的责任方对可能导致有关当事人的直接损失负责，不对间接损失负责，并且仅对差错的有关直接当事人负责，不对第三方负责。</w:t>
      </w:r>
    </w:p>
    <w:p w14:paraId="53448F65"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8</w:t>
      </w:r>
      <w:r>
        <w:rPr>
          <w:bCs/>
          <w:sz w:val="24"/>
          <w:szCs w:val="24"/>
        </w:rPr>
        <w:t>）因差错而获得不当得利的当事人负有及时返还不当得利的义务。但差错责任方仍应对差错负责，如果由于获得不当得利的当事人不返还或不全部返还不当得利造成其他当事人的利益损失（</w:t>
      </w:r>
      <w:r>
        <w:rPr>
          <w:bCs/>
          <w:sz w:val="24"/>
          <w:szCs w:val="24"/>
        </w:rPr>
        <w:t>“</w:t>
      </w:r>
      <w:r>
        <w:rPr>
          <w:bCs/>
          <w:sz w:val="24"/>
          <w:szCs w:val="24"/>
        </w:rPr>
        <w:t>受损方</w:t>
      </w:r>
      <w:r>
        <w:rPr>
          <w:bCs/>
          <w:sz w:val="24"/>
          <w:szCs w:val="24"/>
        </w:rPr>
        <w:t>”</w:t>
      </w:r>
      <w:r>
        <w:rPr>
          <w:bCs/>
          <w:sz w:val="24"/>
          <w:szCs w:val="24"/>
        </w:rPr>
        <w:t>），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083DF0F5"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9</w:t>
      </w:r>
      <w:r>
        <w:rPr>
          <w:bCs/>
          <w:sz w:val="24"/>
          <w:szCs w:val="24"/>
        </w:rPr>
        <w:t>）差错调整采用尽量恢复至假设未发生差错的正确情形的方式。</w:t>
      </w:r>
    </w:p>
    <w:p w14:paraId="4B51A39F"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10</w:t>
      </w:r>
      <w:r>
        <w:rPr>
          <w:bCs/>
          <w:sz w:val="24"/>
          <w:szCs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15FEE295"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11</w:t>
      </w:r>
      <w:r>
        <w:rPr>
          <w:bCs/>
          <w:sz w:val="24"/>
          <w:szCs w:val="24"/>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6E471D1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12</w:t>
      </w:r>
      <w:r>
        <w:rPr>
          <w:bCs/>
          <w:sz w:val="24"/>
          <w:szCs w:val="24"/>
        </w:rPr>
        <w:t>）由于证券交易所、交易市场及登记结算公司及数据供应商发送的数据错误，券商或交易对家的成交回报错误或延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14:paraId="393490B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13</w:t>
      </w:r>
      <w:r>
        <w:rPr>
          <w:bCs/>
          <w:sz w:val="24"/>
          <w:szCs w:val="24"/>
        </w:rPr>
        <w:t>）按法律法规规定的其他原则处理差错。</w:t>
      </w:r>
    </w:p>
    <w:p w14:paraId="30A18D49"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、差错处理程序</w:t>
      </w:r>
    </w:p>
    <w:p w14:paraId="40B5EF34" w14:textId="77777777" w:rsidR="0037652E" w:rsidRDefault="00BF49B0">
      <w:pPr>
        <w:tabs>
          <w:tab w:val="left" w:pos="961"/>
        </w:tabs>
        <w:snapToGrid w:val="0"/>
        <w:spacing w:line="360" w:lineRule="auto"/>
        <w:ind w:firstLineChars="200" w:firstLine="480"/>
        <w:rPr>
          <w:bCs/>
          <w:sz w:val="24"/>
          <w:szCs w:val="24"/>
        </w:rPr>
      </w:pPr>
      <w:r>
        <w:rPr>
          <w:bCs/>
          <w:sz w:val="24"/>
          <w:szCs w:val="24"/>
        </w:rPr>
        <w:t>差错被发现后，有关的当事人应当及时进行处理，处理的程序如下：</w:t>
      </w:r>
    </w:p>
    <w:p w14:paraId="1EA674E2"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w:t>
      </w:r>
      <w:r>
        <w:rPr>
          <w:bCs/>
          <w:sz w:val="24"/>
          <w:szCs w:val="24"/>
        </w:rPr>
        <w:t>1</w:t>
      </w:r>
      <w:r>
        <w:rPr>
          <w:bCs/>
          <w:sz w:val="24"/>
          <w:szCs w:val="24"/>
        </w:rPr>
        <w:t>）查明差错发生的原因，列明所有的当事人，并根据差错发生的原因确定差错的责任方；</w:t>
      </w:r>
    </w:p>
    <w:p w14:paraId="72DED784"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）根据差错处理原则或当事人协商的方法对因差错造成的损失进行评估；</w:t>
      </w:r>
    </w:p>
    <w:p w14:paraId="69FEE5D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）根据差错处理原则或当事人协商的方法由差错的责任方进行更正和赔偿损失；</w:t>
      </w:r>
    </w:p>
    <w:p w14:paraId="72C4C29F"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）根据差错处理的方法，需要修改基金注册登记机构的交易数据的，由基金注册登记机构进行更正，基金管理人就差错的更正向有关当事人进行确认；</w:t>
      </w:r>
    </w:p>
    <w:p w14:paraId="016B3338" w14:textId="28AD5D56"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）基金管理人及基金托管人</w:t>
      </w:r>
      <w:r w:rsidR="00F61FEF">
        <w:rPr>
          <w:rFonts w:hint="eastAsia"/>
          <w:bCs/>
          <w:sz w:val="24"/>
        </w:rPr>
        <w:t>任一类</w:t>
      </w:r>
      <w:r>
        <w:rPr>
          <w:bCs/>
          <w:sz w:val="24"/>
          <w:szCs w:val="24"/>
        </w:rPr>
        <w:t>基金份额净值计算错误偏差达到</w:t>
      </w:r>
      <w:r w:rsidR="00F61FEF">
        <w:rPr>
          <w:rFonts w:hint="eastAsia"/>
          <w:bCs/>
          <w:sz w:val="24"/>
        </w:rPr>
        <w:t>该类</w:t>
      </w:r>
      <w:r>
        <w:rPr>
          <w:bCs/>
          <w:sz w:val="24"/>
          <w:szCs w:val="24"/>
        </w:rPr>
        <w:t>基金份额净值的</w:t>
      </w:r>
      <w:r>
        <w:rPr>
          <w:bCs/>
          <w:sz w:val="24"/>
          <w:szCs w:val="24"/>
        </w:rPr>
        <w:t>0.5%</w:t>
      </w:r>
      <w:r>
        <w:rPr>
          <w:bCs/>
          <w:sz w:val="24"/>
          <w:szCs w:val="24"/>
        </w:rPr>
        <w:t>时，基金管理人应当在两日内公告并报中国证监会备案。</w:t>
      </w:r>
    </w:p>
    <w:p w14:paraId="08989CBA" w14:textId="77777777" w:rsidR="0037652E" w:rsidRDefault="00BF49B0">
      <w:pPr>
        <w:tabs>
          <w:tab w:val="left" w:pos="961"/>
        </w:tabs>
        <w:snapToGrid w:val="0"/>
        <w:spacing w:line="360" w:lineRule="auto"/>
        <w:ind w:firstLineChars="200" w:firstLine="480"/>
        <w:rPr>
          <w:bCs/>
          <w:sz w:val="24"/>
          <w:szCs w:val="24"/>
        </w:rPr>
      </w:pPr>
      <w:bookmarkStart w:id="183" w:name="_Toc136455404"/>
      <w:bookmarkStart w:id="184" w:name="_Toc174616312"/>
      <w:r>
        <w:rPr>
          <w:rFonts w:hint="eastAsia"/>
          <w:bCs/>
          <w:sz w:val="24"/>
          <w:szCs w:val="24"/>
        </w:rPr>
        <w:t>（三）</w:t>
      </w:r>
      <w:r>
        <w:rPr>
          <w:bCs/>
          <w:sz w:val="24"/>
          <w:szCs w:val="24"/>
        </w:rPr>
        <w:t>暂停估值的情形</w:t>
      </w:r>
      <w:bookmarkEnd w:id="183"/>
      <w:bookmarkEnd w:id="184"/>
    </w:p>
    <w:p w14:paraId="61C13395"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、基金投资所涉及的主要证券交易场所或市场或外汇市场遇法定节假日或因其他原因暂停交易时；</w:t>
      </w:r>
    </w:p>
    <w:p w14:paraId="4BE4C052"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、因不可抗力或其他情形致使基金管理人、基金托管人无法准确评估基金资产价值时；</w:t>
      </w:r>
    </w:p>
    <w:p w14:paraId="21B2DC36"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、占基金相当比例的投资品种的估值出现重大转变，而基金管理人为保障投资者的利益，已决定延迟估值；</w:t>
      </w:r>
    </w:p>
    <w:p w14:paraId="65B6D5F6"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、出现基金管理人认为属于紧急事故的任何情况，会导致基金管理人不能出售或无法评估基金资产的情形；</w:t>
      </w:r>
    </w:p>
    <w:p w14:paraId="323B301C"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bCs/>
          <w:sz w:val="24"/>
          <w:szCs w:val="24"/>
        </w:rPr>
        <w:t>、《基金合同》规定的其他情形；</w:t>
      </w:r>
    </w:p>
    <w:p w14:paraId="23B171AC" w14:textId="77777777" w:rsidR="0037652E" w:rsidRDefault="00BF49B0">
      <w:pPr>
        <w:tabs>
          <w:tab w:val="left" w:pos="961"/>
        </w:tabs>
        <w:snapToGrid w:val="0"/>
        <w:spacing w:line="360" w:lineRule="auto"/>
        <w:ind w:firstLineChars="200" w:firstLine="480"/>
        <w:rPr>
          <w:bCs/>
          <w:sz w:val="24"/>
        </w:rPr>
      </w:pPr>
      <w:r>
        <w:rPr>
          <w:bCs/>
          <w:sz w:val="24"/>
          <w:szCs w:val="24"/>
        </w:rPr>
        <w:t>6</w:t>
      </w:r>
      <w:r>
        <w:rPr>
          <w:bCs/>
          <w:sz w:val="24"/>
          <w:szCs w:val="24"/>
        </w:rPr>
        <w:t>、</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以上的，经与基金托管人协商确认后，基金管理人应当暂停估值；</w:t>
      </w:r>
    </w:p>
    <w:p w14:paraId="6962A29B" w14:textId="77777777" w:rsidR="0037652E" w:rsidRDefault="00BF49B0">
      <w:pPr>
        <w:tabs>
          <w:tab w:val="left" w:pos="961"/>
        </w:tabs>
        <w:snapToGrid w:val="0"/>
        <w:spacing w:line="360" w:lineRule="auto"/>
        <w:ind w:firstLineChars="200" w:firstLine="480"/>
        <w:rPr>
          <w:bCs/>
          <w:sz w:val="24"/>
          <w:szCs w:val="24"/>
        </w:rPr>
      </w:pPr>
      <w:r>
        <w:rPr>
          <w:rFonts w:hint="eastAsia"/>
          <w:bCs/>
          <w:sz w:val="24"/>
        </w:rPr>
        <w:t>7</w:t>
      </w:r>
      <w:r>
        <w:rPr>
          <w:rFonts w:hint="eastAsia"/>
          <w:bCs/>
          <w:sz w:val="24"/>
        </w:rPr>
        <w:t>、</w:t>
      </w:r>
      <w:r>
        <w:rPr>
          <w:bCs/>
          <w:sz w:val="24"/>
          <w:szCs w:val="24"/>
        </w:rPr>
        <w:t>监管机构认定的其他情形。</w:t>
      </w:r>
    </w:p>
    <w:p w14:paraId="08050D52" w14:textId="77777777" w:rsidR="0037652E" w:rsidRDefault="00BF49B0">
      <w:pPr>
        <w:tabs>
          <w:tab w:val="left" w:pos="961"/>
        </w:tabs>
        <w:snapToGrid w:val="0"/>
        <w:spacing w:line="360" w:lineRule="auto"/>
        <w:ind w:firstLineChars="200" w:firstLine="480"/>
        <w:rPr>
          <w:bCs/>
          <w:sz w:val="24"/>
          <w:szCs w:val="24"/>
        </w:rPr>
      </w:pPr>
      <w:bookmarkStart w:id="185" w:name="_Toc134845640"/>
      <w:bookmarkStart w:id="186" w:name="_Toc152143545"/>
      <w:bookmarkStart w:id="187" w:name="_Toc152223626"/>
      <w:bookmarkStart w:id="188" w:name="_Toc152223145"/>
      <w:bookmarkStart w:id="189" w:name="_Toc138227584"/>
      <w:bookmarkStart w:id="190" w:name="_Toc174616313"/>
      <w:r>
        <w:rPr>
          <w:rFonts w:hint="eastAsia"/>
          <w:bCs/>
          <w:sz w:val="24"/>
          <w:szCs w:val="24"/>
        </w:rPr>
        <w:t>（四）</w:t>
      </w:r>
      <w:r>
        <w:rPr>
          <w:bCs/>
          <w:sz w:val="24"/>
          <w:szCs w:val="24"/>
        </w:rPr>
        <w:t>特殊情况的处理</w:t>
      </w:r>
      <w:bookmarkEnd w:id="185"/>
      <w:bookmarkEnd w:id="186"/>
      <w:bookmarkEnd w:id="187"/>
      <w:bookmarkEnd w:id="188"/>
      <w:bookmarkEnd w:id="189"/>
      <w:bookmarkEnd w:id="190"/>
    </w:p>
    <w:p w14:paraId="44DCC3AD"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、基金管理人或基金托管人按《基金合同》规定估值方法进行估值时，所造成的误差不作为基金份额净值错误处理。</w:t>
      </w:r>
    </w:p>
    <w:p w14:paraId="644BA939"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由于不可抗力原因，或由于各家数据服务机构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w:t>
      </w:r>
    </w:p>
    <w:p w14:paraId="45A7E6B1" w14:textId="77777777" w:rsidR="0037652E" w:rsidRDefault="00BF49B0">
      <w:pPr>
        <w:tabs>
          <w:tab w:val="left" w:pos="961"/>
        </w:tabs>
        <w:snapToGrid w:val="0"/>
        <w:spacing w:line="360" w:lineRule="auto"/>
        <w:ind w:firstLineChars="200" w:firstLine="480"/>
        <w:rPr>
          <w:bCs/>
          <w:sz w:val="24"/>
          <w:szCs w:val="24"/>
        </w:rPr>
      </w:pPr>
      <w:bookmarkStart w:id="191" w:name="_Toc174616314"/>
      <w:r>
        <w:rPr>
          <w:rFonts w:hint="eastAsia"/>
          <w:bCs/>
          <w:sz w:val="24"/>
          <w:szCs w:val="24"/>
        </w:rPr>
        <w:t>（五）</w:t>
      </w:r>
      <w:r>
        <w:rPr>
          <w:bCs/>
          <w:sz w:val="24"/>
          <w:szCs w:val="24"/>
        </w:rPr>
        <w:t>基金账册的建立</w:t>
      </w:r>
      <w:bookmarkEnd w:id="191"/>
    </w:p>
    <w:p w14:paraId="5549FF39"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基金管理人进行基金会计核算，基金托管人对本基金的基金资产净值计算进行复核。基金托管人和基金管理人分别独立地设置、记录和保管本基金的全套账册。基金托管人应向基金管理人提供基金管理人进行本基金的净值计算复核和本基金进行信息披露所需要的相关信息。</w:t>
      </w:r>
    </w:p>
    <w:p w14:paraId="12D10F44"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和基金托管人在《基金合同》生效后，应按照相关各方约定的同一记账方法和会计处理原则，分别独立地设置、登录和保管本基金的账册，对相关各方各自的账册定期进行核对，互相监督，以保证基金资产的安全。</w:t>
      </w:r>
    </w:p>
    <w:p w14:paraId="79436A35" w14:textId="77777777" w:rsidR="0037652E" w:rsidRDefault="00BF49B0">
      <w:pPr>
        <w:tabs>
          <w:tab w:val="left" w:pos="961"/>
        </w:tabs>
        <w:snapToGrid w:val="0"/>
        <w:spacing w:line="360" w:lineRule="auto"/>
        <w:ind w:firstLineChars="200" w:firstLine="480"/>
        <w:rPr>
          <w:bCs/>
          <w:sz w:val="24"/>
          <w:szCs w:val="24"/>
        </w:rPr>
      </w:pPr>
      <w:r>
        <w:rPr>
          <w:bCs/>
          <w:sz w:val="24"/>
          <w:szCs w:val="24"/>
        </w:rPr>
        <w:t>经对账发现相关各方的账目存在不符的，基金管理人和基金托管人必须及时查明原因并纠正，保证相关各方平行登录的账册记录相符。</w:t>
      </w:r>
    </w:p>
    <w:p w14:paraId="2A4E7089" w14:textId="77777777" w:rsidR="0037652E" w:rsidRDefault="00BF49B0">
      <w:pPr>
        <w:tabs>
          <w:tab w:val="left" w:pos="961"/>
        </w:tabs>
        <w:snapToGrid w:val="0"/>
        <w:spacing w:line="360" w:lineRule="auto"/>
        <w:ind w:firstLineChars="200" w:firstLine="480"/>
        <w:rPr>
          <w:bCs/>
          <w:sz w:val="24"/>
          <w:szCs w:val="24"/>
        </w:rPr>
      </w:pPr>
      <w:bookmarkStart w:id="192" w:name="_Toc174616315"/>
      <w:r>
        <w:rPr>
          <w:rFonts w:hint="eastAsia"/>
          <w:bCs/>
          <w:sz w:val="24"/>
          <w:szCs w:val="24"/>
        </w:rPr>
        <w:t>（六）</w:t>
      </w:r>
      <w:r>
        <w:rPr>
          <w:bCs/>
          <w:sz w:val="24"/>
          <w:szCs w:val="24"/>
        </w:rPr>
        <w:t>基金法定报告的编制和复核</w:t>
      </w:r>
      <w:bookmarkEnd w:id="192"/>
    </w:p>
    <w:p w14:paraId="1E400639" w14:textId="77777777" w:rsidR="0037652E" w:rsidRDefault="00BF49B0">
      <w:pPr>
        <w:tabs>
          <w:tab w:val="left" w:pos="961"/>
        </w:tabs>
        <w:snapToGrid w:val="0"/>
        <w:spacing w:line="360" w:lineRule="auto"/>
        <w:ind w:firstLineChars="200" w:firstLine="480"/>
        <w:rPr>
          <w:bCs/>
          <w:sz w:val="24"/>
          <w:szCs w:val="24"/>
        </w:rPr>
      </w:pPr>
      <w:r>
        <w:rPr>
          <w:bCs/>
          <w:sz w:val="24"/>
          <w:szCs w:val="24"/>
        </w:rPr>
        <w:t>基金托管人需根据相关法律法规的规定向监管机构报告相关信息，包括但不限于以下内容：</w:t>
      </w:r>
    </w:p>
    <w:p w14:paraId="193B7301"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、自开设境外结算账户之日起</w:t>
      </w:r>
      <w:r>
        <w:rPr>
          <w:bCs/>
          <w:sz w:val="24"/>
          <w:szCs w:val="24"/>
        </w:rPr>
        <w:t>5</w:t>
      </w:r>
      <w:r>
        <w:rPr>
          <w:bCs/>
          <w:sz w:val="24"/>
          <w:szCs w:val="24"/>
        </w:rPr>
        <w:t>日内，将有关账户的详情报告外管局；</w:t>
      </w:r>
    </w:p>
    <w:p w14:paraId="18B7ACFB"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、每月结束后</w:t>
      </w:r>
      <w:r>
        <w:rPr>
          <w:bCs/>
          <w:sz w:val="24"/>
          <w:szCs w:val="24"/>
        </w:rPr>
        <w:t>7</w:t>
      </w:r>
      <w:r>
        <w:rPr>
          <w:bCs/>
          <w:sz w:val="24"/>
          <w:szCs w:val="24"/>
        </w:rPr>
        <w:t>个工作日内，向中国证监会和外管局报告基金境外投资情况，并按相关监管规定进行国际收支申报；</w:t>
      </w:r>
      <w:r>
        <w:rPr>
          <w:bCs/>
          <w:sz w:val="24"/>
          <w:szCs w:val="24"/>
        </w:rPr>
        <w:t xml:space="preserve"> </w:t>
      </w:r>
    </w:p>
    <w:p w14:paraId="5973D4D3"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、发现基金管理人投资指令或资金汇出违法、违规的，及时向中国证监会或外管局报告；</w:t>
      </w:r>
      <w:r>
        <w:rPr>
          <w:bCs/>
          <w:sz w:val="24"/>
          <w:szCs w:val="24"/>
        </w:rPr>
        <w:t xml:space="preserve"> </w:t>
      </w:r>
    </w:p>
    <w:p w14:paraId="4BB892F8"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、中国证监会和国家外管局规定的其他报告事项；</w:t>
      </w:r>
    </w:p>
    <w:p w14:paraId="02EB18A7" w14:textId="77777777" w:rsidR="0037652E" w:rsidRDefault="00BF49B0">
      <w:pPr>
        <w:tabs>
          <w:tab w:val="left" w:pos="961"/>
        </w:tabs>
        <w:snapToGrid w:val="0"/>
        <w:spacing w:line="360" w:lineRule="auto"/>
        <w:ind w:firstLineChars="200" w:firstLine="480"/>
        <w:rPr>
          <w:bCs/>
          <w:sz w:val="24"/>
          <w:szCs w:val="24"/>
        </w:rPr>
      </w:pPr>
      <w:r>
        <w:rPr>
          <w:bCs/>
          <w:sz w:val="24"/>
          <w:szCs w:val="24"/>
        </w:rPr>
        <w:t>对于基金托管人提供上述报告，基金管理人应予以支持和配合。</w:t>
      </w:r>
    </w:p>
    <w:p w14:paraId="101D6901" w14:textId="77777777" w:rsidR="0037652E" w:rsidRDefault="00BF49B0">
      <w:pPr>
        <w:tabs>
          <w:tab w:val="left" w:pos="961"/>
        </w:tabs>
        <w:snapToGrid w:val="0"/>
        <w:spacing w:line="360" w:lineRule="auto"/>
        <w:ind w:firstLineChars="200" w:firstLine="480"/>
        <w:rPr>
          <w:bCs/>
          <w:sz w:val="24"/>
          <w:szCs w:val="24"/>
        </w:rPr>
      </w:pPr>
      <w:bookmarkStart w:id="193" w:name="_Toc136455405"/>
      <w:bookmarkStart w:id="194" w:name="_Toc174616316"/>
      <w:r>
        <w:rPr>
          <w:rFonts w:hint="eastAsia"/>
          <w:bCs/>
          <w:sz w:val="24"/>
          <w:szCs w:val="24"/>
        </w:rPr>
        <w:t>（七）</w:t>
      </w:r>
      <w:r>
        <w:rPr>
          <w:bCs/>
          <w:sz w:val="24"/>
          <w:szCs w:val="24"/>
        </w:rPr>
        <w:t>基金会计制度</w:t>
      </w:r>
      <w:bookmarkEnd w:id="193"/>
      <w:bookmarkEnd w:id="194"/>
    </w:p>
    <w:p w14:paraId="535216E4" w14:textId="77777777" w:rsidR="0037652E" w:rsidRDefault="00BF49B0">
      <w:pPr>
        <w:tabs>
          <w:tab w:val="left" w:pos="961"/>
        </w:tabs>
        <w:snapToGrid w:val="0"/>
        <w:spacing w:line="360" w:lineRule="auto"/>
        <w:ind w:firstLineChars="200" w:firstLine="480"/>
        <w:rPr>
          <w:bCs/>
          <w:sz w:val="24"/>
          <w:szCs w:val="24"/>
        </w:rPr>
      </w:pPr>
      <w:r>
        <w:rPr>
          <w:bCs/>
          <w:sz w:val="24"/>
          <w:szCs w:val="24"/>
        </w:rPr>
        <w:t>按国家有关部门规定的会计制度和准则执行。</w:t>
      </w:r>
    </w:p>
    <w:p w14:paraId="0F451D45" w14:textId="77777777" w:rsidR="0037652E" w:rsidRDefault="00BF49B0">
      <w:pPr>
        <w:tabs>
          <w:tab w:val="left" w:pos="961"/>
        </w:tabs>
        <w:snapToGrid w:val="0"/>
        <w:spacing w:line="360" w:lineRule="auto"/>
        <w:ind w:firstLineChars="200" w:firstLine="480"/>
        <w:rPr>
          <w:bCs/>
          <w:sz w:val="24"/>
          <w:szCs w:val="24"/>
        </w:rPr>
      </w:pPr>
      <w:bookmarkStart w:id="195" w:name="_Toc174616318"/>
      <w:bookmarkStart w:id="196" w:name="_Toc136455407"/>
      <w:r>
        <w:rPr>
          <w:rFonts w:hint="eastAsia"/>
          <w:bCs/>
          <w:sz w:val="24"/>
          <w:szCs w:val="24"/>
        </w:rPr>
        <w:t>（八）</w:t>
      </w:r>
      <w:r>
        <w:rPr>
          <w:bCs/>
          <w:sz w:val="24"/>
          <w:szCs w:val="24"/>
        </w:rPr>
        <w:t>基金财务报表与报告的编制和复核</w:t>
      </w:r>
      <w:bookmarkEnd w:id="195"/>
      <w:bookmarkEnd w:id="196"/>
    </w:p>
    <w:p w14:paraId="69809DE1"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、财务报表的编制</w:t>
      </w:r>
    </w:p>
    <w:p w14:paraId="0635BB53" w14:textId="77777777" w:rsidR="0037652E" w:rsidRDefault="00BF49B0">
      <w:pPr>
        <w:tabs>
          <w:tab w:val="left" w:pos="961"/>
        </w:tabs>
        <w:snapToGrid w:val="0"/>
        <w:spacing w:line="360" w:lineRule="auto"/>
        <w:ind w:firstLineChars="200" w:firstLine="480"/>
        <w:rPr>
          <w:bCs/>
          <w:sz w:val="24"/>
          <w:szCs w:val="24"/>
        </w:rPr>
      </w:pPr>
      <w:r>
        <w:rPr>
          <w:bCs/>
          <w:sz w:val="24"/>
          <w:szCs w:val="24"/>
        </w:rPr>
        <w:t>基金财务报表由基金管理人编制，基金托管人复核。</w:t>
      </w:r>
    </w:p>
    <w:p w14:paraId="566018EC"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、报表复核</w:t>
      </w:r>
    </w:p>
    <w:p w14:paraId="3FA8F14C" w14:textId="77777777" w:rsidR="0037652E" w:rsidRDefault="00BF49B0">
      <w:pPr>
        <w:tabs>
          <w:tab w:val="left" w:pos="961"/>
        </w:tabs>
        <w:snapToGrid w:val="0"/>
        <w:spacing w:line="360" w:lineRule="auto"/>
        <w:ind w:firstLineChars="200" w:firstLine="480"/>
        <w:rPr>
          <w:bCs/>
          <w:sz w:val="24"/>
          <w:szCs w:val="24"/>
        </w:rPr>
      </w:pPr>
      <w:r>
        <w:rPr>
          <w:bCs/>
          <w:sz w:val="24"/>
          <w:szCs w:val="24"/>
        </w:rPr>
        <w:t>基金托管人在收到基金管理人编制的基金财务报表后，进行独立的复核。核对不符时，应及时通知基金管理人共同查出原因，进行调整，直至双方数据完全一致。</w:t>
      </w:r>
    </w:p>
    <w:p w14:paraId="4F3DC919"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、财务报表的编制与复核时间安排</w:t>
      </w:r>
    </w:p>
    <w:p w14:paraId="1058B1C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）报表的编制</w:t>
      </w:r>
    </w:p>
    <w:p w14:paraId="35A8F623"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基金管理人应当在上半年结束之日起</w:t>
      </w:r>
      <w:r>
        <w:rPr>
          <w:rFonts w:hint="eastAsia"/>
          <w:bCs/>
          <w:sz w:val="24"/>
          <w:szCs w:val="24"/>
        </w:rPr>
        <w:t>两个月</w:t>
      </w:r>
      <w:r>
        <w:rPr>
          <w:bCs/>
          <w:sz w:val="24"/>
          <w:szCs w:val="24"/>
        </w:rPr>
        <w:t>内完成基金</w:t>
      </w:r>
      <w:r>
        <w:rPr>
          <w:rFonts w:hint="eastAsia"/>
          <w:bCs/>
          <w:sz w:val="24"/>
          <w:szCs w:val="24"/>
        </w:rPr>
        <w:t>中期</w:t>
      </w:r>
      <w:r>
        <w:rPr>
          <w:bCs/>
          <w:sz w:val="24"/>
          <w:szCs w:val="24"/>
        </w:rPr>
        <w:t>报告的编制；在每年结束之日起</w:t>
      </w:r>
      <w:r>
        <w:rPr>
          <w:rFonts w:hint="eastAsia"/>
          <w:bCs/>
          <w:sz w:val="24"/>
          <w:szCs w:val="24"/>
        </w:rPr>
        <w:t>三个月</w:t>
      </w:r>
      <w:r>
        <w:rPr>
          <w:bCs/>
          <w:sz w:val="24"/>
          <w:szCs w:val="24"/>
        </w:rPr>
        <w:t>内完成基金年度报告的编制。基金年度报告</w:t>
      </w:r>
      <w:r>
        <w:rPr>
          <w:rFonts w:hint="eastAsia"/>
          <w:bCs/>
          <w:sz w:val="24"/>
          <w:szCs w:val="24"/>
        </w:rPr>
        <w:t>中</w:t>
      </w:r>
      <w:r>
        <w:rPr>
          <w:bCs/>
          <w:sz w:val="24"/>
          <w:szCs w:val="24"/>
        </w:rPr>
        <w:t>的财务会计报告应当经过</w:t>
      </w:r>
      <w:r>
        <w:rPr>
          <w:rFonts w:hint="eastAsia"/>
          <w:bCs/>
          <w:sz w:val="24"/>
          <w:szCs w:val="24"/>
        </w:rPr>
        <w:t>具有证券、期货相关业务资格的会计师事务所</w:t>
      </w:r>
      <w:r>
        <w:rPr>
          <w:bCs/>
          <w:sz w:val="24"/>
          <w:szCs w:val="24"/>
        </w:rPr>
        <w:t>审计。基金合同生效不足两个月的，基金管理人可以不编制当期</w:t>
      </w:r>
      <w:r>
        <w:rPr>
          <w:rFonts w:hint="eastAsia"/>
          <w:bCs/>
          <w:sz w:val="24"/>
          <w:szCs w:val="24"/>
        </w:rPr>
        <w:t>中期</w:t>
      </w:r>
      <w:r>
        <w:rPr>
          <w:bCs/>
          <w:sz w:val="24"/>
          <w:szCs w:val="24"/>
        </w:rPr>
        <w:t>报告或者年度报告。</w:t>
      </w:r>
    </w:p>
    <w:p w14:paraId="2DF76433"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）报表的复核</w:t>
      </w:r>
    </w:p>
    <w:p w14:paraId="06CBB6F2"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0362127"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基金管理人应留足充分的时间，便于基金托管人复核相关报表及报告。</w:t>
      </w:r>
    </w:p>
    <w:p w14:paraId="47A2BAB2"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六、基金份额持有人名册的保管</w:t>
      </w:r>
    </w:p>
    <w:p w14:paraId="48E11D39"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基金管理人和基金托管人须分别妥善保管的基金份额持有人名册，包括《基金合同》生效日、《基金合同》终止日、基金份额持有人大会权利登记日、每年</w:t>
      </w:r>
      <w:r>
        <w:rPr>
          <w:bCs/>
          <w:sz w:val="24"/>
          <w:szCs w:val="24"/>
        </w:rPr>
        <w:t>6</w:t>
      </w:r>
      <w:r>
        <w:rPr>
          <w:bCs/>
          <w:sz w:val="24"/>
          <w:szCs w:val="24"/>
        </w:rPr>
        <w:t>月</w:t>
      </w:r>
      <w:r>
        <w:rPr>
          <w:bCs/>
          <w:sz w:val="24"/>
          <w:szCs w:val="24"/>
        </w:rPr>
        <w:t>30</w:t>
      </w:r>
      <w:r>
        <w:rPr>
          <w:bCs/>
          <w:sz w:val="24"/>
          <w:szCs w:val="24"/>
        </w:rPr>
        <w:t>日、</w:t>
      </w:r>
      <w:r>
        <w:rPr>
          <w:bCs/>
          <w:sz w:val="24"/>
          <w:szCs w:val="24"/>
        </w:rPr>
        <w:t>12</w:t>
      </w:r>
      <w:r>
        <w:rPr>
          <w:bCs/>
          <w:sz w:val="24"/>
          <w:szCs w:val="24"/>
        </w:rPr>
        <w:t>月</w:t>
      </w:r>
      <w:r>
        <w:rPr>
          <w:bCs/>
          <w:sz w:val="24"/>
          <w:szCs w:val="24"/>
        </w:rPr>
        <w:t>31</w:t>
      </w:r>
      <w:r>
        <w:rPr>
          <w:bCs/>
          <w:sz w:val="24"/>
          <w:szCs w:val="24"/>
        </w:rPr>
        <w:t>日的基金份额持有人名册。基金份额持有人名册的内容必须包括基金份额持有人的名称和持有的基金份额。</w:t>
      </w:r>
    </w:p>
    <w:p w14:paraId="7F2AF662" w14:textId="77777777" w:rsidR="0037652E" w:rsidRDefault="00BF49B0">
      <w:pPr>
        <w:tabs>
          <w:tab w:val="left" w:pos="961"/>
        </w:tabs>
        <w:snapToGrid w:val="0"/>
        <w:spacing w:line="360" w:lineRule="auto"/>
        <w:ind w:firstLineChars="200" w:firstLine="480"/>
        <w:rPr>
          <w:bCs/>
          <w:sz w:val="24"/>
          <w:szCs w:val="24"/>
        </w:rPr>
      </w:pPr>
      <w:r>
        <w:rPr>
          <w:bCs/>
          <w:sz w:val="24"/>
          <w:szCs w:val="24"/>
        </w:rPr>
        <w:t>基金份额持有人名册由基金的基金注册登记机构根据基金管理人的指令编制和保管，至少应包括基金份额持有人的名称和持有的基金份额，基金管理人和基金托管人应按照目前相关规则分别保管基金份额持有人名册。保管方式可以采用电子或文档的形式。保管期限为法律法规规定的期限。</w:t>
      </w:r>
    </w:p>
    <w:p w14:paraId="2E3B1646"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基金管理人应当及时向基金托管人提交下列日期的基金份额持有人名册：《基金合同》生效日、《基金合同》终止日、基金份额持有人大会权利登记日、每年</w:t>
      </w:r>
      <w:r>
        <w:rPr>
          <w:bCs/>
          <w:sz w:val="24"/>
          <w:szCs w:val="24"/>
        </w:rPr>
        <w:t>6</w:t>
      </w:r>
      <w:r>
        <w:rPr>
          <w:bCs/>
          <w:sz w:val="24"/>
          <w:szCs w:val="24"/>
        </w:rPr>
        <w:t>月</w:t>
      </w:r>
      <w:r>
        <w:rPr>
          <w:bCs/>
          <w:sz w:val="24"/>
          <w:szCs w:val="24"/>
        </w:rPr>
        <w:t>30</w:t>
      </w:r>
      <w:r>
        <w:rPr>
          <w:bCs/>
          <w:sz w:val="24"/>
          <w:szCs w:val="24"/>
        </w:rPr>
        <w:t>日、每年</w:t>
      </w:r>
      <w:r>
        <w:rPr>
          <w:bCs/>
          <w:sz w:val="24"/>
          <w:szCs w:val="24"/>
        </w:rPr>
        <w:t>12</w:t>
      </w:r>
      <w:r>
        <w:rPr>
          <w:bCs/>
          <w:sz w:val="24"/>
          <w:szCs w:val="24"/>
        </w:rPr>
        <w:t>月</w:t>
      </w:r>
      <w:r>
        <w:rPr>
          <w:bCs/>
          <w:sz w:val="24"/>
          <w:szCs w:val="24"/>
        </w:rPr>
        <w:t>31</w:t>
      </w:r>
      <w:r>
        <w:rPr>
          <w:bCs/>
          <w:sz w:val="24"/>
          <w:szCs w:val="24"/>
        </w:rPr>
        <w:t>日的基金份额持有人名册。基金份额持有人名册的内容必须包括基金份额持有人的名称和持有的基金份额。其中每年</w:t>
      </w:r>
      <w:r>
        <w:rPr>
          <w:bCs/>
          <w:sz w:val="24"/>
          <w:szCs w:val="24"/>
        </w:rPr>
        <w:t>12</w:t>
      </w:r>
      <w:r>
        <w:rPr>
          <w:bCs/>
          <w:sz w:val="24"/>
          <w:szCs w:val="24"/>
        </w:rPr>
        <w:t>月</w:t>
      </w:r>
      <w:r>
        <w:rPr>
          <w:bCs/>
          <w:sz w:val="24"/>
          <w:szCs w:val="24"/>
        </w:rPr>
        <w:t>31</w:t>
      </w:r>
      <w:r>
        <w:rPr>
          <w:bCs/>
          <w:sz w:val="24"/>
          <w:szCs w:val="24"/>
        </w:rPr>
        <w:t>日的基金份额持有人名册应于下月前十个工作日内提交；《基金合同》生效日、《基金合同》终止日等涉及到基金重要事项日期的基金份额持有人名册应于发生日后十个工作日内提交。</w:t>
      </w:r>
    </w:p>
    <w:p w14:paraId="2BD23AE5" w14:textId="77777777" w:rsidR="0037652E" w:rsidRDefault="00BF49B0">
      <w:pPr>
        <w:tabs>
          <w:tab w:val="left" w:pos="961"/>
        </w:tabs>
        <w:snapToGrid w:val="0"/>
        <w:spacing w:line="360" w:lineRule="auto"/>
        <w:ind w:firstLineChars="200" w:firstLine="480"/>
        <w:rPr>
          <w:bCs/>
          <w:sz w:val="24"/>
          <w:szCs w:val="24"/>
        </w:rPr>
      </w:pPr>
      <w:r>
        <w:rPr>
          <w:bCs/>
          <w:sz w:val="24"/>
          <w:szCs w:val="24"/>
        </w:rPr>
        <w:t>基金托管人以电子版形式妥善保管基金份额持有人名册，并定期刻成光盘备份，保管期限为法律法规规定的期限。</w:t>
      </w:r>
    </w:p>
    <w:p w14:paraId="3B2A3743" w14:textId="77777777" w:rsidR="0037652E" w:rsidRDefault="00BF49B0">
      <w:pPr>
        <w:tabs>
          <w:tab w:val="left" w:pos="961"/>
        </w:tabs>
        <w:snapToGrid w:val="0"/>
        <w:spacing w:line="360" w:lineRule="auto"/>
        <w:ind w:firstLineChars="200" w:firstLine="480"/>
        <w:rPr>
          <w:bCs/>
          <w:sz w:val="24"/>
          <w:szCs w:val="24"/>
        </w:rPr>
      </w:pPr>
      <w:r>
        <w:rPr>
          <w:bCs/>
          <w:sz w:val="24"/>
          <w:szCs w:val="24"/>
        </w:rPr>
        <w:t>基金管理人和基金托管人对基金份额持有人名册负有保密义务。除法律法规、《基金合同》和本协议另有规定外，基金管理人或基金托管人不得将基金份额持有人名册及其中的任何信息以任何方式向任何第三方披露，基金管理人或基金托</w:t>
      </w:r>
      <w:r>
        <w:rPr>
          <w:bCs/>
          <w:sz w:val="24"/>
          <w:szCs w:val="24"/>
        </w:rPr>
        <w:lastRenderedPageBreak/>
        <w:t>管人应将基金份额持有人名册及其中的信息限制在为履行《基金合同》和本协议之目的而需要了解该等信息的人员范围之内。基金管理人或基金托管人未能妥善保存基金份额持有人名册，造成基金份额持有人名册毁损、灭失，或向第三方泄露了基金份额持有人信息的，基金管理人或基金托管人应对此承担法律责任，赔偿基金份额持有人和基金托管人（或基金管理人）遭受的全部直接损失。</w:t>
      </w:r>
    </w:p>
    <w:p w14:paraId="5D96D789" w14:textId="77777777" w:rsidR="0037652E" w:rsidRDefault="00BF49B0">
      <w:pPr>
        <w:tabs>
          <w:tab w:val="left" w:pos="961"/>
        </w:tabs>
        <w:snapToGrid w:val="0"/>
        <w:spacing w:line="360" w:lineRule="auto"/>
        <w:ind w:firstLineChars="200" w:firstLine="480"/>
        <w:rPr>
          <w:bCs/>
          <w:sz w:val="24"/>
          <w:szCs w:val="24"/>
        </w:rPr>
      </w:pPr>
      <w:r>
        <w:rPr>
          <w:bCs/>
          <w:sz w:val="24"/>
          <w:szCs w:val="24"/>
        </w:rPr>
        <w:t>若基金管理人或基金托管人由于自身原因无法妥善保管基金份额持有人名册，应按有关法规规定各自承担相应的责任。</w:t>
      </w:r>
    </w:p>
    <w:p w14:paraId="7ED78692" w14:textId="77777777" w:rsidR="0037652E" w:rsidRDefault="00BF49B0">
      <w:pPr>
        <w:tabs>
          <w:tab w:val="left" w:pos="961"/>
        </w:tabs>
        <w:snapToGrid w:val="0"/>
        <w:spacing w:line="360" w:lineRule="auto"/>
        <w:ind w:firstLineChars="200" w:firstLine="482"/>
        <w:rPr>
          <w:b/>
          <w:bCs/>
          <w:sz w:val="24"/>
          <w:szCs w:val="24"/>
        </w:rPr>
      </w:pPr>
      <w:bookmarkStart w:id="197" w:name="_Toc123626184"/>
      <w:bookmarkStart w:id="198" w:name="_Toc140002353"/>
      <w:bookmarkStart w:id="199" w:name="_Toc280362586"/>
      <w:bookmarkStart w:id="200" w:name="_Toc124749953"/>
      <w:bookmarkStart w:id="201" w:name="_Toc124749240"/>
      <w:bookmarkStart w:id="202" w:name="_Toc174788869"/>
      <w:bookmarkStart w:id="203" w:name="_Toc174790121"/>
      <w:bookmarkStart w:id="204" w:name="_Toc125361090"/>
      <w:bookmarkStart w:id="205" w:name="_Toc170466930"/>
      <w:r>
        <w:rPr>
          <w:rFonts w:hint="eastAsia"/>
          <w:b/>
          <w:bCs/>
          <w:sz w:val="24"/>
          <w:szCs w:val="24"/>
        </w:rPr>
        <w:t>七、</w:t>
      </w:r>
      <w:r>
        <w:rPr>
          <w:b/>
          <w:bCs/>
          <w:sz w:val="24"/>
          <w:szCs w:val="24"/>
        </w:rPr>
        <w:t>争议解决方式</w:t>
      </w:r>
      <w:bookmarkEnd w:id="197"/>
      <w:bookmarkEnd w:id="198"/>
      <w:bookmarkEnd w:id="199"/>
      <w:bookmarkEnd w:id="200"/>
      <w:bookmarkEnd w:id="201"/>
      <w:bookmarkEnd w:id="202"/>
      <w:bookmarkEnd w:id="203"/>
      <w:bookmarkEnd w:id="204"/>
    </w:p>
    <w:bookmarkEnd w:id="205"/>
    <w:p w14:paraId="2D528D25" w14:textId="77777777" w:rsidR="0037652E" w:rsidRDefault="00BF49B0">
      <w:pPr>
        <w:tabs>
          <w:tab w:val="left" w:pos="961"/>
        </w:tabs>
        <w:snapToGrid w:val="0"/>
        <w:spacing w:line="360" w:lineRule="auto"/>
        <w:ind w:firstLineChars="200" w:firstLine="480"/>
        <w:rPr>
          <w:bCs/>
          <w:sz w:val="24"/>
          <w:szCs w:val="24"/>
        </w:rPr>
      </w:pPr>
      <w:r>
        <w:rPr>
          <w:bCs/>
          <w:sz w:val="24"/>
          <w:szCs w:val="24"/>
        </w:rPr>
        <w:t>（一）本托管协议适用中华人民共和国法律并依照其解释。相关各方当事人同意，因本协议而产生的或与本协议有关的一切争议，除经友好协商可以解决的，均应提交中国国际经济贸易仲裁委员会在北京仲裁，按照申请仲裁时该会现行有效的仲裁规则进行仲裁。仲裁裁决是终局的，对双方均有约束力。</w:t>
      </w:r>
    </w:p>
    <w:p w14:paraId="52FD92E4" w14:textId="77777777" w:rsidR="0037652E" w:rsidRDefault="00BF49B0">
      <w:pPr>
        <w:tabs>
          <w:tab w:val="left" w:pos="961"/>
        </w:tabs>
        <w:snapToGrid w:val="0"/>
        <w:spacing w:line="360" w:lineRule="auto"/>
        <w:ind w:firstLineChars="200" w:firstLine="480"/>
        <w:rPr>
          <w:bCs/>
          <w:sz w:val="24"/>
          <w:szCs w:val="24"/>
        </w:rPr>
      </w:pPr>
      <w:r>
        <w:rPr>
          <w:bCs/>
          <w:sz w:val="24"/>
          <w:szCs w:val="24"/>
        </w:rPr>
        <w:t>（二）当任何争议发生或任何争议正在进行仲裁时，除争议事项外，双方仍有权行使本协议项下的其它权利并应履行本协议项下的其它义务。</w:t>
      </w:r>
    </w:p>
    <w:p w14:paraId="64F9157C" w14:textId="77777777" w:rsidR="0037652E" w:rsidRDefault="00BF49B0">
      <w:pPr>
        <w:tabs>
          <w:tab w:val="left" w:pos="961"/>
        </w:tabs>
        <w:snapToGrid w:val="0"/>
        <w:spacing w:line="360" w:lineRule="auto"/>
        <w:ind w:firstLineChars="200" w:firstLine="482"/>
        <w:rPr>
          <w:b/>
          <w:bCs/>
          <w:sz w:val="24"/>
          <w:szCs w:val="24"/>
        </w:rPr>
      </w:pPr>
      <w:bookmarkStart w:id="206" w:name="_Toc125361088"/>
      <w:bookmarkStart w:id="207" w:name="_Toc280362584"/>
      <w:bookmarkStart w:id="208" w:name="_Toc174790119"/>
      <w:bookmarkStart w:id="209" w:name="_Toc123626182"/>
      <w:bookmarkStart w:id="210" w:name="_Toc124749238"/>
      <w:bookmarkStart w:id="211" w:name="_Toc124749951"/>
      <w:bookmarkStart w:id="212" w:name="_Toc174788867"/>
      <w:bookmarkStart w:id="213" w:name="_Toc140002351"/>
      <w:r>
        <w:rPr>
          <w:rFonts w:hint="eastAsia"/>
          <w:b/>
          <w:bCs/>
          <w:sz w:val="24"/>
          <w:szCs w:val="24"/>
        </w:rPr>
        <w:t>八、</w:t>
      </w:r>
      <w:r>
        <w:rPr>
          <w:b/>
          <w:bCs/>
          <w:sz w:val="24"/>
          <w:szCs w:val="24"/>
        </w:rPr>
        <w:t>基金托管协议的变更、终止与基金财产的清算</w:t>
      </w:r>
      <w:bookmarkEnd w:id="206"/>
      <w:bookmarkEnd w:id="207"/>
      <w:bookmarkEnd w:id="208"/>
      <w:bookmarkEnd w:id="209"/>
      <w:bookmarkEnd w:id="210"/>
      <w:bookmarkEnd w:id="211"/>
      <w:bookmarkEnd w:id="212"/>
      <w:bookmarkEnd w:id="213"/>
    </w:p>
    <w:p w14:paraId="42BA1C06"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（一）</w:t>
      </w:r>
      <w:r>
        <w:rPr>
          <w:bCs/>
          <w:sz w:val="24"/>
          <w:szCs w:val="24"/>
        </w:rPr>
        <w:t>托管协议的变更</w:t>
      </w:r>
    </w:p>
    <w:p w14:paraId="78D1F42F" w14:textId="77777777" w:rsidR="0037652E" w:rsidRDefault="00BF49B0">
      <w:pPr>
        <w:tabs>
          <w:tab w:val="left" w:pos="961"/>
        </w:tabs>
        <w:snapToGrid w:val="0"/>
        <w:spacing w:line="360" w:lineRule="auto"/>
        <w:ind w:firstLineChars="200" w:firstLine="480"/>
        <w:rPr>
          <w:bCs/>
          <w:sz w:val="24"/>
          <w:szCs w:val="24"/>
        </w:rPr>
      </w:pPr>
      <w:r>
        <w:rPr>
          <w:bCs/>
          <w:sz w:val="24"/>
          <w:szCs w:val="24"/>
        </w:rPr>
        <w:t>本协议双方当事人经协商一致，可以书面形式对本协议进行修改。修改后的新协议，其内容不得与《基金合同》的规定有任何冲突。《托管协议》的修改和变更应报送中国证监会核准。</w:t>
      </w:r>
    </w:p>
    <w:p w14:paraId="29919F65" w14:textId="77777777" w:rsidR="0037652E" w:rsidRDefault="00BF49B0">
      <w:pPr>
        <w:tabs>
          <w:tab w:val="left" w:pos="961"/>
        </w:tabs>
        <w:snapToGrid w:val="0"/>
        <w:spacing w:line="360" w:lineRule="auto"/>
        <w:ind w:firstLineChars="200" w:firstLine="480"/>
        <w:rPr>
          <w:bCs/>
          <w:sz w:val="24"/>
          <w:szCs w:val="24"/>
        </w:rPr>
      </w:pPr>
      <w:bookmarkStart w:id="214" w:name="_Toc174616344"/>
      <w:r>
        <w:rPr>
          <w:rFonts w:hint="eastAsia"/>
          <w:bCs/>
          <w:sz w:val="24"/>
          <w:szCs w:val="24"/>
        </w:rPr>
        <w:t>（二）</w:t>
      </w:r>
      <w:r>
        <w:rPr>
          <w:bCs/>
          <w:sz w:val="24"/>
          <w:szCs w:val="24"/>
        </w:rPr>
        <w:t>托管协议的终止</w:t>
      </w:r>
      <w:bookmarkEnd w:id="214"/>
    </w:p>
    <w:p w14:paraId="529CA3F5" w14:textId="77777777" w:rsidR="0037652E" w:rsidRDefault="00BF49B0">
      <w:pPr>
        <w:tabs>
          <w:tab w:val="left" w:pos="961"/>
        </w:tabs>
        <w:snapToGrid w:val="0"/>
        <w:spacing w:line="360" w:lineRule="auto"/>
        <w:ind w:firstLineChars="200" w:firstLine="480"/>
        <w:rPr>
          <w:bCs/>
          <w:sz w:val="24"/>
          <w:szCs w:val="24"/>
        </w:rPr>
      </w:pPr>
      <w:r>
        <w:rPr>
          <w:bCs/>
          <w:sz w:val="24"/>
          <w:szCs w:val="24"/>
        </w:rPr>
        <w:t>发生以下任一情况，本协议终止：</w:t>
      </w:r>
    </w:p>
    <w:p w14:paraId="5E4AC5AB"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、《基金合同》终止；</w:t>
      </w:r>
    </w:p>
    <w:p w14:paraId="758E1EE3"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、基金管理人或基金托管人职责终止；</w:t>
      </w:r>
    </w:p>
    <w:p w14:paraId="6843EEA3" w14:textId="77777777" w:rsidR="0037652E" w:rsidRDefault="00BF49B0">
      <w:pPr>
        <w:tabs>
          <w:tab w:val="left" w:pos="961"/>
        </w:tabs>
        <w:snapToGrid w:val="0"/>
        <w:spacing w:line="360" w:lineRule="auto"/>
        <w:ind w:firstLineChars="200" w:firstLine="480"/>
        <w:rPr>
          <w:bCs/>
          <w:sz w:val="24"/>
          <w:szCs w:val="24"/>
        </w:rPr>
      </w:pPr>
      <w:r>
        <w:rPr>
          <w:bCs/>
          <w:sz w:val="24"/>
          <w:szCs w:val="24"/>
        </w:rPr>
        <w:t>3</w:t>
      </w:r>
      <w:r>
        <w:rPr>
          <w:bCs/>
          <w:sz w:val="24"/>
          <w:szCs w:val="24"/>
        </w:rPr>
        <w:t>、中国证监会规定的其他终止情形。</w:t>
      </w:r>
    </w:p>
    <w:p w14:paraId="1126CCF1" w14:textId="77777777" w:rsidR="0037652E" w:rsidRDefault="00BF49B0">
      <w:pPr>
        <w:tabs>
          <w:tab w:val="left" w:pos="961"/>
        </w:tabs>
        <w:snapToGrid w:val="0"/>
        <w:spacing w:line="360" w:lineRule="auto"/>
        <w:ind w:firstLineChars="200" w:firstLine="480"/>
        <w:rPr>
          <w:bCs/>
          <w:sz w:val="24"/>
          <w:szCs w:val="24"/>
        </w:rPr>
      </w:pPr>
      <w:bookmarkStart w:id="215" w:name="_Toc174616345"/>
      <w:r>
        <w:rPr>
          <w:rFonts w:hint="eastAsia"/>
          <w:bCs/>
          <w:sz w:val="24"/>
          <w:szCs w:val="24"/>
        </w:rPr>
        <w:t>（三）</w:t>
      </w:r>
      <w:r>
        <w:rPr>
          <w:bCs/>
          <w:sz w:val="24"/>
          <w:szCs w:val="24"/>
        </w:rPr>
        <w:t>基金财产的清算</w:t>
      </w:r>
      <w:bookmarkEnd w:id="215"/>
    </w:p>
    <w:p w14:paraId="1890F858" w14:textId="77777777" w:rsidR="0037652E" w:rsidRDefault="00BF49B0">
      <w:pPr>
        <w:tabs>
          <w:tab w:val="left" w:pos="961"/>
        </w:tabs>
        <w:snapToGrid w:val="0"/>
        <w:spacing w:line="360" w:lineRule="auto"/>
        <w:ind w:firstLineChars="200" w:firstLine="480"/>
        <w:rPr>
          <w:bCs/>
          <w:sz w:val="24"/>
          <w:szCs w:val="24"/>
        </w:rPr>
      </w:pPr>
      <w:r>
        <w:rPr>
          <w:bCs/>
          <w:sz w:val="24"/>
          <w:szCs w:val="24"/>
        </w:rPr>
        <w:t>1</w:t>
      </w:r>
      <w:r>
        <w:rPr>
          <w:bCs/>
          <w:sz w:val="24"/>
          <w:szCs w:val="24"/>
        </w:rPr>
        <w:t>、基金财产清算小组：自出现《基金合同》终止事由之日起</w:t>
      </w:r>
      <w:r>
        <w:rPr>
          <w:bCs/>
          <w:sz w:val="24"/>
          <w:szCs w:val="24"/>
        </w:rPr>
        <w:t>30</w:t>
      </w:r>
      <w:r>
        <w:rPr>
          <w:bCs/>
          <w:sz w:val="24"/>
          <w:szCs w:val="24"/>
        </w:rPr>
        <w:t>个工作日内成立清算小组，基金管理人组织基金财产清算小组并在中国证监会的监督下进行基金清算。</w:t>
      </w:r>
    </w:p>
    <w:p w14:paraId="0C9403B1" w14:textId="77777777" w:rsidR="0037652E" w:rsidRDefault="00BF49B0">
      <w:pPr>
        <w:tabs>
          <w:tab w:val="left" w:pos="961"/>
        </w:tabs>
        <w:snapToGrid w:val="0"/>
        <w:spacing w:line="360" w:lineRule="auto"/>
        <w:ind w:firstLineChars="200" w:firstLine="480"/>
        <w:rPr>
          <w:bCs/>
          <w:sz w:val="24"/>
          <w:szCs w:val="24"/>
        </w:rPr>
      </w:pPr>
      <w:r>
        <w:rPr>
          <w:bCs/>
          <w:sz w:val="24"/>
          <w:szCs w:val="24"/>
        </w:rPr>
        <w:t>2</w:t>
      </w:r>
      <w:r>
        <w:rPr>
          <w:bCs/>
          <w:sz w:val="24"/>
          <w:szCs w:val="24"/>
        </w:rPr>
        <w:t>、在基金财产清算小组接管基金财产之前，基金管理人和基金托管人应按照《基金合同》和本托管协议的规定继续履行保护基金财产安全的职责。</w:t>
      </w:r>
    </w:p>
    <w:p w14:paraId="255E47DD" w14:textId="77777777" w:rsidR="0037652E" w:rsidRDefault="00BF49B0">
      <w:pPr>
        <w:tabs>
          <w:tab w:val="left" w:pos="961"/>
        </w:tabs>
        <w:snapToGrid w:val="0"/>
        <w:spacing w:line="360" w:lineRule="auto"/>
        <w:ind w:firstLineChars="200" w:firstLine="480"/>
        <w:rPr>
          <w:bCs/>
          <w:sz w:val="24"/>
          <w:szCs w:val="24"/>
        </w:rPr>
      </w:pPr>
      <w:r>
        <w:rPr>
          <w:bCs/>
          <w:sz w:val="24"/>
          <w:szCs w:val="24"/>
        </w:rPr>
        <w:lastRenderedPageBreak/>
        <w:t>3</w:t>
      </w:r>
      <w:r>
        <w:rPr>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CF7A35B" w14:textId="77777777" w:rsidR="0037652E" w:rsidRDefault="00BF49B0">
      <w:pPr>
        <w:tabs>
          <w:tab w:val="left" w:pos="961"/>
        </w:tabs>
        <w:snapToGrid w:val="0"/>
        <w:spacing w:line="360" w:lineRule="auto"/>
        <w:ind w:firstLineChars="200" w:firstLine="480"/>
        <w:rPr>
          <w:bCs/>
          <w:sz w:val="24"/>
          <w:szCs w:val="24"/>
        </w:rPr>
      </w:pPr>
      <w:r>
        <w:rPr>
          <w:bCs/>
          <w:sz w:val="24"/>
          <w:szCs w:val="24"/>
        </w:rPr>
        <w:t>4</w:t>
      </w:r>
      <w:r>
        <w:rPr>
          <w:bCs/>
          <w:sz w:val="24"/>
          <w:szCs w:val="24"/>
        </w:rPr>
        <w:t>、基金财产清算小组职责：基金财产清算小组负责基金财产的保管、清理、估价、变现和分配。基金财产清算小组可以依法进行必要的民事活动。</w:t>
      </w:r>
    </w:p>
    <w:p w14:paraId="3342AB22" w14:textId="77777777" w:rsidR="0037652E" w:rsidRDefault="00BF49B0">
      <w:pPr>
        <w:tabs>
          <w:tab w:val="left" w:pos="961"/>
        </w:tabs>
        <w:snapToGrid w:val="0"/>
        <w:spacing w:line="360" w:lineRule="auto"/>
        <w:ind w:firstLineChars="200" w:firstLine="480"/>
        <w:rPr>
          <w:bCs/>
          <w:sz w:val="24"/>
          <w:szCs w:val="24"/>
        </w:rPr>
      </w:pPr>
      <w:r>
        <w:rPr>
          <w:bCs/>
          <w:sz w:val="24"/>
          <w:szCs w:val="24"/>
        </w:rPr>
        <w:t>5</w:t>
      </w:r>
      <w:r>
        <w:rPr>
          <w:bCs/>
          <w:sz w:val="24"/>
          <w:szCs w:val="24"/>
        </w:rPr>
        <w:t>、基金财产清算程序：</w:t>
      </w:r>
      <w:r>
        <w:rPr>
          <w:bCs/>
          <w:sz w:val="24"/>
          <w:szCs w:val="24"/>
        </w:rPr>
        <w:tab/>
      </w:r>
    </w:p>
    <w:p w14:paraId="1FABFF5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）《基金合同》终止后，由基金财产清算小组统一接管基金；</w:t>
      </w:r>
    </w:p>
    <w:p w14:paraId="24703541"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）对基金财产和债权债务进行清理和确认；</w:t>
      </w:r>
    </w:p>
    <w:p w14:paraId="7FB7C75D"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）对基金财产进行估值和变现；</w:t>
      </w:r>
    </w:p>
    <w:p w14:paraId="4868494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）基金清算组作出清算报告；</w:t>
      </w:r>
    </w:p>
    <w:p w14:paraId="63D0D507"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5</w:t>
      </w:r>
      <w:r>
        <w:rPr>
          <w:bCs/>
          <w:sz w:val="24"/>
          <w:szCs w:val="24"/>
        </w:rPr>
        <w:t>）会计师事务所对清算报告进行审计；</w:t>
      </w:r>
    </w:p>
    <w:p w14:paraId="5D896760"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6</w:t>
      </w:r>
      <w:r>
        <w:rPr>
          <w:bCs/>
          <w:sz w:val="24"/>
          <w:szCs w:val="24"/>
        </w:rPr>
        <w:t>）律师事务所对清算报告出具法律意见书；</w:t>
      </w:r>
    </w:p>
    <w:p w14:paraId="7B4FB50C"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7</w:t>
      </w:r>
      <w:r>
        <w:rPr>
          <w:bCs/>
          <w:sz w:val="24"/>
          <w:szCs w:val="24"/>
        </w:rPr>
        <w:t>）将基金清算结果报告中国证监会；</w:t>
      </w:r>
    </w:p>
    <w:p w14:paraId="3BE19222"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8</w:t>
      </w:r>
      <w:r>
        <w:rPr>
          <w:bCs/>
          <w:sz w:val="24"/>
          <w:szCs w:val="24"/>
        </w:rPr>
        <w:t>）公布基金清算公告；</w:t>
      </w:r>
    </w:p>
    <w:p w14:paraId="57AFF718"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9</w:t>
      </w:r>
      <w:r>
        <w:rPr>
          <w:bCs/>
          <w:sz w:val="24"/>
          <w:szCs w:val="24"/>
        </w:rPr>
        <w:t>）对基金财产进行分配。</w:t>
      </w:r>
    </w:p>
    <w:p w14:paraId="14A73E45" w14:textId="77777777" w:rsidR="0037652E" w:rsidRDefault="00BF49B0">
      <w:pPr>
        <w:tabs>
          <w:tab w:val="left" w:pos="961"/>
        </w:tabs>
        <w:snapToGrid w:val="0"/>
        <w:spacing w:line="360" w:lineRule="auto"/>
        <w:ind w:firstLineChars="200" w:firstLine="480"/>
        <w:rPr>
          <w:bCs/>
          <w:sz w:val="24"/>
          <w:szCs w:val="24"/>
        </w:rPr>
      </w:pPr>
      <w:r>
        <w:rPr>
          <w:bCs/>
          <w:sz w:val="24"/>
          <w:szCs w:val="24"/>
        </w:rPr>
        <w:t>6</w:t>
      </w:r>
      <w:r>
        <w:rPr>
          <w:bCs/>
          <w:sz w:val="24"/>
          <w:szCs w:val="24"/>
        </w:rPr>
        <w:t>、清算费用</w:t>
      </w:r>
    </w:p>
    <w:p w14:paraId="6F0C9BC7" w14:textId="77777777" w:rsidR="0037652E" w:rsidRDefault="00BF49B0">
      <w:pPr>
        <w:tabs>
          <w:tab w:val="left" w:pos="961"/>
        </w:tabs>
        <w:snapToGrid w:val="0"/>
        <w:spacing w:line="360" w:lineRule="auto"/>
        <w:ind w:firstLineChars="200" w:firstLine="480"/>
        <w:rPr>
          <w:bCs/>
          <w:sz w:val="24"/>
          <w:szCs w:val="24"/>
        </w:rPr>
      </w:pPr>
      <w:r>
        <w:rPr>
          <w:bCs/>
          <w:sz w:val="24"/>
          <w:szCs w:val="24"/>
        </w:rPr>
        <w:t>清算费用是指基金清算小组在进行基金清算过程中发生的所有合理费用，清算费用由基金清算小组优先从基金财产中支付。</w:t>
      </w:r>
    </w:p>
    <w:p w14:paraId="51C122C5" w14:textId="77777777" w:rsidR="0037652E" w:rsidRDefault="00BF49B0">
      <w:pPr>
        <w:tabs>
          <w:tab w:val="left" w:pos="961"/>
        </w:tabs>
        <w:snapToGrid w:val="0"/>
        <w:spacing w:line="360" w:lineRule="auto"/>
        <w:ind w:firstLineChars="200" w:firstLine="480"/>
        <w:rPr>
          <w:bCs/>
          <w:sz w:val="24"/>
          <w:szCs w:val="24"/>
        </w:rPr>
      </w:pPr>
      <w:r>
        <w:rPr>
          <w:bCs/>
          <w:sz w:val="24"/>
          <w:szCs w:val="24"/>
        </w:rPr>
        <w:t>7</w:t>
      </w:r>
      <w:r>
        <w:rPr>
          <w:bCs/>
          <w:sz w:val="24"/>
          <w:szCs w:val="24"/>
        </w:rPr>
        <w:t>、基金财产按下列顺序清偿：</w:t>
      </w:r>
    </w:p>
    <w:p w14:paraId="795FB49B"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1</w:t>
      </w:r>
      <w:r>
        <w:rPr>
          <w:bCs/>
          <w:sz w:val="24"/>
          <w:szCs w:val="24"/>
        </w:rPr>
        <w:t>）支付清算费用；</w:t>
      </w:r>
    </w:p>
    <w:p w14:paraId="67A0A4BA"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2</w:t>
      </w:r>
      <w:r>
        <w:rPr>
          <w:bCs/>
          <w:sz w:val="24"/>
          <w:szCs w:val="24"/>
        </w:rPr>
        <w:t>）交纳所欠税款；</w:t>
      </w:r>
    </w:p>
    <w:p w14:paraId="18DC6EAE"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3</w:t>
      </w:r>
      <w:r>
        <w:rPr>
          <w:bCs/>
          <w:sz w:val="24"/>
          <w:szCs w:val="24"/>
        </w:rPr>
        <w:t>）清偿基金债务；</w:t>
      </w:r>
    </w:p>
    <w:p w14:paraId="5B8ECD65" w14:textId="77777777" w:rsidR="0037652E" w:rsidRDefault="00BF49B0">
      <w:pPr>
        <w:tabs>
          <w:tab w:val="left" w:pos="961"/>
        </w:tabs>
        <w:snapToGrid w:val="0"/>
        <w:spacing w:line="360" w:lineRule="auto"/>
        <w:ind w:firstLineChars="200" w:firstLine="480"/>
        <w:rPr>
          <w:bCs/>
          <w:sz w:val="24"/>
          <w:szCs w:val="24"/>
        </w:rPr>
      </w:pPr>
      <w:r>
        <w:rPr>
          <w:bCs/>
          <w:sz w:val="24"/>
          <w:szCs w:val="24"/>
        </w:rPr>
        <w:t>（</w:t>
      </w:r>
      <w:r>
        <w:rPr>
          <w:bCs/>
          <w:sz w:val="24"/>
          <w:szCs w:val="24"/>
        </w:rPr>
        <w:t>4</w:t>
      </w:r>
      <w:r>
        <w:rPr>
          <w:bCs/>
          <w:sz w:val="24"/>
          <w:szCs w:val="24"/>
        </w:rPr>
        <w:t>）按基金份额持有人持有的基金份额比例进行分配。</w:t>
      </w:r>
    </w:p>
    <w:p w14:paraId="106A80C6" w14:textId="77777777" w:rsidR="0037652E" w:rsidRDefault="00BF49B0">
      <w:pPr>
        <w:tabs>
          <w:tab w:val="left" w:pos="961"/>
        </w:tabs>
        <w:snapToGrid w:val="0"/>
        <w:spacing w:line="360" w:lineRule="auto"/>
        <w:ind w:firstLineChars="200" w:firstLine="480"/>
        <w:rPr>
          <w:bCs/>
          <w:sz w:val="24"/>
          <w:szCs w:val="24"/>
        </w:rPr>
      </w:pPr>
      <w:r>
        <w:rPr>
          <w:bCs/>
          <w:sz w:val="24"/>
          <w:szCs w:val="24"/>
        </w:rPr>
        <w:t>基金财产未按前款（</w:t>
      </w:r>
      <w:r>
        <w:rPr>
          <w:bCs/>
          <w:sz w:val="24"/>
          <w:szCs w:val="24"/>
        </w:rPr>
        <w:t>1</w:t>
      </w:r>
      <w:r>
        <w:rPr>
          <w:bCs/>
          <w:sz w:val="24"/>
          <w:szCs w:val="24"/>
        </w:rPr>
        <w:t>）－（</w:t>
      </w:r>
      <w:r>
        <w:rPr>
          <w:bCs/>
          <w:sz w:val="24"/>
          <w:szCs w:val="24"/>
        </w:rPr>
        <w:t>3</w:t>
      </w:r>
      <w:r>
        <w:rPr>
          <w:bCs/>
          <w:sz w:val="24"/>
          <w:szCs w:val="24"/>
        </w:rPr>
        <w:t>）项规定清偿前，不分配给基金份额持有人。</w:t>
      </w:r>
    </w:p>
    <w:p w14:paraId="60DAE0A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（四）</w:t>
      </w:r>
      <w:r>
        <w:rPr>
          <w:bCs/>
          <w:sz w:val="24"/>
          <w:szCs w:val="24"/>
        </w:rPr>
        <w:t>基金财产清算的公告</w:t>
      </w:r>
    </w:p>
    <w:p w14:paraId="47EA4841"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合同》终止并报中国证监会备案后</w:t>
      </w:r>
      <w:r>
        <w:rPr>
          <w:rFonts w:hint="eastAsia"/>
          <w:bCs/>
          <w:sz w:val="24"/>
          <w:szCs w:val="24"/>
        </w:rPr>
        <w:t>5</w:t>
      </w:r>
      <w:r>
        <w:rPr>
          <w:rFonts w:hint="eastAsia"/>
          <w:bCs/>
          <w:sz w:val="24"/>
          <w:szCs w:val="24"/>
        </w:rPr>
        <w:t>个工作日内由基金财产清算小组进行公告，基金财产清算小组应当将清算报告登载在指定网站上，并将清算报告提示性公告登载在指定报刊上。</w:t>
      </w:r>
    </w:p>
    <w:p w14:paraId="01E2C5A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lastRenderedPageBreak/>
        <w:t>（五）</w:t>
      </w:r>
      <w:r>
        <w:rPr>
          <w:bCs/>
          <w:sz w:val="24"/>
          <w:szCs w:val="24"/>
        </w:rPr>
        <w:t>基金财产清算账册及文件的保存</w:t>
      </w:r>
    </w:p>
    <w:p w14:paraId="73C62C13" w14:textId="77777777" w:rsidR="0037652E" w:rsidRDefault="00BF49B0">
      <w:pPr>
        <w:tabs>
          <w:tab w:val="left" w:pos="961"/>
        </w:tabs>
        <w:snapToGrid w:val="0"/>
        <w:spacing w:line="360" w:lineRule="auto"/>
        <w:ind w:firstLineChars="200" w:firstLine="480"/>
        <w:rPr>
          <w:bCs/>
          <w:szCs w:val="21"/>
        </w:rPr>
      </w:pPr>
      <w:r>
        <w:rPr>
          <w:bCs/>
          <w:sz w:val="24"/>
          <w:szCs w:val="24"/>
        </w:rPr>
        <w:t>基金财产清算账册及有关文件由基金托管人保存</w:t>
      </w:r>
      <w:r>
        <w:rPr>
          <w:bCs/>
          <w:sz w:val="24"/>
          <w:szCs w:val="24"/>
        </w:rPr>
        <w:t>15</w:t>
      </w:r>
      <w:r>
        <w:rPr>
          <w:bCs/>
          <w:sz w:val="24"/>
          <w:szCs w:val="24"/>
        </w:rPr>
        <w:t>年以上。</w:t>
      </w:r>
    </w:p>
    <w:p w14:paraId="1495D7E2" w14:textId="77777777" w:rsidR="0037652E" w:rsidRDefault="0037652E">
      <w:pPr>
        <w:tabs>
          <w:tab w:val="left" w:pos="961"/>
        </w:tabs>
        <w:snapToGrid w:val="0"/>
        <w:spacing w:line="360" w:lineRule="auto"/>
        <w:ind w:firstLineChars="200" w:firstLine="420"/>
        <w:rPr>
          <w:bCs/>
          <w:szCs w:val="21"/>
        </w:rPr>
      </w:pPr>
    </w:p>
    <w:p w14:paraId="5387B0C6" w14:textId="77777777" w:rsidR="0037652E" w:rsidRDefault="00BF49B0">
      <w:pPr>
        <w:spacing w:line="360" w:lineRule="auto"/>
        <w:ind w:firstLineChars="50" w:firstLine="105"/>
        <w:jc w:val="center"/>
        <w:outlineLvl w:val="0"/>
        <w:rPr>
          <w:rFonts w:ascii="宋体" w:hAnsi="宋体"/>
          <w:b/>
          <w:sz w:val="24"/>
          <w:szCs w:val="24"/>
        </w:rPr>
      </w:pPr>
      <w:r>
        <w:rPr>
          <w:bCs/>
          <w:szCs w:val="21"/>
        </w:rPr>
        <w:br w:type="page"/>
      </w:r>
      <w:bookmarkStart w:id="216" w:name="_Toc65325131"/>
      <w:bookmarkStart w:id="217" w:name="_Toc27072"/>
      <w:bookmarkStart w:id="218" w:name="_Toc30280"/>
      <w:bookmarkStart w:id="219" w:name="_Toc110606865"/>
      <w:r>
        <w:rPr>
          <w:rFonts w:ascii="宋体" w:hAnsi="宋体" w:hint="eastAsia"/>
          <w:b/>
          <w:sz w:val="24"/>
          <w:szCs w:val="24"/>
        </w:rPr>
        <w:lastRenderedPageBreak/>
        <w:t>第二十四部分 对基金份额持有人的服务</w:t>
      </w:r>
      <w:bookmarkEnd w:id="216"/>
      <w:bookmarkEnd w:id="217"/>
      <w:bookmarkEnd w:id="218"/>
      <w:bookmarkEnd w:id="219"/>
    </w:p>
    <w:p w14:paraId="17957433" w14:textId="77777777" w:rsidR="0037652E" w:rsidRDefault="0037652E">
      <w:pPr>
        <w:tabs>
          <w:tab w:val="left" w:pos="961"/>
        </w:tabs>
        <w:snapToGrid w:val="0"/>
        <w:spacing w:line="360" w:lineRule="auto"/>
        <w:ind w:firstLineChars="200" w:firstLine="420"/>
        <w:rPr>
          <w:bCs/>
          <w:szCs w:val="21"/>
        </w:rPr>
      </w:pPr>
      <w:bookmarkStart w:id="220" w:name="_Toc179862437"/>
      <w:bookmarkStart w:id="221" w:name="_Toc179634748"/>
      <w:bookmarkStart w:id="222" w:name="_Hlt88897298"/>
      <w:bookmarkStart w:id="223" w:name="_Hlt89689505"/>
      <w:bookmarkStart w:id="224" w:name="_Hlt80958353"/>
      <w:bookmarkStart w:id="225" w:name="_Hlt88900318"/>
      <w:bookmarkStart w:id="226" w:name="_Hlt88821719"/>
      <w:bookmarkStart w:id="227" w:name="_Hlt88827255"/>
      <w:bookmarkStart w:id="228" w:name="_Hlt112616834"/>
      <w:bookmarkEnd w:id="220"/>
      <w:bookmarkEnd w:id="221"/>
      <w:bookmarkEnd w:id="222"/>
      <w:bookmarkEnd w:id="223"/>
      <w:bookmarkEnd w:id="224"/>
      <w:bookmarkEnd w:id="225"/>
      <w:bookmarkEnd w:id="226"/>
      <w:bookmarkEnd w:id="227"/>
      <w:bookmarkEnd w:id="228"/>
    </w:p>
    <w:p w14:paraId="5B977AF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对于基金份额持有人和潜在投资者，基金管理人将根据具体情况提供一系列的服务，并将根据基金份额持有人的需要和市场的变化，增加或变更服务项目。主要服务内容如下：</w:t>
      </w:r>
    </w:p>
    <w:p w14:paraId="5D54C5D8"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一、基金份额持有人注册登记服务</w:t>
      </w:r>
    </w:p>
    <w:p w14:paraId="1836DC31"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为基金份额持有人提供注册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0BAA0CC9"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二、交易资料的寄送</w:t>
      </w:r>
    </w:p>
    <w:p w14:paraId="15B92B5A"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w:t>
      </w:r>
      <w:r>
        <w:rPr>
          <w:rFonts w:hint="eastAsia"/>
          <w:bCs/>
          <w:sz w:val="24"/>
          <w:szCs w:val="24"/>
        </w:rPr>
        <w:t>、账户资料：基金投资者开户申请被受理的</w:t>
      </w:r>
      <w:r>
        <w:rPr>
          <w:rFonts w:hint="eastAsia"/>
          <w:bCs/>
          <w:sz w:val="24"/>
          <w:szCs w:val="24"/>
        </w:rPr>
        <w:t>2</w:t>
      </w:r>
      <w:r>
        <w:rPr>
          <w:rFonts w:hint="eastAsia"/>
          <w:bCs/>
          <w:sz w:val="24"/>
          <w:szCs w:val="24"/>
        </w:rPr>
        <w:t>个工作日后（即</w:t>
      </w:r>
      <w:r>
        <w:rPr>
          <w:rFonts w:hint="eastAsia"/>
          <w:bCs/>
          <w:sz w:val="24"/>
          <w:szCs w:val="24"/>
        </w:rPr>
        <w:t xml:space="preserve">T+2 </w:t>
      </w:r>
      <w:r>
        <w:rPr>
          <w:rFonts w:hint="eastAsia"/>
          <w:bCs/>
          <w:sz w:val="24"/>
          <w:szCs w:val="24"/>
        </w:rPr>
        <w:t>日起），可以到销售网点查询和打印基金账户开户确认资料。基金成立后的</w:t>
      </w:r>
      <w:r>
        <w:rPr>
          <w:rFonts w:hint="eastAsia"/>
          <w:bCs/>
          <w:sz w:val="24"/>
          <w:szCs w:val="24"/>
        </w:rPr>
        <w:t>30</w:t>
      </w:r>
      <w:r>
        <w:rPr>
          <w:rFonts w:hint="eastAsia"/>
          <w:bCs/>
          <w:sz w:val="24"/>
          <w:szCs w:val="24"/>
        </w:rPr>
        <w:t>个工作日内，基金管理人将向投资者寄送包含基金账户信息在内的对账单。</w:t>
      </w:r>
    </w:p>
    <w:p w14:paraId="7BC0D53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2</w:t>
      </w:r>
      <w:r>
        <w:rPr>
          <w:rFonts w:hint="eastAsia"/>
          <w:bCs/>
          <w:sz w:val="24"/>
          <w:szCs w:val="24"/>
        </w:rPr>
        <w:t>、基金交易确认查询服务：基金投资者在交易申请被受理的</w:t>
      </w:r>
      <w:r>
        <w:rPr>
          <w:rFonts w:hint="eastAsia"/>
          <w:bCs/>
          <w:sz w:val="24"/>
          <w:szCs w:val="24"/>
        </w:rPr>
        <w:t>2</w:t>
      </w:r>
      <w:r>
        <w:rPr>
          <w:rFonts w:hint="eastAsia"/>
          <w:bCs/>
          <w:sz w:val="24"/>
          <w:szCs w:val="24"/>
        </w:rPr>
        <w:t>个工作日后（即</w:t>
      </w:r>
      <w:r>
        <w:rPr>
          <w:rFonts w:hint="eastAsia"/>
          <w:bCs/>
          <w:sz w:val="24"/>
          <w:szCs w:val="24"/>
        </w:rPr>
        <w:t xml:space="preserve">T+2 </w:t>
      </w:r>
      <w:r>
        <w:rPr>
          <w:rFonts w:hint="eastAsia"/>
          <w:bCs/>
          <w:sz w:val="24"/>
          <w:szCs w:val="24"/>
        </w:rPr>
        <w:t>日起），可以到销售网点查询和打印该项交易的确认资料。基金成立后的</w:t>
      </w:r>
      <w:r>
        <w:rPr>
          <w:rFonts w:hint="eastAsia"/>
          <w:bCs/>
          <w:sz w:val="24"/>
          <w:szCs w:val="24"/>
        </w:rPr>
        <w:t>30</w:t>
      </w:r>
      <w:r>
        <w:rPr>
          <w:rFonts w:hint="eastAsia"/>
          <w:bCs/>
          <w:sz w:val="24"/>
          <w:szCs w:val="24"/>
        </w:rPr>
        <w:t>个工作日内，基金管理人将向投资者寄送包含基金认购确认信息在内的对账单。</w:t>
      </w:r>
    </w:p>
    <w:p w14:paraId="2FC1722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3</w:t>
      </w:r>
      <w:r>
        <w:rPr>
          <w:rFonts w:hint="eastAsia"/>
          <w:bCs/>
          <w:sz w:val="24"/>
          <w:szCs w:val="24"/>
        </w:rPr>
        <w:t>、基金交易对账单的寄送频率为每季度寄送，每季度对基金份额持有人寄送一次对账单（要求不予寄送的除外）。季度对账单于每季结束后</w:t>
      </w:r>
      <w:r>
        <w:rPr>
          <w:rFonts w:hint="eastAsia"/>
          <w:bCs/>
          <w:sz w:val="24"/>
          <w:szCs w:val="24"/>
        </w:rPr>
        <w:t xml:space="preserve">15 </w:t>
      </w:r>
      <w:r>
        <w:rPr>
          <w:rFonts w:hint="eastAsia"/>
          <w:bCs/>
          <w:sz w:val="24"/>
          <w:szCs w:val="24"/>
        </w:rPr>
        <w:t>个工作日内以书面或电子邮件形式寄送，记录基金份额持有人最近一季度内所有申购、赎回、修改分红方式等交易发生的时间、金额、数量、价格以及当前账户余额等。</w:t>
      </w:r>
    </w:p>
    <w:p w14:paraId="2B4633A4"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三、客户服务中心电话服务</w:t>
      </w:r>
    </w:p>
    <w:p w14:paraId="3F37E7C1"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客户服务中心提供</w:t>
      </w:r>
      <w:r>
        <w:rPr>
          <w:rFonts w:hint="eastAsia"/>
          <w:bCs/>
          <w:sz w:val="24"/>
          <w:szCs w:val="24"/>
        </w:rPr>
        <w:t xml:space="preserve">24 </w:t>
      </w:r>
      <w:r>
        <w:rPr>
          <w:rFonts w:hint="eastAsia"/>
          <w:bCs/>
          <w:sz w:val="24"/>
          <w:szCs w:val="24"/>
        </w:rPr>
        <w:t>小时自动语音查询服务。基金份额持有人可进行基金账户余额、申购与赎回交易情况查询、基金产品与相关服务等信息的查询。</w:t>
      </w:r>
    </w:p>
    <w:p w14:paraId="5EC2B466"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客户服务中心提供每周五天，每天不少于</w:t>
      </w:r>
      <w:r>
        <w:rPr>
          <w:rFonts w:hint="eastAsia"/>
          <w:bCs/>
          <w:sz w:val="24"/>
          <w:szCs w:val="24"/>
        </w:rPr>
        <w:t>12</w:t>
      </w:r>
      <w:r>
        <w:rPr>
          <w:rFonts w:hint="eastAsia"/>
          <w:bCs/>
          <w:sz w:val="24"/>
          <w:szCs w:val="24"/>
        </w:rPr>
        <w:t>小时的人工热线咨询服务。基金份额持有人可通过全国统一客服热线：</w:t>
      </w:r>
      <w:r>
        <w:rPr>
          <w:rFonts w:hint="eastAsia"/>
          <w:bCs/>
          <w:sz w:val="24"/>
          <w:szCs w:val="24"/>
        </w:rPr>
        <w:t>400-888-9918</w:t>
      </w:r>
      <w:r>
        <w:rPr>
          <w:rFonts w:hint="eastAsia"/>
          <w:bCs/>
          <w:sz w:val="24"/>
          <w:szCs w:val="24"/>
        </w:rPr>
        <w:t>（免长途话费）享受业务咨询、信息查询、服务投诉、信息定制、对账单寄送地址资料修改等专项服务。</w:t>
      </w:r>
    </w:p>
    <w:p w14:paraId="6E8F8C5C"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四、网上交易服务</w:t>
      </w:r>
    </w:p>
    <w:p w14:paraId="1408A76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lastRenderedPageBreak/>
        <w:t>本基金管理人已开通个人投资者网上交易业务。个人投资者可以通过基金管理人网站（</w:t>
      </w:r>
      <w:hyperlink r:id="rId29" w:history="1">
        <w:r>
          <w:rPr>
            <w:rFonts w:hint="eastAsia"/>
            <w:sz w:val="24"/>
            <w:szCs w:val="24"/>
          </w:rPr>
          <w:t>www.99fund.com</w:t>
        </w:r>
      </w:hyperlink>
      <w:r>
        <w:rPr>
          <w:rFonts w:hint="eastAsia"/>
          <w:bCs/>
          <w:sz w:val="24"/>
          <w:szCs w:val="24"/>
        </w:rPr>
        <w:t>）办理基金认购、申购、赎回、分红方式修改、账户资料修改、交易密码修改、交易申请查询和账户资料查询等各类业务。</w:t>
      </w:r>
    </w:p>
    <w:p w14:paraId="2B0BB9C5"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五、定期定额投资计划</w:t>
      </w:r>
    </w:p>
    <w:p w14:paraId="7BE284BE"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基金管理人可通过销售机构为投资者提供定期定额投资服务。通过定期定额投资计划，投资者可以通过销售渠道定期定额申购基金份额。定期定额投资计划的有关规则另行公告。</w:t>
      </w:r>
    </w:p>
    <w:p w14:paraId="3C0B667C"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六、网络在线服务</w:t>
      </w:r>
    </w:p>
    <w:p w14:paraId="1C676775"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基金份额持有人登录基金管理人网站，通过基金账户（或开户证件号码）和查询密码，可享受账户查询等在线服务。基金管理人为投资者预设基金查询密码，预设的基金查询密码为投资者开户证件号码的后</w:t>
      </w:r>
      <w:r>
        <w:rPr>
          <w:rFonts w:hint="eastAsia"/>
          <w:bCs/>
          <w:sz w:val="24"/>
          <w:szCs w:val="24"/>
        </w:rPr>
        <w:t>6</w:t>
      </w:r>
      <w:r>
        <w:rPr>
          <w:rFonts w:hint="eastAsia"/>
          <w:bCs/>
          <w:sz w:val="24"/>
          <w:szCs w:val="24"/>
        </w:rPr>
        <w:t>位。投资者在开户成功后，请及时拨打客服热线电话或登录网站自助修改查询密码。</w:t>
      </w:r>
    </w:p>
    <w:p w14:paraId="45F8C720"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基金管理人利用自己的网站定期或不定期为基金投资者提供投资策略报告、投资者服务刊物以及与投资者交流互动服务。</w:t>
      </w:r>
    </w:p>
    <w:p w14:paraId="73FBE55F"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七、信息定制服务</w:t>
      </w:r>
    </w:p>
    <w:p w14:paraId="219B6A0B"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基金份额持有人可以登录基金管理人网站，或拨打客服热线电话提交信息定制申请。基金管理人通过手机短信、电子邮件或其他方式按基金份额持有人的定制提供信息。可定制的信息包括：每周基金份额净值、月度电子对账单、投资者服务刊物、分红公告、公司公告等。基金管理人可以根据实际业务需要，调整定制信息的条件、方式和内容。</w:t>
      </w:r>
    </w:p>
    <w:p w14:paraId="623FFDA3"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八、投资者投诉受理服务</w:t>
      </w:r>
    </w:p>
    <w:p w14:paraId="4BF247A8"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投资者可以通过代销机构网点或基金管理人客服热线、基金管理人网站留言栏目、信函及电子邮件等形式对基金管理人或销售网点所提供的服务进行投诉。</w:t>
      </w:r>
    </w:p>
    <w:p w14:paraId="28B3D206"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客服热线电话投诉、电子邮件投诉、信函投诉、网站留言是主要投诉受理渠道，基金管理人客户服务中心负责管理投诉电话、投诉邮箱。现场投诉和意见簿投诉是补充投诉渠道，由各代销机构和基金管理人分别管理。</w:t>
      </w:r>
    </w:p>
    <w:p w14:paraId="158CE96E"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对于工作日期间受理的投诉，原则上是及时回复；对于不能及时回复的投诉，基金管理人承诺在投诉送达基金管理人的</w:t>
      </w:r>
      <w:r>
        <w:rPr>
          <w:rFonts w:hint="eastAsia"/>
          <w:bCs/>
          <w:sz w:val="24"/>
          <w:szCs w:val="24"/>
        </w:rPr>
        <w:t xml:space="preserve">24 </w:t>
      </w:r>
      <w:r>
        <w:rPr>
          <w:rFonts w:hint="eastAsia"/>
          <w:bCs/>
          <w:sz w:val="24"/>
          <w:szCs w:val="24"/>
        </w:rPr>
        <w:t>小时之内做出回复。对于非工作日提出的投诉，顺延至下一工作日完成回复。</w:t>
      </w:r>
    </w:p>
    <w:p w14:paraId="59E3CBBE"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客户服务中心邮箱：</w:t>
      </w:r>
      <w:hyperlink r:id="rId30" w:history="1">
        <w:r>
          <w:rPr>
            <w:rFonts w:hint="eastAsia"/>
            <w:bCs/>
            <w:sz w:val="24"/>
            <w:szCs w:val="24"/>
          </w:rPr>
          <w:t>service@99fund.com</w:t>
        </w:r>
      </w:hyperlink>
    </w:p>
    <w:p w14:paraId="130C2D5D" w14:textId="77777777" w:rsidR="0037652E" w:rsidRDefault="00BF49B0">
      <w:pPr>
        <w:spacing w:line="360" w:lineRule="auto"/>
        <w:ind w:firstLineChars="50" w:firstLine="120"/>
        <w:jc w:val="center"/>
        <w:outlineLvl w:val="0"/>
        <w:rPr>
          <w:rFonts w:ascii="宋体" w:hAnsi="宋体"/>
          <w:b/>
          <w:sz w:val="24"/>
          <w:szCs w:val="24"/>
        </w:rPr>
      </w:pPr>
      <w:bookmarkStart w:id="229" w:name="_Toc21713"/>
      <w:bookmarkStart w:id="230" w:name="_Toc18711"/>
      <w:bookmarkStart w:id="231" w:name="_Toc65325132"/>
      <w:bookmarkStart w:id="232" w:name="_Toc110606866"/>
      <w:r>
        <w:rPr>
          <w:rFonts w:ascii="宋体" w:hAnsi="宋体" w:hint="eastAsia"/>
          <w:b/>
          <w:sz w:val="24"/>
          <w:szCs w:val="24"/>
        </w:rPr>
        <w:lastRenderedPageBreak/>
        <w:t>第二十五部分 其它应披露事项</w:t>
      </w:r>
      <w:bookmarkEnd w:id="229"/>
      <w:bookmarkEnd w:id="230"/>
      <w:bookmarkEnd w:id="231"/>
      <w:bookmarkEnd w:id="232"/>
    </w:p>
    <w:p w14:paraId="55350D7E" w14:textId="77777777" w:rsidR="0037652E" w:rsidRDefault="00BF49B0">
      <w:pPr>
        <w:rPr>
          <w:rFonts w:ascii="宋体" w:hAnsi="宋体"/>
          <w:sz w:val="24"/>
        </w:rPr>
      </w:pPr>
      <w:r>
        <w:rPr>
          <w:rFonts w:ascii="宋体" w:hAnsi="宋体" w:hint="eastAsia"/>
          <w:sz w:val="24"/>
        </w:rPr>
        <w:t>以下信息披露事项已通过中国证监会规定媒介进行公开披露。</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110"/>
        <w:gridCol w:w="2268"/>
        <w:gridCol w:w="1701"/>
      </w:tblGrid>
      <w:tr w:rsidR="0037652E" w14:paraId="1B5E195A" w14:textId="77777777">
        <w:trPr>
          <w:trHeight w:val="300"/>
        </w:trPr>
        <w:tc>
          <w:tcPr>
            <w:tcW w:w="710" w:type="dxa"/>
            <w:shd w:val="clear" w:color="auto" w:fill="auto"/>
          </w:tcPr>
          <w:p w14:paraId="6F538A44" w14:textId="77777777" w:rsidR="0037652E" w:rsidRDefault="00BF49B0">
            <w:pPr>
              <w:jc w:val="center"/>
              <w:rPr>
                <w:rFonts w:hAnsi="宋体"/>
                <w:b/>
                <w:bCs/>
                <w:kern w:val="0"/>
                <w:szCs w:val="24"/>
              </w:rPr>
            </w:pPr>
            <w:r>
              <w:rPr>
                <w:rFonts w:hAnsi="宋体" w:hint="eastAsia"/>
                <w:b/>
                <w:bCs/>
                <w:kern w:val="0"/>
                <w:szCs w:val="24"/>
              </w:rPr>
              <w:t>序号</w:t>
            </w:r>
          </w:p>
        </w:tc>
        <w:tc>
          <w:tcPr>
            <w:tcW w:w="4110" w:type="dxa"/>
            <w:shd w:val="clear" w:color="auto" w:fill="auto"/>
          </w:tcPr>
          <w:p w14:paraId="72EC3754" w14:textId="77777777" w:rsidR="0037652E" w:rsidRDefault="00BF49B0">
            <w:pPr>
              <w:jc w:val="center"/>
              <w:rPr>
                <w:rFonts w:hAnsi="宋体"/>
                <w:b/>
                <w:bCs/>
                <w:kern w:val="0"/>
                <w:szCs w:val="24"/>
              </w:rPr>
            </w:pPr>
            <w:r>
              <w:rPr>
                <w:rFonts w:hAnsi="宋体" w:hint="eastAsia"/>
                <w:b/>
                <w:bCs/>
                <w:kern w:val="0"/>
                <w:szCs w:val="24"/>
              </w:rPr>
              <w:t>公告事项</w:t>
            </w:r>
          </w:p>
        </w:tc>
        <w:tc>
          <w:tcPr>
            <w:tcW w:w="2268" w:type="dxa"/>
            <w:shd w:val="clear" w:color="auto" w:fill="auto"/>
          </w:tcPr>
          <w:p w14:paraId="6B138F9E" w14:textId="77777777" w:rsidR="0037652E" w:rsidRDefault="00BF49B0">
            <w:pPr>
              <w:jc w:val="center"/>
              <w:rPr>
                <w:rFonts w:hAnsi="宋体"/>
                <w:b/>
                <w:bCs/>
                <w:kern w:val="0"/>
                <w:szCs w:val="24"/>
              </w:rPr>
            </w:pPr>
            <w:r>
              <w:rPr>
                <w:rFonts w:hAnsi="宋体" w:hint="eastAsia"/>
                <w:b/>
                <w:bCs/>
                <w:kern w:val="0"/>
                <w:szCs w:val="24"/>
              </w:rPr>
              <w:t>法定披露方式</w:t>
            </w:r>
          </w:p>
        </w:tc>
        <w:tc>
          <w:tcPr>
            <w:tcW w:w="1701" w:type="dxa"/>
            <w:shd w:val="clear" w:color="auto" w:fill="auto"/>
          </w:tcPr>
          <w:p w14:paraId="68799536" w14:textId="77777777" w:rsidR="0037652E" w:rsidRDefault="00BF49B0">
            <w:pPr>
              <w:jc w:val="center"/>
              <w:rPr>
                <w:rFonts w:hAnsi="宋体"/>
                <w:b/>
                <w:bCs/>
                <w:kern w:val="0"/>
                <w:szCs w:val="24"/>
              </w:rPr>
            </w:pPr>
            <w:r>
              <w:rPr>
                <w:rFonts w:hAnsi="宋体" w:hint="eastAsia"/>
                <w:b/>
                <w:bCs/>
                <w:kern w:val="0"/>
                <w:szCs w:val="24"/>
              </w:rPr>
              <w:t>披露日期</w:t>
            </w:r>
          </w:p>
        </w:tc>
      </w:tr>
      <w:tr w:rsidR="002F3E80" w:rsidRPr="002F3E80" w14:paraId="0E4702B8" w14:textId="77777777" w:rsidTr="002F3E80">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3FF5848" w14:textId="77777777" w:rsidR="002F3E80" w:rsidRPr="002F3E80" w:rsidRDefault="002F3E80" w:rsidP="002F3E80">
            <w:pPr>
              <w:pStyle w:val="af9"/>
              <w:numPr>
                <w:ilvl w:val="0"/>
                <w:numId w:val="7"/>
              </w:numPr>
              <w:ind w:firstLineChars="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5EA79AD"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汇添富基金管理股份有限公司旗下基金</w:t>
            </w:r>
            <w:r w:rsidRPr="002F3E80">
              <w:rPr>
                <w:rFonts w:ascii="Verdana" w:hAnsi="Verdana"/>
                <w:color w:val="000000"/>
                <w:sz w:val="18"/>
                <w:szCs w:val="18"/>
                <w:lang w:bidi="ar"/>
              </w:rPr>
              <w:t>2022</w:t>
            </w:r>
            <w:r w:rsidRPr="002F3E80">
              <w:rPr>
                <w:rFonts w:ascii="Verdana" w:hAnsi="Verdana"/>
                <w:color w:val="000000"/>
                <w:sz w:val="18"/>
                <w:szCs w:val="18"/>
                <w:lang w:bidi="ar"/>
              </w:rPr>
              <w:t>年第一季度报告</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4AD28A"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上交所</w:t>
            </w:r>
            <w:r w:rsidRPr="002F3E80">
              <w:rPr>
                <w:rFonts w:ascii="Verdana" w:hAnsi="Verdana"/>
                <w:color w:val="000000"/>
                <w:sz w:val="18"/>
                <w:szCs w:val="18"/>
                <w:lang w:bidi="ar"/>
              </w:rPr>
              <w:t>,</w:t>
            </w:r>
            <w:r w:rsidRPr="002F3E80">
              <w:rPr>
                <w:rFonts w:ascii="Verdana" w:hAnsi="Verdana"/>
                <w:color w:val="000000"/>
                <w:sz w:val="18"/>
                <w:szCs w:val="18"/>
                <w:lang w:bidi="ar"/>
              </w:rPr>
              <w:t>上证报</w:t>
            </w:r>
            <w:r w:rsidRPr="002F3E80">
              <w:rPr>
                <w:rFonts w:ascii="Verdana" w:hAnsi="Verdana"/>
                <w:color w:val="000000"/>
                <w:sz w:val="18"/>
                <w:szCs w:val="18"/>
                <w:lang w:bidi="ar"/>
              </w:rPr>
              <w:t>,</w:t>
            </w:r>
            <w:r w:rsidRPr="002F3E80">
              <w:rPr>
                <w:rFonts w:ascii="Verdana" w:hAnsi="Verdana"/>
                <w:color w:val="000000"/>
                <w:sz w:val="18"/>
                <w:szCs w:val="18"/>
                <w:lang w:bidi="ar"/>
              </w:rPr>
              <w:t>公司网站</w:t>
            </w:r>
            <w:r w:rsidRPr="002F3E80">
              <w:rPr>
                <w:rFonts w:ascii="Verdana" w:hAnsi="Verdana"/>
                <w:color w:val="000000"/>
                <w:sz w:val="18"/>
                <w:szCs w:val="18"/>
                <w:lang w:bidi="ar"/>
              </w:rPr>
              <w:t>,</w:t>
            </w:r>
            <w:r w:rsidRPr="002F3E80">
              <w:rPr>
                <w:rFonts w:ascii="Verdana" w:hAnsi="Verdana"/>
                <w:color w:val="000000"/>
                <w:sz w:val="18"/>
                <w:szCs w:val="18"/>
                <w:lang w:bidi="ar"/>
              </w:rPr>
              <w:t>深交所</w:t>
            </w:r>
            <w:r w:rsidRPr="002F3E80">
              <w:rPr>
                <w:rFonts w:ascii="Verdana" w:hAnsi="Verdana"/>
                <w:color w:val="000000"/>
                <w:sz w:val="18"/>
                <w:szCs w:val="18"/>
                <w:lang w:bidi="ar"/>
              </w:rPr>
              <w:t>,</w:t>
            </w:r>
            <w:r w:rsidRPr="002F3E80">
              <w:rPr>
                <w:rFonts w:ascii="Verdana" w:hAnsi="Verdana"/>
                <w:color w:val="000000"/>
                <w:sz w:val="18"/>
                <w:szCs w:val="18"/>
                <w:lang w:bidi="ar"/>
              </w:rPr>
              <w:t>中国证监会基金电子披露网站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7BD92A"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2022-04-22</w:t>
            </w:r>
          </w:p>
        </w:tc>
      </w:tr>
      <w:tr w:rsidR="002F3E80" w:rsidRPr="002F3E80" w14:paraId="10A9E865" w14:textId="77777777" w:rsidTr="002F3E80">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53FF3E1" w14:textId="77777777" w:rsidR="002F3E80" w:rsidRPr="002F3E80" w:rsidRDefault="002F3E80" w:rsidP="002F3E80">
            <w:pPr>
              <w:pStyle w:val="af9"/>
              <w:numPr>
                <w:ilvl w:val="0"/>
                <w:numId w:val="7"/>
              </w:numPr>
              <w:ind w:firstLineChars="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17BF0EF"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关于汇添富黄金及贵金属证券投资基金</w:t>
            </w:r>
            <w:r w:rsidRPr="002F3E80">
              <w:rPr>
                <w:rFonts w:ascii="Verdana" w:hAnsi="Verdana"/>
                <w:color w:val="000000"/>
                <w:sz w:val="18"/>
                <w:szCs w:val="18"/>
                <w:lang w:bidi="ar"/>
              </w:rPr>
              <w:t>(LOF)</w:t>
            </w:r>
            <w:r w:rsidRPr="002F3E80">
              <w:rPr>
                <w:rFonts w:ascii="Verdana" w:hAnsi="Verdana"/>
                <w:color w:val="000000"/>
                <w:sz w:val="18"/>
                <w:szCs w:val="18"/>
                <w:lang w:bidi="ar"/>
              </w:rPr>
              <w:t>因境外主要市场节假日暂停申购、赎回、定期定额投资业务的公告</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D6AD68"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上证报</w:t>
            </w:r>
            <w:r w:rsidRPr="002F3E80">
              <w:rPr>
                <w:rFonts w:ascii="Verdana" w:hAnsi="Verdana"/>
                <w:color w:val="000000"/>
                <w:sz w:val="18"/>
                <w:szCs w:val="18"/>
                <w:lang w:bidi="ar"/>
              </w:rPr>
              <w:t>,</w:t>
            </w:r>
            <w:r w:rsidRPr="002F3E80">
              <w:rPr>
                <w:rFonts w:ascii="Verdana" w:hAnsi="Verdana"/>
                <w:color w:val="000000"/>
                <w:sz w:val="18"/>
                <w:szCs w:val="18"/>
                <w:lang w:bidi="ar"/>
              </w:rPr>
              <w:t>公司网站</w:t>
            </w:r>
            <w:r w:rsidRPr="002F3E80">
              <w:rPr>
                <w:rFonts w:ascii="Verdana" w:hAnsi="Verdana"/>
                <w:color w:val="000000"/>
                <w:sz w:val="18"/>
                <w:szCs w:val="18"/>
                <w:lang w:bidi="ar"/>
              </w:rPr>
              <w:t>,</w:t>
            </w:r>
            <w:r w:rsidRPr="002F3E80">
              <w:rPr>
                <w:rFonts w:ascii="Verdana" w:hAnsi="Verdana"/>
                <w:color w:val="000000"/>
                <w:sz w:val="18"/>
                <w:szCs w:val="18"/>
                <w:lang w:bidi="ar"/>
              </w:rPr>
              <w:t>深交所</w:t>
            </w:r>
            <w:r w:rsidRPr="002F3E80">
              <w:rPr>
                <w:rFonts w:ascii="Verdana" w:hAnsi="Verdana"/>
                <w:color w:val="000000"/>
                <w:sz w:val="18"/>
                <w:szCs w:val="18"/>
                <w:lang w:bidi="ar"/>
              </w:rPr>
              <w:t>,</w:t>
            </w:r>
            <w:r w:rsidRPr="002F3E80">
              <w:rPr>
                <w:rFonts w:ascii="Verdana" w:hAnsi="Verdana"/>
                <w:color w:val="000000"/>
                <w:sz w:val="18"/>
                <w:szCs w:val="18"/>
                <w:lang w:bidi="ar"/>
              </w:rPr>
              <w:t>中国证监会基金电子披露网站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C74B8A"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2022-05-24</w:t>
            </w:r>
          </w:p>
        </w:tc>
      </w:tr>
      <w:tr w:rsidR="002F3E80" w:rsidRPr="002F3E80" w14:paraId="17AF6D2B" w14:textId="77777777" w:rsidTr="002F3E80">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1451686" w14:textId="77777777" w:rsidR="002F3E80" w:rsidRPr="002F3E80" w:rsidRDefault="002F3E80" w:rsidP="002F3E80">
            <w:pPr>
              <w:pStyle w:val="af9"/>
              <w:numPr>
                <w:ilvl w:val="0"/>
                <w:numId w:val="7"/>
              </w:numPr>
              <w:ind w:firstLineChars="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27DF67C"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关于汇添富黄金及贵金属证券投资基金</w:t>
            </w:r>
            <w:r w:rsidRPr="002F3E80">
              <w:rPr>
                <w:rFonts w:ascii="Verdana" w:hAnsi="Verdana"/>
                <w:color w:val="000000"/>
                <w:sz w:val="18"/>
                <w:szCs w:val="18"/>
                <w:lang w:bidi="ar"/>
              </w:rPr>
              <w:t>(LOF)</w:t>
            </w:r>
            <w:r w:rsidRPr="002F3E80">
              <w:rPr>
                <w:rFonts w:ascii="Verdana" w:hAnsi="Verdana"/>
                <w:color w:val="000000"/>
                <w:sz w:val="18"/>
                <w:szCs w:val="18"/>
                <w:lang w:bidi="ar"/>
              </w:rPr>
              <w:t>因境外主要市场节假日暂停申购、赎回、定期定额投资业务的公告</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65CACA"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上证报</w:t>
            </w:r>
            <w:r w:rsidRPr="002F3E80">
              <w:rPr>
                <w:rFonts w:ascii="Verdana" w:hAnsi="Verdana"/>
                <w:color w:val="000000"/>
                <w:sz w:val="18"/>
                <w:szCs w:val="18"/>
                <w:lang w:bidi="ar"/>
              </w:rPr>
              <w:t>,</w:t>
            </w:r>
            <w:r w:rsidRPr="002F3E80">
              <w:rPr>
                <w:rFonts w:ascii="Verdana" w:hAnsi="Verdana"/>
                <w:color w:val="000000"/>
                <w:sz w:val="18"/>
                <w:szCs w:val="18"/>
                <w:lang w:bidi="ar"/>
              </w:rPr>
              <w:t>公司网站</w:t>
            </w:r>
            <w:r w:rsidRPr="002F3E80">
              <w:rPr>
                <w:rFonts w:ascii="Verdana" w:hAnsi="Verdana"/>
                <w:color w:val="000000"/>
                <w:sz w:val="18"/>
                <w:szCs w:val="18"/>
                <w:lang w:bidi="ar"/>
              </w:rPr>
              <w:t>,</w:t>
            </w:r>
            <w:r w:rsidRPr="002F3E80">
              <w:rPr>
                <w:rFonts w:ascii="Verdana" w:hAnsi="Verdana"/>
                <w:color w:val="000000"/>
                <w:sz w:val="18"/>
                <w:szCs w:val="18"/>
                <w:lang w:bidi="ar"/>
              </w:rPr>
              <w:t>深交所</w:t>
            </w:r>
            <w:r w:rsidRPr="002F3E80">
              <w:rPr>
                <w:rFonts w:ascii="Verdana" w:hAnsi="Verdana"/>
                <w:color w:val="000000"/>
                <w:sz w:val="18"/>
                <w:szCs w:val="18"/>
                <w:lang w:bidi="ar"/>
              </w:rPr>
              <w:t>,</w:t>
            </w:r>
            <w:r w:rsidRPr="002F3E80">
              <w:rPr>
                <w:rFonts w:ascii="Verdana" w:hAnsi="Verdana"/>
                <w:color w:val="000000"/>
                <w:sz w:val="18"/>
                <w:szCs w:val="18"/>
                <w:lang w:bidi="ar"/>
              </w:rPr>
              <w:t>中国证监会基金电子披露网站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2175C2"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2022-05-26</w:t>
            </w:r>
          </w:p>
        </w:tc>
      </w:tr>
      <w:tr w:rsidR="002F3E80" w:rsidRPr="002F3E80" w14:paraId="6C4D1F2D" w14:textId="77777777" w:rsidTr="002F3E80">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FFBCE5B" w14:textId="77777777" w:rsidR="002F3E80" w:rsidRPr="002F3E80" w:rsidRDefault="002F3E80" w:rsidP="002F3E80">
            <w:pPr>
              <w:pStyle w:val="af9"/>
              <w:numPr>
                <w:ilvl w:val="0"/>
                <w:numId w:val="7"/>
              </w:numPr>
              <w:ind w:firstLineChars="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A285AB1"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关于汇添富黄金及贵金属证券投资基金</w:t>
            </w:r>
            <w:r w:rsidRPr="002F3E80">
              <w:rPr>
                <w:rFonts w:ascii="Verdana" w:hAnsi="Verdana"/>
                <w:color w:val="000000"/>
                <w:sz w:val="18"/>
                <w:szCs w:val="18"/>
                <w:lang w:bidi="ar"/>
              </w:rPr>
              <w:t>(LOF)</w:t>
            </w:r>
            <w:r w:rsidRPr="002F3E80">
              <w:rPr>
                <w:rFonts w:ascii="Verdana" w:hAnsi="Verdana"/>
                <w:color w:val="000000"/>
                <w:sz w:val="18"/>
                <w:szCs w:val="18"/>
                <w:lang w:bidi="ar"/>
              </w:rPr>
              <w:t>因境外主要市场节假日暂停申购、赎回、定期定额投资业务的公告</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2C05C7"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上证报</w:t>
            </w:r>
            <w:r w:rsidRPr="002F3E80">
              <w:rPr>
                <w:rFonts w:ascii="Verdana" w:hAnsi="Verdana"/>
                <w:color w:val="000000"/>
                <w:sz w:val="18"/>
                <w:szCs w:val="18"/>
                <w:lang w:bidi="ar"/>
              </w:rPr>
              <w:t>,</w:t>
            </w:r>
            <w:r w:rsidRPr="002F3E80">
              <w:rPr>
                <w:rFonts w:ascii="Verdana" w:hAnsi="Verdana"/>
                <w:color w:val="000000"/>
                <w:sz w:val="18"/>
                <w:szCs w:val="18"/>
                <w:lang w:bidi="ar"/>
              </w:rPr>
              <w:t>公司网站</w:t>
            </w:r>
            <w:r w:rsidRPr="002F3E80">
              <w:rPr>
                <w:rFonts w:ascii="Verdana" w:hAnsi="Verdana"/>
                <w:color w:val="000000"/>
                <w:sz w:val="18"/>
                <w:szCs w:val="18"/>
                <w:lang w:bidi="ar"/>
              </w:rPr>
              <w:t>,</w:t>
            </w:r>
            <w:r w:rsidRPr="002F3E80">
              <w:rPr>
                <w:rFonts w:ascii="Verdana" w:hAnsi="Verdana"/>
                <w:color w:val="000000"/>
                <w:sz w:val="18"/>
                <w:szCs w:val="18"/>
                <w:lang w:bidi="ar"/>
              </w:rPr>
              <w:t>深交所</w:t>
            </w:r>
            <w:r w:rsidRPr="002F3E80">
              <w:rPr>
                <w:rFonts w:ascii="Verdana" w:hAnsi="Verdana"/>
                <w:color w:val="000000"/>
                <w:sz w:val="18"/>
                <w:szCs w:val="18"/>
                <w:lang w:bidi="ar"/>
              </w:rPr>
              <w:t>,</w:t>
            </w:r>
            <w:r w:rsidRPr="002F3E80">
              <w:rPr>
                <w:rFonts w:ascii="Verdana" w:hAnsi="Verdana"/>
                <w:color w:val="000000"/>
                <w:sz w:val="18"/>
                <w:szCs w:val="18"/>
                <w:lang w:bidi="ar"/>
              </w:rPr>
              <w:t>中国证监会基金电子披露网站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E67616"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2022-06-01</w:t>
            </w:r>
          </w:p>
        </w:tc>
      </w:tr>
      <w:tr w:rsidR="002F3E80" w:rsidRPr="002F3E80" w14:paraId="1C5E6212" w14:textId="77777777" w:rsidTr="002F3E80">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5B204D8" w14:textId="77777777" w:rsidR="002F3E80" w:rsidRPr="002F3E80" w:rsidRDefault="002F3E80" w:rsidP="002F3E80">
            <w:pPr>
              <w:pStyle w:val="af9"/>
              <w:numPr>
                <w:ilvl w:val="0"/>
                <w:numId w:val="7"/>
              </w:numPr>
              <w:ind w:firstLineChars="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970CA47"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关于汇添富黄金及贵金属证券投资基金（</w:t>
            </w:r>
            <w:r w:rsidRPr="002F3E80">
              <w:rPr>
                <w:rFonts w:ascii="Verdana" w:hAnsi="Verdana"/>
                <w:color w:val="000000"/>
                <w:sz w:val="18"/>
                <w:szCs w:val="18"/>
                <w:lang w:bidi="ar"/>
              </w:rPr>
              <w:t>LOF</w:t>
            </w:r>
            <w:r w:rsidRPr="002F3E80">
              <w:rPr>
                <w:rFonts w:ascii="Verdana" w:hAnsi="Verdana"/>
                <w:color w:val="000000"/>
                <w:sz w:val="18"/>
                <w:szCs w:val="18"/>
                <w:lang w:bidi="ar"/>
              </w:rPr>
              <w:t>）因境外主要市场节假日暂停申购、赎回、定期定额投资业务的公告</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0CF0A3"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上证报</w:t>
            </w:r>
            <w:r w:rsidRPr="002F3E80">
              <w:rPr>
                <w:rFonts w:ascii="Verdana" w:hAnsi="Verdana"/>
                <w:color w:val="000000"/>
                <w:sz w:val="18"/>
                <w:szCs w:val="18"/>
                <w:lang w:bidi="ar"/>
              </w:rPr>
              <w:t>,</w:t>
            </w:r>
            <w:r w:rsidRPr="002F3E80">
              <w:rPr>
                <w:rFonts w:ascii="Verdana" w:hAnsi="Verdana"/>
                <w:color w:val="000000"/>
                <w:sz w:val="18"/>
                <w:szCs w:val="18"/>
                <w:lang w:bidi="ar"/>
              </w:rPr>
              <w:t>公司网站</w:t>
            </w:r>
            <w:r w:rsidRPr="002F3E80">
              <w:rPr>
                <w:rFonts w:ascii="Verdana" w:hAnsi="Verdana"/>
                <w:color w:val="000000"/>
                <w:sz w:val="18"/>
                <w:szCs w:val="18"/>
                <w:lang w:bidi="ar"/>
              </w:rPr>
              <w:t>,</w:t>
            </w:r>
            <w:r w:rsidRPr="002F3E80">
              <w:rPr>
                <w:rFonts w:ascii="Verdana" w:hAnsi="Verdana"/>
                <w:color w:val="000000"/>
                <w:sz w:val="18"/>
                <w:szCs w:val="18"/>
                <w:lang w:bidi="ar"/>
              </w:rPr>
              <w:t>深交所</w:t>
            </w:r>
            <w:r w:rsidRPr="002F3E80">
              <w:rPr>
                <w:rFonts w:ascii="Verdana" w:hAnsi="Verdana"/>
                <w:color w:val="000000"/>
                <w:sz w:val="18"/>
                <w:szCs w:val="18"/>
                <w:lang w:bidi="ar"/>
              </w:rPr>
              <w:t>,</w:t>
            </w:r>
            <w:r w:rsidRPr="002F3E80">
              <w:rPr>
                <w:rFonts w:ascii="Verdana" w:hAnsi="Verdana"/>
                <w:color w:val="000000"/>
                <w:sz w:val="18"/>
                <w:szCs w:val="18"/>
                <w:lang w:bidi="ar"/>
              </w:rPr>
              <w:t>中国证监会基金电子披露网站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789E51"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2022-06-16</w:t>
            </w:r>
          </w:p>
        </w:tc>
      </w:tr>
      <w:tr w:rsidR="002F3E80" w:rsidRPr="002F3E80" w14:paraId="15BE0659" w14:textId="77777777" w:rsidTr="002F3E80">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BE4FB71" w14:textId="77777777" w:rsidR="002F3E80" w:rsidRPr="002F3E80" w:rsidRDefault="002F3E80" w:rsidP="002F3E80">
            <w:pPr>
              <w:pStyle w:val="af9"/>
              <w:numPr>
                <w:ilvl w:val="0"/>
                <w:numId w:val="7"/>
              </w:numPr>
              <w:ind w:firstLineChars="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A8F1303"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关于汇添富黄金及贵金属证券投资基金</w:t>
            </w:r>
            <w:r w:rsidRPr="002F3E80">
              <w:rPr>
                <w:rFonts w:ascii="Verdana" w:hAnsi="Verdana"/>
                <w:color w:val="000000"/>
                <w:sz w:val="18"/>
                <w:szCs w:val="18"/>
                <w:lang w:bidi="ar"/>
              </w:rPr>
              <w:t>(LOF)</w:t>
            </w:r>
            <w:r w:rsidRPr="002F3E80">
              <w:rPr>
                <w:rFonts w:ascii="Verdana" w:hAnsi="Verdana"/>
                <w:color w:val="000000"/>
                <w:sz w:val="18"/>
                <w:szCs w:val="18"/>
                <w:lang w:bidi="ar"/>
              </w:rPr>
              <w:t>因境外主要市场节假日暂停申购、赎回、定期定额投资业务的公告</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D948C2"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上证报</w:t>
            </w:r>
            <w:r w:rsidRPr="002F3E80">
              <w:rPr>
                <w:rFonts w:ascii="Verdana" w:hAnsi="Verdana"/>
                <w:color w:val="000000"/>
                <w:sz w:val="18"/>
                <w:szCs w:val="18"/>
                <w:lang w:bidi="ar"/>
              </w:rPr>
              <w:t>,</w:t>
            </w:r>
            <w:r w:rsidRPr="002F3E80">
              <w:rPr>
                <w:rFonts w:ascii="Verdana" w:hAnsi="Verdana"/>
                <w:color w:val="000000"/>
                <w:sz w:val="18"/>
                <w:szCs w:val="18"/>
                <w:lang w:bidi="ar"/>
              </w:rPr>
              <w:t>公司网站</w:t>
            </w:r>
            <w:r w:rsidRPr="002F3E80">
              <w:rPr>
                <w:rFonts w:ascii="Verdana" w:hAnsi="Verdana"/>
                <w:color w:val="000000"/>
                <w:sz w:val="18"/>
                <w:szCs w:val="18"/>
                <w:lang w:bidi="ar"/>
              </w:rPr>
              <w:t>,</w:t>
            </w:r>
            <w:r w:rsidRPr="002F3E80">
              <w:rPr>
                <w:rFonts w:ascii="Verdana" w:hAnsi="Verdana"/>
                <w:color w:val="000000"/>
                <w:sz w:val="18"/>
                <w:szCs w:val="18"/>
                <w:lang w:bidi="ar"/>
              </w:rPr>
              <w:t>深交所</w:t>
            </w:r>
            <w:r w:rsidRPr="002F3E80">
              <w:rPr>
                <w:rFonts w:ascii="Verdana" w:hAnsi="Verdana"/>
                <w:color w:val="000000"/>
                <w:sz w:val="18"/>
                <w:szCs w:val="18"/>
                <w:lang w:bidi="ar"/>
              </w:rPr>
              <w:t>,</w:t>
            </w:r>
            <w:r w:rsidRPr="002F3E80">
              <w:rPr>
                <w:rFonts w:ascii="Verdana" w:hAnsi="Verdana"/>
                <w:color w:val="000000"/>
                <w:sz w:val="18"/>
                <w:szCs w:val="18"/>
                <w:lang w:bidi="ar"/>
              </w:rPr>
              <w:t>中国证监会基金电子披露网站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C91F2E"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2022-06-30</w:t>
            </w:r>
          </w:p>
        </w:tc>
      </w:tr>
      <w:tr w:rsidR="002F3E80" w:rsidRPr="002F3E80" w14:paraId="7BCDAA8C" w14:textId="77777777" w:rsidTr="002F3E80">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606479E" w14:textId="77777777" w:rsidR="002F3E80" w:rsidRPr="002F3E80" w:rsidRDefault="002F3E80" w:rsidP="002F3E80">
            <w:pPr>
              <w:pStyle w:val="af9"/>
              <w:numPr>
                <w:ilvl w:val="0"/>
                <w:numId w:val="7"/>
              </w:numPr>
              <w:ind w:firstLineChars="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9F65696"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汇添富基金管理股份有限公司旗下基金</w:t>
            </w:r>
            <w:r w:rsidRPr="002F3E80">
              <w:rPr>
                <w:rFonts w:ascii="Verdana" w:hAnsi="Verdana"/>
                <w:color w:val="000000"/>
                <w:sz w:val="18"/>
                <w:szCs w:val="18"/>
                <w:lang w:bidi="ar"/>
              </w:rPr>
              <w:t>2022</w:t>
            </w:r>
            <w:r w:rsidRPr="002F3E80">
              <w:rPr>
                <w:rFonts w:ascii="Verdana" w:hAnsi="Verdana"/>
                <w:color w:val="000000"/>
                <w:sz w:val="18"/>
                <w:szCs w:val="18"/>
                <w:lang w:bidi="ar"/>
              </w:rPr>
              <w:t>年第二季度报告</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647854"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上交所</w:t>
            </w:r>
            <w:r w:rsidRPr="002F3E80">
              <w:rPr>
                <w:rFonts w:ascii="Verdana" w:hAnsi="Verdana"/>
                <w:color w:val="000000"/>
                <w:sz w:val="18"/>
                <w:szCs w:val="18"/>
                <w:lang w:bidi="ar"/>
              </w:rPr>
              <w:t>,</w:t>
            </w:r>
            <w:r w:rsidRPr="002F3E80">
              <w:rPr>
                <w:rFonts w:ascii="Verdana" w:hAnsi="Verdana"/>
                <w:color w:val="000000"/>
                <w:sz w:val="18"/>
                <w:szCs w:val="18"/>
                <w:lang w:bidi="ar"/>
              </w:rPr>
              <w:t>上证报</w:t>
            </w:r>
            <w:r w:rsidRPr="002F3E80">
              <w:rPr>
                <w:rFonts w:ascii="Verdana" w:hAnsi="Verdana"/>
                <w:color w:val="000000"/>
                <w:sz w:val="18"/>
                <w:szCs w:val="18"/>
                <w:lang w:bidi="ar"/>
              </w:rPr>
              <w:t>,</w:t>
            </w:r>
            <w:r w:rsidRPr="002F3E80">
              <w:rPr>
                <w:rFonts w:ascii="Verdana" w:hAnsi="Verdana"/>
                <w:color w:val="000000"/>
                <w:sz w:val="18"/>
                <w:szCs w:val="18"/>
                <w:lang w:bidi="ar"/>
              </w:rPr>
              <w:t>公司网站</w:t>
            </w:r>
            <w:r w:rsidRPr="002F3E80">
              <w:rPr>
                <w:rFonts w:ascii="Verdana" w:hAnsi="Verdana"/>
                <w:color w:val="000000"/>
                <w:sz w:val="18"/>
                <w:szCs w:val="18"/>
                <w:lang w:bidi="ar"/>
              </w:rPr>
              <w:t>,</w:t>
            </w:r>
            <w:r w:rsidRPr="002F3E80">
              <w:rPr>
                <w:rFonts w:ascii="Verdana" w:hAnsi="Verdana"/>
                <w:color w:val="000000"/>
                <w:sz w:val="18"/>
                <w:szCs w:val="18"/>
                <w:lang w:bidi="ar"/>
              </w:rPr>
              <w:t>深交所</w:t>
            </w:r>
            <w:r w:rsidRPr="002F3E80">
              <w:rPr>
                <w:rFonts w:ascii="Verdana" w:hAnsi="Verdana"/>
                <w:color w:val="000000"/>
                <w:sz w:val="18"/>
                <w:szCs w:val="18"/>
                <w:lang w:bidi="ar"/>
              </w:rPr>
              <w:t>,</w:t>
            </w:r>
            <w:r w:rsidRPr="002F3E80">
              <w:rPr>
                <w:rFonts w:ascii="Verdana" w:hAnsi="Verdana"/>
                <w:color w:val="000000"/>
                <w:sz w:val="18"/>
                <w:szCs w:val="18"/>
                <w:lang w:bidi="ar"/>
              </w:rPr>
              <w:t>中国证监会基金电子披露网站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69256E"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2022-07-21</w:t>
            </w:r>
          </w:p>
        </w:tc>
      </w:tr>
      <w:tr w:rsidR="002F3E80" w:rsidRPr="002F3E80" w14:paraId="29E55544" w14:textId="77777777" w:rsidTr="002F3E80">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C14C8E7" w14:textId="77777777" w:rsidR="002F3E80" w:rsidRPr="002F3E80" w:rsidRDefault="002F3E80" w:rsidP="002F3E80">
            <w:pPr>
              <w:pStyle w:val="af9"/>
              <w:numPr>
                <w:ilvl w:val="0"/>
                <w:numId w:val="7"/>
              </w:numPr>
              <w:ind w:firstLineChars="0"/>
              <w:rPr>
                <w:color w:val="000000"/>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46C0C20"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关于汇添富黄金及贵金属证券投资基金</w:t>
            </w:r>
            <w:r w:rsidRPr="002F3E80">
              <w:rPr>
                <w:rFonts w:ascii="Verdana" w:hAnsi="Verdana"/>
                <w:color w:val="000000"/>
                <w:sz w:val="18"/>
                <w:szCs w:val="18"/>
                <w:lang w:bidi="ar"/>
              </w:rPr>
              <w:t>(LOF)</w:t>
            </w:r>
            <w:r w:rsidRPr="002F3E80">
              <w:rPr>
                <w:rFonts w:ascii="Verdana" w:hAnsi="Verdana"/>
                <w:color w:val="000000"/>
                <w:sz w:val="18"/>
                <w:szCs w:val="18"/>
                <w:lang w:bidi="ar"/>
              </w:rPr>
              <w:t>因境外主要市场节假日暂停申购、赎回、定期定额投资业务的公告</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1A0909"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上证报</w:t>
            </w:r>
            <w:r w:rsidRPr="002F3E80">
              <w:rPr>
                <w:rFonts w:ascii="Verdana" w:hAnsi="Verdana"/>
                <w:color w:val="000000"/>
                <w:sz w:val="18"/>
                <w:szCs w:val="18"/>
                <w:lang w:bidi="ar"/>
              </w:rPr>
              <w:t>,</w:t>
            </w:r>
            <w:r w:rsidRPr="002F3E80">
              <w:rPr>
                <w:rFonts w:ascii="Verdana" w:hAnsi="Verdana"/>
                <w:color w:val="000000"/>
                <w:sz w:val="18"/>
                <w:szCs w:val="18"/>
                <w:lang w:bidi="ar"/>
              </w:rPr>
              <w:t>公司网站</w:t>
            </w:r>
            <w:r w:rsidRPr="002F3E80">
              <w:rPr>
                <w:rFonts w:ascii="Verdana" w:hAnsi="Verdana"/>
                <w:color w:val="000000"/>
                <w:sz w:val="18"/>
                <w:szCs w:val="18"/>
                <w:lang w:bidi="ar"/>
              </w:rPr>
              <w:t>,</w:t>
            </w:r>
            <w:r w:rsidRPr="002F3E80">
              <w:rPr>
                <w:rFonts w:ascii="Verdana" w:hAnsi="Verdana"/>
                <w:color w:val="000000"/>
                <w:sz w:val="18"/>
                <w:szCs w:val="18"/>
                <w:lang w:bidi="ar"/>
              </w:rPr>
              <w:t>深交所</w:t>
            </w:r>
            <w:r w:rsidRPr="002F3E80">
              <w:rPr>
                <w:rFonts w:ascii="Verdana" w:hAnsi="Verdana"/>
                <w:color w:val="000000"/>
                <w:sz w:val="18"/>
                <w:szCs w:val="18"/>
                <w:lang w:bidi="ar"/>
              </w:rPr>
              <w:t>,</w:t>
            </w:r>
            <w:r w:rsidRPr="002F3E80">
              <w:rPr>
                <w:rFonts w:ascii="Verdana" w:hAnsi="Verdana"/>
                <w:color w:val="000000"/>
                <w:sz w:val="18"/>
                <w:szCs w:val="18"/>
                <w:lang w:bidi="ar"/>
              </w:rPr>
              <w:t>中国证监会基金电子披露网站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D956D8" w14:textId="77777777" w:rsidR="002F3E80" w:rsidRPr="002F3E80" w:rsidRDefault="002F3E80" w:rsidP="002F3E80">
            <w:pPr>
              <w:widowControl/>
              <w:rPr>
                <w:rFonts w:ascii="Verdana" w:hAnsi="Verdana"/>
                <w:color w:val="000000"/>
                <w:sz w:val="18"/>
                <w:szCs w:val="18"/>
                <w:lang w:bidi="ar"/>
              </w:rPr>
            </w:pPr>
            <w:r w:rsidRPr="002F3E80">
              <w:rPr>
                <w:rFonts w:ascii="Verdana" w:hAnsi="Verdana"/>
                <w:color w:val="000000"/>
                <w:sz w:val="18"/>
                <w:szCs w:val="18"/>
                <w:lang w:bidi="ar"/>
              </w:rPr>
              <w:t>2022-07-28</w:t>
            </w:r>
          </w:p>
        </w:tc>
      </w:tr>
    </w:tbl>
    <w:p w14:paraId="5E04DF67" w14:textId="77777777" w:rsidR="00584EAA" w:rsidRPr="00C66F9B" w:rsidRDefault="00584EAA" w:rsidP="00C66F9B"/>
    <w:p w14:paraId="7BFB5A1E" w14:textId="77777777" w:rsidR="0037652E" w:rsidRDefault="00BF49B0">
      <w:pPr>
        <w:ind w:firstLineChars="50" w:firstLine="120"/>
        <w:jc w:val="center"/>
        <w:outlineLvl w:val="0"/>
        <w:rPr>
          <w:rFonts w:ascii="宋体" w:hAnsi="宋体"/>
          <w:b/>
          <w:sz w:val="24"/>
          <w:szCs w:val="24"/>
        </w:rPr>
      </w:pPr>
      <w:r>
        <w:rPr>
          <w:rFonts w:ascii="宋体" w:hAnsi="宋体" w:hint="eastAsia"/>
          <w:sz w:val="24"/>
          <w:szCs w:val="24"/>
        </w:rPr>
        <w:br w:type="page"/>
      </w:r>
      <w:bookmarkStart w:id="233" w:name="_Toc65325133"/>
      <w:bookmarkStart w:id="234" w:name="_Toc2753"/>
      <w:bookmarkStart w:id="235" w:name="_Toc20626"/>
      <w:bookmarkStart w:id="236" w:name="_Toc110606867"/>
      <w:bookmarkStart w:id="237" w:name="_Toc192080070"/>
      <w:r>
        <w:rPr>
          <w:rFonts w:ascii="宋体" w:hAnsi="宋体" w:hint="eastAsia"/>
          <w:b/>
          <w:sz w:val="24"/>
          <w:szCs w:val="24"/>
        </w:rPr>
        <w:lastRenderedPageBreak/>
        <w:t>第二十六部分 招募说明书的存放及查阅方式</w:t>
      </w:r>
      <w:bookmarkEnd w:id="233"/>
      <w:bookmarkEnd w:id="234"/>
      <w:bookmarkEnd w:id="235"/>
      <w:bookmarkEnd w:id="236"/>
    </w:p>
    <w:p w14:paraId="74BD19B8" w14:textId="77777777" w:rsidR="0037652E" w:rsidRDefault="0037652E">
      <w:pPr>
        <w:tabs>
          <w:tab w:val="left" w:pos="961"/>
        </w:tabs>
        <w:snapToGrid w:val="0"/>
        <w:spacing w:line="360" w:lineRule="auto"/>
        <w:ind w:firstLineChars="200" w:firstLine="420"/>
        <w:rPr>
          <w:bCs/>
          <w:szCs w:val="21"/>
        </w:rPr>
      </w:pPr>
    </w:p>
    <w:bookmarkEnd w:id="237"/>
    <w:p w14:paraId="1590AC8B"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本基金招募说明书存放于基金管理人和基金托管人的办公场所、注册登记机构、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6A381E58"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投资者还可以直接登录基金管理人的网站查阅和下载招募说明书。</w:t>
      </w:r>
    </w:p>
    <w:p w14:paraId="05F10B9C" w14:textId="77777777" w:rsidR="0037652E" w:rsidRDefault="0037652E">
      <w:pPr>
        <w:tabs>
          <w:tab w:val="left" w:pos="961"/>
        </w:tabs>
        <w:snapToGrid w:val="0"/>
        <w:spacing w:line="360" w:lineRule="auto"/>
        <w:ind w:firstLineChars="200" w:firstLine="420"/>
        <w:rPr>
          <w:bCs/>
          <w:szCs w:val="21"/>
        </w:rPr>
      </w:pPr>
    </w:p>
    <w:p w14:paraId="0B5719E5" w14:textId="77777777" w:rsidR="0037652E" w:rsidRDefault="0037652E">
      <w:pPr>
        <w:tabs>
          <w:tab w:val="left" w:pos="961"/>
        </w:tabs>
        <w:snapToGrid w:val="0"/>
        <w:spacing w:line="360" w:lineRule="auto"/>
        <w:ind w:firstLineChars="200" w:firstLine="420"/>
        <w:rPr>
          <w:bCs/>
          <w:szCs w:val="21"/>
        </w:rPr>
      </w:pPr>
    </w:p>
    <w:p w14:paraId="27891ED7" w14:textId="77777777" w:rsidR="0037652E" w:rsidRDefault="0037652E">
      <w:pPr>
        <w:tabs>
          <w:tab w:val="left" w:pos="961"/>
        </w:tabs>
        <w:snapToGrid w:val="0"/>
        <w:spacing w:line="360" w:lineRule="auto"/>
        <w:ind w:firstLineChars="200" w:firstLine="420"/>
        <w:rPr>
          <w:bCs/>
          <w:szCs w:val="21"/>
        </w:rPr>
      </w:pPr>
    </w:p>
    <w:p w14:paraId="5270DDDE" w14:textId="77777777" w:rsidR="0037652E" w:rsidRDefault="0037652E">
      <w:pPr>
        <w:tabs>
          <w:tab w:val="left" w:pos="961"/>
        </w:tabs>
        <w:snapToGrid w:val="0"/>
        <w:spacing w:line="360" w:lineRule="auto"/>
        <w:ind w:firstLineChars="200" w:firstLine="420"/>
        <w:rPr>
          <w:bCs/>
          <w:szCs w:val="21"/>
        </w:rPr>
      </w:pPr>
    </w:p>
    <w:p w14:paraId="4EFC7D97" w14:textId="77777777" w:rsidR="0037652E" w:rsidRDefault="00BF49B0">
      <w:pPr>
        <w:spacing w:line="360" w:lineRule="auto"/>
        <w:ind w:firstLineChars="50" w:firstLine="120"/>
        <w:jc w:val="center"/>
        <w:outlineLvl w:val="0"/>
        <w:rPr>
          <w:rFonts w:ascii="宋体" w:hAnsi="宋体"/>
          <w:b/>
          <w:sz w:val="24"/>
          <w:szCs w:val="24"/>
        </w:rPr>
      </w:pPr>
      <w:r>
        <w:rPr>
          <w:rFonts w:ascii="宋体" w:hAnsi="宋体" w:hint="eastAsia"/>
          <w:sz w:val="24"/>
          <w:szCs w:val="24"/>
        </w:rPr>
        <w:br w:type="page"/>
      </w:r>
      <w:bookmarkStart w:id="238" w:name="_Toc25119"/>
      <w:bookmarkStart w:id="239" w:name="_Toc27705"/>
      <w:bookmarkStart w:id="240" w:name="_Toc65325134"/>
      <w:bookmarkStart w:id="241" w:name="_Toc110606868"/>
      <w:bookmarkStart w:id="242" w:name="_Toc192080071"/>
      <w:r>
        <w:rPr>
          <w:rFonts w:ascii="宋体" w:hAnsi="宋体" w:hint="eastAsia"/>
          <w:b/>
          <w:sz w:val="24"/>
          <w:szCs w:val="24"/>
        </w:rPr>
        <w:lastRenderedPageBreak/>
        <w:t>第二十七部分 备查文件</w:t>
      </w:r>
      <w:bookmarkEnd w:id="238"/>
      <w:bookmarkEnd w:id="239"/>
      <w:bookmarkEnd w:id="240"/>
      <w:bookmarkEnd w:id="241"/>
    </w:p>
    <w:bookmarkEnd w:id="242"/>
    <w:p w14:paraId="476AF1EE" w14:textId="77777777" w:rsidR="0037652E" w:rsidRDefault="0037652E">
      <w:pPr>
        <w:tabs>
          <w:tab w:val="left" w:pos="961"/>
        </w:tabs>
        <w:snapToGrid w:val="0"/>
        <w:spacing w:line="360" w:lineRule="auto"/>
        <w:ind w:firstLineChars="200" w:firstLine="420"/>
        <w:rPr>
          <w:bCs/>
          <w:szCs w:val="21"/>
        </w:rPr>
      </w:pPr>
    </w:p>
    <w:p w14:paraId="6CD01CC3"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一、本基金备查文件包括下列文件：</w:t>
      </w:r>
      <w:r>
        <w:rPr>
          <w:rFonts w:hint="eastAsia"/>
          <w:b/>
          <w:bCs/>
          <w:sz w:val="24"/>
          <w:szCs w:val="24"/>
        </w:rPr>
        <w:t xml:space="preserve"> </w:t>
      </w:r>
    </w:p>
    <w:p w14:paraId="06EC54D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w:t>
      </w:r>
      <w:r>
        <w:rPr>
          <w:rFonts w:hint="eastAsia"/>
          <w:bCs/>
          <w:sz w:val="24"/>
          <w:szCs w:val="24"/>
        </w:rPr>
        <w:t>、中国证监会核准汇添富黄金及贵金属证券投资基金（</w:t>
      </w:r>
      <w:r>
        <w:rPr>
          <w:rFonts w:hint="eastAsia"/>
          <w:bCs/>
          <w:sz w:val="24"/>
          <w:szCs w:val="24"/>
        </w:rPr>
        <w:t>LOF</w:t>
      </w:r>
      <w:r>
        <w:rPr>
          <w:rFonts w:hint="eastAsia"/>
          <w:bCs/>
          <w:sz w:val="24"/>
          <w:szCs w:val="24"/>
        </w:rPr>
        <w:t>）募集的文件；</w:t>
      </w:r>
      <w:r>
        <w:rPr>
          <w:rFonts w:hint="eastAsia"/>
          <w:bCs/>
          <w:sz w:val="24"/>
          <w:szCs w:val="24"/>
        </w:rPr>
        <w:t xml:space="preserve"> </w:t>
      </w:r>
    </w:p>
    <w:p w14:paraId="338044AE"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2</w:t>
      </w:r>
      <w:r>
        <w:rPr>
          <w:rFonts w:hint="eastAsia"/>
          <w:bCs/>
          <w:sz w:val="24"/>
          <w:szCs w:val="24"/>
        </w:rPr>
        <w:t>、《汇添富黄金及贵金属证券投资基金（</w:t>
      </w:r>
      <w:r>
        <w:rPr>
          <w:rFonts w:hint="eastAsia"/>
          <w:bCs/>
          <w:sz w:val="24"/>
          <w:szCs w:val="24"/>
        </w:rPr>
        <w:t>LOF</w:t>
      </w:r>
      <w:r>
        <w:rPr>
          <w:rFonts w:hint="eastAsia"/>
          <w:bCs/>
          <w:sz w:val="24"/>
          <w:szCs w:val="24"/>
        </w:rPr>
        <w:t>）基金合同》；</w:t>
      </w:r>
      <w:r>
        <w:rPr>
          <w:rFonts w:hint="eastAsia"/>
          <w:bCs/>
          <w:sz w:val="24"/>
          <w:szCs w:val="24"/>
        </w:rPr>
        <w:t xml:space="preserve"> </w:t>
      </w:r>
    </w:p>
    <w:p w14:paraId="5AD788FF"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3</w:t>
      </w:r>
      <w:r>
        <w:rPr>
          <w:rFonts w:hint="eastAsia"/>
          <w:bCs/>
          <w:sz w:val="24"/>
          <w:szCs w:val="24"/>
        </w:rPr>
        <w:t>、《汇添富黄金及贵金属证券投资基金（</w:t>
      </w:r>
      <w:r>
        <w:rPr>
          <w:rFonts w:hint="eastAsia"/>
          <w:bCs/>
          <w:sz w:val="24"/>
          <w:szCs w:val="24"/>
        </w:rPr>
        <w:t>LOF</w:t>
      </w:r>
      <w:r>
        <w:rPr>
          <w:rFonts w:hint="eastAsia"/>
          <w:bCs/>
          <w:sz w:val="24"/>
          <w:szCs w:val="24"/>
        </w:rPr>
        <w:t>）托管协议》；</w:t>
      </w:r>
      <w:r>
        <w:rPr>
          <w:rFonts w:hint="eastAsia"/>
          <w:bCs/>
          <w:sz w:val="24"/>
          <w:szCs w:val="24"/>
        </w:rPr>
        <w:t xml:space="preserve"> </w:t>
      </w:r>
    </w:p>
    <w:p w14:paraId="19AF8AE9"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4</w:t>
      </w:r>
      <w:r>
        <w:rPr>
          <w:rFonts w:hint="eastAsia"/>
          <w:bCs/>
          <w:sz w:val="24"/>
          <w:szCs w:val="24"/>
        </w:rPr>
        <w:t>、关于申请募集汇添富黄金及贵金属证券投资基金（</w:t>
      </w:r>
      <w:r>
        <w:rPr>
          <w:rFonts w:hint="eastAsia"/>
          <w:bCs/>
          <w:sz w:val="24"/>
          <w:szCs w:val="24"/>
        </w:rPr>
        <w:t>LOF</w:t>
      </w:r>
      <w:r>
        <w:rPr>
          <w:rFonts w:hint="eastAsia"/>
          <w:bCs/>
          <w:sz w:val="24"/>
          <w:szCs w:val="24"/>
        </w:rPr>
        <w:t>）之法律意见书；</w:t>
      </w:r>
      <w:r>
        <w:rPr>
          <w:rFonts w:hint="eastAsia"/>
          <w:bCs/>
          <w:sz w:val="24"/>
          <w:szCs w:val="24"/>
        </w:rPr>
        <w:t xml:space="preserve"> </w:t>
      </w:r>
    </w:p>
    <w:p w14:paraId="7E70D22D"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5</w:t>
      </w:r>
      <w:r>
        <w:rPr>
          <w:rFonts w:hint="eastAsia"/>
          <w:bCs/>
          <w:sz w:val="24"/>
          <w:szCs w:val="24"/>
        </w:rPr>
        <w:t>、基金管理人业务资格批件、营业执照；</w:t>
      </w:r>
      <w:r>
        <w:rPr>
          <w:rFonts w:hint="eastAsia"/>
          <w:bCs/>
          <w:sz w:val="24"/>
          <w:szCs w:val="24"/>
        </w:rPr>
        <w:t xml:space="preserve"> </w:t>
      </w:r>
    </w:p>
    <w:p w14:paraId="493BF7C4"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6</w:t>
      </w:r>
      <w:r>
        <w:rPr>
          <w:rFonts w:hint="eastAsia"/>
          <w:bCs/>
          <w:sz w:val="24"/>
          <w:szCs w:val="24"/>
        </w:rPr>
        <w:t>、基金托管人业务资格批件、营业执照；</w:t>
      </w:r>
      <w:r>
        <w:rPr>
          <w:rFonts w:hint="eastAsia"/>
          <w:bCs/>
          <w:sz w:val="24"/>
          <w:szCs w:val="24"/>
        </w:rPr>
        <w:t xml:space="preserve"> </w:t>
      </w:r>
    </w:p>
    <w:p w14:paraId="1C9CF7F1"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7</w:t>
      </w:r>
      <w:r>
        <w:rPr>
          <w:rFonts w:hint="eastAsia"/>
          <w:bCs/>
          <w:sz w:val="24"/>
          <w:szCs w:val="24"/>
        </w:rPr>
        <w:t>、中国证监会要求的其他文件。</w:t>
      </w:r>
      <w:r>
        <w:rPr>
          <w:rFonts w:hint="eastAsia"/>
          <w:bCs/>
          <w:sz w:val="24"/>
          <w:szCs w:val="24"/>
        </w:rPr>
        <w:t xml:space="preserve"> </w:t>
      </w:r>
    </w:p>
    <w:p w14:paraId="4CE094F1" w14:textId="77777777" w:rsidR="0037652E" w:rsidRDefault="00BF49B0">
      <w:pPr>
        <w:tabs>
          <w:tab w:val="left" w:pos="961"/>
        </w:tabs>
        <w:snapToGrid w:val="0"/>
        <w:spacing w:line="360" w:lineRule="auto"/>
        <w:ind w:firstLineChars="200" w:firstLine="482"/>
        <w:rPr>
          <w:b/>
          <w:bCs/>
          <w:sz w:val="24"/>
          <w:szCs w:val="24"/>
        </w:rPr>
      </w:pPr>
      <w:r>
        <w:rPr>
          <w:rFonts w:hint="eastAsia"/>
          <w:b/>
          <w:bCs/>
          <w:sz w:val="24"/>
          <w:szCs w:val="24"/>
        </w:rPr>
        <w:t>二、备查文件的存放地点和投资者查阅方式：</w:t>
      </w:r>
    </w:p>
    <w:p w14:paraId="5EBECAD3" w14:textId="77777777" w:rsidR="0037652E" w:rsidRDefault="00BF49B0">
      <w:pPr>
        <w:tabs>
          <w:tab w:val="left" w:pos="961"/>
        </w:tabs>
        <w:snapToGrid w:val="0"/>
        <w:spacing w:line="360" w:lineRule="auto"/>
        <w:ind w:firstLineChars="200" w:firstLine="480"/>
        <w:rPr>
          <w:bCs/>
          <w:sz w:val="24"/>
          <w:szCs w:val="24"/>
        </w:rPr>
      </w:pPr>
      <w:r>
        <w:rPr>
          <w:rFonts w:hint="eastAsia"/>
          <w:bCs/>
          <w:sz w:val="24"/>
          <w:szCs w:val="24"/>
        </w:rPr>
        <w:t>1</w:t>
      </w:r>
      <w:r>
        <w:rPr>
          <w:rFonts w:hint="eastAsia"/>
          <w:bCs/>
          <w:sz w:val="24"/>
          <w:szCs w:val="24"/>
        </w:rPr>
        <w:t>、存放地点：上述备查文件存放在基金管理人、基金托管人的办公场所。</w:t>
      </w:r>
    </w:p>
    <w:p w14:paraId="5877E25C" w14:textId="77777777" w:rsidR="0037652E" w:rsidRDefault="00BF49B0">
      <w:pPr>
        <w:tabs>
          <w:tab w:val="left" w:pos="961"/>
        </w:tabs>
        <w:snapToGrid w:val="0"/>
        <w:spacing w:line="360" w:lineRule="auto"/>
        <w:ind w:firstLineChars="200" w:firstLine="480"/>
        <w:rPr>
          <w:bCs/>
          <w:szCs w:val="21"/>
        </w:rPr>
      </w:pPr>
      <w:r>
        <w:rPr>
          <w:rFonts w:hint="eastAsia"/>
          <w:bCs/>
          <w:sz w:val="24"/>
          <w:szCs w:val="24"/>
        </w:rPr>
        <w:t>2</w:t>
      </w:r>
      <w:r>
        <w:rPr>
          <w:rFonts w:hint="eastAsia"/>
          <w:bCs/>
          <w:sz w:val="24"/>
          <w:szCs w:val="24"/>
        </w:rPr>
        <w:t>、查阅方式：投资者可以在办公时间免费查询；也可按工本费购买本基金备查文件复制件或复印件，但应以基金备查文件正本为准。</w:t>
      </w:r>
    </w:p>
    <w:p w14:paraId="0A33B7DF" w14:textId="77777777" w:rsidR="0037652E" w:rsidRDefault="0037652E">
      <w:pPr>
        <w:tabs>
          <w:tab w:val="left" w:pos="961"/>
        </w:tabs>
        <w:snapToGrid w:val="0"/>
        <w:spacing w:line="360" w:lineRule="auto"/>
        <w:ind w:firstLineChars="200" w:firstLine="420"/>
        <w:rPr>
          <w:bCs/>
          <w:szCs w:val="21"/>
        </w:rPr>
      </w:pPr>
    </w:p>
    <w:p w14:paraId="7D218E52" w14:textId="77777777" w:rsidR="0037652E" w:rsidRDefault="00BF49B0">
      <w:pPr>
        <w:tabs>
          <w:tab w:val="left" w:pos="961"/>
        </w:tabs>
        <w:snapToGrid w:val="0"/>
        <w:spacing w:line="360" w:lineRule="auto"/>
        <w:ind w:firstLineChars="200" w:firstLine="480"/>
        <w:jc w:val="right"/>
        <w:rPr>
          <w:bCs/>
          <w:sz w:val="24"/>
          <w:szCs w:val="24"/>
        </w:rPr>
      </w:pPr>
      <w:r>
        <w:rPr>
          <w:rFonts w:hint="eastAsia"/>
          <w:bCs/>
          <w:sz w:val="24"/>
          <w:szCs w:val="24"/>
        </w:rPr>
        <w:t>汇添富基金管理股份有限公司</w:t>
      </w:r>
      <w:r>
        <w:rPr>
          <w:rFonts w:hint="eastAsia"/>
          <w:bCs/>
          <w:sz w:val="24"/>
          <w:szCs w:val="24"/>
        </w:rPr>
        <w:t xml:space="preserve"> </w:t>
      </w:r>
    </w:p>
    <w:p w14:paraId="0B5DD55B" w14:textId="5910F876" w:rsidR="0037652E" w:rsidRDefault="009A4AD5">
      <w:pPr>
        <w:tabs>
          <w:tab w:val="left" w:pos="961"/>
        </w:tabs>
        <w:snapToGrid w:val="0"/>
        <w:spacing w:line="360" w:lineRule="auto"/>
        <w:ind w:firstLineChars="200" w:firstLine="480"/>
        <w:jc w:val="right"/>
        <w:rPr>
          <w:bCs/>
          <w:szCs w:val="21"/>
        </w:rPr>
      </w:pPr>
      <w:r>
        <w:rPr>
          <w:bCs/>
          <w:sz w:val="24"/>
          <w:szCs w:val="24"/>
        </w:rPr>
        <w:t>2023</w:t>
      </w:r>
      <w:r>
        <w:rPr>
          <w:rFonts w:hint="eastAsia"/>
          <w:bCs/>
          <w:sz w:val="24"/>
          <w:szCs w:val="24"/>
        </w:rPr>
        <w:t>年</w:t>
      </w:r>
      <w:r>
        <w:rPr>
          <w:bCs/>
          <w:sz w:val="24"/>
          <w:szCs w:val="24"/>
        </w:rPr>
        <w:t>5</w:t>
      </w:r>
      <w:r>
        <w:rPr>
          <w:rFonts w:hint="eastAsia"/>
          <w:bCs/>
          <w:sz w:val="24"/>
          <w:szCs w:val="24"/>
        </w:rPr>
        <w:t>月</w:t>
      </w:r>
      <w:r>
        <w:rPr>
          <w:bCs/>
          <w:sz w:val="24"/>
          <w:szCs w:val="24"/>
        </w:rPr>
        <w:t>17</w:t>
      </w:r>
      <w:r w:rsidR="00BF49B0">
        <w:rPr>
          <w:rFonts w:hint="eastAsia"/>
          <w:bCs/>
          <w:sz w:val="24"/>
          <w:szCs w:val="24"/>
        </w:rPr>
        <w:t>日</w:t>
      </w:r>
    </w:p>
    <w:sectPr w:rsidR="0037652E">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C5D20" w14:textId="77777777" w:rsidR="00CF5E28" w:rsidRDefault="00CF5E28">
      <w:r>
        <w:separator/>
      </w:r>
    </w:p>
  </w:endnote>
  <w:endnote w:type="continuationSeparator" w:id="0">
    <w:p w14:paraId="426B0DD8" w14:textId="77777777" w:rsidR="00CF5E28" w:rsidRDefault="00CF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宋体-18030">
    <w:altName w:val="微软雅黑"/>
    <w:charset w:val="86"/>
    <w:family w:val="modern"/>
    <w:pitch w:val="default"/>
    <w:sig w:usb0="00000000" w:usb1="00000000" w:usb2="000A005E" w:usb3="00000000" w:csb0="00040001"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33D4" w14:textId="77777777" w:rsidR="000E3183" w:rsidRDefault="000E3183">
    <w:pPr>
      <w:pStyle w:val="aa"/>
      <w:framePr w:wrap="around" w:vAnchor="text" w:hAnchor="margin" w:xAlign="center" w:y="1"/>
      <w:rPr>
        <w:rStyle w:val="af3"/>
      </w:rPr>
    </w:pPr>
    <w:r>
      <w:fldChar w:fldCharType="begin"/>
    </w:r>
    <w:r>
      <w:rPr>
        <w:rStyle w:val="af3"/>
      </w:rPr>
      <w:instrText xml:space="preserve">PAGE  </w:instrText>
    </w:r>
    <w:r>
      <w:fldChar w:fldCharType="end"/>
    </w:r>
  </w:p>
  <w:p w14:paraId="3CD832AB" w14:textId="77777777" w:rsidR="000E3183" w:rsidRDefault="000E31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ECFFE" w14:textId="26547412" w:rsidR="000E3183" w:rsidRDefault="000E3183">
    <w:pPr>
      <w:pStyle w:val="aa"/>
      <w:jc w:val="center"/>
    </w:pPr>
    <w:r>
      <w:rPr>
        <w:rStyle w:val="af3"/>
        <w:rFonts w:hint="eastAsia"/>
      </w:rPr>
      <w:t xml:space="preserve"> </w:t>
    </w:r>
    <w:r>
      <w:rPr>
        <w:rStyle w:val="af3"/>
      </w:rPr>
      <w:fldChar w:fldCharType="begin"/>
    </w:r>
    <w:r>
      <w:rPr>
        <w:rStyle w:val="af3"/>
      </w:rPr>
      <w:instrText xml:space="preserve"> PAGE </w:instrText>
    </w:r>
    <w:r>
      <w:rPr>
        <w:rStyle w:val="af3"/>
      </w:rPr>
      <w:fldChar w:fldCharType="separate"/>
    </w:r>
    <w:r w:rsidR="00753F7D">
      <w:rPr>
        <w:rStyle w:val="af3"/>
        <w:noProof/>
      </w:rPr>
      <w:t>3</w:t>
    </w:r>
    <w:r>
      <w:rPr>
        <w:rStyle w:val="af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B346F" w14:textId="28D58233" w:rsidR="000E3183" w:rsidRDefault="000E3183">
    <w:pPr>
      <w:pStyle w:val="aa"/>
      <w:jc w:val="center"/>
    </w:pPr>
    <w:r>
      <w:rPr>
        <w:rStyle w:val="af3"/>
      </w:rPr>
      <w:fldChar w:fldCharType="begin"/>
    </w:r>
    <w:r>
      <w:rPr>
        <w:rStyle w:val="af3"/>
      </w:rPr>
      <w:instrText xml:space="preserve"> PAGE </w:instrText>
    </w:r>
    <w:r>
      <w:rPr>
        <w:rStyle w:val="af3"/>
      </w:rPr>
      <w:fldChar w:fldCharType="separate"/>
    </w:r>
    <w:r w:rsidR="00753F7D">
      <w:rPr>
        <w:rStyle w:val="af3"/>
        <w:noProof/>
      </w:rPr>
      <w:t>2</w:t>
    </w:r>
    <w:r>
      <w:rPr>
        <w:rStyle w:val="af3"/>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542350"/>
    </w:sdtPr>
    <w:sdtEndPr/>
    <w:sdtContent>
      <w:p w14:paraId="7B45BFA9" w14:textId="21BBEA76" w:rsidR="000E3183" w:rsidRDefault="000E3183">
        <w:pPr>
          <w:pStyle w:val="aa"/>
          <w:jc w:val="center"/>
        </w:pPr>
        <w:r>
          <w:fldChar w:fldCharType="begin"/>
        </w:r>
        <w:r>
          <w:instrText>PAGE   \* MERGEFORMAT</w:instrText>
        </w:r>
        <w:r>
          <w:fldChar w:fldCharType="separate"/>
        </w:r>
        <w:r w:rsidR="00753F7D" w:rsidRPr="00753F7D">
          <w:rPr>
            <w:noProof/>
            <w:lang w:val="zh-CN"/>
          </w:rPr>
          <w:t>18</w:t>
        </w:r>
        <w:r>
          <w:fldChar w:fldCharType="end"/>
        </w:r>
      </w:p>
    </w:sdtContent>
  </w:sdt>
  <w:p w14:paraId="3DD6A045" w14:textId="77777777" w:rsidR="000E3183" w:rsidRDefault="000E3183">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7C75" w14:textId="65ECD783" w:rsidR="000E3183" w:rsidRDefault="000E3183">
    <w:pPr>
      <w:pStyle w:val="aa"/>
      <w:jc w:val="center"/>
    </w:pPr>
    <w:r>
      <w:rPr>
        <w:rStyle w:val="af3"/>
        <w:rFonts w:hint="eastAsia"/>
      </w:rPr>
      <w:t xml:space="preserve"> </w:t>
    </w:r>
    <w:r>
      <w:rPr>
        <w:rStyle w:val="af3"/>
      </w:rPr>
      <w:fldChar w:fldCharType="begin"/>
    </w:r>
    <w:r>
      <w:rPr>
        <w:rStyle w:val="af3"/>
      </w:rPr>
      <w:instrText xml:space="preserve"> PAGE </w:instrText>
    </w:r>
    <w:r>
      <w:rPr>
        <w:rStyle w:val="af3"/>
      </w:rPr>
      <w:fldChar w:fldCharType="separate"/>
    </w:r>
    <w:r w:rsidR="00753F7D">
      <w:rPr>
        <w:rStyle w:val="af3"/>
        <w:noProof/>
      </w:rPr>
      <w:t>149</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D996D" w14:textId="77777777" w:rsidR="00CF5E28" w:rsidRDefault="00CF5E28">
      <w:r>
        <w:separator/>
      </w:r>
    </w:p>
  </w:footnote>
  <w:footnote w:type="continuationSeparator" w:id="0">
    <w:p w14:paraId="27B1B156" w14:textId="77777777" w:rsidR="00CF5E28" w:rsidRDefault="00CF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6FDE" w14:textId="4389B472" w:rsidR="000E3183" w:rsidRDefault="000E3183" w:rsidP="00890581">
    <w:pPr>
      <w:pStyle w:val="ab"/>
      <w:jc w:val="both"/>
      <w:rPr>
        <w:szCs w:val="18"/>
      </w:rPr>
    </w:pPr>
    <w:r>
      <w:rPr>
        <w:rFonts w:hint="eastAsia"/>
        <w:szCs w:val="18"/>
      </w:rPr>
      <w:t>汇添富黄金及贵金属证券投资基金（</w:t>
    </w:r>
    <w:r>
      <w:rPr>
        <w:rFonts w:hint="eastAsia"/>
        <w:szCs w:val="18"/>
      </w:rPr>
      <w:t>LOF</w:t>
    </w:r>
    <w:r>
      <w:rPr>
        <w:rFonts w:hint="eastAsia"/>
        <w:szCs w:val="18"/>
      </w:rPr>
      <w:t>）</w:t>
    </w:r>
    <w:r>
      <w:rPr>
        <w:rFonts w:hint="eastAsia"/>
        <w:szCs w:val="18"/>
      </w:rPr>
      <w:t xml:space="preserve">              </w:t>
    </w:r>
    <w:r w:rsidR="000371F0">
      <w:rPr>
        <w:szCs w:val="18"/>
      </w:rPr>
      <w:t xml:space="preserve"> </w:t>
    </w:r>
    <w:r>
      <w:rPr>
        <w:rFonts w:hint="eastAsia"/>
        <w:szCs w:val="18"/>
      </w:rPr>
      <w:t xml:space="preserve">                          </w:t>
    </w:r>
    <w:r>
      <w:rPr>
        <w:rFonts w:hint="eastAsia"/>
        <w:szCs w:val="18"/>
      </w:rPr>
      <w:t>更新招募说明书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8ADC" w14:textId="3110BA99" w:rsidR="000E3183" w:rsidRDefault="000E3183">
    <w:pPr>
      <w:pStyle w:val="ab"/>
      <w:jc w:val="both"/>
      <w:rPr>
        <w:szCs w:val="18"/>
      </w:rPr>
    </w:pPr>
    <w:r>
      <w:rPr>
        <w:rFonts w:hint="eastAsia"/>
        <w:szCs w:val="18"/>
      </w:rPr>
      <w:t>汇添富黄金及贵金属证券投资基金（</w:t>
    </w:r>
    <w:r>
      <w:rPr>
        <w:rFonts w:hint="eastAsia"/>
        <w:szCs w:val="18"/>
      </w:rPr>
      <w:t>LOF</w:t>
    </w:r>
    <w:r>
      <w:rPr>
        <w:rFonts w:hint="eastAsia"/>
        <w:szCs w:val="18"/>
      </w:rPr>
      <w:t>）</w:t>
    </w:r>
    <w:r>
      <w:rPr>
        <w:rFonts w:hint="eastAsia"/>
        <w:szCs w:val="18"/>
      </w:rPr>
      <w:t xml:space="preserve">       </w:t>
    </w:r>
    <w:r w:rsidR="006F7E0F">
      <w:rPr>
        <w:szCs w:val="18"/>
      </w:rPr>
      <w:t xml:space="preserve">          </w:t>
    </w:r>
    <w:r>
      <w:rPr>
        <w:rFonts w:hint="eastAsia"/>
        <w:szCs w:val="18"/>
      </w:rPr>
      <w:t xml:space="preserve">                       </w:t>
    </w:r>
    <w:r>
      <w:rPr>
        <w:rFonts w:hint="eastAsia"/>
        <w:szCs w:val="18"/>
      </w:rPr>
      <w:t>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152D"/>
    <w:multiLevelType w:val="multilevel"/>
    <w:tmpl w:val="0968152D"/>
    <w:lvl w:ilvl="0">
      <w:start w:val="3"/>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51461DF"/>
    <w:multiLevelType w:val="multilevel"/>
    <w:tmpl w:val="151461DF"/>
    <w:lvl w:ilvl="0">
      <w:start w:val="1"/>
      <w:numFmt w:val="bullet"/>
      <w:lvlText w:val=""/>
      <w:lvlJc w:val="left"/>
      <w:pPr>
        <w:ind w:left="1140" w:hanging="72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30B264AC"/>
    <w:multiLevelType w:val="hybridMultilevel"/>
    <w:tmpl w:val="328EE5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F6FBE0"/>
    <w:multiLevelType w:val="singleLevel"/>
    <w:tmpl w:val="3DF6FBE0"/>
    <w:lvl w:ilvl="0">
      <w:start w:val="1"/>
      <w:numFmt w:val="decimal"/>
      <w:lvlText w:val="%1."/>
      <w:lvlJc w:val="left"/>
      <w:pPr>
        <w:ind w:left="425" w:hanging="425"/>
      </w:pPr>
      <w:rPr>
        <w:rFonts w:hint="default"/>
      </w:rPr>
    </w:lvl>
  </w:abstractNum>
  <w:abstractNum w:abstractNumId="4">
    <w:nsid w:val="40CA412F"/>
    <w:multiLevelType w:val="hybridMultilevel"/>
    <w:tmpl w:val="E20EB0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5FA63E61"/>
    <w:multiLevelType w:val="hybridMultilevel"/>
    <w:tmpl w:val="69321D32"/>
    <w:lvl w:ilvl="0" w:tplc="DF1A79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28"/>
    <w:rsid w:val="00000446"/>
    <w:rsid w:val="000006EA"/>
    <w:rsid w:val="000012AF"/>
    <w:rsid w:val="000016A2"/>
    <w:rsid w:val="00003F0B"/>
    <w:rsid w:val="00004400"/>
    <w:rsid w:val="00006C92"/>
    <w:rsid w:val="00007403"/>
    <w:rsid w:val="00011C9B"/>
    <w:rsid w:val="0001292B"/>
    <w:rsid w:val="00013870"/>
    <w:rsid w:val="00013E74"/>
    <w:rsid w:val="00015D08"/>
    <w:rsid w:val="00016247"/>
    <w:rsid w:val="00020776"/>
    <w:rsid w:val="000210F6"/>
    <w:rsid w:val="000238D2"/>
    <w:rsid w:val="00023C6B"/>
    <w:rsid w:val="000247F1"/>
    <w:rsid w:val="00024BAF"/>
    <w:rsid w:val="000253DB"/>
    <w:rsid w:val="00025948"/>
    <w:rsid w:val="00026C79"/>
    <w:rsid w:val="000271AE"/>
    <w:rsid w:val="000279ED"/>
    <w:rsid w:val="00027CE6"/>
    <w:rsid w:val="00027D63"/>
    <w:rsid w:val="00027D92"/>
    <w:rsid w:val="0003015A"/>
    <w:rsid w:val="00030397"/>
    <w:rsid w:val="00030A9E"/>
    <w:rsid w:val="00030B13"/>
    <w:rsid w:val="00030DEE"/>
    <w:rsid w:val="000324E3"/>
    <w:rsid w:val="00032C32"/>
    <w:rsid w:val="00032F25"/>
    <w:rsid w:val="0003608E"/>
    <w:rsid w:val="00036AFC"/>
    <w:rsid w:val="00036EF9"/>
    <w:rsid w:val="000371F0"/>
    <w:rsid w:val="00037638"/>
    <w:rsid w:val="00037B81"/>
    <w:rsid w:val="000406A0"/>
    <w:rsid w:val="00040876"/>
    <w:rsid w:val="00040A9B"/>
    <w:rsid w:val="00041517"/>
    <w:rsid w:val="00041CC9"/>
    <w:rsid w:val="00041D0A"/>
    <w:rsid w:val="00042FC3"/>
    <w:rsid w:val="00043A8F"/>
    <w:rsid w:val="00043D4C"/>
    <w:rsid w:val="00044B63"/>
    <w:rsid w:val="00045D01"/>
    <w:rsid w:val="00046571"/>
    <w:rsid w:val="000518B7"/>
    <w:rsid w:val="00052CFC"/>
    <w:rsid w:val="00054285"/>
    <w:rsid w:val="00054BD3"/>
    <w:rsid w:val="00054E62"/>
    <w:rsid w:val="000550A9"/>
    <w:rsid w:val="00057532"/>
    <w:rsid w:val="000601BD"/>
    <w:rsid w:val="00062B78"/>
    <w:rsid w:val="00063D16"/>
    <w:rsid w:val="000643C7"/>
    <w:rsid w:val="00064793"/>
    <w:rsid w:val="00064A59"/>
    <w:rsid w:val="00064B79"/>
    <w:rsid w:val="000656E3"/>
    <w:rsid w:val="00065B78"/>
    <w:rsid w:val="00065FD2"/>
    <w:rsid w:val="000662D1"/>
    <w:rsid w:val="000664E7"/>
    <w:rsid w:val="00067989"/>
    <w:rsid w:val="00070D4A"/>
    <w:rsid w:val="0007125E"/>
    <w:rsid w:val="00071D35"/>
    <w:rsid w:val="00074CCC"/>
    <w:rsid w:val="00074ED3"/>
    <w:rsid w:val="00075385"/>
    <w:rsid w:val="00075787"/>
    <w:rsid w:val="00075EAE"/>
    <w:rsid w:val="00076B4C"/>
    <w:rsid w:val="000775EB"/>
    <w:rsid w:val="00077C78"/>
    <w:rsid w:val="00077E88"/>
    <w:rsid w:val="00081182"/>
    <w:rsid w:val="0008122C"/>
    <w:rsid w:val="00081ED3"/>
    <w:rsid w:val="000822BC"/>
    <w:rsid w:val="0008299A"/>
    <w:rsid w:val="00084C24"/>
    <w:rsid w:val="00084C98"/>
    <w:rsid w:val="00085D1C"/>
    <w:rsid w:val="00086AF3"/>
    <w:rsid w:val="00087266"/>
    <w:rsid w:val="000872AF"/>
    <w:rsid w:val="000876B2"/>
    <w:rsid w:val="00087DBB"/>
    <w:rsid w:val="00090556"/>
    <w:rsid w:val="00090ACB"/>
    <w:rsid w:val="00090AFB"/>
    <w:rsid w:val="00090B78"/>
    <w:rsid w:val="00091425"/>
    <w:rsid w:val="000914E4"/>
    <w:rsid w:val="0009247C"/>
    <w:rsid w:val="000935CD"/>
    <w:rsid w:val="000939B5"/>
    <w:rsid w:val="00094528"/>
    <w:rsid w:val="00094556"/>
    <w:rsid w:val="000976B0"/>
    <w:rsid w:val="000A0774"/>
    <w:rsid w:val="000A20D4"/>
    <w:rsid w:val="000A2D98"/>
    <w:rsid w:val="000A3135"/>
    <w:rsid w:val="000A3168"/>
    <w:rsid w:val="000A3650"/>
    <w:rsid w:val="000A3651"/>
    <w:rsid w:val="000A40E0"/>
    <w:rsid w:val="000A529E"/>
    <w:rsid w:val="000A5B49"/>
    <w:rsid w:val="000A5F79"/>
    <w:rsid w:val="000A5FA9"/>
    <w:rsid w:val="000A6529"/>
    <w:rsid w:val="000A6FD6"/>
    <w:rsid w:val="000A760D"/>
    <w:rsid w:val="000A7B13"/>
    <w:rsid w:val="000A7FD8"/>
    <w:rsid w:val="000B05E2"/>
    <w:rsid w:val="000B0822"/>
    <w:rsid w:val="000B15FE"/>
    <w:rsid w:val="000B1CBF"/>
    <w:rsid w:val="000B1F30"/>
    <w:rsid w:val="000B2579"/>
    <w:rsid w:val="000B297A"/>
    <w:rsid w:val="000B32E1"/>
    <w:rsid w:val="000B3638"/>
    <w:rsid w:val="000B3E6A"/>
    <w:rsid w:val="000B3FA4"/>
    <w:rsid w:val="000B4905"/>
    <w:rsid w:val="000B4DAA"/>
    <w:rsid w:val="000B682E"/>
    <w:rsid w:val="000B7CB6"/>
    <w:rsid w:val="000B7E88"/>
    <w:rsid w:val="000C03E4"/>
    <w:rsid w:val="000C0811"/>
    <w:rsid w:val="000C0F3E"/>
    <w:rsid w:val="000C15DA"/>
    <w:rsid w:val="000C3789"/>
    <w:rsid w:val="000C37C9"/>
    <w:rsid w:val="000C3B75"/>
    <w:rsid w:val="000C48A6"/>
    <w:rsid w:val="000C5174"/>
    <w:rsid w:val="000C5A04"/>
    <w:rsid w:val="000C5B0E"/>
    <w:rsid w:val="000C5C45"/>
    <w:rsid w:val="000C7200"/>
    <w:rsid w:val="000C761B"/>
    <w:rsid w:val="000D10A1"/>
    <w:rsid w:val="000D2945"/>
    <w:rsid w:val="000D2DE5"/>
    <w:rsid w:val="000D3B8D"/>
    <w:rsid w:val="000D418F"/>
    <w:rsid w:val="000D5B83"/>
    <w:rsid w:val="000D6D2F"/>
    <w:rsid w:val="000D7923"/>
    <w:rsid w:val="000E1518"/>
    <w:rsid w:val="000E1830"/>
    <w:rsid w:val="000E1B65"/>
    <w:rsid w:val="000E3183"/>
    <w:rsid w:val="000E4FAD"/>
    <w:rsid w:val="000E5FAB"/>
    <w:rsid w:val="000E61B6"/>
    <w:rsid w:val="000E6617"/>
    <w:rsid w:val="000E6EED"/>
    <w:rsid w:val="000E78FF"/>
    <w:rsid w:val="000F03FE"/>
    <w:rsid w:val="000F36C7"/>
    <w:rsid w:val="000F3F88"/>
    <w:rsid w:val="000F442E"/>
    <w:rsid w:val="000F4E19"/>
    <w:rsid w:val="000F502E"/>
    <w:rsid w:val="000F50F3"/>
    <w:rsid w:val="000F66C2"/>
    <w:rsid w:val="000F673A"/>
    <w:rsid w:val="000F6AB9"/>
    <w:rsid w:val="000F6F69"/>
    <w:rsid w:val="000F71EF"/>
    <w:rsid w:val="00100093"/>
    <w:rsid w:val="001003AB"/>
    <w:rsid w:val="001014CD"/>
    <w:rsid w:val="00101E3E"/>
    <w:rsid w:val="00102AE3"/>
    <w:rsid w:val="001030B0"/>
    <w:rsid w:val="0010335A"/>
    <w:rsid w:val="00103A8D"/>
    <w:rsid w:val="0010432C"/>
    <w:rsid w:val="001048D9"/>
    <w:rsid w:val="00104AD2"/>
    <w:rsid w:val="00105C81"/>
    <w:rsid w:val="00105E40"/>
    <w:rsid w:val="0010634D"/>
    <w:rsid w:val="00106A44"/>
    <w:rsid w:val="00106E63"/>
    <w:rsid w:val="00111272"/>
    <w:rsid w:val="001125E6"/>
    <w:rsid w:val="001128B8"/>
    <w:rsid w:val="001128C7"/>
    <w:rsid w:val="001135EE"/>
    <w:rsid w:val="00113BA8"/>
    <w:rsid w:val="00114F6B"/>
    <w:rsid w:val="00115DB8"/>
    <w:rsid w:val="00116CD7"/>
    <w:rsid w:val="0011775C"/>
    <w:rsid w:val="001212F4"/>
    <w:rsid w:val="00122F83"/>
    <w:rsid w:val="00125BA9"/>
    <w:rsid w:val="001279BC"/>
    <w:rsid w:val="0013041E"/>
    <w:rsid w:val="001317BB"/>
    <w:rsid w:val="00132543"/>
    <w:rsid w:val="001326E6"/>
    <w:rsid w:val="0013320B"/>
    <w:rsid w:val="00134547"/>
    <w:rsid w:val="00134851"/>
    <w:rsid w:val="0013508E"/>
    <w:rsid w:val="00135947"/>
    <w:rsid w:val="00137005"/>
    <w:rsid w:val="00137398"/>
    <w:rsid w:val="00140892"/>
    <w:rsid w:val="001445AE"/>
    <w:rsid w:val="00145A69"/>
    <w:rsid w:val="001470C8"/>
    <w:rsid w:val="0014741D"/>
    <w:rsid w:val="001478A1"/>
    <w:rsid w:val="00147E66"/>
    <w:rsid w:val="00147F05"/>
    <w:rsid w:val="00150F50"/>
    <w:rsid w:val="00151838"/>
    <w:rsid w:val="00152CF2"/>
    <w:rsid w:val="00153ADC"/>
    <w:rsid w:val="00154FC6"/>
    <w:rsid w:val="00155E70"/>
    <w:rsid w:val="00155E7B"/>
    <w:rsid w:val="00157C57"/>
    <w:rsid w:val="0016179A"/>
    <w:rsid w:val="00162C89"/>
    <w:rsid w:val="00163E9B"/>
    <w:rsid w:val="00163ECE"/>
    <w:rsid w:val="00165186"/>
    <w:rsid w:val="001654EE"/>
    <w:rsid w:val="001655F3"/>
    <w:rsid w:val="00165B82"/>
    <w:rsid w:val="001673B6"/>
    <w:rsid w:val="00167D58"/>
    <w:rsid w:val="00172A27"/>
    <w:rsid w:val="0017309C"/>
    <w:rsid w:val="00173979"/>
    <w:rsid w:val="001739A0"/>
    <w:rsid w:val="00173D6E"/>
    <w:rsid w:val="001749FF"/>
    <w:rsid w:val="00174F41"/>
    <w:rsid w:val="00175C2C"/>
    <w:rsid w:val="00175F88"/>
    <w:rsid w:val="00176255"/>
    <w:rsid w:val="00176602"/>
    <w:rsid w:val="00176608"/>
    <w:rsid w:val="00180B8D"/>
    <w:rsid w:val="00180BC7"/>
    <w:rsid w:val="00182CF4"/>
    <w:rsid w:val="0018313E"/>
    <w:rsid w:val="001831C7"/>
    <w:rsid w:val="00183807"/>
    <w:rsid w:val="00184B29"/>
    <w:rsid w:val="00184F6A"/>
    <w:rsid w:val="00185266"/>
    <w:rsid w:val="00186BBD"/>
    <w:rsid w:val="00190A7D"/>
    <w:rsid w:val="00191DE7"/>
    <w:rsid w:val="00192098"/>
    <w:rsid w:val="00192457"/>
    <w:rsid w:val="001971D6"/>
    <w:rsid w:val="00197303"/>
    <w:rsid w:val="00197798"/>
    <w:rsid w:val="00197854"/>
    <w:rsid w:val="00197C2B"/>
    <w:rsid w:val="00197CC9"/>
    <w:rsid w:val="001A092E"/>
    <w:rsid w:val="001A0CF3"/>
    <w:rsid w:val="001A3A42"/>
    <w:rsid w:val="001A4EF4"/>
    <w:rsid w:val="001A51A1"/>
    <w:rsid w:val="001A52A5"/>
    <w:rsid w:val="001A5D17"/>
    <w:rsid w:val="001A6E4F"/>
    <w:rsid w:val="001A751A"/>
    <w:rsid w:val="001B01CD"/>
    <w:rsid w:val="001B072B"/>
    <w:rsid w:val="001B0E1C"/>
    <w:rsid w:val="001B1134"/>
    <w:rsid w:val="001B167A"/>
    <w:rsid w:val="001B1A0D"/>
    <w:rsid w:val="001B1E07"/>
    <w:rsid w:val="001B1E29"/>
    <w:rsid w:val="001B2878"/>
    <w:rsid w:val="001B294B"/>
    <w:rsid w:val="001B3AB8"/>
    <w:rsid w:val="001B4A06"/>
    <w:rsid w:val="001B5913"/>
    <w:rsid w:val="001B5CB7"/>
    <w:rsid w:val="001B5E12"/>
    <w:rsid w:val="001B6286"/>
    <w:rsid w:val="001B6297"/>
    <w:rsid w:val="001B65B0"/>
    <w:rsid w:val="001C0113"/>
    <w:rsid w:val="001C01EF"/>
    <w:rsid w:val="001C0995"/>
    <w:rsid w:val="001C14FA"/>
    <w:rsid w:val="001C3EF9"/>
    <w:rsid w:val="001C475B"/>
    <w:rsid w:val="001C500C"/>
    <w:rsid w:val="001C506A"/>
    <w:rsid w:val="001C5420"/>
    <w:rsid w:val="001C5424"/>
    <w:rsid w:val="001C5EC7"/>
    <w:rsid w:val="001C661E"/>
    <w:rsid w:val="001C7046"/>
    <w:rsid w:val="001C7678"/>
    <w:rsid w:val="001C79CB"/>
    <w:rsid w:val="001C7F97"/>
    <w:rsid w:val="001D0542"/>
    <w:rsid w:val="001D0F76"/>
    <w:rsid w:val="001D0FEC"/>
    <w:rsid w:val="001D23C2"/>
    <w:rsid w:val="001D2DA5"/>
    <w:rsid w:val="001D3333"/>
    <w:rsid w:val="001D357A"/>
    <w:rsid w:val="001D396E"/>
    <w:rsid w:val="001D4110"/>
    <w:rsid w:val="001D420E"/>
    <w:rsid w:val="001D4611"/>
    <w:rsid w:val="001D50F5"/>
    <w:rsid w:val="001D68FF"/>
    <w:rsid w:val="001D7E71"/>
    <w:rsid w:val="001E0546"/>
    <w:rsid w:val="001E1EE1"/>
    <w:rsid w:val="001E31F7"/>
    <w:rsid w:val="001E37F2"/>
    <w:rsid w:val="001E3DEB"/>
    <w:rsid w:val="001E44F1"/>
    <w:rsid w:val="001E508C"/>
    <w:rsid w:val="001E5F33"/>
    <w:rsid w:val="001E63E3"/>
    <w:rsid w:val="001E6415"/>
    <w:rsid w:val="001E788F"/>
    <w:rsid w:val="001F10DB"/>
    <w:rsid w:val="001F1B62"/>
    <w:rsid w:val="001F21C9"/>
    <w:rsid w:val="001F36D7"/>
    <w:rsid w:val="001F3EFA"/>
    <w:rsid w:val="001F4880"/>
    <w:rsid w:val="001F4C84"/>
    <w:rsid w:val="001F4D7C"/>
    <w:rsid w:val="001F6279"/>
    <w:rsid w:val="001F684D"/>
    <w:rsid w:val="001F6D95"/>
    <w:rsid w:val="001F70E7"/>
    <w:rsid w:val="001F78E8"/>
    <w:rsid w:val="001F7D4B"/>
    <w:rsid w:val="00200221"/>
    <w:rsid w:val="00200FF7"/>
    <w:rsid w:val="0020242E"/>
    <w:rsid w:val="00202EFF"/>
    <w:rsid w:val="0020517C"/>
    <w:rsid w:val="00205327"/>
    <w:rsid w:val="00207F8F"/>
    <w:rsid w:val="00210093"/>
    <w:rsid w:val="002100C3"/>
    <w:rsid w:val="002102F1"/>
    <w:rsid w:val="00210B82"/>
    <w:rsid w:val="00210C19"/>
    <w:rsid w:val="002114A1"/>
    <w:rsid w:val="002119D9"/>
    <w:rsid w:val="0021338F"/>
    <w:rsid w:val="002134CE"/>
    <w:rsid w:val="00213683"/>
    <w:rsid w:val="00213693"/>
    <w:rsid w:val="00213AC6"/>
    <w:rsid w:val="002147AE"/>
    <w:rsid w:val="00215026"/>
    <w:rsid w:val="002150DA"/>
    <w:rsid w:val="00215583"/>
    <w:rsid w:val="00216394"/>
    <w:rsid w:val="00216DBF"/>
    <w:rsid w:val="00216FB3"/>
    <w:rsid w:val="00217610"/>
    <w:rsid w:val="00220C3D"/>
    <w:rsid w:val="00220CAB"/>
    <w:rsid w:val="00220E4A"/>
    <w:rsid w:val="00221399"/>
    <w:rsid w:val="002220FF"/>
    <w:rsid w:val="00222B74"/>
    <w:rsid w:val="002234A1"/>
    <w:rsid w:val="002235E8"/>
    <w:rsid w:val="00223C43"/>
    <w:rsid w:val="00223EEE"/>
    <w:rsid w:val="00224903"/>
    <w:rsid w:val="00226A02"/>
    <w:rsid w:val="00226D59"/>
    <w:rsid w:val="00227A1F"/>
    <w:rsid w:val="00230575"/>
    <w:rsid w:val="0023071D"/>
    <w:rsid w:val="00230948"/>
    <w:rsid w:val="00231375"/>
    <w:rsid w:val="002327AF"/>
    <w:rsid w:val="00232D51"/>
    <w:rsid w:val="00233229"/>
    <w:rsid w:val="00233269"/>
    <w:rsid w:val="00233516"/>
    <w:rsid w:val="00233AE1"/>
    <w:rsid w:val="002346BB"/>
    <w:rsid w:val="00234AF2"/>
    <w:rsid w:val="00234F3E"/>
    <w:rsid w:val="00235646"/>
    <w:rsid w:val="00240EAF"/>
    <w:rsid w:val="00241BD9"/>
    <w:rsid w:val="002420FA"/>
    <w:rsid w:val="002428D8"/>
    <w:rsid w:val="00242F1E"/>
    <w:rsid w:val="0024372B"/>
    <w:rsid w:val="002448BA"/>
    <w:rsid w:val="00245037"/>
    <w:rsid w:val="00245AB1"/>
    <w:rsid w:val="0024767D"/>
    <w:rsid w:val="002477C1"/>
    <w:rsid w:val="00247F1F"/>
    <w:rsid w:val="00251050"/>
    <w:rsid w:val="0025157A"/>
    <w:rsid w:val="00251699"/>
    <w:rsid w:val="0025236F"/>
    <w:rsid w:val="0025349D"/>
    <w:rsid w:val="00253604"/>
    <w:rsid w:val="00254F11"/>
    <w:rsid w:val="00255820"/>
    <w:rsid w:val="002567AC"/>
    <w:rsid w:val="00256B5B"/>
    <w:rsid w:val="00256FB8"/>
    <w:rsid w:val="00256FE0"/>
    <w:rsid w:val="002572AB"/>
    <w:rsid w:val="00257BE7"/>
    <w:rsid w:val="00260539"/>
    <w:rsid w:val="002609BC"/>
    <w:rsid w:val="002613FF"/>
    <w:rsid w:val="00261674"/>
    <w:rsid w:val="00261894"/>
    <w:rsid w:val="00261A4F"/>
    <w:rsid w:val="00262163"/>
    <w:rsid w:val="00264146"/>
    <w:rsid w:val="002664C1"/>
    <w:rsid w:val="002679D9"/>
    <w:rsid w:val="00270C91"/>
    <w:rsid w:val="00270CAE"/>
    <w:rsid w:val="00271E96"/>
    <w:rsid w:val="002724AC"/>
    <w:rsid w:val="00272CF7"/>
    <w:rsid w:val="0027396C"/>
    <w:rsid w:val="00274030"/>
    <w:rsid w:val="0027411D"/>
    <w:rsid w:val="00274F39"/>
    <w:rsid w:val="00276077"/>
    <w:rsid w:val="00276F63"/>
    <w:rsid w:val="002770FC"/>
    <w:rsid w:val="0028016F"/>
    <w:rsid w:val="0028020F"/>
    <w:rsid w:val="00281038"/>
    <w:rsid w:val="00281DEE"/>
    <w:rsid w:val="0028294C"/>
    <w:rsid w:val="00283034"/>
    <w:rsid w:val="002836C0"/>
    <w:rsid w:val="00283A10"/>
    <w:rsid w:val="0028523A"/>
    <w:rsid w:val="002900AB"/>
    <w:rsid w:val="002901B4"/>
    <w:rsid w:val="002901D8"/>
    <w:rsid w:val="002908D1"/>
    <w:rsid w:val="00290BB4"/>
    <w:rsid w:val="00294D86"/>
    <w:rsid w:val="00296743"/>
    <w:rsid w:val="00296983"/>
    <w:rsid w:val="00297042"/>
    <w:rsid w:val="002A0630"/>
    <w:rsid w:val="002A0AC7"/>
    <w:rsid w:val="002A2D0E"/>
    <w:rsid w:val="002A2E45"/>
    <w:rsid w:val="002A3B13"/>
    <w:rsid w:val="002A3EAC"/>
    <w:rsid w:val="002A4E86"/>
    <w:rsid w:val="002A5663"/>
    <w:rsid w:val="002A636D"/>
    <w:rsid w:val="002A69DE"/>
    <w:rsid w:val="002A73E1"/>
    <w:rsid w:val="002A757D"/>
    <w:rsid w:val="002B0282"/>
    <w:rsid w:val="002B0858"/>
    <w:rsid w:val="002B128E"/>
    <w:rsid w:val="002B1ACE"/>
    <w:rsid w:val="002B1FE0"/>
    <w:rsid w:val="002B203C"/>
    <w:rsid w:val="002B2F24"/>
    <w:rsid w:val="002B2F58"/>
    <w:rsid w:val="002B3092"/>
    <w:rsid w:val="002B3246"/>
    <w:rsid w:val="002B3995"/>
    <w:rsid w:val="002B3BC3"/>
    <w:rsid w:val="002B4088"/>
    <w:rsid w:val="002B425A"/>
    <w:rsid w:val="002B4939"/>
    <w:rsid w:val="002B4C75"/>
    <w:rsid w:val="002B556D"/>
    <w:rsid w:val="002B66A9"/>
    <w:rsid w:val="002B6A28"/>
    <w:rsid w:val="002C00B6"/>
    <w:rsid w:val="002C0BEA"/>
    <w:rsid w:val="002C0CDE"/>
    <w:rsid w:val="002C1EF2"/>
    <w:rsid w:val="002C3B52"/>
    <w:rsid w:val="002C427F"/>
    <w:rsid w:val="002C42F8"/>
    <w:rsid w:val="002C4CB6"/>
    <w:rsid w:val="002C5820"/>
    <w:rsid w:val="002C5910"/>
    <w:rsid w:val="002C5929"/>
    <w:rsid w:val="002C6CA6"/>
    <w:rsid w:val="002C749E"/>
    <w:rsid w:val="002C7A3C"/>
    <w:rsid w:val="002C7C26"/>
    <w:rsid w:val="002D03D6"/>
    <w:rsid w:val="002D402D"/>
    <w:rsid w:val="002D46A5"/>
    <w:rsid w:val="002D48C7"/>
    <w:rsid w:val="002D51A8"/>
    <w:rsid w:val="002D54F5"/>
    <w:rsid w:val="002D5DCB"/>
    <w:rsid w:val="002D6D91"/>
    <w:rsid w:val="002D72D2"/>
    <w:rsid w:val="002D73A2"/>
    <w:rsid w:val="002D7E55"/>
    <w:rsid w:val="002E05D7"/>
    <w:rsid w:val="002E078F"/>
    <w:rsid w:val="002E10F7"/>
    <w:rsid w:val="002E1827"/>
    <w:rsid w:val="002E212C"/>
    <w:rsid w:val="002E2A57"/>
    <w:rsid w:val="002E3377"/>
    <w:rsid w:val="002E34F0"/>
    <w:rsid w:val="002E3B6B"/>
    <w:rsid w:val="002E3D1D"/>
    <w:rsid w:val="002E412B"/>
    <w:rsid w:val="002E45E0"/>
    <w:rsid w:val="002E48DC"/>
    <w:rsid w:val="002E4F1A"/>
    <w:rsid w:val="002E5C75"/>
    <w:rsid w:val="002E64B9"/>
    <w:rsid w:val="002E6581"/>
    <w:rsid w:val="002E6887"/>
    <w:rsid w:val="002E6B8C"/>
    <w:rsid w:val="002E748E"/>
    <w:rsid w:val="002E7F13"/>
    <w:rsid w:val="002F0602"/>
    <w:rsid w:val="002F1092"/>
    <w:rsid w:val="002F147C"/>
    <w:rsid w:val="002F1FBD"/>
    <w:rsid w:val="002F3E80"/>
    <w:rsid w:val="002F610D"/>
    <w:rsid w:val="002F779E"/>
    <w:rsid w:val="00300464"/>
    <w:rsid w:val="003005FD"/>
    <w:rsid w:val="00300A97"/>
    <w:rsid w:val="00300FD1"/>
    <w:rsid w:val="00301C2F"/>
    <w:rsid w:val="00303987"/>
    <w:rsid w:val="00304C0B"/>
    <w:rsid w:val="00304F1D"/>
    <w:rsid w:val="00306461"/>
    <w:rsid w:val="003067C2"/>
    <w:rsid w:val="00306CCF"/>
    <w:rsid w:val="00307026"/>
    <w:rsid w:val="003116E2"/>
    <w:rsid w:val="00311BE3"/>
    <w:rsid w:val="00312476"/>
    <w:rsid w:val="00313683"/>
    <w:rsid w:val="003139E1"/>
    <w:rsid w:val="00314706"/>
    <w:rsid w:val="00314E58"/>
    <w:rsid w:val="0031523F"/>
    <w:rsid w:val="00316958"/>
    <w:rsid w:val="0032057C"/>
    <w:rsid w:val="00321420"/>
    <w:rsid w:val="003221DD"/>
    <w:rsid w:val="00322AC7"/>
    <w:rsid w:val="003230B6"/>
    <w:rsid w:val="003249ED"/>
    <w:rsid w:val="00324ACA"/>
    <w:rsid w:val="00326422"/>
    <w:rsid w:val="0032772A"/>
    <w:rsid w:val="003279BC"/>
    <w:rsid w:val="003328D9"/>
    <w:rsid w:val="00334F60"/>
    <w:rsid w:val="00336C00"/>
    <w:rsid w:val="00340B7A"/>
    <w:rsid w:val="00341CA3"/>
    <w:rsid w:val="00341CEA"/>
    <w:rsid w:val="00343747"/>
    <w:rsid w:val="00344828"/>
    <w:rsid w:val="00344BB2"/>
    <w:rsid w:val="00344CB6"/>
    <w:rsid w:val="00345E03"/>
    <w:rsid w:val="0034617F"/>
    <w:rsid w:val="00347DA2"/>
    <w:rsid w:val="00347F6C"/>
    <w:rsid w:val="0035071D"/>
    <w:rsid w:val="00351486"/>
    <w:rsid w:val="0035175E"/>
    <w:rsid w:val="0035219B"/>
    <w:rsid w:val="0035427F"/>
    <w:rsid w:val="003542FF"/>
    <w:rsid w:val="00355243"/>
    <w:rsid w:val="003553E7"/>
    <w:rsid w:val="00356459"/>
    <w:rsid w:val="00357053"/>
    <w:rsid w:val="003578A9"/>
    <w:rsid w:val="003579C8"/>
    <w:rsid w:val="00361AA9"/>
    <w:rsid w:val="00361FA7"/>
    <w:rsid w:val="003621F2"/>
    <w:rsid w:val="00362845"/>
    <w:rsid w:val="00362B51"/>
    <w:rsid w:val="00362CB9"/>
    <w:rsid w:val="003633A3"/>
    <w:rsid w:val="00364327"/>
    <w:rsid w:val="0036457A"/>
    <w:rsid w:val="00364B60"/>
    <w:rsid w:val="00364D11"/>
    <w:rsid w:val="0036636E"/>
    <w:rsid w:val="00366EC0"/>
    <w:rsid w:val="00367B09"/>
    <w:rsid w:val="00367B80"/>
    <w:rsid w:val="00370187"/>
    <w:rsid w:val="0037050E"/>
    <w:rsid w:val="00371DB2"/>
    <w:rsid w:val="00372F56"/>
    <w:rsid w:val="00374A3E"/>
    <w:rsid w:val="00374E67"/>
    <w:rsid w:val="00375424"/>
    <w:rsid w:val="00375592"/>
    <w:rsid w:val="00375BA0"/>
    <w:rsid w:val="00375F36"/>
    <w:rsid w:val="0037652E"/>
    <w:rsid w:val="00376638"/>
    <w:rsid w:val="0037781D"/>
    <w:rsid w:val="00382228"/>
    <w:rsid w:val="00382ADF"/>
    <w:rsid w:val="003835FD"/>
    <w:rsid w:val="0038541D"/>
    <w:rsid w:val="00385493"/>
    <w:rsid w:val="00385BDC"/>
    <w:rsid w:val="0038692B"/>
    <w:rsid w:val="00386C93"/>
    <w:rsid w:val="0039116F"/>
    <w:rsid w:val="0039132E"/>
    <w:rsid w:val="00391C0C"/>
    <w:rsid w:val="00391C7F"/>
    <w:rsid w:val="00391E01"/>
    <w:rsid w:val="00392214"/>
    <w:rsid w:val="00392689"/>
    <w:rsid w:val="00392B72"/>
    <w:rsid w:val="003937E0"/>
    <w:rsid w:val="003948D7"/>
    <w:rsid w:val="003954DA"/>
    <w:rsid w:val="003955D0"/>
    <w:rsid w:val="003959F9"/>
    <w:rsid w:val="00395C3E"/>
    <w:rsid w:val="00395D59"/>
    <w:rsid w:val="003960C6"/>
    <w:rsid w:val="003964FF"/>
    <w:rsid w:val="00397006"/>
    <w:rsid w:val="003A0489"/>
    <w:rsid w:val="003A0ABA"/>
    <w:rsid w:val="003A0C8A"/>
    <w:rsid w:val="003A21EF"/>
    <w:rsid w:val="003A28D7"/>
    <w:rsid w:val="003A2C1A"/>
    <w:rsid w:val="003A2C84"/>
    <w:rsid w:val="003A2DDB"/>
    <w:rsid w:val="003A5116"/>
    <w:rsid w:val="003A7200"/>
    <w:rsid w:val="003A7E96"/>
    <w:rsid w:val="003B071C"/>
    <w:rsid w:val="003B1C99"/>
    <w:rsid w:val="003B1CAB"/>
    <w:rsid w:val="003B1DFC"/>
    <w:rsid w:val="003B2FEE"/>
    <w:rsid w:val="003B3968"/>
    <w:rsid w:val="003B4056"/>
    <w:rsid w:val="003B5278"/>
    <w:rsid w:val="003B5657"/>
    <w:rsid w:val="003B5845"/>
    <w:rsid w:val="003C1E87"/>
    <w:rsid w:val="003C1FCF"/>
    <w:rsid w:val="003C2694"/>
    <w:rsid w:val="003C3566"/>
    <w:rsid w:val="003C37D9"/>
    <w:rsid w:val="003C44B7"/>
    <w:rsid w:val="003C59B7"/>
    <w:rsid w:val="003C6254"/>
    <w:rsid w:val="003C6462"/>
    <w:rsid w:val="003C7697"/>
    <w:rsid w:val="003C7E40"/>
    <w:rsid w:val="003D08CC"/>
    <w:rsid w:val="003D0B39"/>
    <w:rsid w:val="003D1491"/>
    <w:rsid w:val="003D284B"/>
    <w:rsid w:val="003D2D05"/>
    <w:rsid w:val="003D2DA8"/>
    <w:rsid w:val="003D3BA5"/>
    <w:rsid w:val="003D69F0"/>
    <w:rsid w:val="003D7FE3"/>
    <w:rsid w:val="003E089E"/>
    <w:rsid w:val="003E08C0"/>
    <w:rsid w:val="003E10E9"/>
    <w:rsid w:val="003E240B"/>
    <w:rsid w:val="003E2462"/>
    <w:rsid w:val="003E2874"/>
    <w:rsid w:val="003E2FC8"/>
    <w:rsid w:val="003E34AC"/>
    <w:rsid w:val="003E3D9B"/>
    <w:rsid w:val="003E4BFB"/>
    <w:rsid w:val="003E5777"/>
    <w:rsid w:val="003E6000"/>
    <w:rsid w:val="003E6E47"/>
    <w:rsid w:val="003E7E19"/>
    <w:rsid w:val="003F099A"/>
    <w:rsid w:val="003F0B1B"/>
    <w:rsid w:val="003F0C41"/>
    <w:rsid w:val="003F1082"/>
    <w:rsid w:val="003F11F6"/>
    <w:rsid w:val="003F15AD"/>
    <w:rsid w:val="003F306B"/>
    <w:rsid w:val="003F424A"/>
    <w:rsid w:val="003F462D"/>
    <w:rsid w:val="003F4DA0"/>
    <w:rsid w:val="003F6732"/>
    <w:rsid w:val="003F6924"/>
    <w:rsid w:val="003F6DFF"/>
    <w:rsid w:val="0040059C"/>
    <w:rsid w:val="00404117"/>
    <w:rsid w:val="0040449D"/>
    <w:rsid w:val="00405DA3"/>
    <w:rsid w:val="004066FB"/>
    <w:rsid w:val="004067BA"/>
    <w:rsid w:val="004069FD"/>
    <w:rsid w:val="00411881"/>
    <w:rsid w:val="00411D0C"/>
    <w:rsid w:val="00412259"/>
    <w:rsid w:val="0041275A"/>
    <w:rsid w:val="00413D1A"/>
    <w:rsid w:val="0041421C"/>
    <w:rsid w:val="004150F0"/>
    <w:rsid w:val="004153CD"/>
    <w:rsid w:val="00415D53"/>
    <w:rsid w:val="0041740E"/>
    <w:rsid w:val="004177F1"/>
    <w:rsid w:val="0042059E"/>
    <w:rsid w:val="004206C9"/>
    <w:rsid w:val="00421178"/>
    <w:rsid w:val="00421188"/>
    <w:rsid w:val="00421988"/>
    <w:rsid w:val="00421F29"/>
    <w:rsid w:val="00422030"/>
    <w:rsid w:val="00423A5A"/>
    <w:rsid w:val="00423DBE"/>
    <w:rsid w:val="00423FBF"/>
    <w:rsid w:val="004246F8"/>
    <w:rsid w:val="00424FE4"/>
    <w:rsid w:val="0042593F"/>
    <w:rsid w:val="004265DF"/>
    <w:rsid w:val="00427199"/>
    <w:rsid w:val="004273F6"/>
    <w:rsid w:val="004279F6"/>
    <w:rsid w:val="00427DB1"/>
    <w:rsid w:val="00430918"/>
    <w:rsid w:val="00431189"/>
    <w:rsid w:val="004313D9"/>
    <w:rsid w:val="004322AE"/>
    <w:rsid w:val="00432951"/>
    <w:rsid w:val="00432BA3"/>
    <w:rsid w:val="00432E96"/>
    <w:rsid w:val="00433C8E"/>
    <w:rsid w:val="00433CD9"/>
    <w:rsid w:val="00435A09"/>
    <w:rsid w:val="004368B5"/>
    <w:rsid w:val="00437652"/>
    <w:rsid w:val="00437D94"/>
    <w:rsid w:val="00437EAA"/>
    <w:rsid w:val="00440561"/>
    <w:rsid w:val="00440A85"/>
    <w:rsid w:val="00441186"/>
    <w:rsid w:val="00441D4A"/>
    <w:rsid w:val="00442CFE"/>
    <w:rsid w:val="00444E2E"/>
    <w:rsid w:val="0044600C"/>
    <w:rsid w:val="0044629B"/>
    <w:rsid w:val="0044686D"/>
    <w:rsid w:val="0044733F"/>
    <w:rsid w:val="004479B9"/>
    <w:rsid w:val="00450403"/>
    <w:rsid w:val="00451B92"/>
    <w:rsid w:val="00452198"/>
    <w:rsid w:val="0045272B"/>
    <w:rsid w:val="00453214"/>
    <w:rsid w:val="00453F5E"/>
    <w:rsid w:val="004541B4"/>
    <w:rsid w:val="0045483B"/>
    <w:rsid w:val="00455067"/>
    <w:rsid w:val="00455206"/>
    <w:rsid w:val="0045573E"/>
    <w:rsid w:val="00455962"/>
    <w:rsid w:val="00455A92"/>
    <w:rsid w:val="004561F7"/>
    <w:rsid w:val="00456596"/>
    <w:rsid w:val="00457401"/>
    <w:rsid w:val="00457433"/>
    <w:rsid w:val="00457865"/>
    <w:rsid w:val="00460401"/>
    <w:rsid w:val="00460F7C"/>
    <w:rsid w:val="0046219E"/>
    <w:rsid w:val="00462B21"/>
    <w:rsid w:val="00462D94"/>
    <w:rsid w:val="00462EF1"/>
    <w:rsid w:val="0046340F"/>
    <w:rsid w:val="004638AB"/>
    <w:rsid w:val="00464368"/>
    <w:rsid w:val="00465583"/>
    <w:rsid w:val="0046666E"/>
    <w:rsid w:val="00467A8B"/>
    <w:rsid w:val="00470626"/>
    <w:rsid w:val="00471B4A"/>
    <w:rsid w:val="00471C87"/>
    <w:rsid w:val="0047234F"/>
    <w:rsid w:val="0047292F"/>
    <w:rsid w:val="00472BD4"/>
    <w:rsid w:val="00472C48"/>
    <w:rsid w:val="00472F61"/>
    <w:rsid w:val="0047327A"/>
    <w:rsid w:val="0047388E"/>
    <w:rsid w:val="00474785"/>
    <w:rsid w:val="004759C4"/>
    <w:rsid w:val="00475F02"/>
    <w:rsid w:val="00476CF6"/>
    <w:rsid w:val="00476CF9"/>
    <w:rsid w:val="00477EBE"/>
    <w:rsid w:val="00481B77"/>
    <w:rsid w:val="00482D0D"/>
    <w:rsid w:val="00483660"/>
    <w:rsid w:val="00485424"/>
    <w:rsid w:val="00485BF8"/>
    <w:rsid w:val="00485E0F"/>
    <w:rsid w:val="00486778"/>
    <w:rsid w:val="00487494"/>
    <w:rsid w:val="00487AFA"/>
    <w:rsid w:val="00487CFC"/>
    <w:rsid w:val="00490030"/>
    <w:rsid w:val="00490ED1"/>
    <w:rsid w:val="0049114E"/>
    <w:rsid w:val="00492C2A"/>
    <w:rsid w:val="004930C7"/>
    <w:rsid w:val="00493571"/>
    <w:rsid w:val="0049395F"/>
    <w:rsid w:val="00493F2F"/>
    <w:rsid w:val="00494755"/>
    <w:rsid w:val="004947E6"/>
    <w:rsid w:val="00494CE5"/>
    <w:rsid w:val="00495E2F"/>
    <w:rsid w:val="0049732F"/>
    <w:rsid w:val="004A020C"/>
    <w:rsid w:val="004A1AED"/>
    <w:rsid w:val="004A333C"/>
    <w:rsid w:val="004A34E1"/>
    <w:rsid w:val="004A3CEE"/>
    <w:rsid w:val="004A63A2"/>
    <w:rsid w:val="004A6B47"/>
    <w:rsid w:val="004B0150"/>
    <w:rsid w:val="004B0961"/>
    <w:rsid w:val="004B0A62"/>
    <w:rsid w:val="004B0B7B"/>
    <w:rsid w:val="004B16AE"/>
    <w:rsid w:val="004B2FDC"/>
    <w:rsid w:val="004B3FD7"/>
    <w:rsid w:val="004B410B"/>
    <w:rsid w:val="004B448B"/>
    <w:rsid w:val="004B4687"/>
    <w:rsid w:val="004B48DB"/>
    <w:rsid w:val="004B4DA0"/>
    <w:rsid w:val="004B6B34"/>
    <w:rsid w:val="004B6FB3"/>
    <w:rsid w:val="004B7001"/>
    <w:rsid w:val="004B760C"/>
    <w:rsid w:val="004B768C"/>
    <w:rsid w:val="004C0CF0"/>
    <w:rsid w:val="004C146D"/>
    <w:rsid w:val="004C1742"/>
    <w:rsid w:val="004C192D"/>
    <w:rsid w:val="004C2224"/>
    <w:rsid w:val="004C3B7A"/>
    <w:rsid w:val="004C3C5F"/>
    <w:rsid w:val="004C69C6"/>
    <w:rsid w:val="004C6E7C"/>
    <w:rsid w:val="004C7162"/>
    <w:rsid w:val="004D0113"/>
    <w:rsid w:val="004D0799"/>
    <w:rsid w:val="004D163C"/>
    <w:rsid w:val="004D165D"/>
    <w:rsid w:val="004D21DF"/>
    <w:rsid w:val="004D249A"/>
    <w:rsid w:val="004D2EF2"/>
    <w:rsid w:val="004D395F"/>
    <w:rsid w:val="004D4B9E"/>
    <w:rsid w:val="004D56E6"/>
    <w:rsid w:val="004D5757"/>
    <w:rsid w:val="004D66C9"/>
    <w:rsid w:val="004D7711"/>
    <w:rsid w:val="004E1166"/>
    <w:rsid w:val="004E1309"/>
    <w:rsid w:val="004E2131"/>
    <w:rsid w:val="004E26EB"/>
    <w:rsid w:val="004E29F9"/>
    <w:rsid w:val="004E2A0B"/>
    <w:rsid w:val="004E3028"/>
    <w:rsid w:val="004E3A52"/>
    <w:rsid w:val="004E4B3D"/>
    <w:rsid w:val="004E4F03"/>
    <w:rsid w:val="004E52BF"/>
    <w:rsid w:val="004E5C60"/>
    <w:rsid w:val="004E63AF"/>
    <w:rsid w:val="004E6580"/>
    <w:rsid w:val="004E67E3"/>
    <w:rsid w:val="004E6A90"/>
    <w:rsid w:val="004E6DBE"/>
    <w:rsid w:val="004E6E28"/>
    <w:rsid w:val="004E71CC"/>
    <w:rsid w:val="004E7471"/>
    <w:rsid w:val="004F081B"/>
    <w:rsid w:val="004F15AC"/>
    <w:rsid w:val="004F28B0"/>
    <w:rsid w:val="004F30DC"/>
    <w:rsid w:val="004F4073"/>
    <w:rsid w:val="004F48D1"/>
    <w:rsid w:val="004F4C21"/>
    <w:rsid w:val="004F544F"/>
    <w:rsid w:val="004F7FA8"/>
    <w:rsid w:val="0050075F"/>
    <w:rsid w:val="00501B5D"/>
    <w:rsid w:val="00501DBF"/>
    <w:rsid w:val="005027E8"/>
    <w:rsid w:val="00503046"/>
    <w:rsid w:val="0050387F"/>
    <w:rsid w:val="00504181"/>
    <w:rsid w:val="00504D5F"/>
    <w:rsid w:val="00505707"/>
    <w:rsid w:val="00505792"/>
    <w:rsid w:val="005064FA"/>
    <w:rsid w:val="005075A9"/>
    <w:rsid w:val="00507DB6"/>
    <w:rsid w:val="00511416"/>
    <w:rsid w:val="005118ED"/>
    <w:rsid w:val="00512316"/>
    <w:rsid w:val="00512AAF"/>
    <w:rsid w:val="00512D54"/>
    <w:rsid w:val="00513154"/>
    <w:rsid w:val="00513BB7"/>
    <w:rsid w:val="00514534"/>
    <w:rsid w:val="00514BDC"/>
    <w:rsid w:val="005150C4"/>
    <w:rsid w:val="0051587D"/>
    <w:rsid w:val="00515E32"/>
    <w:rsid w:val="0051614E"/>
    <w:rsid w:val="00516AF6"/>
    <w:rsid w:val="00517729"/>
    <w:rsid w:val="005220A1"/>
    <w:rsid w:val="00522EF2"/>
    <w:rsid w:val="00523F32"/>
    <w:rsid w:val="00524133"/>
    <w:rsid w:val="00525314"/>
    <w:rsid w:val="00525691"/>
    <w:rsid w:val="0052632C"/>
    <w:rsid w:val="00526BA4"/>
    <w:rsid w:val="0053062A"/>
    <w:rsid w:val="00531B07"/>
    <w:rsid w:val="00531EF4"/>
    <w:rsid w:val="00533EEA"/>
    <w:rsid w:val="00534E83"/>
    <w:rsid w:val="00535698"/>
    <w:rsid w:val="00535D73"/>
    <w:rsid w:val="00535F6A"/>
    <w:rsid w:val="00536068"/>
    <w:rsid w:val="00536AE0"/>
    <w:rsid w:val="00537593"/>
    <w:rsid w:val="00540358"/>
    <w:rsid w:val="005416D2"/>
    <w:rsid w:val="00541BCB"/>
    <w:rsid w:val="00542928"/>
    <w:rsid w:val="00543078"/>
    <w:rsid w:val="005439EF"/>
    <w:rsid w:val="005447FE"/>
    <w:rsid w:val="00544BD7"/>
    <w:rsid w:val="00545050"/>
    <w:rsid w:val="00545FB2"/>
    <w:rsid w:val="005464C3"/>
    <w:rsid w:val="00546A03"/>
    <w:rsid w:val="00547037"/>
    <w:rsid w:val="00547047"/>
    <w:rsid w:val="00547101"/>
    <w:rsid w:val="005478EB"/>
    <w:rsid w:val="00550EC6"/>
    <w:rsid w:val="00551718"/>
    <w:rsid w:val="00551CF3"/>
    <w:rsid w:val="0055220E"/>
    <w:rsid w:val="0055236C"/>
    <w:rsid w:val="005526AF"/>
    <w:rsid w:val="005531CE"/>
    <w:rsid w:val="00553D7F"/>
    <w:rsid w:val="0055552D"/>
    <w:rsid w:val="005556B3"/>
    <w:rsid w:val="00555F81"/>
    <w:rsid w:val="005606F5"/>
    <w:rsid w:val="005609F3"/>
    <w:rsid w:val="0056130D"/>
    <w:rsid w:val="00562D17"/>
    <w:rsid w:val="005638C5"/>
    <w:rsid w:val="0056498B"/>
    <w:rsid w:val="00564DD8"/>
    <w:rsid w:val="005669F9"/>
    <w:rsid w:val="00567017"/>
    <w:rsid w:val="005678AB"/>
    <w:rsid w:val="00570803"/>
    <w:rsid w:val="0057151F"/>
    <w:rsid w:val="00571B7C"/>
    <w:rsid w:val="00571F86"/>
    <w:rsid w:val="0057209B"/>
    <w:rsid w:val="005730FD"/>
    <w:rsid w:val="00573A06"/>
    <w:rsid w:val="00575928"/>
    <w:rsid w:val="0057592A"/>
    <w:rsid w:val="00575B81"/>
    <w:rsid w:val="00577E57"/>
    <w:rsid w:val="00580FC8"/>
    <w:rsid w:val="00581BC7"/>
    <w:rsid w:val="00582DC6"/>
    <w:rsid w:val="00583426"/>
    <w:rsid w:val="00583AB9"/>
    <w:rsid w:val="005849AB"/>
    <w:rsid w:val="00584EAA"/>
    <w:rsid w:val="005851FC"/>
    <w:rsid w:val="00586DBC"/>
    <w:rsid w:val="005874C9"/>
    <w:rsid w:val="005905CA"/>
    <w:rsid w:val="00590E9C"/>
    <w:rsid w:val="0059192C"/>
    <w:rsid w:val="00592685"/>
    <w:rsid w:val="0059293B"/>
    <w:rsid w:val="00593822"/>
    <w:rsid w:val="00593D1F"/>
    <w:rsid w:val="005959A9"/>
    <w:rsid w:val="00595F62"/>
    <w:rsid w:val="00596BD8"/>
    <w:rsid w:val="005971B3"/>
    <w:rsid w:val="005A08A8"/>
    <w:rsid w:val="005A1138"/>
    <w:rsid w:val="005A2334"/>
    <w:rsid w:val="005A2604"/>
    <w:rsid w:val="005A2C3F"/>
    <w:rsid w:val="005A3B83"/>
    <w:rsid w:val="005A4A56"/>
    <w:rsid w:val="005A4BFE"/>
    <w:rsid w:val="005A6D75"/>
    <w:rsid w:val="005A70E2"/>
    <w:rsid w:val="005A7A6B"/>
    <w:rsid w:val="005A7D51"/>
    <w:rsid w:val="005B0100"/>
    <w:rsid w:val="005B012F"/>
    <w:rsid w:val="005B0722"/>
    <w:rsid w:val="005B0B6A"/>
    <w:rsid w:val="005B10A4"/>
    <w:rsid w:val="005B1416"/>
    <w:rsid w:val="005B1741"/>
    <w:rsid w:val="005B1C09"/>
    <w:rsid w:val="005B2EC1"/>
    <w:rsid w:val="005B4133"/>
    <w:rsid w:val="005B429B"/>
    <w:rsid w:val="005B670C"/>
    <w:rsid w:val="005B6FE2"/>
    <w:rsid w:val="005B72A0"/>
    <w:rsid w:val="005B76A1"/>
    <w:rsid w:val="005B7730"/>
    <w:rsid w:val="005C003F"/>
    <w:rsid w:val="005C079E"/>
    <w:rsid w:val="005C0ADB"/>
    <w:rsid w:val="005C0E0D"/>
    <w:rsid w:val="005C105F"/>
    <w:rsid w:val="005C1710"/>
    <w:rsid w:val="005C3CF7"/>
    <w:rsid w:val="005C4CD8"/>
    <w:rsid w:val="005C5A3D"/>
    <w:rsid w:val="005C5FC4"/>
    <w:rsid w:val="005C6469"/>
    <w:rsid w:val="005C69BB"/>
    <w:rsid w:val="005C6EFC"/>
    <w:rsid w:val="005C7403"/>
    <w:rsid w:val="005D012C"/>
    <w:rsid w:val="005D10F4"/>
    <w:rsid w:val="005D1207"/>
    <w:rsid w:val="005D1338"/>
    <w:rsid w:val="005D137F"/>
    <w:rsid w:val="005D1973"/>
    <w:rsid w:val="005D3589"/>
    <w:rsid w:val="005D3A75"/>
    <w:rsid w:val="005D46AC"/>
    <w:rsid w:val="005D7046"/>
    <w:rsid w:val="005D7255"/>
    <w:rsid w:val="005D778F"/>
    <w:rsid w:val="005D7D3C"/>
    <w:rsid w:val="005E11FD"/>
    <w:rsid w:val="005E1C70"/>
    <w:rsid w:val="005E28E2"/>
    <w:rsid w:val="005E2933"/>
    <w:rsid w:val="005E386A"/>
    <w:rsid w:val="005E3FC4"/>
    <w:rsid w:val="005E40CF"/>
    <w:rsid w:val="005E5DBB"/>
    <w:rsid w:val="005E6B69"/>
    <w:rsid w:val="005E6C80"/>
    <w:rsid w:val="005E75DD"/>
    <w:rsid w:val="005E7903"/>
    <w:rsid w:val="005F0A14"/>
    <w:rsid w:val="005F11D9"/>
    <w:rsid w:val="005F1518"/>
    <w:rsid w:val="005F2403"/>
    <w:rsid w:val="005F402A"/>
    <w:rsid w:val="005F4B11"/>
    <w:rsid w:val="005F4BEC"/>
    <w:rsid w:val="005F57FC"/>
    <w:rsid w:val="005F5828"/>
    <w:rsid w:val="005F5859"/>
    <w:rsid w:val="005F62AE"/>
    <w:rsid w:val="005F70CA"/>
    <w:rsid w:val="005F74EB"/>
    <w:rsid w:val="00600B12"/>
    <w:rsid w:val="006018EC"/>
    <w:rsid w:val="00601BB5"/>
    <w:rsid w:val="00603E0B"/>
    <w:rsid w:val="00603E3F"/>
    <w:rsid w:val="00603E57"/>
    <w:rsid w:val="0060609B"/>
    <w:rsid w:val="0060642F"/>
    <w:rsid w:val="0060765E"/>
    <w:rsid w:val="0061159F"/>
    <w:rsid w:val="00611BFD"/>
    <w:rsid w:val="006157AD"/>
    <w:rsid w:val="00615E0F"/>
    <w:rsid w:val="00617F01"/>
    <w:rsid w:val="00620258"/>
    <w:rsid w:val="006213AD"/>
    <w:rsid w:val="0062165D"/>
    <w:rsid w:val="00621666"/>
    <w:rsid w:val="006223E2"/>
    <w:rsid w:val="00624246"/>
    <w:rsid w:val="00624528"/>
    <w:rsid w:val="00624C1A"/>
    <w:rsid w:val="00625FB0"/>
    <w:rsid w:val="006266E1"/>
    <w:rsid w:val="00627187"/>
    <w:rsid w:val="00627456"/>
    <w:rsid w:val="006277AC"/>
    <w:rsid w:val="006309CE"/>
    <w:rsid w:val="00630BA5"/>
    <w:rsid w:val="00631169"/>
    <w:rsid w:val="00631333"/>
    <w:rsid w:val="0063164D"/>
    <w:rsid w:val="00632AAA"/>
    <w:rsid w:val="00633D7D"/>
    <w:rsid w:val="006344B6"/>
    <w:rsid w:val="0063557B"/>
    <w:rsid w:val="0063567A"/>
    <w:rsid w:val="006358A6"/>
    <w:rsid w:val="00636164"/>
    <w:rsid w:val="00636DBC"/>
    <w:rsid w:val="0063789B"/>
    <w:rsid w:val="00637C38"/>
    <w:rsid w:val="006419DC"/>
    <w:rsid w:val="00641F98"/>
    <w:rsid w:val="006436F8"/>
    <w:rsid w:val="00644351"/>
    <w:rsid w:val="00644438"/>
    <w:rsid w:val="006453B9"/>
    <w:rsid w:val="00645691"/>
    <w:rsid w:val="00645D25"/>
    <w:rsid w:val="006466A9"/>
    <w:rsid w:val="006472D7"/>
    <w:rsid w:val="006475CB"/>
    <w:rsid w:val="00647877"/>
    <w:rsid w:val="00650353"/>
    <w:rsid w:val="006527DB"/>
    <w:rsid w:val="006530F6"/>
    <w:rsid w:val="00653CB8"/>
    <w:rsid w:val="00653EC5"/>
    <w:rsid w:val="0065472D"/>
    <w:rsid w:val="00655941"/>
    <w:rsid w:val="00655B2B"/>
    <w:rsid w:val="00655B59"/>
    <w:rsid w:val="0065684D"/>
    <w:rsid w:val="00657F04"/>
    <w:rsid w:val="006608ED"/>
    <w:rsid w:val="00661452"/>
    <w:rsid w:val="00661928"/>
    <w:rsid w:val="00661BEC"/>
    <w:rsid w:val="00664C93"/>
    <w:rsid w:val="006653B4"/>
    <w:rsid w:val="00670D0B"/>
    <w:rsid w:val="00670EC5"/>
    <w:rsid w:val="00671D7B"/>
    <w:rsid w:val="006732C3"/>
    <w:rsid w:val="00673F98"/>
    <w:rsid w:val="00674172"/>
    <w:rsid w:val="0067479D"/>
    <w:rsid w:val="00674A78"/>
    <w:rsid w:val="00676528"/>
    <w:rsid w:val="00676CCE"/>
    <w:rsid w:val="00676F00"/>
    <w:rsid w:val="006776C6"/>
    <w:rsid w:val="006777FA"/>
    <w:rsid w:val="00677D8B"/>
    <w:rsid w:val="00680466"/>
    <w:rsid w:val="006809A0"/>
    <w:rsid w:val="00681988"/>
    <w:rsid w:val="006833D5"/>
    <w:rsid w:val="00683842"/>
    <w:rsid w:val="006843BF"/>
    <w:rsid w:val="00685ED8"/>
    <w:rsid w:val="0068717A"/>
    <w:rsid w:val="0069032A"/>
    <w:rsid w:val="0069068D"/>
    <w:rsid w:val="00691338"/>
    <w:rsid w:val="006921AE"/>
    <w:rsid w:val="006927B4"/>
    <w:rsid w:val="00692C01"/>
    <w:rsid w:val="00696370"/>
    <w:rsid w:val="0069685D"/>
    <w:rsid w:val="00696C8C"/>
    <w:rsid w:val="006A2B24"/>
    <w:rsid w:val="006A4C1F"/>
    <w:rsid w:val="006A50B1"/>
    <w:rsid w:val="006A67AF"/>
    <w:rsid w:val="006A747A"/>
    <w:rsid w:val="006A7486"/>
    <w:rsid w:val="006A7950"/>
    <w:rsid w:val="006B1F6F"/>
    <w:rsid w:val="006B27DD"/>
    <w:rsid w:val="006B3AC9"/>
    <w:rsid w:val="006B440F"/>
    <w:rsid w:val="006B646D"/>
    <w:rsid w:val="006C02D6"/>
    <w:rsid w:val="006C0E02"/>
    <w:rsid w:val="006C0FBD"/>
    <w:rsid w:val="006C17F5"/>
    <w:rsid w:val="006C2E04"/>
    <w:rsid w:val="006C391E"/>
    <w:rsid w:val="006C46AA"/>
    <w:rsid w:val="006C5054"/>
    <w:rsid w:val="006C5A22"/>
    <w:rsid w:val="006C68D5"/>
    <w:rsid w:val="006C6CB1"/>
    <w:rsid w:val="006C6FB3"/>
    <w:rsid w:val="006C7057"/>
    <w:rsid w:val="006C774C"/>
    <w:rsid w:val="006D04FA"/>
    <w:rsid w:val="006D128B"/>
    <w:rsid w:val="006D1E92"/>
    <w:rsid w:val="006D2E30"/>
    <w:rsid w:val="006D3442"/>
    <w:rsid w:val="006D4631"/>
    <w:rsid w:val="006D4AB1"/>
    <w:rsid w:val="006D4C96"/>
    <w:rsid w:val="006D5C42"/>
    <w:rsid w:val="006D6E74"/>
    <w:rsid w:val="006D7F0B"/>
    <w:rsid w:val="006E0A91"/>
    <w:rsid w:val="006E1B05"/>
    <w:rsid w:val="006E26B9"/>
    <w:rsid w:val="006E2B18"/>
    <w:rsid w:val="006E445B"/>
    <w:rsid w:val="006E49E8"/>
    <w:rsid w:val="006E605A"/>
    <w:rsid w:val="006E65B0"/>
    <w:rsid w:val="006E6990"/>
    <w:rsid w:val="006E6FB0"/>
    <w:rsid w:val="006E7227"/>
    <w:rsid w:val="006E7D39"/>
    <w:rsid w:val="006F2144"/>
    <w:rsid w:val="006F3635"/>
    <w:rsid w:val="006F3D61"/>
    <w:rsid w:val="006F41DC"/>
    <w:rsid w:val="006F58E6"/>
    <w:rsid w:val="006F6DA7"/>
    <w:rsid w:val="006F757C"/>
    <w:rsid w:val="006F7E0F"/>
    <w:rsid w:val="00700C34"/>
    <w:rsid w:val="00700F75"/>
    <w:rsid w:val="00701E85"/>
    <w:rsid w:val="00701F4D"/>
    <w:rsid w:val="0070239B"/>
    <w:rsid w:val="00702BA2"/>
    <w:rsid w:val="00702EF5"/>
    <w:rsid w:val="00704434"/>
    <w:rsid w:val="0070491D"/>
    <w:rsid w:val="00705222"/>
    <w:rsid w:val="0070536E"/>
    <w:rsid w:val="00705B5D"/>
    <w:rsid w:val="00705D07"/>
    <w:rsid w:val="00705DAD"/>
    <w:rsid w:val="00706AF4"/>
    <w:rsid w:val="00707948"/>
    <w:rsid w:val="00712034"/>
    <w:rsid w:val="007127D8"/>
    <w:rsid w:val="00712C3D"/>
    <w:rsid w:val="00713058"/>
    <w:rsid w:val="007130F2"/>
    <w:rsid w:val="0071386C"/>
    <w:rsid w:val="00713A96"/>
    <w:rsid w:val="00713B3A"/>
    <w:rsid w:val="00714C78"/>
    <w:rsid w:val="00715242"/>
    <w:rsid w:val="00715A6A"/>
    <w:rsid w:val="00715F6F"/>
    <w:rsid w:val="007161E9"/>
    <w:rsid w:val="00716469"/>
    <w:rsid w:val="007205E9"/>
    <w:rsid w:val="0072155B"/>
    <w:rsid w:val="007215C7"/>
    <w:rsid w:val="00722EFE"/>
    <w:rsid w:val="00723779"/>
    <w:rsid w:val="00723983"/>
    <w:rsid w:val="00724DC2"/>
    <w:rsid w:val="00726EB0"/>
    <w:rsid w:val="00727E81"/>
    <w:rsid w:val="0073033B"/>
    <w:rsid w:val="00730548"/>
    <w:rsid w:val="007307B2"/>
    <w:rsid w:val="00730F38"/>
    <w:rsid w:val="007311DD"/>
    <w:rsid w:val="00733270"/>
    <w:rsid w:val="007336EA"/>
    <w:rsid w:val="007337B8"/>
    <w:rsid w:val="00733E2A"/>
    <w:rsid w:val="00734CF3"/>
    <w:rsid w:val="0073554B"/>
    <w:rsid w:val="007373B9"/>
    <w:rsid w:val="007378D3"/>
    <w:rsid w:val="00740221"/>
    <w:rsid w:val="007404DB"/>
    <w:rsid w:val="00740F9B"/>
    <w:rsid w:val="00741112"/>
    <w:rsid w:val="007412DB"/>
    <w:rsid w:val="00742010"/>
    <w:rsid w:val="007429F7"/>
    <w:rsid w:val="0074514A"/>
    <w:rsid w:val="00745748"/>
    <w:rsid w:val="00745FD1"/>
    <w:rsid w:val="007466FA"/>
    <w:rsid w:val="00747695"/>
    <w:rsid w:val="00747E60"/>
    <w:rsid w:val="00750C98"/>
    <w:rsid w:val="007512C4"/>
    <w:rsid w:val="0075191A"/>
    <w:rsid w:val="00752BDE"/>
    <w:rsid w:val="00753F7D"/>
    <w:rsid w:val="00754448"/>
    <w:rsid w:val="007553FC"/>
    <w:rsid w:val="007556EB"/>
    <w:rsid w:val="00755F6B"/>
    <w:rsid w:val="007560D3"/>
    <w:rsid w:val="007563A7"/>
    <w:rsid w:val="00756D69"/>
    <w:rsid w:val="007578AE"/>
    <w:rsid w:val="0076007A"/>
    <w:rsid w:val="00760626"/>
    <w:rsid w:val="0076136F"/>
    <w:rsid w:val="007619DE"/>
    <w:rsid w:val="007625DA"/>
    <w:rsid w:val="007634FC"/>
    <w:rsid w:val="00763C75"/>
    <w:rsid w:val="007642B5"/>
    <w:rsid w:val="00764657"/>
    <w:rsid w:val="00764A5B"/>
    <w:rsid w:val="00767018"/>
    <w:rsid w:val="00767F96"/>
    <w:rsid w:val="007703E7"/>
    <w:rsid w:val="00770CA8"/>
    <w:rsid w:val="00772F4B"/>
    <w:rsid w:val="0077312A"/>
    <w:rsid w:val="007731BA"/>
    <w:rsid w:val="00773BDB"/>
    <w:rsid w:val="007747B8"/>
    <w:rsid w:val="00774E2F"/>
    <w:rsid w:val="00774E38"/>
    <w:rsid w:val="00775252"/>
    <w:rsid w:val="00775C04"/>
    <w:rsid w:val="0077663E"/>
    <w:rsid w:val="007777E0"/>
    <w:rsid w:val="007802BA"/>
    <w:rsid w:val="0078049F"/>
    <w:rsid w:val="00780C39"/>
    <w:rsid w:val="00781E38"/>
    <w:rsid w:val="00782036"/>
    <w:rsid w:val="00783A56"/>
    <w:rsid w:val="00784177"/>
    <w:rsid w:val="007852E1"/>
    <w:rsid w:val="0078542A"/>
    <w:rsid w:val="00785F2C"/>
    <w:rsid w:val="007869CA"/>
    <w:rsid w:val="0079103C"/>
    <w:rsid w:val="00792F35"/>
    <w:rsid w:val="00793502"/>
    <w:rsid w:val="00793D46"/>
    <w:rsid w:val="0079442A"/>
    <w:rsid w:val="00794433"/>
    <w:rsid w:val="00797100"/>
    <w:rsid w:val="00797361"/>
    <w:rsid w:val="007A13D5"/>
    <w:rsid w:val="007A16D7"/>
    <w:rsid w:val="007A1C0D"/>
    <w:rsid w:val="007A1F3F"/>
    <w:rsid w:val="007A32A8"/>
    <w:rsid w:val="007A3559"/>
    <w:rsid w:val="007A4A61"/>
    <w:rsid w:val="007A4B77"/>
    <w:rsid w:val="007A4DEA"/>
    <w:rsid w:val="007A5C78"/>
    <w:rsid w:val="007A6BB8"/>
    <w:rsid w:val="007B37D7"/>
    <w:rsid w:val="007B45AA"/>
    <w:rsid w:val="007B4AA5"/>
    <w:rsid w:val="007B4B8D"/>
    <w:rsid w:val="007B4F00"/>
    <w:rsid w:val="007B6152"/>
    <w:rsid w:val="007B6539"/>
    <w:rsid w:val="007B6825"/>
    <w:rsid w:val="007C1B4A"/>
    <w:rsid w:val="007C1C3B"/>
    <w:rsid w:val="007C4529"/>
    <w:rsid w:val="007C48CB"/>
    <w:rsid w:val="007C674C"/>
    <w:rsid w:val="007C6797"/>
    <w:rsid w:val="007C6859"/>
    <w:rsid w:val="007C7DC2"/>
    <w:rsid w:val="007C7FBF"/>
    <w:rsid w:val="007D03C5"/>
    <w:rsid w:val="007D08CD"/>
    <w:rsid w:val="007D0A2E"/>
    <w:rsid w:val="007D10E8"/>
    <w:rsid w:val="007D23B3"/>
    <w:rsid w:val="007D263B"/>
    <w:rsid w:val="007D3427"/>
    <w:rsid w:val="007D4536"/>
    <w:rsid w:val="007D4F13"/>
    <w:rsid w:val="007D669F"/>
    <w:rsid w:val="007D7970"/>
    <w:rsid w:val="007E002F"/>
    <w:rsid w:val="007E007A"/>
    <w:rsid w:val="007E0475"/>
    <w:rsid w:val="007E0BE5"/>
    <w:rsid w:val="007E0C5B"/>
    <w:rsid w:val="007E132F"/>
    <w:rsid w:val="007E1C77"/>
    <w:rsid w:val="007E344F"/>
    <w:rsid w:val="007E4157"/>
    <w:rsid w:val="007E70EB"/>
    <w:rsid w:val="007E78CB"/>
    <w:rsid w:val="007E7BFE"/>
    <w:rsid w:val="007F050A"/>
    <w:rsid w:val="007F0DD1"/>
    <w:rsid w:val="007F18E2"/>
    <w:rsid w:val="007F30B0"/>
    <w:rsid w:val="007F3523"/>
    <w:rsid w:val="007F5480"/>
    <w:rsid w:val="007F56AD"/>
    <w:rsid w:val="007F5E7A"/>
    <w:rsid w:val="007F6692"/>
    <w:rsid w:val="007F7656"/>
    <w:rsid w:val="007F7787"/>
    <w:rsid w:val="0080105E"/>
    <w:rsid w:val="00801BDF"/>
    <w:rsid w:val="00801F2F"/>
    <w:rsid w:val="0080283D"/>
    <w:rsid w:val="00805C23"/>
    <w:rsid w:val="00806C74"/>
    <w:rsid w:val="008074F7"/>
    <w:rsid w:val="0081020E"/>
    <w:rsid w:val="008115B8"/>
    <w:rsid w:val="00811D30"/>
    <w:rsid w:val="00811FAA"/>
    <w:rsid w:val="008136C2"/>
    <w:rsid w:val="00813820"/>
    <w:rsid w:val="008138C8"/>
    <w:rsid w:val="00814AF7"/>
    <w:rsid w:val="00814B4F"/>
    <w:rsid w:val="00814E91"/>
    <w:rsid w:val="00815981"/>
    <w:rsid w:val="00815E7A"/>
    <w:rsid w:val="008168DD"/>
    <w:rsid w:val="00816A1F"/>
    <w:rsid w:val="0081735C"/>
    <w:rsid w:val="00817B10"/>
    <w:rsid w:val="00817EB9"/>
    <w:rsid w:val="008201E2"/>
    <w:rsid w:val="00820C35"/>
    <w:rsid w:val="00820FA7"/>
    <w:rsid w:val="00821144"/>
    <w:rsid w:val="008215F6"/>
    <w:rsid w:val="008218D5"/>
    <w:rsid w:val="0082270F"/>
    <w:rsid w:val="008239C1"/>
    <w:rsid w:val="0082459A"/>
    <w:rsid w:val="00824888"/>
    <w:rsid w:val="0082496D"/>
    <w:rsid w:val="008260A0"/>
    <w:rsid w:val="00826222"/>
    <w:rsid w:val="008266DC"/>
    <w:rsid w:val="00826931"/>
    <w:rsid w:val="00826AC0"/>
    <w:rsid w:val="008278E7"/>
    <w:rsid w:val="00827DA1"/>
    <w:rsid w:val="008314E1"/>
    <w:rsid w:val="0083157A"/>
    <w:rsid w:val="0083160D"/>
    <w:rsid w:val="00831D46"/>
    <w:rsid w:val="008325E6"/>
    <w:rsid w:val="00832C5A"/>
    <w:rsid w:val="00832F23"/>
    <w:rsid w:val="00833C3D"/>
    <w:rsid w:val="008345A4"/>
    <w:rsid w:val="00834E3B"/>
    <w:rsid w:val="00835420"/>
    <w:rsid w:val="00836A86"/>
    <w:rsid w:val="00837482"/>
    <w:rsid w:val="00837F2B"/>
    <w:rsid w:val="00840F7C"/>
    <w:rsid w:val="0084153C"/>
    <w:rsid w:val="00844BC8"/>
    <w:rsid w:val="00844C35"/>
    <w:rsid w:val="00845AEF"/>
    <w:rsid w:val="00845DBA"/>
    <w:rsid w:val="008517FC"/>
    <w:rsid w:val="00856D89"/>
    <w:rsid w:val="00857016"/>
    <w:rsid w:val="0085719E"/>
    <w:rsid w:val="008606BC"/>
    <w:rsid w:val="008617BE"/>
    <w:rsid w:val="00864012"/>
    <w:rsid w:val="008646F6"/>
    <w:rsid w:val="00864DB9"/>
    <w:rsid w:val="00865E9C"/>
    <w:rsid w:val="00865EA6"/>
    <w:rsid w:val="00867226"/>
    <w:rsid w:val="008674B4"/>
    <w:rsid w:val="00867A1C"/>
    <w:rsid w:val="00867A4F"/>
    <w:rsid w:val="00867C38"/>
    <w:rsid w:val="00867C98"/>
    <w:rsid w:val="008710A6"/>
    <w:rsid w:val="008716CB"/>
    <w:rsid w:val="00872B21"/>
    <w:rsid w:val="00872D99"/>
    <w:rsid w:val="00873769"/>
    <w:rsid w:val="008739D3"/>
    <w:rsid w:val="00873B7B"/>
    <w:rsid w:val="0087413E"/>
    <w:rsid w:val="008742F5"/>
    <w:rsid w:val="0087434E"/>
    <w:rsid w:val="00874834"/>
    <w:rsid w:val="00874B0B"/>
    <w:rsid w:val="008768FF"/>
    <w:rsid w:val="00876EA5"/>
    <w:rsid w:val="00877489"/>
    <w:rsid w:val="00877837"/>
    <w:rsid w:val="00877CEC"/>
    <w:rsid w:val="00880C50"/>
    <w:rsid w:val="00881CE5"/>
    <w:rsid w:val="00882A21"/>
    <w:rsid w:val="008846D2"/>
    <w:rsid w:val="00884CCE"/>
    <w:rsid w:val="008853E2"/>
    <w:rsid w:val="008857D6"/>
    <w:rsid w:val="00885E35"/>
    <w:rsid w:val="00885EDF"/>
    <w:rsid w:val="008862FD"/>
    <w:rsid w:val="008864F3"/>
    <w:rsid w:val="00887430"/>
    <w:rsid w:val="00887A0F"/>
    <w:rsid w:val="00887A6A"/>
    <w:rsid w:val="00890581"/>
    <w:rsid w:val="0089141C"/>
    <w:rsid w:val="0089235E"/>
    <w:rsid w:val="00892626"/>
    <w:rsid w:val="00893365"/>
    <w:rsid w:val="00893A2A"/>
    <w:rsid w:val="00894C93"/>
    <w:rsid w:val="00894D69"/>
    <w:rsid w:val="00895455"/>
    <w:rsid w:val="008964EF"/>
    <w:rsid w:val="008A0752"/>
    <w:rsid w:val="008A0BFE"/>
    <w:rsid w:val="008A0C80"/>
    <w:rsid w:val="008A0DA1"/>
    <w:rsid w:val="008A25E3"/>
    <w:rsid w:val="008A2836"/>
    <w:rsid w:val="008A31E5"/>
    <w:rsid w:val="008A35FE"/>
    <w:rsid w:val="008A38B2"/>
    <w:rsid w:val="008A395F"/>
    <w:rsid w:val="008A49CE"/>
    <w:rsid w:val="008A51BB"/>
    <w:rsid w:val="008A5EAC"/>
    <w:rsid w:val="008A6772"/>
    <w:rsid w:val="008A7374"/>
    <w:rsid w:val="008A74A4"/>
    <w:rsid w:val="008A7C13"/>
    <w:rsid w:val="008B1D9D"/>
    <w:rsid w:val="008B2113"/>
    <w:rsid w:val="008B2E35"/>
    <w:rsid w:val="008B32DE"/>
    <w:rsid w:val="008B3614"/>
    <w:rsid w:val="008B61C2"/>
    <w:rsid w:val="008B621D"/>
    <w:rsid w:val="008C1062"/>
    <w:rsid w:val="008C182D"/>
    <w:rsid w:val="008C26A3"/>
    <w:rsid w:val="008C31A8"/>
    <w:rsid w:val="008C40C7"/>
    <w:rsid w:val="008C4955"/>
    <w:rsid w:val="008C4A8A"/>
    <w:rsid w:val="008C4C8A"/>
    <w:rsid w:val="008C5CB5"/>
    <w:rsid w:val="008C63A1"/>
    <w:rsid w:val="008C705F"/>
    <w:rsid w:val="008D13BF"/>
    <w:rsid w:val="008D16C9"/>
    <w:rsid w:val="008D300D"/>
    <w:rsid w:val="008D4A10"/>
    <w:rsid w:val="008D5454"/>
    <w:rsid w:val="008D5D06"/>
    <w:rsid w:val="008D5E7C"/>
    <w:rsid w:val="008D66CC"/>
    <w:rsid w:val="008D67A7"/>
    <w:rsid w:val="008D7D92"/>
    <w:rsid w:val="008E01C3"/>
    <w:rsid w:val="008E1493"/>
    <w:rsid w:val="008E415E"/>
    <w:rsid w:val="008E6C51"/>
    <w:rsid w:val="008E77E4"/>
    <w:rsid w:val="008F0F5C"/>
    <w:rsid w:val="008F152C"/>
    <w:rsid w:val="008F1B53"/>
    <w:rsid w:val="008F272E"/>
    <w:rsid w:val="008F2F9F"/>
    <w:rsid w:val="008F3964"/>
    <w:rsid w:val="008F39AF"/>
    <w:rsid w:val="008F4A6B"/>
    <w:rsid w:val="008F4F9A"/>
    <w:rsid w:val="008F733D"/>
    <w:rsid w:val="009001B8"/>
    <w:rsid w:val="00900556"/>
    <w:rsid w:val="009006B5"/>
    <w:rsid w:val="00900CA9"/>
    <w:rsid w:val="0090102D"/>
    <w:rsid w:val="00902605"/>
    <w:rsid w:val="009030F1"/>
    <w:rsid w:val="0090386B"/>
    <w:rsid w:val="0090397C"/>
    <w:rsid w:val="009041F8"/>
    <w:rsid w:val="00904869"/>
    <w:rsid w:val="009049FD"/>
    <w:rsid w:val="009055C8"/>
    <w:rsid w:val="00905D5F"/>
    <w:rsid w:val="00905E50"/>
    <w:rsid w:val="0090603F"/>
    <w:rsid w:val="0090636C"/>
    <w:rsid w:val="0090681B"/>
    <w:rsid w:val="009069F5"/>
    <w:rsid w:val="00906E7A"/>
    <w:rsid w:val="00910449"/>
    <w:rsid w:val="00910492"/>
    <w:rsid w:val="0091149B"/>
    <w:rsid w:val="009117C6"/>
    <w:rsid w:val="009119BC"/>
    <w:rsid w:val="009122B3"/>
    <w:rsid w:val="00913FB1"/>
    <w:rsid w:val="009144E0"/>
    <w:rsid w:val="009145AA"/>
    <w:rsid w:val="00914F90"/>
    <w:rsid w:val="009159DC"/>
    <w:rsid w:val="00915A3B"/>
    <w:rsid w:val="00915F9A"/>
    <w:rsid w:val="00916754"/>
    <w:rsid w:val="00922119"/>
    <w:rsid w:val="00922996"/>
    <w:rsid w:val="00923ACC"/>
    <w:rsid w:val="009252E8"/>
    <w:rsid w:val="00925FE2"/>
    <w:rsid w:val="0092631E"/>
    <w:rsid w:val="00926E37"/>
    <w:rsid w:val="00927F72"/>
    <w:rsid w:val="00931B34"/>
    <w:rsid w:val="00931BD5"/>
    <w:rsid w:val="009320BF"/>
    <w:rsid w:val="00932688"/>
    <w:rsid w:val="009329ED"/>
    <w:rsid w:val="0093320F"/>
    <w:rsid w:val="0093407C"/>
    <w:rsid w:val="00934139"/>
    <w:rsid w:val="00934160"/>
    <w:rsid w:val="0093429D"/>
    <w:rsid w:val="009347D5"/>
    <w:rsid w:val="00935898"/>
    <w:rsid w:val="009369CC"/>
    <w:rsid w:val="00937230"/>
    <w:rsid w:val="009376A1"/>
    <w:rsid w:val="009376C4"/>
    <w:rsid w:val="009377AF"/>
    <w:rsid w:val="009378B6"/>
    <w:rsid w:val="00937F0B"/>
    <w:rsid w:val="009402F8"/>
    <w:rsid w:val="009409D6"/>
    <w:rsid w:val="00940A62"/>
    <w:rsid w:val="0094108B"/>
    <w:rsid w:val="009411D4"/>
    <w:rsid w:val="0094135E"/>
    <w:rsid w:val="00943263"/>
    <w:rsid w:val="00944516"/>
    <w:rsid w:val="009465E8"/>
    <w:rsid w:val="0094679B"/>
    <w:rsid w:val="0094743C"/>
    <w:rsid w:val="00950CB9"/>
    <w:rsid w:val="00950D61"/>
    <w:rsid w:val="00951A2F"/>
    <w:rsid w:val="00951FD4"/>
    <w:rsid w:val="009533CE"/>
    <w:rsid w:val="009535B3"/>
    <w:rsid w:val="00954928"/>
    <w:rsid w:val="00955E51"/>
    <w:rsid w:val="00956136"/>
    <w:rsid w:val="00956496"/>
    <w:rsid w:val="0095661B"/>
    <w:rsid w:val="0095666F"/>
    <w:rsid w:val="009566F6"/>
    <w:rsid w:val="00956D48"/>
    <w:rsid w:val="0096193E"/>
    <w:rsid w:val="00961EC7"/>
    <w:rsid w:val="00962198"/>
    <w:rsid w:val="0096338E"/>
    <w:rsid w:val="009633A6"/>
    <w:rsid w:val="00963EC4"/>
    <w:rsid w:val="00964184"/>
    <w:rsid w:val="009658EB"/>
    <w:rsid w:val="00965A95"/>
    <w:rsid w:val="009660BD"/>
    <w:rsid w:val="00966E18"/>
    <w:rsid w:val="009671E8"/>
    <w:rsid w:val="00967877"/>
    <w:rsid w:val="00967B0A"/>
    <w:rsid w:val="009702B2"/>
    <w:rsid w:val="00971B34"/>
    <w:rsid w:val="00971B40"/>
    <w:rsid w:val="00972E45"/>
    <w:rsid w:val="0097306E"/>
    <w:rsid w:val="00973273"/>
    <w:rsid w:val="00973292"/>
    <w:rsid w:val="00975A69"/>
    <w:rsid w:val="00975D35"/>
    <w:rsid w:val="0098087E"/>
    <w:rsid w:val="00980D57"/>
    <w:rsid w:val="0098117B"/>
    <w:rsid w:val="009813E8"/>
    <w:rsid w:val="00981533"/>
    <w:rsid w:val="00981EDD"/>
    <w:rsid w:val="00982847"/>
    <w:rsid w:val="00982EDA"/>
    <w:rsid w:val="00983471"/>
    <w:rsid w:val="00984121"/>
    <w:rsid w:val="0098612B"/>
    <w:rsid w:val="0098688C"/>
    <w:rsid w:val="00987577"/>
    <w:rsid w:val="00990440"/>
    <w:rsid w:val="009924C8"/>
    <w:rsid w:val="00992608"/>
    <w:rsid w:val="00992A57"/>
    <w:rsid w:val="0099365C"/>
    <w:rsid w:val="00994C4E"/>
    <w:rsid w:val="00995A05"/>
    <w:rsid w:val="00995DF4"/>
    <w:rsid w:val="00995F68"/>
    <w:rsid w:val="00996022"/>
    <w:rsid w:val="009963E3"/>
    <w:rsid w:val="009975DC"/>
    <w:rsid w:val="009A12ED"/>
    <w:rsid w:val="009A1855"/>
    <w:rsid w:val="009A22CF"/>
    <w:rsid w:val="009A2C3F"/>
    <w:rsid w:val="009A38B6"/>
    <w:rsid w:val="009A4288"/>
    <w:rsid w:val="009A4AD5"/>
    <w:rsid w:val="009A4B67"/>
    <w:rsid w:val="009A5FF8"/>
    <w:rsid w:val="009A70B1"/>
    <w:rsid w:val="009A77DC"/>
    <w:rsid w:val="009B0B1E"/>
    <w:rsid w:val="009B0C1B"/>
    <w:rsid w:val="009B0FA9"/>
    <w:rsid w:val="009B10CD"/>
    <w:rsid w:val="009B2886"/>
    <w:rsid w:val="009B3843"/>
    <w:rsid w:val="009B39FD"/>
    <w:rsid w:val="009B40C4"/>
    <w:rsid w:val="009B4937"/>
    <w:rsid w:val="009B4A33"/>
    <w:rsid w:val="009B4E59"/>
    <w:rsid w:val="009B5AE9"/>
    <w:rsid w:val="009B7EA7"/>
    <w:rsid w:val="009C07CC"/>
    <w:rsid w:val="009C0EBE"/>
    <w:rsid w:val="009C2A76"/>
    <w:rsid w:val="009C31CD"/>
    <w:rsid w:val="009C38FE"/>
    <w:rsid w:val="009C6487"/>
    <w:rsid w:val="009C6BD5"/>
    <w:rsid w:val="009D0321"/>
    <w:rsid w:val="009D0430"/>
    <w:rsid w:val="009D172A"/>
    <w:rsid w:val="009D206A"/>
    <w:rsid w:val="009D21AE"/>
    <w:rsid w:val="009D2DB4"/>
    <w:rsid w:val="009D3127"/>
    <w:rsid w:val="009D32CB"/>
    <w:rsid w:val="009D45A7"/>
    <w:rsid w:val="009D4C5B"/>
    <w:rsid w:val="009D4FD4"/>
    <w:rsid w:val="009D5885"/>
    <w:rsid w:val="009D5E69"/>
    <w:rsid w:val="009D6043"/>
    <w:rsid w:val="009D6ADE"/>
    <w:rsid w:val="009D7F55"/>
    <w:rsid w:val="009E0D29"/>
    <w:rsid w:val="009E18E3"/>
    <w:rsid w:val="009E2915"/>
    <w:rsid w:val="009E2D70"/>
    <w:rsid w:val="009E3ED3"/>
    <w:rsid w:val="009E453A"/>
    <w:rsid w:val="009E46C2"/>
    <w:rsid w:val="009E4993"/>
    <w:rsid w:val="009E4B2D"/>
    <w:rsid w:val="009E4F2F"/>
    <w:rsid w:val="009E50B9"/>
    <w:rsid w:val="009E5A93"/>
    <w:rsid w:val="009E5DCE"/>
    <w:rsid w:val="009E5E4A"/>
    <w:rsid w:val="009F0DC2"/>
    <w:rsid w:val="009F1C34"/>
    <w:rsid w:val="009F242B"/>
    <w:rsid w:val="009F26CC"/>
    <w:rsid w:val="009F3B03"/>
    <w:rsid w:val="009F5312"/>
    <w:rsid w:val="009F5C55"/>
    <w:rsid w:val="009F5E52"/>
    <w:rsid w:val="009F632B"/>
    <w:rsid w:val="009F6656"/>
    <w:rsid w:val="00A000CF"/>
    <w:rsid w:val="00A004FC"/>
    <w:rsid w:val="00A0281F"/>
    <w:rsid w:val="00A02E15"/>
    <w:rsid w:val="00A0387F"/>
    <w:rsid w:val="00A03A2B"/>
    <w:rsid w:val="00A0530D"/>
    <w:rsid w:val="00A05A16"/>
    <w:rsid w:val="00A06556"/>
    <w:rsid w:val="00A06CB3"/>
    <w:rsid w:val="00A07516"/>
    <w:rsid w:val="00A10DC0"/>
    <w:rsid w:val="00A113FE"/>
    <w:rsid w:val="00A11ADA"/>
    <w:rsid w:val="00A13985"/>
    <w:rsid w:val="00A13A18"/>
    <w:rsid w:val="00A15585"/>
    <w:rsid w:val="00A15821"/>
    <w:rsid w:val="00A166FF"/>
    <w:rsid w:val="00A1680B"/>
    <w:rsid w:val="00A1760C"/>
    <w:rsid w:val="00A179FF"/>
    <w:rsid w:val="00A17DE3"/>
    <w:rsid w:val="00A20211"/>
    <w:rsid w:val="00A20785"/>
    <w:rsid w:val="00A211EF"/>
    <w:rsid w:val="00A21E32"/>
    <w:rsid w:val="00A2259A"/>
    <w:rsid w:val="00A2394D"/>
    <w:rsid w:val="00A23C6A"/>
    <w:rsid w:val="00A23CC8"/>
    <w:rsid w:val="00A23F11"/>
    <w:rsid w:val="00A24097"/>
    <w:rsid w:val="00A2413D"/>
    <w:rsid w:val="00A25766"/>
    <w:rsid w:val="00A25E09"/>
    <w:rsid w:val="00A25E37"/>
    <w:rsid w:val="00A270FB"/>
    <w:rsid w:val="00A274FD"/>
    <w:rsid w:val="00A279D4"/>
    <w:rsid w:val="00A27CE0"/>
    <w:rsid w:val="00A3117E"/>
    <w:rsid w:val="00A313BA"/>
    <w:rsid w:val="00A3231F"/>
    <w:rsid w:val="00A333CE"/>
    <w:rsid w:val="00A34CA1"/>
    <w:rsid w:val="00A352DE"/>
    <w:rsid w:val="00A371E0"/>
    <w:rsid w:val="00A3758D"/>
    <w:rsid w:val="00A40CBB"/>
    <w:rsid w:val="00A4116C"/>
    <w:rsid w:val="00A415A9"/>
    <w:rsid w:val="00A429B8"/>
    <w:rsid w:val="00A42A8E"/>
    <w:rsid w:val="00A4363C"/>
    <w:rsid w:val="00A44D3D"/>
    <w:rsid w:val="00A469F4"/>
    <w:rsid w:val="00A46E30"/>
    <w:rsid w:val="00A46EA7"/>
    <w:rsid w:val="00A47F31"/>
    <w:rsid w:val="00A50C95"/>
    <w:rsid w:val="00A50F5D"/>
    <w:rsid w:val="00A51A08"/>
    <w:rsid w:val="00A533B9"/>
    <w:rsid w:val="00A53512"/>
    <w:rsid w:val="00A538F7"/>
    <w:rsid w:val="00A53C80"/>
    <w:rsid w:val="00A53CA3"/>
    <w:rsid w:val="00A53DF0"/>
    <w:rsid w:val="00A54311"/>
    <w:rsid w:val="00A54B0C"/>
    <w:rsid w:val="00A552AA"/>
    <w:rsid w:val="00A5552D"/>
    <w:rsid w:val="00A55E91"/>
    <w:rsid w:val="00A56006"/>
    <w:rsid w:val="00A56F43"/>
    <w:rsid w:val="00A57465"/>
    <w:rsid w:val="00A57F76"/>
    <w:rsid w:val="00A60E31"/>
    <w:rsid w:val="00A61540"/>
    <w:rsid w:val="00A623AE"/>
    <w:rsid w:val="00A63664"/>
    <w:rsid w:val="00A638D5"/>
    <w:rsid w:val="00A638E9"/>
    <w:rsid w:val="00A63DEE"/>
    <w:rsid w:val="00A63E0F"/>
    <w:rsid w:val="00A64088"/>
    <w:rsid w:val="00A6436B"/>
    <w:rsid w:val="00A65A8F"/>
    <w:rsid w:val="00A6627F"/>
    <w:rsid w:val="00A67253"/>
    <w:rsid w:val="00A700C9"/>
    <w:rsid w:val="00A722F3"/>
    <w:rsid w:val="00A72374"/>
    <w:rsid w:val="00A72EEE"/>
    <w:rsid w:val="00A732D3"/>
    <w:rsid w:val="00A735B3"/>
    <w:rsid w:val="00A73A70"/>
    <w:rsid w:val="00A73D05"/>
    <w:rsid w:val="00A73D40"/>
    <w:rsid w:val="00A7589C"/>
    <w:rsid w:val="00A7771A"/>
    <w:rsid w:val="00A81FA0"/>
    <w:rsid w:val="00A82D27"/>
    <w:rsid w:val="00A838B7"/>
    <w:rsid w:val="00A840A0"/>
    <w:rsid w:val="00A849A0"/>
    <w:rsid w:val="00A855BB"/>
    <w:rsid w:val="00A85ED2"/>
    <w:rsid w:val="00A85F84"/>
    <w:rsid w:val="00A85FDA"/>
    <w:rsid w:val="00A863EF"/>
    <w:rsid w:val="00A876B0"/>
    <w:rsid w:val="00A87715"/>
    <w:rsid w:val="00A90600"/>
    <w:rsid w:val="00A90625"/>
    <w:rsid w:val="00A911D3"/>
    <w:rsid w:val="00A93181"/>
    <w:rsid w:val="00A93428"/>
    <w:rsid w:val="00A94DBA"/>
    <w:rsid w:val="00A95FAF"/>
    <w:rsid w:val="00A979CE"/>
    <w:rsid w:val="00A97FB7"/>
    <w:rsid w:val="00AA12E8"/>
    <w:rsid w:val="00AA12E9"/>
    <w:rsid w:val="00AA1E76"/>
    <w:rsid w:val="00AA236F"/>
    <w:rsid w:val="00AA27D9"/>
    <w:rsid w:val="00AA314E"/>
    <w:rsid w:val="00AA46EE"/>
    <w:rsid w:val="00AA4EE3"/>
    <w:rsid w:val="00AA58AE"/>
    <w:rsid w:val="00AA5B8E"/>
    <w:rsid w:val="00AA67C1"/>
    <w:rsid w:val="00AA6A95"/>
    <w:rsid w:val="00AA6BC1"/>
    <w:rsid w:val="00AA7783"/>
    <w:rsid w:val="00AA7AFA"/>
    <w:rsid w:val="00AB1921"/>
    <w:rsid w:val="00AB27DE"/>
    <w:rsid w:val="00AB2E0C"/>
    <w:rsid w:val="00AB3710"/>
    <w:rsid w:val="00AB4847"/>
    <w:rsid w:val="00AB4E09"/>
    <w:rsid w:val="00AB55B1"/>
    <w:rsid w:val="00AB5998"/>
    <w:rsid w:val="00AB5C26"/>
    <w:rsid w:val="00AB6199"/>
    <w:rsid w:val="00AB65B0"/>
    <w:rsid w:val="00AB6B55"/>
    <w:rsid w:val="00AC0955"/>
    <w:rsid w:val="00AC10A3"/>
    <w:rsid w:val="00AC2598"/>
    <w:rsid w:val="00AC3230"/>
    <w:rsid w:val="00AC33AE"/>
    <w:rsid w:val="00AC37AD"/>
    <w:rsid w:val="00AC3D7D"/>
    <w:rsid w:val="00AC4E1A"/>
    <w:rsid w:val="00AC5A21"/>
    <w:rsid w:val="00AC5D81"/>
    <w:rsid w:val="00AC7C34"/>
    <w:rsid w:val="00AC7C64"/>
    <w:rsid w:val="00AD0129"/>
    <w:rsid w:val="00AD2009"/>
    <w:rsid w:val="00AD245A"/>
    <w:rsid w:val="00AD29A4"/>
    <w:rsid w:val="00AD312A"/>
    <w:rsid w:val="00AD5D09"/>
    <w:rsid w:val="00AE0AB0"/>
    <w:rsid w:val="00AE2500"/>
    <w:rsid w:val="00AE2F01"/>
    <w:rsid w:val="00AE38BF"/>
    <w:rsid w:val="00AE40E9"/>
    <w:rsid w:val="00AE443F"/>
    <w:rsid w:val="00AE46F4"/>
    <w:rsid w:val="00AE4C84"/>
    <w:rsid w:val="00AE5481"/>
    <w:rsid w:val="00AE6A5A"/>
    <w:rsid w:val="00AE6B25"/>
    <w:rsid w:val="00AE7F80"/>
    <w:rsid w:val="00AF1504"/>
    <w:rsid w:val="00AF1E60"/>
    <w:rsid w:val="00AF2269"/>
    <w:rsid w:val="00AF2377"/>
    <w:rsid w:val="00AF2BF9"/>
    <w:rsid w:val="00AF490F"/>
    <w:rsid w:val="00AF4F34"/>
    <w:rsid w:val="00AF5618"/>
    <w:rsid w:val="00AF5C48"/>
    <w:rsid w:val="00AF6AD4"/>
    <w:rsid w:val="00AF72FA"/>
    <w:rsid w:val="00B00463"/>
    <w:rsid w:val="00B00526"/>
    <w:rsid w:val="00B00852"/>
    <w:rsid w:val="00B00D2D"/>
    <w:rsid w:val="00B0187A"/>
    <w:rsid w:val="00B02E48"/>
    <w:rsid w:val="00B03A3C"/>
    <w:rsid w:val="00B03E45"/>
    <w:rsid w:val="00B0436A"/>
    <w:rsid w:val="00B05267"/>
    <w:rsid w:val="00B0582A"/>
    <w:rsid w:val="00B07BA1"/>
    <w:rsid w:val="00B07F1F"/>
    <w:rsid w:val="00B10646"/>
    <w:rsid w:val="00B1118E"/>
    <w:rsid w:val="00B1130C"/>
    <w:rsid w:val="00B118F6"/>
    <w:rsid w:val="00B11F71"/>
    <w:rsid w:val="00B1680C"/>
    <w:rsid w:val="00B16B71"/>
    <w:rsid w:val="00B16D2E"/>
    <w:rsid w:val="00B1799D"/>
    <w:rsid w:val="00B208EA"/>
    <w:rsid w:val="00B20B2F"/>
    <w:rsid w:val="00B21076"/>
    <w:rsid w:val="00B210A7"/>
    <w:rsid w:val="00B223F6"/>
    <w:rsid w:val="00B238DB"/>
    <w:rsid w:val="00B23C84"/>
    <w:rsid w:val="00B23F08"/>
    <w:rsid w:val="00B2454E"/>
    <w:rsid w:val="00B25127"/>
    <w:rsid w:val="00B251FC"/>
    <w:rsid w:val="00B255D1"/>
    <w:rsid w:val="00B25A72"/>
    <w:rsid w:val="00B25EB6"/>
    <w:rsid w:val="00B27BCC"/>
    <w:rsid w:val="00B27E17"/>
    <w:rsid w:val="00B3017F"/>
    <w:rsid w:val="00B3108F"/>
    <w:rsid w:val="00B3174D"/>
    <w:rsid w:val="00B32636"/>
    <w:rsid w:val="00B32C69"/>
    <w:rsid w:val="00B34162"/>
    <w:rsid w:val="00B34D77"/>
    <w:rsid w:val="00B35C68"/>
    <w:rsid w:val="00B35E54"/>
    <w:rsid w:val="00B37593"/>
    <w:rsid w:val="00B407F3"/>
    <w:rsid w:val="00B422C3"/>
    <w:rsid w:val="00B42EC7"/>
    <w:rsid w:val="00B4424D"/>
    <w:rsid w:val="00B4443C"/>
    <w:rsid w:val="00B447F7"/>
    <w:rsid w:val="00B46F79"/>
    <w:rsid w:val="00B4741E"/>
    <w:rsid w:val="00B50426"/>
    <w:rsid w:val="00B50B68"/>
    <w:rsid w:val="00B5108D"/>
    <w:rsid w:val="00B51E75"/>
    <w:rsid w:val="00B52DAC"/>
    <w:rsid w:val="00B5353D"/>
    <w:rsid w:val="00B5404E"/>
    <w:rsid w:val="00B541D6"/>
    <w:rsid w:val="00B5580E"/>
    <w:rsid w:val="00B558BF"/>
    <w:rsid w:val="00B55EE1"/>
    <w:rsid w:val="00B55FEF"/>
    <w:rsid w:val="00B5637A"/>
    <w:rsid w:val="00B56801"/>
    <w:rsid w:val="00B57BD4"/>
    <w:rsid w:val="00B60651"/>
    <w:rsid w:val="00B61C56"/>
    <w:rsid w:val="00B623E4"/>
    <w:rsid w:val="00B62427"/>
    <w:rsid w:val="00B62740"/>
    <w:rsid w:val="00B62C2C"/>
    <w:rsid w:val="00B62F76"/>
    <w:rsid w:val="00B6372F"/>
    <w:rsid w:val="00B63886"/>
    <w:rsid w:val="00B640CE"/>
    <w:rsid w:val="00B64D0A"/>
    <w:rsid w:val="00B654A7"/>
    <w:rsid w:val="00B66ADD"/>
    <w:rsid w:val="00B66D3A"/>
    <w:rsid w:val="00B67585"/>
    <w:rsid w:val="00B67C6A"/>
    <w:rsid w:val="00B67DDC"/>
    <w:rsid w:val="00B703BC"/>
    <w:rsid w:val="00B70513"/>
    <w:rsid w:val="00B70AFD"/>
    <w:rsid w:val="00B7283B"/>
    <w:rsid w:val="00B72EAA"/>
    <w:rsid w:val="00B7308D"/>
    <w:rsid w:val="00B734E3"/>
    <w:rsid w:val="00B73B7A"/>
    <w:rsid w:val="00B75337"/>
    <w:rsid w:val="00B753B2"/>
    <w:rsid w:val="00B75A01"/>
    <w:rsid w:val="00B76431"/>
    <w:rsid w:val="00B76538"/>
    <w:rsid w:val="00B7702A"/>
    <w:rsid w:val="00B77544"/>
    <w:rsid w:val="00B77C93"/>
    <w:rsid w:val="00B803F5"/>
    <w:rsid w:val="00B81214"/>
    <w:rsid w:val="00B81436"/>
    <w:rsid w:val="00B82DC5"/>
    <w:rsid w:val="00B82F7A"/>
    <w:rsid w:val="00B833FA"/>
    <w:rsid w:val="00B83518"/>
    <w:rsid w:val="00B839F0"/>
    <w:rsid w:val="00B841F2"/>
    <w:rsid w:val="00B84D1A"/>
    <w:rsid w:val="00B85356"/>
    <w:rsid w:val="00B865F6"/>
    <w:rsid w:val="00B90184"/>
    <w:rsid w:val="00B90EA3"/>
    <w:rsid w:val="00B9162B"/>
    <w:rsid w:val="00B91CFE"/>
    <w:rsid w:val="00B92162"/>
    <w:rsid w:val="00B93696"/>
    <w:rsid w:val="00B94885"/>
    <w:rsid w:val="00B94A01"/>
    <w:rsid w:val="00B958D9"/>
    <w:rsid w:val="00B95F77"/>
    <w:rsid w:val="00B96359"/>
    <w:rsid w:val="00B96542"/>
    <w:rsid w:val="00B96F2F"/>
    <w:rsid w:val="00B97198"/>
    <w:rsid w:val="00B971B0"/>
    <w:rsid w:val="00B97FCA"/>
    <w:rsid w:val="00BA0CB9"/>
    <w:rsid w:val="00BA1249"/>
    <w:rsid w:val="00BA1869"/>
    <w:rsid w:val="00BA1FA3"/>
    <w:rsid w:val="00BA2675"/>
    <w:rsid w:val="00BA2803"/>
    <w:rsid w:val="00BA2F3D"/>
    <w:rsid w:val="00BA3188"/>
    <w:rsid w:val="00BA4494"/>
    <w:rsid w:val="00BA55AA"/>
    <w:rsid w:val="00BA573D"/>
    <w:rsid w:val="00BA5E1D"/>
    <w:rsid w:val="00BA5E7F"/>
    <w:rsid w:val="00BA5FCB"/>
    <w:rsid w:val="00BA7016"/>
    <w:rsid w:val="00BA7516"/>
    <w:rsid w:val="00BB02E9"/>
    <w:rsid w:val="00BB0D29"/>
    <w:rsid w:val="00BB0F20"/>
    <w:rsid w:val="00BB0FA9"/>
    <w:rsid w:val="00BB10AC"/>
    <w:rsid w:val="00BB1A95"/>
    <w:rsid w:val="00BB1B79"/>
    <w:rsid w:val="00BB3064"/>
    <w:rsid w:val="00BB4241"/>
    <w:rsid w:val="00BB588E"/>
    <w:rsid w:val="00BB5CFE"/>
    <w:rsid w:val="00BB7169"/>
    <w:rsid w:val="00BB7498"/>
    <w:rsid w:val="00BB76C7"/>
    <w:rsid w:val="00BB7FC0"/>
    <w:rsid w:val="00BC1131"/>
    <w:rsid w:val="00BC4A84"/>
    <w:rsid w:val="00BC5041"/>
    <w:rsid w:val="00BC5561"/>
    <w:rsid w:val="00BC6478"/>
    <w:rsid w:val="00BC64DC"/>
    <w:rsid w:val="00BC6E6A"/>
    <w:rsid w:val="00BC6EB5"/>
    <w:rsid w:val="00BC7A36"/>
    <w:rsid w:val="00BC7AA4"/>
    <w:rsid w:val="00BC7B9F"/>
    <w:rsid w:val="00BC7C1B"/>
    <w:rsid w:val="00BD0CF3"/>
    <w:rsid w:val="00BD0D3A"/>
    <w:rsid w:val="00BD1068"/>
    <w:rsid w:val="00BD166B"/>
    <w:rsid w:val="00BD1783"/>
    <w:rsid w:val="00BD1C4C"/>
    <w:rsid w:val="00BD213D"/>
    <w:rsid w:val="00BD2651"/>
    <w:rsid w:val="00BD2D5C"/>
    <w:rsid w:val="00BD2EC6"/>
    <w:rsid w:val="00BD382C"/>
    <w:rsid w:val="00BD3D66"/>
    <w:rsid w:val="00BD3E06"/>
    <w:rsid w:val="00BD3F02"/>
    <w:rsid w:val="00BD43CA"/>
    <w:rsid w:val="00BD4E25"/>
    <w:rsid w:val="00BD4FD0"/>
    <w:rsid w:val="00BD5643"/>
    <w:rsid w:val="00BD6272"/>
    <w:rsid w:val="00BD763B"/>
    <w:rsid w:val="00BD77EC"/>
    <w:rsid w:val="00BD7A10"/>
    <w:rsid w:val="00BE1383"/>
    <w:rsid w:val="00BE3282"/>
    <w:rsid w:val="00BE37DD"/>
    <w:rsid w:val="00BE397B"/>
    <w:rsid w:val="00BE457D"/>
    <w:rsid w:val="00BE4926"/>
    <w:rsid w:val="00BE4F0D"/>
    <w:rsid w:val="00BE52D8"/>
    <w:rsid w:val="00BE65AA"/>
    <w:rsid w:val="00BE6C49"/>
    <w:rsid w:val="00BF0FE3"/>
    <w:rsid w:val="00BF218C"/>
    <w:rsid w:val="00BF2978"/>
    <w:rsid w:val="00BF3BDC"/>
    <w:rsid w:val="00BF49B0"/>
    <w:rsid w:val="00BF4C99"/>
    <w:rsid w:val="00BF529F"/>
    <w:rsid w:val="00BF564D"/>
    <w:rsid w:val="00BF5D1A"/>
    <w:rsid w:val="00BF6709"/>
    <w:rsid w:val="00C0254A"/>
    <w:rsid w:val="00C025DD"/>
    <w:rsid w:val="00C02A81"/>
    <w:rsid w:val="00C03113"/>
    <w:rsid w:val="00C0342F"/>
    <w:rsid w:val="00C03BAE"/>
    <w:rsid w:val="00C0470A"/>
    <w:rsid w:val="00C04FC5"/>
    <w:rsid w:val="00C07203"/>
    <w:rsid w:val="00C07DA7"/>
    <w:rsid w:val="00C07F32"/>
    <w:rsid w:val="00C100CC"/>
    <w:rsid w:val="00C1091A"/>
    <w:rsid w:val="00C11764"/>
    <w:rsid w:val="00C12295"/>
    <w:rsid w:val="00C1363A"/>
    <w:rsid w:val="00C13EFD"/>
    <w:rsid w:val="00C141BE"/>
    <w:rsid w:val="00C157DC"/>
    <w:rsid w:val="00C158C3"/>
    <w:rsid w:val="00C16E06"/>
    <w:rsid w:val="00C17060"/>
    <w:rsid w:val="00C178A9"/>
    <w:rsid w:val="00C178E3"/>
    <w:rsid w:val="00C17BE6"/>
    <w:rsid w:val="00C205C8"/>
    <w:rsid w:val="00C20AA1"/>
    <w:rsid w:val="00C20B5C"/>
    <w:rsid w:val="00C2135C"/>
    <w:rsid w:val="00C21C1F"/>
    <w:rsid w:val="00C23380"/>
    <w:rsid w:val="00C23391"/>
    <w:rsid w:val="00C23A53"/>
    <w:rsid w:val="00C24211"/>
    <w:rsid w:val="00C24A8A"/>
    <w:rsid w:val="00C26CEF"/>
    <w:rsid w:val="00C27216"/>
    <w:rsid w:val="00C27392"/>
    <w:rsid w:val="00C276B3"/>
    <w:rsid w:val="00C306B3"/>
    <w:rsid w:val="00C30770"/>
    <w:rsid w:val="00C30876"/>
    <w:rsid w:val="00C3089A"/>
    <w:rsid w:val="00C308E9"/>
    <w:rsid w:val="00C3116D"/>
    <w:rsid w:val="00C32029"/>
    <w:rsid w:val="00C328FE"/>
    <w:rsid w:val="00C32F14"/>
    <w:rsid w:val="00C3452A"/>
    <w:rsid w:val="00C348A1"/>
    <w:rsid w:val="00C37679"/>
    <w:rsid w:val="00C3770A"/>
    <w:rsid w:val="00C4023F"/>
    <w:rsid w:val="00C40575"/>
    <w:rsid w:val="00C40B59"/>
    <w:rsid w:val="00C40C96"/>
    <w:rsid w:val="00C41BA0"/>
    <w:rsid w:val="00C44691"/>
    <w:rsid w:val="00C45271"/>
    <w:rsid w:val="00C45D25"/>
    <w:rsid w:val="00C465B7"/>
    <w:rsid w:val="00C47978"/>
    <w:rsid w:val="00C47A54"/>
    <w:rsid w:val="00C50798"/>
    <w:rsid w:val="00C50E63"/>
    <w:rsid w:val="00C519AB"/>
    <w:rsid w:val="00C51D78"/>
    <w:rsid w:val="00C52C93"/>
    <w:rsid w:val="00C5335A"/>
    <w:rsid w:val="00C53E6F"/>
    <w:rsid w:val="00C545D1"/>
    <w:rsid w:val="00C54ACC"/>
    <w:rsid w:val="00C559E9"/>
    <w:rsid w:val="00C55E31"/>
    <w:rsid w:val="00C56E6F"/>
    <w:rsid w:val="00C577B4"/>
    <w:rsid w:val="00C6017E"/>
    <w:rsid w:val="00C606DA"/>
    <w:rsid w:val="00C60E5C"/>
    <w:rsid w:val="00C60EBC"/>
    <w:rsid w:val="00C6177A"/>
    <w:rsid w:val="00C61F0E"/>
    <w:rsid w:val="00C632D3"/>
    <w:rsid w:val="00C636D4"/>
    <w:rsid w:val="00C641DF"/>
    <w:rsid w:val="00C655B6"/>
    <w:rsid w:val="00C65CD8"/>
    <w:rsid w:val="00C66F9B"/>
    <w:rsid w:val="00C677EB"/>
    <w:rsid w:val="00C7029C"/>
    <w:rsid w:val="00C70529"/>
    <w:rsid w:val="00C7112F"/>
    <w:rsid w:val="00C715E9"/>
    <w:rsid w:val="00C72EE9"/>
    <w:rsid w:val="00C7364B"/>
    <w:rsid w:val="00C73B26"/>
    <w:rsid w:val="00C74564"/>
    <w:rsid w:val="00C74FAB"/>
    <w:rsid w:val="00C7653F"/>
    <w:rsid w:val="00C765E0"/>
    <w:rsid w:val="00C80564"/>
    <w:rsid w:val="00C81011"/>
    <w:rsid w:val="00C81E89"/>
    <w:rsid w:val="00C82261"/>
    <w:rsid w:val="00C82D1B"/>
    <w:rsid w:val="00C83526"/>
    <w:rsid w:val="00C83C35"/>
    <w:rsid w:val="00C840E5"/>
    <w:rsid w:val="00C844D2"/>
    <w:rsid w:val="00C854BF"/>
    <w:rsid w:val="00C85685"/>
    <w:rsid w:val="00C859CB"/>
    <w:rsid w:val="00C863FC"/>
    <w:rsid w:val="00C864D4"/>
    <w:rsid w:val="00C86AEC"/>
    <w:rsid w:val="00C87951"/>
    <w:rsid w:val="00C9075E"/>
    <w:rsid w:val="00C91487"/>
    <w:rsid w:val="00C924AE"/>
    <w:rsid w:val="00C9267A"/>
    <w:rsid w:val="00C92CD1"/>
    <w:rsid w:val="00C92DA1"/>
    <w:rsid w:val="00C95C98"/>
    <w:rsid w:val="00C95F37"/>
    <w:rsid w:val="00C96B4D"/>
    <w:rsid w:val="00C974A5"/>
    <w:rsid w:val="00C97831"/>
    <w:rsid w:val="00CA17BC"/>
    <w:rsid w:val="00CA1CAA"/>
    <w:rsid w:val="00CA383F"/>
    <w:rsid w:val="00CA38B2"/>
    <w:rsid w:val="00CA3DD0"/>
    <w:rsid w:val="00CA40CF"/>
    <w:rsid w:val="00CA47C8"/>
    <w:rsid w:val="00CA4ACB"/>
    <w:rsid w:val="00CA5E24"/>
    <w:rsid w:val="00CA645C"/>
    <w:rsid w:val="00CA65A2"/>
    <w:rsid w:val="00CA69D1"/>
    <w:rsid w:val="00CA6B95"/>
    <w:rsid w:val="00CA75E1"/>
    <w:rsid w:val="00CA7B38"/>
    <w:rsid w:val="00CB178B"/>
    <w:rsid w:val="00CB1F28"/>
    <w:rsid w:val="00CB28EC"/>
    <w:rsid w:val="00CB3A7D"/>
    <w:rsid w:val="00CB3E00"/>
    <w:rsid w:val="00CB47BB"/>
    <w:rsid w:val="00CB6F6A"/>
    <w:rsid w:val="00CB7B5C"/>
    <w:rsid w:val="00CB7C0F"/>
    <w:rsid w:val="00CC0400"/>
    <w:rsid w:val="00CC08A9"/>
    <w:rsid w:val="00CC0DBB"/>
    <w:rsid w:val="00CC1A94"/>
    <w:rsid w:val="00CC1ED3"/>
    <w:rsid w:val="00CC1F09"/>
    <w:rsid w:val="00CC2524"/>
    <w:rsid w:val="00CC37AF"/>
    <w:rsid w:val="00CC4DA9"/>
    <w:rsid w:val="00CC5256"/>
    <w:rsid w:val="00CC5986"/>
    <w:rsid w:val="00CC6224"/>
    <w:rsid w:val="00CC7D8C"/>
    <w:rsid w:val="00CD1BD2"/>
    <w:rsid w:val="00CD1F13"/>
    <w:rsid w:val="00CD23B9"/>
    <w:rsid w:val="00CD286F"/>
    <w:rsid w:val="00CD2963"/>
    <w:rsid w:val="00CD3609"/>
    <w:rsid w:val="00CD3A96"/>
    <w:rsid w:val="00CD3FCE"/>
    <w:rsid w:val="00CD4BD9"/>
    <w:rsid w:val="00CD586F"/>
    <w:rsid w:val="00CD5DAE"/>
    <w:rsid w:val="00CD5F88"/>
    <w:rsid w:val="00CD7A14"/>
    <w:rsid w:val="00CD7C35"/>
    <w:rsid w:val="00CD7E14"/>
    <w:rsid w:val="00CE01BF"/>
    <w:rsid w:val="00CE0EBD"/>
    <w:rsid w:val="00CE18DE"/>
    <w:rsid w:val="00CE1E72"/>
    <w:rsid w:val="00CE229C"/>
    <w:rsid w:val="00CE26E7"/>
    <w:rsid w:val="00CE2811"/>
    <w:rsid w:val="00CE36BB"/>
    <w:rsid w:val="00CE3C23"/>
    <w:rsid w:val="00CE4139"/>
    <w:rsid w:val="00CE457A"/>
    <w:rsid w:val="00CE4AA9"/>
    <w:rsid w:val="00CE4BC4"/>
    <w:rsid w:val="00CE502D"/>
    <w:rsid w:val="00CE6974"/>
    <w:rsid w:val="00CE6AF8"/>
    <w:rsid w:val="00CF0404"/>
    <w:rsid w:val="00CF0805"/>
    <w:rsid w:val="00CF0F7A"/>
    <w:rsid w:val="00CF0F82"/>
    <w:rsid w:val="00CF0F9A"/>
    <w:rsid w:val="00CF18EA"/>
    <w:rsid w:val="00CF1DA7"/>
    <w:rsid w:val="00CF2417"/>
    <w:rsid w:val="00CF4B6D"/>
    <w:rsid w:val="00CF4CAC"/>
    <w:rsid w:val="00CF5E28"/>
    <w:rsid w:val="00D00F5B"/>
    <w:rsid w:val="00D02A15"/>
    <w:rsid w:val="00D02BF5"/>
    <w:rsid w:val="00D0409A"/>
    <w:rsid w:val="00D04E15"/>
    <w:rsid w:val="00D05968"/>
    <w:rsid w:val="00D06409"/>
    <w:rsid w:val="00D076ED"/>
    <w:rsid w:val="00D07D91"/>
    <w:rsid w:val="00D10078"/>
    <w:rsid w:val="00D10216"/>
    <w:rsid w:val="00D105A4"/>
    <w:rsid w:val="00D10F11"/>
    <w:rsid w:val="00D11D50"/>
    <w:rsid w:val="00D12641"/>
    <w:rsid w:val="00D128DB"/>
    <w:rsid w:val="00D12AFD"/>
    <w:rsid w:val="00D12C7C"/>
    <w:rsid w:val="00D13D2B"/>
    <w:rsid w:val="00D141E2"/>
    <w:rsid w:val="00D147B5"/>
    <w:rsid w:val="00D1537E"/>
    <w:rsid w:val="00D159E5"/>
    <w:rsid w:val="00D15DA5"/>
    <w:rsid w:val="00D17700"/>
    <w:rsid w:val="00D17999"/>
    <w:rsid w:val="00D21028"/>
    <w:rsid w:val="00D21133"/>
    <w:rsid w:val="00D21695"/>
    <w:rsid w:val="00D221BC"/>
    <w:rsid w:val="00D24A00"/>
    <w:rsid w:val="00D24FE7"/>
    <w:rsid w:val="00D26CBA"/>
    <w:rsid w:val="00D27CAA"/>
    <w:rsid w:val="00D3094F"/>
    <w:rsid w:val="00D3129E"/>
    <w:rsid w:val="00D349DA"/>
    <w:rsid w:val="00D35DC7"/>
    <w:rsid w:val="00D3603A"/>
    <w:rsid w:val="00D3605E"/>
    <w:rsid w:val="00D36147"/>
    <w:rsid w:val="00D400E3"/>
    <w:rsid w:val="00D4014B"/>
    <w:rsid w:val="00D42A5F"/>
    <w:rsid w:val="00D43073"/>
    <w:rsid w:val="00D4374C"/>
    <w:rsid w:val="00D43822"/>
    <w:rsid w:val="00D43B84"/>
    <w:rsid w:val="00D43E35"/>
    <w:rsid w:val="00D43E91"/>
    <w:rsid w:val="00D44017"/>
    <w:rsid w:val="00D455AF"/>
    <w:rsid w:val="00D45A1B"/>
    <w:rsid w:val="00D462F7"/>
    <w:rsid w:val="00D46910"/>
    <w:rsid w:val="00D46F8C"/>
    <w:rsid w:val="00D47232"/>
    <w:rsid w:val="00D475D8"/>
    <w:rsid w:val="00D47A75"/>
    <w:rsid w:val="00D47F7A"/>
    <w:rsid w:val="00D50909"/>
    <w:rsid w:val="00D50D6C"/>
    <w:rsid w:val="00D50DD4"/>
    <w:rsid w:val="00D51728"/>
    <w:rsid w:val="00D51C78"/>
    <w:rsid w:val="00D51DF4"/>
    <w:rsid w:val="00D52167"/>
    <w:rsid w:val="00D522AF"/>
    <w:rsid w:val="00D52E6E"/>
    <w:rsid w:val="00D52E97"/>
    <w:rsid w:val="00D52FFA"/>
    <w:rsid w:val="00D536EC"/>
    <w:rsid w:val="00D54089"/>
    <w:rsid w:val="00D54D84"/>
    <w:rsid w:val="00D5551A"/>
    <w:rsid w:val="00D570ED"/>
    <w:rsid w:val="00D57685"/>
    <w:rsid w:val="00D57695"/>
    <w:rsid w:val="00D576E2"/>
    <w:rsid w:val="00D57A56"/>
    <w:rsid w:val="00D60006"/>
    <w:rsid w:val="00D609AA"/>
    <w:rsid w:val="00D623AE"/>
    <w:rsid w:val="00D62C17"/>
    <w:rsid w:val="00D641A7"/>
    <w:rsid w:val="00D659F7"/>
    <w:rsid w:val="00D67AAD"/>
    <w:rsid w:val="00D67ACC"/>
    <w:rsid w:val="00D700BC"/>
    <w:rsid w:val="00D70899"/>
    <w:rsid w:val="00D71CFC"/>
    <w:rsid w:val="00D73025"/>
    <w:rsid w:val="00D73904"/>
    <w:rsid w:val="00D7443C"/>
    <w:rsid w:val="00D749F5"/>
    <w:rsid w:val="00D75853"/>
    <w:rsid w:val="00D76249"/>
    <w:rsid w:val="00D76AFF"/>
    <w:rsid w:val="00D777E0"/>
    <w:rsid w:val="00D80622"/>
    <w:rsid w:val="00D80967"/>
    <w:rsid w:val="00D81268"/>
    <w:rsid w:val="00D81D31"/>
    <w:rsid w:val="00D81FDB"/>
    <w:rsid w:val="00D8299D"/>
    <w:rsid w:val="00D82B05"/>
    <w:rsid w:val="00D83414"/>
    <w:rsid w:val="00D83B13"/>
    <w:rsid w:val="00D83B50"/>
    <w:rsid w:val="00D84E4C"/>
    <w:rsid w:val="00D84F18"/>
    <w:rsid w:val="00D8578B"/>
    <w:rsid w:val="00D864C6"/>
    <w:rsid w:val="00D864E7"/>
    <w:rsid w:val="00D86CA7"/>
    <w:rsid w:val="00D8735E"/>
    <w:rsid w:val="00D87F47"/>
    <w:rsid w:val="00D912A2"/>
    <w:rsid w:val="00D928D6"/>
    <w:rsid w:val="00D92A56"/>
    <w:rsid w:val="00D92DFB"/>
    <w:rsid w:val="00D933C6"/>
    <w:rsid w:val="00D93D78"/>
    <w:rsid w:val="00D94724"/>
    <w:rsid w:val="00D94EA5"/>
    <w:rsid w:val="00D95315"/>
    <w:rsid w:val="00D9535F"/>
    <w:rsid w:val="00D959AA"/>
    <w:rsid w:val="00D95E9F"/>
    <w:rsid w:val="00D965D9"/>
    <w:rsid w:val="00D96B86"/>
    <w:rsid w:val="00D97F4C"/>
    <w:rsid w:val="00DA06C8"/>
    <w:rsid w:val="00DA0D66"/>
    <w:rsid w:val="00DA2554"/>
    <w:rsid w:val="00DA36E2"/>
    <w:rsid w:val="00DA3B68"/>
    <w:rsid w:val="00DA45BD"/>
    <w:rsid w:val="00DA4AAA"/>
    <w:rsid w:val="00DA4BC5"/>
    <w:rsid w:val="00DA6042"/>
    <w:rsid w:val="00DA613C"/>
    <w:rsid w:val="00DA7241"/>
    <w:rsid w:val="00DB0D3C"/>
    <w:rsid w:val="00DB110B"/>
    <w:rsid w:val="00DB1943"/>
    <w:rsid w:val="00DB22F2"/>
    <w:rsid w:val="00DB2664"/>
    <w:rsid w:val="00DB2E58"/>
    <w:rsid w:val="00DB37D1"/>
    <w:rsid w:val="00DB43D2"/>
    <w:rsid w:val="00DB4717"/>
    <w:rsid w:val="00DB4B7B"/>
    <w:rsid w:val="00DB4C5E"/>
    <w:rsid w:val="00DB5D66"/>
    <w:rsid w:val="00DB61CA"/>
    <w:rsid w:val="00DB661B"/>
    <w:rsid w:val="00DB68F1"/>
    <w:rsid w:val="00DB6BBD"/>
    <w:rsid w:val="00DB6D80"/>
    <w:rsid w:val="00DB7501"/>
    <w:rsid w:val="00DB76B6"/>
    <w:rsid w:val="00DC0ACC"/>
    <w:rsid w:val="00DC27C3"/>
    <w:rsid w:val="00DC27D7"/>
    <w:rsid w:val="00DC2967"/>
    <w:rsid w:val="00DC3077"/>
    <w:rsid w:val="00DC39C4"/>
    <w:rsid w:val="00DC3D47"/>
    <w:rsid w:val="00DC4C6C"/>
    <w:rsid w:val="00DC6260"/>
    <w:rsid w:val="00DC6D7A"/>
    <w:rsid w:val="00DC724C"/>
    <w:rsid w:val="00DD00C8"/>
    <w:rsid w:val="00DD1390"/>
    <w:rsid w:val="00DD2C9E"/>
    <w:rsid w:val="00DD31D9"/>
    <w:rsid w:val="00DD35C5"/>
    <w:rsid w:val="00DD368C"/>
    <w:rsid w:val="00DD395B"/>
    <w:rsid w:val="00DD3D21"/>
    <w:rsid w:val="00DD3E4C"/>
    <w:rsid w:val="00DD4605"/>
    <w:rsid w:val="00DD4B4E"/>
    <w:rsid w:val="00DD791D"/>
    <w:rsid w:val="00DE2CDB"/>
    <w:rsid w:val="00DE3F86"/>
    <w:rsid w:val="00DE46C9"/>
    <w:rsid w:val="00DE60D0"/>
    <w:rsid w:val="00DE68AA"/>
    <w:rsid w:val="00DE6F8B"/>
    <w:rsid w:val="00DE6FAC"/>
    <w:rsid w:val="00DE721B"/>
    <w:rsid w:val="00DE784F"/>
    <w:rsid w:val="00DF03CF"/>
    <w:rsid w:val="00DF0BFF"/>
    <w:rsid w:val="00DF132E"/>
    <w:rsid w:val="00DF1926"/>
    <w:rsid w:val="00DF339B"/>
    <w:rsid w:val="00DF3866"/>
    <w:rsid w:val="00DF3EDC"/>
    <w:rsid w:val="00DF40E6"/>
    <w:rsid w:val="00DF490F"/>
    <w:rsid w:val="00DF496C"/>
    <w:rsid w:val="00DF4C3C"/>
    <w:rsid w:val="00DF53C2"/>
    <w:rsid w:val="00DF5642"/>
    <w:rsid w:val="00DF63AC"/>
    <w:rsid w:val="00DF74AC"/>
    <w:rsid w:val="00DF7B8E"/>
    <w:rsid w:val="00E0047D"/>
    <w:rsid w:val="00E00E19"/>
    <w:rsid w:val="00E02C76"/>
    <w:rsid w:val="00E038D4"/>
    <w:rsid w:val="00E04E1F"/>
    <w:rsid w:val="00E0569E"/>
    <w:rsid w:val="00E05B92"/>
    <w:rsid w:val="00E05F7D"/>
    <w:rsid w:val="00E10076"/>
    <w:rsid w:val="00E118DB"/>
    <w:rsid w:val="00E11C75"/>
    <w:rsid w:val="00E12D12"/>
    <w:rsid w:val="00E14ACD"/>
    <w:rsid w:val="00E15128"/>
    <w:rsid w:val="00E15528"/>
    <w:rsid w:val="00E15FF2"/>
    <w:rsid w:val="00E16621"/>
    <w:rsid w:val="00E16997"/>
    <w:rsid w:val="00E201F1"/>
    <w:rsid w:val="00E2039E"/>
    <w:rsid w:val="00E22DDC"/>
    <w:rsid w:val="00E2468E"/>
    <w:rsid w:val="00E26E15"/>
    <w:rsid w:val="00E30F2E"/>
    <w:rsid w:val="00E32276"/>
    <w:rsid w:val="00E32F6C"/>
    <w:rsid w:val="00E348EE"/>
    <w:rsid w:val="00E35223"/>
    <w:rsid w:val="00E35983"/>
    <w:rsid w:val="00E35E94"/>
    <w:rsid w:val="00E3622B"/>
    <w:rsid w:val="00E3650F"/>
    <w:rsid w:val="00E36A79"/>
    <w:rsid w:val="00E36C57"/>
    <w:rsid w:val="00E37780"/>
    <w:rsid w:val="00E401D3"/>
    <w:rsid w:val="00E406E1"/>
    <w:rsid w:val="00E40BEE"/>
    <w:rsid w:val="00E41DF2"/>
    <w:rsid w:val="00E41F78"/>
    <w:rsid w:val="00E4204D"/>
    <w:rsid w:val="00E43F08"/>
    <w:rsid w:val="00E43FE0"/>
    <w:rsid w:val="00E4476E"/>
    <w:rsid w:val="00E44C5F"/>
    <w:rsid w:val="00E44F20"/>
    <w:rsid w:val="00E4538C"/>
    <w:rsid w:val="00E461EE"/>
    <w:rsid w:val="00E46FEE"/>
    <w:rsid w:val="00E476F9"/>
    <w:rsid w:val="00E47F69"/>
    <w:rsid w:val="00E5192D"/>
    <w:rsid w:val="00E51BDE"/>
    <w:rsid w:val="00E51E25"/>
    <w:rsid w:val="00E528C7"/>
    <w:rsid w:val="00E54B03"/>
    <w:rsid w:val="00E54CD9"/>
    <w:rsid w:val="00E5550C"/>
    <w:rsid w:val="00E562F9"/>
    <w:rsid w:val="00E56315"/>
    <w:rsid w:val="00E5798A"/>
    <w:rsid w:val="00E57A49"/>
    <w:rsid w:val="00E612AD"/>
    <w:rsid w:val="00E613CC"/>
    <w:rsid w:val="00E6147B"/>
    <w:rsid w:val="00E61679"/>
    <w:rsid w:val="00E61A39"/>
    <w:rsid w:val="00E61E61"/>
    <w:rsid w:val="00E62994"/>
    <w:rsid w:val="00E646EA"/>
    <w:rsid w:val="00E6477E"/>
    <w:rsid w:val="00E6490E"/>
    <w:rsid w:val="00E64D93"/>
    <w:rsid w:val="00E65889"/>
    <w:rsid w:val="00E659A2"/>
    <w:rsid w:val="00E65ACF"/>
    <w:rsid w:val="00E66F3F"/>
    <w:rsid w:val="00E672A9"/>
    <w:rsid w:val="00E6798D"/>
    <w:rsid w:val="00E67B23"/>
    <w:rsid w:val="00E67EC0"/>
    <w:rsid w:val="00E7019F"/>
    <w:rsid w:val="00E71BA2"/>
    <w:rsid w:val="00E7224B"/>
    <w:rsid w:val="00E7237A"/>
    <w:rsid w:val="00E72D40"/>
    <w:rsid w:val="00E73227"/>
    <w:rsid w:val="00E7426F"/>
    <w:rsid w:val="00E7443C"/>
    <w:rsid w:val="00E7491D"/>
    <w:rsid w:val="00E74BD1"/>
    <w:rsid w:val="00E75148"/>
    <w:rsid w:val="00E7532F"/>
    <w:rsid w:val="00E75606"/>
    <w:rsid w:val="00E765E7"/>
    <w:rsid w:val="00E769BE"/>
    <w:rsid w:val="00E77322"/>
    <w:rsid w:val="00E778DF"/>
    <w:rsid w:val="00E80CE2"/>
    <w:rsid w:val="00E82C62"/>
    <w:rsid w:val="00E82CC6"/>
    <w:rsid w:val="00E84180"/>
    <w:rsid w:val="00E84853"/>
    <w:rsid w:val="00E848E0"/>
    <w:rsid w:val="00E84E8E"/>
    <w:rsid w:val="00E8512C"/>
    <w:rsid w:val="00E87E2A"/>
    <w:rsid w:val="00E915D0"/>
    <w:rsid w:val="00E91CD9"/>
    <w:rsid w:val="00E91FA9"/>
    <w:rsid w:val="00E92332"/>
    <w:rsid w:val="00E92846"/>
    <w:rsid w:val="00E92D59"/>
    <w:rsid w:val="00E93EE6"/>
    <w:rsid w:val="00E942B7"/>
    <w:rsid w:val="00E94D2F"/>
    <w:rsid w:val="00E9578D"/>
    <w:rsid w:val="00E96FEB"/>
    <w:rsid w:val="00E9707A"/>
    <w:rsid w:val="00E97FF6"/>
    <w:rsid w:val="00EA09F2"/>
    <w:rsid w:val="00EA0BEC"/>
    <w:rsid w:val="00EA0F19"/>
    <w:rsid w:val="00EA2190"/>
    <w:rsid w:val="00EA2356"/>
    <w:rsid w:val="00EA2557"/>
    <w:rsid w:val="00EA2827"/>
    <w:rsid w:val="00EA30DF"/>
    <w:rsid w:val="00EA3B08"/>
    <w:rsid w:val="00EA3C6D"/>
    <w:rsid w:val="00EA4147"/>
    <w:rsid w:val="00EA4F7C"/>
    <w:rsid w:val="00EA54EA"/>
    <w:rsid w:val="00EA75C4"/>
    <w:rsid w:val="00EB004A"/>
    <w:rsid w:val="00EB281F"/>
    <w:rsid w:val="00EB30AE"/>
    <w:rsid w:val="00EB3111"/>
    <w:rsid w:val="00EB38C9"/>
    <w:rsid w:val="00EB51A5"/>
    <w:rsid w:val="00EB54A5"/>
    <w:rsid w:val="00EB626C"/>
    <w:rsid w:val="00EB73D4"/>
    <w:rsid w:val="00EB779B"/>
    <w:rsid w:val="00EC051B"/>
    <w:rsid w:val="00EC09BC"/>
    <w:rsid w:val="00EC1DF6"/>
    <w:rsid w:val="00EC436B"/>
    <w:rsid w:val="00EC5828"/>
    <w:rsid w:val="00EC5C95"/>
    <w:rsid w:val="00EC69BC"/>
    <w:rsid w:val="00EC6BAD"/>
    <w:rsid w:val="00EC7940"/>
    <w:rsid w:val="00ED02E1"/>
    <w:rsid w:val="00ED0615"/>
    <w:rsid w:val="00ED0C16"/>
    <w:rsid w:val="00ED13B3"/>
    <w:rsid w:val="00ED1833"/>
    <w:rsid w:val="00ED1A7F"/>
    <w:rsid w:val="00ED1B76"/>
    <w:rsid w:val="00ED2106"/>
    <w:rsid w:val="00ED239A"/>
    <w:rsid w:val="00ED3EC6"/>
    <w:rsid w:val="00ED42AB"/>
    <w:rsid w:val="00ED4A1C"/>
    <w:rsid w:val="00ED62F8"/>
    <w:rsid w:val="00EE0011"/>
    <w:rsid w:val="00EE1901"/>
    <w:rsid w:val="00EE1958"/>
    <w:rsid w:val="00EE1C21"/>
    <w:rsid w:val="00EE321B"/>
    <w:rsid w:val="00EE488B"/>
    <w:rsid w:val="00EE6384"/>
    <w:rsid w:val="00EE69A0"/>
    <w:rsid w:val="00EE6A1F"/>
    <w:rsid w:val="00EE7231"/>
    <w:rsid w:val="00EE72A4"/>
    <w:rsid w:val="00EE74FC"/>
    <w:rsid w:val="00EE7F6A"/>
    <w:rsid w:val="00EF01AB"/>
    <w:rsid w:val="00EF0D42"/>
    <w:rsid w:val="00EF16C9"/>
    <w:rsid w:val="00EF2409"/>
    <w:rsid w:val="00EF50C9"/>
    <w:rsid w:val="00EF57C0"/>
    <w:rsid w:val="00EF5834"/>
    <w:rsid w:val="00EF7323"/>
    <w:rsid w:val="00EF7DCE"/>
    <w:rsid w:val="00EF7E12"/>
    <w:rsid w:val="00F01052"/>
    <w:rsid w:val="00F01529"/>
    <w:rsid w:val="00F01CB8"/>
    <w:rsid w:val="00F034AC"/>
    <w:rsid w:val="00F063CE"/>
    <w:rsid w:val="00F06AA2"/>
    <w:rsid w:val="00F074F1"/>
    <w:rsid w:val="00F1006F"/>
    <w:rsid w:val="00F101CA"/>
    <w:rsid w:val="00F118A5"/>
    <w:rsid w:val="00F13633"/>
    <w:rsid w:val="00F142F9"/>
    <w:rsid w:val="00F14A1B"/>
    <w:rsid w:val="00F14E65"/>
    <w:rsid w:val="00F14F2D"/>
    <w:rsid w:val="00F203F0"/>
    <w:rsid w:val="00F20EC8"/>
    <w:rsid w:val="00F21110"/>
    <w:rsid w:val="00F21D86"/>
    <w:rsid w:val="00F2275D"/>
    <w:rsid w:val="00F23EBE"/>
    <w:rsid w:val="00F24664"/>
    <w:rsid w:val="00F26BF7"/>
    <w:rsid w:val="00F27D90"/>
    <w:rsid w:val="00F27DB8"/>
    <w:rsid w:val="00F27F3E"/>
    <w:rsid w:val="00F32BC1"/>
    <w:rsid w:val="00F32EF7"/>
    <w:rsid w:val="00F33B6E"/>
    <w:rsid w:val="00F33EE8"/>
    <w:rsid w:val="00F33FFA"/>
    <w:rsid w:val="00F343FA"/>
    <w:rsid w:val="00F3524E"/>
    <w:rsid w:val="00F35C97"/>
    <w:rsid w:val="00F36183"/>
    <w:rsid w:val="00F36D45"/>
    <w:rsid w:val="00F40728"/>
    <w:rsid w:val="00F41710"/>
    <w:rsid w:val="00F41C4F"/>
    <w:rsid w:val="00F427AE"/>
    <w:rsid w:val="00F42FCB"/>
    <w:rsid w:val="00F43B30"/>
    <w:rsid w:val="00F4418F"/>
    <w:rsid w:val="00F4539F"/>
    <w:rsid w:val="00F45A93"/>
    <w:rsid w:val="00F46B44"/>
    <w:rsid w:val="00F46D6D"/>
    <w:rsid w:val="00F50587"/>
    <w:rsid w:val="00F508AD"/>
    <w:rsid w:val="00F50EA6"/>
    <w:rsid w:val="00F520BC"/>
    <w:rsid w:val="00F53833"/>
    <w:rsid w:val="00F5427B"/>
    <w:rsid w:val="00F55EBF"/>
    <w:rsid w:val="00F56A73"/>
    <w:rsid w:val="00F574AC"/>
    <w:rsid w:val="00F604DF"/>
    <w:rsid w:val="00F60776"/>
    <w:rsid w:val="00F60DAE"/>
    <w:rsid w:val="00F617C4"/>
    <w:rsid w:val="00F61FEF"/>
    <w:rsid w:val="00F63020"/>
    <w:rsid w:val="00F6370D"/>
    <w:rsid w:val="00F651E3"/>
    <w:rsid w:val="00F66D78"/>
    <w:rsid w:val="00F66F09"/>
    <w:rsid w:val="00F67728"/>
    <w:rsid w:val="00F67CC0"/>
    <w:rsid w:val="00F7009D"/>
    <w:rsid w:val="00F7057F"/>
    <w:rsid w:val="00F7110D"/>
    <w:rsid w:val="00F71742"/>
    <w:rsid w:val="00F73570"/>
    <w:rsid w:val="00F7395E"/>
    <w:rsid w:val="00F73BE3"/>
    <w:rsid w:val="00F73BF3"/>
    <w:rsid w:val="00F74E8A"/>
    <w:rsid w:val="00F750A6"/>
    <w:rsid w:val="00F752C7"/>
    <w:rsid w:val="00F752FE"/>
    <w:rsid w:val="00F75958"/>
    <w:rsid w:val="00F75D7B"/>
    <w:rsid w:val="00F75F5A"/>
    <w:rsid w:val="00F76868"/>
    <w:rsid w:val="00F77200"/>
    <w:rsid w:val="00F77B9B"/>
    <w:rsid w:val="00F800EE"/>
    <w:rsid w:val="00F8021A"/>
    <w:rsid w:val="00F80EA8"/>
    <w:rsid w:val="00F81393"/>
    <w:rsid w:val="00F817D9"/>
    <w:rsid w:val="00F81805"/>
    <w:rsid w:val="00F81B81"/>
    <w:rsid w:val="00F82469"/>
    <w:rsid w:val="00F8277C"/>
    <w:rsid w:val="00F82C79"/>
    <w:rsid w:val="00F82CC8"/>
    <w:rsid w:val="00F8305C"/>
    <w:rsid w:val="00F83E2A"/>
    <w:rsid w:val="00F83F3A"/>
    <w:rsid w:val="00F842D8"/>
    <w:rsid w:val="00F8482A"/>
    <w:rsid w:val="00F84931"/>
    <w:rsid w:val="00F850B2"/>
    <w:rsid w:val="00F85B5B"/>
    <w:rsid w:val="00F86610"/>
    <w:rsid w:val="00F87113"/>
    <w:rsid w:val="00F90822"/>
    <w:rsid w:val="00F91951"/>
    <w:rsid w:val="00F9253E"/>
    <w:rsid w:val="00F93B13"/>
    <w:rsid w:val="00F93FF7"/>
    <w:rsid w:val="00F943BA"/>
    <w:rsid w:val="00F945C6"/>
    <w:rsid w:val="00F94943"/>
    <w:rsid w:val="00F958B6"/>
    <w:rsid w:val="00F95CB4"/>
    <w:rsid w:val="00F95DF7"/>
    <w:rsid w:val="00F96495"/>
    <w:rsid w:val="00F97809"/>
    <w:rsid w:val="00FA3315"/>
    <w:rsid w:val="00FA372C"/>
    <w:rsid w:val="00FA3BAE"/>
    <w:rsid w:val="00FA4093"/>
    <w:rsid w:val="00FA4460"/>
    <w:rsid w:val="00FA45F5"/>
    <w:rsid w:val="00FA58DF"/>
    <w:rsid w:val="00FA6B67"/>
    <w:rsid w:val="00FA7A07"/>
    <w:rsid w:val="00FB0FBF"/>
    <w:rsid w:val="00FB15DE"/>
    <w:rsid w:val="00FB1796"/>
    <w:rsid w:val="00FB1E28"/>
    <w:rsid w:val="00FB1F06"/>
    <w:rsid w:val="00FB484D"/>
    <w:rsid w:val="00FB5041"/>
    <w:rsid w:val="00FB5B5A"/>
    <w:rsid w:val="00FB62AB"/>
    <w:rsid w:val="00FB70CD"/>
    <w:rsid w:val="00FB74DF"/>
    <w:rsid w:val="00FB7AE5"/>
    <w:rsid w:val="00FB7BB5"/>
    <w:rsid w:val="00FB7BCB"/>
    <w:rsid w:val="00FB7F83"/>
    <w:rsid w:val="00FC0E05"/>
    <w:rsid w:val="00FC2288"/>
    <w:rsid w:val="00FC4549"/>
    <w:rsid w:val="00FC55E8"/>
    <w:rsid w:val="00FC78DB"/>
    <w:rsid w:val="00FD04C7"/>
    <w:rsid w:val="00FD1269"/>
    <w:rsid w:val="00FD1AE7"/>
    <w:rsid w:val="00FD1C9C"/>
    <w:rsid w:val="00FD25A8"/>
    <w:rsid w:val="00FD2825"/>
    <w:rsid w:val="00FD4968"/>
    <w:rsid w:val="00FD5808"/>
    <w:rsid w:val="00FD65DD"/>
    <w:rsid w:val="00FD69AB"/>
    <w:rsid w:val="00FE040A"/>
    <w:rsid w:val="00FE0778"/>
    <w:rsid w:val="00FE0EF3"/>
    <w:rsid w:val="00FE0FBD"/>
    <w:rsid w:val="00FE0FC6"/>
    <w:rsid w:val="00FE1A2D"/>
    <w:rsid w:val="00FE1DBF"/>
    <w:rsid w:val="00FE2BD5"/>
    <w:rsid w:val="00FE39C9"/>
    <w:rsid w:val="00FE3A6F"/>
    <w:rsid w:val="00FE4BC8"/>
    <w:rsid w:val="00FE51A4"/>
    <w:rsid w:val="00FE5E96"/>
    <w:rsid w:val="00FE682F"/>
    <w:rsid w:val="00FE7BC0"/>
    <w:rsid w:val="00FF108E"/>
    <w:rsid w:val="00FF139C"/>
    <w:rsid w:val="00FF1E8A"/>
    <w:rsid w:val="00FF2566"/>
    <w:rsid w:val="00FF3346"/>
    <w:rsid w:val="00FF3733"/>
    <w:rsid w:val="00FF3AA2"/>
    <w:rsid w:val="00FF45B1"/>
    <w:rsid w:val="00FF6513"/>
    <w:rsid w:val="00FF7092"/>
    <w:rsid w:val="00FF7C68"/>
    <w:rsid w:val="0B0732E4"/>
    <w:rsid w:val="143F4AEA"/>
    <w:rsid w:val="2179421F"/>
    <w:rsid w:val="3672255D"/>
    <w:rsid w:val="54E472CD"/>
    <w:rsid w:val="56D00B47"/>
    <w:rsid w:val="60067430"/>
    <w:rsid w:val="667344B5"/>
    <w:rsid w:val="682B0C75"/>
    <w:rsid w:val="6B4616EF"/>
    <w:rsid w:val="6BBF3A02"/>
    <w:rsid w:val="7461457E"/>
    <w:rsid w:val="7DD6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30A5DA"/>
  <w15:docId w15:val="{703BD0A4-37C7-4B6B-B4AB-CD7BC182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tabs>
        <w:tab w:val="left" w:pos="432"/>
      </w:tabs>
      <w:spacing w:before="340" w:after="330" w:line="576" w:lineRule="auto"/>
      <w:ind w:left="432" w:hanging="432"/>
      <w:outlineLvl w:val="0"/>
    </w:pPr>
    <w:rPr>
      <w:b/>
      <w:kern w:val="44"/>
      <w:sz w:val="44"/>
    </w:rPr>
  </w:style>
  <w:style w:type="paragraph" w:styleId="2">
    <w:name w:val="heading 2"/>
    <w:basedOn w:val="a"/>
    <w:next w:val="a"/>
    <w:link w:val="2Char"/>
    <w:qFormat/>
    <w:pPr>
      <w:keepNext/>
      <w:keepLines/>
      <w:tabs>
        <w:tab w:val="left" w:pos="576"/>
      </w:tabs>
      <w:spacing w:before="260" w:after="260" w:line="413" w:lineRule="auto"/>
      <w:ind w:left="576" w:hanging="576"/>
      <w:outlineLvl w:val="1"/>
    </w:pPr>
    <w:rPr>
      <w:rFonts w:ascii="Arial" w:eastAsia="黑体" w:hAnsi="Arial"/>
      <w:b/>
      <w:sz w:val="32"/>
    </w:rPr>
  </w:style>
  <w:style w:type="paragraph" w:styleId="3">
    <w:name w:val="heading 3"/>
    <w:basedOn w:val="a"/>
    <w:next w:val="a"/>
    <w:qFormat/>
    <w:pPr>
      <w:widowControl/>
      <w:tabs>
        <w:tab w:val="left" w:pos="720"/>
      </w:tabs>
      <w:spacing w:before="100" w:beforeAutospacing="1" w:after="100" w:afterAutospacing="1"/>
      <w:ind w:left="720" w:hanging="720"/>
      <w:jc w:val="left"/>
      <w:outlineLvl w:val="2"/>
    </w:pPr>
    <w:rPr>
      <w:rFonts w:ascii="宋体" w:hAnsi="宋体"/>
      <w:b/>
      <w:kern w:val="0"/>
      <w:sz w:val="27"/>
    </w:rPr>
  </w:style>
  <w:style w:type="paragraph" w:styleId="4">
    <w:name w:val="heading 4"/>
    <w:basedOn w:val="a"/>
    <w:next w:val="a"/>
    <w:qFormat/>
    <w:pPr>
      <w:keepNext/>
      <w:keepLines/>
      <w:tabs>
        <w:tab w:val="left" w:pos="864"/>
      </w:tabs>
      <w:spacing w:before="280" w:after="290" w:line="372" w:lineRule="auto"/>
      <w:ind w:left="864" w:hanging="864"/>
      <w:outlineLvl w:val="3"/>
    </w:pPr>
    <w:rPr>
      <w:rFonts w:ascii="Arial" w:eastAsia="黑体" w:hAnsi="Arial"/>
      <w:b/>
      <w:sz w:val="28"/>
    </w:rPr>
  </w:style>
  <w:style w:type="paragraph" w:styleId="5">
    <w:name w:val="heading 5"/>
    <w:basedOn w:val="a"/>
    <w:next w:val="a"/>
    <w:qFormat/>
    <w:pPr>
      <w:keepNext/>
      <w:keepLines/>
      <w:tabs>
        <w:tab w:val="left" w:pos="1008"/>
      </w:tabs>
      <w:spacing w:before="280" w:after="290" w:line="372" w:lineRule="auto"/>
      <w:ind w:left="1008" w:hanging="1008"/>
      <w:outlineLvl w:val="4"/>
    </w:pPr>
    <w:rPr>
      <w:b/>
      <w:sz w:val="28"/>
    </w:rPr>
  </w:style>
  <w:style w:type="paragraph" w:styleId="6">
    <w:name w:val="heading 6"/>
    <w:basedOn w:val="a"/>
    <w:next w:val="a"/>
    <w:qFormat/>
    <w:pPr>
      <w:keepNext/>
      <w:keepLines/>
      <w:tabs>
        <w:tab w:val="left" w:pos="1152"/>
      </w:tabs>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spacing w:before="240" w:after="64" w:line="317" w:lineRule="auto"/>
      <w:ind w:left="1296" w:hanging="1296"/>
      <w:outlineLvl w:val="6"/>
    </w:pPr>
    <w:rPr>
      <w:b/>
      <w:sz w:val="24"/>
    </w:rPr>
  </w:style>
  <w:style w:type="paragraph" w:styleId="8">
    <w:name w:val="heading 8"/>
    <w:basedOn w:val="a"/>
    <w:next w:val="a"/>
    <w:qFormat/>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17" w:lineRule="auto"/>
      <w:ind w:left="1584" w:hanging="1584"/>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Normal Indent"/>
    <w:basedOn w:val="a"/>
    <w:qFormat/>
    <w:pPr>
      <w:ind w:firstLine="420"/>
    </w:pPr>
  </w:style>
  <w:style w:type="paragraph" w:styleId="a4">
    <w:name w:val="caption"/>
    <w:basedOn w:val="a"/>
    <w:next w:val="a"/>
    <w:qFormat/>
    <w:pPr>
      <w:spacing w:before="152" w:after="160"/>
    </w:pPr>
    <w:rPr>
      <w:rFonts w:ascii="Arial" w:eastAsia="黑体" w:hAnsi="Arial"/>
      <w:sz w:val="20"/>
    </w:rPr>
  </w:style>
  <w:style w:type="paragraph" w:styleId="a5">
    <w:name w:val="Document Map"/>
    <w:basedOn w:val="a"/>
    <w:qFormat/>
    <w:pPr>
      <w:shd w:val="clear" w:color="auto" w:fill="000080"/>
    </w:pPr>
  </w:style>
  <w:style w:type="paragraph" w:styleId="a6">
    <w:name w:val="annotation text"/>
    <w:basedOn w:val="a"/>
    <w:link w:val="Char"/>
    <w:qFormat/>
    <w:pPr>
      <w:spacing w:before="100" w:beforeAutospacing="1" w:after="100" w:afterAutospacing="1" w:line="300" w:lineRule="auto"/>
      <w:jc w:val="left"/>
    </w:pPr>
    <w:rPr>
      <w:rFonts w:eastAsia="楷体_GB2312"/>
      <w:sz w:val="24"/>
    </w:rPr>
  </w:style>
  <w:style w:type="paragraph" w:styleId="a7">
    <w:name w:val="Body Text"/>
    <w:basedOn w:val="a"/>
    <w:qFormat/>
    <w:pPr>
      <w:spacing w:after="120"/>
    </w:pPr>
  </w:style>
  <w:style w:type="paragraph" w:styleId="a8">
    <w:name w:val="Body Text Indent"/>
    <w:basedOn w:val="a"/>
    <w:qFormat/>
    <w:pPr>
      <w:spacing w:after="120"/>
      <w:ind w:leftChars="200" w:left="420"/>
    </w:pPr>
  </w:style>
  <w:style w:type="paragraph" w:styleId="50">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ind w:leftChars="400" w:left="840"/>
    </w:pPr>
    <w:rPr>
      <w:rFonts w:asciiTheme="minorHAnsi" w:eastAsiaTheme="minorEastAsia" w:hAnsiTheme="minorHAnsi" w:cstheme="minorBidi"/>
      <w:szCs w:val="22"/>
    </w:rPr>
  </w:style>
  <w:style w:type="paragraph" w:styleId="80">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20">
    <w:name w:val="Body Text Indent 2"/>
    <w:basedOn w:val="a"/>
    <w:qFormat/>
    <w:pPr>
      <w:spacing w:after="120" w:line="480" w:lineRule="auto"/>
      <w:ind w:leftChars="200" w:left="420"/>
    </w:pPr>
  </w:style>
  <w:style w:type="paragraph" w:styleId="a9">
    <w:name w:val="Balloon Text"/>
    <w:basedOn w:val="a"/>
    <w:qFormat/>
    <w:rPr>
      <w:sz w:val="18"/>
    </w:rPr>
  </w:style>
  <w:style w:type="paragraph" w:styleId="aa">
    <w:name w:val="footer"/>
    <w:basedOn w:val="a"/>
    <w:link w:val="Char0"/>
    <w:uiPriority w:val="99"/>
    <w:qFormat/>
    <w:pPr>
      <w:tabs>
        <w:tab w:val="center" w:pos="4153"/>
        <w:tab w:val="right" w:pos="8306"/>
      </w:tabs>
      <w:snapToGrid w:val="0"/>
      <w:jc w:val="left"/>
    </w:pPr>
    <w:rPr>
      <w:sz w:val="18"/>
    </w:rPr>
  </w:style>
  <w:style w:type="paragraph" w:styleId="ab">
    <w:name w:val="header"/>
    <w:basedOn w:val="a"/>
    <w:link w:val="Char1"/>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pos="8302"/>
      </w:tabs>
      <w:spacing w:line="360" w:lineRule="auto"/>
    </w:pPr>
  </w:style>
  <w:style w:type="paragraph" w:styleId="40">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c">
    <w:name w:val="Subtitle"/>
    <w:basedOn w:val="2"/>
    <w:next w:val="3"/>
    <w:link w:val="Char2"/>
    <w:qFormat/>
    <w:pPr>
      <w:tabs>
        <w:tab w:val="clear" w:pos="576"/>
      </w:tabs>
      <w:spacing w:before="240" w:after="60" w:line="312" w:lineRule="auto"/>
      <w:ind w:left="0" w:firstLine="0"/>
      <w:jc w:val="left"/>
    </w:pPr>
    <w:rPr>
      <w:rFonts w:ascii="Cambria" w:eastAsia="宋体" w:hAnsi="Cambria"/>
      <w:kern w:val="28"/>
      <w:sz w:val="24"/>
      <w:szCs w:val="32"/>
    </w:rPr>
  </w:style>
  <w:style w:type="paragraph" w:styleId="60">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qFormat/>
    <w:pPr>
      <w:spacing w:after="120"/>
      <w:ind w:leftChars="200" w:left="420"/>
    </w:pPr>
    <w:rPr>
      <w:sz w:val="16"/>
    </w:rPr>
  </w:style>
  <w:style w:type="paragraph" w:styleId="ad">
    <w:name w:val="table of figures"/>
    <w:basedOn w:val="a"/>
    <w:next w:val="a"/>
    <w:qFormat/>
    <w:pPr>
      <w:ind w:leftChars="200" w:left="200" w:hangingChars="200" w:hanging="200"/>
    </w:pPr>
  </w:style>
  <w:style w:type="paragraph" w:styleId="21">
    <w:name w:val="toc 2"/>
    <w:basedOn w:val="a"/>
    <w:next w:val="a"/>
    <w:uiPriority w:val="39"/>
    <w:unhideWhenUsed/>
    <w:qFormat/>
    <w:pPr>
      <w:ind w:leftChars="200" w:left="420"/>
    </w:pPr>
    <w:rPr>
      <w:rFonts w:asciiTheme="minorHAnsi" w:eastAsiaTheme="minorEastAsia" w:hAnsiTheme="minorHAnsi" w:cstheme="minorBidi"/>
      <w:szCs w:val="22"/>
    </w:rPr>
  </w:style>
  <w:style w:type="paragraph" w:styleId="90">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
    <w:name w:val="Title"/>
    <w:basedOn w:val="1"/>
    <w:next w:val="2"/>
    <w:link w:val="Char3"/>
    <w:qFormat/>
    <w:pPr>
      <w:tabs>
        <w:tab w:val="clear" w:pos="432"/>
      </w:tabs>
      <w:spacing w:before="240" w:after="60"/>
      <w:ind w:left="0" w:firstLine="0"/>
      <w:jc w:val="center"/>
    </w:pPr>
    <w:rPr>
      <w:rFonts w:ascii="Cambria" w:hAnsi="Cambria"/>
      <w:sz w:val="28"/>
      <w:szCs w:val="32"/>
    </w:rPr>
  </w:style>
  <w:style w:type="paragraph" w:styleId="af0">
    <w:name w:val="annotation subject"/>
    <w:basedOn w:val="a6"/>
    <w:next w:val="a6"/>
    <w:qFormat/>
    <w:pPr>
      <w:spacing w:before="0" w:beforeAutospacing="0" w:after="0" w:afterAutospacing="0" w:line="240" w:lineRule="auto"/>
    </w:pPr>
    <w:rPr>
      <w:rFonts w:eastAsia="宋体"/>
      <w:b/>
      <w:sz w:val="21"/>
    </w:rPr>
  </w:style>
  <w:style w:type="paragraph" w:styleId="af1">
    <w:name w:val="Body Text First Indent"/>
    <w:basedOn w:val="a7"/>
    <w:qFormat/>
    <w:pPr>
      <w:ind w:firstLineChars="100" w:firstLine="420"/>
    </w:pPr>
  </w:style>
  <w:style w:type="character" w:styleId="af2">
    <w:name w:val="Strong"/>
    <w:basedOn w:val="a0"/>
    <w:qFormat/>
    <w:rPr>
      <w:b/>
      <w:bCs/>
    </w:rPr>
  </w:style>
  <w:style w:type="character" w:styleId="af3">
    <w:name w:val="page number"/>
    <w:basedOn w:val="a0"/>
    <w:qFormat/>
  </w:style>
  <w:style w:type="character" w:styleId="af4">
    <w:name w:val="FollowedHyperlink"/>
    <w:basedOn w:val="a0"/>
    <w:uiPriority w:val="99"/>
    <w:qFormat/>
    <w:rPr>
      <w:color w:val="800080"/>
      <w:u w:val="single"/>
    </w:rPr>
  </w:style>
  <w:style w:type="character" w:styleId="af5">
    <w:name w:val="Emphasis"/>
    <w:basedOn w:val="a0"/>
    <w:uiPriority w:val="20"/>
    <w:qFormat/>
    <w:rPr>
      <w:i/>
      <w:iCs/>
    </w:rPr>
  </w:style>
  <w:style w:type="character" w:styleId="af6">
    <w:name w:val="Hyperlink"/>
    <w:basedOn w:val="a0"/>
    <w:uiPriority w:val="99"/>
    <w:qFormat/>
    <w:rPr>
      <w:color w:val="0000FF"/>
      <w:u w:val="single"/>
    </w:rPr>
  </w:style>
  <w:style w:type="character" w:styleId="af7">
    <w:name w:val="annotation reference"/>
    <w:basedOn w:val="a0"/>
    <w:uiPriority w:val="99"/>
    <w:qFormat/>
    <w:rPr>
      <w:sz w:val="21"/>
    </w:rPr>
  </w:style>
  <w:style w:type="paragraph" w:customStyle="1" w:styleId="22">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Char4">
    <w:name w:val="Char"/>
    <w:basedOn w:val="a"/>
    <w:qFormat/>
    <w:pPr>
      <w:tabs>
        <w:tab w:val="left" w:pos="840"/>
      </w:tabs>
      <w:adjustRightInd w:val="0"/>
      <w:spacing w:line="360" w:lineRule="atLeast"/>
      <w:ind w:left="840" w:hanging="360"/>
    </w:pPr>
    <w:rPr>
      <w:sz w:val="24"/>
    </w:rPr>
  </w:style>
  <w:style w:type="paragraph" w:customStyle="1" w:styleId="Char10">
    <w:name w:val="Char1"/>
    <w:basedOn w:val="a"/>
    <w:qFormat/>
  </w:style>
  <w:style w:type="paragraph" w:customStyle="1" w:styleId="Default">
    <w:name w:val="Default"/>
    <w:qFormat/>
    <w:pPr>
      <w:widowControl w:val="0"/>
      <w:autoSpaceDE w:val="0"/>
      <w:autoSpaceDN w:val="0"/>
      <w:adjustRightInd w:val="0"/>
    </w:pPr>
    <w:rPr>
      <w:rFonts w:ascii="黑体" w:eastAsia="黑体"/>
      <w:color w:val="000000"/>
      <w:sz w:val="24"/>
    </w:rPr>
  </w:style>
  <w:style w:type="character" w:customStyle="1" w:styleId="read">
    <w:name w:val="read"/>
    <w:basedOn w:val="a0"/>
    <w:qFormat/>
  </w:style>
  <w:style w:type="paragraph" w:customStyle="1" w:styleId="af8">
    <w:name w:val="正文正文"/>
    <w:basedOn w:val="a"/>
    <w:qFormat/>
    <w:pPr>
      <w:spacing w:afterLines="25" w:line="360" w:lineRule="auto"/>
      <w:ind w:firstLineChars="200" w:firstLine="200"/>
    </w:pPr>
    <w:rPr>
      <w:sz w:val="24"/>
      <w:szCs w:val="24"/>
    </w:rPr>
  </w:style>
  <w:style w:type="paragraph" w:customStyle="1" w:styleId="CharCharCharChar">
    <w:name w:val="Char Char Char Char"/>
    <w:basedOn w:val="a"/>
    <w:qFormat/>
    <w:pPr>
      <w:tabs>
        <w:tab w:val="left" w:pos="360"/>
      </w:tabs>
    </w:pPr>
    <w:rPr>
      <w:sz w:val="24"/>
      <w:szCs w:val="24"/>
    </w:rPr>
  </w:style>
  <w:style w:type="paragraph" w:customStyle="1" w:styleId="Char20">
    <w:name w:val="Char2"/>
    <w:basedOn w:val="a"/>
    <w:qFormat/>
    <w:rPr>
      <w:szCs w:val="24"/>
    </w:rPr>
  </w:style>
  <w:style w:type="paragraph" w:customStyle="1" w:styleId="23">
    <w:name w:val="2"/>
    <w:basedOn w:val="a"/>
    <w:qFormat/>
    <w:pPr>
      <w:autoSpaceDE w:val="0"/>
      <w:autoSpaceDN w:val="0"/>
      <w:adjustRightInd w:val="0"/>
      <w:jc w:val="left"/>
      <w:textAlignment w:val="baseline"/>
    </w:pPr>
  </w:style>
  <w:style w:type="character" w:customStyle="1" w:styleId="Char">
    <w:name w:val="批注文字 Char"/>
    <w:basedOn w:val="a0"/>
    <w:link w:val="a6"/>
    <w:qFormat/>
    <w:rPr>
      <w:rFonts w:eastAsia="楷体_GB2312"/>
      <w:kern w:val="2"/>
      <w:sz w:val="24"/>
      <w:lang w:val="en-US" w:eastAsia="zh-CN" w:bidi="ar-SA"/>
    </w:rPr>
  </w:style>
  <w:style w:type="character" w:customStyle="1" w:styleId="Char2">
    <w:name w:val="副标题 Char"/>
    <w:basedOn w:val="a0"/>
    <w:link w:val="ac"/>
    <w:qFormat/>
    <w:rPr>
      <w:rFonts w:ascii="Cambria" w:hAnsi="Cambria"/>
      <w:b/>
      <w:kern w:val="28"/>
      <w:sz w:val="24"/>
      <w:szCs w:val="32"/>
    </w:rPr>
  </w:style>
  <w:style w:type="character" w:customStyle="1" w:styleId="Char3">
    <w:name w:val="标题 Char"/>
    <w:basedOn w:val="a0"/>
    <w:link w:val="af"/>
    <w:qFormat/>
    <w:rPr>
      <w:rFonts w:ascii="Cambria" w:hAnsi="Cambria"/>
      <w:b/>
      <w:kern w:val="44"/>
      <w:sz w:val="28"/>
      <w:szCs w:val="32"/>
    </w:rPr>
  </w:style>
  <w:style w:type="character" w:customStyle="1" w:styleId="Char11">
    <w:name w:val="副标题 Char1"/>
    <w:basedOn w:val="a0"/>
    <w:qFormat/>
    <w:rPr>
      <w:rFonts w:ascii="Cambria" w:hAnsi="Cambria" w:cs="Times New Roman"/>
      <w:b/>
      <w:bCs/>
      <w:kern w:val="28"/>
      <w:sz w:val="32"/>
      <w:szCs w:val="32"/>
    </w:rPr>
  </w:style>
  <w:style w:type="character" w:customStyle="1" w:styleId="Char12">
    <w:name w:val="标题 Char1"/>
    <w:basedOn w:val="a0"/>
    <w:qFormat/>
    <w:rPr>
      <w:rFonts w:ascii="Cambria" w:hAnsi="Cambria" w:cs="Times New Roman"/>
      <w:b/>
      <w:bCs/>
      <w:kern w:val="2"/>
      <w:sz w:val="32"/>
      <w:szCs w:val="32"/>
    </w:rPr>
  </w:style>
  <w:style w:type="character" w:customStyle="1" w:styleId="2Char">
    <w:name w:val="标题 2 Char"/>
    <w:basedOn w:val="a0"/>
    <w:link w:val="2"/>
    <w:qFormat/>
    <w:rPr>
      <w:rFonts w:ascii="Arial" w:eastAsia="黑体" w:hAnsi="Arial"/>
      <w:b/>
      <w:kern w:val="2"/>
      <w:sz w:val="32"/>
    </w:rPr>
  </w:style>
  <w:style w:type="paragraph" w:customStyle="1" w:styleId="XBRLTitle1">
    <w:name w:val="XBRLTitle1"/>
    <w:basedOn w:val="1"/>
    <w:next w:val="2"/>
    <w:qFormat/>
    <w:pPr>
      <w:numPr>
        <w:numId w:val="1"/>
      </w:numPr>
      <w:tabs>
        <w:tab w:val="clear" w:pos="432"/>
      </w:tabs>
      <w:spacing w:beforeLines="50" w:afterLines="50" w:line="240" w:lineRule="auto"/>
      <w:jc w:val="center"/>
    </w:pPr>
    <w:rPr>
      <w:rFonts w:ascii="Cambria" w:hAnsi="Cambria"/>
      <w:bCs/>
      <w:sz w:val="28"/>
      <w:szCs w:val="44"/>
    </w:rPr>
  </w:style>
  <w:style w:type="paragraph" w:customStyle="1" w:styleId="XBRLTitle2">
    <w:name w:val="XBRLTitle2"/>
    <w:basedOn w:val="ac"/>
    <w:next w:val="4"/>
    <w:qFormat/>
    <w:pPr>
      <w:numPr>
        <w:ilvl w:val="1"/>
        <w:numId w:val="1"/>
      </w:numPr>
      <w:spacing w:beforeLines="50" w:afterLines="50" w:line="240" w:lineRule="auto"/>
    </w:pPr>
    <w:rPr>
      <w:bCs/>
    </w:rPr>
  </w:style>
  <w:style w:type="paragraph" w:customStyle="1" w:styleId="XBRLTitle3">
    <w:name w:val="XBRLTitle3"/>
    <w:basedOn w:val="ac"/>
    <w:next w:val="4"/>
    <w:qFormat/>
    <w:pPr>
      <w:numPr>
        <w:ilvl w:val="2"/>
        <w:numId w:val="1"/>
      </w:numPr>
      <w:spacing w:beforeLines="50" w:afterLines="50" w:line="240" w:lineRule="auto"/>
      <w:outlineLvl w:val="9"/>
    </w:pPr>
    <w:rPr>
      <w:bCs/>
    </w:rPr>
  </w:style>
  <w:style w:type="paragraph" w:customStyle="1" w:styleId="XBRLTitle4">
    <w:name w:val="XBRLTitle4"/>
    <w:basedOn w:val="ac"/>
    <w:next w:val="4"/>
    <w:qFormat/>
    <w:pPr>
      <w:numPr>
        <w:ilvl w:val="3"/>
        <w:numId w:val="1"/>
      </w:numPr>
      <w:spacing w:beforeLines="50" w:afterLines="50" w:line="240" w:lineRule="auto"/>
      <w:outlineLvl w:val="9"/>
    </w:pPr>
    <w:rPr>
      <w:bCs/>
    </w:rPr>
  </w:style>
  <w:style w:type="paragraph" w:customStyle="1" w:styleId="XBRLTitle5">
    <w:name w:val="XBRLTitle5"/>
    <w:basedOn w:val="ac"/>
    <w:next w:val="4"/>
    <w:qFormat/>
    <w:pPr>
      <w:numPr>
        <w:ilvl w:val="4"/>
        <w:numId w:val="1"/>
      </w:numPr>
      <w:spacing w:beforeLines="50" w:afterLines="50" w:line="240" w:lineRule="auto"/>
      <w:outlineLvl w:val="9"/>
    </w:pPr>
    <w:rPr>
      <w:bCs/>
    </w:rPr>
  </w:style>
  <w:style w:type="paragraph" w:customStyle="1" w:styleId="XBRLTitle6">
    <w:name w:val="XBRLTitle6"/>
    <w:basedOn w:val="ac"/>
    <w:next w:val="4"/>
    <w:qFormat/>
    <w:pPr>
      <w:numPr>
        <w:ilvl w:val="5"/>
        <w:numId w:val="1"/>
      </w:numPr>
      <w:spacing w:beforeLines="50" w:afterLines="50" w:line="240" w:lineRule="auto"/>
      <w:outlineLvl w:val="9"/>
    </w:pPr>
    <w:rPr>
      <w:bCs/>
    </w:rPr>
  </w:style>
  <w:style w:type="paragraph" w:styleId="af9">
    <w:name w:val="List Paragraph"/>
    <w:basedOn w:val="a"/>
    <w:uiPriority w:val="34"/>
    <w:qFormat/>
    <w:pPr>
      <w:ind w:firstLineChars="200" w:firstLine="420"/>
    </w:pPr>
  </w:style>
  <w:style w:type="character" w:customStyle="1" w:styleId="Char1">
    <w:name w:val="页眉 Char"/>
    <w:basedOn w:val="a0"/>
    <w:link w:val="ab"/>
    <w:uiPriority w:val="99"/>
    <w:qFormat/>
    <w:rPr>
      <w:kern w:val="2"/>
      <w:sz w:val="18"/>
    </w:rPr>
  </w:style>
  <w:style w:type="character" w:customStyle="1" w:styleId="Char0">
    <w:name w:val="页脚 Char"/>
    <w:basedOn w:val="a0"/>
    <w:link w:val="aa"/>
    <w:uiPriority w:val="99"/>
    <w:qFormat/>
    <w:rPr>
      <w:kern w:val="2"/>
      <w:sz w:val="18"/>
    </w:rPr>
  </w:style>
  <w:style w:type="paragraph" w:customStyle="1" w:styleId="11">
    <w:name w:val="修订1"/>
    <w:hidden/>
    <w:uiPriority w:val="99"/>
    <w:semiHidden/>
    <w:qFormat/>
    <w:rPr>
      <w:kern w:val="2"/>
      <w:sz w:val="21"/>
    </w:rPr>
  </w:style>
  <w:style w:type="character" w:customStyle="1" w:styleId="12">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7917">
      <w:bodyDiv w:val="1"/>
      <w:marLeft w:val="0"/>
      <w:marRight w:val="0"/>
      <w:marTop w:val="0"/>
      <w:marBottom w:val="0"/>
      <w:divBdr>
        <w:top w:val="none" w:sz="0" w:space="0" w:color="auto"/>
        <w:left w:val="none" w:sz="0" w:space="0" w:color="auto"/>
        <w:bottom w:val="none" w:sz="0" w:space="0" w:color="auto"/>
        <w:right w:val="none" w:sz="0" w:space="0" w:color="auto"/>
      </w:divBdr>
    </w:div>
    <w:div w:id="600068013">
      <w:bodyDiv w:val="1"/>
      <w:marLeft w:val="0"/>
      <w:marRight w:val="0"/>
      <w:marTop w:val="0"/>
      <w:marBottom w:val="0"/>
      <w:divBdr>
        <w:top w:val="none" w:sz="0" w:space="0" w:color="auto"/>
        <w:left w:val="none" w:sz="0" w:space="0" w:color="auto"/>
        <w:bottom w:val="none" w:sz="0" w:space="0" w:color="auto"/>
        <w:right w:val="none" w:sz="0" w:space="0" w:color="auto"/>
      </w:divBdr>
    </w:div>
    <w:div w:id="1308587442">
      <w:bodyDiv w:val="1"/>
      <w:marLeft w:val="0"/>
      <w:marRight w:val="0"/>
      <w:marTop w:val="0"/>
      <w:marBottom w:val="0"/>
      <w:divBdr>
        <w:top w:val="none" w:sz="0" w:space="0" w:color="auto"/>
        <w:left w:val="none" w:sz="0" w:space="0" w:color="auto"/>
        <w:bottom w:val="none" w:sz="0" w:space="0" w:color="auto"/>
        <w:right w:val="none" w:sz="0" w:space="0" w:color="auto"/>
      </w:divBdr>
    </w:div>
    <w:div w:id="1315522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5.png"/><Relationship Id="rId29" Type="http://schemas.openxmlformats.org/officeDocument/2006/relationships/hyperlink" Target="http://www.99fun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mailto:service@99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653336-54D7-4897-A86A-00EBD30D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150</Pages>
  <Words>15731</Words>
  <Characters>89667</Characters>
  <Application>Microsoft Office Word</Application>
  <DocSecurity>0</DocSecurity>
  <Lines>747</Lines>
  <Paragraphs>210</Paragraphs>
  <ScaleCrop>false</ScaleCrop>
  <Company/>
  <LinksUpToDate>false</LinksUpToDate>
  <CharactersWithSpaces>105188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汇添富医药保健股票型证券投资基金</dc:title>
  <dc:creator>刘睿 13916955057 mouseking@126.com</dc:creator>
  <cp:lastModifiedBy>张璋</cp:lastModifiedBy>
  <cp:revision>17</cp:revision>
  <cp:lastPrinted>2012-10-12T08:16:00Z</cp:lastPrinted>
  <dcterms:created xsi:type="dcterms:W3CDTF">2023-02-28T10:17:00Z</dcterms:created>
  <dcterms:modified xsi:type="dcterms:W3CDTF">2023-05-15T02:02:00Z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3CE4148EBDD54511BE72F152A4B5D169</vt:lpwstr>
  </property>
</Properties>
</file>