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AD22" w14:textId="7CBC1D44" w:rsidR="007371E2" w:rsidRPr="002066FC" w:rsidRDefault="00BD226D" w:rsidP="00504660">
      <w:pPr>
        <w:spacing w:line="360" w:lineRule="auto"/>
        <w:jc w:val="center"/>
        <w:rPr>
          <w:rFonts w:asciiTheme="minorEastAsia" w:hAnsiTheme="minorEastAsia" w:cs="方正黑体简体"/>
          <w:b/>
          <w:iCs/>
          <w:sz w:val="28"/>
          <w:szCs w:val="28"/>
        </w:rPr>
      </w:pPr>
      <w:bookmarkStart w:id="0" w:name="_GoBack"/>
      <w:bookmarkEnd w:id="0"/>
      <w:r w:rsidRPr="002066FC">
        <w:rPr>
          <w:rFonts w:asciiTheme="minorEastAsia" w:hAnsiTheme="minorEastAsia" w:cs="方正黑体简体"/>
          <w:b/>
          <w:iCs/>
          <w:sz w:val="28"/>
          <w:szCs w:val="28"/>
        </w:rPr>
        <w:t>汇添富黄金及贵金属证券投资基金(LOF)</w:t>
      </w:r>
      <w:r w:rsidR="0065120C">
        <w:rPr>
          <w:rFonts w:asciiTheme="minorEastAsia" w:hAnsiTheme="minorEastAsia" w:cs="方正黑体简体"/>
          <w:b/>
          <w:iCs/>
          <w:sz w:val="28"/>
          <w:szCs w:val="28"/>
        </w:rPr>
        <w:t>C</w:t>
      </w:r>
      <w:r w:rsidR="006A230F">
        <w:rPr>
          <w:rFonts w:asciiTheme="minorEastAsia" w:hAnsiTheme="minorEastAsia" w:cs="方正黑体简体" w:hint="eastAsia"/>
          <w:b/>
          <w:iCs/>
          <w:sz w:val="28"/>
          <w:szCs w:val="28"/>
        </w:rPr>
        <w:t>类份额</w:t>
      </w:r>
      <w:r w:rsidRPr="002066FC">
        <w:rPr>
          <w:rFonts w:asciiTheme="minorEastAsia" w:hAnsiTheme="minorEastAsia" w:cs="方正黑体简体"/>
          <w:b/>
          <w:iCs/>
          <w:sz w:val="28"/>
          <w:szCs w:val="28"/>
        </w:rPr>
        <w:t>基金产品资料概要</w:t>
      </w:r>
    </w:p>
    <w:p w14:paraId="4314FB12" w14:textId="5D8EF0B8" w:rsidR="007371E2" w:rsidRPr="00D775F8" w:rsidRDefault="00BD226D"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00EB1257" w:rsidRPr="00D775F8">
        <w:rPr>
          <w:rFonts w:asciiTheme="minorEastAsia" w:hAnsiTheme="minorEastAsia" w:cs="Times New Roman"/>
          <w:szCs w:val="21"/>
        </w:rPr>
        <w:t>202</w:t>
      </w:r>
      <w:r w:rsidR="00EB1257">
        <w:rPr>
          <w:rFonts w:asciiTheme="minorEastAsia" w:hAnsiTheme="minorEastAsia" w:cs="Times New Roman"/>
          <w:szCs w:val="21"/>
        </w:rPr>
        <w:t>3</w:t>
      </w:r>
      <w:r w:rsidR="00EB1257" w:rsidRPr="00D775F8">
        <w:rPr>
          <w:rFonts w:asciiTheme="minorEastAsia" w:hAnsiTheme="minorEastAsia" w:cs="Times New Roman"/>
          <w:szCs w:val="21"/>
        </w:rPr>
        <w:t>年</w:t>
      </w:r>
      <w:r w:rsidR="00EB1257">
        <w:rPr>
          <w:rFonts w:asciiTheme="minorEastAsia" w:hAnsiTheme="minorEastAsia" w:cs="Times New Roman"/>
          <w:szCs w:val="21"/>
        </w:rPr>
        <w:t>5</w:t>
      </w:r>
      <w:r w:rsidR="00EB1257" w:rsidRPr="00D775F8">
        <w:rPr>
          <w:rFonts w:asciiTheme="minorEastAsia" w:hAnsiTheme="minorEastAsia" w:cs="Times New Roman"/>
          <w:szCs w:val="21"/>
        </w:rPr>
        <w:t>月</w:t>
      </w:r>
      <w:r w:rsidR="00EB1257">
        <w:rPr>
          <w:rFonts w:asciiTheme="minorEastAsia" w:hAnsiTheme="minorEastAsia" w:cs="Times New Roman"/>
          <w:szCs w:val="21"/>
        </w:rPr>
        <w:t>16</w:t>
      </w:r>
      <w:r w:rsidRPr="00D775F8">
        <w:rPr>
          <w:rFonts w:asciiTheme="minorEastAsia" w:hAnsiTheme="minorEastAsia" w:cs="Times New Roman"/>
          <w:szCs w:val="21"/>
        </w:rPr>
        <w:t>日</w:t>
      </w:r>
    </w:p>
    <w:p w14:paraId="16F0B5FC" w14:textId="27B9BA85" w:rsidR="002066FC" w:rsidRPr="00D775F8" w:rsidRDefault="00BD226D" w:rsidP="0043717A">
      <w:pPr>
        <w:spacing w:line="360" w:lineRule="auto"/>
        <w:jc w:val="center"/>
        <w:rPr>
          <w:rFonts w:asciiTheme="minorEastAsia" w:hAnsiTheme="minorEastAsia" w:cs="方正仿宋简体"/>
          <w:iCs/>
          <w:szCs w:val="21"/>
        </w:rPr>
      </w:pPr>
      <w:r w:rsidRPr="00D775F8">
        <w:rPr>
          <w:rFonts w:asciiTheme="minorEastAsia" w:hAnsiTheme="minorEastAsia" w:cs="Times New Roman" w:hint="eastAsia"/>
          <w:bCs/>
          <w:szCs w:val="21"/>
        </w:rPr>
        <w:t>送出日期：</w:t>
      </w:r>
      <w:r w:rsidR="00EB1257" w:rsidRPr="00D775F8">
        <w:rPr>
          <w:rFonts w:asciiTheme="minorEastAsia" w:hAnsiTheme="minorEastAsia" w:cs="Times New Roman"/>
          <w:szCs w:val="21"/>
        </w:rPr>
        <w:t>202</w:t>
      </w:r>
      <w:r w:rsidR="00EB1257">
        <w:rPr>
          <w:rFonts w:asciiTheme="minorEastAsia" w:hAnsiTheme="minorEastAsia" w:cs="Times New Roman"/>
          <w:szCs w:val="21"/>
        </w:rPr>
        <w:t>3</w:t>
      </w:r>
      <w:r w:rsidR="00EB1257" w:rsidRPr="00D775F8">
        <w:rPr>
          <w:rFonts w:asciiTheme="minorEastAsia" w:hAnsiTheme="minorEastAsia" w:cs="Times New Roman"/>
          <w:szCs w:val="21"/>
        </w:rPr>
        <w:t>年</w:t>
      </w:r>
      <w:r w:rsidR="00EB1257">
        <w:rPr>
          <w:rFonts w:asciiTheme="minorEastAsia" w:hAnsiTheme="minorEastAsia" w:cs="Times New Roman"/>
          <w:szCs w:val="21"/>
        </w:rPr>
        <w:t>5</w:t>
      </w:r>
      <w:r w:rsidR="00EB1257" w:rsidRPr="00D775F8">
        <w:rPr>
          <w:rFonts w:asciiTheme="minorEastAsia" w:hAnsiTheme="minorEastAsia" w:cs="Times New Roman"/>
          <w:szCs w:val="21"/>
        </w:rPr>
        <w:t>月</w:t>
      </w:r>
      <w:r w:rsidR="00EB1257">
        <w:rPr>
          <w:rFonts w:asciiTheme="minorEastAsia" w:hAnsiTheme="minorEastAsia" w:cs="Times New Roman"/>
          <w:szCs w:val="21"/>
        </w:rPr>
        <w:t>17</w:t>
      </w:r>
      <w:r w:rsidRPr="00D775F8">
        <w:rPr>
          <w:rFonts w:asciiTheme="minorEastAsia" w:hAnsiTheme="minorEastAsia" w:cs="Times New Roman"/>
          <w:szCs w:val="21"/>
        </w:rPr>
        <w:t>日</w:t>
      </w:r>
      <w:r w:rsidRPr="00D775F8">
        <w:rPr>
          <w:rFonts w:asciiTheme="minorEastAsia" w:hAnsiTheme="minorEastAsia" w:cs="方正仿宋简体"/>
          <w:iCs/>
          <w:szCs w:val="21"/>
        </w:rPr>
        <w:t xml:space="preserve"> </w:t>
      </w:r>
    </w:p>
    <w:p w14:paraId="2B825339" w14:textId="77777777" w:rsidR="00D775F8" w:rsidRPr="0043717A" w:rsidRDefault="00BD226D"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14:paraId="41BF80E8" w14:textId="77777777" w:rsidR="00D775F8" w:rsidRPr="0043717A" w:rsidRDefault="00BD226D" w:rsidP="00D775F8">
      <w:pPr>
        <w:spacing w:line="360" w:lineRule="auto"/>
        <w:jc w:val="center"/>
        <w:rPr>
          <w:rFonts w:asciiTheme="minorEastAsia" w:hAnsiTheme="minorEastAsia" w:cs="方正仿宋简体"/>
          <w:iCs/>
          <w:szCs w:val="21"/>
        </w:rPr>
        <w:sectPr w:rsidR="00D775F8" w:rsidRPr="0043717A"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作出投资决定前，请阅读完整的招募说明书等销售文件。</w:t>
      </w:r>
    </w:p>
    <w:p w14:paraId="6AC11DE5" w14:textId="77777777" w:rsidR="00834E25" w:rsidRDefault="00BD226D"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lastRenderedPageBreak/>
        <w:t>产品概况</w:t>
      </w:r>
    </w:p>
    <w:p w14:paraId="0DA4BD53" w14:textId="77777777" w:rsidR="00DF6E25" w:rsidRPr="0074720D" w:rsidRDefault="00DF6E25" w:rsidP="0074720D">
      <w:pPr>
        <w:rPr>
          <w:rFonts w:ascii="宋体" w:eastAsia="宋体" w:hAnsi="宋体" w:cs="方正仿宋简体"/>
          <w:bCs/>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351"/>
        <w:gridCol w:w="1964"/>
        <w:gridCol w:w="2351"/>
      </w:tblGrid>
      <w:tr w:rsidR="006A230F" w14:paraId="6A04E8CF" w14:textId="77777777">
        <w:tc>
          <w:tcPr>
            <w:tcW w:w="20000" w:type="dxa"/>
            <w:shd w:val="clear" w:color="auto" w:fill="FFFFFF"/>
            <w:vAlign w:val="center"/>
          </w:tcPr>
          <w:p w14:paraId="03FFD88C" w14:textId="77777777" w:rsidR="00DF6E25" w:rsidRPr="008E1345" w:rsidRDefault="00BD226D" w:rsidP="0074720D">
            <w:pPr>
              <w:jc w:val="left"/>
              <w:rPr>
                <w:rFonts w:ascii="宋体" w:eastAsia="宋体" w:hAnsi="宋体" w:cs="宋体"/>
                <w:bCs/>
                <w:iCs/>
                <w:color w:val="000000"/>
                <w:szCs w:val="21"/>
                <w:highlight w:val="yellow"/>
              </w:rPr>
            </w:pPr>
            <w:r w:rsidRPr="005D1C7C">
              <w:rPr>
                <w:rFonts w:ascii="宋体" w:eastAsia="宋体" w:hAnsi="宋体" w:cs="宋体"/>
                <w:bCs/>
                <w:iCs/>
                <w:color w:val="000000"/>
                <w:szCs w:val="21"/>
              </w:rPr>
              <w:t>基金简称</w:t>
            </w:r>
          </w:p>
        </w:tc>
        <w:tc>
          <w:tcPr>
            <w:tcW w:w="20000" w:type="dxa"/>
            <w:shd w:val="clear" w:color="auto" w:fill="FFFFFF"/>
            <w:vAlign w:val="center"/>
          </w:tcPr>
          <w:p w14:paraId="0923199A"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汇添富黄金及贵金属(QDII-LOF-FOF)</w:t>
            </w:r>
          </w:p>
        </w:tc>
        <w:tc>
          <w:tcPr>
            <w:tcW w:w="20000" w:type="dxa"/>
            <w:shd w:val="clear" w:color="auto" w:fill="FFFFFF"/>
            <w:vAlign w:val="center"/>
          </w:tcPr>
          <w:p w14:paraId="2299D8E7"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0000" w:type="dxa"/>
            <w:shd w:val="clear" w:color="auto" w:fill="FFFFFF"/>
            <w:vAlign w:val="center"/>
          </w:tcPr>
          <w:p w14:paraId="0322D2FD"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164701</w:t>
            </w:r>
          </w:p>
        </w:tc>
      </w:tr>
      <w:tr w:rsidR="006A230F" w14:paraId="5A3DC4DE" w14:textId="77777777">
        <w:tc>
          <w:tcPr>
            <w:tcW w:w="20000" w:type="dxa"/>
            <w:shd w:val="clear" w:color="auto" w:fill="FFFFFF"/>
            <w:vAlign w:val="center"/>
          </w:tcPr>
          <w:p w14:paraId="5964302E" w14:textId="77777777" w:rsidR="006A230F" w:rsidRPr="0074720D" w:rsidRDefault="006A230F"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下属基金简称</w:t>
            </w:r>
          </w:p>
        </w:tc>
        <w:tc>
          <w:tcPr>
            <w:tcW w:w="20000" w:type="dxa"/>
            <w:shd w:val="clear" w:color="auto" w:fill="FFFFFF"/>
            <w:vAlign w:val="center"/>
          </w:tcPr>
          <w:p w14:paraId="73994387" w14:textId="77777777" w:rsidR="006A230F" w:rsidRPr="0074720D" w:rsidRDefault="006A230F" w:rsidP="0065120C">
            <w:pPr>
              <w:jc w:val="left"/>
              <w:rPr>
                <w:rFonts w:ascii="宋体" w:eastAsia="宋体" w:hAnsi="宋体" w:cs="宋体"/>
                <w:bCs/>
                <w:iCs/>
                <w:color w:val="000000"/>
                <w:szCs w:val="21"/>
              </w:rPr>
            </w:pPr>
            <w:r w:rsidRPr="0074720D">
              <w:rPr>
                <w:rFonts w:ascii="宋体" w:eastAsia="宋体" w:hAnsi="宋体" w:cs="宋体"/>
                <w:bCs/>
                <w:iCs/>
                <w:color w:val="000000"/>
                <w:szCs w:val="21"/>
              </w:rPr>
              <w:t>汇添富黄金及贵金属(QDII-LOF-FOF)</w:t>
            </w:r>
            <w:r w:rsidR="0065120C">
              <w:rPr>
                <w:rFonts w:ascii="宋体" w:eastAsia="宋体" w:hAnsi="宋体" w:cs="宋体"/>
                <w:bCs/>
                <w:iCs/>
                <w:color w:val="000000"/>
                <w:szCs w:val="21"/>
              </w:rPr>
              <w:t>C</w:t>
            </w:r>
          </w:p>
        </w:tc>
        <w:tc>
          <w:tcPr>
            <w:tcW w:w="20000" w:type="dxa"/>
            <w:shd w:val="clear" w:color="auto" w:fill="FFFFFF"/>
            <w:vAlign w:val="center"/>
          </w:tcPr>
          <w:p w14:paraId="59C084AF" w14:textId="77777777" w:rsidR="006A230F" w:rsidRPr="0074720D" w:rsidRDefault="006A230F"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下属基金代码</w:t>
            </w:r>
          </w:p>
        </w:tc>
        <w:tc>
          <w:tcPr>
            <w:tcW w:w="20000" w:type="dxa"/>
            <w:shd w:val="clear" w:color="auto" w:fill="FFFFFF"/>
            <w:vAlign w:val="center"/>
          </w:tcPr>
          <w:p w14:paraId="49AF041E" w14:textId="623FB2E2" w:rsidR="006A230F" w:rsidRPr="0074720D" w:rsidRDefault="00EB1257" w:rsidP="0065120C">
            <w:pPr>
              <w:jc w:val="left"/>
              <w:rPr>
                <w:rFonts w:ascii="宋体" w:eastAsia="宋体" w:hAnsi="宋体" w:cs="宋体"/>
                <w:bCs/>
                <w:iCs/>
                <w:color w:val="000000"/>
                <w:szCs w:val="21"/>
              </w:rPr>
            </w:pPr>
            <w:r w:rsidRPr="00EB1257">
              <w:rPr>
                <w:rFonts w:ascii="宋体" w:eastAsia="宋体" w:hAnsi="宋体" w:cs="宋体"/>
                <w:bCs/>
                <w:iCs/>
                <w:color w:val="000000"/>
                <w:szCs w:val="21"/>
              </w:rPr>
              <w:t>018543</w:t>
            </w:r>
          </w:p>
        </w:tc>
      </w:tr>
      <w:tr w:rsidR="006A230F" w14:paraId="3E71DACD" w14:textId="77777777">
        <w:tc>
          <w:tcPr>
            <w:tcW w:w="20000" w:type="dxa"/>
            <w:shd w:val="clear" w:color="auto" w:fill="FFFFFF"/>
            <w:vAlign w:val="center"/>
          </w:tcPr>
          <w:p w14:paraId="0EB66DEA"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0000" w:type="dxa"/>
            <w:shd w:val="clear" w:color="auto" w:fill="FFFFFF"/>
            <w:vAlign w:val="center"/>
          </w:tcPr>
          <w:p w14:paraId="07A367C1"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20000" w:type="dxa"/>
            <w:shd w:val="clear" w:color="auto" w:fill="FFFFFF"/>
            <w:vAlign w:val="center"/>
          </w:tcPr>
          <w:p w14:paraId="22CFFE01"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0000" w:type="dxa"/>
            <w:shd w:val="clear" w:color="auto" w:fill="FFFFFF"/>
            <w:vAlign w:val="center"/>
          </w:tcPr>
          <w:p w14:paraId="20502A42"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中国工商银行股份有限公司</w:t>
            </w:r>
          </w:p>
        </w:tc>
      </w:tr>
      <w:tr w:rsidR="006A230F" w14:paraId="207C29B7" w14:textId="77777777">
        <w:tc>
          <w:tcPr>
            <w:tcW w:w="20000" w:type="dxa"/>
            <w:shd w:val="clear" w:color="auto" w:fill="FFFFFF"/>
            <w:vAlign w:val="center"/>
          </w:tcPr>
          <w:p w14:paraId="30E3C67C"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境外投资顾问</w:t>
            </w:r>
          </w:p>
        </w:tc>
        <w:tc>
          <w:tcPr>
            <w:tcW w:w="20000" w:type="dxa"/>
            <w:shd w:val="clear" w:color="auto" w:fill="FFFFFF"/>
            <w:vAlign w:val="center"/>
          </w:tcPr>
          <w:p w14:paraId="2D425EFC"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w:t>
            </w:r>
          </w:p>
        </w:tc>
        <w:tc>
          <w:tcPr>
            <w:tcW w:w="20000" w:type="dxa"/>
            <w:shd w:val="clear" w:color="auto" w:fill="FFFFFF"/>
            <w:vAlign w:val="center"/>
          </w:tcPr>
          <w:p w14:paraId="6642BE83"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境外托管人</w:t>
            </w:r>
          </w:p>
        </w:tc>
        <w:tc>
          <w:tcPr>
            <w:tcW w:w="20000" w:type="dxa"/>
            <w:shd w:val="clear" w:color="auto" w:fill="FFFFFF"/>
            <w:vAlign w:val="center"/>
          </w:tcPr>
          <w:p w14:paraId="2993A70B"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布朗兄弟哈里曼银行</w:t>
            </w:r>
          </w:p>
        </w:tc>
      </w:tr>
      <w:tr w:rsidR="006A230F" w14:paraId="553AD986" w14:textId="77777777">
        <w:tc>
          <w:tcPr>
            <w:tcW w:w="20000" w:type="dxa"/>
            <w:shd w:val="clear" w:color="auto" w:fill="FFFFFF"/>
            <w:vAlign w:val="center"/>
          </w:tcPr>
          <w:p w14:paraId="5659075A"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0000" w:type="dxa"/>
            <w:shd w:val="clear" w:color="auto" w:fill="FFFFFF"/>
            <w:vAlign w:val="center"/>
          </w:tcPr>
          <w:p w14:paraId="307BF88A"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2011年08月31日</w:t>
            </w:r>
          </w:p>
        </w:tc>
        <w:tc>
          <w:tcPr>
            <w:tcW w:w="20000" w:type="dxa"/>
            <w:shd w:val="clear" w:color="auto" w:fill="FFFFFF"/>
            <w:vAlign w:val="center"/>
          </w:tcPr>
          <w:p w14:paraId="1EFA8EBE"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0000" w:type="dxa"/>
            <w:shd w:val="clear" w:color="auto" w:fill="FFFFFF"/>
            <w:vAlign w:val="center"/>
          </w:tcPr>
          <w:p w14:paraId="0D42C2E1" w14:textId="799369E0" w:rsidR="00DF6E25" w:rsidRPr="0074720D" w:rsidRDefault="005836D1"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r>
      <w:tr w:rsidR="006A230F" w14:paraId="2947C785" w14:textId="77777777">
        <w:tc>
          <w:tcPr>
            <w:tcW w:w="20000" w:type="dxa"/>
            <w:shd w:val="clear" w:color="auto" w:fill="FFFFFF"/>
            <w:vAlign w:val="center"/>
          </w:tcPr>
          <w:p w14:paraId="4DB7D4D4"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0000" w:type="dxa"/>
            <w:shd w:val="clear" w:color="auto" w:fill="FFFFFF"/>
            <w:vAlign w:val="center"/>
          </w:tcPr>
          <w:p w14:paraId="206C991E" w14:textId="7893A0CD" w:rsidR="00DF6E25" w:rsidRPr="0074720D" w:rsidRDefault="005836D1"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c>
          <w:tcPr>
            <w:tcW w:w="20000" w:type="dxa"/>
            <w:shd w:val="clear" w:color="auto" w:fill="FFFFFF"/>
            <w:vAlign w:val="center"/>
          </w:tcPr>
          <w:p w14:paraId="013ACE0C"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0000" w:type="dxa"/>
            <w:shd w:val="clear" w:color="auto" w:fill="FFFFFF"/>
            <w:vAlign w:val="center"/>
          </w:tcPr>
          <w:p w14:paraId="47FF5409"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基金中基金</w:t>
            </w:r>
          </w:p>
        </w:tc>
      </w:tr>
      <w:tr w:rsidR="006A230F" w14:paraId="35DCFDE5" w14:textId="77777777">
        <w:tc>
          <w:tcPr>
            <w:tcW w:w="20000" w:type="dxa"/>
            <w:shd w:val="clear" w:color="auto" w:fill="FFFFFF"/>
            <w:vAlign w:val="center"/>
          </w:tcPr>
          <w:p w14:paraId="41BE0DFC"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0000" w:type="dxa"/>
            <w:shd w:val="clear" w:color="auto" w:fill="FFFFFF"/>
            <w:vAlign w:val="center"/>
          </w:tcPr>
          <w:p w14:paraId="332B6021"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20000" w:type="dxa"/>
            <w:shd w:val="clear" w:color="auto" w:fill="FFFFFF"/>
            <w:vAlign w:val="center"/>
          </w:tcPr>
          <w:p w14:paraId="221394D4"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0000" w:type="dxa"/>
            <w:shd w:val="clear" w:color="auto" w:fill="FFFFFF"/>
            <w:vAlign w:val="center"/>
          </w:tcPr>
          <w:p w14:paraId="64413D63"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普通开放式</w:t>
            </w:r>
          </w:p>
        </w:tc>
      </w:tr>
      <w:tr w:rsidR="00D420F0" w14:paraId="27377BFF" w14:textId="77777777">
        <w:tc>
          <w:tcPr>
            <w:tcW w:w="20000" w:type="dxa"/>
            <w:shd w:val="clear" w:color="auto" w:fill="FFFFFF"/>
            <w:vAlign w:val="center"/>
          </w:tcPr>
          <w:p w14:paraId="7A05087D"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5536" w:type="dxa"/>
            <w:gridSpan w:val="3"/>
            <w:shd w:val="clear" w:color="auto" w:fill="FFFFFF"/>
            <w:vAlign w:val="center"/>
          </w:tcPr>
          <w:p w14:paraId="2E239C7F"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每个开放日</w:t>
            </w:r>
          </w:p>
        </w:tc>
      </w:tr>
      <w:tr w:rsidR="006A230F" w14:paraId="121B43E8" w14:textId="77777777">
        <w:tc>
          <w:tcPr>
            <w:tcW w:w="20000" w:type="dxa"/>
            <w:vMerge w:val="restart"/>
            <w:shd w:val="clear" w:color="auto" w:fill="FFFFFF"/>
            <w:vAlign w:val="center"/>
          </w:tcPr>
          <w:p w14:paraId="169CA089"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0000" w:type="dxa"/>
            <w:vMerge w:val="restart"/>
            <w:shd w:val="clear" w:color="auto" w:fill="FFFFFF"/>
            <w:vAlign w:val="center"/>
          </w:tcPr>
          <w:p w14:paraId="11C75268"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赖中立</w:t>
            </w:r>
          </w:p>
        </w:tc>
        <w:tc>
          <w:tcPr>
            <w:tcW w:w="20000" w:type="dxa"/>
            <w:shd w:val="clear" w:color="auto" w:fill="FFFFFF"/>
            <w:vAlign w:val="center"/>
          </w:tcPr>
          <w:p w14:paraId="26B120D2"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0000" w:type="dxa"/>
            <w:shd w:val="clear" w:color="auto" w:fill="FFFFFF"/>
            <w:vAlign w:val="center"/>
          </w:tcPr>
          <w:p w14:paraId="7444E53D"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2012年11月01日</w:t>
            </w:r>
          </w:p>
        </w:tc>
      </w:tr>
      <w:tr w:rsidR="006A230F" w14:paraId="7DBF11A3" w14:textId="77777777">
        <w:tc>
          <w:tcPr>
            <w:tcW w:w="20000" w:type="dxa"/>
            <w:vMerge/>
            <w:shd w:val="clear" w:color="auto" w:fill="FFFFFF"/>
            <w:vAlign w:val="center"/>
          </w:tcPr>
          <w:p w14:paraId="3B08E0BE" w14:textId="77777777" w:rsidR="00DF6E25" w:rsidRPr="0074720D" w:rsidRDefault="00DF6E25" w:rsidP="0074720D">
            <w:pPr>
              <w:jc w:val="left"/>
              <w:rPr>
                <w:rFonts w:ascii="宋体" w:eastAsia="宋体" w:hAnsi="宋体" w:cs="宋体"/>
                <w:bCs/>
                <w:iCs/>
                <w:color w:val="000000"/>
                <w:szCs w:val="21"/>
              </w:rPr>
            </w:pPr>
          </w:p>
        </w:tc>
        <w:tc>
          <w:tcPr>
            <w:tcW w:w="20000" w:type="dxa"/>
            <w:vMerge/>
            <w:shd w:val="clear" w:color="auto" w:fill="FFFFFF"/>
            <w:vAlign w:val="center"/>
          </w:tcPr>
          <w:p w14:paraId="5EA29B1C" w14:textId="77777777" w:rsidR="00DF6E25" w:rsidRPr="0074720D" w:rsidRDefault="00DF6E25" w:rsidP="0074720D">
            <w:pPr>
              <w:jc w:val="left"/>
              <w:rPr>
                <w:rFonts w:ascii="宋体" w:eastAsia="宋体" w:hAnsi="宋体" w:cs="宋体"/>
                <w:bCs/>
                <w:iCs/>
                <w:color w:val="000000"/>
                <w:szCs w:val="21"/>
              </w:rPr>
            </w:pPr>
          </w:p>
        </w:tc>
        <w:tc>
          <w:tcPr>
            <w:tcW w:w="20000" w:type="dxa"/>
            <w:shd w:val="clear" w:color="auto" w:fill="FFFFFF"/>
            <w:vAlign w:val="center"/>
          </w:tcPr>
          <w:p w14:paraId="1F2562F5"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0000" w:type="dxa"/>
            <w:shd w:val="clear" w:color="auto" w:fill="FFFFFF"/>
            <w:vAlign w:val="center"/>
          </w:tcPr>
          <w:p w14:paraId="7852060D"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2007年10月17日</w:t>
            </w:r>
          </w:p>
        </w:tc>
      </w:tr>
      <w:tr w:rsidR="00D420F0" w14:paraId="297268A1" w14:textId="77777777">
        <w:tc>
          <w:tcPr>
            <w:tcW w:w="20000" w:type="dxa"/>
            <w:shd w:val="clear" w:color="auto" w:fill="FFFFFF"/>
            <w:vAlign w:val="center"/>
          </w:tcPr>
          <w:p w14:paraId="2614903B" w14:textId="77777777" w:rsidR="00DF6E25" w:rsidRPr="0074720D" w:rsidRDefault="00BD22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其他</w:t>
            </w:r>
          </w:p>
        </w:tc>
        <w:tc>
          <w:tcPr>
            <w:tcW w:w="-5536" w:type="dxa"/>
            <w:gridSpan w:val="3"/>
            <w:shd w:val="clear" w:color="auto" w:fill="FFFFFF"/>
            <w:vAlign w:val="center"/>
          </w:tcPr>
          <w:p w14:paraId="7DEDDE34" w14:textId="13659314" w:rsidR="00DF6E25" w:rsidRPr="0074720D" w:rsidRDefault="00843029">
            <w:pPr>
              <w:jc w:val="left"/>
              <w:rPr>
                <w:rFonts w:ascii="宋体" w:eastAsia="宋体" w:hAnsi="宋体" w:cs="宋体"/>
                <w:bCs/>
                <w:iCs/>
                <w:color w:val="000000"/>
                <w:szCs w:val="21"/>
              </w:rPr>
            </w:pPr>
            <w:r w:rsidRPr="00843029">
              <w:rPr>
                <w:rFonts w:ascii="宋体" w:eastAsia="宋体" w:hAnsi="宋体" w:cs="宋体" w:hint="eastAsia"/>
                <w:bCs/>
                <w:iCs/>
                <w:color w:val="000000"/>
                <w:szCs w:val="21"/>
              </w:rPr>
              <w:t>自</w:t>
            </w:r>
            <w:r w:rsidR="00EB1257" w:rsidRPr="00843029">
              <w:rPr>
                <w:rFonts w:ascii="宋体" w:eastAsia="宋体" w:hAnsi="宋体" w:cs="宋体" w:hint="eastAsia"/>
                <w:bCs/>
                <w:iCs/>
                <w:color w:val="000000"/>
                <w:szCs w:val="21"/>
              </w:rPr>
              <w:t>2023年</w:t>
            </w:r>
            <w:r w:rsidR="00EB1257">
              <w:rPr>
                <w:rFonts w:ascii="宋体" w:eastAsia="宋体" w:hAnsi="宋体" w:cs="宋体"/>
                <w:bCs/>
                <w:iCs/>
                <w:color w:val="000000"/>
                <w:szCs w:val="21"/>
              </w:rPr>
              <w:t>5</w:t>
            </w:r>
            <w:r w:rsidR="00EB1257" w:rsidRPr="00843029">
              <w:rPr>
                <w:rFonts w:ascii="宋体" w:eastAsia="宋体" w:hAnsi="宋体" w:cs="宋体" w:hint="eastAsia"/>
                <w:bCs/>
                <w:iCs/>
                <w:color w:val="000000"/>
                <w:szCs w:val="21"/>
              </w:rPr>
              <w:t>月</w:t>
            </w:r>
            <w:r w:rsidR="00EB1257">
              <w:rPr>
                <w:rFonts w:ascii="宋体" w:eastAsia="宋体" w:hAnsi="宋体" w:cs="宋体"/>
                <w:bCs/>
                <w:iCs/>
                <w:color w:val="000000"/>
                <w:szCs w:val="21"/>
              </w:rPr>
              <w:t>19</w:t>
            </w:r>
            <w:r w:rsidRPr="00843029">
              <w:rPr>
                <w:rFonts w:ascii="宋体" w:eastAsia="宋体" w:hAnsi="宋体" w:cs="宋体" w:hint="eastAsia"/>
                <w:bCs/>
                <w:iCs/>
                <w:color w:val="000000"/>
                <w:szCs w:val="21"/>
              </w:rPr>
              <w:t>日起，汇添富黄金及贵金属证券投资基金(LOF)增设</w:t>
            </w:r>
            <w:r>
              <w:rPr>
                <w:rFonts w:ascii="宋体" w:eastAsia="宋体" w:hAnsi="宋体" w:cs="宋体"/>
                <w:bCs/>
                <w:iCs/>
                <w:color w:val="000000"/>
                <w:szCs w:val="21"/>
              </w:rPr>
              <w:t>C</w:t>
            </w:r>
            <w:r w:rsidRPr="00843029">
              <w:rPr>
                <w:rFonts w:ascii="宋体" w:eastAsia="宋体" w:hAnsi="宋体" w:cs="宋体" w:hint="eastAsia"/>
                <w:bCs/>
                <w:iCs/>
                <w:color w:val="000000"/>
                <w:szCs w:val="21"/>
              </w:rPr>
              <w:t>类基金份额。</w:t>
            </w:r>
          </w:p>
        </w:tc>
      </w:tr>
    </w:tbl>
    <w:p w14:paraId="2524A628" w14:textId="77777777" w:rsidR="00DF6E25" w:rsidRPr="0074720D" w:rsidRDefault="00DF6E25" w:rsidP="0074720D">
      <w:pPr>
        <w:rPr>
          <w:rFonts w:ascii="宋体" w:eastAsia="宋体" w:hAnsi="宋体" w:cs="方正仿宋简体"/>
          <w:bCs/>
          <w:iCs/>
          <w:szCs w:val="21"/>
        </w:rPr>
      </w:pPr>
    </w:p>
    <w:p w14:paraId="0A0712D1" w14:textId="77777777" w:rsidR="00025EAC" w:rsidRPr="0074720D" w:rsidRDefault="00025EAC" w:rsidP="0074720D">
      <w:pPr>
        <w:rPr>
          <w:rFonts w:ascii="宋体" w:eastAsia="宋体" w:hAnsi="宋体" w:cs="方正仿宋简体"/>
          <w:iCs/>
          <w:szCs w:val="21"/>
        </w:rPr>
        <w:sectPr w:rsidR="00025EAC" w:rsidRPr="0074720D" w:rsidSect="00FE250C">
          <w:type w:val="continuous"/>
          <w:pgSz w:w="12240" w:h="15840"/>
          <w:pgMar w:top="1440" w:right="1800" w:bottom="1440" w:left="1800" w:header="720" w:footer="720" w:gutter="0"/>
          <w:cols w:space="720"/>
        </w:sectPr>
      </w:pPr>
    </w:p>
    <w:p w14:paraId="4C699DF0" w14:textId="77777777" w:rsidR="00834E25" w:rsidRPr="00124F47" w:rsidRDefault="00BD226D"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lastRenderedPageBreak/>
        <w:t>二、</w:t>
      </w:r>
      <w:r w:rsidRPr="00124F47">
        <w:rPr>
          <w:rFonts w:ascii="宋体" w:eastAsia="宋体" w:hAnsi="宋体" w:cs="方正仿宋简体"/>
          <w:b/>
          <w:bCs/>
          <w:iCs/>
          <w:szCs w:val="21"/>
        </w:rPr>
        <w:t xml:space="preserve"> 基金投资与净值表现</w:t>
      </w:r>
    </w:p>
    <w:p w14:paraId="0ADCDB01" w14:textId="77777777" w:rsidR="00834E25" w:rsidRPr="00124F47" w:rsidRDefault="00834E25" w:rsidP="00D32707">
      <w:pPr>
        <w:spacing w:line="360" w:lineRule="auto"/>
        <w:rPr>
          <w:rFonts w:ascii="宋体" w:eastAsia="宋体" w:hAnsi="宋体" w:cs="方正仿宋简体"/>
          <w:b/>
          <w:bCs/>
          <w:iCs/>
          <w:szCs w:val="21"/>
        </w:rPr>
        <w:sectPr w:rsidR="00834E25" w:rsidRPr="00124F47" w:rsidSect="00512717">
          <w:type w:val="continuous"/>
          <w:pgSz w:w="12240" w:h="15840"/>
          <w:pgMar w:top="1440" w:right="1800" w:bottom="1440" w:left="1800" w:header="720" w:footer="720" w:gutter="0"/>
          <w:cols w:space="720"/>
        </w:sectPr>
      </w:pPr>
    </w:p>
    <w:p w14:paraId="55CA6E88" w14:textId="77777777" w:rsidR="00EB4244" w:rsidRPr="006E61A9" w:rsidRDefault="00BD226D"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lastRenderedPageBreak/>
        <w:t>（一）</w:t>
      </w:r>
      <w:r w:rsidRPr="006E61A9">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946"/>
      </w:tblGrid>
      <w:tr w:rsidR="00D420F0" w14:paraId="1CE60F36" w14:textId="77777777" w:rsidTr="00EB4244">
        <w:trPr>
          <w:trHeight w:val="438"/>
        </w:trPr>
        <w:tc>
          <w:tcPr>
            <w:tcW w:w="1843" w:type="dxa"/>
            <w:vAlign w:val="center"/>
          </w:tcPr>
          <w:p w14:paraId="51FF47F3" w14:textId="77777777" w:rsidR="00EB4244" w:rsidRPr="00EB4244" w:rsidRDefault="00BD226D"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14:paraId="4978085F"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深入研究影响黄金及其他贵金属(如白银、铂金、钯金等)价格的主要因素，把握不同品种贵金属的长期价格趋势和短期市场波动，通过主动投资于有实物黄金或其他实物贵金属支持的交易所交易基金(ETF)，在严格控制风险的前提下，力争基金收益率超越同期黄金价格走势。</w:t>
            </w:r>
          </w:p>
        </w:tc>
      </w:tr>
      <w:tr w:rsidR="00D420F0" w14:paraId="4215AC5C" w14:textId="77777777" w:rsidTr="00EB4244">
        <w:trPr>
          <w:trHeight w:val="416"/>
        </w:trPr>
        <w:tc>
          <w:tcPr>
            <w:tcW w:w="1843" w:type="dxa"/>
            <w:vAlign w:val="center"/>
          </w:tcPr>
          <w:p w14:paraId="40E25745" w14:textId="77777777" w:rsidR="00EB4244" w:rsidRPr="00EB4244" w:rsidRDefault="00BD226D"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14:paraId="463AC4F0"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本基金的投资范围主要包括已与中国证监会签署双边监管合作谅解备忘录的国家或地区证券监管机构登记注册的公募基金中有实物黄金或其他实物贵金属支持的交易所交易基金（ETF）、货币市场工具以及中国证监会允许本基金投资的其他金融工具。此外，本基金为对冲本外币的汇率风险，可以投资于外汇远期合约、外汇互换协议、期权等金融工具。</w:t>
            </w:r>
          </w:p>
          <w:p w14:paraId="57A200FB"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实物黄金或其他实物贵金属支持的交易所交易基金（ETF）是指以标准化的实物黄金或其他实物贵金属为基础资产，并可以用实物黄金或其他实物贵金属申购赎回基金份额的ETF。</w:t>
            </w:r>
          </w:p>
          <w:p w14:paraId="7D0C7632"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本基金投资于有实物黄金或其他实物贵金属支持的交易所交易基金（ETF）的比例不低于基金资产的90%；基金保留的现金或投资于到期日在一年以内的政府债券的比例合计不低于基金资产净值的5%，本基金所指的现金不包括结算备付金、存出保证金、应收申购款等。</w:t>
            </w:r>
          </w:p>
          <w:p w14:paraId="66F0E1DC" w14:textId="1D02EADB"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lastRenderedPageBreak/>
              <w:t>如法律法规或监管机构以后允许本基金投资其他品种，基金管理人在履行适当程序后，可以将其纳入本基金投资范围。如法律法规或中国证监会变更投资品种的比例限制的，基金管理人在与基金托管人协商一致并履行相关程序后，可相应调整本基金的投资比例限制规定，不需经基金份额持有人大会审议。</w:t>
            </w:r>
          </w:p>
        </w:tc>
      </w:tr>
      <w:tr w:rsidR="00D420F0" w14:paraId="7C6A9FA6" w14:textId="77777777" w:rsidTr="00EB4244">
        <w:trPr>
          <w:trHeight w:val="407"/>
        </w:trPr>
        <w:tc>
          <w:tcPr>
            <w:tcW w:w="1843" w:type="dxa"/>
            <w:vAlign w:val="center"/>
          </w:tcPr>
          <w:p w14:paraId="54820D6D" w14:textId="77777777" w:rsidR="00EB4244" w:rsidRPr="00EB4244" w:rsidRDefault="00BD226D" w:rsidP="00EB4244">
            <w:pPr>
              <w:rPr>
                <w:rFonts w:ascii="宋体" w:eastAsia="宋体" w:hAnsi="宋体" w:cs="方正仿宋简体"/>
                <w:iCs/>
                <w:szCs w:val="21"/>
              </w:rPr>
            </w:pPr>
            <w:r>
              <w:rPr>
                <w:rFonts w:ascii="宋体" w:eastAsia="宋体" w:hAnsi="宋体" w:cs="方正仿宋简体" w:hint="eastAsia"/>
                <w:iCs/>
                <w:szCs w:val="21"/>
              </w:rPr>
              <w:lastRenderedPageBreak/>
              <w:t>主要投资策略</w:t>
            </w:r>
          </w:p>
        </w:tc>
        <w:tc>
          <w:tcPr>
            <w:tcW w:w="6946" w:type="dxa"/>
            <w:vAlign w:val="center"/>
          </w:tcPr>
          <w:p w14:paraId="1C49FDCB"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综合考虑国际政治、经济、汇市、战争、主要国家货币和利率政策、贵金属市场供求等多方面因素，本基金重点投资于境外上市有实物黄金或其他实物贵金属支持的交易所交易基金（ETF），长期持有结合动态调整。</w:t>
            </w:r>
          </w:p>
          <w:p w14:paraId="5D9A1D80"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本基金主要投资策略包括贵金属资产配置策略、交易所交易基金（ETF）投资策略、货币市场工具投资策略以及金融衍生工具投资策略。</w:t>
            </w:r>
          </w:p>
        </w:tc>
      </w:tr>
      <w:tr w:rsidR="00D420F0" w14:paraId="5A75C0E6" w14:textId="77777777" w:rsidTr="00EB4244">
        <w:trPr>
          <w:trHeight w:val="412"/>
        </w:trPr>
        <w:tc>
          <w:tcPr>
            <w:tcW w:w="1843" w:type="dxa"/>
            <w:vAlign w:val="center"/>
          </w:tcPr>
          <w:p w14:paraId="217B8F94" w14:textId="77777777" w:rsidR="00EB4244" w:rsidRPr="00EB4244" w:rsidRDefault="00BD226D"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14:paraId="1C3FE660"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伦敦金价格收益率(折成人民币后)</w:t>
            </w:r>
          </w:p>
        </w:tc>
      </w:tr>
      <w:tr w:rsidR="00D420F0" w14:paraId="19A11EC4" w14:textId="77777777" w:rsidTr="00EB4244">
        <w:trPr>
          <w:trHeight w:val="419"/>
        </w:trPr>
        <w:tc>
          <w:tcPr>
            <w:tcW w:w="1843" w:type="dxa"/>
            <w:vAlign w:val="center"/>
          </w:tcPr>
          <w:p w14:paraId="72761117" w14:textId="77777777" w:rsidR="00EB4244" w:rsidRPr="00EB4244" w:rsidRDefault="00BD226D"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14:paraId="367AA1E2" w14:textId="77777777" w:rsidR="00EB4244" w:rsidRPr="00EB4244" w:rsidRDefault="00BD226D" w:rsidP="00EB4244">
            <w:pPr>
              <w:rPr>
                <w:rFonts w:ascii="宋体" w:eastAsia="宋体" w:hAnsi="宋体" w:cs="方正仿宋简体"/>
                <w:iCs/>
                <w:szCs w:val="21"/>
              </w:rPr>
            </w:pPr>
            <w:r w:rsidRPr="00EB4244">
              <w:rPr>
                <w:rFonts w:ascii="宋体" w:eastAsia="宋体" w:hAnsi="宋体" w:cs="方正仿宋简体"/>
                <w:iCs/>
                <w:szCs w:val="21"/>
              </w:rPr>
              <w:t>本基金为基金中基金，属于证券投资基金中较高预期风险、较高预期收益的品种，主要投资于境外有实物黄金或其他实物贵金属支持的交易所交易基金（ETF），其预期风险收益水平与黄金价格相似。</w:t>
            </w:r>
          </w:p>
        </w:tc>
      </w:tr>
    </w:tbl>
    <w:p w14:paraId="5525F981" w14:textId="77777777" w:rsidR="0051145B" w:rsidRPr="00EB4244" w:rsidRDefault="00BD226D" w:rsidP="00EB4244">
      <w:pPr>
        <w:rPr>
          <w:rFonts w:ascii="宋体" w:eastAsia="宋体" w:hAnsi="宋体" w:cs="方正仿宋简体"/>
          <w:iCs/>
          <w:szCs w:val="21"/>
        </w:rPr>
        <w:sectPr w:rsidR="0051145B" w:rsidRPr="00EB4244"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14:paraId="64CBD636" w14:textId="77777777" w:rsidR="00834E25" w:rsidRPr="00340931" w:rsidRDefault="00BD226D" w:rsidP="00340931">
      <w:pPr>
        <w:spacing w:line="360" w:lineRule="auto"/>
        <w:rPr>
          <w:rFonts w:ascii="宋体" w:eastAsia="宋体" w:hAnsi="宋体" w:cs="方正仿宋简体"/>
          <w:b/>
          <w:bCs/>
          <w:iCs/>
          <w:szCs w:val="21"/>
        </w:rPr>
        <w:sectPr w:rsidR="00834E25" w:rsidRPr="00340931"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7AE5B2C0" w14:textId="77777777" w:rsidR="00263627" w:rsidRPr="00B4654F" w:rsidRDefault="00BD226D" w:rsidP="00263627">
      <w:pPr>
        <w:spacing w:line="360" w:lineRule="auto"/>
        <w:rPr>
          <w:rFonts w:ascii="宋体" w:eastAsia="宋体" w:hAnsi="宋体"/>
          <w:b/>
        </w:rPr>
      </w:pPr>
      <w:r w:rsidRPr="00B4654F">
        <w:rPr>
          <w:rFonts w:ascii="宋体" w:eastAsia="宋体" w:hAnsi="宋体" w:hint="eastAsia"/>
          <w:b/>
        </w:rPr>
        <w:lastRenderedPageBreak/>
        <w:t>（一）基金销售相关费用</w:t>
      </w:r>
    </w:p>
    <w:p w14:paraId="5907677C" w14:textId="77777777" w:rsidR="00F66C8F" w:rsidRDefault="00BD226D" w:rsidP="00F66C8F">
      <w:pPr>
        <w:spacing w:line="240" w:lineRule="atLeast"/>
        <w:rPr>
          <w:rFonts w:ascii="宋体" w:eastAsia="宋体" w:hAnsi="宋体"/>
        </w:rPr>
      </w:pPr>
      <w:r w:rsidRPr="00263627">
        <w:rPr>
          <w:rFonts w:ascii="宋体" w:eastAsia="宋体" w:hAnsi="宋体"/>
        </w:rPr>
        <w:t>以下费用在申购/赎回基金过程中收取：</w:t>
      </w:r>
    </w:p>
    <w:p w14:paraId="0C19E414" w14:textId="77777777" w:rsidR="0065120C" w:rsidRPr="00263627" w:rsidRDefault="0065120C" w:rsidP="00F66C8F">
      <w:pPr>
        <w:spacing w:line="240" w:lineRule="atLeast"/>
        <w:rPr>
          <w:rFonts w:ascii="宋体" w:eastAsia="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473"/>
        <w:gridCol w:w="2182"/>
        <w:gridCol w:w="1890"/>
      </w:tblGrid>
      <w:tr w:rsidR="0065120C" w:rsidRPr="00263627" w14:paraId="3EEAF6E6" w14:textId="77777777" w:rsidTr="00737042">
        <w:tc>
          <w:tcPr>
            <w:tcW w:w="2085" w:type="dxa"/>
            <w:shd w:val="clear" w:color="auto" w:fill="D9D9D9"/>
            <w:vAlign w:val="center"/>
          </w:tcPr>
          <w:p w14:paraId="584F998C" w14:textId="77777777" w:rsidR="0065120C" w:rsidRPr="00263627" w:rsidRDefault="0065120C" w:rsidP="00737042">
            <w:pPr>
              <w:spacing w:line="360" w:lineRule="auto"/>
              <w:jc w:val="center"/>
              <w:rPr>
                <w:rFonts w:ascii="宋体" w:eastAsia="宋体" w:hAnsi="宋体" w:cs="宋体"/>
                <w:color w:val="000000"/>
              </w:rPr>
            </w:pPr>
            <w:r w:rsidRPr="00263627">
              <w:rPr>
                <w:rFonts w:ascii="宋体" w:eastAsia="宋体" w:hAnsi="宋体" w:cs="宋体"/>
                <w:color w:val="000000"/>
              </w:rPr>
              <w:t>费用类型</w:t>
            </w:r>
          </w:p>
        </w:tc>
        <w:tc>
          <w:tcPr>
            <w:tcW w:w="2473" w:type="dxa"/>
            <w:shd w:val="clear" w:color="auto" w:fill="D9D9D9"/>
            <w:vAlign w:val="center"/>
          </w:tcPr>
          <w:p w14:paraId="00C2783D" w14:textId="1F95EEAE" w:rsidR="0065120C" w:rsidRPr="00263627" w:rsidRDefault="00843029" w:rsidP="00737042">
            <w:pPr>
              <w:spacing w:line="360" w:lineRule="auto"/>
              <w:rPr>
                <w:rFonts w:ascii="宋体" w:eastAsia="宋体" w:hAnsi="宋体" w:cs="宋体"/>
                <w:color w:val="000000"/>
              </w:rPr>
            </w:pPr>
            <w:r>
              <w:rPr>
                <w:rFonts w:ascii="宋体" w:eastAsia="宋体" w:hAnsi="宋体" w:cs="宋体"/>
                <w:color w:val="000000"/>
              </w:rPr>
              <w:t>份额</w:t>
            </w:r>
            <w:r>
              <w:rPr>
                <w:rFonts w:ascii="宋体" w:eastAsia="宋体" w:hAnsi="宋体" w:cs="宋体" w:hint="eastAsia"/>
                <w:color w:val="000000"/>
              </w:rPr>
              <w:t>（</w:t>
            </w:r>
            <w:r>
              <w:rPr>
                <w:rFonts w:ascii="宋体" w:eastAsia="宋体" w:hAnsi="宋体" w:cs="宋体"/>
                <w:color w:val="000000"/>
              </w:rPr>
              <w:t>S</w:t>
            </w:r>
            <w:r>
              <w:rPr>
                <w:rFonts w:ascii="宋体" w:eastAsia="宋体" w:hAnsi="宋体" w:cs="宋体" w:hint="eastAsia"/>
                <w:color w:val="000000"/>
              </w:rPr>
              <w:t>）或</w:t>
            </w:r>
            <w:r w:rsidR="0065120C" w:rsidRPr="00263627">
              <w:rPr>
                <w:rFonts w:ascii="宋体" w:eastAsia="宋体" w:hAnsi="宋体" w:cs="宋体"/>
                <w:color w:val="000000"/>
              </w:rPr>
              <w:t>金额（M）/持有期限（N）</w:t>
            </w:r>
          </w:p>
        </w:tc>
        <w:tc>
          <w:tcPr>
            <w:tcW w:w="2182" w:type="dxa"/>
            <w:shd w:val="clear" w:color="auto" w:fill="D9D9D9"/>
            <w:vAlign w:val="center"/>
          </w:tcPr>
          <w:p w14:paraId="3F8B709C" w14:textId="77777777" w:rsidR="0065120C" w:rsidRPr="00263627" w:rsidRDefault="0065120C" w:rsidP="00737042">
            <w:pPr>
              <w:spacing w:line="360" w:lineRule="auto"/>
              <w:jc w:val="center"/>
              <w:rPr>
                <w:rFonts w:ascii="宋体" w:eastAsia="宋体" w:hAnsi="宋体" w:cs="宋体"/>
                <w:color w:val="000000"/>
              </w:rPr>
            </w:pPr>
            <w:r w:rsidRPr="00263627">
              <w:rPr>
                <w:rFonts w:ascii="宋体" w:eastAsia="宋体" w:hAnsi="宋体" w:cs="宋体"/>
                <w:color w:val="000000"/>
              </w:rPr>
              <w:t>费率/收费方式</w:t>
            </w:r>
          </w:p>
        </w:tc>
        <w:tc>
          <w:tcPr>
            <w:tcW w:w="1890" w:type="dxa"/>
            <w:shd w:val="clear" w:color="auto" w:fill="D9D9D9"/>
            <w:vAlign w:val="center"/>
          </w:tcPr>
          <w:p w14:paraId="636BF034" w14:textId="77777777" w:rsidR="0065120C" w:rsidRPr="00263627" w:rsidRDefault="0065120C" w:rsidP="00737042">
            <w:pPr>
              <w:spacing w:line="360" w:lineRule="auto"/>
              <w:jc w:val="center"/>
              <w:rPr>
                <w:rFonts w:ascii="宋体" w:eastAsia="宋体" w:hAnsi="宋体" w:cs="宋体"/>
                <w:color w:val="000000"/>
              </w:rPr>
            </w:pPr>
            <w:r w:rsidRPr="00263627">
              <w:rPr>
                <w:rFonts w:ascii="宋体" w:eastAsia="宋体" w:hAnsi="宋体" w:cs="宋体"/>
                <w:color w:val="000000"/>
              </w:rPr>
              <w:t>备注</w:t>
            </w:r>
          </w:p>
        </w:tc>
      </w:tr>
      <w:tr w:rsidR="0065120C" w:rsidRPr="00263627" w14:paraId="010557B8" w14:textId="77777777" w:rsidTr="00F15FF5">
        <w:tc>
          <w:tcPr>
            <w:tcW w:w="2085" w:type="dxa"/>
            <w:shd w:val="clear" w:color="auto" w:fill="auto"/>
            <w:vAlign w:val="center"/>
          </w:tcPr>
          <w:p w14:paraId="570EA0A2" w14:textId="77777777" w:rsidR="0065120C" w:rsidRPr="00263627" w:rsidRDefault="0065120C" w:rsidP="0065120C">
            <w:pPr>
              <w:spacing w:line="360" w:lineRule="auto"/>
              <w:jc w:val="center"/>
              <w:rPr>
                <w:rFonts w:ascii="宋体" w:eastAsia="宋体" w:hAnsi="宋体" w:cs="宋体"/>
                <w:color w:val="000000"/>
              </w:rPr>
            </w:pPr>
            <w:r>
              <w:rPr>
                <w:rFonts w:ascii="宋体" w:eastAsia="宋体" w:hAnsi="宋体" w:cs="宋体" w:hint="eastAsia"/>
                <w:color w:val="000000"/>
              </w:rPr>
              <w:t>申购费</w:t>
            </w:r>
          </w:p>
        </w:tc>
        <w:tc>
          <w:tcPr>
            <w:tcW w:w="6545" w:type="dxa"/>
            <w:gridSpan w:val="3"/>
            <w:shd w:val="clear" w:color="auto" w:fill="auto"/>
            <w:vAlign w:val="bottom"/>
          </w:tcPr>
          <w:p w14:paraId="673540D7" w14:textId="77777777" w:rsidR="0065120C" w:rsidRPr="00263627" w:rsidRDefault="0065120C" w:rsidP="0065120C">
            <w:pPr>
              <w:spacing w:line="360" w:lineRule="auto"/>
              <w:jc w:val="center"/>
              <w:rPr>
                <w:rFonts w:ascii="宋体" w:eastAsia="宋体" w:hAnsi="宋体" w:cs="宋体"/>
                <w:color w:val="000000"/>
              </w:rPr>
            </w:pPr>
            <w:r>
              <w:rPr>
                <w:rFonts w:ascii="宋体" w:eastAsia="宋体" w:hAnsi="宋体" w:cs="宋体" w:hint="eastAsia"/>
                <w:color w:val="000000"/>
              </w:rPr>
              <w:t>本基金C类基金份额不收取申购费。</w:t>
            </w:r>
          </w:p>
        </w:tc>
      </w:tr>
      <w:tr w:rsidR="0065120C" w:rsidRPr="00263627" w14:paraId="0AC9F31D" w14:textId="77777777" w:rsidTr="00737042">
        <w:trPr>
          <w:trHeight w:val="82"/>
        </w:trPr>
        <w:tc>
          <w:tcPr>
            <w:tcW w:w="2085" w:type="dxa"/>
            <w:vMerge w:val="restart"/>
            <w:shd w:val="clear" w:color="auto" w:fill="FFFFFF"/>
            <w:vAlign w:val="center"/>
          </w:tcPr>
          <w:p w14:paraId="4502D8A1" w14:textId="77777777" w:rsidR="0065120C" w:rsidRPr="00263627" w:rsidRDefault="0065120C" w:rsidP="00737042">
            <w:pPr>
              <w:spacing w:line="360" w:lineRule="auto"/>
              <w:jc w:val="center"/>
              <w:rPr>
                <w:rFonts w:ascii="宋体" w:eastAsia="宋体" w:hAnsi="宋体" w:cs="宋体"/>
                <w:color w:val="000000"/>
              </w:rPr>
            </w:pPr>
            <w:r w:rsidRPr="00DF350E">
              <w:rPr>
                <w:rFonts w:ascii="宋体" w:eastAsia="宋体" w:hAnsi="宋体" w:cs="宋体" w:hint="eastAsia"/>
                <w:color w:val="000000"/>
              </w:rPr>
              <w:t>赎回费</w:t>
            </w:r>
          </w:p>
        </w:tc>
        <w:tc>
          <w:tcPr>
            <w:tcW w:w="2473" w:type="dxa"/>
            <w:vAlign w:val="center"/>
          </w:tcPr>
          <w:p w14:paraId="193D6777" w14:textId="77777777" w:rsidR="0065120C" w:rsidRPr="00C926B7" w:rsidRDefault="0065120C" w:rsidP="00737042">
            <w:pPr>
              <w:spacing w:line="240" w:lineRule="atLeast"/>
              <w:jc w:val="center"/>
              <w:rPr>
                <w:rFonts w:ascii="宋体" w:eastAsia="宋体" w:hAnsi="宋体" w:cs="宋体"/>
                <w:color w:val="000000"/>
              </w:rPr>
            </w:pPr>
            <w:r>
              <w:rPr>
                <w:rFonts w:ascii="宋体" w:eastAsia="宋体" w:hAnsi="宋体" w:cs="宋体"/>
                <w:color w:val="000000"/>
              </w:rPr>
              <w:t>0≤</w:t>
            </w:r>
            <w:r w:rsidRPr="00C926B7">
              <w:rPr>
                <w:rFonts w:ascii="宋体" w:eastAsia="宋体" w:hAnsi="宋体" w:cs="宋体"/>
                <w:color w:val="000000"/>
              </w:rPr>
              <w:t>N&lt;7天</w:t>
            </w:r>
          </w:p>
        </w:tc>
        <w:tc>
          <w:tcPr>
            <w:tcW w:w="2182" w:type="dxa"/>
            <w:vAlign w:val="center"/>
          </w:tcPr>
          <w:p w14:paraId="63B71067" w14:textId="77777777" w:rsidR="0065120C" w:rsidRPr="00C926B7" w:rsidRDefault="0065120C" w:rsidP="00737042">
            <w:pPr>
              <w:spacing w:line="240" w:lineRule="atLeast"/>
              <w:jc w:val="center"/>
              <w:rPr>
                <w:rFonts w:ascii="宋体" w:eastAsia="宋体" w:hAnsi="宋体" w:cs="宋体"/>
                <w:color w:val="000000"/>
              </w:rPr>
            </w:pPr>
            <w:r w:rsidRPr="00C926B7">
              <w:rPr>
                <w:rFonts w:ascii="宋体" w:eastAsia="宋体" w:hAnsi="宋体" w:cs="宋体"/>
                <w:color w:val="000000"/>
              </w:rPr>
              <w:t>1.5</w:t>
            </w:r>
            <w:r w:rsidRPr="00C926B7">
              <w:rPr>
                <w:rFonts w:ascii="宋体" w:eastAsia="宋体" w:hAnsi="宋体" w:cs="宋体" w:hint="eastAsia"/>
                <w:color w:val="000000"/>
              </w:rPr>
              <w:t>0</w:t>
            </w:r>
            <w:r w:rsidRPr="00C926B7">
              <w:rPr>
                <w:rFonts w:ascii="宋体" w:eastAsia="宋体" w:hAnsi="宋体" w:cs="宋体"/>
                <w:color w:val="000000"/>
              </w:rPr>
              <w:t>%</w:t>
            </w:r>
          </w:p>
        </w:tc>
        <w:tc>
          <w:tcPr>
            <w:tcW w:w="1890" w:type="dxa"/>
            <w:shd w:val="clear" w:color="auto" w:fill="FFFFFF"/>
            <w:vAlign w:val="center"/>
          </w:tcPr>
          <w:p w14:paraId="00FD26E6" w14:textId="77777777" w:rsidR="0065120C" w:rsidRPr="00263627" w:rsidRDefault="0065120C" w:rsidP="00737042">
            <w:pPr>
              <w:spacing w:line="360" w:lineRule="auto"/>
              <w:jc w:val="left"/>
              <w:rPr>
                <w:rFonts w:ascii="宋体" w:eastAsia="宋体" w:hAnsi="宋体" w:cs="宋体"/>
                <w:color w:val="000000"/>
              </w:rPr>
            </w:pPr>
          </w:p>
        </w:tc>
      </w:tr>
      <w:tr w:rsidR="0065120C" w:rsidRPr="00C22D78" w14:paraId="5D160F26" w14:textId="77777777" w:rsidTr="00737042">
        <w:trPr>
          <w:trHeight w:val="82"/>
        </w:trPr>
        <w:tc>
          <w:tcPr>
            <w:tcW w:w="2085" w:type="dxa"/>
            <w:vMerge/>
            <w:shd w:val="clear" w:color="auto" w:fill="FFFFFF"/>
            <w:vAlign w:val="center"/>
          </w:tcPr>
          <w:p w14:paraId="008063CD" w14:textId="77777777" w:rsidR="0065120C" w:rsidRPr="00DF350E" w:rsidRDefault="0065120C" w:rsidP="00737042">
            <w:pPr>
              <w:spacing w:line="360" w:lineRule="auto"/>
              <w:jc w:val="center"/>
              <w:rPr>
                <w:rFonts w:ascii="宋体" w:eastAsia="宋体" w:hAnsi="宋体" w:cs="宋体"/>
                <w:color w:val="000000"/>
              </w:rPr>
            </w:pPr>
          </w:p>
        </w:tc>
        <w:tc>
          <w:tcPr>
            <w:tcW w:w="2473" w:type="dxa"/>
            <w:vAlign w:val="center"/>
          </w:tcPr>
          <w:p w14:paraId="58815A4B" w14:textId="77777777" w:rsidR="0065120C" w:rsidRPr="00C926B7" w:rsidRDefault="0065120C" w:rsidP="00737042">
            <w:pPr>
              <w:spacing w:line="240" w:lineRule="atLeast"/>
              <w:jc w:val="center"/>
              <w:rPr>
                <w:rFonts w:ascii="宋体" w:eastAsia="宋体" w:hAnsi="宋体" w:cs="宋体"/>
                <w:color w:val="000000"/>
              </w:rPr>
            </w:pPr>
            <w:r w:rsidRPr="00C926B7">
              <w:rPr>
                <w:rFonts w:ascii="宋体" w:eastAsia="宋体" w:hAnsi="宋体" w:cs="宋体"/>
                <w:color w:val="000000"/>
              </w:rPr>
              <w:t>N≥</w:t>
            </w:r>
            <w:r>
              <w:rPr>
                <w:rFonts w:ascii="宋体" w:eastAsia="宋体" w:hAnsi="宋体" w:cs="宋体"/>
                <w:color w:val="000000"/>
              </w:rPr>
              <w:t>7天</w:t>
            </w:r>
          </w:p>
        </w:tc>
        <w:tc>
          <w:tcPr>
            <w:tcW w:w="2182" w:type="dxa"/>
            <w:vAlign w:val="center"/>
          </w:tcPr>
          <w:p w14:paraId="7571D4E2" w14:textId="77777777" w:rsidR="0065120C" w:rsidRPr="00C926B7" w:rsidRDefault="0065120C" w:rsidP="00737042">
            <w:pPr>
              <w:spacing w:line="240" w:lineRule="atLeast"/>
              <w:jc w:val="center"/>
              <w:rPr>
                <w:rFonts w:ascii="宋体" w:eastAsia="宋体" w:hAnsi="宋体" w:cs="宋体"/>
                <w:color w:val="000000"/>
              </w:rPr>
            </w:pPr>
            <w:r w:rsidRPr="00C926B7">
              <w:rPr>
                <w:rFonts w:ascii="宋体" w:eastAsia="宋体" w:hAnsi="宋体" w:cs="宋体"/>
                <w:color w:val="000000"/>
              </w:rPr>
              <w:t>0</w:t>
            </w:r>
          </w:p>
        </w:tc>
        <w:tc>
          <w:tcPr>
            <w:tcW w:w="1890" w:type="dxa"/>
            <w:shd w:val="clear" w:color="auto" w:fill="FFFFFF"/>
            <w:vAlign w:val="center"/>
          </w:tcPr>
          <w:p w14:paraId="2B00E9CC" w14:textId="77777777" w:rsidR="0065120C" w:rsidRPr="00C22D78" w:rsidRDefault="0065120C" w:rsidP="00737042">
            <w:pPr>
              <w:spacing w:line="360" w:lineRule="auto"/>
              <w:jc w:val="left"/>
              <w:rPr>
                <w:rFonts w:ascii="宋体" w:eastAsia="宋体" w:hAnsi="宋体"/>
              </w:rPr>
            </w:pPr>
          </w:p>
        </w:tc>
      </w:tr>
    </w:tbl>
    <w:p w14:paraId="32500F0E" w14:textId="77777777" w:rsidR="0065120C" w:rsidRPr="00263627" w:rsidRDefault="0065120C" w:rsidP="00BC38BD">
      <w:pPr>
        <w:spacing w:line="240" w:lineRule="atLeast"/>
        <w:rPr>
          <w:rFonts w:ascii="宋体" w:eastAsia="宋体" w:hAnsi="宋体"/>
        </w:rPr>
        <w:sectPr w:rsidR="0065120C" w:rsidRPr="00263627" w:rsidSect="006A06BB">
          <w:type w:val="continuous"/>
          <w:pgSz w:w="12240" w:h="15840"/>
          <w:pgMar w:top="1440" w:right="1800" w:bottom="1440" w:left="1800" w:header="720" w:footer="720" w:gutter="0"/>
          <w:cols w:space="720"/>
        </w:sectPr>
      </w:pPr>
    </w:p>
    <w:p w14:paraId="445E554A" w14:textId="77777777" w:rsidR="004118E0" w:rsidRPr="004118E0" w:rsidRDefault="00BD226D"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14:paraId="71FAE37A" w14:textId="77777777" w:rsidR="004118E0" w:rsidRDefault="00BD226D"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14:paraId="40F5B93B" w14:textId="77777777" w:rsidR="004118E0" w:rsidRPr="004118E0" w:rsidRDefault="004118E0" w:rsidP="004118E0">
      <w:pPr>
        <w:rPr>
          <w:rFonts w:ascii="宋体" w:eastAsia="宋体" w:hAnsi="宋体" w:cs="方正仿宋简体"/>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970"/>
        <w:gridCol w:w="2970"/>
      </w:tblGrid>
      <w:tr w:rsidR="00D420F0" w14:paraId="234A3A4E" w14:textId="77777777">
        <w:tc>
          <w:tcPr>
            <w:tcW w:w="20000" w:type="dxa"/>
            <w:shd w:val="clear" w:color="auto" w:fill="D9D9D9"/>
            <w:vAlign w:val="center"/>
          </w:tcPr>
          <w:p w14:paraId="2DCFD44B" w14:textId="77777777" w:rsidR="004118E0" w:rsidRPr="004118E0" w:rsidRDefault="00BD226D"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20000" w:type="dxa"/>
            <w:shd w:val="clear" w:color="auto" w:fill="D9D9D9"/>
            <w:vAlign w:val="center"/>
          </w:tcPr>
          <w:p w14:paraId="190FFC24" w14:textId="77777777" w:rsidR="004118E0" w:rsidRPr="004118E0" w:rsidRDefault="00BD226D"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20000" w:type="dxa"/>
            <w:shd w:val="clear" w:color="auto" w:fill="D9D9D9"/>
            <w:vAlign w:val="center"/>
          </w:tcPr>
          <w:p w14:paraId="1548C214" w14:textId="77777777" w:rsidR="004118E0" w:rsidRPr="004118E0" w:rsidRDefault="00BD226D"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D420F0" w14:paraId="3E614D58" w14:textId="77777777">
        <w:tc>
          <w:tcPr>
            <w:tcW w:w="20000" w:type="dxa"/>
            <w:shd w:val="clear" w:color="auto" w:fill="FFFFFF"/>
            <w:vAlign w:val="center"/>
          </w:tcPr>
          <w:p w14:paraId="71AB8F49"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20000" w:type="dxa"/>
            <w:shd w:val="clear" w:color="auto" w:fill="FFFFFF"/>
            <w:vAlign w:val="center"/>
          </w:tcPr>
          <w:p w14:paraId="5DA4D243" w14:textId="77777777" w:rsidR="004118E0" w:rsidRPr="004118E0" w:rsidRDefault="00BD226D" w:rsidP="004118E0">
            <w:pPr>
              <w:jc w:val="right"/>
              <w:rPr>
                <w:rFonts w:ascii="宋体" w:eastAsia="宋体" w:hAnsi="宋体" w:cs="宋体"/>
                <w:iCs/>
                <w:color w:val="000000"/>
                <w:szCs w:val="21"/>
              </w:rPr>
            </w:pPr>
            <w:r w:rsidRPr="004118E0">
              <w:rPr>
                <w:rFonts w:ascii="宋体" w:eastAsia="宋体" w:hAnsi="宋体" w:cs="宋体"/>
                <w:iCs/>
                <w:color w:val="000000"/>
                <w:szCs w:val="21"/>
              </w:rPr>
              <w:t>1.00%</w:t>
            </w:r>
          </w:p>
        </w:tc>
        <w:tc>
          <w:tcPr>
            <w:tcW w:w="20000" w:type="dxa"/>
            <w:shd w:val="clear" w:color="auto" w:fill="FFFFFF"/>
            <w:vAlign w:val="center"/>
          </w:tcPr>
          <w:p w14:paraId="1723402A"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D420F0" w14:paraId="0FFA3724" w14:textId="77777777">
        <w:tc>
          <w:tcPr>
            <w:tcW w:w="20000" w:type="dxa"/>
            <w:shd w:val="clear" w:color="auto" w:fill="FFFFFF"/>
            <w:vAlign w:val="center"/>
          </w:tcPr>
          <w:p w14:paraId="35E10AC0"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20000" w:type="dxa"/>
            <w:shd w:val="clear" w:color="auto" w:fill="FFFFFF"/>
            <w:vAlign w:val="center"/>
          </w:tcPr>
          <w:p w14:paraId="1566432A" w14:textId="77777777" w:rsidR="004118E0" w:rsidRPr="004118E0" w:rsidRDefault="00BD226D" w:rsidP="004118E0">
            <w:pPr>
              <w:jc w:val="right"/>
              <w:rPr>
                <w:rFonts w:ascii="宋体" w:eastAsia="宋体" w:hAnsi="宋体" w:cs="宋体"/>
                <w:iCs/>
                <w:color w:val="000000"/>
                <w:szCs w:val="21"/>
              </w:rPr>
            </w:pPr>
            <w:r w:rsidRPr="004118E0">
              <w:rPr>
                <w:rFonts w:ascii="宋体" w:eastAsia="宋体" w:hAnsi="宋体" w:cs="宋体"/>
                <w:iCs/>
                <w:color w:val="000000"/>
                <w:szCs w:val="21"/>
              </w:rPr>
              <w:t>0.26%</w:t>
            </w:r>
          </w:p>
        </w:tc>
        <w:tc>
          <w:tcPr>
            <w:tcW w:w="20000" w:type="dxa"/>
            <w:shd w:val="clear" w:color="auto" w:fill="FFFFFF"/>
            <w:vAlign w:val="center"/>
          </w:tcPr>
          <w:p w14:paraId="0F2B6CD1"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D420F0" w14:paraId="5840E34F" w14:textId="77777777">
        <w:tc>
          <w:tcPr>
            <w:tcW w:w="20000" w:type="dxa"/>
            <w:shd w:val="clear" w:color="auto" w:fill="FFFFFF"/>
            <w:vAlign w:val="center"/>
          </w:tcPr>
          <w:p w14:paraId="0D220FD0"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20000" w:type="dxa"/>
            <w:shd w:val="clear" w:color="auto" w:fill="FFFFFF"/>
            <w:vAlign w:val="center"/>
          </w:tcPr>
          <w:p w14:paraId="6EC546B9" w14:textId="77777777" w:rsidR="004118E0" w:rsidRPr="004118E0" w:rsidRDefault="0065120C" w:rsidP="004118E0">
            <w:pPr>
              <w:jc w:val="right"/>
              <w:rPr>
                <w:rFonts w:ascii="宋体" w:eastAsia="宋体" w:hAnsi="宋体" w:cs="宋体"/>
                <w:iCs/>
                <w:color w:val="000000"/>
                <w:szCs w:val="21"/>
              </w:rPr>
            </w:pPr>
            <w:r>
              <w:rPr>
                <w:rFonts w:ascii="宋体" w:eastAsia="宋体" w:hAnsi="宋体" w:cs="宋体"/>
                <w:iCs/>
                <w:color w:val="000000"/>
                <w:szCs w:val="21"/>
              </w:rPr>
              <w:t>0.40%</w:t>
            </w:r>
          </w:p>
        </w:tc>
        <w:tc>
          <w:tcPr>
            <w:tcW w:w="20000" w:type="dxa"/>
            <w:shd w:val="clear" w:color="auto" w:fill="FFFFFF"/>
            <w:vAlign w:val="center"/>
          </w:tcPr>
          <w:p w14:paraId="21370ED6"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D420F0" w14:paraId="5455AB44" w14:textId="77777777">
        <w:tc>
          <w:tcPr>
            <w:tcW w:w="20000" w:type="dxa"/>
            <w:shd w:val="clear" w:color="auto" w:fill="FFFFFF"/>
            <w:vAlign w:val="center"/>
          </w:tcPr>
          <w:p w14:paraId="4C5D370C"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20000" w:type="dxa"/>
            <w:shd w:val="clear" w:color="auto" w:fill="FFFFFF"/>
            <w:vAlign w:val="center"/>
          </w:tcPr>
          <w:p w14:paraId="2F15B009" w14:textId="77777777" w:rsidR="004118E0" w:rsidRPr="004118E0" w:rsidRDefault="00BD226D" w:rsidP="004118E0">
            <w:pPr>
              <w:jc w:val="right"/>
              <w:rPr>
                <w:rFonts w:ascii="宋体" w:eastAsia="宋体" w:hAnsi="宋体" w:cs="宋体"/>
                <w:iCs/>
                <w:color w:val="000000"/>
                <w:szCs w:val="21"/>
              </w:rPr>
            </w:pPr>
            <w:r w:rsidRPr="004118E0">
              <w:rPr>
                <w:rFonts w:ascii="宋体" w:eastAsia="宋体" w:hAnsi="宋体" w:cs="宋体"/>
                <w:iCs/>
                <w:color w:val="000000"/>
                <w:szCs w:val="21"/>
              </w:rPr>
              <w:t>-</w:t>
            </w:r>
          </w:p>
        </w:tc>
        <w:tc>
          <w:tcPr>
            <w:tcW w:w="20000" w:type="dxa"/>
            <w:shd w:val="clear" w:color="auto" w:fill="FFFFFF"/>
            <w:vAlign w:val="center"/>
          </w:tcPr>
          <w:p w14:paraId="6E0F1997" w14:textId="77777777" w:rsidR="004118E0" w:rsidRPr="004118E0" w:rsidRDefault="00BD226D" w:rsidP="004118E0">
            <w:pPr>
              <w:jc w:val="left"/>
              <w:rPr>
                <w:rFonts w:ascii="宋体" w:eastAsia="宋体" w:hAnsi="宋体" w:cs="宋体"/>
                <w:iCs/>
                <w:color w:val="000000"/>
                <w:szCs w:val="21"/>
              </w:rPr>
            </w:pPr>
            <w:r w:rsidRPr="004118E0">
              <w:rPr>
                <w:rFonts w:ascii="宋体" w:eastAsia="宋体" w:hAnsi="宋体" w:cs="宋体"/>
                <w:iCs/>
                <w:color w:val="000000"/>
                <w:szCs w:val="21"/>
              </w:rPr>
              <w:t>《基金合同》生效后与基金相关的信息披露费用；基金的证券交易费用及在境外市场的交易、清算、登记等实际发生的费用；基金份额持有人大会费用；《基金合同》生效后与基金相关的会计师费、律师费等根据有关法规、《基金合同》</w:t>
            </w:r>
            <w:r w:rsidRPr="004118E0">
              <w:rPr>
                <w:rFonts w:ascii="宋体" w:eastAsia="宋体" w:hAnsi="宋体" w:cs="宋体"/>
                <w:iCs/>
                <w:color w:val="000000"/>
                <w:szCs w:val="21"/>
              </w:rPr>
              <w:lastRenderedPageBreak/>
              <w:t>及相应协议的规定，由基金管理人根据其他有关法规及相应协议的规定，按费用支出金额支付，列入或摊入当期基金费用；基金依照有关法律法规应当缴纳的，购买或处置证券有关的任何税收、征费、关税、印花税、交易及其他税收及预扣提税（以及与前述各项有关的任何利息及费用）；基金的银行汇划费用；经生效的司法文书判决或裁定明确应由基金财产承担的与基金有关的诉讼、追索费用；基金上市费及年费；基金外汇交易的相关费用；因更换境外托管人而进行的资产转移所产生的费用以及按照国家有关规定和《基金合同》约定，可以在基金财产中列支的其他费用。本基金终止清算时所发生费用，按实际支出额从基金财产总值中扣除。</w:t>
            </w:r>
          </w:p>
        </w:tc>
      </w:tr>
    </w:tbl>
    <w:p w14:paraId="759841D1" w14:textId="77777777" w:rsidR="004118E0" w:rsidRPr="004118E0" w:rsidRDefault="004118E0" w:rsidP="004118E0">
      <w:pPr>
        <w:rPr>
          <w:rFonts w:ascii="宋体" w:eastAsia="宋体" w:hAnsi="宋体" w:cs="方正仿宋简体"/>
          <w:iCs/>
          <w:szCs w:val="21"/>
        </w:rPr>
      </w:pPr>
    </w:p>
    <w:p w14:paraId="6D21E144" w14:textId="77777777" w:rsidR="00834E25" w:rsidRPr="004118E0" w:rsidRDefault="00BD226D">
      <w:pPr>
        <w:rPr>
          <w:rFonts w:ascii="宋体" w:eastAsia="宋体" w:hAnsi="宋体" w:cs="方正仿宋简体"/>
          <w:iCs/>
          <w:szCs w:val="21"/>
        </w:rPr>
        <w:sectPr w:rsidR="00834E25" w:rsidRPr="004118E0"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14:paraId="47CBCEBC" w14:textId="77777777" w:rsidR="00834E25" w:rsidRPr="00C2264A" w:rsidRDefault="00BD226D" w:rsidP="00C2264A">
      <w:pPr>
        <w:spacing w:line="360" w:lineRule="auto"/>
        <w:rPr>
          <w:rFonts w:ascii="宋体" w:eastAsia="宋体" w:hAnsi="宋体" w:cs="方正仿宋简体"/>
          <w:b/>
          <w:bCs/>
          <w:iCs/>
          <w:szCs w:val="21"/>
        </w:rPr>
        <w:sectPr w:rsidR="00834E25" w:rsidRPr="00C2264A"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lastRenderedPageBreak/>
        <w:t>四、</w:t>
      </w:r>
      <w:r w:rsidRPr="00C2264A">
        <w:rPr>
          <w:rFonts w:ascii="宋体" w:eastAsia="宋体" w:hAnsi="宋体" w:cs="方正仿宋简体"/>
          <w:b/>
          <w:bCs/>
          <w:iCs/>
          <w:szCs w:val="21"/>
        </w:rPr>
        <w:t>风险揭示与重要提示</w:t>
      </w:r>
    </w:p>
    <w:p w14:paraId="70C6E4D3" w14:textId="77777777" w:rsidR="008C558C" w:rsidRPr="008C558C" w:rsidRDefault="00BD226D"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14:paraId="19456D63" w14:textId="77777777" w:rsidR="00834E25" w:rsidRPr="008C558C" w:rsidRDefault="00BD226D" w:rsidP="008C558C">
      <w:pPr>
        <w:spacing w:line="360" w:lineRule="auto"/>
        <w:ind w:firstLineChars="200" w:firstLine="42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14:paraId="178236D3" w14:textId="77777777" w:rsidR="00834E25" w:rsidRPr="008C558C" w:rsidRDefault="00BD226D" w:rsidP="008C558C">
      <w:pPr>
        <w:spacing w:line="360" w:lineRule="auto"/>
        <w:ind w:firstLineChars="200" w:firstLine="42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14:paraId="797DF78B" w14:textId="77777777" w:rsidR="00834E25" w:rsidRPr="008C558C" w:rsidRDefault="00BD226D" w:rsidP="008C558C">
      <w:pPr>
        <w:spacing w:line="360" w:lineRule="auto"/>
        <w:ind w:firstLineChars="200" w:firstLine="420"/>
        <w:rPr>
          <w:rFonts w:ascii="宋体" w:eastAsia="宋体" w:hAnsi="宋体" w:cs="方正仿宋简体"/>
          <w:iCs/>
          <w:szCs w:val="21"/>
        </w:rPr>
      </w:pPr>
      <w:r w:rsidRPr="008C558C">
        <w:rPr>
          <w:rFonts w:ascii="宋体" w:eastAsia="宋体" w:hAnsi="宋体" w:cs="方正仿宋简体"/>
          <w:iCs/>
          <w:szCs w:val="21"/>
        </w:rPr>
        <w:t>本基金为基金中基金，主要投资于纽约、伦敦、苏黎世、多伦多、香港、悉尼等发达证券市场上有实物黄金或其他实物贵金属支持的ETF，基金净值会因为实物黄金或其他实物贵金属价格波动等因素产生波动。基金投资中出现的风险分为如下两类：一是境外投资风险，包括投资标的风险、汇率及外汇管制风险、政治风险、税务风险、法律风险等；二是开放式基金风险，包括利率风险、流动性风险、操作风险、会计核算风险、交易结算风险、技术系统运行风险、通讯风险、不可抗力风险、QDII基金LOF模式风险等。本基金还可能面临启用侧袋机制的风险。</w:t>
      </w:r>
    </w:p>
    <w:p w14:paraId="708E86DB" w14:textId="77777777" w:rsidR="00834E25" w:rsidRPr="008C558C" w:rsidRDefault="00834E25" w:rsidP="008C558C">
      <w:pPr>
        <w:spacing w:line="360" w:lineRule="auto"/>
        <w:ind w:firstLineChars="200" w:firstLine="420"/>
        <w:rPr>
          <w:rFonts w:ascii="宋体" w:eastAsia="宋体" w:hAnsi="宋体" w:cs="方正仿宋简体"/>
          <w:iCs/>
          <w:szCs w:val="21"/>
        </w:rPr>
        <w:sectPr w:rsidR="00834E25" w:rsidRPr="008C558C" w:rsidSect="00730C3D">
          <w:type w:val="continuous"/>
          <w:pgSz w:w="12240" w:h="15840"/>
          <w:pgMar w:top="1440" w:right="1800" w:bottom="1440" w:left="1800" w:header="720" w:footer="720" w:gutter="0"/>
          <w:cols w:space="720"/>
        </w:sectPr>
      </w:pPr>
    </w:p>
    <w:p w14:paraId="26D86709" w14:textId="77777777" w:rsidR="005468DA" w:rsidRPr="005468DA" w:rsidRDefault="00BD226D"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lastRenderedPageBreak/>
        <w:t>（二）</w:t>
      </w:r>
      <w:r w:rsidRPr="005468DA">
        <w:rPr>
          <w:rFonts w:ascii="宋体" w:eastAsia="宋体" w:hAnsi="宋体" w:cs="方正仿宋简体"/>
          <w:b/>
          <w:bCs/>
          <w:iCs/>
          <w:szCs w:val="21"/>
        </w:rPr>
        <w:t>重要提示</w:t>
      </w:r>
    </w:p>
    <w:p w14:paraId="56F59843" w14:textId="77777777" w:rsidR="00727A53" w:rsidRPr="001E2FEA" w:rsidRDefault="00BD22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14:paraId="26DF33EF" w14:textId="77777777" w:rsidR="00D420F0" w:rsidRPr="001E2FEA" w:rsidRDefault="00BD22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14:paraId="5BD81963" w14:textId="77777777" w:rsidR="00D420F0" w:rsidRPr="001E2FEA" w:rsidRDefault="00BD22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lastRenderedPageBreak/>
        <w:t>基金投资者自依基金合同取得基金份额，即成为基金份额持有人和基金合同的当事人。</w:t>
      </w:r>
    </w:p>
    <w:p w14:paraId="0C52C256" w14:textId="77777777" w:rsidR="00D420F0" w:rsidRPr="001E2FEA" w:rsidRDefault="00BD22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14:paraId="5DF608C6" w14:textId="77777777" w:rsidR="00D420F0" w:rsidRPr="001E2FEA" w:rsidRDefault="00BD226D" w:rsidP="00C50D7E">
      <w:pPr>
        <w:spacing w:line="360" w:lineRule="auto"/>
        <w:ind w:firstLineChars="200" w:firstLine="420"/>
        <w:jc w:val="left"/>
        <w:rPr>
          <w:rFonts w:ascii="宋体" w:eastAsia="宋体" w:hAnsi="宋体" w:cs="方正仿宋简体"/>
          <w:iCs/>
          <w:szCs w:val="21"/>
        </w:rPr>
        <w:sectPr w:rsidR="00D420F0" w:rsidRPr="001E2FEA"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42BB8239" w14:textId="77777777" w:rsidR="00575F21" w:rsidRPr="00575F21" w:rsidRDefault="00BD226D"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14:paraId="2E7FACEF" w14:textId="77777777" w:rsidR="00834E25" w:rsidRPr="00575F21" w:rsidRDefault="00BD22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14:paraId="731A19B3" w14:textId="77777777" w:rsidR="00834E25" w:rsidRPr="00575F21" w:rsidRDefault="00BD22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4B58CFCD" w14:textId="77777777" w:rsidR="00834E25" w:rsidRPr="00575F21" w:rsidRDefault="00BD22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2928DB58" w14:textId="77777777" w:rsidR="00834E25" w:rsidRPr="00575F21" w:rsidRDefault="00BD22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1F7379B7" w14:textId="77777777" w:rsidR="00834E25" w:rsidRPr="00575F21" w:rsidRDefault="00BD22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2C11248B" w14:textId="77777777" w:rsidR="00834E25" w:rsidRPr="00575F21" w:rsidRDefault="00BD226D" w:rsidP="00575F21">
      <w:pPr>
        <w:spacing w:line="360" w:lineRule="auto"/>
        <w:ind w:firstLineChars="200" w:firstLine="420"/>
        <w:rPr>
          <w:rFonts w:ascii="宋体" w:eastAsia="宋体" w:hAnsi="宋体" w:cs="方正仿宋简体"/>
          <w:iCs/>
          <w:szCs w:val="21"/>
        </w:rPr>
        <w:sectPr w:rsidR="00834E25" w:rsidRPr="00575F21"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28B3B1C7" w14:textId="77777777" w:rsidR="00834E25" w:rsidRDefault="00BD226D"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10B7EB80" w14:textId="77777777" w:rsidR="00C723AC" w:rsidRPr="00C723AC" w:rsidRDefault="0065120C" w:rsidP="00C723AC">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无</w:t>
      </w:r>
    </w:p>
    <w:sectPr w:rsidR="00C723AC" w:rsidRPr="00C723AC" w:rsidSect="0097619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86E9" w14:textId="77777777" w:rsidR="00D660B9" w:rsidRDefault="00D660B9" w:rsidP="00504660">
      <w:r>
        <w:separator/>
      </w:r>
    </w:p>
  </w:endnote>
  <w:endnote w:type="continuationSeparator" w:id="0">
    <w:p w14:paraId="6539F0BC" w14:textId="77777777" w:rsidR="00D660B9" w:rsidRDefault="00D660B9" w:rsidP="0050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4D62C" w14:textId="77777777" w:rsidR="00D660B9" w:rsidRDefault="00D660B9" w:rsidP="00504660">
      <w:r>
        <w:separator/>
      </w:r>
    </w:p>
  </w:footnote>
  <w:footnote w:type="continuationSeparator" w:id="0">
    <w:p w14:paraId="5DDB9938" w14:textId="77777777" w:rsidR="00D660B9" w:rsidRDefault="00D660B9" w:rsidP="0050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D1CE4856">
      <w:start w:val="1"/>
      <w:numFmt w:val="japaneseCounting"/>
      <w:lvlText w:val="%1、"/>
      <w:lvlJc w:val="left"/>
      <w:pPr>
        <w:ind w:left="450" w:hanging="450"/>
      </w:pPr>
      <w:rPr>
        <w:rFonts w:hint="default"/>
      </w:rPr>
    </w:lvl>
    <w:lvl w:ilvl="1" w:tplc="9C7CE026" w:tentative="1">
      <w:start w:val="1"/>
      <w:numFmt w:val="lowerLetter"/>
      <w:lvlText w:val="%2)"/>
      <w:lvlJc w:val="left"/>
      <w:pPr>
        <w:ind w:left="840" w:hanging="420"/>
      </w:pPr>
    </w:lvl>
    <w:lvl w:ilvl="2" w:tplc="A13CE89C" w:tentative="1">
      <w:start w:val="1"/>
      <w:numFmt w:val="lowerRoman"/>
      <w:lvlText w:val="%3."/>
      <w:lvlJc w:val="right"/>
      <w:pPr>
        <w:ind w:left="1260" w:hanging="420"/>
      </w:pPr>
    </w:lvl>
    <w:lvl w:ilvl="3" w:tplc="4E5EF140" w:tentative="1">
      <w:start w:val="1"/>
      <w:numFmt w:val="decimal"/>
      <w:lvlText w:val="%4."/>
      <w:lvlJc w:val="left"/>
      <w:pPr>
        <w:ind w:left="1680" w:hanging="420"/>
      </w:pPr>
    </w:lvl>
    <w:lvl w:ilvl="4" w:tplc="C176773C" w:tentative="1">
      <w:start w:val="1"/>
      <w:numFmt w:val="lowerLetter"/>
      <w:lvlText w:val="%5)"/>
      <w:lvlJc w:val="left"/>
      <w:pPr>
        <w:ind w:left="2100" w:hanging="420"/>
      </w:pPr>
    </w:lvl>
    <w:lvl w:ilvl="5" w:tplc="DB640CCE" w:tentative="1">
      <w:start w:val="1"/>
      <w:numFmt w:val="lowerRoman"/>
      <w:lvlText w:val="%6."/>
      <w:lvlJc w:val="right"/>
      <w:pPr>
        <w:ind w:left="2520" w:hanging="420"/>
      </w:pPr>
    </w:lvl>
    <w:lvl w:ilvl="6" w:tplc="A27019C0" w:tentative="1">
      <w:start w:val="1"/>
      <w:numFmt w:val="decimal"/>
      <w:lvlText w:val="%7."/>
      <w:lvlJc w:val="left"/>
      <w:pPr>
        <w:ind w:left="2940" w:hanging="420"/>
      </w:pPr>
    </w:lvl>
    <w:lvl w:ilvl="7" w:tplc="36D63132" w:tentative="1">
      <w:start w:val="1"/>
      <w:numFmt w:val="lowerLetter"/>
      <w:lvlText w:val="%8)"/>
      <w:lvlJc w:val="left"/>
      <w:pPr>
        <w:ind w:left="3360" w:hanging="420"/>
      </w:pPr>
    </w:lvl>
    <w:lvl w:ilvl="8" w:tplc="D7D6B496"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25EAC"/>
    <w:rsid w:val="00036BDF"/>
    <w:rsid w:val="000A68DB"/>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04660"/>
    <w:rsid w:val="0051145B"/>
    <w:rsid w:val="005468DA"/>
    <w:rsid w:val="00561E77"/>
    <w:rsid w:val="005719E9"/>
    <w:rsid w:val="00575F21"/>
    <w:rsid w:val="005836D1"/>
    <w:rsid w:val="005D1C7C"/>
    <w:rsid w:val="0065120C"/>
    <w:rsid w:val="006A230F"/>
    <w:rsid w:val="006C7DD9"/>
    <w:rsid w:val="006E61A9"/>
    <w:rsid w:val="006F6BAE"/>
    <w:rsid w:val="00724EC9"/>
    <w:rsid w:val="00727A53"/>
    <w:rsid w:val="007371E2"/>
    <w:rsid w:val="0074720D"/>
    <w:rsid w:val="00834E25"/>
    <w:rsid w:val="00837612"/>
    <w:rsid w:val="00843029"/>
    <w:rsid w:val="008466B3"/>
    <w:rsid w:val="008A0B11"/>
    <w:rsid w:val="008C558C"/>
    <w:rsid w:val="008C59BE"/>
    <w:rsid w:val="008E1345"/>
    <w:rsid w:val="009E1D5A"/>
    <w:rsid w:val="00A02F78"/>
    <w:rsid w:val="00AA6873"/>
    <w:rsid w:val="00AC240E"/>
    <w:rsid w:val="00AF19F0"/>
    <w:rsid w:val="00B4654F"/>
    <w:rsid w:val="00BC38BD"/>
    <w:rsid w:val="00BD226D"/>
    <w:rsid w:val="00C2264A"/>
    <w:rsid w:val="00C50D7E"/>
    <w:rsid w:val="00C723AC"/>
    <w:rsid w:val="00CE5552"/>
    <w:rsid w:val="00D32707"/>
    <w:rsid w:val="00D420F0"/>
    <w:rsid w:val="00D660B9"/>
    <w:rsid w:val="00D76FFC"/>
    <w:rsid w:val="00D775F8"/>
    <w:rsid w:val="00DA3E8D"/>
    <w:rsid w:val="00DB6279"/>
    <w:rsid w:val="00DF6E25"/>
    <w:rsid w:val="00E01551"/>
    <w:rsid w:val="00E2656A"/>
    <w:rsid w:val="00EA2C49"/>
    <w:rsid w:val="00EB1257"/>
    <w:rsid w:val="00EB4244"/>
    <w:rsid w:val="00F6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836E"/>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Balloon Text"/>
    <w:basedOn w:val="a"/>
    <w:link w:val="Char"/>
    <w:uiPriority w:val="99"/>
    <w:semiHidden/>
    <w:unhideWhenUsed/>
    <w:rsid w:val="0065120C"/>
    <w:rPr>
      <w:sz w:val="18"/>
      <w:szCs w:val="18"/>
    </w:rPr>
  </w:style>
  <w:style w:type="character" w:customStyle="1" w:styleId="Char">
    <w:name w:val="批注框文本 Char"/>
    <w:basedOn w:val="a0"/>
    <w:link w:val="a4"/>
    <w:uiPriority w:val="99"/>
    <w:semiHidden/>
    <w:rsid w:val="0065120C"/>
    <w:rPr>
      <w:sz w:val="18"/>
      <w:szCs w:val="18"/>
    </w:rPr>
  </w:style>
  <w:style w:type="paragraph" w:styleId="a5">
    <w:name w:val="header"/>
    <w:basedOn w:val="a"/>
    <w:link w:val="Char0"/>
    <w:uiPriority w:val="99"/>
    <w:unhideWhenUsed/>
    <w:rsid w:val="005046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4660"/>
    <w:rPr>
      <w:sz w:val="18"/>
      <w:szCs w:val="18"/>
    </w:rPr>
  </w:style>
  <w:style w:type="paragraph" w:styleId="a6">
    <w:name w:val="footer"/>
    <w:basedOn w:val="a"/>
    <w:link w:val="Char1"/>
    <w:uiPriority w:val="99"/>
    <w:unhideWhenUsed/>
    <w:rsid w:val="00504660"/>
    <w:pPr>
      <w:tabs>
        <w:tab w:val="center" w:pos="4153"/>
        <w:tab w:val="right" w:pos="8306"/>
      </w:tabs>
      <w:snapToGrid w:val="0"/>
      <w:jc w:val="left"/>
    </w:pPr>
    <w:rPr>
      <w:sz w:val="18"/>
      <w:szCs w:val="18"/>
    </w:rPr>
  </w:style>
  <w:style w:type="character" w:customStyle="1" w:styleId="Char1">
    <w:name w:val="页脚 Char"/>
    <w:basedOn w:val="a0"/>
    <w:link w:val="a6"/>
    <w:uiPriority w:val="99"/>
    <w:rsid w:val="00504660"/>
    <w:rPr>
      <w:sz w:val="18"/>
      <w:szCs w:val="18"/>
    </w:rPr>
  </w:style>
  <w:style w:type="character" w:styleId="a7">
    <w:name w:val="annotation reference"/>
    <w:basedOn w:val="a0"/>
    <w:uiPriority w:val="99"/>
    <w:semiHidden/>
    <w:unhideWhenUsed/>
    <w:rsid w:val="00504660"/>
    <w:rPr>
      <w:sz w:val="21"/>
      <w:szCs w:val="21"/>
    </w:rPr>
  </w:style>
  <w:style w:type="paragraph" w:styleId="a8">
    <w:name w:val="annotation text"/>
    <w:basedOn w:val="a"/>
    <w:link w:val="Char2"/>
    <w:uiPriority w:val="99"/>
    <w:semiHidden/>
    <w:unhideWhenUsed/>
    <w:rsid w:val="00504660"/>
    <w:pPr>
      <w:jc w:val="left"/>
    </w:pPr>
  </w:style>
  <w:style w:type="character" w:customStyle="1" w:styleId="Char2">
    <w:name w:val="批注文字 Char"/>
    <w:basedOn w:val="a0"/>
    <w:link w:val="a8"/>
    <w:uiPriority w:val="99"/>
    <w:semiHidden/>
    <w:rsid w:val="00504660"/>
  </w:style>
  <w:style w:type="paragraph" w:styleId="a9">
    <w:name w:val="annotation subject"/>
    <w:basedOn w:val="a8"/>
    <w:next w:val="a8"/>
    <w:link w:val="Char3"/>
    <w:uiPriority w:val="99"/>
    <w:semiHidden/>
    <w:unhideWhenUsed/>
    <w:rsid w:val="00504660"/>
    <w:rPr>
      <w:b/>
      <w:bCs/>
    </w:rPr>
  </w:style>
  <w:style w:type="character" w:customStyle="1" w:styleId="Char3">
    <w:name w:val="批注主题 Char"/>
    <w:basedOn w:val="Char2"/>
    <w:link w:val="a9"/>
    <w:uiPriority w:val="99"/>
    <w:semiHidden/>
    <w:rsid w:val="00504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张璋</cp:lastModifiedBy>
  <cp:revision>10</cp:revision>
  <dcterms:created xsi:type="dcterms:W3CDTF">2023-02-28T10:25:00Z</dcterms:created>
  <dcterms:modified xsi:type="dcterms:W3CDTF">2023-05-15T02:01:00Z</dcterms:modified>
</cp:coreProperties>
</file>