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汇添富数字经济核心产业一年持有期混合型证券投资基金C类份额更新基金产品资料概要(2023年05月17日更新)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2023年05月16日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2023年05月17日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汇添富数字经济核心产业一年持有期混合</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016157</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汇添富数字经济核心产业一年持有期混合C</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016158</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中国工商银行股份有限公司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2022年10月31日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混合型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最短持有期一年</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马翔</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2022年10月31日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2011年07月01日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郑乐凯</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2023年05月12日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2014年07月15日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本基金对于每份基金份额设置一年的最短持有期，在最短持有期内基金份额持有人不能提出赎回申请，最短持有期届满后方可提出赎回申请。以红利再投资方式取得的基金份额的持有到期时间与投资者原持有的基金份额最短持有期到期时间一致。</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本基金为偏股混合型基金。</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本基金以基本面分析为立足点，在科学严格管理风险的前提下，重点投资于数字经济核心产业相关上市公司，力争实现基金资产的中长期稳健增值。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含主板、创业板及其他经中国证监会允许上市的股票、存托凭证）、港股通标的股票、债券（包括国债、央行票据、金融债券、企业债券、公司债券、中期票据、短期融资券、超短期融资券、公开发行的次级债券、政府机构债券、地方政府债券、可交换债券、可转换债券（含分离交易可转债）及其他经中国证监会允许投资的债券）、资产支持证券、债券回购、同业存单、银行存款（包括协议存款、定期存款及其他银行存款）、货币市场工具、股指期货、股票期权、国债期货以及法律法规或中国证监会允许基金投资的其他金融工具(但须符合中国证监会相关规定)。本基金还可根据法律法规参与融资。</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股票资产占基金资产的比例不低于60%（其中投资于港股通标的股票的比例不超过股票资产的50%）；每个交易日日终在扣除股指期货、国债期货和股票期权合约需缴纳的交易保证金后，本基金保留的现金或投资于到期日在一年以内的政府债券的比例合计不低于基金资产净值的5%，其中现金不包括结算备付金、存出保证金、应收申购款等。本基金投资于数字经济核心产业相关上市公司证券的比例不低于非现金基金资产的80%。</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 xml:space="preserve">如法律法规或监管机构变更投资品种的投资比例限制，基金管理人在履行适当程序后，可以调整上述投资品种的投资比例。 </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投资策略主要包括资产配置策略和个股精选策略。其中，资产配置策略用于确定大类资产配置比例以有效规避系统性风险；个股精选策略主要用于挖掘数字经济核心产业中的优质上市公司。本基金的投资策略还包括债券投资策略、可转债及可交换债投资策略、资产支持证券投资策略、股指期货投资策略、股票期权投资策略、融资投资策略、国债期货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中证文体指数收益率*20%+中证TMT产业主题指数收益率*20%+中证消费服务领先指数收益率*20%+恒生指数收益率(使用估值汇率折算)*20%+中债综合指数收益率*20%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本基金为混合型基金，其预期风险收益水平低于股票型基金，高于债券型基金及货币市场基金。</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本基金还可投资港股通标的股票，将面临港股通机制下因投资环境、投资标的、市场制度以及交易规则等差异带来的特有风险。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宋体"/>
          <w:b/>
          <w:bCs/>
          <w:iCs/>
          <w:color w:val="000000"/>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color w:val="000000"/>
          <w:szCs w:val="21"/>
        </w:rPr>
      </w:pPr>
      <w:r>
        <w:rPr>
          <w:rFonts w:ascii="宋体" w:eastAsia="宋体" w:hAnsi="宋体" w:cs="宋体"/>
          <w:iCs/>
          <w:color w:val="000000"/>
          <w:szCs w:val="21"/>
        </w:rPr>
        <w:t>无</w:t>
      </w:r>
    </w:p>
    <w:p w:rsidR="002712C4" w:rsidRPr="00292ED2" w:rsidP="00D76FFC">
      <w:pPr>
        <w:spacing w:line="360" w:lineRule="auto"/>
        <w:rPr>
          <w:rFonts w:ascii="宋体" w:eastAsia="宋体" w:hAnsi="宋体" w:cs="宋体"/>
          <w:iCs/>
          <w:color w:val="000000"/>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宋体"/>
          <w:b/>
          <w:bCs/>
          <w:iCs/>
          <w:color w:val="000000"/>
          <w:szCs w:val="21"/>
        </w:rPr>
      </w:pPr>
      <w:r w:rsidRPr="00A02F78">
        <w:rPr>
          <w:rFonts w:ascii="宋体" w:eastAsia="宋体" w:hAnsi="宋体" w:cs="方正仿宋简体" w:hint="eastAsia"/>
          <w:b/>
          <w:bCs/>
          <w:iCs/>
          <w:szCs w:val="21"/>
        </w:rPr>
        <w:t>（三）</w:t>
      </w:r>
      <w:r w:rsidRPr="00A02F78">
        <w:rPr>
          <w:rFonts w:ascii="宋体" w:eastAsia="宋体" w:hAnsi="宋体" w:cs="宋体"/>
          <w:b/>
          <w:bCs/>
          <w:iCs/>
          <w:color w:val="000000"/>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color w:val="000000"/>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color w:val="000000"/>
          <w:szCs w:val="21"/>
        </w:rPr>
        <w:t>无</w:t>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15"/>
        <w:gridCol w:w="4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本基金C类基金份额不收取申购费。</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本基金C类基金份额不收取赎回费。</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77"/>
        <w:gridCol w:w="2877"/>
        <w:gridCol w:w="287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0.6%</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信息披露费用、会计师费、律师费、诉讼费和仲裁费、基金份额持有人大会费用、基金的证券/期货等交易费用、基金的银行汇划费用、基金的账户开户费用、账户维护费用、因投资港股通标的股票而产生的各项合理费用等费用。</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 xml:space="preserve">注：本基金费用的计算方法和支付方式详见本基金的《招募说明书》。本基金交易证券、基金等产生的费用和税负，按实际发生额从基金资产扣除。 </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 xml:space="preserve">本基金的风险包括：市场风险、管理风险、流动性风险（其中包括最短持有期限内不能赎回基金份额的风险）、特有风险、操作或技术风险、合规性风险、本基金法律文件风险收益特征表述与销售机构基金风险评价可能不一致的风险、启用侧袋机制的风险及其他风险等。其中特有风险包括：1、股指期货投资风险；2、股票期权投资风险；3、国债期货投资风险；4、参与融资交易风险；5、投资港股通标的股票的风险；6、资产支持证券投资风险；7、流通受限证券投资风险；8、存托凭证投资风险。 </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 xml:space="preserve">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 </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本次更新因基金经理变更。</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A0B11"/>
    <w:rsid w:val="008C558C"/>
    <w:rsid w:val="008C59BE"/>
    <w:rsid w:val="009E1D5A"/>
    <w:rsid w:val="00A02F78"/>
    <w:rsid w:val="00AC240E"/>
    <w:rsid w:val="00AF19F0"/>
    <w:rsid w:val="00B4654F"/>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