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A2" w:rsidRPr="005B4B36" w:rsidRDefault="002203A2" w:rsidP="002203A2">
      <w:pPr>
        <w:autoSpaceDE w:val="0"/>
        <w:autoSpaceDN w:val="0"/>
        <w:adjustRightInd w:val="0"/>
        <w:spacing w:beforeLines="20" w:before="62" w:line="300" w:lineRule="exact"/>
        <w:ind w:rightChars="9" w:right="19" w:firstLineChars="196" w:firstLine="630"/>
        <w:jc w:val="center"/>
        <w:rPr>
          <w:rFonts w:ascii="宋体" w:hAnsi="宋体" w:cs="宋体"/>
          <w:b/>
          <w:bCs/>
        </w:rPr>
      </w:pPr>
      <w:bookmarkStart w:id="0" w:name="_GoBack"/>
      <w:bookmarkEnd w:id="0"/>
      <w:r w:rsidRPr="005B4B36">
        <w:rPr>
          <w:rFonts w:hAnsi="宋体" w:hint="eastAsia"/>
          <w:b/>
          <w:bCs/>
          <w:sz w:val="32"/>
          <w:szCs w:val="32"/>
        </w:rPr>
        <w:t>苏州银行理财投资者权益须知</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尊敬的投资者：</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购买苏州银行股份有限公司发行的</w:t>
      </w:r>
      <w:r>
        <w:rPr>
          <w:rFonts w:ascii="宋体" w:hAnsi="宋体" w:hint="eastAsia"/>
          <w:bCs/>
        </w:rPr>
        <w:t>理财</w:t>
      </w:r>
      <w:r w:rsidRPr="005B4B36">
        <w:rPr>
          <w:rFonts w:ascii="宋体" w:hAnsi="宋体" w:hint="eastAsia"/>
          <w:bCs/>
        </w:rPr>
        <w:t>产品，有机会获取投资收益，同时也存在一定投资风险，为了保护您的合法权益，请在购买之前认真阅读以下内容：</w:t>
      </w:r>
    </w:p>
    <w:p w:rsidR="002203A2" w:rsidRPr="004C5A75" w:rsidRDefault="002203A2" w:rsidP="002203A2">
      <w:pPr>
        <w:autoSpaceDE w:val="0"/>
        <w:autoSpaceDN w:val="0"/>
        <w:adjustRightInd w:val="0"/>
        <w:spacing w:beforeLines="20" w:before="62" w:line="300" w:lineRule="exact"/>
        <w:ind w:rightChars="9" w:right="19"/>
        <w:jc w:val="left"/>
        <w:rPr>
          <w:rFonts w:ascii="宋体" w:hAnsi="宋体"/>
          <w:b/>
          <w:bCs/>
        </w:rPr>
      </w:pPr>
      <w:r w:rsidRPr="004C5A75">
        <w:rPr>
          <w:rFonts w:ascii="宋体" w:hAnsi="宋体" w:hint="eastAsia"/>
          <w:b/>
          <w:bCs/>
        </w:rPr>
        <w:t>一、理财产品办理流程</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投资者可通过</w:t>
      </w:r>
      <w:r>
        <w:rPr>
          <w:rFonts w:ascii="宋体" w:hAnsi="宋体" w:hint="eastAsia"/>
          <w:bCs/>
        </w:rPr>
        <w:t>我行</w:t>
      </w:r>
      <w:r w:rsidRPr="005B4B36">
        <w:rPr>
          <w:rFonts w:ascii="宋体" w:hAnsi="宋体" w:hint="eastAsia"/>
          <w:bCs/>
        </w:rPr>
        <w:t>直销渠道及代销渠道、客服电话、线上销售程序等途径了解理财产品 购买方式、收费标准及方式，通过具体产品说明书了解产品要素。</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投资者需填写</w:t>
      </w:r>
      <w:r>
        <w:rPr>
          <w:rFonts w:ascii="宋体" w:hAnsi="宋体" w:hint="eastAsia"/>
          <w:bCs/>
        </w:rPr>
        <w:t>苏州银行</w:t>
      </w:r>
      <w:r w:rsidRPr="005B4B36">
        <w:rPr>
          <w:rFonts w:ascii="宋体" w:hAnsi="宋体" w:hint="eastAsia"/>
          <w:bCs/>
        </w:rPr>
        <w:t>《理财</w:t>
      </w:r>
      <w:r>
        <w:rPr>
          <w:rFonts w:ascii="宋体" w:hAnsi="宋体" w:hint="eastAsia"/>
          <w:bCs/>
        </w:rPr>
        <w:t>客户</w:t>
      </w:r>
      <w:r w:rsidRPr="005B4B36">
        <w:rPr>
          <w:rFonts w:ascii="宋体" w:hAnsi="宋体" w:hint="eastAsia"/>
          <w:bCs/>
        </w:rPr>
        <w:t>风险评估问卷》或我行认可的其他代销渠道具有同等效力的投资者风险评估问卷，了解自身风险承受能力评估情况、投资期限和流动性要求。</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在决定购买前，投资者还需阅读并签署具体理财产品销售文件（包括但不限于协议、</w:t>
      </w:r>
      <w:r>
        <w:rPr>
          <w:rFonts w:ascii="宋体" w:hAnsi="宋体" w:hint="eastAsia"/>
          <w:bCs/>
        </w:rPr>
        <w:t>投</w:t>
      </w:r>
      <w:r w:rsidRPr="005B4B36">
        <w:rPr>
          <w:rFonts w:ascii="宋体" w:hAnsi="宋体" w:hint="eastAsia"/>
          <w:bCs/>
        </w:rPr>
        <w:t>资者权益须知、风险揭示书及对应期次的理财产品说明</w:t>
      </w:r>
      <w:r>
        <w:rPr>
          <w:rFonts w:ascii="宋体" w:hAnsi="宋体" w:hint="eastAsia"/>
          <w:bCs/>
        </w:rPr>
        <w:t>书</w:t>
      </w:r>
      <w:r w:rsidRPr="005B4B36">
        <w:rPr>
          <w:rFonts w:ascii="宋体" w:hAnsi="宋体" w:hint="eastAsia"/>
          <w:bCs/>
        </w:rPr>
        <w:t>），并抄录确认语句。</w:t>
      </w:r>
    </w:p>
    <w:p w:rsidR="002203A2" w:rsidRPr="004C5A75" w:rsidRDefault="002203A2" w:rsidP="002203A2">
      <w:pPr>
        <w:autoSpaceDE w:val="0"/>
        <w:autoSpaceDN w:val="0"/>
        <w:adjustRightInd w:val="0"/>
        <w:spacing w:beforeLines="20" w:before="62" w:line="300" w:lineRule="exact"/>
        <w:ind w:rightChars="9" w:right="19"/>
        <w:jc w:val="left"/>
        <w:rPr>
          <w:rFonts w:ascii="宋体" w:hAnsi="宋体"/>
          <w:b/>
          <w:bCs/>
        </w:rPr>
      </w:pPr>
      <w:r w:rsidRPr="004C5A75">
        <w:rPr>
          <w:rFonts w:ascii="宋体" w:hAnsi="宋体" w:hint="eastAsia"/>
          <w:b/>
          <w:bCs/>
        </w:rPr>
        <w:t>二、苏州银行理财产品风险评级及投资者风险承受能力评估</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Pr>
          <w:rFonts w:ascii="宋体" w:hAnsi="宋体" w:hint="eastAsia"/>
          <w:bCs/>
        </w:rPr>
        <w:t>理财</w:t>
      </w:r>
      <w:r w:rsidRPr="005B4B36">
        <w:rPr>
          <w:rFonts w:ascii="宋体" w:hAnsi="宋体" w:hint="eastAsia"/>
          <w:bCs/>
        </w:rPr>
        <w:t>产品类型按照风险由低到高依次划分为低风险R1（</w:t>
      </w:r>
      <w:r>
        <w:rPr>
          <w:rFonts w:ascii="宋体" w:hAnsi="宋体" w:cs="宋体" w:hint="eastAsia"/>
        </w:rPr>
        <w:t>★</w:t>
      </w:r>
      <w:r w:rsidRPr="005B4B36">
        <w:rPr>
          <w:rFonts w:ascii="宋体" w:hAnsi="宋体" w:hint="eastAsia"/>
          <w:bCs/>
        </w:rPr>
        <w:t>）、中低风险R2（</w:t>
      </w:r>
      <w:r>
        <w:rPr>
          <w:rFonts w:ascii="宋体" w:hAnsi="宋体" w:cs="宋体" w:hint="eastAsia"/>
        </w:rPr>
        <w:t>★★</w:t>
      </w:r>
      <w:r w:rsidRPr="005B4B36">
        <w:rPr>
          <w:rFonts w:ascii="宋体" w:hAnsi="宋体" w:hint="eastAsia"/>
          <w:bCs/>
        </w:rPr>
        <w:t>）、中等风险R3（</w:t>
      </w:r>
      <w:r>
        <w:rPr>
          <w:rFonts w:ascii="宋体" w:hAnsi="宋体" w:cs="宋体" w:hint="eastAsia"/>
        </w:rPr>
        <w:t>★★★</w:t>
      </w:r>
      <w:r w:rsidRPr="005B4B36">
        <w:rPr>
          <w:rFonts w:ascii="宋体" w:hAnsi="宋体" w:hint="eastAsia"/>
          <w:bCs/>
        </w:rPr>
        <w:t>）、中高风险R4（</w:t>
      </w:r>
      <w:r>
        <w:rPr>
          <w:rFonts w:ascii="宋体" w:hAnsi="宋体" w:cs="宋体" w:hint="eastAsia"/>
        </w:rPr>
        <w:t>★★★★</w:t>
      </w:r>
      <w:r w:rsidRPr="005B4B36">
        <w:rPr>
          <w:rFonts w:ascii="宋体" w:hAnsi="宋体" w:hint="eastAsia"/>
          <w:bCs/>
        </w:rPr>
        <w:t>）和高风险R5（</w:t>
      </w:r>
      <w:r w:rsidRPr="009E5C78">
        <w:rPr>
          <w:rFonts w:ascii="宋体" w:hAnsi="宋体" w:cs="宋体" w:hint="eastAsia"/>
        </w:rPr>
        <w:t>★★★★★</w:t>
      </w:r>
      <w:r w:rsidRPr="005B4B36">
        <w:rPr>
          <w:rFonts w:ascii="宋体" w:hAnsi="宋体" w:hint="eastAsia"/>
          <w:bCs/>
        </w:rPr>
        <w:t>）五个级别，苏州银行根据产品投资对象、实际的风险控制情况、投资运作情况等确定产品归属的风险等级，并在产品说明书中对产品风险等级及其适合销售的投资者范围进行披露，属于苏州银行内部评级，仅供投资者参考，不具有任何法律约束力。</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投资者在首次购买理财产品前，需填写</w:t>
      </w:r>
      <w:r>
        <w:rPr>
          <w:rFonts w:ascii="宋体" w:hAnsi="宋体" w:hint="eastAsia"/>
          <w:bCs/>
        </w:rPr>
        <w:t>苏州银行</w:t>
      </w:r>
      <w:r w:rsidRPr="005B4B36">
        <w:rPr>
          <w:rFonts w:ascii="宋体" w:hAnsi="宋体" w:hint="eastAsia"/>
          <w:bCs/>
        </w:rPr>
        <w:t>《理财</w:t>
      </w:r>
      <w:r>
        <w:rPr>
          <w:rFonts w:ascii="宋体" w:hAnsi="宋体" w:hint="eastAsia"/>
          <w:bCs/>
        </w:rPr>
        <w:t>客户</w:t>
      </w:r>
      <w:r w:rsidRPr="005B4B36">
        <w:rPr>
          <w:rFonts w:ascii="宋体" w:hAnsi="宋体" w:hint="eastAsia"/>
          <w:bCs/>
        </w:rPr>
        <w:t>风险评估问卷》或我行认可的其他代销渠道具有同等效力的投资者风险评估问卷。超过一年未进行风险承受能力评估或发生可能影响自身风险承受能力情况的投资者，再次购买理财产品前，应当重新完成风险承受能力评估。</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对于通过</w:t>
      </w:r>
      <w:r>
        <w:rPr>
          <w:rFonts w:ascii="宋体" w:hAnsi="宋体" w:hint="eastAsia"/>
          <w:bCs/>
        </w:rPr>
        <w:t>苏州银行</w:t>
      </w:r>
      <w:r w:rsidRPr="005B4B36">
        <w:rPr>
          <w:rFonts w:ascii="宋体" w:hAnsi="宋体" w:hint="eastAsia"/>
          <w:bCs/>
        </w:rPr>
        <w:t>《理财</w:t>
      </w:r>
      <w:r>
        <w:rPr>
          <w:rFonts w:ascii="宋体" w:hAnsi="宋体" w:hint="eastAsia"/>
          <w:bCs/>
        </w:rPr>
        <w:t>客户</w:t>
      </w:r>
      <w:r w:rsidRPr="005B4B36">
        <w:rPr>
          <w:rFonts w:ascii="宋体" w:hAnsi="宋体" w:hint="eastAsia"/>
          <w:bCs/>
        </w:rPr>
        <w:t>风险评估问卷》进行风险承受能力评估的投资者，风险承受能力可分为5级，由低至高分别为保守型、谨慎型、稳健型、进取型、激进型</w:t>
      </w:r>
    </w:p>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r w:rsidRPr="005B4B36">
        <w:rPr>
          <w:rFonts w:ascii="宋体" w:hAnsi="宋体" w:hint="eastAsia"/>
          <w:bCs/>
        </w:rPr>
        <w:t>投资者应购买与本人风险级别相匹配的理财产品，匹配情况如下，：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839"/>
        <w:gridCol w:w="2839"/>
      </w:tblGrid>
      <w:tr w:rsidR="002203A2" w:rsidRPr="004906C7" w:rsidTr="00F562D7">
        <w:tc>
          <w:tcPr>
            <w:tcW w:w="2906"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产品风险等级</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风险等级说明</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适合销售的投资者</w:t>
            </w:r>
          </w:p>
        </w:tc>
      </w:tr>
      <w:tr w:rsidR="002203A2" w:rsidRPr="004906C7" w:rsidTr="00F562D7">
        <w:tc>
          <w:tcPr>
            <w:tcW w:w="2906" w:type="dxa"/>
            <w:shd w:val="clear" w:color="auto" w:fill="auto"/>
            <w:vAlign w:val="center"/>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R1（</w:t>
            </w:r>
            <w:r w:rsidRPr="004906C7">
              <w:rPr>
                <w:rFonts w:ascii="宋体" w:hAnsi="宋体" w:cs="宋体" w:hint="eastAsia"/>
              </w:rPr>
              <w:t>★</w:t>
            </w:r>
            <w:r w:rsidRPr="004906C7">
              <w:rPr>
                <w:rFonts w:ascii="宋体" w:hAnsi="宋体" w:cs="宋体" w:hint="eastAsia"/>
                <w:b/>
              </w:rPr>
              <w:t>）</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理财产品的总体风险程度很低，公司不承诺本金的完全保障，净值波动很小。管理人对于产品本金的安全有较为充分的把握。</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风险承受能力评估为：保守型、谨慎型、稳健型、进取型、激进型</w:t>
            </w:r>
          </w:p>
        </w:tc>
      </w:tr>
      <w:tr w:rsidR="002203A2" w:rsidRPr="004906C7" w:rsidTr="00F562D7">
        <w:tc>
          <w:tcPr>
            <w:tcW w:w="2906" w:type="dxa"/>
            <w:shd w:val="clear" w:color="auto" w:fill="auto"/>
            <w:vAlign w:val="center"/>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R2（</w:t>
            </w:r>
            <w:r w:rsidRPr="004906C7">
              <w:rPr>
                <w:rFonts w:ascii="宋体" w:hAnsi="宋体" w:cs="宋体" w:hint="eastAsia"/>
              </w:rPr>
              <w:t>★★</w:t>
            </w:r>
            <w:r w:rsidRPr="004906C7">
              <w:rPr>
                <w:rFonts w:ascii="宋体" w:hAnsi="宋体" w:cs="宋体" w:hint="eastAsia"/>
                <w:b/>
              </w:rPr>
              <w:t>）</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理财产品的总体风险程度较低，公司不承诺本金保障，净值波动较小。虽然存在一些可能对产品本金安全产生不利影响的因素，但产品本金出现损失的可能性较小。</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风险承受能力评估为：谨慎型、稳健型、进取型、激进型</w:t>
            </w:r>
          </w:p>
        </w:tc>
      </w:tr>
      <w:tr w:rsidR="002203A2" w:rsidRPr="004906C7" w:rsidTr="00F562D7">
        <w:tc>
          <w:tcPr>
            <w:tcW w:w="2906" w:type="dxa"/>
            <w:shd w:val="clear" w:color="auto" w:fill="auto"/>
            <w:vAlign w:val="center"/>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R3（</w:t>
            </w:r>
            <w:r w:rsidRPr="004906C7">
              <w:rPr>
                <w:rFonts w:ascii="宋体" w:hAnsi="宋体" w:cs="宋体" w:hint="eastAsia"/>
              </w:rPr>
              <w:t>★★★</w:t>
            </w:r>
            <w:r w:rsidRPr="004906C7">
              <w:rPr>
                <w:rFonts w:ascii="宋体" w:hAnsi="宋体" w:cs="宋体" w:hint="eastAsia"/>
                <w:b/>
              </w:rPr>
              <w:t>）</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理财产品的总体风险程度适中，公司不承诺本金保障，净值随投资的市场表现波动较明显，产品本金出现损失的可能性不容忽视。</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风险承受能力评估为：稳健型、进取型、激进型</w:t>
            </w:r>
          </w:p>
        </w:tc>
      </w:tr>
      <w:tr w:rsidR="002203A2" w:rsidRPr="004906C7" w:rsidTr="00F562D7">
        <w:tc>
          <w:tcPr>
            <w:tcW w:w="2906" w:type="dxa"/>
            <w:shd w:val="clear" w:color="auto" w:fill="auto"/>
            <w:vAlign w:val="center"/>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t>R4（</w:t>
            </w:r>
            <w:r w:rsidRPr="004906C7">
              <w:rPr>
                <w:rFonts w:ascii="宋体" w:hAnsi="宋体" w:cs="宋体" w:hint="eastAsia"/>
              </w:rPr>
              <w:t>★★★★</w:t>
            </w:r>
            <w:r w:rsidRPr="004906C7">
              <w:rPr>
                <w:rFonts w:ascii="宋体" w:hAnsi="宋体" w:cs="宋体" w:hint="eastAsia"/>
                <w:b/>
              </w:rPr>
              <w:t>）</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理财产品的总体风险程度较</w:t>
            </w:r>
            <w:r w:rsidRPr="004906C7">
              <w:rPr>
                <w:rFonts w:ascii="宋体" w:hAnsi="宋体" w:hint="eastAsia"/>
                <w:bCs/>
              </w:rPr>
              <w:lastRenderedPageBreak/>
              <w:t>高，公司不承诺本金保障，净值随投资的市场表现波动明显，产品本金出现损失的可能性较高。</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lastRenderedPageBreak/>
              <w:t>风险承受能力评估为：进取</w:t>
            </w:r>
            <w:r w:rsidRPr="004906C7">
              <w:rPr>
                <w:rFonts w:ascii="宋体" w:hAnsi="宋体" w:hint="eastAsia"/>
                <w:bCs/>
              </w:rPr>
              <w:lastRenderedPageBreak/>
              <w:t>型、激进型</w:t>
            </w:r>
          </w:p>
        </w:tc>
      </w:tr>
      <w:tr w:rsidR="002203A2" w:rsidRPr="004906C7" w:rsidTr="00F562D7">
        <w:tc>
          <w:tcPr>
            <w:tcW w:w="2906" w:type="dxa"/>
            <w:shd w:val="clear" w:color="auto" w:fill="auto"/>
            <w:vAlign w:val="center"/>
          </w:tcPr>
          <w:p w:rsidR="002203A2" w:rsidRPr="004906C7" w:rsidRDefault="002203A2" w:rsidP="002203A2">
            <w:pPr>
              <w:autoSpaceDE w:val="0"/>
              <w:autoSpaceDN w:val="0"/>
              <w:adjustRightInd w:val="0"/>
              <w:spacing w:beforeLines="20" w:before="62" w:line="300" w:lineRule="exact"/>
              <w:ind w:rightChars="9" w:right="19"/>
              <w:jc w:val="center"/>
              <w:rPr>
                <w:rFonts w:ascii="宋体" w:hAnsi="宋体"/>
                <w:b/>
                <w:bCs/>
              </w:rPr>
            </w:pPr>
            <w:r w:rsidRPr="004906C7">
              <w:rPr>
                <w:rFonts w:ascii="宋体" w:hAnsi="宋体" w:hint="eastAsia"/>
                <w:b/>
                <w:bCs/>
              </w:rPr>
              <w:lastRenderedPageBreak/>
              <w:t>R5（</w:t>
            </w:r>
            <w:r w:rsidRPr="004906C7">
              <w:rPr>
                <w:rFonts w:ascii="宋体" w:hAnsi="宋体" w:cs="宋体" w:hint="eastAsia"/>
              </w:rPr>
              <w:t>★★★★★</w:t>
            </w:r>
            <w:r w:rsidRPr="004906C7">
              <w:rPr>
                <w:rFonts w:ascii="宋体" w:hAnsi="宋体" w:cs="宋体" w:hint="eastAsia"/>
                <w:b/>
              </w:rPr>
              <w:t>）</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理财产品的总体风险程度高，公司不承诺本金保障，净值随投资的市场表现波动明显，产品本金出现损失的可能性很高，产品本金蒙受全部损失的可能性不容忽视。</w:t>
            </w:r>
          </w:p>
        </w:tc>
        <w:tc>
          <w:tcPr>
            <w:tcW w:w="2907" w:type="dxa"/>
            <w:shd w:val="clear" w:color="auto" w:fill="auto"/>
          </w:tcPr>
          <w:p w:rsidR="002203A2" w:rsidRPr="004906C7" w:rsidRDefault="002203A2" w:rsidP="002203A2">
            <w:pPr>
              <w:autoSpaceDE w:val="0"/>
              <w:autoSpaceDN w:val="0"/>
              <w:adjustRightInd w:val="0"/>
              <w:spacing w:beforeLines="20" w:before="62" w:line="300" w:lineRule="exact"/>
              <w:ind w:rightChars="9" w:right="19"/>
              <w:jc w:val="left"/>
              <w:rPr>
                <w:rFonts w:ascii="宋体" w:hAnsi="宋体"/>
                <w:bCs/>
              </w:rPr>
            </w:pPr>
            <w:r w:rsidRPr="004906C7">
              <w:rPr>
                <w:rFonts w:ascii="宋体" w:hAnsi="宋体" w:hint="eastAsia"/>
                <w:bCs/>
              </w:rPr>
              <w:t>风险承受能力评估为：激进型</w:t>
            </w:r>
          </w:p>
        </w:tc>
      </w:tr>
    </w:tbl>
    <w:p w:rsidR="002203A2" w:rsidRPr="005B4B36" w:rsidRDefault="002203A2" w:rsidP="002203A2">
      <w:pPr>
        <w:autoSpaceDE w:val="0"/>
        <w:autoSpaceDN w:val="0"/>
        <w:adjustRightInd w:val="0"/>
        <w:spacing w:beforeLines="20" w:before="62" w:line="300" w:lineRule="exact"/>
        <w:ind w:rightChars="9" w:right="19" w:firstLineChars="196" w:firstLine="412"/>
        <w:jc w:val="left"/>
        <w:rPr>
          <w:rFonts w:ascii="宋体" w:hAnsi="宋体"/>
          <w:bCs/>
        </w:rPr>
      </w:pPr>
    </w:p>
    <w:p w:rsidR="002203A2" w:rsidRPr="004C5A75" w:rsidRDefault="002203A2" w:rsidP="002203A2">
      <w:pPr>
        <w:autoSpaceDE w:val="0"/>
        <w:autoSpaceDN w:val="0"/>
        <w:adjustRightInd w:val="0"/>
        <w:spacing w:beforeLines="20" w:before="62" w:line="300" w:lineRule="exact"/>
        <w:ind w:rightChars="9" w:right="19"/>
        <w:jc w:val="left"/>
        <w:rPr>
          <w:rFonts w:ascii="宋体" w:hAnsi="宋体"/>
          <w:b/>
          <w:bCs/>
        </w:rPr>
      </w:pPr>
      <w:r w:rsidRPr="004C5A75">
        <w:rPr>
          <w:rFonts w:ascii="宋体" w:hAnsi="宋体" w:hint="eastAsia"/>
          <w:b/>
          <w:bCs/>
        </w:rPr>
        <w:t>三、信息披露：</w:t>
      </w:r>
    </w:p>
    <w:p w:rsidR="002203A2" w:rsidRPr="005B4B36" w:rsidRDefault="002203A2" w:rsidP="002203A2">
      <w:pPr>
        <w:autoSpaceDE w:val="0"/>
        <w:autoSpaceDN w:val="0"/>
        <w:adjustRightInd w:val="0"/>
        <w:spacing w:beforeLines="20" w:before="62" w:line="300" w:lineRule="exact"/>
        <w:ind w:rightChars="9" w:right="19"/>
        <w:jc w:val="left"/>
        <w:rPr>
          <w:rFonts w:ascii="宋体" w:hAnsi="宋体"/>
          <w:bCs/>
        </w:rPr>
      </w:pPr>
      <w:r w:rsidRPr="005B4B36">
        <w:rPr>
          <w:rFonts w:ascii="宋体" w:hAnsi="宋体" w:hint="eastAsia"/>
          <w:bCs/>
        </w:rPr>
        <w:tab/>
        <w:t>苏州银行理财产品将根据产品说明书约定的信息披露方式、渠道和频率及时披露理财产品相关信息。请投资者关注产品说明书中注明的产品信息披露相关内容。</w:t>
      </w:r>
    </w:p>
    <w:p w:rsidR="002203A2" w:rsidRPr="004C5A75" w:rsidRDefault="002203A2" w:rsidP="002203A2">
      <w:pPr>
        <w:autoSpaceDE w:val="0"/>
        <w:autoSpaceDN w:val="0"/>
        <w:adjustRightInd w:val="0"/>
        <w:spacing w:beforeLines="20" w:before="62" w:line="300" w:lineRule="exact"/>
        <w:ind w:rightChars="9" w:right="19"/>
        <w:jc w:val="left"/>
        <w:rPr>
          <w:rFonts w:ascii="宋体" w:hAnsi="宋体"/>
          <w:b/>
          <w:bCs/>
        </w:rPr>
      </w:pPr>
      <w:r w:rsidRPr="004C5A75">
        <w:rPr>
          <w:rFonts w:ascii="宋体" w:hAnsi="宋体" w:hint="eastAsia"/>
          <w:b/>
          <w:bCs/>
        </w:rPr>
        <w:t>四、投诉处理与联络方式：</w:t>
      </w:r>
    </w:p>
    <w:p w:rsidR="002203A2" w:rsidRPr="005B4B36" w:rsidRDefault="002203A2" w:rsidP="002203A2">
      <w:pPr>
        <w:autoSpaceDE w:val="0"/>
        <w:autoSpaceDN w:val="0"/>
        <w:adjustRightInd w:val="0"/>
        <w:spacing w:beforeLines="20" w:before="62" w:line="300" w:lineRule="exact"/>
        <w:ind w:rightChars="9" w:right="19" w:firstLine="420"/>
        <w:jc w:val="left"/>
        <w:rPr>
          <w:rFonts w:ascii="宋体" w:hAnsi="宋体"/>
          <w:bCs/>
        </w:rPr>
      </w:pPr>
      <w:r w:rsidRPr="005B4B36">
        <w:rPr>
          <w:rFonts w:ascii="宋体" w:hAnsi="宋体" w:hint="eastAsia"/>
          <w:bCs/>
        </w:rPr>
        <w:t>如果您对我行理财产品销售服务有任何建议或意见，请联系我行客户经理</w:t>
      </w:r>
      <w:r>
        <w:rPr>
          <w:rFonts w:ascii="宋体" w:hAnsi="宋体" w:hint="eastAsia"/>
          <w:bCs/>
        </w:rPr>
        <w:t>或营业网点，也可致电苏州银行股份有限公司投资者服务热线（0512）</w:t>
      </w:r>
      <w:r w:rsidRPr="005B4B36">
        <w:rPr>
          <w:rFonts w:ascii="宋体" w:hAnsi="宋体" w:hint="eastAsia"/>
          <w:bCs/>
        </w:rPr>
        <w:t>96067</w:t>
      </w:r>
      <w:r>
        <w:rPr>
          <w:rFonts w:ascii="宋体" w:hAnsi="宋体" w:hint="eastAsia"/>
          <w:bCs/>
        </w:rPr>
        <w:t>，</w:t>
      </w:r>
      <w:r w:rsidRPr="005B4B36">
        <w:rPr>
          <w:rFonts w:ascii="宋体" w:hAnsi="宋体" w:hint="eastAsia"/>
          <w:bCs/>
        </w:rPr>
        <w:t>我行将及时受理并竭诚为您服务。</w:t>
      </w:r>
    </w:p>
    <w:p w:rsidR="002203A2" w:rsidRPr="003D5F67" w:rsidRDefault="002203A2" w:rsidP="002203A2">
      <w:pPr>
        <w:autoSpaceDE w:val="0"/>
        <w:autoSpaceDN w:val="0"/>
        <w:adjustRightInd w:val="0"/>
        <w:spacing w:beforeLines="20" w:before="62" w:line="300" w:lineRule="exact"/>
        <w:ind w:rightChars="9" w:right="19" w:firstLineChars="196" w:firstLine="413"/>
        <w:jc w:val="left"/>
        <w:rPr>
          <w:rFonts w:ascii="宋体" w:hAnsi="宋体"/>
          <w:b/>
          <w:bCs/>
        </w:rPr>
      </w:pPr>
    </w:p>
    <w:p w:rsidR="00F03E6F" w:rsidRPr="002203A2" w:rsidRDefault="00F03E6F"/>
    <w:sectPr w:rsidR="00F03E6F" w:rsidRPr="002203A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A2" w:rsidRDefault="002203A2" w:rsidP="002203A2">
      <w:r>
        <w:separator/>
      </w:r>
    </w:p>
  </w:endnote>
  <w:endnote w:type="continuationSeparator" w:id="0">
    <w:p w:rsidR="002203A2" w:rsidRDefault="002203A2" w:rsidP="0022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A2" w:rsidRDefault="002203A2" w:rsidP="002203A2">
      <w:r>
        <w:separator/>
      </w:r>
    </w:p>
  </w:footnote>
  <w:footnote w:type="continuationSeparator" w:id="0">
    <w:p w:rsidR="002203A2" w:rsidRDefault="002203A2" w:rsidP="0022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A2" w:rsidRDefault="002203A2" w:rsidP="002203A2">
    <w:pPr>
      <w:pStyle w:val="a3"/>
    </w:pPr>
    <w:r w:rsidRPr="00710D4E">
      <w:rPr>
        <w:rFonts w:ascii="宋体" w:hAnsi="宋体" w:cs="宋体" w:hint="eastAsia"/>
        <w:b/>
        <w:bCs/>
        <w:sz w:val="21"/>
        <w:szCs w:val="21"/>
      </w:rPr>
      <w:t>理财非存款、产品有风险、投资须谨慎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CF"/>
    <w:rsid w:val="000001F1"/>
    <w:rsid w:val="000013B0"/>
    <w:rsid w:val="00004D74"/>
    <w:rsid w:val="00004EBB"/>
    <w:rsid w:val="000142E3"/>
    <w:rsid w:val="000142E5"/>
    <w:rsid w:val="000153B1"/>
    <w:rsid w:val="000206E3"/>
    <w:rsid w:val="00021476"/>
    <w:rsid w:val="0002216D"/>
    <w:rsid w:val="000242F9"/>
    <w:rsid w:val="0002513F"/>
    <w:rsid w:val="000253D8"/>
    <w:rsid w:val="00033F57"/>
    <w:rsid w:val="00036364"/>
    <w:rsid w:val="000368B9"/>
    <w:rsid w:val="00047851"/>
    <w:rsid w:val="000524B8"/>
    <w:rsid w:val="0005293A"/>
    <w:rsid w:val="00056198"/>
    <w:rsid w:val="000562A5"/>
    <w:rsid w:val="00056F2A"/>
    <w:rsid w:val="00062201"/>
    <w:rsid w:val="00064301"/>
    <w:rsid w:val="00066685"/>
    <w:rsid w:val="0007149E"/>
    <w:rsid w:val="00071AF7"/>
    <w:rsid w:val="00073C56"/>
    <w:rsid w:val="00075EF2"/>
    <w:rsid w:val="00083343"/>
    <w:rsid w:val="0008633F"/>
    <w:rsid w:val="00086640"/>
    <w:rsid w:val="00087642"/>
    <w:rsid w:val="00092147"/>
    <w:rsid w:val="0009344C"/>
    <w:rsid w:val="00093C72"/>
    <w:rsid w:val="000975B7"/>
    <w:rsid w:val="0009780B"/>
    <w:rsid w:val="000A05F3"/>
    <w:rsid w:val="000B7FEE"/>
    <w:rsid w:val="000C0079"/>
    <w:rsid w:val="000C124C"/>
    <w:rsid w:val="000C3CA6"/>
    <w:rsid w:val="000C46E2"/>
    <w:rsid w:val="000C79A9"/>
    <w:rsid w:val="000D2610"/>
    <w:rsid w:val="000D45E3"/>
    <w:rsid w:val="000D590C"/>
    <w:rsid w:val="000D6B84"/>
    <w:rsid w:val="000E0CF0"/>
    <w:rsid w:val="000E1162"/>
    <w:rsid w:val="000E3A91"/>
    <w:rsid w:val="000E42C3"/>
    <w:rsid w:val="000E4628"/>
    <w:rsid w:val="000F5FA7"/>
    <w:rsid w:val="00100E43"/>
    <w:rsid w:val="00100FF5"/>
    <w:rsid w:val="00105382"/>
    <w:rsid w:val="00105D27"/>
    <w:rsid w:val="0010743E"/>
    <w:rsid w:val="00113835"/>
    <w:rsid w:val="001139A4"/>
    <w:rsid w:val="00113AE9"/>
    <w:rsid w:val="00114479"/>
    <w:rsid w:val="001155DF"/>
    <w:rsid w:val="0011693F"/>
    <w:rsid w:val="00122175"/>
    <w:rsid w:val="00132905"/>
    <w:rsid w:val="00145419"/>
    <w:rsid w:val="00145F7C"/>
    <w:rsid w:val="001468B0"/>
    <w:rsid w:val="00153EA6"/>
    <w:rsid w:val="0015636D"/>
    <w:rsid w:val="0015661B"/>
    <w:rsid w:val="001576F0"/>
    <w:rsid w:val="001578A4"/>
    <w:rsid w:val="001626CA"/>
    <w:rsid w:val="0016699E"/>
    <w:rsid w:val="00170986"/>
    <w:rsid w:val="00171FEB"/>
    <w:rsid w:val="00174023"/>
    <w:rsid w:val="00174043"/>
    <w:rsid w:val="00176C43"/>
    <w:rsid w:val="00183146"/>
    <w:rsid w:val="001A2D29"/>
    <w:rsid w:val="001A67B0"/>
    <w:rsid w:val="001A6C09"/>
    <w:rsid w:val="001A6D48"/>
    <w:rsid w:val="001A7868"/>
    <w:rsid w:val="001B1C85"/>
    <w:rsid w:val="001B1F6D"/>
    <w:rsid w:val="001B250B"/>
    <w:rsid w:val="001B2F82"/>
    <w:rsid w:val="001B7904"/>
    <w:rsid w:val="001C02FA"/>
    <w:rsid w:val="001C0A0E"/>
    <w:rsid w:val="001C1091"/>
    <w:rsid w:val="001C1E93"/>
    <w:rsid w:val="001C2CEA"/>
    <w:rsid w:val="001C338B"/>
    <w:rsid w:val="001C52AD"/>
    <w:rsid w:val="001D03CC"/>
    <w:rsid w:val="001E5906"/>
    <w:rsid w:val="001F2988"/>
    <w:rsid w:val="001F414E"/>
    <w:rsid w:val="001F4763"/>
    <w:rsid w:val="001F78B1"/>
    <w:rsid w:val="00200C83"/>
    <w:rsid w:val="00203629"/>
    <w:rsid w:val="00204D58"/>
    <w:rsid w:val="00205890"/>
    <w:rsid w:val="00213064"/>
    <w:rsid w:val="00214D00"/>
    <w:rsid w:val="00216BC6"/>
    <w:rsid w:val="002203A2"/>
    <w:rsid w:val="00223B05"/>
    <w:rsid w:val="00223DCF"/>
    <w:rsid w:val="00227583"/>
    <w:rsid w:val="0023467E"/>
    <w:rsid w:val="0024190D"/>
    <w:rsid w:val="00241C1D"/>
    <w:rsid w:val="00245D60"/>
    <w:rsid w:val="0025555E"/>
    <w:rsid w:val="00256131"/>
    <w:rsid w:val="0026457B"/>
    <w:rsid w:val="00265876"/>
    <w:rsid w:val="00270102"/>
    <w:rsid w:val="002736C4"/>
    <w:rsid w:val="002760FD"/>
    <w:rsid w:val="00280AA0"/>
    <w:rsid w:val="00282C8C"/>
    <w:rsid w:val="00282FA4"/>
    <w:rsid w:val="002830A9"/>
    <w:rsid w:val="00290F23"/>
    <w:rsid w:val="00291BE8"/>
    <w:rsid w:val="002950A7"/>
    <w:rsid w:val="002A2A88"/>
    <w:rsid w:val="002A4C44"/>
    <w:rsid w:val="002A5DB8"/>
    <w:rsid w:val="002A70FF"/>
    <w:rsid w:val="002B0016"/>
    <w:rsid w:val="002B0428"/>
    <w:rsid w:val="002B1820"/>
    <w:rsid w:val="002B467D"/>
    <w:rsid w:val="002B68F5"/>
    <w:rsid w:val="002B7192"/>
    <w:rsid w:val="002C0DCF"/>
    <w:rsid w:val="002C19F0"/>
    <w:rsid w:val="002C1DC2"/>
    <w:rsid w:val="002C5FAD"/>
    <w:rsid w:val="002D15BE"/>
    <w:rsid w:val="002D2517"/>
    <w:rsid w:val="002D4D0C"/>
    <w:rsid w:val="002E0996"/>
    <w:rsid w:val="002E450E"/>
    <w:rsid w:val="002E5509"/>
    <w:rsid w:val="002E7929"/>
    <w:rsid w:val="002F40D4"/>
    <w:rsid w:val="00303C39"/>
    <w:rsid w:val="00303DE1"/>
    <w:rsid w:val="003109A5"/>
    <w:rsid w:val="00311EE6"/>
    <w:rsid w:val="003249A1"/>
    <w:rsid w:val="00325737"/>
    <w:rsid w:val="0032683B"/>
    <w:rsid w:val="003279F0"/>
    <w:rsid w:val="003307F2"/>
    <w:rsid w:val="00332A80"/>
    <w:rsid w:val="00334DD2"/>
    <w:rsid w:val="00336106"/>
    <w:rsid w:val="00352223"/>
    <w:rsid w:val="00352BAC"/>
    <w:rsid w:val="003576CE"/>
    <w:rsid w:val="00357731"/>
    <w:rsid w:val="003614DD"/>
    <w:rsid w:val="00361586"/>
    <w:rsid w:val="0036204C"/>
    <w:rsid w:val="0036384C"/>
    <w:rsid w:val="00366D51"/>
    <w:rsid w:val="00367A08"/>
    <w:rsid w:val="0037480E"/>
    <w:rsid w:val="00375679"/>
    <w:rsid w:val="0037619A"/>
    <w:rsid w:val="003761EE"/>
    <w:rsid w:val="00380D60"/>
    <w:rsid w:val="00385EE4"/>
    <w:rsid w:val="00386242"/>
    <w:rsid w:val="0038754F"/>
    <w:rsid w:val="003905AA"/>
    <w:rsid w:val="003910DF"/>
    <w:rsid w:val="00395881"/>
    <w:rsid w:val="00395ECA"/>
    <w:rsid w:val="003963CF"/>
    <w:rsid w:val="003A5127"/>
    <w:rsid w:val="003B18DF"/>
    <w:rsid w:val="003B38AA"/>
    <w:rsid w:val="003C3A06"/>
    <w:rsid w:val="003C664A"/>
    <w:rsid w:val="003D33A0"/>
    <w:rsid w:val="003D77A1"/>
    <w:rsid w:val="003E113C"/>
    <w:rsid w:val="003E12E0"/>
    <w:rsid w:val="003E229D"/>
    <w:rsid w:val="003F657E"/>
    <w:rsid w:val="003F6A3B"/>
    <w:rsid w:val="00400E2D"/>
    <w:rsid w:val="004028E2"/>
    <w:rsid w:val="00404CD3"/>
    <w:rsid w:val="00406824"/>
    <w:rsid w:val="00407023"/>
    <w:rsid w:val="00407364"/>
    <w:rsid w:val="00407EF2"/>
    <w:rsid w:val="00412650"/>
    <w:rsid w:val="00420B60"/>
    <w:rsid w:val="00421C2D"/>
    <w:rsid w:val="00427215"/>
    <w:rsid w:val="00430462"/>
    <w:rsid w:val="00436346"/>
    <w:rsid w:val="0043735D"/>
    <w:rsid w:val="00442CC4"/>
    <w:rsid w:val="004435FC"/>
    <w:rsid w:val="00444CCD"/>
    <w:rsid w:val="0045087C"/>
    <w:rsid w:val="0045198C"/>
    <w:rsid w:val="0045477F"/>
    <w:rsid w:val="00454B0E"/>
    <w:rsid w:val="00457531"/>
    <w:rsid w:val="0046220E"/>
    <w:rsid w:val="00462618"/>
    <w:rsid w:val="00462BCF"/>
    <w:rsid w:val="0046465E"/>
    <w:rsid w:val="00465213"/>
    <w:rsid w:val="00466A64"/>
    <w:rsid w:val="00466E5B"/>
    <w:rsid w:val="00466F1C"/>
    <w:rsid w:val="00470D99"/>
    <w:rsid w:val="004727C8"/>
    <w:rsid w:val="004744EE"/>
    <w:rsid w:val="00474862"/>
    <w:rsid w:val="00475653"/>
    <w:rsid w:val="00475965"/>
    <w:rsid w:val="00476984"/>
    <w:rsid w:val="00480DF3"/>
    <w:rsid w:val="00481C00"/>
    <w:rsid w:val="00483977"/>
    <w:rsid w:val="0048558F"/>
    <w:rsid w:val="00485674"/>
    <w:rsid w:val="004859B7"/>
    <w:rsid w:val="004875DB"/>
    <w:rsid w:val="0049555C"/>
    <w:rsid w:val="0049598B"/>
    <w:rsid w:val="004A0E48"/>
    <w:rsid w:val="004A1178"/>
    <w:rsid w:val="004A2897"/>
    <w:rsid w:val="004A70EB"/>
    <w:rsid w:val="004A7761"/>
    <w:rsid w:val="004B21B3"/>
    <w:rsid w:val="004C017F"/>
    <w:rsid w:val="004C021C"/>
    <w:rsid w:val="004C0B99"/>
    <w:rsid w:val="004C259E"/>
    <w:rsid w:val="004C3444"/>
    <w:rsid w:val="004C5B3A"/>
    <w:rsid w:val="004C6873"/>
    <w:rsid w:val="004C7E54"/>
    <w:rsid w:val="004D1D1C"/>
    <w:rsid w:val="004D2AA2"/>
    <w:rsid w:val="004D3AD3"/>
    <w:rsid w:val="004D679A"/>
    <w:rsid w:val="004D683C"/>
    <w:rsid w:val="004E36A2"/>
    <w:rsid w:val="004E51CD"/>
    <w:rsid w:val="004E55E4"/>
    <w:rsid w:val="004E58BD"/>
    <w:rsid w:val="004E6CEE"/>
    <w:rsid w:val="004E7476"/>
    <w:rsid w:val="004E74D5"/>
    <w:rsid w:val="004F3487"/>
    <w:rsid w:val="004F3E64"/>
    <w:rsid w:val="004F46AB"/>
    <w:rsid w:val="00500005"/>
    <w:rsid w:val="00501361"/>
    <w:rsid w:val="005018C8"/>
    <w:rsid w:val="00501ACF"/>
    <w:rsid w:val="00506A7A"/>
    <w:rsid w:val="005134C6"/>
    <w:rsid w:val="005136FF"/>
    <w:rsid w:val="00514249"/>
    <w:rsid w:val="00515DB9"/>
    <w:rsid w:val="00520149"/>
    <w:rsid w:val="0052251A"/>
    <w:rsid w:val="005304CB"/>
    <w:rsid w:val="0053143E"/>
    <w:rsid w:val="00531A2D"/>
    <w:rsid w:val="00533216"/>
    <w:rsid w:val="00535619"/>
    <w:rsid w:val="00537E7C"/>
    <w:rsid w:val="00540338"/>
    <w:rsid w:val="005411E2"/>
    <w:rsid w:val="0054470E"/>
    <w:rsid w:val="0055085F"/>
    <w:rsid w:val="00551B84"/>
    <w:rsid w:val="00552127"/>
    <w:rsid w:val="00556B89"/>
    <w:rsid w:val="0056518C"/>
    <w:rsid w:val="00565A93"/>
    <w:rsid w:val="00565C54"/>
    <w:rsid w:val="005660EC"/>
    <w:rsid w:val="00566D33"/>
    <w:rsid w:val="00567089"/>
    <w:rsid w:val="00567B97"/>
    <w:rsid w:val="00567BBC"/>
    <w:rsid w:val="00570890"/>
    <w:rsid w:val="00570D9C"/>
    <w:rsid w:val="00571D67"/>
    <w:rsid w:val="0057349E"/>
    <w:rsid w:val="005807AF"/>
    <w:rsid w:val="005839A7"/>
    <w:rsid w:val="005919BE"/>
    <w:rsid w:val="0059441A"/>
    <w:rsid w:val="005A4E0D"/>
    <w:rsid w:val="005A5AC3"/>
    <w:rsid w:val="005A6BCC"/>
    <w:rsid w:val="005B2726"/>
    <w:rsid w:val="005C0436"/>
    <w:rsid w:val="005C0F36"/>
    <w:rsid w:val="005C4E8D"/>
    <w:rsid w:val="005D19D9"/>
    <w:rsid w:val="005D45A6"/>
    <w:rsid w:val="005D7568"/>
    <w:rsid w:val="005E10D9"/>
    <w:rsid w:val="005E1285"/>
    <w:rsid w:val="005E63FF"/>
    <w:rsid w:val="005E6EAB"/>
    <w:rsid w:val="005F01CC"/>
    <w:rsid w:val="005F10D1"/>
    <w:rsid w:val="005F3580"/>
    <w:rsid w:val="005F43A3"/>
    <w:rsid w:val="005F798C"/>
    <w:rsid w:val="00601B8C"/>
    <w:rsid w:val="00602E66"/>
    <w:rsid w:val="00603BF2"/>
    <w:rsid w:val="00605932"/>
    <w:rsid w:val="00612AEB"/>
    <w:rsid w:val="00613D26"/>
    <w:rsid w:val="00617B0C"/>
    <w:rsid w:val="00622E29"/>
    <w:rsid w:val="00626D39"/>
    <w:rsid w:val="00627BB3"/>
    <w:rsid w:val="00630FAB"/>
    <w:rsid w:val="0063344E"/>
    <w:rsid w:val="00634E24"/>
    <w:rsid w:val="00634F33"/>
    <w:rsid w:val="00636058"/>
    <w:rsid w:val="006372BE"/>
    <w:rsid w:val="006373AE"/>
    <w:rsid w:val="00637CB6"/>
    <w:rsid w:val="00640933"/>
    <w:rsid w:val="00641265"/>
    <w:rsid w:val="0064279F"/>
    <w:rsid w:val="0064627D"/>
    <w:rsid w:val="006505E1"/>
    <w:rsid w:val="00654661"/>
    <w:rsid w:val="00657B74"/>
    <w:rsid w:val="0066188D"/>
    <w:rsid w:val="00661B35"/>
    <w:rsid w:val="00662039"/>
    <w:rsid w:val="00663C36"/>
    <w:rsid w:val="006650C4"/>
    <w:rsid w:val="00670841"/>
    <w:rsid w:val="00673704"/>
    <w:rsid w:val="00673F07"/>
    <w:rsid w:val="006758CD"/>
    <w:rsid w:val="0067642D"/>
    <w:rsid w:val="006775BA"/>
    <w:rsid w:val="00677D98"/>
    <w:rsid w:val="00677DF2"/>
    <w:rsid w:val="006831FB"/>
    <w:rsid w:val="00685316"/>
    <w:rsid w:val="00690F13"/>
    <w:rsid w:val="00694545"/>
    <w:rsid w:val="00696703"/>
    <w:rsid w:val="00697C0E"/>
    <w:rsid w:val="006A3D2F"/>
    <w:rsid w:val="006A60E8"/>
    <w:rsid w:val="006A7327"/>
    <w:rsid w:val="006B07B5"/>
    <w:rsid w:val="006B1266"/>
    <w:rsid w:val="006B2D69"/>
    <w:rsid w:val="006B3689"/>
    <w:rsid w:val="006B3DEE"/>
    <w:rsid w:val="006B5298"/>
    <w:rsid w:val="006B5E0A"/>
    <w:rsid w:val="006C69FC"/>
    <w:rsid w:val="006D278E"/>
    <w:rsid w:val="006D3053"/>
    <w:rsid w:val="006D3F95"/>
    <w:rsid w:val="006D67A0"/>
    <w:rsid w:val="006E1FD7"/>
    <w:rsid w:val="006E5256"/>
    <w:rsid w:val="006E6D80"/>
    <w:rsid w:val="006F4E9B"/>
    <w:rsid w:val="007009CA"/>
    <w:rsid w:val="00702C0F"/>
    <w:rsid w:val="00704238"/>
    <w:rsid w:val="007051A7"/>
    <w:rsid w:val="00712274"/>
    <w:rsid w:val="007155A6"/>
    <w:rsid w:val="00715874"/>
    <w:rsid w:val="00715B04"/>
    <w:rsid w:val="00717096"/>
    <w:rsid w:val="00717A7E"/>
    <w:rsid w:val="00723E22"/>
    <w:rsid w:val="00724DF3"/>
    <w:rsid w:val="007252B9"/>
    <w:rsid w:val="0073015E"/>
    <w:rsid w:val="00730983"/>
    <w:rsid w:val="00732D50"/>
    <w:rsid w:val="007332DD"/>
    <w:rsid w:val="00741D48"/>
    <w:rsid w:val="00742F0F"/>
    <w:rsid w:val="007464CC"/>
    <w:rsid w:val="00746F8C"/>
    <w:rsid w:val="00747275"/>
    <w:rsid w:val="007474C3"/>
    <w:rsid w:val="00747CDC"/>
    <w:rsid w:val="007505B5"/>
    <w:rsid w:val="00750860"/>
    <w:rsid w:val="00752121"/>
    <w:rsid w:val="00753C61"/>
    <w:rsid w:val="007618C0"/>
    <w:rsid w:val="00761FFE"/>
    <w:rsid w:val="007642E3"/>
    <w:rsid w:val="007651EB"/>
    <w:rsid w:val="00771D90"/>
    <w:rsid w:val="0077367C"/>
    <w:rsid w:val="007817F0"/>
    <w:rsid w:val="00790663"/>
    <w:rsid w:val="00790C11"/>
    <w:rsid w:val="0079280A"/>
    <w:rsid w:val="00796949"/>
    <w:rsid w:val="00797AF6"/>
    <w:rsid w:val="007A30A6"/>
    <w:rsid w:val="007A58A4"/>
    <w:rsid w:val="007A7AC3"/>
    <w:rsid w:val="007B2976"/>
    <w:rsid w:val="007B361D"/>
    <w:rsid w:val="007B53B0"/>
    <w:rsid w:val="007B56F6"/>
    <w:rsid w:val="007B68D1"/>
    <w:rsid w:val="007C0382"/>
    <w:rsid w:val="007C266F"/>
    <w:rsid w:val="007C491A"/>
    <w:rsid w:val="007C5E54"/>
    <w:rsid w:val="007D0ADC"/>
    <w:rsid w:val="007D1309"/>
    <w:rsid w:val="007D697E"/>
    <w:rsid w:val="007E032A"/>
    <w:rsid w:val="007E2E7D"/>
    <w:rsid w:val="007E323C"/>
    <w:rsid w:val="007E3890"/>
    <w:rsid w:val="007E3E1F"/>
    <w:rsid w:val="007F0D02"/>
    <w:rsid w:val="007F24DC"/>
    <w:rsid w:val="007F3494"/>
    <w:rsid w:val="007F394B"/>
    <w:rsid w:val="007F7441"/>
    <w:rsid w:val="00800864"/>
    <w:rsid w:val="008009D7"/>
    <w:rsid w:val="008050B4"/>
    <w:rsid w:val="008073E3"/>
    <w:rsid w:val="008078C7"/>
    <w:rsid w:val="00815AF0"/>
    <w:rsid w:val="00815F9D"/>
    <w:rsid w:val="00817AB2"/>
    <w:rsid w:val="00822291"/>
    <w:rsid w:val="00824377"/>
    <w:rsid w:val="008269B6"/>
    <w:rsid w:val="00835089"/>
    <w:rsid w:val="008419D2"/>
    <w:rsid w:val="008427D9"/>
    <w:rsid w:val="008545A5"/>
    <w:rsid w:val="00856058"/>
    <w:rsid w:val="00861B18"/>
    <w:rsid w:val="00862A7A"/>
    <w:rsid w:val="008808FA"/>
    <w:rsid w:val="00881558"/>
    <w:rsid w:val="00881CA7"/>
    <w:rsid w:val="008830C3"/>
    <w:rsid w:val="00886E8E"/>
    <w:rsid w:val="00887DB2"/>
    <w:rsid w:val="008927DF"/>
    <w:rsid w:val="008957C6"/>
    <w:rsid w:val="008A0279"/>
    <w:rsid w:val="008A51C7"/>
    <w:rsid w:val="008B0110"/>
    <w:rsid w:val="008B2A74"/>
    <w:rsid w:val="008B3507"/>
    <w:rsid w:val="008B3982"/>
    <w:rsid w:val="008B5792"/>
    <w:rsid w:val="008B7A56"/>
    <w:rsid w:val="008C3645"/>
    <w:rsid w:val="008C3740"/>
    <w:rsid w:val="008C4201"/>
    <w:rsid w:val="008C5769"/>
    <w:rsid w:val="008C6931"/>
    <w:rsid w:val="008D2878"/>
    <w:rsid w:val="008E41F2"/>
    <w:rsid w:val="008E4405"/>
    <w:rsid w:val="008E666C"/>
    <w:rsid w:val="008E74AA"/>
    <w:rsid w:val="008E7CE9"/>
    <w:rsid w:val="008F0771"/>
    <w:rsid w:val="008F3674"/>
    <w:rsid w:val="008F4BDB"/>
    <w:rsid w:val="008F5469"/>
    <w:rsid w:val="008F6A8D"/>
    <w:rsid w:val="00902D7C"/>
    <w:rsid w:val="00904834"/>
    <w:rsid w:val="00904CB8"/>
    <w:rsid w:val="00905023"/>
    <w:rsid w:val="00905F54"/>
    <w:rsid w:val="00911613"/>
    <w:rsid w:val="00913EDA"/>
    <w:rsid w:val="00915695"/>
    <w:rsid w:val="00924492"/>
    <w:rsid w:val="00924ADD"/>
    <w:rsid w:val="009258B8"/>
    <w:rsid w:val="009260EA"/>
    <w:rsid w:val="00926CAC"/>
    <w:rsid w:val="009277DB"/>
    <w:rsid w:val="00933759"/>
    <w:rsid w:val="00936650"/>
    <w:rsid w:val="00940676"/>
    <w:rsid w:val="009415DD"/>
    <w:rsid w:val="00942019"/>
    <w:rsid w:val="00952420"/>
    <w:rsid w:val="009526E9"/>
    <w:rsid w:val="00960F36"/>
    <w:rsid w:val="00961264"/>
    <w:rsid w:val="00961712"/>
    <w:rsid w:val="009647BC"/>
    <w:rsid w:val="0097002E"/>
    <w:rsid w:val="009753DA"/>
    <w:rsid w:val="00977C4E"/>
    <w:rsid w:val="00977FF6"/>
    <w:rsid w:val="00982EA8"/>
    <w:rsid w:val="0098420E"/>
    <w:rsid w:val="00991562"/>
    <w:rsid w:val="00991AFA"/>
    <w:rsid w:val="00992542"/>
    <w:rsid w:val="009942D9"/>
    <w:rsid w:val="009A1A73"/>
    <w:rsid w:val="009A34DA"/>
    <w:rsid w:val="009A428B"/>
    <w:rsid w:val="009A6403"/>
    <w:rsid w:val="009B5B07"/>
    <w:rsid w:val="009B7BED"/>
    <w:rsid w:val="009C33EA"/>
    <w:rsid w:val="009C6CE8"/>
    <w:rsid w:val="009C72EA"/>
    <w:rsid w:val="009D10CF"/>
    <w:rsid w:val="009D76F8"/>
    <w:rsid w:val="009E1972"/>
    <w:rsid w:val="009E7F5F"/>
    <w:rsid w:val="009F1B4E"/>
    <w:rsid w:val="009F5695"/>
    <w:rsid w:val="009F5BAD"/>
    <w:rsid w:val="009F7805"/>
    <w:rsid w:val="00A03012"/>
    <w:rsid w:val="00A044BF"/>
    <w:rsid w:val="00A054DC"/>
    <w:rsid w:val="00A0559E"/>
    <w:rsid w:val="00A12116"/>
    <w:rsid w:val="00A12BD9"/>
    <w:rsid w:val="00A14D18"/>
    <w:rsid w:val="00A15F3D"/>
    <w:rsid w:val="00A20135"/>
    <w:rsid w:val="00A20E2B"/>
    <w:rsid w:val="00A21348"/>
    <w:rsid w:val="00A219CE"/>
    <w:rsid w:val="00A23EF2"/>
    <w:rsid w:val="00A25B14"/>
    <w:rsid w:val="00A268EF"/>
    <w:rsid w:val="00A32C13"/>
    <w:rsid w:val="00A35F1B"/>
    <w:rsid w:val="00A367F8"/>
    <w:rsid w:val="00A425C8"/>
    <w:rsid w:val="00A427B8"/>
    <w:rsid w:val="00A45663"/>
    <w:rsid w:val="00A460BF"/>
    <w:rsid w:val="00A54C35"/>
    <w:rsid w:val="00A722B2"/>
    <w:rsid w:val="00A7365F"/>
    <w:rsid w:val="00A737C2"/>
    <w:rsid w:val="00A755EE"/>
    <w:rsid w:val="00A76104"/>
    <w:rsid w:val="00A76835"/>
    <w:rsid w:val="00A76C4B"/>
    <w:rsid w:val="00A77965"/>
    <w:rsid w:val="00A97C3E"/>
    <w:rsid w:val="00AA3066"/>
    <w:rsid w:val="00AB0A18"/>
    <w:rsid w:val="00AB1C3A"/>
    <w:rsid w:val="00AB52E1"/>
    <w:rsid w:val="00AB56BF"/>
    <w:rsid w:val="00AB7D83"/>
    <w:rsid w:val="00AC1231"/>
    <w:rsid w:val="00AC66A9"/>
    <w:rsid w:val="00AC6EE6"/>
    <w:rsid w:val="00AC76F3"/>
    <w:rsid w:val="00AD25B5"/>
    <w:rsid w:val="00AD4A10"/>
    <w:rsid w:val="00AD5896"/>
    <w:rsid w:val="00AD6B8F"/>
    <w:rsid w:val="00AD7F48"/>
    <w:rsid w:val="00AE2471"/>
    <w:rsid w:val="00AE29EB"/>
    <w:rsid w:val="00AE4A43"/>
    <w:rsid w:val="00AE73CA"/>
    <w:rsid w:val="00AF4637"/>
    <w:rsid w:val="00AF595B"/>
    <w:rsid w:val="00AF5977"/>
    <w:rsid w:val="00AF78DC"/>
    <w:rsid w:val="00B00474"/>
    <w:rsid w:val="00B0070F"/>
    <w:rsid w:val="00B03608"/>
    <w:rsid w:val="00B07932"/>
    <w:rsid w:val="00B11FAF"/>
    <w:rsid w:val="00B12F00"/>
    <w:rsid w:val="00B132D6"/>
    <w:rsid w:val="00B1407F"/>
    <w:rsid w:val="00B16482"/>
    <w:rsid w:val="00B165BA"/>
    <w:rsid w:val="00B203B0"/>
    <w:rsid w:val="00B238DC"/>
    <w:rsid w:val="00B250AC"/>
    <w:rsid w:val="00B274D4"/>
    <w:rsid w:val="00B3210C"/>
    <w:rsid w:val="00B34572"/>
    <w:rsid w:val="00B345B1"/>
    <w:rsid w:val="00B36DAF"/>
    <w:rsid w:val="00B40164"/>
    <w:rsid w:val="00B420C8"/>
    <w:rsid w:val="00B43C65"/>
    <w:rsid w:val="00B500C0"/>
    <w:rsid w:val="00B538F7"/>
    <w:rsid w:val="00B66790"/>
    <w:rsid w:val="00B67E69"/>
    <w:rsid w:val="00B72BA7"/>
    <w:rsid w:val="00B7520E"/>
    <w:rsid w:val="00B8031B"/>
    <w:rsid w:val="00B81991"/>
    <w:rsid w:val="00B847FF"/>
    <w:rsid w:val="00B84DC2"/>
    <w:rsid w:val="00B85962"/>
    <w:rsid w:val="00B86700"/>
    <w:rsid w:val="00B906E0"/>
    <w:rsid w:val="00B91125"/>
    <w:rsid w:val="00B97F37"/>
    <w:rsid w:val="00BA027D"/>
    <w:rsid w:val="00BA0966"/>
    <w:rsid w:val="00BA2AE9"/>
    <w:rsid w:val="00BA63AB"/>
    <w:rsid w:val="00BA6566"/>
    <w:rsid w:val="00BA761D"/>
    <w:rsid w:val="00BB094F"/>
    <w:rsid w:val="00BC26FC"/>
    <w:rsid w:val="00BC2A2D"/>
    <w:rsid w:val="00BC720C"/>
    <w:rsid w:val="00BD15F3"/>
    <w:rsid w:val="00BD20AF"/>
    <w:rsid w:val="00BD3A2E"/>
    <w:rsid w:val="00BD67D0"/>
    <w:rsid w:val="00BE06C9"/>
    <w:rsid w:val="00BF08F2"/>
    <w:rsid w:val="00BF2A7A"/>
    <w:rsid w:val="00C0102D"/>
    <w:rsid w:val="00C056DF"/>
    <w:rsid w:val="00C06CC3"/>
    <w:rsid w:val="00C10AF7"/>
    <w:rsid w:val="00C10B44"/>
    <w:rsid w:val="00C12B48"/>
    <w:rsid w:val="00C130A4"/>
    <w:rsid w:val="00C15627"/>
    <w:rsid w:val="00C16A00"/>
    <w:rsid w:val="00C22F0D"/>
    <w:rsid w:val="00C23934"/>
    <w:rsid w:val="00C23FBB"/>
    <w:rsid w:val="00C240A9"/>
    <w:rsid w:val="00C24C2E"/>
    <w:rsid w:val="00C2592D"/>
    <w:rsid w:val="00C27A6D"/>
    <w:rsid w:val="00C30727"/>
    <w:rsid w:val="00C35BFF"/>
    <w:rsid w:val="00C37745"/>
    <w:rsid w:val="00C41FE6"/>
    <w:rsid w:val="00C42E95"/>
    <w:rsid w:val="00C431A0"/>
    <w:rsid w:val="00C4775A"/>
    <w:rsid w:val="00C510DE"/>
    <w:rsid w:val="00C55D50"/>
    <w:rsid w:val="00C6202A"/>
    <w:rsid w:val="00C63F6B"/>
    <w:rsid w:val="00C720F8"/>
    <w:rsid w:val="00C84C80"/>
    <w:rsid w:val="00C902B2"/>
    <w:rsid w:val="00C93D1D"/>
    <w:rsid w:val="00C94014"/>
    <w:rsid w:val="00C94ADB"/>
    <w:rsid w:val="00C957EF"/>
    <w:rsid w:val="00C96069"/>
    <w:rsid w:val="00C96FCE"/>
    <w:rsid w:val="00CA4622"/>
    <w:rsid w:val="00CB4E25"/>
    <w:rsid w:val="00CC062A"/>
    <w:rsid w:val="00CC12C2"/>
    <w:rsid w:val="00CC5520"/>
    <w:rsid w:val="00CC77D9"/>
    <w:rsid w:val="00CD05FA"/>
    <w:rsid w:val="00CD121F"/>
    <w:rsid w:val="00CD15AC"/>
    <w:rsid w:val="00CD4911"/>
    <w:rsid w:val="00CD748E"/>
    <w:rsid w:val="00CD7827"/>
    <w:rsid w:val="00CE1D5E"/>
    <w:rsid w:val="00CE4810"/>
    <w:rsid w:val="00CF0817"/>
    <w:rsid w:val="00CF34ED"/>
    <w:rsid w:val="00D00CDE"/>
    <w:rsid w:val="00D02309"/>
    <w:rsid w:val="00D027D8"/>
    <w:rsid w:val="00D03723"/>
    <w:rsid w:val="00D03B04"/>
    <w:rsid w:val="00D04CE1"/>
    <w:rsid w:val="00D072FC"/>
    <w:rsid w:val="00D07560"/>
    <w:rsid w:val="00D078BA"/>
    <w:rsid w:val="00D1352D"/>
    <w:rsid w:val="00D15F3B"/>
    <w:rsid w:val="00D17BCC"/>
    <w:rsid w:val="00D27E33"/>
    <w:rsid w:val="00D30C70"/>
    <w:rsid w:val="00D35F4C"/>
    <w:rsid w:val="00D36346"/>
    <w:rsid w:val="00D36B68"/>
    <w:rsid w:val="00D4104C"/>
    <w:rsid w:val="00D4205A"/>
    <w:rsid w:val="00D464FE"/>
    <w:rsid w:val="00D52E80"/>
    <w:rsid w:val="00D53F3D"/>
    <w:rsid w:val="00D562EC"/>
    <w:rsid w:val="00D604FC"/>
    <w:rsid w:val="00D659EC"/>
    <w:rsid w:val="00D73273"/>
    <w:rsid w:val="00D736C0"/>
    <w:rsid w:val="00D742F6"/>
    <w:rsid w:val="00D7656D"/>
    <w:rsid w:val="00D7752F"/>
    <w:rsid w:val="00D80F73"/>
    <w:rsid w:val="00D80FAA"/>
    <w:rsid w:val="00D81F52"/>
    <w:rsid w:val="00D865D7"/>
    <w:rsid w:val="00D91268"/>
    <w:rsid w:val="00D917B1"/>
    <w:rsid w:val="00D9211E"/>
    <w:rsid w:val="00D92BCD"/>
    <w:rsid w:val="00DA199F"/>
    <w:rsid w:val="00DA60DA"/>
    <w:rsid w:val="00DA662D"/>
    <w:rsid w:val="00DB0F47"/>
    <w:rsid w:val="00DB1977"/>
    <w:rsid w:val="00DB1BBA"/>
    <w:rsid w:val="00DB2937"/>
    <w:rsid w:val="00DB345B"/>
    <w:rsid w:val="00DB559C"/>
    <w:rsid w:val="00DB58E3"/>
    <w:rsid w:val="00DC1A27"/>
    <w:rsid w:val="00DC2655"/>
    <w:rsid w:val="00DC4110"/>
    <w:rsid w:val="00DC6318"/>
    <w:rsid w:val="00DC7C81"/>
    <w:rsid w:val="00DC7C90"/>
    <w:rsid w:val="00DD0BED"/>
    <w:rsid w:val="00DD2C4C"/>
    <w:rsid w:val="00DD3464"/>
    <w:rsid w:val="00DD5B30"/>
    <w:rsid w:val="00DD5F67"/>
    <w:rsid w:val="00DD6C66"/>
    <w:rsid w:val="00DE005D"/>
    <w:rsid w:val="00DE6BD8"/>
    <w:rsid w:val="00DE6EB7"/>
    <w:rsid w:val="00DF2035"/>
    <w:rsid w:val="00DF2AA7"/>
    <w:rsid w:val="00DF41EB"/>
    <w:rsid w:val="00E051CC"/>
    <w:rsid w:val="00E057D7"/>
    <w:rsid w:val="00E05CD4"/>
    <w:rsid w:val="00E07432"/>
    <w:rsid w:val="00E075D6"/>
    <w:rsid w:val="00E14E72"/>
    <w:rsid w:val="00E218F3"/>
    <w:rsid w:val="00E340AC"/>
    <w:rsid w:val="00E34D33"/>
    <w:rsid w:val="00E358BE"/>
    <w:rsid w:val="00E4353F"/>
    <w:rsid w:val="00E45D64"/>
    <w:rsid w:val="00E4769D"/>
    <w:rsid w:val="00E51468"/>
    <w:rsid w:val="00E521A9"/>
    <w:rsid w:val="00E52552"/>
    <w:rsid w:val="00E53668"/>
    <w:rsid w:val="00E56FC8"/>
    <w:rsid w:val="00E57724"/>
    <w:rsid w:val="00E6273A"/>
    <w:rsid w:val="00E6335E"/>
    <w:rsid w:val="00E744AB"/>
    <w:rsid w:val="00E76160"/>
    <w:rsid w:val="00E761FA"/>
    <w:rsid w:val="00E76EB7"/>
    <w:rsid w:val="00E802FD"/>
    <w:rsid w:val="00E85607"/>
    <w:rsid w:val="00E863FB"/>
    <w:rsid w:val="00E86867"/>
    <w:rsid w:val="00E90E3A"/>
    <w:rsid w:val="00EA75EC"/>
    <w:rsid w:val="00EA779F"/>
    <w:rsid w:val="00EA7D71"/>
    <w:rsid w:val="00EB1AB6"/>
    <w:rsid w:val="00EB3491"/>
    <w:rsid w:val="00EB63CF"/>
    <w:rsid w:val="00ED0572"/>
    <w:rsid w:val="00ED0706"/>
    <w:rsid w:val="00ED1EA3"/>
    <w:rsid w:val="00ED3A71"/>
    <w:rsid w:val="00ED4298"/>
    <w:rsid w:val="00ED5EF4"/>
    <w:rsid w:val="00ED69DD"/>
    <w:rsid w:val="00EE0E77"/>
    <w:rsid w:val="00EE4D3C"/>
    <w:rsid w:val="00EF03AC"/>
    <w:rsid w:val="00EF1EDC"/>
    <w:rsid w:val="00EF2588"/>
    <w:rsid w:val="00EF5001"/>
    <w:rsid w:val="00F02AEF"/>
    <w:rsid w:val="00F03E6F"/>
    <w:rsid w:val="00F06D32"/>
    <w:rsid w:val="00F07082"/>
    <w:rsid w:val="00F10A77"/>
    <w:rsid w:val="00F127B4"/>
    <w:rsid w:val="00F13E45"/>
    <w:rsid w:val="00F16DBA"/>
    <w:rsid w:val="00F17BDE"/>
    <w:rsid w:val="00F20DAD"/>
    <w:rsid w:val="00F21D22"/>
    <w:rsid w:val="00F250CE"/>
    <w:rsid w:val="00F25CDE"/>
    <w:rsid w:val="00F26454"/>
    <w:rsid w:val="00F31455"/>
    <w:rsid w:val="00F345A0"/>
    <w:rsid w:val="00F36409"/>
    <w:rsid w:val="00F36A39"/>
    <w:rsid w:val="00F406BD"/>
    <w:rsid w:val="00F432B5"/>
    <w:rsid w:val="00F44E83"/>
    <w:rsid w:val="00F45668"/>
    <w:rsid w:val="00F4642E"/>
    <w:rsid w:val="00F515F8"/>
    <w:rsid w:val="00F56B6B"/>
    <w:rsid w:val="00F6586E"/>
    <w:rsid w:val="00F67850"/>
    <w:rsid w:val="00F679A5"/>
    <w:rsid w:val="00F711C7"/>
    <w:rsid w:val="00F725C0"/>
    <w:rsid w:val="00F81C62"/>
    <w:rsid w:val="00F838C2"/>
    <w:rsid w:val="00F96574"/>
    <w:rsid w:val="00FA216B"/>
    <w:rsid w:val="00FA2C9D"/>
    <w:rsid w:val="00FA34D6"/>
    <w:rsid w:val="00FA63B7"/>
    <w:rsid w:val="00FB10DA"/>
    <w:rsid w:val="00FB555E"/>
    <w:rsid w:val="00FB5AA5"/>
    <w:rsid w:val="00FB63E1"/>
    <w:rsid w:val="00FB722C"/>
    <w:rsid w:val="00FB788B"/>
    <w:rsid w:val="00FC109C"/>
    <w:rsid w:val="00FC4A1E"/>
    <w:rsid w:val="00FD035F"/>
    <w:rsid w:val="00FD3579"/>
    <w:rsid w:val="00FE0943"/>
    <w:rsid w:val="00FE0EE1"/>
    <w:rsid w:val="00FE246C"/>
    <w:rsid w:val="00FE3167"/>
    <w:rsid w:val="00FE3F26"/>
    <w:rsid w:val="00FE4C37"/>
    <w:rsid w:val="00FE7E58"/>
    <w:rsid w:val="00FF4776"/>
    <w:rsid w:val="00FF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A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3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03A2"/>
    <w:rPr>
      <w:sz w:val="18"/>
      <w:szCs w:val="18"/>
    </w:rPr>
  </w:style>
  <w:style w:type="paragraph" w:styleId="a4">
    <w:name w:val="footer"/>
    <w:basedOn w:val="a"/>
    <w:link w:val="Char0"/>
    <w:uiPriority w:val="99"/>
    <w:unhideWhenUsed/>
    <w:rsid w:val="002203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03A2"/>
    <w:rPr>
      <w:sz w:val="18"/>
      <w:szCs w:val="18"/>
    </w:rPr>
  </w:style>
  <w:style w:type="paragraph" w:styleId="a5">
    <w:name w:val="Balloon Text"/>
    <w:basedOn w:val="a"/>
    <w:link w:val="Char1"/>
    <w:uiPriority w:val="99"/>
    <w:semiHidden/>
    <w:unhideWhenUsed/>
    <w:rsid w:val="002203A2"/>
    <w:rPr>
      <w:sz w:val="18"/>
      <w:szCs w:val="18"/>
    </w:rPr>
  </w:style>
  <w:style w:type="character" w:customStyle="1" w:styleId="Char1">
    <w:name w:val="批注框文本 Char"/>
    <w:basedOn w:val="a0"/>
    <w:link w:val="a5"/>
    <w:uiPriority w:val="99"/>
    <w:semiHidden/>
    <w:rsid w:val="002203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A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3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03A2"/>
    <w:rPr>
      <w:sz w:val="18"/>
      <w:szCs w:val="18"/>
    </w:rPr>
  </w:style>
  <w:style w:type="paragraph" w:styleId="a4">
    <w:name w:val="footer"/>
    <w:basedOn w:val="a"/>
    <w:link w:val="Char0"/>
    <w:uiPriority w:val="99"/>
    <w:unhideWhenUsed/>
    <w:rsid w:val="002203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03A2"/>
    <w:rPr>
      <w:sz w:val="18"/>
      <w:szCs w:val="18"/>
    </w:rPr>
  </w:style>
  <w:style w:type="paragraph" w:styleId="a5">
    <w:name w:val="Balloon Text"/>
    <w:basedOn w:val="a"/>
    <w:link w:val="Char1"/>
    <w:uiPriority w:val="99"/>
    <w:semiHidden/>
    <w:unhideWhenUsed/>
    <w:rsid w:val="002203A2"/>
    <w:rPr>
      <w:sz w:val="18"/>
      <w:szCs w:val="18"/>
    </w:rPr>
  </w:style>
  <w:style w:type="character" w:customStyle="1" w:styleId="Char1">
    <w:name w:val="批注框文本 Char"/>
    <w:basedOn w:val="a0"/>
    <w:link w:val="a5"/>
    <w:uiPriority w:val="99"/>
    <w:semiHidden/>
    <w:rsid w:val="002203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1228</Characters>
  <Application>Microsoft Office Word</Application>
  <DocSecurity>0</DocSecurity>
  <Lines>10</Lines>
  <Paragraphs>2</Paragraphs>
  <ScaleCrop>false</ScaleCrop>
  <Company>suzhoubank.com</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季正杨</dc:creator>
  <cp:lastModifiedBy>杨皓琛</cp:lastModifiedBy>
  <cp:revision>3</cp:revision>
  <cp:lastPrinted>2021-12-23T08:41:00Z</cp:lastPrinted>
  <dcterms:created xsi:type="dcterms:W3CDTF">2021-12-16T01:46:00Z</dcterms:created>
  <dcterms:modified xsi:type="dcterms:W3CDTF">2021-12-23T08:42:00Z</dcterms:modified>
</cp:coreProperties>
</file>