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博时基金管理有限公司关于博时中证有色金属矿业主题指数证券投资基金基金份额持有人大会表决结果暨决议生效的公告</w:t>
      </w:r>
    </w:p>
    <w:p>
      <w:pPr>
        <w:spacing w:line="420" w:lineRule="exact"/>
        <w:ind w:firstLine="420" w:firstLineChars="200"/>
        <w:rPr>
          <w:rFonts w:cs="Times New Roman" w:asciiTheme="majorEastAsia" w:hAnsiTheme="majorEastAsia" w:eastAsiaTheme="majorEastAsia"/>
          <w:szCs w:val="21"/>
        </w:rPr>
      </w:pPr>
      <w:r>
        <w:rPr>
          <w:rFonts w:hint="eastAsia" w:cs="华文仿宋" w:asciiTheme="minorEastAsia" w:hAnsiTheme="minorEastAsia"/>
          <w:kern w:val="0"/>
          <w:szCs w:val="21"/>
        </w:rPr>
        <w:t>根据《中华人民共和国证券投资基金法》、《公开募集证券投资基金运作管理办法》和《博时中证有色金属矿业主题指数证券投资基金基金合同》（以下简称“《基金合同》”）的有关规定，</w:t>
      </w:r>
      <w:r>
        <w:rPr>
          <w:rFonts w:hint="eastAsia" w:cs="Times New Roman" w:asciiTheme="majorEastAsia" w:hAnsiTheme="majorEastAsia" w:eastAsiaTheme="majorEastAsia"/>
          <w:szCs w:val="21"/>
        </w:rPr>
        <w:t>现将博时基金管理有限公司旗下博时中证有色金属矿业主题指数证券投资基金（以下简称“本基金”）基金份额持有人大会的决议及相关事项公告如下：</w:t>
      </w:r>
    </w:p>
    <w:p>
      <w:pPr>
        <w:spacing w:line="420" w:lineRule="exact"/>
        <w:ind w:firstLine="420"/>
        <w:rPr>
          <w:rFonts w:cs="Times New Roman" w:asciiTheme="majorEastAsia" w:hAnsiTheme="majorEastAsia" w:eastAsiaTheme="majorEastAsia"/>
          <w:b/>
          <w:szCs w:val="21"/>
        </w:rPr>
      </w:pPr>
      <w:r>
        <w:rPr>
          <w:rFonts w:hint="eastAsia" w:cs="Times New Roman" w:asciiTheme="majorEastAsia" w:hAnsiTheme="majorEastAsia" w:eastAsiaTheme="majorEastAsia"/>
          <w:b/>
          <w:szCs w:val="21"/>
        </w:rPr>
        <w:t>一、本次基金份额持有人大会会议情况</w:t>
      </w:r>
    </w:p>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本基金以通讯方式召开了基金份额持有人大会，会议审议了《关于博时中证有色金属矿业主题指数证券投资基金修改基金合同终止条款的议案》（以下简称“本次会议议案”），并由参加</w:t>
      </w:r>
      <w:r>
        <w:rPr>
          <w:rFonts w:cs="Times New Roman" w:asciiTheme="majorEastAsia" w:hAnsiTheme="majorEastAsia" w:eastAsiaTheme="majorEastAsia"/>
          <w:szCs w:val="21"/>
        </w:rPr>
        <w:t>会议</w:t>
      </w:r>
      <w:r>
        <w:rPr>
          <w:rFonts w:hint="eastAsia" w:cs="Times New Roman" w:asciiTheme="majorEastAsia" w:hAnsiTheme="majorEastAsia" w:eastAsiaTheme="majorEastAsia"/>
          <w:szCs w:val="21"/>
        </w:rPr>
        <w:t>的基金份额持有人对本次会议议案进行表决。大会表决投票时间从</w:t>
      </w:r>
      <w:r>
        <w:rPr>
          <w:rFonts w:hint="eastAsia" w:asciiTheme="majorEastAsia" w:hAnsiTheme="majorEastAsia" w:eastAsiaTheme="majorEastAsia"/>
          <w:szCs w:val="21"/>
        </w:rPr>
        <w:t>2024年3月7日</w:t>
      </w:r>
      <w:r>
        <w:rPr>
          <w:rFonts w:hint="eastAsia" w:cs="Times New Roman" w:asciiTheme="majorEastAsia" w:hAnsiTheme="majorEastAsia" w:eastAsiaTheme="majorEastAsia"/>
          <w:szCs w:val="21"/>
        </w:rPr>
        <w:t>起，至</w:t>
      </w:r>
      <w:r>
        <w:rPr>
          <w:rFonts w:hint="eastAsia" w:asciiTheme="majorEastAsia" w:hAnsiTheme="majorEastAsia" w:eastAsiaTheme="majorEastAsia"/>
          <w:szCs w:val="21"/>
        </w:rPr>
        <w:t>2024 年4月9日17：00止（送达时间以基金管理人收到表决票时间为准）</w:t>
      </w:r>
      <w:r>
        <w:rPr>
          <w:rFonts w:hint="eastAsia" w:cs="Times New Roman" w:asciiTheme="majorEastAsia" w:hAnsiTheme="majorEastAsia" w:eastAsiaTheme="majorEastAsia"/>
          <w:szCs w:val="21"/>
        </w:rPr>
        <w:t>。截至本次持有人大会权益登记日2024年3月7日，本基金总份额为63,874,258.16份。本次基金份额持有人大会中，参与</w:t>
      </w:r>
      <w:r>
        <w:rPr>
          <w:rFonts w:cs="Times New Roman" w:asciiTheme="majorEastAsia" w:hAnsiTheme="majorEastAsia" w:eastAsiaTheme="majorEastAsia"/>
          <w:szCs w:val="21"/>
        </w:rPr>
        <w:t>表决</w:t>
      </w:r>
      <w:r>
        <w:rPr>
          <w:rFonts w:hint="eastAsia" w:cs="Times New Roman" w:asciiTheme="majorEastAsia" w:hAnsiTheme="majorEastAsia" w:eastAsiaTheme="majorEastAsia"/>
          <w:szCs w:val="21"/>
        </w:rPr>
        <w:t>的基金份额持有人及代理人所代表的基金份额为44,026,405.85份，占权益登记日基金总份额的</w:t>
      </w:r>
      <w:r>
        <w:rPr>
          <w:rFonts w:hint="eastAsia" w:asciiTheme="majorEastAsia" w:hAnsiTheme="majorEastAsia" w:eastAsiaTheme="majorEastAsia"/>
          <w:szCs w:val="21"/>
        </w:rPr>
        <w:t>68.9267%</w:t>
      </w:r>
      <w:r>
        <w:rPr>
          <w:rFonts w:hint="eastAsia" w:cs="Times New Roman" w:asciiTheme="majorEastAsia" w:hAnsiTheme="majorEastAsia" w:eastAsiaTheme="majorEastAsia"/>
          <w:szCs w:val="21"/>
        </w:rPr>
        <w:t>，其中同意票所代表的基金份额为</w:t>
      </w:r>
      <w:r>
        <w:rPr>
          <w:rFonts w:hint="eastAsia" w:asciiTheme="majorEastAsia" w:hAnsiTheme="majorEastAsia" w:eastAsiaTheme="majorEastAsia"/>
          <w:szCs w:val="21"/>
        </w:rPr>
        <w:t>44,026,405.85份，占参与</w:t>
      </w:r>
      <w:r>
        <w:rPr>
          <w:rFonts w:asciiTheme="majorEastAsia" w:hAnsiTheme="majorEastAsia" w:eastAsiaTheme="majorEastAsia"/>
          <w:szCs w:val="21"/>
        </w:rPr>
        <w:t>表决</w:t>
      </w:r>
      <w:r>
        <w:rPr>
          <w:rFonts w:hint="eastAsia" w:asciiTheme="majorEastAsia" w:hAnsiTheme="majorEastAsia" w:eastAsiaTheme="majorEastAsia"/>
          <w:szCs w:val="21"/>
        </w:rPr>
        <w:t>的基金份额持有人及代理人所代表的</w:t>
      </w:r>
      <w:r>
        <w:rPr>
          <w:rFonts w:asciiTheme="majorEastAsia" w:hAnsiTheme="majorEastAsia" w:eastAsiaTheme="majorEastAsia"/>
          <w:szCs w:val="21"/>
        </w:rPr>
        <w:t>基金</w:t>
      </w:r>
      <w:r>
        <w:rPr>
          <w:rFonts w:hint="eastAsia" w:asciiTheme="majorEastAsia" w:hAnsiTheme="majorEastAsia" w:eastAsiaTheme="majorEastAsia"/>
          <w:szCs w:val="21"/>
        </w:rPr>
        <w:t>份额总数的</w:t>
      </w:r>
      <w:r>
        <w:rPr>
          <w:rFonts w:asciiTheme="majorEastAsia" w:hAnsiTheme="majorEastAsia" w:eastAsiaTheme="majorEastAsia"/>
          <w:szCs w:val="21"/>
        </w:rPr>
        <w:t>100.00</w:t>
      </w:r>
      <w:r>
        <w:rPr>
          <w:rFonts w:hint="eastAsia" w:asciiTheme="majorEastAsia" w:hAnsiTheme="majorEastAsia" w:eastAsiaTheme="majorEastAsia"/>
          <w:szCs w:val="21"/>
        </w:rPr>
        <w:t>%；反对票所代表的基金份额为</w:t>
      </w:r>
      <w:r>
        <w:rPr>
          <w:rFonts w:asciiTheme="majorEastAsia" w:hAnsiTheme="majorEastAsia" w:eastAsiaTheme="majorEastAsia"/>
          <w:szCs w:val="21"/>
        </w:rPr>
        <w:t>0.00</w:t>
      </w:r>
      <w:r>
        <w:rPr>
          <w:rFonts w:hint="eastAsia" w:asciiTheme="majorEastAsia" w:hAnsiTheme="majorEastAsia" w:eastAsiaTheme="majorEastAsia"/>
          <w:szCs w:val="21"/>
        </w:rPr>
        <w:t>份，占参与</w:t>
      </w:r>
      <w:r>
        <w:rPr>
          <w:rFonts w:asciiTheme="majorEastAsia" w:hAnsiTheme="majorEastAsia" w:eastAsiaTheme="majorEastAsia"/>
          <w:szCs w:val="21"/>
        </w:rPr>
        <w:t>表决</w:t>
      </w:r>
      <w:r>
        <w:rPr>
          <w:rFonts w:hint="eastAsia" w:asciiTheme="majorEastAsia" w:hAnsiTheme="majorEastAsia" w:eastAsiaTheme="majorEastAsia"/>
          <w:szCs w:val="21"/>
        </w:rPr>
        <w:t>的基金份额持有人及代理人所代表的基金份额总数的0.00%；弃权票所代表的基金份额为0</w:t>
      </w:r>
      <w:r>
        <w:rPr>
          <w:rFonts w:asciiTheme="majorEastAsia" w:hAnsiTheme="majorEastAsia" w:eastAsiaTheme="majorEastAsia"/>
          <w:szCs w:val="21"/>
        </w:rPr>
        <w:t>.00</w:t>
      </w:r>
      <w:r>
        <w:rPr>
          <w:rFonts w:hint="eastAsia" w:asciiTheme="majorEastAsia" w:hAnsiTheme="majorEastAsia" w:eastAsiaTheme="majorEastAsia"/>
          <w:szCs w:val="21"/>
        </w:rPr>
        <w:t>份，占参与</w:t>
      </w:r>
      <w:r>
        <w:rPr>
          <w:rFonts w:asciiTheme="majorEastAsia" w:hAnsiTheme="majorEastAsia" w:eastAsiaTheme="majorEastAsia"/>
          <w:szCs w:val="21"/>
        </w:rPr>
        <w:t>表决</w:t>
      </w:r>
      <w:r>
        <w:rPr>
          <w:rFonts w:hint="eastAsia" w:asciiTheme="majorEastAsia" w:hAnsiTheme="majorEastAsia" w:eastAsiaTheme="majorEastAsia"/>
          <w:szCs w:val="21"/>
        </w:rPr>
        <w:t>的基金份额持有人及代理人所代表的基金份额总数的0.00%。</w:t>
      </w:r>
    </w:p>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参与表决的基金份额持有人及其代理人所代表的有效基金份额为44,026,405.85份（超过权益登记日基金总份额的50%），对本次会议议案进行了审议，同意的份额占参与表决份额的100%，同意本次会议议案的基金份额符合《中华人民共和国证券投资基金法》、《公开募集证券投资基金运作管理办法》和《基金合同》的有关规定，本次会议议案有效通过。</w:t>
      </w:r>
    </w:p>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此次持有人大会的计票于</w:t>
      </w:r>
      <w:r>
        <w:rPr>
          <w:rFonts w:hint="eastAsia" w:asciiTheme="majorEastAsia" w:hAnsiTheme="majorEastAsia" w:eastAsiaTheme="majorEastAsia"/>
          <w:szCs w:val="21"/>
        </w:rPr>
        <w:t>2024年4月11日</w:t>
      </w:r>
      <w:r>
        <w:rPr>
          <w:rFonts w:hint="eastAsia" w:cs="Times New Roman" w:asciiTheme="majorEastAsia" w:hAnsiTheme="majorEastAsia" w:eastAsiaTheme="majorEastAsia"/>
          <w:szCs w:val="21"/>
        </w:rPr>
        <w:t>在本基金的托管人交通银行股份有限公司授权代表的监督下进行，并由北京市长安公证处对计票过程及结果进行了公证。本次持有人大会的公证费10</w:t>
      </w:r>
      <w:r>
        <w:rPr>
          <w:rFonts w:cs="Times New Roman" w:asciiTheme="majorEastAsia" w:hAnsiTheme="majorEastAsia" w:eastAsiaTheme="majorEastAsia"/>
          <w:szCs w:val="21"/>
        </w:rPr>
        <w:t>,000</w:t>
      </w:r>
      <w:r>
        <w:rPr>
          <w:rFonts w:hint="eastAsia" w:cs="Times New Roman" w:asciiTheme="majorEastAsia" w:hAnsiTheme="majorEastAsia" w:eastAsiaTheme="majorEastAsia"/>
          <w:szCs w:val="21"/>
        </w:rPr>
        <w:t>元，律师费25</w:t>
      </w:r>
      <w:r>
        <w:rPr>
          <w:rFonts w:cs="Times New Roman" w:asciiTheme="majorEastAsia" w:hAnsiTheme="majorEastAsia" w:eastAsiaTheme="majorEastAsia"/>
          <w:szCs w:val="21"/>
        </w:rPr>
        <w:t>,</w:t>
      </w:r>
      <w:r>
        <w:rPr>
          <w:rFonts w:hint="eastAsia" w:cs="Times New Roman" w:asciiTheme="majorEastAsia" w:hAnsiTheme="majorEastAsia" w:eastAsiaTheme="majorEastAsia"/>
          <w:szCs w:val="21"/>
        </w:rPr>
        <w:t>000元，合计35</w:t>
      </w:r>
      <w:r>
        <w:rPr>
          <w:rFonts w:cs="Times New Roman" w:asciiTheme="majorEastAsia" w:hAnsiTheme="majorEastAsia" w:eastAsiaTheme="majorEastAsia"/>
          <w:szCs w:val="21"/>
        </w:rPr>
        <w:t>,000</w:t>
      </w:r>
      <w:r>
        <w:rPr>
          <w:rFonts w:hint="eastAsia" w:cs="Times New Roman" w:asciiTheme="majorEastAsia" w:hAnsiTheme="majorEastAsia" w:eastAsiaTheme="majorEastAsia"/>
          <w:szCs w:val="21"/>
        </w:rPr>
        <w:t>元，由基金资产承担。</w:t>
      </w:r>
    </w:p>
    <w:p>
      <w:pPr>
        <w:spacing w:line="420" w:lineRule="exact"/>
        <w:ind w:firstLine="420"/>
        <w:rPr>
          <w:rFonts w:cs="Times New Roman" w:asciiTheme="majorEastAsia" w:hAnsiTheme="majorEastAsia" w:eastAsiaTheme="majorEastAsia"/>
          <w:b/>
          <w:szCs w:val="21"/>
        </w:rPr>
      </w:pPr>
      <w:r>
        <w:rPr>
          <w:rFonts w:hint="eastAsia" w:cs="Times New Roman" w:asciiTheme="majorEastAsia" w:hAnsiTheme="majorEastAsia" w:eastAsiaTheme="majorEastAsia"/>
          <w:b/>
          <w:szCs w:val="21"/>
        </w:rPr>
        <w:t>二、</w:t>
      </w:r>
      <w:r>
        <w:rPr>
          <w:rFonts w:cs="Times New Roman" w:asciiTheme="majorEastAsia" w:hAnsiTheme="majorEastAsia" w:eastAsiaTheme="majorEastAsia"/>
          <w:b/>
          <w:szCs w:val="21"/>
        </w:rPr>
        <w:t xml:space="preserve"> </w:t>
      </w:r>
      <w:r>
        <w:rPr>
          <w:rFonts w:hint="eastAsia" w:cs="Times New Roman" w:asciiTheme="majorEastAsia" w:hAnsiTheme="majorEastAsia" w:eastAsiaTheme="majorEastAsia"/>
          <w:b/>
          <w:szCs w:val="21"/>
        </w:rPr>
        <w:t>本次基金份额持有人大会决议的生效</w:t>
      </w:r>
    </w:p>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根据《公开募集证券投资基金运作管理办法》的规定，基金份额持有人大会决定的事项自表决通过之日起生效。本次基金份额持有人大会于</w:t>
      </w:r>
      <w:r>
        <w:rPr>
          <w:rFonts w:hint="eastAsia" w:asciiTheme="majorEastAsia" w:hAnsiTheme="majorEastAsia" w:eastAsiaTheme="majorEastAsia"/>
          <w:szCs w:val="21"/>
        </w:rPr>
        <w:t>2024年4月11日</w:t>
      </w:r>
      <w:r>
        <w:rPr>
          <w:rFonts w:hint="eastAsia" w:cs="Times New Roman" w:asciiTheme="majorEastAsia" w:hAnsiTheme="majorEastAsia" w:eastAsiaTheme="majorEastAsia"/>
          <w:szCs w:val="21"/>
        </w:rPr>
        <w:t>表决通过了《关于博时中证有色金属矿业主题指数证券投资基金修改基金合同终止条款的议案》，本次大会决议自该日起生效。基金管理人将自该日起五日内将表决通过的事项报中国证券监督管理委员会备案。</w:t>
      </w:r>
    </w:p>
    <w:p>
      <w:pPr>
        <w:spacing w:line="420" w:lineRule="exact"/>
        <w:ind w:firstLine="420"/>
        <w:rPr>
          <w:rFonts w:cs="Times New Roman" w:asciiTheme="majorEastAsia" w:hAnsiTheme="majorEastAsia" w:eastAsiaTheme="majorEastAsia"/>
          <w:b/>
          <w:szCs w:val="21"/>
        </w:rPr>
      </w:pPr>
      <w:r>
        <w:rPr>
          <w:rFonts w:hint="eastAsia" w:cs="Times New Roman" w:asciiTheme="majorEastAsia" w:hAnsiTheme="majorEastAsia" w:eastAsiaTheme="majorEastAsia"/>
          <w:b/>
          <w:szCs w:val="21"/>
        </w:rPr>
        <w:t>三、</w:t>
      </w:r>
      <w:r>
        <w:rPr>
          <w:rFonts w:cs="Times New Roman" w:asciiTheme="majorEastAsia" w:hAnsiTheme="majorEastAsia" w:eastAsiaTheme="majorEastAsia"/>
          <w:b/>
          <w:szCs w:val="21"/>
        </w:rPr>
        <w:t xml:space="preserve"> </w:t>
      </w:r>
      <w:r>
        <w:rPr>
          <w:rFonts w:hint="eastAsia" w:cs="Times New Roman" w:asciiTheme="majorEastAsia" w:hAnsiTheme="majorEastAsia" w:eastAsiaTheme="majorEastAsia"/>
          <w:b/>
          <w:szCs w:val="21"/>
        </w:rPr>
        <w:t>基金份额持有人大会决议相关事项的实施情况</w:t>
      </w:r>
    </w:p>
    <w:p>
      <w:pPr>
        <w:adjustRightInd w:val="0"/>
        <w:snapToGrid w:val="0"/>
        <w:spacing w:line="360" w:lineRule="auto"/>
        <w:ind w:firstLine="420" w:firstLineChars="200"/>
        <w:rPr>
          <w:rFonts w:ascii="宋体" w:hAnsi="宋体"/>
          <w:kern w:val="0"/>
        </w:rPr>
      </w:pPr>
      <w:bookmarkStart w:id="0" w:name="_Hlk163648955"/>
      <w:r>
        <w:rPr>
          <w:rFonts w:hint="eastAsia" w:ascii="宋体" w:hAnsi="宋体"/>
          <w:kern w:val="0"/>
        </w:rPr>
        <w:t>（一）对《基金合同》的修订</w:t>
      </w:r>
    </w:p>
    <w:p>
      <w:pPr>
        <w:adjustRightInd w:val="0"/>
        <w:snapToGrid w:val="0"/>
        <w:spacing w:line="360" w:lineRule="auto"/>
        <w:ind w:firstLine="420" w:firstLineChars="200"/>
        <w:rPr>
          <w:rFonts w:ascii="宋体" w:hAnsi="宋体"/>
          <w:kern w:val="0"/>
        </w:rPr>
      </w:pPr>
      <w:r>
        <w:rPr>
          <w:rFonts w:hint="eastAsia" w:ascii="宋体" w:hAnsi="宋体"/>
          <w:kern w:val="0"/>
        </w:rPr>
        <w:t>1、将“第五部分</w:t>
      </w:r>
      <w:r>
        <w:rPr>
          <w:rFonts w:hint="eastAsia" w:ascii="宋体" w:hAnsi="宋体"/>
          <w:kern w:val="0"/>
        </w:rPr>
        <w:tab/>
      </w:r>
      <w:r>
        <w:rPr>
          <w:rFonts w:hint="eastAsia" w:ascii="宋体" w:hAnsi="宋体"/>
          <w:kern w:val="0"/>
        </w:rPr>
        <w:t>基金备案”中的“三、基金存续期内的基金份额持有人数量和资产规模”中的如下条款进行修改，由：</w:t>
      </w:r>
    </w:p>
    <w:p>
      <w:pPr>
        <w:adjustRightInd w:val="0"/>
        <w:snapToGrid w:val="0"/>
        <w:spacing w:line="360" w:lineRule="auto"/>
        <w:ind w:firstLine="420" w:firstLineChars="200"/>
        <w:rPr>
          <w:rFonts w:ascii="宋体" w:hAnsi="宋体"/>
          <w:kern w:val="0"/>
        </w:rPr>
      </w:pPr>
      <w:r>
        <w:rPr>
          <w:rFonts w:hint="eastAsia" w:ascii="宋体" w:hAnsi="宋体"/>
          <w:kern w:val="0"/>
        </w:rPr>
        <w:t>“《基金合同》生效后，连续</w:t>
      </w:r>
      <w:r>
        <w:rPr>
          <w:rFonts w:ascii="宋体" w:hAnsi="宋体"/>
          <w:kern w:val="0"/>
        </w:rPr>
        <w:t>20</w:t>
      </w:r>
      <w:r>
        <w:rPr>
          <w:rFonts w:hint="eastAsia" w:ascii="宋体" w:hAnsi="宋体"/>
          <w:kern w:val="0"/>
        </w:rPr>
        <w:t>个工作日出现基金份额持有人数量不满</w:t>
      </w:r>
      <w:r>
        <w:rPr>
          <w:rFonts w:ascii="宋体" w:hAnsi="宋体"/>
          <w:kern w:val="0"/>
        </w:rPr>
        <w:t>200</w:t>
      </w:r>
      <w:r>
        <w:rPr>
          <w:rFonts w:hint="eastAsia" w:ascii="宋体" w:hAnsi="宋体"/>
          <w:kern w:val="0"/>
        </w:rPr>
        <w:t>人或者基金资产净值低于</w:t>
      </w:r>
      <w:r>
        <w:rPr>
          <w:rFonts w:ascii="宋体" w:hAnsi="宋体"/>
          <w:kern w:val="0"/>
        </w:rPr>
        <w:t>5000</w:t>
      </w:r>
      <w:r>
        <w:rPr>
          <w:rFonts w:hint="eastAsia" w:ascii="宋体" w:hAnsi="宋体"/>
          <w:kern w:val="0"/>
        </w:rPr>
        <w:t>万元情形的，基金管理人应当在定期报告中予以披露；连续</w:t>
      </w:r>
      <w:r>
        <w:rPr>
          <w:rFonts w:ascii="宋体" w:hAnsi="宋体"/>
          <w:kern w:val="0"/>
        </w:rPr>
        <w:t>50</w:t>
      </w:r>
      <w:r>
        <w:rPr>
          <w:rFonts w:hint="eastAsia" w:ascii="宋体" w:hAnsi="宋体"/>
          <w:kern w:val="0"/>
        </w:rPr>
        <w:t>个工作日出现前述情形的，本基金将根据基金合同的约定进行基金财产清算并终止，且无需召开基金份额持有人大会，同时基金管理人应履行相关的监管报告和信息披露程序。</w:t>
      </w:r>
    </w:p>
    <w:p>
      <w:pPr>
        <w:adjustRightInd w:val="0"/>
        <w:snapToGrid w:val="0"/>
        <w:spacing w:line="360" w:lineRule="auto"/>
        <w:ind w:firstLine="420" w:firstLineChars="200"/>
        <w:rPr>
          <w:rFonts w:ascii="宋体" w:hAnsi="宋体"/>
          <w:kern w:val="0"/>
        </w:rPr>
      </w:pPr>
      <w:r>
        <w:rPr>
          <w:rFonts w:hint="eastAsia" w:ascii="宋体" w:hAnsi="宋体"/>
          <w:kern w:val="0"/>
        </w:rPr>
        <w:t>法律法规或中国证监会另有规定时，从其规定。”</w:t>
      </w:r>
    </w:p>
    <w:p>
      <w:pPr>
        <w:adjustRightInd w:val="0"/>
        <w:snapToGrid w:val="0"/>
        <w:spacing w:line="360" w:lineRule="auto"/>
        <w:ind w:firstLine="420" w:firstLineChars="200"/>
        <w:rPr>
          <w:rFonts w:ascii="宋体" w:hAnsi="宋体"/>
          <w:kern w:val="0"/>
        </w:rPr>
      </w:pPr>
      <w:r>
        <w:rPr>
          <w:rFonts w:hint="eastAsia" w:ascii="宋体" w:hAnsi="宋体"/>
          <w:kern w:val="0"/>
        </w:rPr>
        <w:t>修改为：</w:t>
      </w:r>
    </w:p>
    <w:p>
      <w:pPr>
        <w:adjustRightInd w:val="0"/>
        <w:snapToGrid w:val="0"/>
        <w:spacing w:line="360" w:lineRule="auto"/>
        <w:ind w:firstLine="420" w:firstLineChars="200"/>
        <w:rPr>
          <w:rFonts w:ascii="宋体" w:hAnsi="宋体"/>
          <w:kern w:val="0"/>
        </w:rPr>
      </w:pPr>
      <w:r>
        <w:rPr>
          <w:rFonts w:hint="eastAsia" w:ascii="宋体" w:hAnsi="宋体"/>
          <w:kern w:val="0"/>
        </w:rPr>
        <w:t>“《基金合同》生效后，连续</w:t>
      </w:r>
      <w:r>
        <w:rPr>
          <w:rFonts w:ascii="宋体" w:hAnsi="宋体"/>
          <w:kern w:val="0"/>
        </w:rPr>
        <w:t>20</w:t>
      </w:r>
      <w:r>
        <w:rPr>
          <w:rFonts w:hint="eastAsia" w:ascii="宋体" w:hAnsi="宋体"/>
          <w:kern w:val="0"/>
        </w:rPr>
        <w:t>个工作日出现基金份额持有人数量不满</w:t>
      </w:r>
      <w:r>
        <w:rPr>
          <w:rFonts w:ascii="宋体" w:hAnsi="宋体"/>
          <w:kern w:val="0"/>
        </w:rPr>
        <w:t>200</w:t>
      </w:r>
      <w:r>
        <w:rPr>
          <w:rFonts w:hint="eastAsia" w:ascii="宋体" w:hAnsi="宋体"/>
          <w:kern w:val="0"/>
        </w:rPr>
        <w:t>人或者基金资产净值低于</w:t>
      </w:r>
      <w:r>
        <w:rPr>
          <w:rFonts w:ascii="宋体" w:hAnsi="宋体"/>
          <w:kern w:val="0"/>
        </w:rPr>
        <w:t>5000</w:t>
      </w:r>
      <w:r>
        <w:rPr>
          <w:rFonts w:hint="eastAsia" w:ascii="宋体" w:hAnsi="宋体"/>
          <w:kern w:val="0"/>
        </w:rPr>
        <w:t>万元情形的，基金管理人应当在定期报告中予以披露；连续</w:t>
      </w:r>
      <w:r>
        <w:rPr>
          <w:rFonts w:ascii="宋体" w:hAnsi="宋体"/>
          <w:kern w:val="0"/>
        </w:rPr>
        <w:t>60</w:t>
      </w:r>
      <w:r>
        <w:rPr>
          <w:rFonts w:hint="eastAsia" w:ascii="宋体" w:hAnsi="宋体"/>
          <w:kern w:val="0"/>
        </w:rPr>
        <w:t>个工作日出现前述情形的，基金管理人应当在十个工作日内向中国证监会报告并提出解决方案，如持续运作、转换运作方式、与其他基金合并或者终止基金合同等，并在六个月内召开基金份额持有人大会进行表决。法律法规或中国证监会另有规定时，从其规定。”</w:t>
      </w:r>
    </w:p>
    <w:p>
      <w:pPr>
        <w:adjustRightInd w:val="0"/>
        <w:snapToGrid w:val="0"/>
        <w:spacing w:line="360" w:lineRule="auto"/>
        <w:ind w:firstLine="420" w:firstLineChars="200"/>
        <w:rPr>
          <w:rFonts w:ascii="宋体" w:hAnsi="宋体"/>
          <w:kern w:val="0"/>
        </w:rPr>
      </w:pPr>
      <w:r>
        <w:rPr>
          <w:rFonts w:hint="eastAsia" w:ascii="宋体" w:hAnsi="宋体"/>
          <w:kern w:val="0"/>
        </w:rPr>
        <w:t>2、删除“第十八部分 基金的信息披露”中“五、公开披露的基金信息”中“（七）临时报告”中的如下内容并相应更新后续序号：</w:t>
      </w:r>
    </w:p>
    <w:p>
      <w:pPr>
        <w:adjustRightInd w:val="0"/>
        <w:snapToGrid w:val="0"/>
        <w:spacing w:line="360" w:lineRule="auto"/>
        <w:ind w:firstLine="420" w:firstLineChars="200"/>
        <w:rPr>
          <w:rFonts w:ascii="宋体" w:hAnsi="宋体"/>
          <w:kern w:val="0"/>
        </w:rPr>
      </w:pPr>
      <w:r>
        <w:rPr>
          <w:rFonts w:hint="eastAsia" w:ascii="宋体" w:hAnsi="宋体"/>
          <w:kern w:val="0"/>
        </w:rPr>
        <w:t>“28、连续30个工作日、40个工作日及45个工作日出现基金份额持有人数量不满二百人或者基金资产净值低于五千万元情形的；”</w:t>
      </w:r>
    </w:p>
    <w:p>
      <w:pPr>
        <w:numPr>
          <w:ilvl w:val="0"/>
          <w:numId w:val="1"/>
        </w:numPr>
        <w:adjustRightInd w:val="0"/>
        <w:snapToGrid w:val="0"/>
        <w:spacing w:line="360" w:lineRule="auto"/>
        <w:ind w:firstLine="420" w:firstLineChars="200"/>
        <w:rPr>
          <w:rFonts w:ascii="宋体" w:hAnsi="宋体"/>
          <w:bCs/>
          <w:kern w:val="0"/>
        </w:rPr>
      </w:pPr>
      <w:r>
        <w:rPr>
          <w:rFonts w:hint="eastAsia" w:ascii="宋体" w:hAnsi="宋体"/>
          <w:bCs/>
          <w:kern w:val="0"/>
        </w:rPr>
        <w:t>对招募说明书的修订</w:t>
      </w:r>
    </w:p>
    <w:p>
      <w:pPr>
        <w:numPr>
          <w:ilvl w:val="255"/>
          <w:numId w:val="0"/>
        </w:numPr>
        <w:adjustRightInd w:val="0"/>
        <w:snapToGrid w:val="0"/>
        <w:spacing w:line="360" w:lineRule="auto"/>
        <w:ind w:firstLine="420" w:firstLineChars="200"/>
        <w:rPr>
          <w:rFonts w:ascii="宋体" w:hAnsi="宋体"/>
          <w:kern w:val="0"/>
        </w:rPr>
      </w:pPr>
      <w:r>
        <w:rPr>
          <w:rFonts w:hint="eastAsia" w:ascii="宋体" w:hAnsi="宋体"/>
          <w:kern w:val="0"/>
        </w:rPr>
        <w:t>1、将“重要提示”中的如下内容删除：</w:t>
      </w:r>
    </w:p>
    <w:p>
      <w:pPr>
        <w:adjustRightInd w:val="0"/>
        <w:snapToGrid w:val="0"/>
        <w:spacing w:line="360" w:lineRule="auto"/>
        <w:ind w:firstLine="420" w:firstLineChars="200"/>
        <w:rPr>
          <w:rFonts w:ascii="宋体" w:hAnsi="宋体"/>
          <w:kern w:val="0"/>
        </w:rPr>
      </w:pPr>
      <w:r>
        <w:rPr>
          <w:rFonts w:hint="eastAsia" w:ascii="宋体" w:hAnsi="宋体"/>
          <w:kern w:val="0"/>
        </w:rPr>
        <w:t>“《基金合同》生效后，连续</w:t>
      </w:r>
      <w:r>
        <w:rPr>
          <w:rFonts w:ascii="宋体" w:hAnsi="宋体"/>
          <w:kern w:val="0"/>
        </w:rPr>
        <w:t>20</w:t>
      </w:r>
      <w:r>
        <w:rPr>
          <w:rFonts w:hint="eastAsia" w:ascii="宋体" w:hAnsi="宋体"/>
          <w:kern w:val="0"/>
        </w:rPr>
        <w:t>个工作日出现基金份额持有人数量不满</w:t>
      </w:r>
      <w:r>
        <w:rPr>
          <w:rFonts w:ascii="宋体" w:hAnsi="宋体"/>
          <w:kern w:val="0"/>
        </w:rPr>
        <w:t>200</w:t>
      </w:r>
      <w:r>
        <w:rPr>
          <w:rFonts w:hint="eastAsia" w:ascii="宋体" w:hAnsi="宋体"/>
          <w:kern w:val="0"/>
        </w:rPr>
        <w:t>人或者基金资产净值低于</w:t>
      </w:r>
      <w:r>
        <w:rPr>
          <w:rFonts w:ascii="宋体" w:hAnsi="宋体"/>
          <w:kern w:val="0"/>
        </w:rPr>
        <w:t>5000</w:t>
      </w:r>
      <w:r>
        <w:rPr>
          <w:rFonts w:hint="eastAsia" w:ascii="宋体" w:hAnsi="宋体"/>
          <w:kern w:val="0"/>
        </w:rPr>
        <w:t>万元情形的，基金管理人应当在定期报告中予以披露；连续</w:t>
      </w:r>
      <w:r>
        <w:rPr>
          <w:rFonts w:ascii="宋体" w:hAnsi="宋体"/>
          <w:kern w:val="0"/>
        </w:rPr>
        <w:t>50</w:t>
      </w:r>
      <w:r>
        <w:rPr>
          <w:rFonts w:hint="eastAsia" w:ascii="宋体" w:hAnsi="宋体"/>
          <w:kern w:val="0"/>
        </w:rPr>
        <w:t>个工作日出现前述情形的，本基金将根据基金合同的约定进行基金财产清算并终止，且无需召开基金份额持有人大会，同时基金管理人应履行相关的监管报告和信息披露程序。”</w:t>
      </w:r>
    </w:p>
    <w:p>
      <w:pPr>
        <w:adjustRightInd w:val="0"/>
        <w:snapToGrid w:val="0"/>
        <w:spacing w:line="360" w:lineRule="auto"/>
        <w:ind w:firstLine="420" w:firstLineChars="200"/>
        <w:rPr>
          <w:rFonts w:ascii="宋体" w:hAnsi="宋体"/>
          <w:kern w:val="0"/>
        </w:rPr>
      </w:pPr>
      <w:r>
        <w:rPr>
          <w:rFonts w:hint="eastAsia" w:ascii="宋体" w:hAnsi="宋体"/>
          <w:kern w:val="0"/>
        </w:rPr>
        <w:t>2、将“第六部分 基金的募集与基金合同的生效”中的“三、基金存续期内的基金份额持有人数量和资产规模”中的如下条款进行修改，由：</w:t>
      </w:r>
    </w:p>
    <w:p>
      <w:pPr>
        <w:adjustRightInd w:val="0"/>
        <w:snapToGrid w:val="0"/>
        <w:spacing w:line="360" w:lineRule="auto"/>
        <w:ind w:firstLine="420" w:firstLineChars="200"/>
        <w:rPr>
          <w:rFonts w:ascii="宋体" w:hAnsi="宋体"/>
          <w:kern w:val="0"/>
        </w:rPr>
      </w:pPr>
      <w:r>
        <w:rPr>
          <w:rFonts w:hint="eastAsia" w:ascii="宋体" w:hAnsi="宋体"/>
          <w:kern w:val="0"/>
        </w:rPr>
        <w:t>“《基金合同》生效后，连续</w:t>
      </w:r>
      <w:r>
        <w:rPr>
          <w:rFonts w:ascii="宋体" w:hAnsi="宋体"/>
          <w:kern w:val="0"/>
        </w:rPr>
        <w:t>20</w:t>
      </w:r>
      <w:r>
        <w:rPr>
          <w:rFonts w:hint="eastAsia" w:ascii="宋体" w:hAnsi="宋体"/>
          <w:kern w:val="0"/>
        </w:rPr>
        <w:t>个工作日出现基金份额持有人数量不满</w:t>
      </w:r>
      <w:r>
        <w:rPr>
          <w:rFonts w:ascii="宋体" w:hAnsi="宋体"/>
          <w:kern w:val="0"/>
        </w:rPr>
        <w:t>200</w:t>
      </w:r>
      <w:r>
        <w:rPr>
          <w:rFonts w:hint="eastAsia" w:ascii="宋体" w:hAnsi="宋体"/>
          <w:kern w:val="0"/>
        </w:rPr>
        <w:t>人或者基金资产净值低于</w:t>
      </w:r>
      <w:r>
        <w:rPr>
          <w:rFonts w:ascii="宋体" w:hAnsi="宋体"/>
          <w:kern w:val="0"/>
        </w:rPr>
        <w:t>5000</w:t>
      </w:r>
      <w:r>
        <w:rPr>
          <w:rFonts w:hint="eastAsia" w:ascii="宋体" w:hAnsi="宋体"/>
          <w:kern w:val="0"/>
        </w:rPr>
        <w:t>万元情形的，基金管理人应当在定期报告中予以披露；连续</w:t>
      </w:r>
      <w:r>
        <w:rPr>
          <w:rFonts w:ascii="宋体" w:hAnsi="宋体"/>
          <w:kern w:val="0"/>
        </w:rPr>
        <w:t>50</w:t>
      </w:r>
      <w:r>
        <w:rPr>
          <w:rFonts w:hint="eastAsia" w:ascii="宋体" w:hAnsi="宋体"/>
          <w:kern w:val="0"/>
        </w:rPr>
        <w:t>个工作日出现前述情形的，本基金将根据基金合同的约定进行基金财产清算并终止，且无需召开基金份额持有人大会，同时基金管理人应履行相关的监管报告和信息披露程序。</w:t>
      </w:r>
    </w:p>
    <w:p>
      <w:pPr>
        <w:adjustRightInd w:val="0"/>
        <w:snapToGrid w:val="0"/>
        <w:spacing w:line="360" w:lineRule="auto"/>
        <w:ind w:firstLine="420" w:firstLineChars="200"/>
        <w:rPr>
          <w:rFonts w:ascii="宋体" w:hAnsi="宋体"/>
          <w:kern w:val="0"/>
        </w:rPr>
      </w:pPr>
      <w:r>
        <w:rPr>
          <w:rFonts w:hint="eastAsia" w:ascii="宋体" w:hAnsi="宋体"/>
          <w:kern w:val="0"/>
        </w:rPr>
        <w:t>法律法规或中国证监会另有规定时，从其规定。”</w:t>
      </w:r>
    </w:p>
    <w:p>
      <w:pPr>
        <w:adjustRightInd w:val="0"/>
        <w:snapToGrid w:val="0"/>
        <w:spacing w:line="360" w:lineRule="auto"/>
        <w:ind w:firstLine="420" w:firstLineChars="200"/>
        <w:rPr>
          <w:rFonts w:ascii="宋体" w:hAnsi="宋体"/>
          <w:kern w:val="0"/>
        </w:rPr>
      </w:pPr>
      <w:r>
        <w:rPr>
          <w:rFonts w:hint="eastAsia" w:ascii="宋体" w:hAnsi="宋体"/>
          <w:kern w:val="0"/>
        </w:rPr>
        <w:t>修改为：</w:t>
      </w:r>
    </w:p>
    <w:p>
      <w:pPr>
        <w:adjustRightInd w:val="0"/>
        <w:snapToGrid w:val="0"/>
        <w:spacing w:line="360" w:lineRule="auto"/>
        <w:ind w:firstLine="420" w:firstLineChars="200"/>
        <w:rPr>
          <w:rFonts w:ascii="宋体" w:hAnsi="宋体"/>
          <w:kern w:val="0"/>
        </w:rPr>
      </w:pPr>
      <w:r>
        <w:rPr>
          <w:rFonts w:hint="eastAsia" w:ascii="宋体" w:hAnsi="宋体"/>
          <w:kern w:val="0"/>
        </w:rPr>
        <w:t>“《基金合同》生效后，连续</w:t>
      </w:r>
      <w:r>
        <w:rPr>
          <w:rFonts w:ascii="宋体" w:hAnsi="宋体"/>
          <w:kern w:val="0"/>
        </w:rPr>
        <w:t>20</w:t>
      </w:r>
      <w:r>
        <w:rPr>
          <w:rFonts w:hint="eastAsia" w:ascii="宋体" w:hAnsi="宋体"/>
          <w:kern w:val="0"/>
        </w:rPr>
        <w:t>个工作日出现基金份额持有人数量不满</w:t>
      </w:r>
      <w:r>
        <w:rPr>
          <w:rFonts w:ascii="宋体" w:hAnsi="宋体"/>
          <w:kern w:val="0"/>
        </w:rPr>
        <w:t>200</w:t>
      </w:r>
      <w:r>
        <w:rPr>
          <w:rFonts w:hint="eastAsia" w:ascii="宋体" w:hAnsi="宋体"/>
          <w:kern w:val="0"/>
        </w:rPr>
        <w:t>人或者基金资产净值低于</w:t>
      </w:r>
      <w:r>
        <w:rPr>
          <w:rFonts w:ascii="宋体" w:hAnsi="宋体"/>
          <w:kern w:val="0"/>
        </w:rPr>
        <w:t>5000</w:t>
      </w:r>
      <w:r>
        <w:rPr>
          <w:rFonts w:hint="eastAsia" w:ascii="宋体" w:hAnsi="宋体"/>
          <w:kern w:val="0"/>
        </w:rPr>
        <w:t>万元情形的，基金管理人应当在定期报告中予以披露；连续</w:t>
      </w:r>
      <w:r>
        <w:rPr>
          <w:rFonts w:ascii="宋体" w:hAnsi="宋体"/>
          <w:kern w:val="0"/>
        </w:rPr>
        <w:t>60</w:t>
      </w:r>
      <w:r>
        <w:rPr>
          <w:rFonts w:hint="eastAsia" w:ascii="宋体" w:hAnsi="宋体"/>
          <w:kern w:val="0"/>
        </w:rPr>
        <w:t>个工作日出现前述情形的，基金管理人应当在十个工作日内向中国证监会报告并提出解决方案，如持续运作、转换运作方式、与其他基金合并或者终止基金合同等，并在六个月内召开基金份额持有人大会进行表决。法律法规或中国证监会另有规定时，从其规定。”</w:t>
      </w:r>
    </w:p>
    <w:p>
      <w:pPr>
        <w:adjustRightInd w:val="0"/>
        <w:snapToGrid w:val="0"/>
        <w:spacing w:line="360" w:lineRule="auto"/>
        <w:ind w:firstLine="420" w:firstLineChars="200"/>
        <w:rPr>
          <w:rFonts w:ascii="宋体" w:hAnsi="宋体"/>
          <w:kern w:val="0"/>
        </w:rPr>
      </w:pPr>
      <w:r>
        <w:rPr>
          <w:rFonts w:hint="eastAsia" w:ascii="宋体" w:hAnsi="宋体"/>
          <w:kern w:val="0"/>
        </w:rPr>
        <w:t>3、删除“第十五部分  基金的信息披露”中“五、公开披露的基金信息”中“（七）临时报告”中的如下内容并相应更新后续序号：</w:t>
      </w:r>
    </w:p>
    <w:p>
      <w:pPr>
        <w:adjustRightInd w:val="0"/>
        <w:snapToGrid w:val="0"/>
        <w:spacing w:line="360" w:lineRule="auto"/>
        <w:ind w:firstLine="420" w:firstLineChars="200"/>
        <w:rPr>
          <w:rFonts w:ascii="宋体" w:hAnsi="宋体"/>
          <w:kern w:val="0"/>
        </w:rPr>
      </w:pPr>
      <w:r>
        <w:rPr>
          <w:rFonts w:hint="eastAsia" w:ascii="宋体" w:hAnsi="宋体"/>
          <w:kern w:val="0"/>
        </w:rPr>
        <w:t>“28、连续30个工作日、40个工作日及45个工作日出现基金份额持有人数量不满二百人或者基金资产净值低于五千万元情形的；”</w:t>
      </w:r>
    </w:p>
    <w:p>
      <w:pPr>
        <w:adjustRightInd w:val="0"/>
        <w:snapToGrid w:val="0"/>
        <w:spacing w:line="360" w:lineRule="auto"/>
        <w:ind w:firstLine="420" w:firstLineChars="200"/>
        <w:rPr>
          <w:rFonts w:ascii="宋体" w:hAnsi="宋体"/>
          <w:kern w:val="0"/>
        </w:rPr>
      </w:pPr>
      <w:r>
        <w:rPr>
          <w:rFonts w:hint="eastAsia" w:ascii="宋体" w:hAnsi="宋体"/>
          <w:kern w:val="0"/>
        </w:rPr>
        <w:t>4、将“第十七部分  风险揭示”中“二、本基金特有的风险”中的如下条款进行修改，由：</w:t>
      </w:r>
    </w:p>
    <w:p>
      <w:pPr>
        <w:adjustRightInd w:val="0"/>
        <w:snapToGrid w:val="0"/>
        <w:spacing w:line="360" w:lineRule="auto"/>
        <w:ind w:firstLine="420" w:firstLineChars="200"/>
        <w:rPr>
          <w:rFonts w:ascii="宋体" w:hAnsi="宋体"/>
          <w:kern w:val="0"/>
        </w:rPr>
      </w:pPr>
      <w:r>
        <w:rPr>
          <w:rFonts w:hint="eastAsia" w:ascii="宋体" w:hAnsi="宋体"/>
          <w:kern w:val="0"/>
        </w:rPr>
        <w:t xml:space="preserve">“15、自动清算的风险 </w:t>
      </w:r>
    </w:p>
    <w:p>
      <w:pPr>
        <w:adjustRightInd w:val="0"/>
        <w:snapToGrid w:val="0"/>
        <w:spacing w:line="360" w:lineRule="auto"/>
        <w:ind w:firstLine="420" w:firstLineChars="200"/>
        <w:rPr>
          <w:rFonts w:ascii="宋体" w:hAnsi="宋体"/>
          <w:kern w:val="0"/>
        </w:rPr>
      </w:pPr>
      <w:r>
        <w:rPr>
          <w:rFonts w:hint="eastAsia" w:ascii="宋体" w:hAnsi="宋体"/>
          <w:kern w:val="0"/>
        </w:rPr>
        <w:t>《基金合同》生效后，连续20个工作日出现基金份额持有人数量不满200人或者基金资产净值低于5000万元情形的，基金管理人应当在定期报告中予以披露；连续50个工作日出现前述情形的，本基金将根据基金合同的约定进行基金财产清算并终止，且无需召开基金份额持有人大会，同时基金管理人应履行相关的监管报告和信息披露程序。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基金合同终止。因此本基金面临自动清算的风险。”</w:t>
      </w:r>
    </w:p>
    <w:p>
      <w:pPr>
        <w:adjustRightInd w:val="0"/>
        <w:snapToGrid w:val="0"/>
        <w:spacing w:line="360" w:lineRule="auto"/>
        <w:ind w:firstLine="420" w:firstLineChars="200"/>
        <w:rPr>
          <w:rFonts w:ascii="宋体" w:hAnsi="宋体"/>
          <w:kern w:val="0"/>
        </w:rPr>
      </w:pPr>
      <w:r>
        <w:rPr>
          <w:rFonts w:hint="eastAsia" w:ascii="宋体" w:hAnsi="宋体"/>
          <w:kern w:val="0"/>
        </w:rPr>
        <w:t>修改为：</w:t>
      </w:r>
    </w:p>
    <w:p>
      <w:pPr>
        <w:adjustRightInd w:val="0"/>
        <w:snapToGrid w:val="0"/>
        <w:spacing w:line="360" w:lineRule="auto"/>
        <w:ind w:firstLine="420" w:firstLineChars="200"/>
        <w:rPr>
          <w:rFonts w:ascii="宋体" w:hAnsi="宋体"/>
          <w:kern w:val="0"/>
        </w:rPr>
      </w:pPr>
      <w:r>
        <w:rPr>
          <w:rFonts w:hint="eastAsia" w:ascii="宋体" w:hAnsi="宋体"/>
          <w:kern w:val="0"/>
        </w:rPr>
        <w:t xml:space="preserve">“15、自动清算的风险 </w:t>
      </w:r>
    </w:p>
    <w:p>
      <w:pPr>
        <w:adjustRightInd w:val="0"/>
        <w:snapToGrid w:val="0"/>
        <w:spacing w:line="360" w:lineRule="auto"/>
        <w:ind w:firstLine="420" w:firstLineChars="200"/>
        <w:rPr>
          <w:rFonts w:ascii="宋体" w:hAnsi="宋体"/>
          <w:kern w:val="0"/>
        </w:rPr>
      </w:pPr>
      <w:r>
        <w:rPr>
          <w:rFonts w:hint="eastAsia" w:ascii="宋体" w:hAnsi="宋体"/>
          <w:kern w:val="0"/>
        </w:rPr>
        <w:t>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基金合同终止。因此本基金面临自动清算的风险。”</w:t>
      </w:r>
    </w:p>
    <w:bookmarkEnd w:id="0"/>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（三）修改后的执行</w:t>
      </w:r>
    </w:p>
    <w:p>
      <w:pPr>
        <w:spacing w:line="420" w:lineRule="exact"/>
        <w:ind w:firstLine="420"/>
        <w:jc w:val="left"/>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自</w:t>
      </w:r>
      <w:r>
        <w:rPr>
          <w:rFonts w:hint="eastAsia" w:asciiTheme="majorEastAsia" w:hAnsiTheme="majorEastAsia" w:eastAsiaTheme="majorEastAsia"/>
          <w:szCs w:val="21"/>
        </w:rPr>
        <w:t>2024年4月12日</w:t>
      </w:r>
      <w:r>
        <w:rPr>
          <w:rFonts w:hint="eastAsia" w:cs="Times New Roman" w:asciiTheme="majorEastAsia" w:hAnsiTheme="majorEastAsia" w:eastAsiaTheme="majorEastAsia"/>
          <w:szCs w:val="21"/>
        </w:rPr>
        <w:t>起，本基金将按修改后的《博时中证有色金属矿业主题指数证券投资基金</w:t>
      </w:r>
      <w:r>
        <w:rPr>
          <w:rFonts w:hint="eastAsia" w:ascii="宋体" w:hAnsi="宋体"/>
          <w:kern w:val="0"/>
        </w:rPr>
        <w:t>基金合同》和</w:t>
      </w:r>
      <w:r>
        <w:rPr>
          <w:rFonts w:hint="eastAsia" w:cs="Times New Roman" w:asciiTheme="majorEastAsia" w:hAnsiTheme="majorEastAsia" w:eastAsiaTheme="majorEastAsia"/>
          <w:szCs w:val="21"/>
        </w:rPr>
        <w:t>《</w:t>
      </w:r>
      <w:r>
        <w:rPr>
          <w:rStyle w:val="12"/>
          <w:rFonts w:hint="eastAsia" w:ascii="宋体" w:hAnsi="宋体" w:eastAsia="宋体" w:cs="Arial"/>
          <w:szCs w:val="24"/>
        </w:rPr>
        <w:t>博时中证有色金属矿业主题指数证券投资基金</w:t>
      </w:r>
      <w:r>
        <w:rPr>
          <w:rFonts w:hint="eastAsia" w:cs="Times New Roman" w:asciiTheme="majorEastAsia" w:hAnsiTheme="majorEastAsia" w:eastAsiaTheme="majorEastAsia"/>
          <w:szCs w:val="21"/>
        </w:rPr>
        <w:t>招募说明书》执行。</w:t>
      </w:r>
    </w:p>
    <w:p>
      <w:pPr>
        <w:spacing w:line="420" w:lineRule="exact"/>
        <w:ind w:firstLine="420"/>
        <w:rPr>
          <w:rFonts w:cs="Times New Roman" w:asciiTheme="majorEastAsia" w:hAnsiTheme="majorEastAsia" w:eastAsiaTheme="majorEastAsia"/>
          <w:b/>
          <w:szCs w:val="21"/>
        </w:rPr>
      </w:pPr>
      <w:r>
        <w:rPr>
          <w:rFonts w:hint="eastAsia" w:cs="Times New Roman" w:asciiTheme="majorEastAsia" w:hAnsiTheme="majorEastAsia" w:eastAsiaTheme="majorEastAsia"/>
          <w:b/>
          <w:szCs w:val="21"/>
        </w:rPr>
        <w:t>四、</w:t>
      </w:r>
      <w:r>
        <w:rPr>
          <w:rFonts w:cs="Times New Roman" w:asciiTheme="majorEastAsia" w:hAnsiTheme="majorEastAsia" w:eastAsiaTheme="majorEastAsia"/>
          <w:b/>
          <w:szCs w:val="21"/>
        </w:rPr>
        <w:t xml:space="preserve"> </w:t>
      </w:r>
      <w:r>
        <w:rPr>
          <w:rFonts w:hint="eastAsia" w:cs="Times New Roman" w:asciiTheme="majorEastAsia" w:hAnsiTheme="majorEastAsia" w:eastAsiaTheme="majorEastAsia"/>
          <w:b/>
          <w:szCs w:val="21"/>
        </w:rPr>
        <w:t>备查文件</w:t>
      </w:r>
    </w:p>
    <w:p>
      <w:pPr>
        <w:spacing w:line="420" w:lineRule="exact"/>
        <w:ind w:firstLine="420"/>
        <w:rPr>
          <w:rFonts w:cs="Times New Roman" w:asciiTheme="majorEastAsia" w:hAnsiTheme="majorEastAsia" w:eastAsiaTheme="majorEastAsia"/>
          <w:szCs w:val="21"/>
        </w:rPr>
      </w:pPr>
      <w:r>
        <w:rPr>
          <w:rFonts w:cs="Times New Roman" w:asciiTheme="majorEastAsia" w:hAnsiTheme="majorEastAsia" w:eastAsiaTheme="majorEastAsia"/>
          <w:szCs w:val="21"/>
        </w:rPr>
        <w:t>1</w:t>
      </w:r>
      <w:r>
        <w:rPr>
          <w:rFonts w:hint="eastAsia" w:cs="Times New Roman" w:asciiTheme="majorEastAsia" w:hAnsiTheme="majorEastAsia" w:eastAsiaTheme="majorEastAsia"/>
          <w:szCs w:val="21"/>
        </w:rPr>
        <w:t>、《博时基金管理有限公司关于以通讯方式召开博时中证有色金属矿业主题指数证券投资基金基金份额持有人大会的公告》</w:t>
      </w:r>
    </w:p>
    <w:p>
      <w:pPr>
        <w:spacing w:line="420" w:lineRule="exact"/>
        <w:ind w:firstLine="420"/>
        <w:rPr>
          <w:rFonts w:cs="Times New Roman" w:asciiTheme="majorEastAsia" w:hAnsiTheme="majorEastAsia" w:eastAsiaTheme="majorEastAsia"/>
          <w:szCs w:val="21"/>
        </w:rPr>
      </w:pPr>
      <w:r>
        <w:rPr>
          <w:rFonts w:cs="Times New Roman" w:asciiTheme="majorEastAsia" w:hAnsiTheme="majorEastAsia" w:eastAsiaTheme="majorEastAsia"/>
          <w:szCs w:val="21"/>
        </w:rPr>
        <w:t>2</w:t>
      </w:r>
      <w:r>
        <w:rPr>
          <w:rFonts w:hint="eastAsia" w:cs="Times New Roman" w:asciiTheme="majorEastAsia" w:hAnsiTheme="majorEastAsia" w:eastAsiaTheme="majorEastAsia"/>
          <w:szCs w:val="21"/>
        </w:rPr>
        <w:t>、《博时基金管理有限公司关于以通讯方式召开博时中证有色金属矿业主题指数证券投资基金基金份额持有人大会的第一次提示公告》</w:t>
      </w:r>
    </w:p>
    <w:p>
      <w:pPr>
        <w:spacing w:line="420" w:lineRule="exact"/>
        <w:ind w:firstLine="420"/>
        <w:rPr>
          <w:rFonts w:cs="Times New Roman" w:asciiTheme="majorEastAsia" w:hAnsiTheme="majorEastAsia" w:eastAsiaTheme="majorEastAsia"/>
          <w:szCs w:val="21"/>
        </w:rPr>
      </w:pPr>
      <w:r>
        <w:rPr>
          <w:rFonts w:cs="Times New Roman" w:asciiTheme="majorEastAsia" w:hAnsiTheme="majorEastAsia" w:eastAsiaTheme="majorEastAsia"/>
          <w:szCs w:val="21"/>
        </w:rPr>
        <w:t>3</w:t>
      </w:r>
      <w:r>
        <w:rPr>
          <w:rFonts w:hint="eastAsia" w:cs="Times New Roman" w:asciiTheme="majorEastAsia" w:hAnsiTheme="majorEastAsia" w:eastAsiaTheme="majorEastAsia"/>
          <w:szCs w:val="21"/>
        </w:rPr>
        <w:t>、《博时基金管理有限公司关于以通讯方式召开博时中证有色金属矿业主题指数证券投资基金基金份额持有人大会的第二次提示公告》</w:t>
      </w:r>
    </w:p>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4、北京市长安公证处出具的公证书</w:t>
      </w:r>
    </w:p>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5、上海市通力律师事务所出具的法律意见</w:t>
      </w:r>
    </w:p>
    <w:p>
      <w:pPr>
        <w:spacing w:line="420" w:lineRule="exact"/>
        <w:ind w:firstLine="42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特此公告。</w:t>
      </w:r>
    </w:p>
    <w:p>
      <w:pPr>
        <w:spacing w:line="420" w:lineRule="exact"/>
        <w:ind w:firstLine="420"/>
        <w:rPr>
          <w:rFonts w:cs="Times New Roman" w:asciiTheme="majorEastAsia" w:hAnsiTheme="majorEastAsia" w:eastAsiaTheme="majorEastAsia"/>
          <w:szCs w:val="21"/>
        </w:rPr>
      </w:pPr>
    </w:p>
    <w:p>
      <w:pPr>
        <w:spacing w:line="420" w:lineRule="exact"/>
        <w:ind w:firstLine="420"/>
        <w:jc w:val="right"/>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博时基金管理有限公司</w:t>
      </w:r>
    </w:p>
    <w:p>
      <w:pPr>
        <w:spacing w:line="420" w:lineRule="exact"/>
        <w:ind w:firstLine="420"/>
        <w:jc w:val="right"/>
        <w:rPr>
          <w:rFonts w:cs="Times New Roman" w:asciiTheme="majorEastAsia" w:hAnsiTheme="majorEastAsia" w:eastAsiaTheme="majorEastAsia"/>
          <w:szCs w:val="21"/>
        </w:rPr>
      </w:pPr>
      <w:r>
        <w:rPr>
          <w:rFonts w:hint="eastAsia" w:asciiTheme="majorEastAsia" w:hAnsiTheme="majorEastAsia" w:eastAsiaTheme="majorEastAsia"/>
          <w:szCs w:val="21"/>
        </w:rPr>
        <w:t>2024年4月12日</w:t>
      </w:r>
    </w:p>
    <w:p>
      <w:pPr>
        <w:spacing w:line="420" w:lineRule="exact"/>
        <w:ind w:firstLine="420"/>
        <w:jc w:val="right"/>
        <w:rPr>
          <w:rFonts w:cs="Times New Roman" w:asciiTheme="majorEastAsia" w:hAnsiTheme="majorEastAsia" w:eastAsiaTheme="majorEastAsia"/>
          <w:szCs w:val="21"/>
        </w:rPr>
        <w:sectPr>
          <w:pgSz w:w="11906" w:h="16838"/>
          <w:pgMar w:top="1440" w:right="1800" w:bottom="1440" w:left="1800" w:header="851" w:footer="992" w:gutter="0"/>
          <w:cols w:space="425" w:num="1"/>
          <w:docGrid w:type="lines" w:linePitch="312" w:charSpace="0"/>
        </w:sectPr>
      </w:pPr>
    </w:p>
    <w:p>
      <w:pPr>
        <w:spacing w:line="420" w:lineRule="exact"/>
        <w:ind w:firstLine="420"/>
        <w:jc w:val="right"/>
        <w:rPr>
          <w:rFonts w:cs="Times New Roman" w:asciiTheme="majorEastAsia" w:hAnsiTheme="majorEastAsia" w:eastAsiaTheme="majorEastAsia"/>
          <w:szCs w:val="21"/>
        </w:r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9675" cy="10692130"/>
            <wp:effectExtent l="0" t="0" r="0" b="0"/>
            <wp:wrapNone/>
            <wp:docPr id="2" name="图片 4"/>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4"/>
                    <a:stretch>
                      <a:fillRect/>
                    </a:stretch>
                  </pic:blipFill>
                  <pic:spPr>
                    <a:xfrm>
                      <a:off x="0" y="0"/>
                      <a:ext cx="7559675" cy="10692130"/>
                    </a:xfrm>
                    <a:prstGeom prst="rect">
                      <a:avLst/>
                    </a:prstGeom>
                    <a:noFill/>
                    <a:ln>
                      <a:noFill/>
                    </a:ln>
                  </pic:spPr>
                </pic:pic>
              </a:graphicData>
            </a:graphic>
          </wp:anchor>
        </w:drawing>
      </w:r>
    </w:p>
    <w:p>
      <w:pPr>
        <w:spacing w:line="420" w:lineRule="exact"/>
        <w:ind w:firstLine="420"/>
        <w:jc w:val="right"/>
        <w:rPr>
          <w:rFonts w:cs="Times New Roman" w:asciiTheme="majorEastAsia" w:hAnsiTheme="majorEastAsia" w:eastAsiaTheme="majorEastAsia"/>
          <w:szCs w:val="21"/>
        </w:r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9675" cy="10692130"/>
            <wp:effectExtent l="0" t="0" r="0" b="0"/>
            <wp:wrapNone/>
            <wp:docPr id="5" name="图片 3"/>
            <wp:cNvGraphicFramePr/>
            <a:graphic xmlns:a="http://schemas.openxmlformats.org/drawingml/2006/main">
              <a:graphicData uri="http://schemas.openxmlformats.org/drawingml/2006/picture">
                <pic:pic xmlns:pic="http://schemas.openxmlformats.org/drawingml/2006/picture">
                  <pic:nvPicPr>
                    <pic:cNvPr id="5" name="图片 3"/>
                    <pic:cNvPicPr/>
                  </pic:nvPicPr>
                  <pic:blipFill>
                    <a:blip r:embed="rId5"/>
                    <a:stretch>
                      <a:fillRect/>
                    </a:stretch>
                  </pic:blipFill>
                  <pic:spPr>
                    <a:xfrm>
                      <a:off x="0" y="0"/>
                      <a:ext cx="7559675" cy="10692130"/>
                    </a:xfrm>
                    <a:prstGeom prst="rect">
                      <a:avLst/>
                    </a:prstGeom>
                    <a:noFill/>
                    <a:ln>
                      <a:noFill/>
                    </a:ln>
                  </pic:spPr>
                </pic:pic>
              </a:graphicData>
            </a:graphic>
          </wp:anchor>
        </w:drawing>
      </w:r>
    </w:p>
    <w:p>
      <w:pPr>
        <w:spacing w:line="420" w:lineRule="exact"/>
        <w:ind w:firstLine="420"/>
        <w:jc w:val="right"/>
        <w:rPr>
          <w:rFonts w:cs="Times New Roman" w:asciiTheme="majorEastAsia" w:hAnsiTheme="majorEastAsia" w:eastAsiaTheme="majorEastAsia"/>
          <w:szCs w:val="21"/>
        </w:r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59675" cy="10692130"/>
            <wp:effectExtent l="0" t="0" r="0" b="0"/>
            <wp:wrapNone/>
            <wp:docPr id="6" name="图片 2"/>
            <wp:cNvGraphicFramePr/>
            <a:graphic xmlns:a="http://schemas.openxmlformats.org/drawingml/2006/main">
              <a:graphicData uri="http://schemas.openxmlformats.org/drawingml/2006/picture">
                <pic:pic xmlns:pic="http://schemas.openxmlformats.org/drawingml/2006/picture">
                  <pic:nvPicPr>
                    <pic:cNvPr id="6" name="图片 2"/>
                    <pic:cNvPicPr/>
                  </pic:nvPicPr>
                  <pic:blipFill>
                    <a:blip r:embed="rId6"/>
                    <a:stretch>
                      <a:fillRect/>
                    </a:stretch>
                  </pic:blipFill>
                  <pic:spPr>
                    <a:xfrm>
                      <a:off x="0" y="0"/>
                      <a:ext cx="7559675" cy="10692130"/>
                    </a:xfrm>
                    <a:prstGeom prst="rect">
                      <a:avLst/>
                    </a:prstGeom>
                    <a:noFill/>
                    <a:ln>
                      <a:noFill/>
                    </a:ln>
                  </pic:spPr>
                </pic:pic>
              </a:graphicData>
            </a:graphic>
          </wp:anchor>
        </w:drawing>
      </w:r>
    </w:p>
    <w:p>
      <w:pPr>
        <w:spacing w:line="420" w:lineRule="exact"/>
        <w:ind w:firstLine="420"/>
        <w:jc w:val="right"/>
        <w:rPr>
          <w:rFonts w:cs="Times New Roman" w:asciiTheme="majorEastAsia" w:hAnsiTheme="majorEastAsia" w:eastAsiaTheme="majorEastAsia"/>
          <w:szCs w:val="21"/>
        </w:rPr>
      </w:pPr>
      <w:bookmarkStart w:id="1" w:name="_GoBack"/>
      <w:r>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0310" cy="10683240"/>
            <wp:effectExtent l="0" t="0" r="0" b="0"/>
            <wp:wrapNone/>
            <wp:docPr id="7"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7"/>
                    <a:stretch>
                      <a:fillRect/>
                    </a:stretch>
                  </pic:blipFill>
                  <pic:spPr>
                    <a:xfrm>
                      <a:off x="0" y="0"/>
                      <a:ext cx="7560310" cy="10683240"/>
                    </a:xfrm>
                    <a:prstGeom prst="rect">
                      <a:avLst/>
                    </a:prstGeom>
                    <a:noFill/>
                    <a:ln>
                      <a:noFill/>
                    </a:ln>
                  </pic:spPr>
                </pic:pic>
              </a:graphicData>
            </a:graphic>
          </wp:anchor>
        </w:drawing>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D208A"/>
    <w:multiLevelType w:val="singleLevel"/>
    <w:tmpl w:val="50DD208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49"/>
    <w:rsid w:val="00042C27"/>
    <w:rsid w:val="000703AC"/>
    <w:rsid w:val="00075D7C"/>
    <w:rsid w:val="0008022C"/>
    <w:rsid w:val="00091691"/>
    <w:rsid w:val="00096CEA"/>
    <w:rsid w:val="000C0059"/>
    <w:rsid w:val="000C33DB"/>
    <w:rsid w:val="000D305D"/>
    <w:rsid w:val="000D5780"/>
    <w:rsid w:val="000E0635"/>
    <w:rsid w:val="000F52A8"/>
    <w:rsid w:val="00117AC0"/>
    <w:rsid w:val="00135ED4"/>
    <w:rsid w:val="00142D1E"/>
    <w:rsid w:val="0014301B"/>
    <w:rsid w:val="001461AF"/>
    <w:rsid w:val="00154791"/>
    <w:rsid w:val="00183A4E"/>
    <w:rsid w:val="001A3E03"/>
    <w:rsid w:val="001A4FC3"/>
    <w:rsid w:val="001E4DE0"/>
    <w:rsid w:val="001E6C1F"/>
    <w:rsid w:val="001F2028"/>
    <w:rsid w:val="001F2325"/>
    <w:rsid w:val="00247EFC"/>
    <w:rsid w:val="00250E06"/>
    <w:rsid w:val="002666B1"/>
    <w:rsid w:val="0026739E"/>
    <w:rsid w:val="00285E38"/>
    <w:rsid w:val="00286037"/>
    <w:rsid w:val="00287901"/>
    <w:rsid w:val="002B3CF9"/>
    <w:rsid w:val="002C06E1"/>
    <w:rsid w:val="002C4DD7"/>
    <w:rsid w:val="002D4FC3"/>
    <w:rsid w:val="002D7493"/>
    <w:rsid w:val="002E2F67"/>
    <w:rsid w:val="002E4F9A"/>
    <w:rsid w:val="00301223"/>
    <w:rsid w:val="00302C72"/>
    <w:rsid w:val="00316D8D"/>
    <w:rsid w:val="00320F68"/>
    <w:rsid w:val="00322A18"/>
    <w:rsid w:val="00324FDD"/>
    <w:rsid w:val="00332B34"/>
    <w:rsid w:val="00352075"/>
    <w:rsid w:val="0037414B"/>
    <w:rsid w:val="00390AC1"/>
    <w:rsid w:val="003A4425"/>
    <w:rsid w:val="003B5396"/>
    <w:rsid w:val="003C46A9"/>
    <w:rsid w:val="00412BF7"/>
    <w:rsid w:val="00414571"/>
    <w:rsid w:val="004233C5"/>
    <w:rsid w:val="00433727"/>
    <w:rsid w:val="00443974"/>
    <w:rsid w:val="0044501D"/>
    <w:rsid w:val="00453495"/>
    <w:rsid w:val="00460495"/>
    <w:rsid w:val="00496C68"/>
    <w:rsid w:val="004A2051"/>
    <w:rsid w:val="004A3CB2"/>
    <w:rsid w:val="004A7D6C"/>
    <w:rsid w:val="004C0C52"/>
    <w:rsid w:val="004C5C87"/>
    <w:rsid w:val="004D65BD"/>
    <w:rsid w:val="004D6E57"/>
    <w:rsid w:val="00510AB9"/>
    <w:rsid w:val="00526686"/>
    <w:rsid w:val="00532116"/>
    <w:rsid w:val="00554543"/>
    <w:rsid w:val="00572D1C"/>
    <w:rsid w:val="005766B9"/>
    <w:rsid w:val="0059339F"/>
    <w:rsid w:val="00595440"/>
    <w:rsid w:val="00595556"/>
    <w:rsid w:val="005C0A2D"/>
    <w:rsid w:val="005D3675"/>
    <w:rsid w:val="005D454D"/>
    <w:rsid w:val="005D5772"/>
    <w:rsid w:val="00642B72"/>
    <w:rsid w:val="006443A2"/>
    <w:rsid w:val="006507DF"/>
    <w:rsid w:val="006656C6"/>
    <w:rsid w:val="00671992"/>
    <w:rsid w:val="006736CE"/>
    <w:rsid w:val="0067459A"/>
    <w:rsid w:val="006B2423"/>
    <w:rsid w:val="006C655B"/>
    <w:rsid w:val="006D01A1"/>
    <w:rsid w:val="006E2A23"/>
    <w:rsid w:val="006F0350"/>
    <w:rsid w:val="006F4418"/>
    <w:rsid w:val="00717F14"/>
    <w:rsid w:val="007206B6"/>
    <w:rsid w:val="00743CA6"/>
    <w:rsid w:val="007444DB"/>
    <w:rsid w:val="00744DDA"/>
    <w:rsid w:val="007529D8"/>
    <w:rsid w:val="0079379F"/>
    <w:rsid w:val="007F3396"/>
    <w:rsid w:val="008121D5"/>
    <w:rsid w:val="00832D3D"/>
    <w:rsid w:val="00832E75"/>
    <w:rsid w:val="00847C5E"/>
    <w:rsid w:val="008626B6"/>
    <w:rsid w:val="00865B24"/>
    <w:rsid w:val="00866B58"/>
    <w:rsid w:val="00891FE4"/>
    <w:rsid w:val="008A4A76"/>
    <w:rsid w:val="008B3B7B"/>
    <w:rsid w:val="008C564A"/>
    <w:rsid w:val="008C7038"/>
    <w:rsid w:val="008D0EC1"/>
    <w:rsid w:val="008E0EEC"/>
    <w:rsid w:val="008E4E6E"/>
    <w:rsid w:val="008F078C"/>
    <w:rsid w:val="008F5D2F"/>
    <w:rsid w:val="008F5F62"/>
    <w:rsid w:val="008F6B37"/>
    <w:rsid w:val="0090507E"/>
    <w:rsid w:val="009051D8"/>
    <w:rsid w:val="009117B3"/>
    <w:rsid w:val="00921654"/>
    <w:rsid w:val="009234A0"/>
    <w:rsid w:val="00935351"/>
    <w:rsid w:val="009668F7"/>
    <w:rsid w:val="00967E44"/>
    <w:rsid w:val="0097123C"/>
    <w:rsid w:val="00974DDA"/>
    <w:rsid w:val="00985948"/>
    <w:rsid w:val="009958E1"/>
    <w:rsid w:val="009A04BC"/>
    <w:rsid w:val="009B61DB"/>
    <w:rsid w:val="009B7872"/>
    <w:rsid w:val="009C2859"/>
    <w:rsid w:val="009D20CC"/>
    <w:rsid w:val="009D4A2F"/>
    <w:rsid w:val="009F012E"/>
    <w:rsid w:val="009F2192"/>
    <w:rsid w:val="00A11F94"/>
    <w:rsid w:val="00A23ECA"/>
    <w:rsid w:val="00A519BD"/>
    <w:rsid w:val="00A67AA0"/>
    <w:rsid w:val="00A80193"/>
    <w:rsid w:val="00A91011"/>
    <w:rsid w:val="00AA3D62"/>
    <w:rsid w:val="00AB6000"/>
    <w:rsid w:val="00AC6026"/>
    <w:rsid w:val="00AD7B2D"/>
    <w:rsid w:val="00AE7B4B"/>
    <w:rsid w:val="00AF3CBA"/>
    <w:rsid w:val="00B032DA"/>
    <w:rsid w:val="00B229D5"/>
    <w:rsid w:val="00B25254"/>
    <w:rsid w:val="00B4686C"/>
    <w:rsid w:val="00B63647"/>
    <w:rsid w:val="00B66B70"/>
    <w:rsid w:val="00B74A3E"/>
    <w:rsid w:val="00B76527"/>
    <w:rsid w:val="00B76CD3"/>
    <w:rsid w:val="00B83992"/>
    <w:rsid w:val="00BC49A9"/>
    <w:rsid w:val="00C366FB"/>
    <w:rsid w:val="00C45EA9"/>
    <w:rsid w:val="00C823B5"/>
    <w:rsid w:val="00CA65CE"/>
    <w:rsid w:val="00CB66A2"/>
    <w:rsid w:val="00CC46A3"/>
    <w:rsid w:val="00CC47DC"/>
    <w:rsid w:val="00CD06EB"/>
    <w:rsid w:val="00CE60D6"/>
    <w:rsid w:val="00CF46C4"/>
    <w:rsid w:val="00CF5D18"/>
    <w:rsid w:val="00D02CF7"/>
    <w:rsid w:val="00D36700"/>
    <w:rsid w:val="00D40FCC"/>
    <w:rsid w:val="00D4483E"/>
    <w:rsid w:val="00D639FC"/>
    <w:rsid w:val="00D7146A"/>
    <w:rsid w:val="00D93A24"/>
    <w:rsid w:val="00DA46B8"/>
    <w:rsid w:val="00DA56CB"/>
    <w:rsid w:val="00DB5EF9"/>
    <w:rsid w:val="00DC231F"/>
    <w:rsid w:val="00DC2F7C"/>
    <w:rsid w:val="00DC6B91"/>
    <w:rsid w:val="00DE2CA7"/>
    <w:rsid w:val="00DF50F6"/>
    <w:rsid w:val="00E01F43"/>
    <w:rsid w:val="00E06FF7"/>
    <w:rsid w:val="00E36A92"/>
    <w:rsid w:val="00E527DD"/>
    <w:rsid w:val="00E65F7C"/>
    <w:rsid w:val="00E77D4A"/>
    <w:rsid w:val="00E87565"/>
    <w:rsid w:val="00EA2F80"/>
    <w:rsid w:val="00EB0C52"/>
    <w:rsid w:val="00EB77F2"/>
    <w:rsid w:val="00EC5C75"/>
    <w:rsid w:val="00ED1B40"/>
    <w:rsid w:val="00ED4246"/>
    <w:rsid w:val="00EE10AC"/>
    <w:rsid w:val="00EE7A8D"/>
    <w:rsid w:val="00EE7AD7"/>
    <w:rsid w:val="00EF526F"/>
    <w:rsid w:val="00F56EF4"/>
    <w:rsid w:val="00F62FC3"/>
    <w:rsid w:val="00F71E49"/>
    <w:rsid w:val="00F900BE"/>
    <w:rsid w:val="00F90A24"/>
    <w:rsid w:val="00F93D7E"/>
    <w:rsid w:val="00FC7F21"/>
    <w:rsid w:val="00FD484C"/>
    <w:rsid w:val="00FE12C3"/>
    <w:rsid w:val="00FE3306"/>
    <w:rsid w:val="00FE3FC8"/>
    <w:rsid w:val="04051EB3"/>
    <w:rsid w:val="1774522F"/>
    <w:rsid w:val="1BDB33FC"/>
    <w:rsid w:val="1D3D33AB"/>
    <w:rsid w:val="3C642215"/>
    <w:rsid w:val="554625B1"/>
    <w:rsid w:val="7668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da"/>
    <w:basedOn w:val="10"/>
    <w:uiPriority w:val="0"/>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basedOn w:val="10"/>
    <w:link w:val="3"/>
    <w:semiHidden/>
    <w:qFormat/>
    <w:uiPriority w:val="99"/>
    <w:rPr>
      <w:sz w:val="18"/>
      <w:szCs w:val="18"/>
    </w:rPr>
  </w:style>
  <w:style w:type="character" w:customStyle="1" w:styleId="16">
    <w:name w:val="批注文字 字符"/>
    <w:basedOn w:val="10"/>
    <w:link w:val="2"/>
    <w:semiHidden/>
    <w:qFormat/>
    <w:uiPriority w:val="99"/>
  </w:style>
  <w:style w:type="character" w:customStyle="1" w:styleId="17">
    <w:name w:val="批注主题 字符"/>
    <w:basedOn w:val="16"/>
    <w:link w:val="7"/>
    <w:semiHidden/>
    <w:qFormat/>
    <w:uiPriority w:val="99"/>
    <w:rPr>
      <w:b/>
      <w:bCs/>
    </w:rPr>
  </w:style>
  <w:style w:type="paragraph" w:styleId="18">
    <w:name w:val="List Paragraph"/>
    <w:basedOn w:val="1"/>
    <w:qFormat/>
    <w:uiPriority w:val="34"/>
    <w:pPr>
      <w:ind w:firstLine="420" w:firstLineChars="200"/>
    </w:pPr>
    <w:rPr>
      <w:rFonts w:ascii="Times New Roman" w:hAnsi="Times New Roman" w:eastAsia="宋体" w:cs="Times New Roman"/>
      <w:szCs w:val="20"/>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505</Words>
  <Characters>2880</Characters>
  <Lines>24</Lines>
  <Paragraphs>6</Paragraphs>
  <TotalTime>1</TotalTime>
  <ScaleCrop>false</ScaleCrop>
  <LinksUpToDate>false</LinksUpToDate>
  <CharactersWithSpaces>3379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2021-11-26T08:07:00Z</dcterms:created>
  <dc:creator>zhaiq</dc:creator>
  <cp:lastModifiedBy>tangl</cp:lastModifiedBy>
  <dcterms:modified xsi:type="dcterms:W3CDTF">2024-04-11T06:30:37Z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BB5D81EFA714451883E5F4872C7B4C87</vt:lpwstr>
  </property>
</Properties>
</file>